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Kwinana-Mundijong-Jarrahdale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13:54:00Z"/>
        </w:trPr>
        <w:tc>
          <w:tcPr>
            <w:tcW w:w="2434" w:type="dxa"/>
            <w:vMerge w:val="restart"/>
          </w:tcPr>
          <w:p>
            <w:pPr>
              <w:rPr>
                <w:del w:id="1" w:author="svcMRProcess" w:date="2015-10-30T13:54:00Z"/>
              </w:rPr>
            </w:pPr>
          </w:p>
        </w:tc>
        <w:tc>
          <w:tcPr>
            <w:tcW w:w="2434" w:type="dxa"/>
            <w:vMerge w:val="restart"/>
          </w:tcPr>
          <w:p>
            <w:pPr>
              <w:jc w:val="center"/>
              <w:rPr>
                <w:del w:id="2" w:author="svcMRProcess" w:date="2015-10-30T13:54:00Z"/>
              </w:rPr>
            </w:pPr>
            <w:del w:id="3" w:author="svcMRProcess" w:date="2015-10-30T13:54: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0-30T13:54:00Z"/>
              </w:rPr>
            </w:pPr>
          </w:p>
        </w:tc>
      </w:tr>
      <w:tr>
        <w:trPr>
          <w:cantSplit/>
          <w:del w:id="5" w:author="svcMRProcess" w:date="2015-10-30T13:54:00Z"/>
        </w:trPr>
        <w:tc>
          <w:tcPr>
            <w:tcW w:w="2434" w:type="dxa"/>
            <w:vMerge/>
          </w:tcPr>
          <w:p>
            <w:pPr>
              <w:rPr>
                <w:del w:id="6" w:author="svcMRProcess" w:date="2015-10-30T13:54:00Z"/>
              </w:rPr>
            </w:pPr>
          </w:p>
        </w:tc>
        <w:tc>
          <w:tcPr>
            <w:tcW w:w="2434" w:type="dxa"/>
            <w:vMerge/>
          </w:tcPr>
          <w:p>
            <w:pPr>
              <w:jc w:val="center"/>
              <w:rPr>
                <w:del w:id="7" w:author="svcMRProcess" w:date="2015-10-30T13:54:00Z"/>
              </w:rPr>
            </w:pPr>
          </w:p>
        </w:tc>
        <w:tc>
          <w:tcPr>
            <w:tcW w:w="2434" w:type="dxa"/>
          </w:tcPr>
          <w:p>
            <w:pPr>
              <w:keepNext/>
              <w:rPr>
                <w:del w:id="8" w:author="svcMRProcess" w:date="2015-10-30T13:54:00Z"/>
                <w:b/>
                <w:sz w:val="22"/>
              </w:rPr>
            </w:pPr>
            <w:del w:id="9" w:author="svcMRProcess" w:date="2015-10-30T13:54: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July 2007</w:delText>
              </w:r>
            </w:del>
          </w:p>
        </w:tc>
      </w:tr>
    </w:tbl>
    <w:p>
      <w:pPr>
        <w:pStyle w:val="WA"/>
        <w:spacing w:before="120"/>
      </w:pPr>
      <w:r>
        <w:t>Western Australia</w:t>
      </w:r>
    </w:p>
    <w:p>
      <w:pPr>
        <w:pStyle w:val="NameofActReg"/>
      </w:pPr>
      <w:r>
        <w:t>Kwinana</w:t>
      </w:r>
      <w:r>
        <w:noBreakHyphen/>
        <w:t>Mundijong</w:t>
      </w:r>
      <w:r>
        <w:noBreakHyphen/>
        <w:t>Jarrahdale Railway Act 1961</w:t>
      </w:r>
    </w:p>
    <w:p>
      <w:pPr>
        <w:pStyle w:val="LongTitle"/>
        <w:rPr>
          <w:snapToGrid w:val="0"/>
        </w:rPr>
      </w:pPr>
      <w:r>
        <w:rPr>
          <w:snapToGrid w:val="0"/>
        </w:rPr>
        <w:t>A</w:t>
      </w:r>
      <w:bookmarkStart w:id="10" w:name="_GoBack"/>
      <w:bookmarkEnd w:id="10"/>
      <w:r>
        <w:rPr>
          <w:snapToGrid w:val="0"/>
        </w:rPr>
        <w:t xml:space="preserve">n Act to authorise the construction of a railway from Kwinana to Jarrahdale through Mundijong. </w:t>
      </w:r>
    </w:p>
    <w:p>
      <w:pPr>
        <w:pStyle w:val="Heading5"/>
        <w:rPr>
          <w:snapToGrid w:val="0"/>
        </w:rPr>
      </w:pPr>
      <w:bookmarkStart w:id="11" w:name="_Toc411304917"/>
      <w:bookmarkStart w:id="12" w:name="_Toc168463576"/>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Act 1961</w:t>
      </w:r>
      <w:r>
        <w:rPr>
          <w:snapToGrid w:val="0"/>
          <w:vertAlign w:val="superscript"/>
        </w:rPr>
        <w:t> 1</w:t>
      </w:r>
      <w:r>
        <w:rPr>
          <w:snapToGrid w:val="0"/>
        </w:rPr>
        <w:t>.</w:t>
      </w:r>
    </w:p>
    <w:p>
      <w:pPr>
        <w:pStyle w:val="Heading5"/>
        <w:rPr>
          <w:snapToGrid w:val="0"/>
        </w:rPr>
      </w:pPr>
      <w:bookmarkStart w:id="13" w:name="_Toc411304918"/>
      <w:bookmarkStart w:id="14" w:name="_Toc168463577"/>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t>(1)</w:t>
      </w:r>
      <w:r>
        <w:rPr>
          <w:snapToGrid w:val="0"/>
        </w:rPr>
        <w:tab/>
        <w:t>This Act shall come into operation on a day to be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The Governor shall not make a proclamation bringing this Act into operation unless and until he is satisfied that the Company has,</w:t>
      </w:r>
    </w:p>
    <w:p>
      <w:pPr>
        <w:pStyle w:val="Indenta"/>
        <w:rPr>
          <w:snapToGrid w:val="0"/>
        </w:rPr>
      </w:pPr>
      <w:r>
        <w:rPr>
          <w:snapToGrid w:val="0"/>
        </w:rPr>
        <w:tab/>
      </w:r>
      <w:r>
        <w:rPr>
          <w:snapToGrid w:val="0"/>
        </w:rPr>
        <w:tab/>
        <w:t>in relation to the construction of that portion of the railway authorised to be constructed between Kwinana and Mundijong by this Act,</w:t>
      </w:r>
    </w:p>
    <w:p>
      <w:pPr>
        <w:pStyle w:val="Subsection"/>
        <w:rPr>
          <w:snapToGrid w:val="0"/>
        </w:rPr>
      </w:pPr>
      <w:r>
        <w:rPr>
          <w:snapToGrid w:val="0"/>
        </w:rPr>
        <w:tab/>
      </w:r>
      <w:r>
        <w:rPr>
          <w:snapToGrid w:val="0"/>
        </w:rPr>
        <w:tab/>
        <w:t>fulfilled all the obligations that are required to be fulfilled by it under the Agreement prior to such construction being so authorised.</w:t>
      </w:r>
    </w:p>
    <w:p>
      <w:pPr>
        <w:pStyle w:val="Heading5"/>
        <w:rPr>
          <w:snapToGrid w:val="0"/>
        </w:rPr>
      </w:pPr>
      <w:bookmarkStart w:id="15" w:name="_Toc411304919"/>
      <w:bookmarkStart w:id="16" w:name="_Toc168463578"/>
      <w:r>
        <w:rPr>
          <w:rStyle w:val="CharSectno"/>
        </w:rPr>
        <w:t>3</w:t>
      </w:r>
      <w:r>
        <w:rPr>
          <w:snapToGrid w:val="0"/>
        </w:rPr>
        <w:t>.</w:t>
      </w:r>
      <w:r>
        <w:rPr>
          <w:snapToGrid w:val="0"/>
        </w:rPr>
        <w:tab/>
      </w:r>
      <w:bookmarkEnd w:id="15"/>
      <w:r>
        <w:rPr>
          <w:snapToGrid w:val="0"/>
        </w:rPr>
        <w:t>Terms used in this Act</w:t>
      </w:r>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the </w:t>
      </w:r>
      <w:r>
        <w:rPr>
          <w:i/>
        </w:rPr>
        <w:t>Alumina Refinery Agreement Act 1961</w:t>
      </w:r>
      <w:r>
        <w:t>;</w:t>
      </w:r>
    </w:p>
    <w:p>
      <w:pPr>
        <w:pStyle w:val="Defstart"/>
      </w:pPr>
      <w:r>
        <w:rPr>
          <w:b/>
        </w:rPr>
        <w:tab/>
      </w:r>
      <w:r>
        <w:rPr>
          <w:rStyle w:val="CharDefText"/>
        </w:rPr>
        <w:t>the Company</w:t>
      </w:r>
      <w:r>
        <w:t xml:space="preserve"> has the same meaning as that expression has in the Agreement.</w:t>
      </w:r>
    </w:p>
    <w:p>
      <w:pPr>
        <w:pStyle w:val="Heading5"/>
        <w:rPr>
          <w:snapToGrid w:val="0"/>
        </w:rPr>
      </w:pPr>
      <w:bookmarkStart w:id="17" w:name="_Toc411304920"/>
      <w:bookmarkStart w:id="18" w:name="_Toc168463579"/>
      <w:r>
        <w:rPr>
          <w:rStyle w:val="CharSectno"/>
        </w:rPr>
        <w:t>4</w:t>
      </w:r>
      <w:r>
        <w:rPr>
          <w:snapToGrid w:val="0"/>
        </w:rPr>
        <w:t>.</w:t>
      </w:r>
      <w:r>
        <w:rPr>
          <w:snapToGrid w:val="0"/>
        </w:rPr>
        <w:tab/>
        <w:t>Authority to construct railway</w:t>
      </w:r>
      <w:bookmarkEnd w:id="17"/>
      <w:bookmarkEnd w:id="18"/>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 to this Act, but that portion of the railway authorised to be constructed between Mundijong and Jarrahdale by this Act shall not be so constructed unless and until the parties to the agreement have, pursuant to clause 28 thereof, agreed on the terms and conditions upon which that portion is to be so constructed.</w:t>
      </w:r>
    </w:p>
    <w:p>
      <w:pPr>
        <w:pStyle w:val="Heading5"/>
        <w:rPr>
          <w:snapToGrid w:val="0"/>
        </w:rPr>
      </w:pPr>
      <w:bookmarkStart w:id="19" w:name="_Toc411304921"/>
      <w:bookmarkStart w:id="20" w:name="_Toc168463580"/>
      <w:r>
        <w:rPr>
          <w:rStyle w:val="CharSectno"/>
        </w:rPr>
        <w:t>5</w:t>
      </w:r>
      <w:r>
        <w:rPr>
          <w:snapToGrid w:val="0"/>
        </w:rPr>
        <w:t>.</w:t>
      </w:r>
      <w:r>
        <w:rPr>
          <w:snapToGrid w:val="0"/>
        </w:rPr>
        <w:tab/>
        <w:t>Authority for deviation</w:t>
      </w:r>
      <w:bookmarkEnd w:id="19"/>
      <w:bookmarkEnd w:id="20"/>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Schedule to this Act, which consists of the portion of the line from Mundijong to Jarrahdale to the extent of 5 miles on either side thereof, and to deviate for the balance of such line at a distance of one mile on either side thereof.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 w:val="0"/>
          <w:snapToGrid/>
          <w:sz w:val="24"/>
        </w:rPr>
      </w:pPr>
      <w:bookmarkStart w:id="21" w:name="_Toc159037088"/>
      <w:bookmarkStart w:id="22" w:name="_Toc168463004"/>
      <w:bookmarkStart w:id="23" w:name="_Toc168463581"/>
      <w:r>
        <w:rPr>
          <w:rStyle w:val="CharSchNo"/>
        </w:rPr>
        <w:t>Schedule</w:t>
      </w:r>
      <w:bookmarkEnd w:id="21"/>
      <w:bookmarkEnd w:id="22"/>
      <w:bookmarkEnd w:id="23"/>
    </w:p>
    <w:p>
      <w:pPr>
        <w:pStyle w:val="yShoulderClause"/>
        <w:rPr>
          <w:snapToGrid w:val="0"/>
        </w:rPr>
      </w:pPr>
      <w:r>
        <w:rPr>
          <w:snapToGrid w:val="0"/>
        </w:rPr>
        <w:t>[Section 4]</w:t>
      </w:r>
    </w:p>
    <w:p>
      <w:pPr>
        <w:pStyle w:val="yMiscellaneousHeading"/>
      </w:pPr>
      <w:r>
        <w:rPr>
          <w:rStyle w:val="CharSchText"/>
          <w:b/>
          <w:bCs/>
          <w:sz w:val="28"/>
        </w:rPr>
        <w:t>Railway from Kwinana to Jarrahdale through Mundijong</w:t>
      </w:r>
    </w:p>
    <w:p>
      <w:pPr>
        <w:pStyle w:val="yTable"/>
        <w:rPr>
          <w:snapToGrid w:val="0"/>
        </w:rPr>
      </w:pPr>
    </w:p>
    <w:p>
      <w:pPr>
        <w:pStyle w:val="yTable"/>
        <w:rPr>
          <w:snapToGrid w:val="0"/>
        </w:rPr>
      </w:pPr>
      <w:r>
        <w:rPr>
          <w:snapToGrid w:val="0"/>
        </w:rPr>
        <w:t>Commencing at a point on the Coogee</w:t>
      </w:r>
      <w:r>
        <w:rPr>
          <w:snapToGrid w:val="0"/>
        </w:rPr>
        <w:noBreakHyphen/>
        <w:t>Kwinana railway 24 miles 30 chains from Perth in the Kwinana station yard and proceeding thence in a southerly direction for about 3 miles and thence in a south</w:t>
      </w:r>
      <w:r>
        <w:rPr>
          <w:snapToGrid w:val="0"/>
        </w:rPr>
        <w:noBreakHyphen/>
        <w:t>easterly direction for about 1 mile 10 chains and thence in an easterly direction for about 1 mile 20 chains and thence in a north</w:t>
      </w:r>
      <w:r>
        <w:rPr>
          <w:snapToGrid w:val="0"/>
        </w:rPr>
        <w:noBreakHyphen/>
        <w:t>easterly direction for about 1 mile 70 chains and thence in an easterly direction for about 7 miles 20 chains and thence in a southerly direction through Mundijong station yard for about 2 miles 30 chains and thence in an easterly direction for about 1 mile and thence in a north</w:t>
      </w:r>
      <w:r>
        <w:rPr>
          <w:snapToGrid w:val="0"/>
        </w:rPr>
        <w:noBreakHyphen/>
        <w:t>easterly direction for about 1 mile 30 chains and thence in a south</w:t>
      </w:r>
      <w:r>
        <w:rPr>
          <w:snapToGrid w:val="0"/>
        </w:rPr>
        <w:noBreakHyphen/>
        <w:t>easterly direction for about 4 miles 40 chains and thence in a north</w:t>
      </w:r>
      <w:r>
        <w:rPr>
          <w:snapToGrid w:val="0"/>
        </w:rPr>
        <w:noBreakHyphen/>
        <w:t>easterly direction for about 3 miles terminating at about the south</w:t>
      </w:r>
      <w:r>
        <w:rPr>
          <w:snapToGrid w:val="0"/>
        </w:rPr>
        <w:noBreakHyphen/>
        <w:t xml:space="preserve">west corner of location 819 as more particularly set out and delineated in red on map marked C.E. Plan No. 51871 deposited pursuant to the </w:t>
      </w:r>
      <w:r>
        <w:rPr>
          <w:i/>
          <w:iCs/>
          <w:snapToGrid w:val="0"/>
        </w:rPr>
        <w:t>Public Works Act 1902</w:t>
      </w:r>
      <w:r>
        <w:rPr>
          <w:snapToGrid w:val="0"/>
        </w:rPr>
        <w:t>, section 96.</w:t>
      </w:r>
    </w:p>
    <w:p>
      <w:pPr>
        <w:pStyle w:val="yTable"/>
        <w:rPr>
          <w:snapToGrid w:val="0"/>
        </w:rPr>
      </w:pPr>
      <w:r>
        <w:rPr>
          <w:snapToGrid w:val="0"/>
        </w:rPr>
        <w:t>Total length about 26 miles 60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 w:name="_Toc159037089"/>
      <w:bookmarkStart w:id="25" w:name="_Toc168463005"/>
      <w:bookmarkStart w:id="26" w:name="_Toc168463582"/>
      <w:r>
        <w:t>Notes</w:t>
      </w:r>
      <w:bookmarkEnd w:id="24"/>
      <w:bookmarkEnd w:id="25"/>
      <w:bookmarkEnd w:id="26"/>
    </w:p>
    <w:p>
      <w:pPr>
        <w:pStyle w:val="nSubsection"/>
        <w:rPr>
          <w:snapToGrid w:val="0"/>
        </w:rPr>
      </w:pPr>
      <w:r>
        <w:rPr>
          <w:snapToGrid w:val="0"/>
          <w:vertAlign w:val="superscript"/>
        </w:rPr>
        <w:t>1</w:t>
      </w:r>
      <w:r>
        <w:rPr>
          <w:snapToGrid w:val="0"/>
        </w:rPr>
        <w:tab/>
        <w:t xml:space="preserve">This is a </w:t>
      </w:r>
      <w:del w:id="27" w:author="svcMRProcess" w:date="2015-10-30T13:54:00Z">
        <w:r>
          <w:rPr>
            <w:snapToGrid w:val="0"/>
          </w:rPr>
          <w:delText>reprint as at 6 July 2007</w:delText>
        </w:r>
      </w:del>
      <w:ins w:id="28" w:author="svcMRProcess" w:date="2015-10-30T13:54:00Z">
        <w:r>
          <w:rPr>
            <w:snapToGrid w:val="0"/>
          </w:rPr>
          <w:t>compilation</w:t>
        </w:r>
      </w:ins>
      <w:r>
        <w:rPr>
          <w:snapToGrid w:val="0"/>
        </w:rPr>
        <w:t xml:space="preserve"> of the </w:t>
      </w:r>
      <w:bookmarkStart w:id="29" w:name="RuleErr_1"/>
      <w:r>
        <w:rPr>
          <w:i/>
          <w:noProof/>
          <w:snapToGrid w:val="0"/>
        </w:rPr>
        <w:t>Kwinana-Mundijong-Jarrahdale Railway Act 1961</w:t>
      </w:r>
      <w:bookmarkEnd w:id="29"/>
      <w:r>
        <w:rPr>
          <w:snapToGrid w:val="0"/>
        </w:rPr>
        <w:t>.  The following table contains information about that Act and any reprint</w:t>
      </w:r>
      <w:ins w:id="30" w:author="svcMRProcess" w:date="2015-10-30T13:54:00Z">
        <w:r>
          <w:rPr>
            <w:snapToGrid w:val="0"/>
          </w:rPr>
          <w:t xml:space="preserve"> </w:t>
        </w:r>
        <w:r>
          <w:rPr>
            <w:snapToGrid w:val="0"/>
            <w:vertAlign w:val="superscript"/>
          </w:rPr>
          <w:t>1a</w:t>
        </w:r>
      </w:ins>
      <w:r>
        <w:rPr>
          <w:snapToGrid w:val="0"/>
        </w:rPr>
        <w:t xml:space="preserve">. </w:t>
      </w:r>
    </w:p>
    <w:p>
      <w:pPr>
        <w:pStyle w:val="nHeading3"/>
        <w:rPr>
          <w:snapToGrid w:val="0"/>
        </w:rPr>
      </w:pPr>
      <w:bookmarkStart w:id="31" w:name="_Toc168463583"/>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668"/>
        <w:gridCol w:w="960"/>
        <w:gridCol w:w="1200"/>
        <w:gridCol w:w="2259"/>
      </w:tblGrid>
      <w:tr>
        <w:trPr>
          <w:tblHeader/>
        </w:trPr>
        <w:tc>
          <w:tcPr>
            <w:tcW w:w="2668" w:type="dxa"/>
            <w:tcBorders>
              <w:top w:val="single" w:sz="8" w:space="0" w:color="auto"/>
              <w:bottom w:val="single" w:sz="8" w:space="0" w:color="auto"/>
            </w:tcBorders>
          </w:tcPr>
          <w:p>
            <w:pPr>
              <w:pStyle w:val="nTable"/>
              <w:spacing w:after="40"/>
              <w:rPr>
                <w:b/>
                <w:sz w:val="19"/>
              </w:rPr>
            </w:pPr>
            <w:r>
              <w:rPr>
                <w:b/>
                <w:sz w:val="19"/>
              </w:rPr>
              <w:t>Short title</w:t>
            </w:r>
          </w:p>
        </w:tc>
        <w:tc>
          <w:tcPr>
            <w:tcW w:w="96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259" w:type="dxa"/>
            <w:tcBorders>
              <w:top w:val="single" w:sz="8" w:space="0" w:color="auto"/>
              <w:bottom w:val="single" w:sz="8" w:space="0" w:color="auto"/>
            </w:tcBorders>
          </w:tcPr>
          <w:p>
            <w:pPr>
              <w:pStyle w:val="nTable"/>
              <w:spacing w:after="40"/>
              <w:rPr>
                <w:b/>
                <w:sz w:val="19"/>
              </w:rPr>
            </w:pPr>
            <w:r>
              <w:rPr>
                <w:b/>
                <w:sz w:val="19"/>
              </w:rPr>
              <w:t>Commencement</w:t>
            </w:r>
          </w:p>
        </w:tc>
      </w:tr>
      <w:tr>
        <w:tc>
          <w:tcPr>
            <w:tcW w:w="2668" w:type="dxa"/>
            <w:tcBorders>
              <w:top w:val="single" w:sz="8" w:space="0" w:color="auto"/>
            </w:tcBorders>
          </w:tcPr>
          <w:p>
            <w:pPr>
              <w:pStyle w:val="nTable"/>
              <w:spacing w:after="40"/>
              <w:rPr>
                <w:sz w:val="19"/>
              </w:rPr>
            </w:pPr>
            <w:r>
              <w:rPr>
                <w:i/>
                <w:sz w:val="19"/>
              </w:rPr>
              <w:t>Kwinana</w:t>
            </w:r>
            <w:r>
              <w:rPr>
                <w:i/>
                <w:sz w:val="19"/>
              </w:rPr>
              <w:noBreakHyphen/>
              <w:t>Mundijong</w:t>
            </w:r>
            <w:r>
              <w:rPr>
                <w:i/>
                <w:sz w:val="19"/>
              </w:rPr>
              <w:noBreakHyphen/>
              <w:t>Jarrahdale Railway Act 1961</w:t>
            </w:r>
          </w:p>
        </w:tc>
        <w:tc>
          <w:tcPr>
            <w:tcW w:w="960" w:type="dxa"/>
            <w:tcBorders>
              <w:top w:val="single" w:sz="8" w:space="0" w:color="auto"/>
            </w:tcBorders>
          </w:tcPr>
          <w:p>
            <w:pPr>
              <w:pStyle w:val="nTable"/>
              <w:spacing w:after="40"/>
              <w:rPr>
                <w:sz w:val="19"/>
              </w:rPr>
            </w:pPr>
            <w:r>
              <w:rPr>
                <w:sz w:val="19"/>
              </w:rPr>
              <w:t xml:space="preserve">47 of 1961 </w:t>
            </w:r>
            <w:r>
              <w:rPr>
                <w:color w:val="000000"/>
              </w:rPr>
              <w:t>(10  Eliz. II No. 47)</w:t>
            </w:r>
          </w:p>
        </w:tc>
        <w:tc>
          <w:tcPr>
            <w:tcW w:w="1200" w:type="dxa"/>
            <w:tcBorders>
              <w:top w:val="single" w:sz="8" w:space="0" w:color="auto"/>
            </w:tcBorders>
          </w:tcPr>
          <w:p>
            <w:pPr>
              <w:pStyle w:val="nTable"/>
              <w:spacing w:after="40"/>
              <w:rPr>
                <w:sz w:val="19"/>
              </w:rPr>
            </w:pPr>
            <w:r>
              <w:rPr>
                <w:sz w:val="19"/>
              </w:rPr>
              <w:t>23 Nov 1961</w:t>
            </w:r>
          </w:p>
        </w:tc>
        <w:tc>
          <w:tcPr>
            <w:tcW w:w="2259" w:type="dxa"/>
            <w:tcBorders>
              <w:top w:val="single" w:sz="8" w:space="0" w:color="auto"/>
            </w:tcBorders>
          </w:tcPr>
          <w:p>
            <w:pPr>
              <w:pStyle w:val="nTable"/>
              <w:spacing w:after="40"/>
              <w:rPr>
                <w:sz w:val="19"/>
              </w:rPr>
            </w:pPr>
            <w:r>
              <w:rPr>
                <w:sz w:val="19"/>
              </w:rPr>
              <w:t xml:space="preserve">7 Dec 1962 (see s. 2 and </w:t>
            </w:r>
            <w:r>
              <w:rPr>
                <w:i/>
                <w:sz w:val="19"/>
              </w:rPr>
              <w:t>Gazette</w:t>
            </w:r>
            <w:r>
              <w:rPr>
                <w:sz w:val="19"/>
              </w:rPr>
              <w:t xml:space="preserve"> 7 Dec 1962 p. 3857)</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1:  The </w:t>
            </w:r>
            <w:r>
              <w:rPr>
                <w:b/>
                <w:bCs/>
                <w:i/>
                <w:sz w:val="19"/>
              </w:rPr>
              <w:t>Kwinana</w:t>
            </w:r>
            <w:r>
              <w:rPr>
                <w:b/>
                <w:bCs/>
                <w:i/>
                <w:sz w:val="19"/>
              </w:rPr>
              <w:noBreakHyphen/>
              <w:t>Mundijong</w:t>
            </w:r>
            <w:r>
              <w:rPr>
                <w:b/>
                <w:bCs/>
                <w:i/>
                <w:sz w:val="19"/>
              </w:rPr>
              <w:noBreakHyphen/>
              <w:t>Jarrahdale Railway Act 1961</w:t>
            </w:r>
            <w:r>
              <w:rPr>
                <w:b/>
                <w:bCs/>
                <w:sz w:val="19"/>
              </w:rPr>
              <w:t xml:space="preserve"> as at 6 Jul 2007</w:t>
            </w:r>
          </w:p>
        </w:tc>
      </w:tr>
    </w:tbl>
    <w:p>
      <w:pPr>
        <w:pStyle w:val="nSubsection"/>
        <w:tabs>
          <w:tab w:val="clear" w:pos="454"/>
          <w:tab w:val="left" w:pos="567"/>
        </w:tabs>
        <w:spacing w:before="120"/>
        <w:ind w:left="567" w:hanging="567"/>
        <w:rPr>
          <w:ins w:id="32" w:author="svcMRProcess" w:date="2015-10-30T13:54:00Z"/>
          <w:snapToGrid w:val="0"/>
        </w:rPr>
      </w:pPr>
      <w:ins w:id="33" w:author="svcMRProcess" w:date="2015-10-30T1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svcMRProcess" w:date="2015-10-30T13:54:00Z"/>
        </w:rPr>
      </w:pPr>
      <w:bookmarkStart w:id="35" w:name="_Toc7405065"/>
      <w:ins w:id="36" w:author="svcMRProcess" w:date="2015-10-30T13:54:00Z">
        <w:r>
          <w:t>Provisions that have not come into operation</w:t>
        </w:r>
        <w:bookmarkEnd w:id="3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7" w:author="svcMRProcess" w:date="2015-10-30T13:54:00Z"/>
        </w:trPr>
        <w:tc>
          <w:tcPr>
            <w:tcW w:w="2266" w:type="dxa"/>
          </w:tcPr>
          <w:p>
            <w:pPr>
              <w:pStyle w:val="nTable"/>
              <w:spacing w:after="40"/>
              <w:rPr>
                <w:ins w:id="38" w:author="svcMRProcess" w:date="2015-10-30T13:54:00Z"/>
                <w:b/>
                <w:snapToGrid w:val="0"/>
                <w:sz w:val="19"/>
                <w:lang w:val="en-US"/>
              </w:rPr>
            </w:pPr>
            <w:ins w:id="39" w:author="svcMRProcess" w:date="2015-10-30T13:54:00Z">
              <w:r>
                <w:rPr>
                  <w:b/>
                  <w:snapToGrid w:val="0"/>
                  <w:sz w:val="19"/>
                  <w:lang w:val="en-US"/>
                </w:rPr>
                <w:t>Short title</w:t>
              </w:r>
            </w:ins>
          </w:p>
        </w:tc>
        <w:tc>
          <w:tcPr>
            <w:tcW w:w="1120" w:type="dxa"/>
          </w:tcPr>
          <w:p>
            <w:pPr>
              <w:pStyle w:val="nTable"/>
              <w:spacing w:after="40"/>
              <w:rPr>
                <w:ins w:id="40" w:author="svcMRProcess" w:date="2015-10-30T13:54:00Z"/>
                <w:b/>
                <w:snapToGrid w:val="0"/>
                <w:sz w:val="19"/>
                <w:lang w:val="en-US"/>
              </w:rPr>
            </w:pPr>
            <w:ins w:id="41" w:author="svcMRProcess" w:date="2015-10-30T13:54:00Z">
              <w:r>
                <w:rPr>
                  <w:b/>
                  <w:snapToGrid w:val="0"/>
                  <w:sz w:val="19"/>
                  <w:lang w:val="en-US"/>
                </w:rPr>
                <w:t>Number and year</w:t>
              </w:r>
            </w:ins>
          </w:p>
        </w:tc>
        <w:tc>
          <w:tcPr>
            <w:tcW w:w="1135" w:type="dxa"/>
          </w:tcPr>
          <w:p>
            <w:pPr>
              <w:pStyle w:val="nTable"/>
              <w:spacing w:after="40"/>
              <w:rPr>
                <w:ins w:id="42" w:author="svcMRProcess" w:date="2015-10-30T13:54:00Z"/>
                <w:b/>
                <w:snapToGrid w:val="0"/>
                <w:sz w:val="19"/>
                <w:lang w:val="en-US"/>
              </w:rPr>
            </w:pPr>
            <w:ins w:id="43" w:author="svcMRProcess" w:date="2015-10-30T13:54:00Z">
              <w:r>
                <w:rPr>
                  <w:b/>
                  <w:snapToGrid w:val="0"/>
                  <w:sz w:val="19"/>
                  <w:lang w:val="en-US"/>
                </w:rPr>
                <w:t>Assent</w:t>
              </w:r>
            </w:ins>
          </w:p>
        </w:tc>
        <w:tc>
          <w:tcPr>
            <w:tcW w:w="2534" w:type="dxa"/>
          </w:tcPr>
          <w:p>
            <w:pPr>
              <w:pStyle w:val="nTable"/>
              <w:spacing w:after="40"/>
              <w:rPr>
                <w:ins w:id="44" w:author="svcMRProcess" w:date="2015-10-30T13:54:00Z"/>
                <w:b/>
                <w:snapToGrid w:val="0"/>
                <w:sz w:val="19"/>
                <w:lang w:val="en-US"/>
              </w:rPr>
            </w:pPr>
            <w:ins w:id="45" w:author="svcMRProcess" w:date="2015-10-30T13:54:00Z">
              <w:r>
                <w:rPr>
                  <w:b/>
                  <w:snapToGrid w:val="0"/>
                  <w:sz w:val="19"/>
                  <w:lang w:val="en-US"/>
                </w:rPr>
                <w:t>Commencement</w:t>
              </w:r>
            </w:ins>
          </w:p>
        </w:tc>
      </w:tr>
      <w:tr>
        <w:tblPrEx>
          <w:tblCellMar>
            <w:left w:w="56" w:type="dxa"/>
            <w:right w:w="56" w:type="dxa"/>
          </w:tblCellMar>
        </w:tblPrEx>
        <w:trPr>
          <w:cantSplit/>
          <w:ins w:id="46" w:author="svcMRProcess" w:date="2015-10-30T13:54:00Z"/>
        </w:trPr>
        <w:tc>
          <w:tcPr>
            <w:tcW w:w="2266" w:type="dxa"/>
          </w:tcPr>
          <w:p>
            <w:pPr>
              <w:pStyle w:val="nTable"/>
              <w:spacing w:after="40"/>
              <w:ind w:right="113"/>
              <w:rPr>
                <w:ins w:id="47" w:author="svcMRProcess" w:date="2015-10-30T13:54:00Z"/>
                <w:iCs/>
                <w:snapToGrid w:val="0"/>
                <w:sz w:val="19"/>
                <w:lang w:val="en-US"/>
              </w:rPr>
            </w:pPr>
            <w:ins w:id="48" w:author="svcMRProcess" w:date="2015-10-30T13:54: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49" w:author="svcMRProcess" w:date="2015-10-30T13:54:00Z"/>
                <w:snapToGrid w:val="0"/>
                <w:sz w:val="19"/>
                <w:lang w:val="en-US"/>
              </w:rPr>
            </w:pPr>
            <w:ins w:id="50" w:author="svcMRProcess" w:date="2015-10-30T13:54:00Z">
              <w:r>
                <w:rPr>
                  <w:snapToGrid w:val="0"/>
                  <w:sz w:val="19"/>
                  <w:lang w:val="en-US"/>
                </w:rPr>
                <w:t>19 of 2010</w:t>
              </w:r>
            </w:ins>
          </w:p>
        </w:tc>
        <w:tc>
          <w:tcPr>
            <w:tcW w:w="1135" w:type="dxa"/>
          </w:tcPr>
          <w:p>
            <w:pPr>
              <w:pStyle w:val="nTable"/>
              <w:spacing w:after="40"/>
              <w:rPr>
                <w:ins w:id="51" w:author="svcMRProcess" w:date="2015-10-30T13:54:00Z"/>
                <w:snapToGrid w:val="0"/>
                <w:sz w:val="19"/>
                <w:lang w:val="en-US"/>
              </w:rPr>
            </w:pPr>
            <w:ins w:id="52" w:author="svcMRProcess" w:date="2015-10-30T13:54:00Z">
              <w:r>
                <w:rPr>
                  <w:snapToGrid w:val="0"/>
                  <w:sz w:val="19"/>
                  <w:lang w:val="en-US"/>
                </w:rPr>
                <w:t>28 Jun 2010</w:t>
              </w:r>
            </w:ins>
          </w:p>
        </w:tc>
        <w:tc>
          <w:tcPr>
            <w:tcW w:w="2534" w:type="dxa"/>
          </w:tcPr>
          <w:p>
            <w:pPr>
              <w:pStyle w:val="nTable"/>
              <w:spacing w:after="40"/>
              <w:rPr>
                <w:ins w:id="53" w:author="svcMRProcess" w:date="2015-10-30T13:54:00Z"/>
                <w:snapToGrid w:val="0"/>
                <w:sz w:val="19"/>
                <w:lang w:val="en-US"/>
              </w:rPr>
            </w:pPr>
            <w:ins w:id="54" w:author="svcMRProcess" w:date="2015-10-30T13:54:00Z">
              <w:r>
                <w:rPr>
                  <w:snapToGrid w:val="0"/>
                  <w:sz w:val="19"/>
                  <w:lang w:val="en-US"/>
                </w:rPr>
                <w:t>To be proclaimed (see s. 2(b))</w:t>
              </w:r>
            </w:ins>
          </w:p>
        </w:tc>
      </w:tr>
    </w:tbl>
    <w:p>
      <w:pPr>
        <w:pStyle w:val="nSubsection"/>
        <w:keepNext/>
        <w:keepLines/>
        <w:rPr>
          <w:ins w:id="55" w:author="svcMRProcess" w:date="2015-10-30T13:54:00Z"/>
          <w:snapToGrid w:val="0"/>
        </w:rPr>
      </w:pPr>
      <w:ins w:id="56" w:author="svcMRProcess" w:date="2015-10-30T13:5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7" w:author="svcMRProcess" w:date="2015-10-30T13:54:00Z"/>
          <w:snapToGrid w:val="0"/>
        </w:rPr>
      </w:pPr>
    </w:p>
    <w:p>
      <w:pPr>
        <w:pStyle w:val="nzHeading5"/>
        <w:rPr>
          <w:ins w:id="58" w:author="svcMRProcess" w:date="2015-10-30T13:54:00Z"/>
        </w:rPr>
      </w:pPr>
      <w:ins w:id="59" w:author="svcMRProcess" w:date="2015-10-30T13:54:00Z">
        <w:r>
          <w:rPr>
            <w:rStyle w:val="CharSectno"/>
          </w:rPr>
          <w:t>5</w:t>
        </w:r>
        <w:r>
          <w:t>.</w:t>
        </w:r>
        <w:r>
          <w:tab/>
          <w:t>Schedule headings in railway Acts replaced</w:t>
        </w:r>
      </w:ins>
    </w:p>
    <w:p>
      <w:pPr>
        <w:pStyle w:val="nzSubsection"/>
        <w:rPr>
          <w:ins w:id="60" w:author="svcMRProcess" w:date="2015-10-30T13:54:00Z"/>
          <w:rFonts w:eastAsia="MS Mincho"/>
        </w:rPr>
      </w:pPr>
      <w:ins w:id="61" w:author="svcMRProcess" w:date="2015-10-30T13:54:00Z">
        <w:r>
          <w:rPr>
            <w:rFonts w:eastAsia="MS Mincho"/>
          </w:rPr>
          <w:tab/>
          <w:t>(1)</w:t>
        </w:r>
        <w:r>
          <w:rPr>
            <w:rFonts w:eastAsia="MS Mincho"/>
          </w:rPr>
          <w:tab/>
          <w:t>This section amends the Acts listed in the Table.</w:t>
        </w:r>
      </w:ins>
    </w:p>
    <w:p>
      <w:pPr>
        <w:pStyle w:val="nzSubsection"/>
        <w:rPr>
          <w:ins w:id="62" w:author="svcMRProcess" w:date="2015-10-30T13:54:00Z"/>
          <w:rFonts w:eastAsia="MS Mincho"/>
        </w:rPr>
      </w:pPr>
      <w:ins w:id="63" w:author="svcMRProcess" w:date="2015-10-30T13:54: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4" w:author="svcMRProcess" w:date="2015-10-30T13:54:00Z"/>
        </w:rPr>
      </w:pPr>
      <w:ins w:id="65" w:author="svcMRProcess" w:date="2015-10-30T13:54: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6" w:author="svcMRProcess" w:date="2015-10-30T13: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 w:author="svcMRProcess" w:date="2015-10-30T13:54:00Z"/>
                <w:rFonts w:eastAsia="MS Mincho"/>
                <w:b/>
                <w:bCs/>
                <w:sz w:val="18"/>
              </w:rPr>
            </w:pPr>
            <w:ins w:id="68" w:author="svcMRProcess" w:date="2015-10-30T13:54: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 w:author="svcMRProcess" w:date="2015-10-30T13:54:00Z"/>
                <w:b/>
                <w:bCs/>
                <w:sz w:val="18"/>
              </w:rPr>
            </w:pPr>
            <w:ins w:id="70" w:author="svcMRProcess" w:date="2015-10-30T13:5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 w:author="svcMRProcess" w:date="2015-10-30T13:54:00Z"/>
                <w:b/>
                <w:bCs/>
                <w:sz w:val="18"/>
              </w:rPr>
            </w:pPr>
            <w:ins w:id="72" w:author="svcMRProcess" w:date="2015-10-30T13:54:00Z">
              <w:r>
                <w:rPr>
                  <w:b/>
                  <w:bCs/>
                  <w:sz w:val="18"/>
                </w:rPr>
                <w:t>Title</w:t>
              </w:r>
            </w:ins>
          </w:p>
          <w:p>
            <w:pPr>
              <w:pStyle w:val="TableAm"/>
              <w:spacing w:before="0"/>
              <w:jc w:val="center"/>
              <w:rPr>
                <w:ins w:id="73" w:author="svcMRProcess" w:date="2015-10-30T13:5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4" w:author="svcMRProcess" w:date="2015-10-30T13:54:00Z"/>
                <w:b/>
                <w:bCs/>
                <w:sz w:val="18"/>
              </w:rPr>
            </w:pPr>
            <w:ins w:id="75" w:author="svcMRProcess" w:date="2015-10-30T13:54:00Z">
              <w:r>
                <w:rPr>
                  <w:b/>
                  <w:bCs/>
                  <w:sz w:val="18"/>
                </w:rPr>
                <w:t>Shoulder note</w:t>
              </w:r>
            </w:ins>
          </w:p>
        </w:tc>
      </w:tr>
      <w:tr>
        <w:trPr>
          <w:ins w:id="76" w:author="svcMRProcess" w:date="2015-10-30T13:54:00Z"/>
        </w:trPr>
        <w:tc>
          <w:tcPr>
            <w:tcW w:w="2268" w:type="dxa"/>
            <w:tcBorders>
              <w:top w:val="single" w:sz="4" w:space="0" w:color="auto"/>
              <w:left w:val="single" w:sz="4" w:space="0" w:color="auto"/>
              <w:bottom w:val="single" w:sz="4" w:space="0" w:color="auto"/>
              <w:right w:val="single" w:sz="4" w:space="0" w:color="auto"/>
            </w:tcBorders>
          </w:tcPr>
          <w:p>
            <w:pPr>
              <w:pStyle w:val="TableAm"/>
              <w:keepNext/>
              <w:spacing w:before="0"/>
              <w:rPr>
                <w:ins w:id="77" w:author="svcMRProcess" w:date="2015-10-30T13:54:00Z"/>
                <w:rFonts w:eastAsia="MS Mincho"/>
                <w:iCs/>
                <w:sz w:val="18"/>
              </w:rPr>
            </w:pPr>
            <w:ins w:id="78" w:author="svcMRProcess" w:date="2015-10-30T13:54:00Z">
              <w:r>
                <w:rPr>
                  <w:rFonts w:eastAsia="MS Mincho"/>
                  <w:i/>
                  <w:iCs/>
                  <w:sz w:val="18"/>
                </w:rPr>
                <w:t>Kwinana</w:t>
              </w:r>
              <w:r>
                <w:rPr>
                  <w:rFonts w:eastAsia="MS Mincho"/>
                  <w:i/>
                  <w:iCs/>
                  <w:sz w:val="18"/>
                </w:rPr>
                <w:noBreakHyphen/>
                <w:t>Mundijong</w:t>
              </w:r>
              <w:r>
                <w:rPr>
                  <w:rFonts w:eastAsia="MS Mincho"/>
                  <w:i/>
                  <w:iCs/>
                  <w:sz w:val="18"/>
                </w:rPr>
                <w:noBreakHyphen/>
                <w:t xml:space="preserve"> Jarrahdale Railway Act 1961</w:t>
              </w:r>
            </w:ins>
          </w:p>
        </w:tc>
        <w:tc>
          <w:tcPr>
            <w:tcW w:w="1134" w:type="dxa"/>
            <w:tcBorders>
              <w:top w:val="single" w:sz="4" w:space="0" w:color="auto"/>
              <w:left w:val="single" w:sz="4" w:space="0" w:color="auto"/>
              <w:bottom w:val="single" w:sz="4" w:space="0" w:color="auto"/>
              <w:right w:val="single" w:sz="4" w:space="0" w:color="auto"/>
            </w:tcBorders>
          </w:tcPr>
          <w:p>
            <w:pPr>
              <w:pStyle w:val="TableAm"/>
              <w:keepNext/>
              <w:spacing w:before="0"/>
              <w:rPr>
                <w:ins w:id="79" w:author="svcMRProcess" w:date="2015-10-30T13:54:00Z"/>
                <w:sz w:val="18"/>
              </w:rPr>
            </w:pPr>
            <w:ins w:id="80" w:author="svcMRProcess" w:date="2015-10-30T13:5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81" w:author="svcMRProcess" w:date="2015-10-30T13:54:00Z"/>
                <w:sz w:val="18"/>
              </w:rPr>
            </w:pPr>
            <w:ins w:id="82" w:author="svcMRProcess" w:date="2015-10-30T13:54:00Z">
              <w:r>
                <w:rPr>
                  <w:rFonts w:eastAsia="MS Mincho"/>
                  <w:sz w:val="18"/>
                </w:rPr>
                <w:t xml:space="preserve">Line of Kwinana </w:t>
              </w:r>
              <w:r>
                <w:rPr>
                  <w:rFonts w:eastAsia="MS Mincho"/>
                  <w:sz w:val="18"/>
                </w:rPr>
                <w:noBreakHyphen/>
                <w:t xml:space="preserve"> Mundijong </w:t>
              </w:r>
              <w:r>
                <w:rPr>
                  <w:rFonts w:eastAsia="MS Mincho"/>
                  <w:sz w:val="18"/>
                </w:rPr>
                <w:noBreakHyphen/>
                <w:t xml:space="preserve"> Jarrahdale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83" w:author="svcMRProcess" w:date="2015-10-30T13:54:00Z"/>
                <w:rFonts w:eastAsia="MS Mincho"/>
                <w:sz w:val="18"/>
              </w:rPr>
            </w:pPr>
            <w:ins w:id="84" w:author="svcMRProcess" w:date="2015-10-30T13:54:00Z">
              <w:r>
                <w:rPr>
                  <w:rFonts w:eastAsia="MS Mincho"/>
                  <w:sz w:val="18"/>
                </w:rPr>
                <w:t>[s. 4]</w:t>
              </w:r>
            </w:ins>
          </w:p>
        </w:tc>
      </w:tr>
    </w:tbl>
    <w:p>
      <w:pPr>
        <w:pStyle w:val="BlankClose"/>
        <w:rPr>
          <w:ins w:id="85" w:author="svcMRProcess" w:date="2015-10-30T13:54: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Kwinana-Mundijong-Jarrahdale Railway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Kwinana-Mundijong-Jarrahdale Railway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Kwinana-Mundijong-Jarrahdale Railway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Kwinana-Mundijong-Jarrahdale Railway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Kwinana-Mundijong-Jarrahdale Railway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Kwinana-Mundijong-Jarrahdale Railway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Kwinana-Mundijong-Jarrahdale Railway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Kwinana-Mundijong-Jarrahdale Railway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C88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BA57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666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DE32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0CEB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56E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12C9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54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789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66D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D32FD7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4157</Characters>
  <Application>Microsoft Office Word</Application>
  <DocSecurity>0</DocSecurity>
  <Lines>143</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4933</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Act 1961 01-a0-03 - 01-b0-01</dc:title>
  <dc:subject/>
  <dc:creator/>
  <cp:keywords/>
  <dc:description/>
  <cp:lastModifiedBy>svcMRProcess</cp:lastModifiedBy>
  <cp:revision>2</cp:revision>
  <cp:lastPrinted>2007-06-15T03:02:00Z</cp:lastPrinted>
  <dcterms:created xsi:type="dcterms:W3CDTF">2015-10-30T05:54:00Z</dcterms:created>
  <dcterms:modified xsi:type="dcterms:W3CDTF">2015-10-30T05:54:00Z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06 Jul 2007</vt:lpwstr>
  </property>
  <property fmtid="{D5CDD505-2E9C-101B-9397-08002B2CF9AE}" pid="9" name="ToSuffix">
    <vt:lpwstr>01-b0-01</vt:lpwstr>
  </property>
  <property fmtid="{D5CDD505-2E9C-101B-9397-08002B2CF9AE}" pid="10" name="ToAsAtDate">
    <vt:lpwstr>28 Jun 2010</vt:lpwstr>
  </property>
</Properties>
</file>