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Privileges Act 1891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02-b0-08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Parliamentary Privileges Act 1891 </w:t>
      </w:r>
    </w:p>
    <w:p>
      <w:pPr>
        <w:pStyle w:val="LongTitle"/>
        <w:rPr>
          <w:snapToGrid w:val="0"/>
        </w:rPr>
      </w:pPr>
      <w:r>
        <w:rPr>
          <w:snapToGrid w:val="0"/>
        </w:rPr>
        <w:t>A</w:t>
      </w:r>
      <w:bookmarkStart w:id="0" w:name="_GoBack"/>
      <w:bookmarkEnd w:id="0"/>
      <w:r>
        <w:rPr>
          <w:snapToGrid w:val="0"/>
        </w:rPr>
        <w:t xml:space="preserve">n Act for defining the privileges, immunities, and powers of the Legislative Council and Legislative Assembly of Western Australia, respectively. </w:t>
      </w:r>
    </w:p>
    <w:p>
      <w:pPr>
        <w:pStyle w:val="Preamble1"/>
        <w:rPr>
          <w:snapToGrid w:val="0"/>
        </w:rPr>
      </w:pPr>
      <w:r>
        <w:rPr>
          <w:snapToGrid w:val="0"/>
        </w:rPr>
        <w:t>Preamble</w:t>
      </w:r>
    </w:p>
    <w:p>
      <w:pPr>
        <w:pStyle w:val="Preamble2"/>
      </w:pPr>
      <w:r>
        <w:t xml:space="preserve">Whereas by the </w:t>
      </w:r>
      <w:r>
        <w:rPr>
          <w:i/>
        </w:rPr>
        <w:t>Constitution Act 1889</w:t>
      </w:r>
      <w:r>
        <w:t xml:space="preserve"> it is enacted that it is lawful for the Parliament of the State by any Act to define the privileges, immunities, and powers to be held, enjoyed, and exercised by the Legislative Council and Legislative Assembly and by their members:</w:t>
      </w:r>
    </w:p>
    <w:p>
      <w:pPr>
        <w:pStyle w:val="Preamble2"/>
      </w:pPr>
      <w:r>
        <w:t xml:space="preserve">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Footnotepreamble"/>
      </w:pPr>
      <w:r>
        <w:tab/>
        <w:t>[Preamble amended by No. 41 of 2004 s. 6.]</w:t>
      </w:r>
    </w:p>
    <w:p>
      <w:pPr>
        <w:pStyle w:val="Heading5"/>
      </w:pPr>
      <w:bookmarkStart w:id="1" w:name="_Toc104713804"/>
      <w:bookmarkStart w:id="2" w:name="_Toc267664976"/>
      <w:bookmarkStart w:id="3" w:name="_Toc204575065"/>
      <w:bookmarkStart w:id="4" w:name="_Toc41879885"/>
      <w:r>
        <w:rPr>
          <w:rStyle w:val="CharSectno"/>
        </w:rPr>
        <w:t>1</w:t>
      </w:r>
      <w:r>
        <w:t>.</w:t>
      </w:r>
      <w:r>
        <w:tab/>
        <w:t>Privileges, immunities and powers of Council and Assembly</w:t>
      </w:r>
      <w:bookmarkEnd w:id="1"/>
      <w:bookmarkEnd w:id="2"/>
      <w:bookmarkEnd w:id="3"/>
    </w:p>
    <w:p>
      <w:pPr>
        <w:pStyle w:val="Subsection"/>
      </w:pPr>
      <w:r>
        <w:tab/>
      </w:r>
      <w:r>
        <w:tab/>
        <w:t xml:space="preserve">The Legislative Council and Legislative Assembly of Western Australia, and their members and committees, have and may exercise — </w:t>
      </w:r>
    </w:p>
    <w:p>
      <w:pPr>
        <w:pStyle w:val="Indenta"/>
      </w:pPr>
      <w:r>
        <w:tab/>
        <w:t>(a)</w:t>
      </w:r>
      <w:r>
        <w:tab/>
        <w:t>the privileges, immunities and powers set out in this Act; and</w:t>
      </w:r>
    </w:p>
    <w:p>
      <w:pPr>
        <w:pStyle w:val="Indenta"/>
      </w:pPr>
      <w:r>
        <w:tab/>
        <w:t>(b)</w:t>
      </w:r>
      <w:r>
        <w:tab/>
        <w:t>to the extent that they are not inconsistent with this Act, the privileges, immunities and powers by custom, statute or otherwise of the Commons House of Parliament of the United Kingdom and its members and committees as at 1 January 1989.</w:t>
      </w:r>
    </w:p>
    <w:p>
      <w:pPr>
        <w:pStyle w:val="Footnotesection"/>
      </w:pPr>
      <w:r>
        <w:tab/>
        <w:t>[Section 1 amended by No. 41 of 2004 s. 7.]</w:t>
      </w:r>
    </w:p>
    <w:p>
      <w:pPr>
        <w:pStyle w:val="Heading5"/>
        <w:rPr>
          <w:snapToGrid w:val="0"/>
        </w:rPr>
      </w:pPr>
      <w:bookmarkStart w:id="5" w:name="_Toc104713805"/>
      <w:bookmarkStart w:id="6" w:name="_Toc267664977"/>
      <w:bookmarkStart w:id="7" w:name="_Toc204575066"/>
      <w:r>
        <w:rPr>
          <w:rStyle w:val="CharSectno"/>
        </w:rPr>
        <w:t>2</w:t>
      </w:r>
      <w:r>
        <w:rPr>
          <w:snapToGrid w:val="0"/>
        </w:rPr>
        <w:t>.</w:t>
      </w:r>
      <w:r>
        <w:rPr>
          <w:snapToGrid w:val="0"/>
        </w:rPr>
        <w:tab/>
        <w:t>Printed copies of journals of House of Commons to be evidence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Subject to the provisions of this Act, any copy of the journals of the House of Commons printed, or purporting to be printed by the order or printer of the House of Commons, shall be received as </w:t>
      </w:r>
      <w:r>
        <w:rPr>
          <w:i/>
          <w:snapToGrid w:val="0"/>
        </w:rPr>
        <w:t>prima facie</w:t>
      </w:r>
      <w:r>
        <w:rPr>
          <w:snapToGrid w:val="0"/>
        </w:rPr>
        <w:t xml:space="preserve"> evidence without proof of its being such copy, upon any inquiry touching the privileges, immunities, and powers of the said Council or Assembly, or of any Committee or member thereof respectively.</w:t>
      </w:r>
    </w:p>
    <w:p>
      <w:pPr>
        <w:pStyle w:val="Heading5"/>
        <w:rPr>
          <w:snapToGrid w:val="0"/>
        </w:rPr>
      </w:pPr>
      <w:bookmarkStart w:id="8" w:name="_Toc41879886"/>
      <w:bookmarkStart w:id="9" w:name="_Toc104713806"/>
      <w:bookmarkStart w:id="10" w:name="_Toc267664978"/>
      <w:bookmarkStart w:id="11" w:name="_Toc204575067"/>
      <w:r>
        <w:rPr>
          <w:rStyle w:val="CharSectno"/>
        </w:rPr>
        <w:t>3</w:t>
      </w:r>
      <w:r>
        <w:rPr>
          <w:snapToGrid w:val="0"/>
        </w:rPr>
        <w:t>.</w:t>
      </w:r>
      <w:r>
        <w:rPr>
          <w:snapToGrid w:val="0"/>
        </w:rPr>
        <w:tab/>
        <w:t>Designation of Legislature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The Legislature of Western Australia shall be and is hereby designated ‘The Parliament of Western Australia’.</w:t>
      </w:r>
    </w:p>
    <w:p>
      <w:pPr>
        <w:pStyle w:val="Heading5"/>
        <w:rPr>
          <w:snapToGrid w:val="0"/>
        </w:rPr>
      </w:pPr>
      <w:bookmarkStart w:id="12" w:name="_Toc41879887"/>
      <w:bookmarkStart w:id="13" w:name="_Toc104713807"/>
      <w:bookmarkStart w:id="14" w:name="_Toc267664979"/>
      <w:bookmarkStart w:id="15" w:name="_Toc204575068"/>
      <w:r>
        <w:rPr>
          <w:rStyle w:val="CharSectno"/>
        </w:rPr>
        <w:t>4</w:t>
      </w:r>
      <w:r>
        <w:rPr>
          <w:snapToGrid w:val="0"/>
        </w:rPr>
        <w:t>.</w:t>
      </w:r>
      <w:r>
        <w:rPr>
          <w:snapToGrid w:val="0"/>
        </w:rPr>
        <w:tab/>
        <w:t>Power to order the attendance of persons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Each House of the Parliament of the said Colony, and any Committee of either House, duly authorised by the House to send for persons and papers, may order any person to attend before the House or before such Committee, as the case may be, and also to produce to such House or Committee any paper, book, record, or other document in the possession or power of such person.</w:t>
      </w:r>
    </w:p>
    <w:p>
      <w:pPr>
        <w:pStyle w:val="Heading5"/>
        <w:rPr>
          <w:snapToGrid w:val="0"/>
        </w:rPr>
      </w:pPr>
      <w:bookmarkStart w:id="16" w:name="_Toc41879888"/>
      <w:bookmarkStart w:id="17" w:name="_Toc104713808"/>
      <w:bookmarkStart w:id="18" w:name="_Toc267664980"/>
      <w:bookmarkStart w:id="19" w:name="_Toc204575069"/>
      <w:r>
        <w:rPr>
          <w:rStyle w:val="CharSectno"/>
        </w:rPr>
        <w:t>5</w:t>
      </w:r>
      <w:r>
        <w:rPr>
          <w:snapToGrid w:val="0"/>
        </w:rPr>
        <w:t>.</w:t>
      </w:r>
      <w:r>
        <w:rPr>
          <w:snapToGrid w:val="0"/>
        </w:rPr>
        <w:tab/>
        <w:t>Order to attend to be notified by summons</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Any such order to attend or to produce documents before either House shall be notified to the person required to attend or to produce documents by a summons under the hand of the President or Speaker as the case may be, and any such order to attend or to produce documents before any such Committee shall be notified to the person required to attend or to produce documents by a summons under the hand of the Clerk of the House authorised by the Chairman of the Committee.</w:t>
      </w:r>
    </w:p>
    <w:p>
      <w:pPr>
        <w:pStyle w:val="Subsection"/>
        <w:rPr>
          <w:snapToGrid w:val="0"/>
        </w:rPr>
      </w:pPr>
      <w:r>
        <w:rPr>
          <w:snapToGrid w:val="0"/>
        </w:rPr>
        <w:tab/>
      </w:r>
      <w:r>
        <w:rPr>
          <w:snapToGrid w:val="0"/>
        </w:rPr>
        <w:tab/>
        <w:t>And in every such summons shall be stated the time and place when and where the person summoned is to attend, and the particular documents which he is required to produce.</w:t>
      </w:r>
    </w:p>
    <w:p>
      <w:pPr>
        <w:pStyle w:val="Subsection"/>
        <w:rPr>
          <w:snapToGrid w:val="0"/>
        </w:rPr>
      </w:pPr>
      <w:r>
        <w:rPr>
          <w:snapToGrid w:val="0"/>
        </w:rPr>
        <w:tab/>
      </w:r>
      <w:r>
        <w:rPr>
          <w:snapToGrid w:val="0"/>
        </w:rPr>
        <w:tab/>
        <w:t>And such summons shall be served on the person mentioned therein, either by delivering to him a correct copy of such summons, or by leaving a correct copy of the same with some adult person at his usual or last known place of abode in the Colony.</w:t>
      </w:r>
    </w:p>
    <w:p>
      <w:pPr>
        <w:pStyle w:val="Subsection"/>
        <w:rPr>
          <w:snapToGrid w:val="0"/>
        </w:rPr>
      </w:pPr>
      <w:r>
        <w:rPr>
          <w:snapToGrid w:val="0"/>
        </w:rPr>
        <w:tab/>
      </w:r>
      <w:r>
        <w:rPr>
          <w:snapToGrid w:val="0"/>
        </w:rPr>
        <w:tab/>
        <w:t>And there shall be paid or tendered to the person so summoned a reasonable sum for his expenses of attendance.</w:t>
      </w:r>
    </w:p>
    <w:p>
      <w:pPr>
        <w:pStyle w:val="Heading5"/>
        <w:rPr>
          <w:snapToGrid w:val="0"/>
        </w:rPr>
      </w:pPr>
      <w:bookmarkStart w:id="20" w:name="_Toc41879889"/>
      <w:bookmarkStart w:id="21" w:name="_Toc104713809"/>
      <w:bookmarkStart w:id="22" w:name="_Toc267664981"/>
      <w:bookmarkStart w:id="23" w:name="_Toc204575070"/>
      <w:r>
        <w:rPr>
          <w:rStyle w:val="CharSectno"/>
        </w:rPr>
        <w:t>6</w:t>
      </w:r>
      <w:r>
        <w:rPr>
          <w:snapToGrid w:val="0"/>
        </w:rPr>
        <w:t>.</w:t>
      </w:r>
      <w:r>
        <w:rPr>
          <w:snapToGrid w:val="0"/>
        </w:rPr>
        <w:tab/>
        <w:t>Attendance of members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A member of either House may be ordered by the House of which he is a member to attend before either House, or before any Committee of either House, without summons.</w:t>
      </w:r>
    </w:p>
    <w:p>
      <w:pPr>
        <w:pStyle w:val="Heading5"/>
        <w:rPr>
          <w:snapToGrid w:val="0"/>
        </w:rPr>
      </w:pPr>
      <w:bookmarkStart w:id="24" w:name="_Toc41879890"/>
      <w:bookmarkStart w:id="25" w:name="_Toc104713810"/>
      <w:bookmarkStart w:id="26" w:name="_Toc267664982"/>
      <w:bookmarkStart w:id="27" w:name="_Toc204575071"/>
      <w:r>
        <w:rPr>
          <w:rStyle w:val="CharSectno"/>
        </w:rPr>
        <w:t>7</w:t>
      </w:r>
      <w:r>
        <w:rPr>
          <w:snapToGrid w:val="0"/>
        </w:rPr>
        <w:t>.</w:t>
      </w:r>
      <w:r>
        <w:rPr>
          <w:snapToGrid w:val="0"/>
        </w:rPr>
        <w:tab/>
        <w:t>Objection to answer questions or produce documents to be reported to the House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If any person ordered to attend or produce any paper, book, record, or other document to either House, or to any Committee of either House, shall object to answer any question that may be put to him, or to produce any such paper, book, record, or other document on the ground that the same is of a private nature and does not affect the subject of inquiry, the President, or Speaker, or Chairman of the Committee, as the case may be, shall report such refusal, with the reason thereof, to the House, who shall thereupon excuse the answering of such question, or the production of such paper, book, record, or other document, or order the answering or production thereof, as the circumstances of the case may require.</w:t>
      </w:r>
    </w:p>
    <w:p>
      <w:pPr>
        <w:pStyle w:val="Heading5"/>
        <w:rPr>
          <w:snapToGrid w:val="0"/>
        </w:rPr>
      </w:pPr>
      <w:bookmarkStart w:id="28" w:name="_Toc41879891"/>
      <w:bookmarkStart w:id="29" w:name="_Toc104713811"/>
      <w:bookmarkStart w:id="30" w:name="_Toc267664983"/>
      <w:bookmarkStart w:id="31" w:name="_Toc204575072"/>
      <w:r>
        <w:rPr>
          <w:rStyle w:val="CharSectno"/>
        </w:rPr>
        <w:t>8</w:t>
      </w:r>
      <w:r>
        <w:rPr>
          <w:snapToGrid w:val="0"/>
        </w:rPr>
        <w:t>.</w:t>
      </w:r>
      <w:r>
        <w:rPr>
          <w:snapToGrid w:val="0"/>
        </w:rPr>
        <w:tab/>
        <w:t>Houses empowered to punish summarily for certain contempts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Each House of the said Parliament is hereby empowered to punish in a summary manner as for contempt by fine according to the Standing Orders of either House, and in the event of such fine not being immediately paid, by imprisonment in the custody of its own officer in such place within the Colony as the House may direct until such fine shall have been paid, or until the end of the then existing session or any portion thereof, any of the offences hereinafter enumerated whether committed by a member of the House or by any other person — </w:t>
      </w:r>
    </w:p>
    <w:p>
      <w:pPr>
        <w:pStyle w:val="Indenta"/>
        <w:rPr>
          <w:snapToGrid w:val="0"/>
        </w:rPr>
      </w:pPr>
      <w:r>
        <w:rPr>
          <w:snapToGrid w:val="0"/>
        </w:rPr>
        <w:tab/>
      </w:r>
      <w:r>
        <w:rPr>
          <w:snapToGrid w:val="0"/>
        </w:rPr>
        <w:tab/>
        <w:t>Disobedience to any order of either House or of any Committee duly authorised in that behalf to attend or to produce papers, books, records, or other documents, before the House or such Committee, unless excused by the House in manner aforesaid.</w:t>
      </w:r>
    </w:p>
    <w:p>
      <w:pPr>
        <w:pStyle w:val="Indenta"/>
        <w:rPr>
          <w:snapToGrid w:val="0"/>
        </w:rPr>
      </w:pPr>
      <w:r>
        <w:rPr>
          <w:snapToGrid w:val="0"/>
        </w:rPr>
        <w:tab/>
      </w:r>
      <w:r>
        <w:rPr>
          <w:snapToGrid w:val="0"/>
        </w:rPr>
        <w:tab/>
        <w:t>Refusing to be examined before, or to answer any lawful and relevant question put by the House or any such Committee, unless excused by the House in manner aforesaid.</w:t>
      </w:r>
    </w:p>
    <w:p>
      <w:pPr>
        <w:pStyle w:val="Indenta"/>
        <w:rPr>
          <w:snapToGrid w:val="0"/>
        </w:rPr>
      </w:pPr>
      <w:r>
        <w:rPr>
          <w:snapToGrid w:val="0"/>
        </w:rPr>
        <w:tab/>
      </w:r>
      <w:r>
        <w:rPr>
          <w:snapToGrid w:val="0"/>
        </w:rPr>
        <w:tab/>
        <w:t>The assaulting, obstructing, or insulting any member in his coming to or going from the House, or on account of his behaviour in Parliament or endeavouring to compel any member by force, insult, or menace to declare himself in favour of or against any proposition or matter depending or expected to be brought before either House.</w:t>
      </w:r>
    </w:p>
    <w:p>
      <w:pPr>
        <w:pStyle w:val="Indenta"/>
        <w:rPr>
          <w:snapToGrid w:val="0"/>
        </w:rPr>
      </w:pPr>
      <w:r>
        <w:rPr>
          <w:snapToGrid w:val="0"/>
        </w:rPr>
        <w:tab/>
      </w:r>
      <w:r>
        <w:rPr>
          <w:snapToGrid w:val="0"/>
        </w:rPr>
        <w:tab/>
        <w:t>The sending to a member any threatening letter on account of his behaviour in Parliament.</w:t>
      </w:r>
    </w:p>
    <w:p>
      <w:pPr>
        <w:pStyle w:val="Indenta"/>
        <w:rPr>
          <w:snapToGrid w:val="0"/>
        </w:rPr>
      </w:pPr>
      <w:r>
        <w:rPr>
          <w:snapToGrid w:val="0"/>
        </w:rPr>
        <w:tab/>
      </w:r>
      <w:r>
        <w:rPr>
          <w:snapToGrid w:val="0"/>
        </w:rPr>
        <w:tab/>
        <w:t>The sending a challenge to fight a member.</w:t>
      </w:r>
    </w:p>
    <w:p>
      <w:pPr>
        <w:pStyle w:val="Indenta"/>
        <w:rPr>
          <w:snapToGrid w:val="0"/>
        </w:rPr>
      </w:pPr>
      <w:r>
        <w:rPr>
          <w:snapToGrid w:val="0"/>
        </w:rPr>
        <w:tab/>
      </w:r>
      <w:r>
        <w:rPr>
          <w:snapToGrid w:val="0"/>
        </w:rPr>
        <w:tab/>
        <w:t>The offering of a bribe to, or attempting to bribe a member.</w:t>
      </w:r>
    </w:p>
    <w:p>
      <w:pPr>
        <w:pStyle w:val="Indenta"/>
        <w:rPr>
          <w:snapToGrid w:val="0"/>
        </w:rPr>
      </w:pPr>
      <w:r>
        <w:rPr>
          <w:snapToGrid w:val="0"/>
        </w:rPr>
        <w:tab/>
      </w:r>
      <w:r>
        <w:rPr>
          <w:snapToGrid w:val="0"/>
        </w:rPr>
        <w:tab/>
        <w:t>The creating or joining in any disturbance in the House, or in the vicinity of the House while the same is sitting, whereby the proceedings of such House may be interrupted.</w:t>
      </w:r>
    </w:p>
    <w:p>
      <w:pPr>
        <w:pStyle w:val="Heading5"/>
        <w:rPr>
          <w:snapToGrid w:val="0"/>
        </w:rPr>
      </w:pPr>
      <w:bookmarkStart w:id="32" w:name="_Toc41879892"/>
      <w:bookmarkStart w:id="33" w:name="_Toc104713812"/>
      <w:bookmarkStart w:id="34" w:name="_Toc267664984"/>
      <w:bookmarkStart w:id="35" w:name="_Toc204575073"/>
      <w:r>
        <w:rPr>
          <w:rStyle w:val="CharSectno"/>
        </w:rPr>
        <w:t>9</w:t>
      </w:r>
      <w:r>
        <w:rPr>
          <w:snapToGrid w:val="0"/>
        </w:rPr>
        <w:t>.</w:t>
      </w:r>
      <w:r>
        <w:rPr>
          <w:snapToGrid w:val="0"/>
        </w:rPr>
        <w:tab/>
        <w:t>President or Speaker to issue warrant</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 of punishing any of the contempts aforesaid, the President or Speaker, as the case may be, is hereby empowered upon the resolution in that behalf of the House to issue his warrant under his hand for the apprehension and imprisonment as aforesaid of any person adjudged by the House guilty of any such contempt, if such fine shall not have been paid as aforesaid.</w:t>
      </w:r>
    </w:p>
    <w:p>
      <w:pPr>
        <w:pStyle w:val="Heading5"/>
        <w:rPr>
          <w:snapToGrid w:val="0"/>
        </w:rPr>
      </w:pPr>
      <w:bookmarkStart w:id="36" w:name="_Toc41879893"/>
      <w:bookmarkStart w:id="37" w:name="_Toc104713813"/>
      <w:bookmarkStart w:id="38" w:name="_Toc267664985"/>
      <w:bookmarkStart w:id="39" w:name="_Toc204575074"/>
      <w:r>
        <w:rPr>
          <w:rStyle w:val="CharSectno"/>
        </w:rPr>
        <w:t>10</w:t>
      </w:r>
      <w:r>
        <w:rPr>
          <w:snapToGrid w:val="0"/>
        </w:rPr>
        <w:t>.</w:t>
      </w:r>
      <w:r>
        <w:rPr>
          <w:snapToGrid w:val="0"/>
        </w:rPr>
        <w:tab/>
        <w:t>Persons disturbing proceedings of House may be arrested without warrant</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Any person creating or joining in any disturbances in the House during its actual sitting may be apprehended without warrant on the verbal order of the President or Speaker as the case may be, and may be kept in the custody of the officer of the House until a warrant can be made out for the imprisonment of such person in the manner aforesaid.</w:t>
      </w:r>
    </w:p>
    <w:p>
      <w:pPr>
        <w:pStyle w:val="Heading5"/>
        <w:rPr>
          <w:snapToGrid w:val="0"/>
        </w:rPr>
      </w:pPr>
      <w:bookmarkStart w:id="40" w:name="_Toc41879894"/>
      <w:bookmarkStart w:id="41" w:name="_Toc104713814"/>
      <w:bookmarkStart w:id="42" w:name="_Toc267664986"/>
      <w:bookmarkStart w:id="43" w:name="_Toc204575075"/>
      <w:r>
        <w:rPr>
          <w:rStyle w:val="CharSectno"/>
        </w:rPr>
        <w:t>11</w:t>
      </w:r>
      <w:r>
        <w:rPr>
          <w:snapToGrid w:val="0"/>
        </w:rPr>
        <w:t>.</w:t>
      </w:r>
      <w:r>
        <w:rPr>
          <w:snapToGrid w:val="0"/>
        </w:rPr>
        <w:tab/>
        <w:t>Form of warrant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Every such warrant shall contain a statement that the person therein mentioned has been adjudged guilty of contempt by the House, the President or Speaker whereof shall have issued the same, specifying the nature of such contempt in the words of this Act defining the same, or in equivalent words.</w:t>
      </w:r>
    </w:p>
    <w:p>
      <w:pPr>
        <w:pStyle w:val="Subsection"/>
        <w:rPr>
          <w:snapToGrid w:val="0"/>
        </w:rPr>
      </w:pPr>
      <w:r>
        <w:rPr>
          <w:snapToGrid w:val="0"/>
        </w:rPr>
        <w:tab/>
      </w:r>
      <w:r>
        <w:rPr>
          <w:snapToGrid w:val="0"/>
        </w:rPr>
        <w:tab/>
        <w:t>And every warrant shall be sufficient from which it can be reasonably collected that the person mentioned therein has been adjudged guilty of any of the contempts aforesaid, and no particular form shall be necessary to be observed in such warrant.</w:t>
      </w:r>
    </w:p>
    <w:p>
      <w:pPr>
        <w:pStyle w:val="Heading5"/>
        <w:rPr>
          <w:snapToGrid w:val="0"/>
        </w:rPr>
      </w:pPr>
      <w:bookmarkStart w:id="44" w:name="_Toc41879895"/>
      <w:bookmarkStart w:id="45" w:name="_Toc104713815"/>
      <w:bookmarkStart w:id="46" w:name="_Toc267664987"/>
      <w:bookmarkStart w:id="47" w:name="_Toc204575076"/>
      <w:r>
        <w:rPr>
          <w:rStyle w:val="CharSectno"/>
        </w:rPr>
        <w:t>12</w:t>
      </w:r>
      <w:r>
        <w:rPr>
          <w:snapToGrid w:val="0"/>
        </w:rPr>
        <w:t>.</w:t>
      </w:r>
      <w:r>
        <w:rPr>
          <w:snapToGrid w:val="0"/>
        </w:rPr>
        <w:tab/>
        <w:t>Sheriff’s officers, constables and others to assist in execution of warrant or verbal order</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Sheriff and his officers, and all constables and other persons, are hereby required to assist in the apprehension and detention of any person in pursuance of the verbal order as aforesaid of the President or Speaker, as the case may be, and also to be aiding and assisting in the execution of any such warrant as aforesaid.</w:t>
      </w:r>
    </w:p>
    <w:p>
      <w:pPr>
        <w:pStyle w:val="Subsection"/>
        <w:rPr>
          <w:snapToGrid w:val="0"/>
        </w:rPr>
      </w:pPr>
      <w:r>
        <w:rPr>
          <w:snapToGrid w:val="0"/>
        </w:rPr>
        <w:tab/>
      </w:r>
      <w:r>
        <w:rPr>
          <w:snapToGrid w:val="0"/>
        </w:rPr>
        <w:tab/>
        <w:t>And where any such warrant directs that the person mentioned therein shall be imprisoned in any gaol, the keeper thereof is hereby required to receive such person into his custody in the said gaol, and there to imprison him according to the tenor of the warrant.</w:t>
      </w:r>
    </w:p>
    <w:p>
      <w:pPr>
        <w:pStyle w:val="Heading5"/>
        <w:rPr>
          <w:snapToGrid w:val="0"/>
        </w:rPr>
      </w:pPr>
      <w:bookmarkStart w:id="48" w:name="_Toc41879896"/>
      <w:bookmarkStart w:id="49" w:name="_Toc104713816"/>
      <w:bookmarkStart w:id="50" w:name="_Toc267664988"/>
      <w:bookmarkStart w:id="51" w:name="_Toc204575077"/>
      <w:r>
        <w:rPr>
          <w:rStyle w:val="CharSectno"/>
        </w:rPr>
        <w:t>13</w:t>
      </w:r>
      <w:r>
        <w:rPr>
          <w:snapToGrid w:val="0"/>
        </w:rPr>
        <w:t>.</w:t>
      </w:r>
      <w:r>
        <w:rPr>
          <w:snapToGrid w:val="0"/>
        </w:rPr>
        <w:tab/>
        <w:t>Doors may be broken open in executing a warrant</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It shall be lawful for any person charged with, or assisting in the execution of any warrant under the hand of the President or Speaker issued under the authority of this Act, to break open in the daytime all doors of places where the person for whose apprehension such warrant was issued is concealed.</w:t>
      </w:r>
    </w:p>
    <w:p>
      <w:pPr>
        <w:pStyle w:val="Heading5"/>
        <w:rPr>
          <w:snapToGrid w:val="0"/>
        </w:rPr>
      </w:pPr>
      <w:bookmarkStart w:id="52" w:name="_Toc41879897"/>
      <w:bookmarkStart w:id="53" w:name="_Toc104713817"/>
      <w:bookmarkStart w:id="54" w:name="_Toc267664989"/>
      <w:bookmarkStart w:id="55" w:name="_Toc204575078"/>
      <w:r>
        <w:rPr>
          <w:rStyle w:val="CharSectno"/>
        </w:rPr>
        <w:t>14</w:t>
      </w:r>
      <w:r>
        <w:rPr>
          <w:snapToGrid w:val="0"/>
        </w:rPr>
        <w:t>.</w:t>
      </w:r>
      <w:r>
        <w:rPr>
          <w:snapToGrid w:val="0"/>
        </w:rPr>
        <w:tab/>
        <w:t>House may direct Attorney General to prosecute instead of proceeding summarily</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publishing of any false or scandalous libel of any member touching his conduct as a member by any person other than a member is hereby declared to be a crime.</w:t>
      </w:r>
    </w:p>
    <w:p>
      <w:pPr>
        <w:pStyle w:val="Subsection"/>
        <w:rPr>
          <w:snapToGrid w:val="0"/>
        </w:rPr>
      </w:pPr>
      <w:r>
        <w:rPr>
          <w:snapToGrid w:val="0"/>
        </w:rPr>
        <w:tab/>
      </w:r>
      <w:r>
        <w:rPr>
          <w:snapToGrid w:val="0"/>
        </w:rPr>
        <w:tab/>
        <w:t>And it shall be lawful for either House to direct the Attorney General to prosecute before the Supreme Court any such person committing any such crime.</w:t>
      </w:r>
    </w:p>
    <w:p>
      <w:pPr>
        <w:pStyle w:val="Subsection"/>
        <w:rPr>
          <w:snapToGrid w:val="0"/>
        </w:rPr>
      </w:pPr>
      <w:r>
        <w:rPr>
          <w:snapToGrid w:val="0"/>
        </w:rPr>
        <w:tab/>
      </w:r>
      <w:r>
        <w:rPr>
          <w:snapToGrid w:val="0"/>
        </w:rPr>
        <w:tab/>
        <w:t>And any such person convicted before the said Court of any such crime shall be liable to imprisonment for any period not exceeding 2 years, or to a fine not exceeding $200 or to both such punishments.</w:t>
      </w:r>
    </w:p>
    <w:p>
      <w:pPr>
        <w:pStyle w:val="Footnotesection"/>
      </w:pPr>
      <w:r>
        <w:tab/>
        <w:t>[Section 14 amended by No. 70 of 2004 s. 82.]</w:t>
      </w:r>
    </w:p>
    <w:p>
      <w:pPr>
        <w:pStyle w:val="Heading5"/>
        <w:rPr>
          <w:snapToGrid w:val="0"/>
        </w:rPr>
      </w:pPr>
      <w:bookmarkStart w:id="56" w:name="_Toc41879898"/>
      <w:bookmarkStart w:id="57" w:name="_Toc104713818"/>
      <w:bookmarkStart w:id="58" w:name="_Toc267664990"/>
      <w:bookmarkStart w:id="59" w:name="_Toc204575079"/>
      <w:r>
        <w:rPr>
          <w:rStyle w:val="CharSectno"/>
        </w:rPr>
        <w:t>15</w:t>
      </w:r>
      <w:r>
        <w:rPr>
          <w:snapToGrid w:val="0"/>
        </w:rPr>
        <w:t>.</w:t>
      </w:r>
      <w:r>
        <w:rPr>
          <w:snapToGrid w:val="0"/>
        </w:rPr>
        <w:tab/>
        <w:t>House may direct Attorney General to prosecute for other contempts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It shall be lawful for either House to direct the Attorney General to prosecute before the Supreme Court any such person guilty of any other contempt against the House which is punishable by law.</w:t>
      </w:r>
    </w:p>
    <w:p>
      <w:pPr>
        <w:pStyle w:val="Ednotesection"/>
      </w:pPr>
      <w:r>
        <w:t>[</w:t>
      </w:r>
      <w:r>
        <w:rPr>
          <w:b/>
        </w:rPr>
        <w:t>16.</w:t>
      </w:r>
      <w:r>
        <w:tab/>
        <w:t xml:space="preserve">Deleted by 1 &amp; 2 Edw. VII. No. 14 s. 3(2).] </w:t>
      </w:r>
    </w:p>
    <w:p>
      <w:pPr>
        <w:pStyle w:val="Heading5"/>
        <w:rPr>
          <w:snapToGrid w:val="0"/>
        </w:rPr>
      </w:pPr>
      <w:bookmarkStart w:id="60" w:name="_Toc41879899"/>
      <w:bookmarkStart w:id="61" w:name="_Toc104713819"/>
      <w:bookmarkStart w:id="62" w:name="_Toc267664991"/>
      <w:bookmarkStart w:id="63" w:name="_Toc204575080"/>
      <w:r>
        <w:rPr>
          <w:rStyle w:val="CharSectno"/>
        </w:rPr>
        <w:t>17</w:t>
      </w:r>
      <w:r>
        <w:rPr>
          <w:snapToGrid w:val="0"/>
        </w:rPr>
        <w:t>.</w:t>
      </w:r>
      <w:r>
        <w:rPr>
          <w:snapToGrid w:val="0"/>
        </w:rPr>
        <w:tab/>
        <w:t>Short title</w:t>
      </w:r>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Privileges Act 1891</w:t>
      </w:r>
      <w:r>
        <w:rPr>
          <w:snapToGrid w:val="0"/>
          <w:vertAlign w:val="superscript"/>
        </w:rPr>
        <w:t> 1</w:t>
      </w:r>
      <w:r>
        <w:rPr>
          <w:snapToGrid w:val="0"/>
        </w:rPr>
        <w:t>.</w:t>
      </w:r>
    </w:p>
    <w:p>
      <w:pPr>
        <w:pStyle w:val="Footnotesection"/>
      </w:pPr>
      <w:r>
        <w:tab/>
        <w:t xml:space="preserve">[Section 17 inserted by No. 81 of 1966 s. 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64" w:name="UpToHere"/>
      <w:bookmarkStart w:id="65" w:name="_Toc87417059"/>
      <w:bookmarkStart w:id="66" w:name="_Toc87417119"/>
      <w:bookmarkStart w:id="67" w:name="_Toc87672439"/>
      <w:bookmarkStart w:id="68" w:name="_Toc90869393"/>
      <w:bookmarkStart w:id="69" w:name="_Toc104713820"/>
      <w:bookmarkStart w:id="70" w:name="_Toc204575081"/>
      <w:bookmarkStart w:id="71" w:name="_Toc267664992"/>
      <w:bookmarkEnd w:id="64"/>
      <w:r>
        <w:t>Notes</w:t>
      </w:r>
      <w:bookmarkEnd w:id="65"/>
      <w:bookmarkEnd w:id="66"/>
      <w:bookmarkEnd w:id="67"/>
      <w:bookmarkEnd w:id="68"/>
      <w:bookmarkEnd w:id="69"/>
      <w:bookmarkEnd w:id="70"/>
      <w:bookmarkEnd w:id="71"/>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Parliamentary Privileges Act 1891</w:t>
      </w:r>
      <w:r>
        <w:rPr>
          <w:snapToGrid w:val="0"/>
        </w:rPr>
        <w:t xml:space="preserve"> and includes the amendments made by the other written laws referred to in the following table</w:t>
      </w:r>
      <w:ins w:id="72" w:author="svcMRProcess" w:date="2015-12-12T00:38:00Z">
        <w:r>
          <w:rPr>
            <w:snapToGrid w:val="0"/>
            <w:vertAlign w:val="superscript"/>
          </w:rPr>
          <w:t> 1a</w:t>
        </w:r>
      </w:ins>
      <w:r>
        <w:rPr>
          <w:snapToGrid w:val="0"/>
        </w:rPr>
        <w:t>.  The table also contains information about any reprint.</w:t>
      </w:r>
    </w:p>
    <w:p>
      <w:pPr>
        <w:pStyle w:val="nHeading3"/>
        <w:rPr>
          <w:snapToGrid w:val="0"/>
        </w:rPr>
      </w:pPr>
      <w:bookmarkStart w:id="73" w:name="_Toc104713821"/>
      <w:bookmarkStart w:id="74" w:name="_Toc267664993"/>
      <w:bookmarkStart w:id="75" w:name="_Toc204575082"/>
      <w:r>
        <w:rPr>
          <w:snapToGrid w:val="0"/>
        </w:rP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pacing w:val="-2"/>
                <w:sz w:val="19"/>
              </w:rPr>
            </w:pPr>
            <w:r>
              <w:rPr>
                <w:b/>
                <w:spacing w:val="-2"/>
                <w:sz w:val="19"/>
              </w:rPr>
              <w:t>Number and year</w:t>
            </w:r>
          </w:p>
        </w:tc>
        <w:tc>
          <w:tcPr>
            <w:tcW w:w="1134" w:type="dxa"/>
            <w:tcBorders>
              <w:top w:val="single" w:sz="8" w:space="0" w:color="auto"/>
              <w:bottom w:val="single" w:sz="8" w:space="0" w:color="auto"/>
            </w:tcBorders>
          </w:tcPr>
          <w:p>
            <w:pPr>
              <w:pStyle w:val="nTable"/>
              <w:rPr>
                <w:b/>
                <w:spacing w:val="-2"/>
                <w:sz w:val="19"/>
              </w:rPr>
            </w:pPr>
            <w:r>
              <w:rPr>
                <w:b/>
                <w:spacing w:val="-2"/>
                <w:sz w:val="19"/>
              </w:rPr>
              <w:t>Assent</w:t>
            </w:r>
          </w:p>
        </w:tc>
        <w:tc>
          <w:tcPr>
            <w:tcW w:w="2551" w:type="dxa"/>
            <w:tcBorders>
              <w:top w:val="single" w:sz="8" w:space="0" w:color="auto"/>
              <w:bottom w:val="single" w:sz="8" w:space="0" w:color="auto"/>
            </w:tcBorders>
          </w:tcPr>
          <w:p>
            <w:pPr>
              <w:pStyle w:val="nTable"/>
              <w:rPr>
                <w:b/>
                <w:spacing w:val="-2"/>
                <w:sz w:val="19"/>
              </w:rPr>
            </w:pPr>
            <w:r>
              <w:rPr>
                <w:b/>
                <w:spacing w:val="-2"/>
                <w:sz w:val="19"/>
              </w:rPr>
              <w:t>Commencement</w:t>
            </w:r>
          </w:p>
        </w:tc>
      </w:tr>
      <w:tr>
        <w:tc>
          <w:tcPr>
            <w:tcW w:w="2268" w:type="dxa"/>
          </w:tcPr>
          <w:p>
            <w:pPr>
              <w:pStyle w:val="nTable"/>
              <w:rPr>
                <w:spacing w:val="-2"/>
                <w:sz w:val="19"/>
                <w:vertAlign w:val="superscript"/>
              </w:rPr>
            </w:pPr>
            <w:r>
              <w:rPr>
                <w:spacing w:val="-2"/>
                <w:sz w:val="19"/>
              </w:rPr>
              <w:t>Untitled</w:t>
            </w:r>
            <w:r>
              <w:rPr>
                <w:spacing w:val="-2"/>
                <w:sz w:val="19"/>
                <w:vertAlign w:val="superscript"/>
              </w:rPr>
              <w:t> 3</w:t>
            </w:r>
          </w:p>
        </w:tc>
        <w:tc>
          <w:tcPr>
            <w:tcW w:w="1134" w:type="dxa"/>
          </w:tcPr>
          <w:p>
            <w:pPr>
              <w:pStyle w:val="nTable"/>
              <w:rPr>
                <w:spacing w:val="-2"/>
                <w:sz w:val="19"/>
              </w:rPr>
            </w:pPr>
            <w:r>
              <w:rPr>
                <w:spacing w:val="-2"/>
                <w:sz w:val="19"/>
              </w:rPr>
              <w:t>54 Vict.</w:t>
            </w:r>
            <w:r>
              <w:rPr>
                <w:spacing w:val="-2"/>
                <w:sz w:val="19"/>
              </w:rPr>
              <w:br/>
              <w:t>No. 4 </w:t>
            </w:r>
          </w:p>
        </w:tc>
        <w:tc>
          <w:tcPr>
            <w:tcW w:w="1134" w:type="dxa"/>
          </w:tcPr>
          <w:p>
            <w:pPr>
              <w:pStyle w:val="nTable"/>
              <w:rPr>
                <w:spacing w:val="-2"/>
                <w:sz w:val="19"/>
              </w:rPr>
            </w:pPr>
            <w:r>
              <w:rPr>
                <w:spacing w:val="-2"/>
                <w:sz w:val="19"/>
              </w:rPr>
              <w:t>26 Feb 1891</w:t>
            </w:r>
          </w:p>
        </w:tc>
        <w:tc>
          <w:tcPr>
            <w:tcW w:w="2551" w:type="dxa"/>
          </w:tcPr>
          <w:p>
            <w:pPr>
              <w:pStyle w:val="nTable"/>
              <w:rPr>
                <w:spacing w:val="-2"/>
                <w:sz w:val="19"/>
              </w:rPr>
            </w:pPr>
            <w:r>
              <w:rPr>
                <w:spacing w:val="-2"/>
                <w:sz w:val="19"/>
              </w:rPr>
              <w:t>26 Feb 1891</w:t>
            </w:r>
          </w:p>
        </w:tc>
      </w:tr>
      <w:tr>
        <w:tc>
          <w:tcPr>
            <w:tcW w:w="2268" w:type="dxa"/>
          </w:tcPr>
          <w:p>
            <w:pPr>
              <w:pStyle w:val="nTable"/>
              <w:rPr>
                <w:spacing w:val="-2"/>
                <w:sz w:val="19"/>
              </w:rPr>
            </w:pPr>
            <w:r>
              <w:rPr>
                <w:i/>
                <w:spacing w:val="-2"/>
                <w:sz w:val="19"/>
              </w:rPr>
              <w:t>Criminal Code Act 1902</w:t>
            </w:r>
            <w:r>
              <w:rPr>
                <w:spacing w:val="-2"/>
                <w:sz w:val="19"/>
              </w:rPr>
              <w:t xml:space="preserve"> s. 3(2)</w:t>
            </w:r>
          </w:p>
        </w:tc>
        <w:tc>
          <w:tcPr>
            <w:tcW w:w="1134" w:type="dxa"/>
          </w:tcPr>
          <w:p>
            <w:pPr>
              <w:pStyle w:val="nTable"/>
              <w:rPr>
                <w:spacing w:val="-2"/>
                <w:sz w:val="19"/>
              </w:rPr>
            </w:pPr>
            <w:r>
              <w:rPr>
                <w:spacing w:val="-2"/>
                <w:sz w:val="19"/>
              </w:rPr>
              <w:t>1 &amp; 2 Edw.</w:t>
            </w:r>
            <w:r>
              <w:rPr>
                <w:spacing w:val="-2"/>
                <w:sz w:val="19"/>
              </w:rPr>
              <w:br/>
              <w:t>VII No. 14</w:t>
            </w:r>
          </w:p>
        </w:tc>
        <w:tc>
          <w:tcPr>
            <w:tcW w:w="1134" w:type="dxa"/>
          </w:tcPr>
          <w:p>
            <w:pPr>
              <w:pStyle w:val="nTable"/>
              <w:rPr>
                <w:spacing w:val="-2"/>
                <w:sz w:val="19"/>
              </w:rPr>
            </w:pPr>
            <w:r>
              <w:rPr>
                <w:spacing w:val="-2"/>
                <w:sz w:val="19"/>
              </w:rPr>
              <w:t>19 Feb 1902</w:t>
            </w:r>
          </w:p>
        </w:tc>
        <w:tc>
          <w:tcPr>
            <w:tcW w:w="2551" w:type="dxa"/>
          </w:tcPr>
          <w:p>
            <w:pPr>
              <w:pStyle w:val="nTable"/>
              <w:rPr>
                <w:spacing w:val="-2"/>
                <w:sz w:val="19"/>
              </w:rPr>
            </w:pPr>
            <w:r>
              <w:rPr>
                <w:spacing w:val="-2"/>
                <w:sz w:val="19"/>
              </w:rPr>
              <w:t>1 May 1902 (see s. 2)</w:t>
            </w:r>
          </w:p>
        </w:tc>
      </w:tr>
      <w:tr>
        <w:tc>
          <w:tcPr>
            <w:tcW w:w="2268" w:type="dxa"/>
          </w:tcPr>
          <w:p>
            <w:pPr>
              <w:pStyle w:val="nTable"/>
              <w:rPr>
                <w:spacing w:val="-2"/>
                <w:sz w:val="19"/>
              </w:rPr>
            </w:pPr>
            <w:r>
              <w:rPr>
                <w:i/>
                <w:spacing w:val="-2"/>
                <w:sz w:val="19"/>
              </w:rPr>
              <w:t>Statute Law Revision (Short Titles) Act 1966</w:t>
            </w:r>
            <w:r>
              <w:rPr>
                <w:spacing w:val="-2"/>
                <w:sz w:val="19"/>
              </w:rPr>
              <w:t xml:space="preserve"> s. 2</w:t>
            </w:r>
          </w:p>
        </w:tc>
        <w:tc>
          <w:tcPr>
            <w:tcW w:w="1134" w:type="dxa"/>
          </w:tcPr>
          <w:p>
            <w:pPr>
              <w:pStyle w:val="nTable"/>
              <w:rPr>
                <w:spacing w:val="-2"/>
                <w:sz w:val="19"/>
              </w:rPr>
            </w:pPr>
            <w:r>
              <w:rPr>
                <w:spacing w:val="-2"/>
                <w:sz w:val="19"/>
              </w:rPr>
              <w:t>81 of 1966</w:t>
            </w:r>
          </w:p>
        </w:tc>
        <w:tc>
          <w:tcPr>
            <w:tcW w:w="1134" w:type="dxa"/>
          </w:tcPr>
          <w:p>
            <w:pPr>
              <w:pStyle w:val="nTable"/>
              <w:rPr>
                <w:spacing w:val="-2"/>
                <w:sz w:val="19"/>
              </w:rPr>
            </w:pPr>
            <w:r>
              <w:rPr>
                <w:spacing w:val="-2"/>
                <w:sz w:val="19"/>
              </w:rPr>
              <w:t>12 Dec 1966</w:t>
            </w:r>
          </w:p>
        </w:tc>
        <w:tc>
          <w:tcPr>
            <w:tcW w:w="2551" w:type="dxa"/>
          </w:tcPr>
          <w:p>
            <w:pPr>
              <w:pStyle w:val="nTable"/>
              <w:rPr>
                <w:spacing w:val="-2"/>
                <w:sz w:val="19"/>
              </w:rPr>
            </w:pPr>
            <w:r>
              <w:rPr>
                <w:spacing w:val="-2"/>
                <w:sz w:val="19"/>
              </w:rPr>
              <w:t>12 Dec 1966</w:t>
            </w:r>
          </w:p>
        </w:tc>
      </w:tr>
      <w:tr>
        <w:trPr>
          <w:cantSplit/>
        </w:trPr>
        <w:tc>
          <w:tcPr>
            <w:tcW w:w="7087" w:type="dxa"/>
            <w:gridSpan w:val="4"/>
          </w:tcPr>
          <w:p>
            <w:pPr>
              <w:pStyle w:val="nTable"/>
              <w:rPr>
                <w:b/>
                <w:spacing w:val="-2"/>
                <w:sz w:val="19"/>
              </w:rPr>
            </w:pPr>
            <w:r>
              <w:rPr>
                <w:b/>
                <w:spacing w:val="-2"/>
                <w:sz w:val="19"/>
              </w:rPr>
              <w:t xml:space="preserve">Reprint of the </w:t>
            </w:r>
            <w:r>
              <w:rPr>
                <w:b/>
                <w:i/>
                <w:spacing w:val="-2"/>
                <w:sz w:val="19"/>
              </w:rPr>
              <w:t xml:space="preserve">Parliamentary Privileges Act 1891 </w:t>
            </w:r>
            <w:r>
              <w:rPr>
                <w:b/>
                <w:spacing w:val="-2"/>
                <w:sz w:val="19"/>
              </w:rPr>
              <w:t>as at 9 Oct 1987</w:t>
            </w:r>
          </w:p>
        </w:tc>
      </w:tr>
      <w:tr>
        <w:trPr>
          <w:cantSplit/>
        </w:trPr>
        <w:tc>
          <w:tcPr>
            <w:tcW w:w="7087" w:type="dxa"/>
            <w:gridSpan w:val="4"/>
          </w:tcPr>
          <w:p>
            <w:pPr>
              <w:pStyle w:val="nTable"/>
              <w:rPr>
                <w:spacing w:val="-2"/>
                <w:sz w:val="19"/>
              </w:rPr>
            </w:pPr>
            <w:r>
              <w:rPr>
                <w:b/>
                <w:spacing w:val="-2"/>
                <w:sz w:val="19"/>
              </w:rPr>
              <w:t xml:space="preserve">Reprint 2:  The </w:t>
            </w:r>
            <w:r>
              <w:rPr>
                <w:b/>
                <w:i/>
                <w:spacing w:val="-2"/>
                <w:sz w:val="19"/>
              </w:rPr>
              <w:t xml:space="preserve">Parliamentary Privileges Act 1891 </w:t>
            </w:r>
            <w:r>
              <w:rPr>
                <w:b/>
                <w:spacing w:val="-2"/>
                <w:sz w:val="19"/>
              </w:rPr>
              <w:t>as at 6 Jun 2003</w:t>
            </w:r>
            <w:r>
              <w:rPr>
                <w:spacing w:val="-2"/>
                <w:sz w:val="19"/>
              </w:rPr>
              <w:br/>
              <w:t>(includes amendments listed above)</w:t>
            </w:r>
          </w:p>
        </w:tc>
      </w:tr>
      <w:tr>
        <w:tc>
          <w:tcPr>
            <w:tcW w:w="2268" w:type="dxa"/>
          </w:tcPr>
          <w:p>
            <w:pPr>
              <w:pStyle w:val="nTable"/>
              <w:rPr>
                <w:spacing w:val="-2"/>
                <w:sz w:val="19"/>
              </w:rPr>
            </w:pPr>
            <w:r>
              <w:rPr>
                <w:i/>
                <w:iCs/>
                <w:spacing w:val="-2"/>
                <w:sz w:val="19"/>
              </w:rPr>
              <w:t>Constitution (Parliamentary Privileges) Amendment Act 2004</w:t>
            </w:r>
            <w:r>
              <w:rPr>
                <w:spacing w:val="-2"/>
                <w:sz w:val="19"/>
              </w:rPr>
              <w:t xml:space="preserve"> Pt. 3</w:t>
            </w:r>
          </w:p>
        </w:tc>
        <w:tc>
          <w:tcPr>
            <w:tcW w:w="1134" w:type="dxa"/>
          </w:tcPr>
          <w:p>
            <w:pPr>
              <w:pStyle w:val="nTable"/>
              <w:rPr>
                <w:spacing w:val="-2"/>
                <w:sz w:val="19"/>
              </w:rPr>
            </w:pPr>
            <w:r>
              <w:rPr>
                <w:spacing w:val="-2"/>
                <w:sz w:val="19"/>
              </w:rPr>
              <w:t>41 of 2004</w:t>
            </w:r>
          </w:p>
        </w:tc>
        <w:tc>
          <w:tcPr>
            <w:tcW w:w="1134" w:type="dxa"/>
          </w:tcPr>
          <w:p>
            <w:pPr>
              <w:pStyle w:val="nTable"/>
              <w:rPr>
                <w:spacing w:val="-2"/>
                <w:sz w:val="19"/>
              </w:rPr>
            </w:pPr>
            <w:r>
              <w:rPr>
                <w:spacing w:val="-2"/>
                <w:sz w:val="19"/>
              </w:rPr>
              <w:t>3 Nov 2004</w:t>
            </w:r>
          </w:p>
        </w:tc>
        <w:tc>
          <w:tcPr>
            <w:tcW w:w="2551" w:type="dxa"/>
          </w:tcPr>
          <w:p>
            <w:pPr>
              <w:pStyle w:val="nTable"/>
              <w:rPr>
                <w:spacing w:val="-2"/>
                <w:sz w:val="19"/>
              </w:rPr>
            </w:pPr>
            <w:r>
              <w:rPr>
                <w:spacing w:val="-2"/>
                <w:sz w:val="19"/>
              </w:rPr>
              <w:t>3 Nov 2004 (see s. 2)</w:t>
            </w:r>
          </w:p>
        </w:tc>
      </w:tr>
      <w:tr>
        <w:tc>
          <w:tcPr>
            <w:tcW w:w="2268" w:type="dxa"/>
            <w:tcBorders>
              <w:bottom w:val="single" w:sz="4" w:space="0" w:color="auto"/>
            </w:tcBorders>
          </w:tcPr>
          <w:p>
            <w:pPr>
              <w:pStyle w:val="nTable"/>
              <w:rPr>
                <w:i/>
                <w:iCs/>
                <w:spacing w:val="-2"/>
                <w:sz w:val="19"/>
              </w:rPr>
            </w:pPr>
            <w:r>
              <w:rPr>
                <w:i/>
                <w:iCs/>
                <w:snapToGrid w:val="0"/>
                <w:spacing w:val="-2"/>
                <w:sz w:val="19"/>
                <w:lang w:val="en-US"/>
              </w:rPr>
              <w:t xml:space="preserve">Criminal Law Amendment (Simple Offences) Act 2004 </w:t>
            </w:r>
            <w:r>
              <w:rPr>
                <w:snapToGrid w:val="0"/>
                <w:spacing w:val="-2"/>
                <w:sz w:val="19"/>
                <w:lang w:val="en-US"/>
              </w:rPr>
              <w:t>s. 82</w:t>
            </w:r>
          </w:p>
        </w:tc>
        <w:tc>
          <w:tcPr>
            <w:tcW w:w="1134" w:type="dxa"/>
            <w:tcBorders>
              <w:bottom w:val="single" w:sz="4" w:space="0" w:color="auto"/>
            </w:tcBorders>
          </w:tcPr>
          <w:p>
            <w:pPr>
              <w:pStyle w:val="nTable"/>
              <w:rPr>
                <w:spacing w:val="-2"/>
                <w:sz w:val="19"/>
              </w:rPr>
            </w:pPr>
            <w:r>
              <w:rPr>
                <w:snapToGrid w:val="0"/>
                <w:spacing w:val="-2"/>
                <w:sz w:val="19"/>
                <w:lang w:val="en-US"/>
              </w:rPr>
              <w:t>70 of 2004</w:t>
            </w:r>
          </w:p>
        </w:tc>
        <w:tc>
          <w:tcPr>
            <w:tcW w:w="1134" w:type="dxa"/>
            <w:tcBorders>
              <w:bottom w:val="single" w:sz="4" w:space="0" w:color="auto"/>
            </w:tcBorders>
          </w:tcPr>
          <w:p>
            <w:pPr>
              <w:pStyle w:val="nTable"/>
              <w:rPr>
                <w:spacing w:val="-2"/>
                <w:sz w:val="19"/>
              </w:rPr>
            </w:pPr>
            <w:r>
              <w:rPr>
                <w:snapToGrid w:val="0"/>
                <w:spacing w:val="-2"/>
                <w:sz w:val="19"/>
                <w:lang w:val="en-US"/>
              </w:rPr>
              <w:t>8 Dec 2004</w:t>
            </w:r>
          </w:p>
        </w:tc>
        <w:tc>
          <w:tcPr>
            <w:tcW w:w="2551" w:type="dxa"/>
            <w:tcBorders>
              <w:bottom w:val="single" w:sz="4" w:space="0" w:color="auto"/>
            </w:tcBorders>
          </w:tcPr>
          <w:p>
            <w:pPr>
              <w:pStyle w:val="nTable"/>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bl>
    <w:p>
      <w:pPr>
        <w:pStyle w:val="nSubsection"/>
        <w:rPr>
          <w:ins w:id="76" w:author="svcMRProcess" w:date="2015-12-12T00:38:00Z"/>
          <w:snapToGrid w:val="0"/>
          <w:vertAlign w:val="superscript"/>
        </w:rPr>
      </w:pPr>
    </w:p>
    <w:p>
      <w:pPr>
        <w:pStyle w:val="nSubsection"/>
        <w:tabs>
          <w:tab w:val="clear" w:pos="454"/>
          <w:tab w:val="left" w:pos="567"/>
        </w:tabs>
        <w:spacing w:before="120"/>
        <w:ind w:left="567" w:hanging="567"/>
        <w:rPr>
          <w:ins w:id="77" w:author="svcMRProcess" w:date="2015-12-12T00:38:00Z"/>
          <w:snapToGrid w:val="0"/>
        </w:rPr>
      </w:pPr>
      <w:ins w:id="78" w:author="svcMRProcess" w:date="2015-12-12T00: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9" w:author="svcMRProcess" w:date="2015-12-12T00:38:00Z"/>
        </w:rPr>
      </w:pPr>
      <w:bookmarkStart w:id="80" w:name="_Toc7405065"/>
      <w:bookmarkStart w:id="81" w:name="_Toc267664994"/>
      <w:ins w:id="82" w:author="svcMRProcess" w:date="2015-12-12T00:38:00Z">
        <w:r>
          <w:t>Provisions that have not come into operation</w:t>
        </w:r>
        <w:bookmarkEnd w:id="80"/>
        <w:bookmarkEnd w:id="81"/>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83" w:author="svcMRProcess" w:date="2015-12-12T00:38:00Z"/>
        </w:trPr>
        <w:tc>
          <w:tcPr>
            <w:tcW w:w="2266" w:type="dxa"/>
          </w:tcPr>
          <w:p>
            <w:pPr>
              <w:pStyle w:val="nTable"/>
              <w:spacing w:after="40"/>
              <w:rPr>
                <w:ins w:id="84" w:author="svcMRProcess" w:date="2015-12-12T00:38:00Z"/>
                <w:b/>
                <w:snapToGrid w:val="0"/>
                <w:sz w:val="19"/>
                <w:lang w:val="en-US"/>
              </w:rPr>
            </w:pPr>
            <w:ins w:id="85" w:author="svcMRProcess" w:date="2015-12-12T00:38:00Z">
              <w:r>
                <w:rPr>
                  <w:b/>
                  <w:snapToGrid w:val="0"/>
                  <w:sz w:val="19"/>
                  <w:lang w:val="en-US"/>
                </w:rPr>
                <w:t>Short title</w:t>
              </w:r>
            </w:ins>
          </w:p>
        </w:tc>
        <w:tc>
          <w:tcPr>
            <w:tcW w:w="1120" w:type="dxa"/>
          </w:tcPr>
          <w:p>
            <w:pPr>
              <w:pStyle w:val="nTable"/>
              <w:spacing w:after="40"/>
              <w:rPr>
                <w:ins w:id="86" w:author="svcMRProcess" w:date="2015-12-12T00:38:00Z"/>
                <w:b/>
                <w:snapToGrid w:val="0"/>
                <w:sz w:val="19"/>
                <w:lang w:val="en-US"/>
              </w:rPr>
            </w:pPr>
            <w:ins w:id="87" w:author="svcMRProcess" w:date="2015-12-12T00:38:00Z">
              <w:r>
                <w:rPr>
                  <w:b/>
                  <w:snapToGrid w:val="0"/>
                  <w:sz w:val="19"/>
                  <w:lang w:val="en-US"/>
                </w:rPr>
                <w:t>Number and year</w:t>
              </w:r>
            </w:ins>
          </w:p>
        </w:tc>
        <w:tc>
          <w:tcPr>
            <w:tcW w:w="1135" w:type="dxa"/>
          </w:tcPr>
          <w:p>
            <w:pPr>
              <w:pStyle w:val="nTable"/>
              <w:spacing w:after="40"/>
              <w:rPr>
                <w:ins w:id="88" w:author="svcMRProcess" w:date="2015-12-12T00:38:00Z"/>
                <w:b/>
                <w:snapToGrid w:val="0"/>
                <w:sz w:val="19"/>
                <w:lang w:val="en-US"/>
              </w:rPr>
            </w:pPr>
            <w:ins w:id="89" w:author="svcMRProcess" w:date="2015-12-12T00:38:00Z">
              <w:r>
                <w:rPr>
                  <w:b/>
                  <w:snapToGrid w:val="0"/>
                  <w:sz w:val="19"/>
                  <w:lang w:val="en-US"/>
                </w:rPr>
                <w:t>Assent</w:t>
              </w:r>
            </w:ins>
          </w:p>
        </w:tc>
        <w:tc>
          <w:tcPr>
            <w:tcW w:w="2534" w:type="dxa"/>
          </w:tcPr>
          <w:p>
            <w:pPr>
              <w:pStyle w:val="nTable"/>
              <w:spacing w:after="40"/>
              <w:rPr>
                <w:ins w:id="90" w:author="svcMRProcess" w:date="2015-12-12T00:38:00Z"/>
                <w:b/>
                <w:snapToGrid w:val="0"/>
                <w:sz w:val="19"/>
                <w:lang w:val="en-US"/>
              </w:rPr>
            </w:pPr>
            <w:ins w:id="91" w:author="svcMRProcess" w:date="2015-12-12T00:38:00Z">
              <w:r>
                <w:rPr>
                  <w:b/>
                  <w:snapToGrid w:val="0"/>
                  <w:sz w:val="19"/>
                  <w:lang w:val="en-US"/>
                </w:rPr>
                <w:t>Commencement</w:t>
              </w:r>
            </w:ins>
          </w:p>
        </w:tc>
      </w:tr>
      <w:tr>
        <w:tblPrEx>
          <w:tblCellMar>
            <w:left w:w="56" w:type="dxa"/>
            <w:right w:w="56" w:type="dxa"/>
          </w:tblCellMar>
        </w:tblPrEx>
        <w:trPr>
          <w:cantSplit/>
          <w:ins w:id="92" w:author="svcMRProcess" w:date="2015-12-12T00:38:00Z"/>
        </w:trPr>
        <w:tc>
          <w:tcPr>
            <w:tcW w:w="2266" w:type="dxa"/>
          </w:tcPr>
          <w:p>
            <w:pPr>
              <w:pStyle w:val="nTable"/>
              <w:spacing w:after="40"/>
              <w:ind w:right="113"/>
              <w:rPr>
                <w:ins w:id="93" w:author="svcMRProcess" w:date="2015-12-12T00:38:00Z"/>
                <w:iCs/>
                <w:snapToGrid w:val="0"/>
                <w:sz w:val="19"/>
                <w:lang w:val="en-US"/>
              </w:rPr>
            </w:pPr>
            <w:ins w:id="94" w:author="svcMRProcess" w:date="2015-12-12T00:38: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ins>
          </w:p>
        </w:tc>
        <w:tc>
          <w:tcPr>
            <w:tcW w:w="1120" w:type="dxa"/>
          </w:tcPr>
          <w:p>
            <w:pPr>
              <w:pStyle w:val="nTable"/>
              <w:spacing w:after="40"/>
              <w:rPr>
                <w:ins w:id="95" w:author="svcMRProcess" w:date="2015-12-12T00:38:00Z"/>
                <w:snapToGrid w:val="0"/>
                <w:sz w:val="19"/>
                <w:lang w:val="en-US"/>
              </w:rPr>
            </w:pPr>
            <w:ins w:id="96" w:author="svcMRProcess" w:date="2015-12-12T00:38:00Z">
              <w:r>
                <w:rPr>
                  <w:snapToGrid w:val="0"/>
                  <w:sz w:val="19"/>
                  <w:lang w:val="en-US"/>
                </w:rPr>
                <w:t>19 of 2010</w:t>
              </w:r>
            </w:ins>
          </w:p>
        </w:tc>
        <w:tc>
          <w:tcPr>
            <w:tcW w:w="1135" w:type="dxa"/>
          </w:tcPr>
          <w:p>
            <w:pPr>
              <w:pStyle w:val="nTable"/>
              <w:spacing w:after="40"/>
              <w:rPr>
                <w:ins w:id="97" w:author="svcMRProcess" w:date="2015-12-12T00:38:00Z"/>
                <w:snapToGrid w:val="0"/>
                <w:sz w:val="19"/>
                <w:lang w:val="en-US"/>
              </w:rPr>
            </w:pPr>
            <w:ins w:id="98" w:author="svcMRProcess" w:date="2015-12-12T00:38:00Z">
              <w:r>
                <w:rPr>
                  <w:snapToGrid w:val="0"/>
                  <w:sz w:val="19"/>
                  <w:lang w:val="en-US"/>
                </w:rPr>
                <w:t>28 Jun 2010</w:t>
              </w:r>
            </w:ins>
          </w:p>
        </w:tc>
        <w:tc>
          <w:tcPr>
            <w:tcW w:w="2534" w:type="dxa"/>
          </w:tcPr>
          <w:p>
            <w:pPr>
              <w:pStyle w:val="nTable"/>
              <w:spacing w:after="40"/>
              <w:rPr>
                <w:ins w:id="99" w:author="svcMRProcess" w:date="2015-12-12T00:38:00Z"/>
                <w:snapToGrid w:val="0"/>
                <w:sz w:val="19"/>
                <w:lang w:val="en-US"/>
              </w:rPr>
            </w:pPr>
            <w:ins w:id="100" w:author="svcMRProcess" w:date="2015-12-12T00:38:00Z">
              <w:r>
                <w:rPr>
                  <w:snapToGrid w:val="0"/>
                  <w:sz w:val="19"/>
                  <w:lang w:val="en-US"/>
                </w:rPr>
                <w:t>To be proclaimed (see s. 2(b))</w:t>
              </w:r>
            </w:ins>
          </w:p>
        </w:tc>
      </w:tr>
    </w:tbl>
    <w:p>
      <w:pPr>
        <w:rPr>
          <w:ins w:id="101" w:author="svcMRProcess" w:date="2015-12-12T00:38:00Z"/>
        </w:rPr>
      </w:pPr>
    </w:p>
    <w:p>
      <w:pPr>
        <w:pStyle w:val="nSubsection"/>
        <w:keepLines/>
        <w:spacing w:before="0"/>
        <w:rPr>
          <w:ins w:id="102" w:author="svcMRProcess" w:date="2015-12-12T00:38:00Z"/>
          <w:snapToGrid w:val="0"/>
        </w:rPr>
      </w:pPr>
      <w:ins w:id="103" w:author="svcMRProcess" w:date="2015-12-12T00:38: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had not come into operation.  It reads as follows:</w:t>
        </w:r>
      </w:ins>
    </w:p>
    <w:p>
      <w:pPr>
        <w:pStyle w:val="nSubsection"/>
        <w:rPr>
          <w:ins w:id="104" w:author="svcMRProcess" w:date="2015-12-12T00:38:00Z"/>
          <w:snapToGrid w:val="0"/>
          <w:vertAlign w:val="superscript"/>
        </w:rPr>
      </w:pPr>
    </w:p>
    <w:p>
      <w:pPr>
        <w:pStyle w:val="nSubsection"/>
        <w:rPr>
          <w:snapToGrid w:val="0"/>
        </w:rPr>
      </w:pPr>
      <w:r>
        <w:rPr>
          <w:snapToGrid w:val="0"/>
          <w:vertAlign w:val="superscript"/>
        </w:rPr>
        <w:t>2</w:t>
      </w:r>
      <w:r>
        <w:rPr>
          <w:snapToGrid w:val="0"/>
        </w:rPr>
        <w:tab/>
        <w:t>52 Vict, No. 23.</w:t>
      </w:r>
    </w:p>
    <w:p>
      <w:pPr>
        <w:pStyle w:val="nSubsection"/>
      </w:pPr>
      <w:r>
        <w:rPr>
          <w:snapToGrid w:val="0"/>
          <w:vertAlign w:val="superscript"/>
        </w:rPr>
        <w:t>3</w:t>
      </w:r>
      <w:r>
        <w:rPr>
          <w:snapToGrid w:val="0"/>
        </w:rPr>
        <w:tab/>
        <w:t xml:space="preserve">Now called the </w:t>
      </w:r>
      <w:r>
        <w:rPr>
          <w:i/>
          <w:noProof/>
          <w:snapToGrid w:val="0"/>
        </w:rPr>
        <w:t>Parliamentary Privileges Act 1891</w:t>
      </w:r>
      <w:r>
        <w:rPr>
          <w:snapToGrid w:val="0"/>
        </w:rPr>
        <w:t>; short title inserted (see note to s. 17).</w:t>
      </w:r>
    </w:p>
    <w:p>
      <w:pPr>
        <w:pStyle w:val="nSubsection"/>
        <w:rPr>
          <w:ins w:id="105" w:author="svcMRProcess" w:date="2015-12-12T00:38:00Z"/>
          <w:snapToGrid w:val="0"/>
        </w:rPr>
      </w:pPr>
      <w:ins w:id="106" w:author="svcMRProcess" w:date="2015-12-12T00:38:00Z">
        <w:r>
          <w:rPr>
            <w:snapToGrid w:val="0"/>
            <w:vertAlign w:val="superscript"/>
          </w:rPr>
          <w:t>4</w:t>
        </w:r>
        <w:r>
          <w:rPr>
            <w:snapToGrid w:val="0"/>
          </w:rPr>
          <w:tab/>
          <w:t>On</w:t>
        </w:r>
        <w:r>
          <w:t xml:space="preserve">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07" w:author="svcMRProcess" w:date="2015-12-12T00:38:00Z"/>
        </w:rPr>
      </w:pPr>
    </w:p>
    <w:p>
      <w:pPr>
        <w:pStyle w:val="nzHeading5"/>
        <w:rPr>
          <w:ins w:id="108" w:author="svcMRProcess" w:date="2015-12-12T00:38:00Z"/>
        </w:rPr>
      </w:pPr>
      <w:bookmarkStart w:id="109" w:name="_Toc233107854"/>
      <w:bookmarkStart w:id="110" w:name="_Toc255473747"/>
      <w:bookmarkStart w:id="111" w:name="_Toc265583802"/>
      <w:ins w:id="112" w:author="svcMRProcess" w:date="2015-12-12T00:38:00Z">
        <w:r>
          <w:rPr>
            <w:rStyle w:val="CharSectno"/>
          </w:rPr>
          <w:t>51</w:t>
        </w:r>
        <w:r>
          <w:t>.</w:t>
        </w:r>
        <w:r>
          <w:tab/>
          <w:t>Various written laws amended</w:t>
        </w:r>
        <w:bookmarkEnd w:id="109"/>
        <w:bookmarkEnd w:id="110"/>
        <w:bookmarkEnd w:id="111"/>
      </w:ins>
    </w:p>
    <w:p>
      <w:pPr>
        <w:pStyle w:val="nzSubsection"/>
        <w:rPr>
          <w:ins w:id="113" w:author="svcMRProcess" w:date="2015-12-12T00:38:00Z"/>
        </w:rPr>
      </w:pPr>
      <w:ins w:id="114" w:author="svcMRProcess" w:date="2015-12-12T00:38:00Z">
        <w:r>
          <w:tab/>
          <w:t>(1)</w:t>
        </w:r>
        <w:r>
          <w:tab/>
          <w:t>This section amends the written laws listed in the Table.</w:t>
        </w:r>
      </w:ins>
    </w:p>
    <w:p>
      <w:pPr>
        <w:pStyle w:val="nzSubsection"/>
        <w:rPr>
          <w:ins w:id="115" w:author="svcMRProcess" w:date="2015-12-12T00:38:00Z"/>
        </w:rPr>
      </w:pPr>
      <w:ins w:id="116" w:author="svcMRProcess" w:date="2015-12-12T00:38: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17" w:author="svcMRProcess" w:date="2015-12-12T00:38:00Z"/>
        </w:trPr>
        <w:tc>
          <w:tcPr>
            <w:tcW w:w="6804" w:type="dxa"/>
            <w:gridSpan w:val="3"/>
          </w:tcPr>
          <w:p>
            <w:pPr>
              <w:pStyle w:val="TableAm"/>
              <w:keepNext/>
              <w:ind w:left="567" w:hanging="567"/>
              <w:rPr>
                <w:ins w:id="118" w:author="svcMRProcess" w:date="2015-12-12T00:38:00Z"/>
                <w:b/>
                <w:bCs/>
                <w:iCs/>
              </w:rPr>
            </w:pPr>
            <w:ins w:id="119" w:author="svcMRProcess" w:date="2015-12-12T00:38:00Z">
              <w:r>
                <w:rPr>
                  <w:b/>
                  <w:bCs/>
                </w:rPr>
                <w:t>56.</w:t>
              </w:r>
              <w:r>
                <w:rPr>
                  <w:b/>
                  <w:bCs/>
                </w:rPr>
                <w:tab/>
              </w:r>
              <w:r>
                <w:rPr>
                  <w:b/>
                  <w:bCs/>
                  <w:i/>
                  <w:iCs/>
                </w:rPr>
                <w:t>Parliamentary Privileges Act 1891</w:t>
              </w:r>
            </w:ins>
          </w:p>
        </w:tc>
      </w:tr>
      <w:tr>
        <w:trPr>
          <w:jc w:val="center"/>
          <w:ins w:id="120" w:author="svcMRProcess" w:date="2015-12-12T00:38:00Z"/>
        </w:trPr>
        <w:tc>
          <w:tcPr>
            <w:tcW w:w="1702" w:type="dxa"/>
          </w:tcPr>
          <w:p>
            <w:pPr>
              <w:pStyle w:val="TableAm"/>
              <w:rPr>
                <w:ins w:id="121" w:author="svcMRProcess" w:date="2015-12-12T00:38:00Z"/>
              </w:rPr>
            </w:pPr>
            <w:ins w:id="122" w:author="svcMRProcess" w:date="2015-12-12T00:38:00Z">
              <w:r>
                <w:t>s. 5</w:t>
              </w:r>
            </w:ins>
          </w:p>
        </w:tc>
        <w:tc>
          <w:tcPr>
            <w:tcW w:w="2551" w:type="dxa"/>
          </w:tcPr>
          <w:p>
            <w:pPr>
              <w:pStyle w:val="TableAm"/>
              <w:rPr>
                <w:ins w:id="123" w:author="svcMRProcess" w:date="2015-12-12T00:38:00Z"/>
                <w:snapToGrid w:val="0"/>
              </w:rPr>
            </w:pPr>
            <w:ins w:id="124" w:author="svcMRProcess" w:date="2015-12-12T00:38:00Z">
              <w:r>
                <w:rPr>
                  <w:snapToGrid w:val="0"/>
                </w:rPr>
                <w:t>Any such</w:t>
              </w:r>
            </w:ins>
          </w:p>
          <w:p>
            <w:pPr>
              <w:pStyle w:val="TableAm"/>
              <w:rPr>
                <w:ins w:id="125" w:author="svcMRProcess" w:date="2015-12-12T00:38:00Z"/>
                <w:snapToGrid w:val="0"/>
              </w:rPr>
            </w:pPr>
            <w:ins w:id="126" w:author="svcMRProcess" w:date="2015-12-12T00:38:00Z">
              <w:r>
                <w:rPr>
                  <w:snapToGrid w:val="0"/>
                </w:rPr>
                <w:t>And in every</w:t>
              </w:r>
            </w:ins>
          </w:p>
          <w:p>
            <w:pPr>
              <w:pStyle w:val="TableAm"/>
              <w:rPr>
                <w:ins w:id="127" w:author="svcMRProcess" w:date="2015-12-12T00:38:00Z"/>
                <w:snapToGrid w:val="0"/>
              </w:rPr>
            </w:pPr>
            <w:ins w:id="128" w:author="svcMRProcess" w:date="2015-12-12T00:38:00Z">
              <w:r>
                <w:rPr>
                  <w:snapToGrid w:val="0"/>
                </w:rPr>
                <w:t>And such summons</w:t>
              </w:r>
            </w:ins>
          </w:p>
          <w:p>
            <w:pPr>
              <w:pStyle w:val="TableAm"/>
              <w:rPr>
                <w:ins w:id="129" w:author="svcMRProcess" w:date="2015-12-12T00:38:00Z"/>
              </w:rPr>
            </w:pPr>
            <w:ins w:id="130" w:author="svcMRProcess" w:date="2015-12-12T00:38:00Z">
              <w:r>
                <w:rPr>
                  <w:snapToGrid w:val="0"/>
                </w:rPr>
                <w:t>And there shall</w:t>
              </w:r>
            </w:ins>
          </w:p>
        </w:tc>
        <w:tc>
          <w:tcPr>
            <w:tcW w:w="2551" w:type="dxa"/>
          </w:tcPr>
          <w:p>
            <w:pPr>
              <w:pStyle w:val="TableAm"/>
              <w:rPr>
                <w:ins w:id="131" w:author="svcMRProcess" w:date="2015-12-12T00:38:00Z"/>
                <w:snapToGrid w:val="0"/>
              </w:rPr>
            </w:pPr>
            <w:ins w:id="132" w:author="svcMRProcess" w:date="2015-12-12T00:38:00Z">
              <w:r>
                <w:rPr>
                  <w:snapToGrid w:val="0"/>
                </w:rPr>
                <w:t>(1)</w:t>
              </w:r>
              <w:r>
                <w:rPr>
                  <w:snapToGrid w:val="0"/>
                </w:rPr>
                <w:tab/>
                <w:t>Any such</w:t>
              </w:r>
            </w:ins>
          </w:p>
          <w:p>
            <w:pPr>
              <w:pStyle w:val="TableAm"/>
              <w:rPr>
                <w:ins w:id="133" w:author="svcMRProcess" w:date="2015-12-12T00:38:00Z"/>
                <w:snapToGrid w:val="0"/>
              </w:rPr>
            </w:pPr>
            <w:ins w:id="134" w:author="svcMRProcess" w:date="2015-12-12T00:38:00Z">
              <w:r>
                <w:rPr>
                  <w:snapToGrid w:val="0"/>
                </w:rPr>
                <w:t>(2)</w:t>
              </w:r>
              <w:r>
                <w:rPr>
                  <w:snapToGrid w:val="0"/>
                </w:rPr>
                <w:tab/>
                <w:t>In every</w:t>
              </w:r>
            </w:ins>
          </w:p>
          <w:p>
            <w:pPr>
              <w:pStyle w:val="TableAm"/>
              <w:rPr>
                <w:ins w:id="135" w:author="svcMRProcess" w:date="2015-12-12T00:38:00Z"/>
                <w:snapToGrid w:val="0"/>
              </w:rPr>
            </w:pPr>
            <w:ins w:id="136" w:author="svcMRProcess" w:date="2015-12-12T00:38:00Z">
              <w:r>
                <w:rPr>
                  <w:snapToGrid w:val="0"/>
                </w:rPr>
                <w:t>(3)</w:t>
              </w:r>
              <w:r>
                <w:rPr>
                  <w:snapToGrid w:val="0"/>
                </w:rPr>
                <w:tab/>
                <w:t>The summons</w:t>
              </w:r>
            </w:ins>
          </w:p>
          <w:p>
            <w:pPr>
              <w:pStyle w:val="TableAm"/>
              <w:rPr>
                <w:ins w:id="137" w:author="svcMRProcess" w:date="2015-12-12T00:38:00Z"/>
              </w:rPr>
            </w:pPr>
            <w:ins w:id="138" w:author="svcMRProcess" w:date="2015-12-12T00:38:00Z">
              <w:r>
                <w:rPr>
                  <w:snapToGrid w:val="0"/>
                </w:rPr>
                <w:t>(4)</w:t>
              </w:r>
              <w:r>
                <w:rPr>
                  <w:snapToGrid w:val="0"/>
                </w:rPr>
                <w:tab/>
                <w:t>There shall</w:t>
              </w:r>
            </w:ins>
          </w:p>
        </w:tc>
      </w:tr>
      <w:tr>
        <w:trPr>
          <w:jc w:val="center"/>
          <w:ins w:id="139" w:author="svcMRProcess" w:date="2015-12-12T00:38:00Z"/>
        </w:trPr>
        <w:tc>
          <w:tcPr>
            <w:tcW w:w="1702" w:type="dxa"/>
          </w:tcPr>
          <w:p>
            <w:pPr>
              <w:pStyle w:val="TableAm"/>
              <w:rPr>
                <w:ins w:id="140" w:author="svcMRProcess" w:date="2015-12-12T00:38:00Z"/>
              </w:rPr>
            </w:pPr>
            <w:ins w:id="141" w:author="svcMRProcess" w:date="2015-12-12T00:38:00Z">
              <w:r>
                <w:t>s. 8</w:t>
              </w:r>
            </w:ins>
          </w:p>
        </w:tc>
        <w:tc>
          <w:tcPr>
            <w:tcW w:w="2551" w:type="dxa"/>
          </w:tcPr>
          <w:p>
            <w:pPr>
              <w:pStyle w:val="TableAm"/>
              <w:rPr>
                <w:ins w:id="142" w:author="svcMRProcess" w:date="2015-12-12T00:38:00Z"/>
                <w:snapToGrid w:val="0"/>
              </w:rPr>
            </w:pPr>
            <w:ins w:id="143" w:author="svcMRProcess" w:date="2015-12-12T00:38:00Z">
              <w:r>
                <w:rPr>
                  <w:snapToGrid w:val="0"/>
                </w:rPr>
                <w:t>Disobedience to</w:t>
              </w:r>
            </w:ins>
          </w:p>
          <w:p>
            <w:pPr>
              <w:pStyle w:val="TableAm"/>
              <w:rPr>
                <w:ins w:id="144" w:author="svcMRProcess" w:date="2015-12-12T00:38:00Z"/>
                <w:snapToGrid w:val="0"/>
              </w:rPr>
            </w:pPr>
            <w:ins w:id="145" w:author="svcMRProcess" w:date="2015-12-12T00:38:00Z">
              <w:r>
                <w:rPr>
                  <w:snapToGrid w:val="0"/>
                </w:rPr>
                <w:t>aforesaid.</w:t>
              </w:r>
              <w:r>
                <w:rPr>
                  <w:snapToGrid w:val="0"/>
                </w:rPr>
                <w:br/>
                <w:t>(each occurrence)</w:t>
              </w:r>
            </w:ins>
          </w:p>
          <w:p>
            <w:pPr>
              <w:pStyle w:val="TableAm"/>
              <w:rPr>
                <w:ins w:id="146" w:author="svcMRProcess" w:date="2015-12-12T00:38:00Z"/>
                <w:snapToGrid w:val="0"/>
              </w:rPr>
            </w:pPr>
            <w:ins w:id="147" w:author="svcMRProcess" w:date="2015-12-12T00:38:00Z">
              <w:r>
                <w:rPr>
                  <w:snapToGrid w:val="0"/>
                </w:rPr>
                <w:t>Refusing</w:t>
              </w:r>
            </w:ins>
          </w:p>
          <w:p>
            <w:pPr>
              <w:pStyle w:val="TableAm"/>
              <w:rPr>
                <w:ins w:id="148" w:author="svcMRProcess" w:date="2015-12-12T00:38:00Z"/>
                <w:snapToGrid w:val="0"/>
              </w:rPr>
            </w:pPr>
            <w:ins w:id="149" w:author="svcMRProcess" w:date="2015-12-12T00:38:00Z">
              <w:r>
                <w:rPr>
                  <w:snapToGrid w:val="0"/>
                </w:rPr>
                <w:t>The assaulting,</w:t>
              </w:r>
            </w:ins>
          </w:p>
          <w:p>
            <w:pPr>
              <w:pStyle w:val="TableAm"/>
              <w:rPr>
                <w:ins w:id="150" w:author="svcMRProcess" w:date="2015-12-12T00:38:00Z"/>
                <w:snapToGrid w:val="0"/>
              </w:rPr>
            </w:pPr>
            <w:ins w:id="151" w:author="svcMRProcess" w:date="2015-12-12T00:38:00Z">
              <w:r>
                <w:rPr>
                  <w:snapToGrid w:val="0"/>
                </w:rPr>
                <w:t>House.</w:t>
              </w:r>
            </w:ins>
          </w:p>
          <w:p>
            <w:pPr>
              <w:pStyle w:val="TableAm"/>
              <w:rPr>
                <w:ins w:id="152" w:author="svcMRProcess" w:date="2015-12-12T00:38:00Z"/>
                <w:snapToGrid w:val="0"/>
              </w:rPr>
            </w:pPr>
            <w:ins w:id="153" w:author="svcMRProcess" w:date="2015-12-12T00:38:00Z">
              <w:r>
                <w:rPr>
                  <w:snapToGrid w:val="0"/>
                </w:rPr>
                <w:t>The sending to</w:t>
              </w:r>
            </w:ins>
          </w:p>
          <w:p>
            <w:pPr>
              <w:pStyle w:val="TableAm"/>
              <w:rPr>
                <w:ins w:id="154" w:author="svcMRProcess" w:date="2015-12-12T00:38:00Z"/>
                <w:snapToGrid w:val="0"/>
              </w:rPr>
            </w:pPr>
            <w:ins w:id="155" w:author="svcMRProcess" w:date="2015-12-12T00:38:00Z">
              <w:r>
                <w:rPr>
                  <w:snapToGrid w:val="0"/>
                </w:rPr>
                <w:t>Parliament.</w:t>
              </w:r>
            </w:ins>
          </w:p>
          <w:p>
            <w:pPr>
              <w:pStyle w:val="TableAm"/>
              <w:rPr>
                <w:ins w:id="156" w:author="svcMRProcess" w:date="2015-12-12T00:38:00Z"/>
                <w:snapToGrid w:val="0"/>
              </w:rPr>
            </w:pPr>
            <w:ins w:id="157" w:author="svcMRProcess" w:date="2015-12-12T00:38:00Z">
              <w:r>
                <w:rPr>
                  <w:snapToGrid w:val="0"/>
                </w:rPr>
                <w:t>The sending a</w:t>
              </w:r>
            </w:ins>
          </w:p>
          <w:p>
            <w:pPr>
              <w:pStyle w:val="TableAm"/>
              <w:rPr>
                <w:ins w:id="158" w:author="svcMRProcess" w:date="2015-12-12T00:38:00Z"/>
                <w:snapToGrid w:val="0"/>
              </w:rPr>
            </w:pPr>
            <w:ins w:id="159" w:author="svcMRProcess" w:date="2015-12-12T00:38:00Z">
              <w:r>
                <w:rPr>
                  <w:snapToGrid w:val="0"/>
                </w:rPr>
                <w:t>a member.</w:t>
              </w:r>
              <w:r>
                <w:rPr>
                  <w:snapToGrid w:val="0"/>
                </w:rPr>
                <w:br/>
                <w:t>(each occurrence)</w:t>
              </w:r>
            </w:ins>
          </w:p>
          <w:p>
            <w:pPr>
              <w:pStyle w:val="TableAm"/>
              <w:rPr>
                <w:ins w:id="160" w:author="svcMRProcess" w:date="2015-12-12T00:38:00Z"/>
                <w:snapToGrid w:val="0"/>
              </w:rPr>
            </w:pPr>
            <w:ins w:id="161" w:author="svcMRProcess" w:date="2015-12-12T00:38:00Z">
              <w:r>
                <w:rPr>
                  <w:snapToGrid w:val="0"/>
                </w:rPr>
                <w:t>The offering of</w:t>
              </w:r>
            </w:ins>
          </w:p>
          <w:p>
            <w:pPr>
              <w:pStyle w:val="TableAm"/>
              <w:rPr>
                <w:ins w:id="162" w:author="svcMRProcess" w:date="2015-12-12T00:38:00Z"/>
              </w:rPr>
            </w:pPr>
            <w:ins w:id="163" w:author="svcMRProcess" w:date="2015-12-12T00:38:00Z">
              <w:r>
                <w:rPr>
                  <w:snapToGrid w:val="0"/>
                </w:rPr>
                <w:t>The creating</w:t>
              </w:r>
            </w:ins>
          </w:p>
        </w:tc>
        <w:tc>
          <w:tcPr>
            <w:tcW w:w="2551" w:type="dxa"/>
          </w:tcPr>
          <w:p>
            <w:pPr>
              <w:pStyle w:val="TableAm"/>
              <w:rPr>
                <w:ins w:id="164" w:author="svcMRProcess" w:date="2015-12-12T00:38:00Z"/>
                <w:snapToGrid w:val="0"/>
              </w:rPr>
            </w:pPr>
            <w:ins w:id="165" w:author="svcMRProcess" w:date="2015-12-12T00:38:00Z">
              <w:r>
                <w:rPr>
                  <w:snapToGrid w:val="0"/>
                </w:rPr>
                <w:t>(a)</w:t>
              </w:r>
              <w:r>
                <w:rPr>
                  <w:snapToGrid w:val="0"/>
                </w:rPr>
                <w:tab/>
                <w:t>disobedience to</w:t>
              </w:r>
            </w:ins>
          </w:p>
          <w:p>
            <w:pPr>
              <w:pStyle w:val="TableAm"/>
              <w:rPr>
                <w:ins w:id="166" w:author="svcMRProcess" w:date="2015-12-12T00:38:00Z"/>
                <w:snapToGrid w:val="0"/>
              </w:rPr>
            </w:pPr>
            <w:ins w:id="167" w:author="svcMRProcess" w:date="2015-12-12T00:38:00Z">
              <w:r>
                <w:rPr>
                  <w:snapToGrid w:val="0"/>
                </w:rPr>
                <w:t>aforesaid;</w:t>
              </w:r>
              <w:r>
                <w:rPr>
                  <w:snapToGrid w:val="0"/>
                </w:rPr>
                <w:br/>
              </w:r>
            </w:ins>
          </w:p>
          <w:p>
            <w:pPr>
              <w:pStyle w:val="TableAm"/>
              <w:rPr>
                <w:ins w:id="168" w:author="svcMRProcess" w:date="2015-12-12T00:38:00Z"/>
                <w:snapToGrid w:val="0"/>
              </w:rPr>
            </w:pPr>
            <w:ins w:id="169" w:author="svcMRProcess" w:date="2015-12-12T00:38:00Z">
              <w:r>
                <w:rPr>
                  <w:snapToGrid w:val="0"/>
                </w:rPr>
                <w:t>(b)</w:t>
              </w:r>
              <w:r>
                <w:rPr>
                  <w:snapToGrid w:val="0"/>
                </w:rPr>
                <w:tab/>
                <w:t>refusing</w:t>
              </w:r>
            </w:ins>
          </w:p>
          <w:p>
            <w:pPr>
              <w:pStyle w:val="TableAm"/>
              <w:rPr>
                <w:ins w:id="170" w:author="svcMRProcess" w:date="2015-12-12T00:38:00Z"/>
                <w:snapToGrid w:val="0"/>
              </w:rPr>
            </w:pPr>
            <w:ins w:id="171" w:author="svcMRProcess" w:date="2015-12-12T00:38:00Z">
              <w:r>
                <w:rPr>
                  <w:snapToGrid w:val="0"/>
                </w:rPr>
                <w:t>(c)</w:t>
              </w:r>
              <w:r>
                <w:rPr>
                  <w:snapToGrid w:val="0"/>
                </w:rPr>
                <w:tab/>
                <w:t>assaulting,</w:t>
              </w:r>
            </w:ins>
          </w:p>
          <w:p>
            <w:pPr>
              <w:pStyle w:val="TableAm"/>
              <w:rPr>
                <w:ins w:id="172" w:author="svcMRProcess" w:date="2015-12-12T00:38:00Z"/>
                <w:snapToGrid w:val="0"/>
              </w:rPr>
            </w:pPr>
            <w:ins w:id="173" w:author="svcMRProcess" w:date="2015-12-12T00:38:00Z">
              <w:r>
                <w:rPr>
                  <w:snapToGrid w:val="0"/>
                </w:rPr>
                <w:t>House;</w:t>
              </w:r>
            </w:ins>
          </w:p>
          <w:p>
            <w:pPr>
              <w:pStyle w:val="TableAm"/>
              <w:rPr>
                <w:ins w:id="174" w:author="svcMRProcess" w:date="2015-12-12T00:38:00Z"/>
                <w:snapToGrid w:val="0"/>
              </w:rPr>
            </w:pPr>
            <w:ins w:id="175" w:author="svcMRProcess" w:date="2015-12-12T00:38:00Z">
              <w:r>
                <w:rPr>
                  <w:snapToGrid w:val="0"/>
                </w:rPr>
                <w:t>(d)</w:t>
              </w:r>
              <w:r>
                <w:rPr>
                  <w:snapToGrid w:val="0"/>
                </w:rPr>
                <w:tab/>
                <w:t>sending to</w:t>
              </w:r>
            </w:ins>
          </w:p>
          <w:p>
            <w:pPr>
              <w:pStyle w:val="TableAm"/>
              <w:rPr>
                <w:ins w:id="176" w:author="svcMRProcess" w:date="2015-12-12T00:38:00Z"/>
                <w:snapToGrid w:val="0"/>
              </w:rPr>
            </w:pPr>
            <w:ins w:id="177" w:author="svcMRProcess" w:date="2015-12-12T00:38:00Z">
              <w:r>
                <w:rPr>
                  <w:snapToGrid w:val="0"/>
                </w:rPr>
                <w:t>Parliament;</w:t>
              </w:r>
            </w:ins>
          </w:p>
          <w:p>
            <w:pPr>
              <w:pStyle w:val="TableAm"/>
              <w:rPr>
                <w:ins w:id="178" w:author="svcMRProcess" w:date="2015-12-12T00:38:00Z"/>
                <w:snapToGrid w:val="0"/>
              </w:rPr>
            </w:pPr>
            <w:ins w:id="179" w:author="svcMRProcess" w:date="2015-12-12T00:38:00Z">
              <w:r>
                <w:rPr>
                  <w:snapToGrid w:val="0"/>
                </w:rPr>
                <w:t>(e)</w:t>
              </w:r>
              <w:r>
                <w:rPr>
                  <w:snapToGrid w:val="0"/>
                </w:rPr>
                <w:tab/>
                <w:t>sending a</w:t>
              </w:r>
            </w:ins>
          </w:p>
          <w:p>
            <w:pPr>
              <w:pStyle w:val="TableAm"/>
              <w:rPr>
                <w:ins w:id="180" w:author="svcMRProcess" w:date="2015-12-12T00:38:00Z"/>
                <w:snapToGrid w:val="0"/>
              </w:rPr>
            </w:pPr>
            <w:ins w:id="181" w:author="svcMRProcess" w:date="2015-12-12T00:38:00Z">
              <w:r>
                <w:rPr>
                  <w:snapToGrid w:val="0"/>
                </w:rPr>
                <w:t>a member;</w:t>
              </w:r>
              <w:r>
                <w:rPr>
                  <w:snapToGrid w:val="0"/>
                </w:rPr>
                <w:br/>
              </w:r>
            </w:ins>
          </w:p>
          <w:p>
            <w:pPr>
              <w:pStyle w:val="TableAm"/>
              <w:rPr>
                <w:ins w:id="182" w:author="svcMRProcess" w:date="2015-12-12T00:38:00Z"/>
                <w:snapToGrid w:val="0"/>
              </w:rPr>
            </w:pPr>
            <w:ins w:id="183" w:author="svcMRProcess" w:date="2015-12-12T00:38:00Z">
              <w:r>
                <w:rPr>
                  <w:snapToGrid w:val="0"/>
                </w:rPr>
                <w:t>(f)</w:t>
              </w:r>
              <w:r>
                <w:rPr>
                  <w:snapToGrid w:val="0"/>
                </w:rPr>
                <w:tab/>
                <w:t>offering</w:t>
              </w:r>
            </w:ins>
          </w:p>
          <w:p>
            <w:pPr>
              <w:pStyle w:val="TableAm"/>
              <w:rPr>
                <w:ins w:id="184" w:author="svcMRProcess" w:date="2015-12-12T00:38:00Z"/>
              </w:rPr>
            </w:pPr>
            <w:ins w:id="185" w:author="svcMRProcess" w:date="2015-12-12T00:38:00Z">
              <w:r>
                <w:rPr>
                  <w:snapToGrid w:val="0"/>
                </w:rPr>
                <w:t>(g)</w:t>
              </w:r>
              <w:r>
                <w:rPr>
                  <w:snapToGrid w:val="0"/>
                </w:rPr>
                <w:tab/>
                <w:t>creating</w:t>
              </w:r>
            </w:ins>
          </w:p>
        </w:tc>
      </w:tr>
      <w:tr>
        <w:trPr>
          <w:jc w:val="center"/>
          <w:ins w:id="186" w:author="svcMRProcess" w:date="2015-12-12T00:38:00Z"/>
        </w:trPr>
        <w:tc>
          <w:tcPr>
            <w:tcW w:w="1702" w:type="dxa"/>
          </w:tcPr>
          <w:p>
            <w:pPr>
              <w:pStyle w:val="TableAm"/>
              <w:rPr>
                <w:ins w:id="187" w:author="svcMRProcess" w:date="2015-12-12T00:38:00Z"/>
              </w:rPr>
            </w:pPr>
            <w:ins w:id="188" w:author="svcMRProcess" w:date="2015-12-12T00:38:00Z">
              <w:r>
                <w:t>s. 11</w:t>
              </w:r>
            </w:ins>
          </w:p>
        </w:tc>
        <w:tc>
          <w:tcPr>
            <w:tcW w:w="2551" w:type="dxa"/>
          </w:tcPr>
          <w:p>
            <w:pPr>
              <w:pStyle w:val="TableAm"/>
              <w:rPr>
                <w:ins w:id="189" w:author="svcMRProcess" w:date="2015-12-12T00:38:00Z"/>
                <w:snapToGrid w:val="0"/>
              </w:rPr>
            </w:pPr>
            <w:ins w:id="190" w:author="svcMRProcess" w:date="2015-12-12T00:38:00Z">
              <w:r>
                <w:rPr>
                  <w:snapToGrid w:val="0"/>
                </w:rPr>
                <w:t>Every such</w:t>
              </w:r>
            </w:ins>
          </w:p>
          <w:p>
            <w:pPr>
              <w:pStyle w:val="TableAm"/>
              <w:rPr>
                <w:ins w:id="191" w:author="svcMRProcess" w:date="2015-12-12T00:38:00Z"/>
              </w:rPr>
            </w:pPr>
            <w:ins w:id="192" w:author="svcMRProcess" w:date="2015-12-12T00:38:00Z">
              <w:r>
                <w:rPr>
                  <w:snapToGrid w:val="0"/>
                </w:rPr>
                <w:t>And every</w:t>
              </w:r>
            </w:ins>
          </w:p>
        </w:tc>
        <w:tc>
          <w:tcPr>
            <w:tcW w:w="2551" w:type="dxa"/>
          </w:tcPr>
          <w:p>
            <w:pPr>
              <w:pStyle w:val="TableAm"/>
              <w:rPr>
                <w:ins w:id="193" w:author="svcMRProcess" w:date="2015-12-12T00:38:00Z"/>
                <w:snapToGrid w:val="0"/>
              </w:rPr>
            </w:pPr>
            <w:ins w:id="194" w:author="svcMRProcess" w:date="2015-12-12T00:38:00Z">
              <w:r>
                <w:rPr>
                  <w:snapToGrid w:val="0"/>
                </w:rPr>
                <w:t>(1)</w:t>
              </w:r>
              <w:r>
                <w:rPr>
                  <w:snapToGrid w:val="0"/>
                </w:rPr>
                <w:tab/>
                <w:t>Every such</w:t>
              </w:r>
            </w:ins>
          </w:p>
          <w:p>
            <w:pPr>
              <w:pStyle w:val="TableAm"/>
              <w:rPr>
                <w:ins w:id="195" w:author="svcMRProcess" w:date="2015-12-12T00:38:00Z"/>
              </w:rPr>
            </w:pPr>
            <w:ins w:id="196" w:author="svcMRProcess" w:date="2015-12-12T00:38:00Z">
              <w:r>
                <w:rPr>
                  <w:snapToGrid w:val="0"/>
                </w:rPr>
                <w:t>(2)</w:t>
              </w:r>
              <w:r>
                <w:rPr>
                  <w:snapToGrid w:val="0"/>
                </w:rPr>
                <w:tab/>
                <w:t>Every</w:t>
              </w:r>
            </w:ins>
          </w:p>
        </w:tc>
      </w:tr>
      <w:tr>
        <w:trPr>
          <w:jc w:val="center"/>
          <w:ins w:id="197" w:author="svcMRProcess" w:date="2015-12-12T00:38:00Z"/>
        </w:trPr>
        <w:tc>
          <w:tcPr>
            <w:tcW w:w="1702" w:type="dxa"/>
          </w:tcPr>
          <w:p>
            <w:pPr>
              <w:pStyle w:val="TableAm"/>
              <w:rPr>
                <w:ins w:id="198" w:author="svcMRProcess" w:date="2015-12-12T00:38:00Z"/>
              </w:rPr>
            </w:pPr>
            <w:ins w:id="199" w:author="svcMRProcess" w:date="2015-12-12T00:38:00Z">
              <w:r>
                <w:t>s. 12</w:t>
              </w:r>
            </w:ins>
          </w:p>
        </w:tc>
        <w:tc>
          <w:tcPr>
            <w:tcW w:w="2551" w:type="dxa"/>
          </w:tcPr>
          <w:p>
            <w:pPr>
              <w:pStyle w:val="TableAm"/>
              <w:rPr>
                <w:ins w:id="200" w:author="svcMRProcess" w:date="2015-12-12T00:38:00Z"/>
                <w:snapToGrid w:val="0"/>
              </w:rPr>
            </w:pPr>
            <w:ins w:id="201" w:author="svcMRProcess" w:date="2015-12-12T00:38:00Z">
              <w:r>
                <w:rPr>
                  <w:snapToGrid w:val="0"/>
                </w:rPr>
                <w:t>The Sheriff</w:t>
              </w:r>
            </w:ins>
          </w:p>
          <w:p>
            <w:pPr>
              <w:pStyle w:val="TableAm"/>
              <w:rPr>
                <w:ins w:id="202" w:author="svcMRProcess" w:date="2015-12-12T00:38:00Z"/>
              </w:rPr>
            </w:pPr>
            <w:ins w:id="203" w:author="svcMRProcess" w:date="2015-12-12T00:38:00Z">
              <w:r>
                <w:rPr>
                  <w:snapToGrid w:val="0"/>
                </w:rPr>
                <w:t>And where</w:t>
              </w:r>
            </w:ins>
          </w:p>
        </w:tc>
        <w:tc>
          <w:tcPr>
            <w:tcW w:w="2551" w:type="dxa"/>
          </w:tcPr>
          <w:p>
            <w:pPr>
              <w:pStyle w:val="TableAm"/>
              <w:rPr>
                <w:ins w:id="204" w:author="svcMRProcess" w:date="2015-12-12T00:38:00Z"/>
                <w:snapToGrid w:val="0"/>
              </w:rPr>
            </w:pPr>
            <w:ins w:id="205" w:author="svcMRProcess" w:date="2015-12-12T00:38:00Z">
              <w:r>
                <w:rPr>
                  <w:snapToGrid w:val="0"/>
                </w:rPr>
                <w:t>(1)</w:t>
              </w:r>
              <w:r>
                <w:rPr>
                  <w:snapToGrid w:val="0"/>
                </w:rPr>
                <w:tab/>
                <w:t>The Sheriff</w:t>
              </w:r>
            </w:ins>
          </w:p>
          <w:p>
            <w:pPr>
              <w:pStyle w:val="TableAm"/>
              <w:rPr>
                <w:ins w:id="206" w:author="svcMRProcess" w:date="2015-12-12T00:38:00Z"/>
              </w:rPr>
            </w:pPr>
            <w:ins w:id="207" w:author="svcMRProcess" w:date="2015-12-12T00:38:00Z">
              <w:r>
                <w:rPr>
                  <w:snapToGrid w:val="0"/>
                </w:rPr>
                <w:t>(2)</w:t>
              </w:r>
              <w:r>
                <w:rPr>
                  <w:snapToGrid w:val="0"/>
                </w:rPr>
                <w:tab/>
                <w:t>Where</w:t>
              </w:r>
            </w:ins>
          </w:p>
        </w:tc>
      </w:tr>
      <w:tr>
        <w:trPr>
          <w:jc w:val="center"/>
          <w:ins w:id="208" w:author="svcMRProcess" w:date="2015-12-12T00:38:00Z"/>
        </w:trPr>
        <w:tc>
          <w:tcPr>
            <w:tcW w:w="1702" w:type="dxa"/>
          </w:tcPr>
          <w:p>
            <w:pPr>
              <w:pStyle w:val="TableAm"/>
              <w:rPr>
                <w:ins w:id="209" w:author="svcMRProcess" w:date="2015-12-12T00:38:00Z"/>
              </w:rPr>
            </w:pPr>
            <w:ins w:id="210" w:author="svcMRProcess" w:date="2015-12-12T00:38:00Z">
              <w:r>
                <w:t>s. 14</w:t>
              </w:r>
            </w:ins>
          </w:p>
        </w:tc>
        <w:tc>
          <w:tcPr>
            <w:tcW w:w="2551" w:type="dxa"/>
          </w:tcPr>
          <w:p>
            <w:pPr>
              <w:pStyle w:val="TableAm"/>
              <w:rPr>
                <w:ins w:id="211" w:author="svcMRProcess" w:date="2015-12-12T00:38:00Z"/>
                <w:snapToGrid w:val="0"/>
              </w:rPr>
            </w:pPr>
            <w:ins w:id="212" w:author="svcMRProcess" w:date="2015-12-12T00:38:00Z">
              <w:r>
                <w:rPr>
                  <w:snapToGrid w:val="0"/>
                </w:rPr>
                <w:t>The publishing</w:t>
              </w:r>
            </w:ins>
          </w:p>
          <w:p>
            <w:pPr>
              <w:pStyle w:val="TableAm"/>
              <w:rPr>
                <w:ins w:id="213" w:author="svcMRProcess" w:date="2015-12-12T00:38:00Z"/>
                <w:snapToGrid w:val="0"/>
              </w:rPr>
            </w:pPr>
            <w:ins w:id="214" w:author="svcMRProcess" w:date="2015-12-12T00:38:00Z">
              <w:r>
                <w:rPr>
                  <w:snapToGrid w:val="0"/>
                </w:rPr>
                <w:t>And it shall</w:t>
              </w:r>
            </w:ins>
          </w:p>
          <w:p>
            <w:pPr>
              <w:pStyle w:val="TableAm"/>
              <w:rPr>
                <w:ins w:id="215" w:author="svcMRProcess" w:date="2015-12-12T00:38:00Z"/>
              </w:rPr>
            </w:pPr>
            <w:ins w:id="216" w:author="svcMRProcess" w:date="2015-12-12T00:38:00Z">
              <w:r>
                <w:rPr>
                  <w:snapToGrid w:val="0"/>
                </w:rPr>
                <w:t>And any</w:t>
              </w:r>
            </w:ins>
          </w:p>
        </w:tc>
        <w:tc>
          <w:tcPr>
            <w:tcW w:w="2551" w:type="dxa"/>
          </w:tcPr>
          <w:p>
            <w:pPr>
              <w:pStyle w:val="TableAm"/>
              <w:rPr>
                <w:ins w:id="217" w:author="svcMRProcess" w:date="2015-12-12T00:38:00Z"/>
                <w:snapToGrid w:val="0"/>
              </w:rPr>
            </w:pPr>
            <w:ins w:id="218" w:author="svcMRProcess" w:date="2015-12-12T00:38:00Z">
              <w:r>
                <w:rPr>
                  <w:snapToGrid w:val="0"/>
                </w:rPr>
                <w:t>(1)</w:t>
              </w:r>
              <w:r>
                <w:rPr>
                  <w:snapToGrid w:val="0"/>
                </w:rPr>
                <w:tab/>
                <w:t>The publishing</w:t>
              </w:r>
            </w:ins>
          </w:p>
          <w:p>
            <w:pPr>
              <w:pStyle w:val="TableAm"/>
              <w:rPr>
                <w:ins w:id="219" w:author="svcMRProcess" w:date="2015-12-12T00:38:00Z"/>
                <w:snapToGrid w:val="0"/>
              </w:rPr>
            </w:pPr>
            <w:ins w:id="220" w:author="svcMRProcess" w:date="2015-12-12T00:38:00Z">
              <w:r>
                <w:rPr>
                  <w:snapToGrid w:val="0"/>
                </w:rPr>
                <w:t>(2)</w:t>
              </w:r>
              <w:r>
                <w:rPr>
                  <w:snapToGrid w:val="0"/>
                </w:rPr>
                <w:tab/>
                <w:t>It shall</w:t>
              </w:r>
            </w:ins>
          </w:p>
          <w:p>
            <w:pPr>
              <w:pStyle w:val="TableAm"/>
              <w:rPr>
                <w:ins w:id="221" w:author="svcMRProcess" w:date="2015-12-12T00:38:00Z"/>
              </w:rPr>
            </w:pPr>
            <w:ins w:id="222" w:author="svcMRProcess" w:date="2015-12-12T00:38:00Z">
              <w:r>
                <w:rPr>
                  <w:snapToGrid w:val="0"/>
                </w:rPr>
                <w:t>(3)</w:t>
              </w:r>
              <w:r>
                <w:rPr>
                  <w:snapToGrid w:val="0"/>
                </w:rPr>
                <w:tab/>
                <w:t>Any</w:t>
              </w:r>
            </w:ins>
          </w:p>
        </w:tc>
      </w:tr>
    </w:tbl>
    <w:p>
      <w:pPr>
        <w:pStyle w:val="BlankClose"/>
        <w:rPr>
          <w:ins w:id="223" w:author="svcMRProcess" w:date="2015-12-12T00:3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Privileges Act 1891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Privileges Act 1891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Privileges Act 1891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Privileges Act 1891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Privileges Act 1891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A01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F78C2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CA2E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45F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6E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82C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E68B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6233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68C6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9BA49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F90F0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31294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F76DF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27A1F0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203"/>
    <w:docVar w:name="WAFER_20151208154203" w:val="RemoveTrackChanges"/>
    <w:docVar w:name="WAFER_20151208154203_GUID" w:val="1b903f45-77ca-4583-8c5c-cb96b1915c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2237</Words>
  <Characters>10426</Characters>
  <Application>Microsoft Office Word</Application>
  <DocSecurity>0</DocSecurity>
  <Lines>336</Lines>
  <Paragraphs>191</Paragraphs>
  <ScaleCrop>false</ScaleCrop>
  <HeadingPairs>
    <vt:vector size="2" baseType="variant">
      <vt:variant>
        <vt:lpstr>Title</vt:lpstr>
      </vt:variant>
      <vt:variant>
        <vt:i4>1</vt:i4>
      </vt:variant>
    </vt:vector>
  </HeadingPairs>
  <TitlesOfParts>
    <vt:vector size="1" baseType="lpstr">
      <vt:lpstr>Parliamentary Privileges Act 1891</vt:lpstr>
    </vt:vector>
  </TitlesOfParts>
  <Manager/>
  <Company/>
  <LinksUpToDate>false</LinksUpToDate>
  <CharactersWithSpaces>12472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Privileges Act 1891 02-b0-08 - 02-c0-02</dc:title>
  <dc:subject/>
  <dc:creator/>
  <cp:keywords/>
  <dc:description/>
  <cp:lastModifiedBy>svcMRProcess</cp:lastModifiedBy>
  <cp:revision>2</cp:revision>
  <cp:lastPrinted>2003-06-12T04:01:00Z</cp:lastPrinted>
  <dcterms:created xsi:type="dcterms:W3CDTF">2015-12-11T16:38:00Z</dcterms:created>
  <dcterms:modified xsi:type="dcterms:W3CDTF">2015-12-11T16:38:00Z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1891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574</vt:i4>
  </property>
  <property fmtid="{D5CDD505-2E9C-101B-9397-08002B2CF9AE}" pid="6" name="FromSuffix">
    <vt:lpwstr>02-b0-08</vt:lpwstr>
  </property>
  <property fmtid="{D5CDD505-2E9C-101B-9397-08002B2CF9AE}" pid="7" name="FromAsAtDate">
    <vt:lpwstr>31 May 2005</vt:lpwstr>
  </property>
  <property fmtid="{D5CDD505-2E9C-101B-9397-08002B2CF9AE}" pid="8" name="ToSuffix">
    <vt:lpwstr>02-c0-02</vt:lpwstr>
  </property>
  <property fmtid="{D5CDD505-2E9C-101B-9397-08002B2CF9AE}" pid="9" name="ToAsAtDate">
    <vt:lpwstr>28 Jun 2010</vt:lpwstr>
  </property>
</Properties>
</file>