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Spencer’s Brook-Northam Railway Extension Act 1963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Jun 2005</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06T01:09:00Z"/>
        </w:trPr>
        <w:tc>
          <w:tcPr>
            <w:tcW w:w="2434" w:type="dxa"/>
            <w:vMerge w:val="restart"/>
          </w:tcPr>
          <w:p>
            <w:pPr>
              <w:rPr>
                <w:del w:id="1" w:author="svcMRProcess" w:date="2015-11-06T01:09:00Z"/>
              </w:rPr>
            </w:pPr>
          </w:p>
        </w:tc>
        <w:tc>
          <w:tcPr>
            <w:tcW w:w="2434" w:type="dxa"/>
            <w:vMerge w:val="restart"/>
          </w:tcPr>
          <w:p>
            <w:pPr>
              <w:jc w:val="center"/>
              <w:rPr>
                <w:del w:id="2" w:author="svcMRProcess" w:date="2015-11-06T01:09:00Z"/>
              </w:rPr>
            </w:pPr>
            <w:del w:id="3" w:author="svcMRProcess" w:date="2015-11-06T01:09:00Z">
              <w:r>
                <w:rPr>
                  <w:noProof/>
                  <w:lang w:eastAsia="en-AU"/>
                </w:rPr>
                <w:drawing>
                  <wp:inline distT="0" distB="0" distL="0" distR="0">
                    <wp:extent cx="533400" cy="471805"/>
                    <wp:effectExtent l="0" t="0" r="0" b="444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del>
          </w:p>
        </w:tc>
        <w:tc>
          <w:tcPr>
            <w:tcW w:w="2434" w:type="dxa"/>
          </w:tcPr>
          <w:p>
            <w:pPr>
              <w:rPr>
                <w:del w:id="4" w:author="svcMRProcess" w:date="2015-11-06T01:09:00Z"/>
              </w:rPr>
            </w:pPr>
          </w:p>
        </w:tc>
      </w:tr>
      <w:tr>
        <w:trPr>
          <w:cantSplit/>
          <w:del w:id="5" w:author="svcMRProcess" w:date="2015-11-06T01:09:00Z"/>
        </w:trPr>
        <w:tc>
          <w:tcPr>
            <w:tcW w:w="2434" w:type="dxa"/>
            <w:vMerge/>
          </w:tcPr>
          <w:p>
            <w:pPr>
              <w:rPr>
                <w:del w:id="6" w:author="svcMRProcess" w:date="2015-11-06T01:09:00Z"/>
              </w:rPr>
            </w:pPr>
          </w:p>
        </w:tc>
        <w:tc>
          <w:tcPr>
            <w:tcW w:w="2434" w:type="dxa"/>
            <w:vMerge/>
          </w:tcPr>
          <w:p>
            <w:pPr>
              <w:jc w:val="center"/>
              <w:rPr>
                <w:del w:id="7" w:author="svcMRProcess" w:date="2015-11-06T01:09:00Z"/>
              </w:rPr>
            </w:pPr>
          </w:p>
        </w:tc>
        <w:tc>
          <w:tcPr>
            <w:tcW w:w="2434" w:type="dxa"/>
          </w:tcPr>
          <w:p>
            <w:pPr>
              <w:keepNext/>
              <w:rPr>
                <w:del w:id="8" w:author="svcMRProcess" w:date="2015-11-06T01:09:00Z"/>
                <w:b/>
                <w:sz w:val="22"/>
              </w:rPr>
            </w:pPr>
            <w:del w:id="9" w:author="svcMRProcess" w:date="2015-11-06T01:09:00Z">
              <w:r>
                <w:rPr>
                  <w:b/>
                  <w:sz w:val="22"/>
                </w:rPr>
                <w:delText xml:space="preserve">Reprinted under the </w:delText>
              </w:r>
              <w:r>
                <w:rPr>
                  <w:b/>
                  <w:i/>
                  <w:sz w:val="22"/>
                </w:rPr>
                <w:delText>Reprints Act 1984</w:delText>
              </w:r>
              <w:r>
                <w:rPr>
                  <w:b/>
                  <w:sz w:val="22"/>
                </w:rPr>
                <w:delText xml:space="preserve"> as at 10</w:delText>
              </w:r>
              <w:r>
                <w:rPr>
                  <w:b/>
                  <w:snapToGrid w:val="0"/>
                  <w:sz w:val="22"/>
                </w:rPr>
                <w:delText xml:space="preserve"> June 2005</w:delText>
              </w:r>
            </w:del>
          </w:p>
        </w:tc>
      </w:tr>
    </w:tbl>
    <w:p>
      <w:pPr>
        <w:pStyle w:val="WA"/>
        <w:spacing w:before="120"/>
      </w:pPr>
      <w:r>
        <w:t>Western Australia</w:t>
      </w:r>
    </w:p>
    <w:p>
      <w:pPr>
        <w:pStyle w:val="NameofActReg"/>
      </w:pPr>
      <w:r>
        <w:t>Spencer’s Brook-Northam Railway Extension Act 1963</w:t>
      </w:r>
    </w:p>
    <w:p>
      <w:pPr>
        <w:pStyle w:val="LongTitle"/>
        <w:rPr>
          <w:snapToGrid w:val="0"/>
        </w:rPr>
      </w:pPr>
      <w:r>
        <w:rPr>
          <w:snapToGrid w:val="0"/>
        </w:rPr>
        <w:t>A</w:t>
      </w:r>
      <w:bookmarkStart w:id="10" w:name="_GoBack"/>
      <w:bookmarkEnd w:id="10"/>
      <w:r>
        <w:rPr>
          <w:snapToGrid w:val="0"/>
        </w:rPr>
        <w:t xml:space="preserve">n Act to authorise an extension of the Spencer’s Brook to Northam Railway. </w:t>
      </w:r>
    </w:p>
    <w:p>
      <w:pPr>
        <w:pStyle w:val="Heading5"/>
        <w:rPr>
          <w:snapToGrid w:val="0"/>
        </w:rPr>
      </w:pPr>
      <w:bookmarkStart w:id="11" w:name="_Toc107192839"/>
      <w:bookmarkStart w:id="12" w:name="_Toc267917939"/>
      <w:r>
        <w:rPr>
          <w:rStyle w:val="CharSectno"/>
        </w:rPr>
        <w:t>1</w:t>
      </w:r>
      <w:r>
        <w:rPr>
          <w:snapToGrid w:val="0"/>
        </w:rPr>
        <w:t>.</w:t>
      </w:r>
      <w:r>
        <w:rPr>
          <w:snapToGrid w:val="0"/>
        </w:rPr>
        <w:tab/>
        <w:t>Short title</w:t>
      </w:r>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Spencer’s Brook</w:t>
      </w:r>
      <w:r>
        <w:rPr>
          <w:i/>
          <w:snapToGrid w:val="0"/>
        </w:rPr>
        <w:noBreakHyphen/>
        <w:t>Northam Railway Extension Act 1963</w:t>
      </w:r>
      <w:r>
        <w:rPr>
          <w:snapToGrid w:val="0"/>
          <w:vertAlign w:val="superscript"/>
        </w:rPr>
        <w:t> 1</w:t>
      </w:r>
      <w:r>
        <w:rPr>
          <w:snapToGrid w:val="0"/>
        </w:rPr>
        <w:t>.</w:t>
      </w:r>
    </w:p>
    <w:p>
      <w:pPr>
        <w:pStyle w:val="Heading5"/>
        <w:rPr>
          <w:snapToGrid w:val="0"/>
        </w:rPr>
      </w:pPr>
      <w:bookmarkStart w:id="13" w:name="_Toc107192840"/>
      <w:bookmarkStart w:id="14" w:name="_Toc267917940"/>
      <w:r>
        <w:rPr>
          <w:rStyle w:val="CharSectno"/>
        </w:rPr>
        <w:t>2</w:t>
      </w:r>
      <w:r>
        <w:rPr>
          <w:snapToGrid w:val="0"/>
        </w:rPr>
        <w:t>.</w:t>
      </w:r>
      <w:r>
        <w:rPr>
          <w:snapToGrid w:val="0"/>
        </w:rPr>
        <w:tab/>
        <w:t>Authority to construct railway lines</w:t>
      </w:r>
      <w:bookmarkEnd w:id="13"/>
      <w:bookmarkEnd w:id="14"/>
      <w:r>
        <w:rPr>
          <w:snapToGrid w:val="0"/>
        </w:rPr>
        <w:t xml:space="preserve"> </w:t>
      </w:r>
    </w:p>
    <w:p>
      <w:pPr>
        <w:pStyle w:val="Subsection"/>
        <w:rPr>
          <w:snapToGrid w:val="0"/>
        </w:rPr>
      </w:pPr>
      <w:r>
        <w:rPr>
          <w:snapToGrid w:val="0"/>
        </w:rPr>
        <w:tab/>
      </w:r>
      <w:r>
        <w:rPr>
          <w:snapToGrid w:val="0"/>
        </w:rPr>
        <w:tab/>
        <w:t>It shall be lawful to construct and maintain a railway, with all necessary, proper and usual works and conveniences in connection therewith, along the lines described in the Schedule.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5" w:name="_Toc107192841"/>
      <w:bookmarkStart w:id="16" w:name="_Toc267917737"/>
      <w:bookmarkStart w:id="17" w:name="_Toc267917941"/>
      <w:r>
        <w:t>Schedule</w:t>
      </w:r>
      <w:bookmarkEnd w:id="15"/>
      <w:bookmarkEnd w:id="16"/>
      <w:bookmarkEnd w:id="17"/>
    </w:p>
    <w:p>
      <w:pPr>
        <w:pStyle w:val="MiscellaneousHeading"/>
        <w:rPr>
          <w:i/>
          <w:snapToGrid w:val="0"/>
        </w:rPr>
      </w:pPr>
      <w:r>
        <w:rPr>
          <w:i/>
          <w:snapToGrid w:val="0"/>
        </w:rPr>
        <w:t>Spencer’s Brook</w:t>
      </w:r>
      <w:r>
        <w:rPr>
          <w:i/>
          <w:snapToGrid w:val="0"/>
        </w:rPr>
        <w:noBreakHyphen/>
        <w:t>Northam Railway Extension</w:t>
      </w:r>
    </w:p>
    <w:p>
      <w:pPr>
        <w:pStyle w:val="MiscellaneousHeading"/>
        <w:rPr>
          <w:snapToGrid w:val="0"/>
        </w:rPr>
      </w:pPr>
      <w:r>
        <w:rPr>
          <w:snapToGrid w:val="0"/>
        </w:rPr>
        <w:t>Description of Main Line of Railway</w:t>
      </w:r>
    </w:p>
    <w:p>
      <w:pPr>
        <w:pStyle w:val="MiscellaneousBody"/>
        <w:rPr>
          <w:snapToGrid w:val="0"/>
        </w:rPr>
      </w:pPr>
      <w:r>
        <w:rPr>
          <w:snapToGrid w:val="0"/>
        </w:rPr>
        <w:t>Commencing at a point on the Spencer’s Brook</w:t>
      </w:r>
      <w:r>
        <w:rPr>
          <w:snapToGrid w:val="0"/>
        </w:rPr>
        <w:noBreakHyphen/>
        <w:t>Northam Railway about 65 miles 60 chains from Perth and proceeding thence in a north</w:t>
      </w:r>
      <w:r>
        <w:rPr>
          <w:snapToGrid w:val="0"/>
        </w:rPr>
        <w:noBreakHyphen/>
        <w:t>easterly direction for about 18 chains and thence in a north</w:t>
      </w:r>
      <w:r>
        <w:rPr>
          <w:snapToGrid w:val="0"/>
        </w:rPr>
        <w:noBreakHyphen/>
        <w:t>north</w:t>
      </w:r>
      <w:r>
        <w:rPr>
          <w:snapToGrid w:val="0"/>
        </w:rPr>
        <w:noBreakHyphen/>
        <w:t>easterly direction for about 60 chains and thence in a north</w:t>
      </w:r>
      <w:r>
        <w:rPr>
          <w:snapToGrid w:val="0"/>
        </w:rPr>
        <w:noBreakHyphen/>
        <w:t>north</w:t>
      </w:r>
      <w:r>
        <w:rPr>
          <w:snapToGrid w:val="0"/>
        </w:rPr>
        <w:noBreakHyphen/>
        <w:t>westerly direction for about 70 chains and thence in a north</w:t>
      </w:r>
      <w:r>
        <w:rPr>
          <w:snapToGrid w:val="0"/>
        </w:rPr>
        <w:noBreakHyphen/>
        <w:t xml:space="preserve">westerly direction for about 30 chains terminating at the easterly end of the new marshalling yard to be constructed on the route of the standard gauge railway and being more particularly delineated and shown in red on map marked C.E. Plan 53377 deposited pursuant to the </w:t>
      </w:r>
      <w:r>
        <w:rPr>
          <w:i/>
          <w:snapToGrid w:val="0"/>
        </w:rPr>
        <w:t>Public Works Act 1902</w:t>
      </w:r>
      <w:r>
        <w:rPr>
          <w:snapToGrid w:val="0"/>
        </w:rPr>
        <w:t>, section 96.</w:t>
      </w:r>
    </w:p>
    <w:p>
      <w:pPr>
        <w:pStyle w:val="MiscellaneousBody"/>
        <w:rPr>
          <w:snapToGrid w:val="0"/>
        </w:rPr>
      </w:pPr>
      <w:r>
        <w:rPr>
          <w:snapToGrid w:val="0"/>
        </w:rPr>
        <w:t>Total length about 2 miles 18 chains.</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8" w:name="_Toc104015316"/>
      <w:bookmarkStart w:id="19" w:name="_Toc104015332"/>
      <w:bookmarkStart w:id="20" w:name="_Toc104172652"/>
      <w:bookmarkStart w:id="21" w:name="_Toc104196141"/>
      <w:bookmarkStart w:id="22" w:name="_Toc107192842"/>
      <w:bookmarkStart w:id="23" w:name="_Toc267917738"/>
      <w:bookmarkStart w:id="24" w:name="_Toc267917942"/>
      <w:r>
        <w:t>Notes</w:t>
      </w:r>
      <w:bookmarkEnd w:id="18"/>
      <w:bookmarkEnd w:id="19"/>
      <w:bookmarkEnd w:id="20"/>
      <w:bookmarkEnd w:id="21"/>
      <w:bookmarkEnd w:id="22"/>
      <w:bookmarkEnd w:id="23"/>
      <w:bookmarkEnd w:id="24"/>
    </w:p>
    <w:p>
      <w:pPr>
        <w:pStyle w:val="nSubsection"/>
        <w:rPr>
          <w:snapToGrid w:val="0"/>
        </w:rPr>
      </w:pPr>
      <w:r>
        <w:rPr>
          <w:snapToGrid w:val="0"/>
          <w:vertAlign w:val="superscript"/>
        </w:rPr>
        <w:t>1</w:t>
      </w:r>
      <w:r>
        <w:rPr>
          <w:snapToGrid w:val="0"/>
        </w:rPr>
        <w:tab/>
        <w:t xml:space="preserve">This is a </w:t>
      </w:r>
      <w:del w:id="25" w:author="svcMRProcess" w:date="2015-11-06T01:09:00Z">
        <w:r>
          <w:rPr>
            <w:snapToGrid w:val="0"/>
          </w:rPr>
          <w:delText>reprint as at 10 June 2005</w:delText>
        </w:r>
      </w:del>
      <w:ins w:id="26" w:author="svcMRProcess" w:date="2015-11-06T01:09:00Z">
        <w:r>
          <w:rPr>
            <w:snapToGrid w:val="0"/>
          </w:rPr>
          <w:t>compilation</w:t>
        </w:r>
      </w:ins>
      <w:r>
        <w:rPr>
          <w:snapToGrid w:val="0"/>
        </w:rPr>
        <w:t xml:space="preserve"> of the </w:t>
      </w:r>
      <w:r>
        <w:rPr>
          <w:i/>
          <w:noProof/>
          <w:snapToGrid w:val="0"/>
        </w:rPr>
        <w:t>Spencer’s Brook-Northam Railway Extension Act 1963</w:t>
      </w:r>
      <w:r>
        <w:rPr>
          <w:snapToGrid w:val="0"/>
        </w:rPr>
        <w:t>.  The following table contains information about that Act and any reprint</w:t>
      </w:r>
      <w:ins w:id="27" w:author="svcMRProcess" w:date="2015-11-06T01:09:00Z">
        <w:r>
          <w:rPr>
            <w:snapToGrid w:val="0"/>
          </w:rPr>
          <w:t xml:space="preserve"> </w:t>
        </w:r>
        <w:r>
          <w:rPr>
            <w:snapToGrid w:val="0"/>
            <w:vertAlign w:val="superscript"/>
          </w:rPr>
          <w:t>1a</w:t>
        </w:r>
      </w:ins>
      <w:r>
        <w:rPr>
          <w:snapToGrid w:val="0"/>
        </w:rPr>
        <w:t xml:space="preserve">. </w:t>
      </w:r>
    </w:p>
    <w:p>
      <w:pPr>
        <w:pStyle w:val="nHeading3"/>
        <w:rPr>
          <w:snapToGrid w:val="0"/>
        </w:rPr>
      </w:pPr>
      <w:bookmarkStart w:id="28" w:name="_Toc107192843"/>
      <w:bookmarkStart w:id="29" w:name="_Toc267917943"/>
      <w:r>
        <w:rPr>
          <w:snapToGrid w:val="0"/>
        </w:rPr>
        <w:t>Compilation table</w:t>
      </w:r>
      <w:bookmarkEnd w:id="28"/>
      <w:bookmarkEnd w:id="29"/>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Spencer’s Brook</w:t>
            </w:r>
            <w:r>
              <w:rPr>
                <w:i/>
                <w:sz w:val="19"/>
              </w:rPr>
              <w:noBreakHyphen/>
              <w:t>Northam Railway Extension Act 1963</w:t>
            </w:r>
          </w:p>
        </w:tc>
        <w:tc>
          <w:tcPr>
            <w:tcW w:w="1134" w:type="dxa"/>
            <w:tcBorders>
              <w:top w:val="single" w:sz="8" w:space="0" w:color="auto"/>
            </w:tcBorders>
          </w:tcPr>
          <w:p>
            <w:pPr>
              <w:pStyle w:val="nTable"/>
              <w:spacing w:after="40"/>
              <w:rPr>
                <w:sz w:val="19"/>
              </w:rPr>
            </w:pPr>
            <w:r>
              <w:rPr>
                <w:sz w:val="19"/>
              </w:rPr>
              <w:t>18 of 1963</w:t>
            </w:r>
          </w:p>
        </w:tc>
        <w:tc>
          <w:tcPr>
            <w:tcW w:w="1134" w:type="dxa"/>
            <w:tcBorders>
              <w:top w:val="single" w:sz="8" w:space="0" w:color="auto"/>
            </w:tcBorders>
          </w:tcPr>
          <w:p>
            <w:pPr>
              <w:pStyle w:val="nTable"/>
              <w:spacing w:after="40"/>
              <w:rPr>
                <w:sz w:val="19"/>
              </w:rPr>
            </w:pPr>
            <w:r>
              <w:rPr>
                <w:sz w:val="19"/>
              </w:rPr>
              <w:t>5 Nov 1963</w:t>
            </w:r>
          </w:p>
        </w:tc>
        <w:tc>
          <w:tcPr>
            <w:tcW w:w="2551" w:type="dxa"/>
            <w:tcBorders>
              <w:top w:val="single" w:sz="8" w:space="0" w:color="auto"/>
            </w:tcBorders>
          </w:tcPr>
          <w:p>
            <w:pPr>
              <w:pStyle w:val="nTable"/>
              <w:spacing w:after="40"/>
              <w:rPr>
                <w:sz w:val="19"/>
              </w:rPr>
            </w:pPr>
            <w:r>
              <w:rPr>
                <w:sz w:val="19"/>
              </w:rPr>
              <w:t>5 Nov 1963</w:t>
            </w:r>
          </w:p>
        </w:tc>
      </w:tr>
      <w:tr>
        <w:trPr>
          <w:cantSplit/>
        </w:trPr>
        <w:tc>
          <w:tcPr>
            <w:tcW w:w="7087" w:type="dxa"/>
            <w:gridSpan w:val="4"/>
            <w:tcBorders>
              <w:bottom w:val="single" w:sz="8" w:space="0" w:color="auto"/>
            </w:tcBorders>
          </w:tcPr>
          <w:p>
            <w:pPr>
              <w:pStyle w:val="nTable"/>
              <w:spacing w:after="40"/>
              <w:rPr>
                <w:b/>
                <w:bCs/>
                <w:sz w:val="19"/>
              </w:rPr>
            </w:pPr>
            <w:r>
              <w:rPr>
                <w:b/>
                <w:bCs/>
                <w:sz w:val="19"/>
              </w:rPr>
              <w:t xml:space="preserve">Reprint 1: The </w:t>
            </w:r>
            <w:r>
              <w:rPr>
                <w:b/>
                <w:bCs/>
                <w:i/>
                <w:sz w:val="19"/>
              </w:rPr>
              <w:t>Spencer’s Brook</w:t>
            </w:r>
            <w:r>
              <w:rPr>
                <w:b/>
                <w:bCs/>
                <w:i/>
                <w:sz w:val="19"/>
              </w:rPr>
              <w:noBreakHyphen/>
              <w:t>Northam Railway Extension Act 1963</w:t>
            </w:r>
            <w:r>
              <w:rPr>
                <w:b/>
                <w:bCs/>
                <w:sz w:val="19"/>
              </w:rPr>
              <w:t xml:space="preserve"> as at 10 Jun 2005</w:t>
            </w:r>
          </w:p>
        </w:tc>
      </w:tr>
    </w:tbl>
    <w:p>
      <w:pPr>
        <w:pStyle w:val="nSubsection"/>
        <w:tabs>
          <w:tab w:val="clear" w:pos="454"/>
          <w:tab w:val="left" w:pos="567"/>
        </w:tabs>
        <w:spacing w:before="120"/>
        <w:ind w:left="567" w:hanging="567"/>
        <w:rPr>
          <w:ins w:id="30" w:author="svcMRProcess" w:date="2015-11-06T01:09:00Z"/>
          <w:snapToGrid w:val="0"/>
        </w:rPr>
      </w:pPr>
      <w:ins w:id="31" w:author="svcMRProcess" w:date="2015-11-06T01:0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2" w:author="svcMRProcess" w:date="2015-11-06T01:09:00Z"/>
        </w:rPr>
      </w:pPr>
      <w:bookmarkStart w:id="33" w:name="_Toc7405065"/>
      <w:bookmarkStart w:id="34" w:name="_Toc267917944"/>
      <w:ins w:id="35" w:author="svcMRProcess" w:date="2015-11-06T01:09:00Z">
        <w:r>
          <w:t>Provisions that have not come into operation</w:t>
        </w:r>
        <w:bookmarkEnd w:id="33"/>
        <w:bookmarkEnd w:id="34"/>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36" w:author="svcMRProcess" w:date="2015-11-06T01:09:00Z"/>
        </w:trPr>
        <w:tc>
          <w:tcPr>
            <w:tcW w:w="2266" w:type="dxa"/>
          </w:tcPr>
          <w:p>
            <w:pPr>
              <w:pStyle w:val="nTable"/>
              <w:spacing w:after="40"/>
              <w:rPr>
                <w:ins w:id="37" w:author="svcMRProcess" w:date="2015-11-06T01:09:00Z"/>
                <w:b/>
                <w:snapToGrid w:val="0"/>
                <w:sz w:val="19"/>
                <w:lang w:val="en-US"/>
              </w:rPr>
            </w:pPr>
            <w:ins w:id="38" w:author="svcMRProcess" w:date="2015-11-06T01:09:00Z">
              <w:r>
                <w:rPr>
                  <w:b/>
                  <w:snapToGrid w:val="0"/>
                  <w:sz w:val="19"/>
                  <w:lang w:val="en-US"/>
                </w:rPr>
                <w:t>Short title</w:t>
              </w:r>
            </w:ins>
          </w:p>
        </w:tc>
        <w:tc>
          <w:tcPr>
            <w:tcW w:w="1120" w:type="dxa"/>
          </w:tcPr>
          <w:p>
            <w:pPr>
              <w:pStyle w:val="nTable"/>
              <w:spacing w:after="40"/>
              <w:rPr>
                <w:ins w:id="39" w:author="svcMRProcess" w:date="2015-11-06T01:09:00Z"/>
                <w:b/>
                <w:snapToGrid w:val="0"/>
                <w:sz w:val="19"/>
                <w:lang w:val="en-US"/>
              </w:rPr>
            </w:pPr>
            <w:ins w:id="40" w:author="svcMRProcess" w:date="2015-11-06T01:09:00Z">
              <w:r>
                <w:rPr>
                  <w:b/>
                  <w:snapToGrid w:val="0"/>
                  <w:sz w:val="19"/>
                  <w:lang w:val="en-US"/>
                </w:rPr>
                <w:t>Number and year</w:t>
              </w:r>
            </w:ins>
          </w:p>
        </w:tc>
        <w:tc>
          <w:tcPr>
            <w:tcW w:w="1135" w:type="dxa"/>
          </w:tcPr>
          <w:p>
            <w:pPr>
              <w:pStyle w:val="nTable"/>
              <w:spacing w:after="40"/>
              <w:rPr>
                <w:ins w:id="41" w:author="svcMRProcess" w:date="2015-11-06T01:09:00Z"/>
                <w:b/>
                <w:snapToGrid w:val="0"/>
                <w:sz w:val="19"/>
                <w:lang w:val="en-US"/>
              </w:rPr>
            </w:pPr>
            <w:ins w:id="42" w:author="svcMRProcess" w:date="2015-11-06T01:09:00Z">
              <w:r>
                <w:rPr>
                  <w:b/>
                  <w:snapToGrid w:val="0"/>
                  <w:sz w:val="19"/>
                  <w:lang w:val="en-US"/>
                </w:rPr>
                <w:t>Assent</w:t>
              </w:r>
            </w:ins>
          </w:p>
        </w:tc>
        <w:tc>
          <w:tcPr>
            <w:tcW w:w="2534" w:type="dxa"/>
          </w:tcPr>
          <w:p>
            <w:pPr>
              <w:pStyle w:val="nTable"/>
              <w:spacing w:after="40"/>
              <w:rPr>
                <w:ins w:id="43" w:author="svcMRProcess" w:date="2015-11-06T01:09:00Z"/>
                <w:b/>
                <w:snapToGrid w:val="0"/>
                <w:sz w:val="19"/>
                <w:lang w:val="en-US"/>
              </w:rPr>
            </w:pPr>
            <w:ins w:id="44" w:author="svcMRProcess" w:date="2015-11-06T01:09:00Z">
              <w:r>
                <w:rPr>
                  <w:b/>
                  <w:snapToGrid w:val="0"/>
                  <w:sz w:val="19"/>
                  <w:lang w:val="en-US"/>
                </w:rPr>
                <w:t>Commencement</w:t>
              </w:r>
            </w:ins>
          </w:p>
        </w:tc>
      </w:tr>
      <w:tr>
        <w:tblPrEx>
          <w:tblCellMar>
            <w:left w:w="56" w:type="dxa"/>
            <w:right w:w="56" w:type="dxa"/>
          </w:tblCellMar>
        </w:tblPrEx>
        <w:trPr>
          <w:cantSplit/>
          <w:ins w:id="45" w:author="svcMRProcess" w:date="2015-11-06T01:09:00Z"/>
        </w:trPr>
        <w:tc>
          <w:tcPr>
            <w:tcW w:w="2266" w:type="dxa"/>
          </w:tcPr>
          <w:p>
            <w:pPr>
              <w:pStyle w:val="nTable"/>
              <w:spacing w:after="40"/>
              <w:ind w:right="113"/>
              <w:rPr>
                <w:ins w:id="46" w:author="svcMRProcess" w:date="2015-11-06T01:09:00Z"/>
                <w:iCs/>
                <w:snapToGrid w:val="0"/>
                <w:sz w:val="19"/>
                <w:lang w:val="en-US"/>
              </w:rPr>
            </w:pPr>
            <w:ins w:id="47" w:author="svcMRProcess" w:date="2015-11-06T01:09:00Z">
              <w:r>
                <w:rPr>
                  <w:i/>
                  <w:snapToGrid w:val="0"/>
                  <w:sz w:val="19"/>
                  <w:lang w:val="en-US"/>
                </w:rPr>
                <w:t>Standardisation of Formatting Act 2010</w:t>
              </w:r>
              <w:r>
                <w:rPr>
                  <w:iCs/>
                  <w:snapToGrid w:val="0"/>
                  <w:sz w:val="19"/>
                  <w:lang w:val="en-US"/>
                </w:rPr>
                <w:t xml:space="preserve"> s. 5 </w:t>
              </w:r>
              <w:r>
                <w:rPr>
                  <w:iCs/>
                  <w:snapToGrid w:val="0"/>
                  <w:sz w:val="19"/>
                  <w:vertAlign w:val="superscript"/>
                  <w:lang w:val="en-US"/>
                </w:rPr>
                <w:t>2</w:t>
              </w:r>
            </w:ins>
          </w:p>
        </w:tc>
        <w:tc>
          <w:tcPr>
            <w:tcW w:w="1120" w:type="dxa"/>
          </w:tcPr>
          <w:p>
            <w:pPr>
              <w:pStyle w:val="nTable"/>
              <w:spacing w:after="40"/>
              <w:rPr>
                <w:ins w:id="48" w:author="svcMRProcess" w:date="2015-11-06T01:09:00Z"/>
                <w:snapToGrid w:val="0"/>
                <w:sz w:val="19"/>
                <w:lang w:val="en-US"/>
              </w:rPr>
            </w:pPr>
            <w:ins w:id="49" w:author="svcMRProcess" w:date="2015-11-06T01:09:00Z">
              <w:r>
                <w:rPr>
                  <w:snapToGrid w:val="0"/>
                  <w:sz w:val="19"/>
                  <w:lang w:val="en-US"/>
                </w:rPr>
                <w:t>19 of 2010</w:t>
              </w:r>
            </w:ins>
          </w:p>
        </w:tc>
        <w:tc>
          <w:tcPr>
            <w:tcW w:w="1135" w:type="dxa"/>
          </w:tcPr>
          <w:p>
            <w:pPr>
              <w:pStyle w:val="nTable"/>
              <w:spacing w:after="40"/>
              <w:rPr>
                <w:ins w:id="50" w:author="svcMRProcess" w:date="2015-11-06T01:09:00Z"/>
                <w:snapToGrid w:val="0"/>
                <w:sz w:val="19"/>
                <w:lang w:val="en-US"/>
              </w:rPr>
            </w:pPr>
            <w:ins w:id="51" w:author="svcMRProcess" w:date="2015-11-06T01:09:00Z">
              <w:r>
                <w:rPr>
                  <w:snapToGrid w:val="0"/>
                  <w:sz w:val="19"/>
                  <w:lang w:val="en-US"/>
                </w:rPr>
                <w:t>28 Jun 2010</w:t>
              </w:r>
            </w:ins>
          </w:p>
        </w:tc>
        <w:tc>
          <w:tcPr>
            <w:tcW w:w="2534" w:type="dxa"/>
          </w:tcPr>
          <w:p>
            <w:pPr>
              <w:pStyle w:val="nTable"/>
              <w:spacing w:after="40"/>
              <w:rPr>
                <w:ins w:id="52" w:author="svcMRProcess" w:date="2015-11-06T01:09:00Z"/>
                <w:snapToGrid w:val="0"/>
                <w:sz w:val="19"/>
                <w:lang w:val="en-US"/>
              </w:rPr>
            </w:pPr>
            <w:ins w:id="53" w:author="svcMRProcess" w:date="2015-11-06T01:09:00Z">
              <w:r>
                <w:rPr>
                  <w:snapToGrid w:val="0"/>
                  <w:sz w:val="19"/>
                  <w:lang w:val="en-US"/>
                </w:rPr>
                <w:t>To be proclaimed (see s. 2(b))</w:t>
              </w:r>
            </w:ins>
          </w:p>
        </w:tc>
      </w:tr>
    </w:tbl>
    <w:p>
      <w:pPr>
        <w:pStyle w:val="nSubsection"/>
        <w:keepNext/>
        <w:keepLines/>
        <w:rPr>
          <w:ins w:id="54" w:author="svcMRProcess" w:date="2015-11-06T01:09:00Z"/>
          <w:snapToGrid w:val="0"/>
        </w:rPr>
      </w:pPr>
      <w:ins w:id="55" w:author="svcMRProcess" w:date="2015-11-06T01:09: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 had not come into operation.  It reads as follows:</w:t>
        </w:r>
      </w:ins>
    </w:p>
    <w:p>
      <w:pPr>
        <w:pStyle w:val="BlankOpen"/>
        <w:rPr>
          <w:ins w:id="56" w:author="svcMRProcess" w:date="2015-11-06T01:09:00Z"/>
          <w:snapToGrid w:val="0"/>
        </w:rPr>
      </w:pPr>
    </w:p>
    <w:p>
      <w:pPr>
        <w:pStyle w:val="nzHeading5"/>
        <w:rPr>
          <w:ins w:id="57" w:author="svcMRProcess" w:date="2015-11-06T01:09:00Z"/>
        </w:rPr>
      </w:pPr>
      <w:ins w:id="58" w:author="svcMRProcess" w:date="2015-11-06T01:09:00Z">
        <w:r>
          <w:rPr>
            <w:rStyle w:val="CharSectno"/>
          </w:rPr>
          <w:t>5</w:t>
        </w:r>
        <w:r>
          <w:t>.</w:t>
        </w:r>
        <w:r>
          <w:tab/>
          <w:t>Schedule headings in railway Acts replaced</w:t>
        </w:r>
      </w:ins>
    </w:p>
    <w:p>
      <w:pPr>
        <w:pStyle w:val="nzSubsection"/>
        <w:rPr>
          <w:ins w:id="59" w:author="svcMRProcess" w:date="2015-11-06T01:09:00Z"/>
          <w:rFonts w:eastAsia="MS Mincho"/>
        </w:rPr>
      </w:pPr>
      <w:ins w:id="60" w:author="svcMRProcess" w:date="2015-11-06T01:09:00Z">
        <w:r>
          <w:rPr>
            <w:rFonts w:eastAsia="MS Mincho"/>
          </w:rPr>
          <w:tab/>
          <w:t>(1)</w:t>
        </w:r>
        <w:r>
          <w:rPr>
            <w:rFonts w:eastAsia="MS Mincho"/>
          </w:rPr>
          <w:tab/>
          <w:t>This section amends the Acts listed in the Table.</w:t>
        </w:r>
      </w:ins>
    </w:p>
    <w:p>
      <w:pPr>
        <w:pStyle w:val="nzSubsection"/>
        <w:rPr>
          <w:ins w:id="61" w:author="svcMRProcess" w:date="2015-11-06T01:09:00Z"/>
          <w:rFonts w:eastAsia="MS Mincho"/>
        </w:rPr>
      </w:pPr>
      <w:ins w:id="62" w:author="svcMRProcess" w:date="2015-11-06T01:09:00Z">
        <w:r>
          <w:rPr>
            <w:rFonts w:eastAsia="MS Mincho"/>
          </w:rPr>
          <w:tab/>
          <w:t>(2)</w:t>
        </w:r>
        <w:r>
          <w:rPr>
            <w:rFonts w:eastAsia="MS Mincho"/>
          </w:rPr>
          <w:tab/>
          <w:t xml:space="preserve">In each Schedule listed in the Table </w:t>
        </w:r>
        <w:r>
          <w:t xml:space="preserve">delete all of the Schedule </w:t>
        </w:r>
        <w:r>
          <w:rPr>
            <w:rFonts w:eastAsia="MS Mincho"/>
          </w:rPr>
          <w:t xml:space="preserve">before “Commencing at” and insert the identifier, title and shoulder note set out in the Table as a heading to the Schedule </w:t>
        </w:r>
        <w:r>
          <w:t>in the current format</w:t>
        </w:r>
        <w:r>
          <w:rPr>
            <w:rFonts w:eastAsia="MS Mincho"/>
          </w:rPr>
          <w:t>.</w:t>
        </w:r>
      </w:ins>
    </w:p>
    <w:p>
      <w:pPr>
        <w:pStyle w:val="nzMiscellaneousHeading"/>
        <w:rPr>
          <w:ins w:id="63" w:author="svcMRProcess" w:date="2015-11-06T01:09:00Z"/>
        </w:rPr>
      </w:pPr>
      <w:ins w:id="64" w:author="svcMRProcess" w:date="2015-11-06T01:09:00Z">
        <w:r>
          <w:rPr>
            <w:b/>
            <w:bCs/>
          </w:rPr>
          <w:t>Table</w:t>
        </w:r>
      </w:ins>
    </w:p>
    <w:tbl>
      <w:tblPr>
        <w:tblW w:w="6804" w:type="dxa"/>
        <w:tblInd w:w="199" w:type="dxa"/>
        <w:tblBorders>
          <w:top w:val="dotted" w:sz="4" w:space="0" w:color="auto"/>
          <w:bottom w:val="dotted" w:sz="4" w:space="0" w:color="auto"/>
          <w:insideH w:val="dotted" w:sz="4" w:space="0" w:color="auto"/>
        </w:tblBorders>
        <w:tblLayout w:type="fixed"/>
        <w:tblCellMar>
          <w:top w:w="57" w:type="dxa"/>
          <w:left w:w="57" w:type="dxa"/>
          <w:right w:w="57" w:type="dxa"/>
        </w:tblCellMar>
        <w:tblLook w:val="0000" w:firstRow="0" w:lastRow="0" w:firstColumn="0" w:lastColumn="0" w:noHBand="0" w:noVBand="0"/>
      </w:tblPr>
      <w:tblGrid>
        <w:gridCol w:w="2268"/>
        <w:gridCol w:w="1134"/>
        <w:gridCol w:w="2552"/>
        <w:gridCol w:w="850"/>
      </w:tblGrid>
      <w:tr>
        <w:trPr>
          <w:tblHeader/>
          <w:ins w:id="65" w:author="svcMRProcess" w:date="2015-11-06T01:09: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jc w:val="center"/>
              <w:rPr>
                <w:ins w:id="66" w:author="svcMRProcess" w:date="2015-11-06T01:09:00Z"/>
                <w:rFonts w:eastAsia="MS Mincho"/>
                <w:b/>
                <w:bCs/>
                <w:sz w:val="18"/>
              </w:rPr>
            </w:pPr>
            <w:ins w:id="67" w:author="svcMRProcess" w:date="2015-11-06T01:09:00Z">
              <w:r>
                <w:rPr>
                  <w:rFonts w:eastAsia="MS Mincho"/>
                  <w:b/>
                  <w:bCs/>
                  <w:sz w:val="18"/>
                </w:rPr>
                <w:t>Act</w:t>
              </w:r>
            </w:ins>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jc w:val="center"/>
              <w:rPr>
                <w:ins w:id="68" w:author="svcMRProcess" w:date="2015-11-06T01:09:00Z"/>
                <w:b/>
                <w:bCs/>
                <w:sz w:val="18"/>
              </w:rPr>
            </w:pPr>
            <w:ins w:id="69" w:author="svcMRProcess" w:date="2015-11-06T01:09: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70" w:author="svcMRProcess" w:date="2015-11-06T01:09:00Z"/>
                <w:b/>
                <w:bCs/>
                <w:sz w:val="18"/>
              </w:rPr>
            </w:pPr>
            <w:ins w:id="71" w:author="svcMRProcess" w:date="2015-11-06T01:09:00Z">
              <w:r>
                <w:rPr>
                  <w:b/>
                  <w:bCs/>
                  <w:sz w:val="18"/>
                </w:rPr>
                <w:t>Title</w:t>
              </w:r>
            </w:ins>
          </w:p>
          <w:p>
            <w:pPr>
              <w:pStyle w:val="TableAm"/>
              <w:spacing w:before="0"/>
              <w:jc w:val="center"/>
              <w:rPr>
                <w:ins w:id="72" w:author="svcMRProcess" w:date="2015-11-06T01:09:00Z"/>
                <w:b/>
                <w:bCs/>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pPr>
              <w:pStyle w:val="TableAm"/>
              <w:spacing w:before="0"/>
              <w:jc w:val="center"/>
              <w:rPr>
                <w:ins w:id="73" w:author="svcMRProcess" w:date="2015-11-06T01:09:00Z"/>
                <w:b/>
                <w:bCs/>
                <w:sz w:val="18"/>
              </w:rPr>
            </w:pPr>
            <w:ins w:id="74" w:author="svcMRProcess" w:date="2015-11-06T01:09:00Z">
              <w:r>
                <w:rPr>
                  <w:b/>
                  <w:bCs/>
                  <w:sz w:val="18"/>
                </w:rPr>
                <w:t>Shoulder note</w:t>
              </w:r>
            </w:ins>
          </w:p>
        </w:tc>
      </w:tr>
      <w:tr>
        <w:trPr>
          <w:ins w:id="75" w:author="svcMRProcess" w:date="2015-11-06T01:09: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rPr>
                <w:ins w:id="76" w:author="svcMRProcess" w:date="2015-11-06T01:09:00Z"/>
                <w:sz w:val="18"/>
              </w:rPr>
            </w:pPr>
            <w:ins w:id="77" w:author="svcMRProcess" w:date="2015-11-06T01:09:00Z">
              <w:r>
                <w:rPr>
                  <w:rFonts w:eastAsia="MS Mincho"/>
                  <w:i/>
                  <w:iCs/>
                  <w:sz w:val="18"/>
                </w:rPr>
                <w:t>Spencer’s Brook</w:t>
              </w:r>
              <w:r>
                <w:rPr>
                  <w:rFonts w:eastAsia="MS Mincho"/>
                  <w:i/>
                  <w:iCs/>
                  <w:sz w:val="18"/>
                </w:rPr>
                <w:noBreakHyphen/>
                <w:t>Northam Railway Extension Act 1963</w:t>
              </w:r>
            </w:ins>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rPr>
                <w:ins w:id="78" w:author="svcMRProcess" w:date="2015-11-06T01:09:00Z"/>
                <w:sz w:val="18"/>
              </w:rPr>
            </w:pPr>
            <w:ins w:id="79" w:author="svcMRProcess" w:date="2015-11-06T01:09: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80" w:author="svcMRProcess" w:date="2015-11-06T01:09:00Z"/>
                <w:sz w:val="18"/>
              </w:rPr>
            </w:pPr>
            <w:ins w:id="81" w:author="svcMRProcess" w:date="2015-11-06T01:09:00Z">
              <w:r>
                <w:rPr>
                  <w:rFonts w:eastAsia="MS Mincho"/>
                  <w:sz w:val="18"/>
                </w:rPr>
                <w:t xml:space="preserve">Line of Spencer’s Brook </w:t>
              </w:r>
              <w:r>
                <w:rPr>
                  <w:rFonts w:eastAsia="MS Mincho"/>
                  <w:sz w:val="18"/>
                </w:rPr>
                <w:noBreakHyphen/>
                <w:t xml:space="preserve"> Northam Railway Extension</w:t>
              </w:r>
            </w:ins>
          </w:p>
        </w:tc>
        <w:tc>
          <w:tcPr>
            <w:tcW w:w="850"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82" w:author="svcMRProcess" w:date="2015-11-06T01:09:00Z"/>
                <w:sz w:val="18"/>
              </w:rPr>
            </w:pPr>
            <w:ins w:id="83" w:author="svcMRProcess" w:date="2015-11-06T01:09:00Z">
              <w:r>
                <w:rPr>
                  <w:sz w:val="18"/>
                </w:rPr>
                <w:t>[s. 2]</w:t>
              </w:r>
            </w:ins>
          </w:p>
        </w:tc>
      </w:tr>
    </w:tbl>
    <w:p>
      <w:pPr>
        <w:pStyle w:val="BlankClose"/>
        <w:rPr>
          <w:ins w:id="84" w:author="svcMRProcess" w:date="2015-11-06T01:09:00Z"/>
        </w:rPr>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Spencer’s Brook-Northam Railway Extension Act 1963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Spencer’s Brook-Northam Railway Extension Act 1963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Spencer’s Brook-Northam Railway Extension Act 1963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Spencer’s Brook-Northam Railway Extension Act 1963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Spencer’s Brook-Northam Railway Extension Act 1963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Spencer’s Brook-Northam Railway Extension Act 1963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Spencer’s Brook-Northam Railway Extension Act 1963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Schedule </w:t>
          </w: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Spencer’s Brook-Northam Railway Extension Act 1963</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5E05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04A4B1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5A04B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AA8E8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05389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FA83CD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A6DF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B2C56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CE82AD6"/>
    <w:lvl w:ilvl="0">
      <w:start w:val="1"/>
      <w:numFmt w:val="decimal"/>
      <w:pStyle w:val="ListNumber"/>
      <w:lvlText w:val="%1."/>
      <w:lvlJc w:val="left"/>
      <w:pPr>
        <w:tabs>
          <w:tab w:val="num" w:pos="360"/>
        </w:tabs>
        <w:ind w:left="360" w:hanging="360"/>
      </w:pPr>
    </w:lvl>
  </w:abstractNum>
  <w:abstractNum w:abstractNumId="9">
    <w:nsid w:val="FFFFFF89"/>
    <w:multiLevelType w:val="singleLevel"/>
    <w:tmpl w:val="D69A51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FA8CF5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5D89E5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510</Words>
  <Characters>2600</Characters>
  <Application>Microsoft Office Word</Application>
  <DocSecurity>0</DocSecurity>
  <Lines>108</Lines>
  <Paragraphs>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3047</CharactersWithSpaces>
  <SharedDoc>false</SharedDoc>
  <HLinks>
    <vt:vector size="6" baseType="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Spencer's Brook-Northam Railway Extension Act 1963 01-a0-04 - 01-b0-01</dc:title>
  <dc:subject/>
  <dc:creator/>
  <cp:keywords/>
  <dc:description/>
  <cp:lastModifiedBy>svcMRProcess</cp:lastModifiedBy>
  <cp:revision>2</cp:revision>
  <cp:lastPrinted>2005-05-18T01:49:00Z</cp:lastPrinted>
  <dcterms:created xsi:type="dcterms:W3CDTF">2015-11-05T17:09:00Z</dcterms:created>
  <dcterms:modified xsi:type="dcterms:W3CDTF">2015-11-05T17:09:00Z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1963</vt:lpwstr>
  </property>
  <property fmtid="{D5CDD505-2E9C-101B-9397-08002B2CF9AE}" pid="3" name="CommencementDate">
    <vt:lpwstr>20100628</vt:lpwstr>
  </property>
  <property fmtid="{D5CDD505-2E9C-101B-9397-08002B2CF9AE}" pid="4" name="ReprintNo">
    <vt:lpwstr>1</vt:lpwstr>
  </property>
  <property fmtid="{D5CDD505-2E9C-101B-9397-08002B2CF9AE}" pid="5" name="DocumentType">
    <vt:lpwstr>Act</vt:lpwstr>
  </property>
  <property fmtid="{D5CDD505-2E9C-101B-9397-08002B2CF9AE}" pid="6" name="OwlsUID">
    <vt:i4>768</vt:i4>
  </property>
  <property fmtid="{D5CDD505-2E9C-101B-9397-08002B2CF9AE}" pid="7" name="FromSuffix">
    <vt:lpwstr>01-a0-04</vt:lpwstr>
  </property>
  <property fmtid="{D5CDD505-2E9C-101B-9397-08002B2CF9AE}" pid="8" name="FromAsAtDate">
    <vt:lpwstr>10 Jun 2005</vt:lpwstr>
  </property>
  <property fmtid="{D5CDD505-2E9C-101B-9397-08002B2CF9AE}" pid="9" name="ToSuffix">
    <vt:lpwstr>01-b0-01</vt:lpwstr>
  </property>
  <property fmtid="{D5CDD505-2E9C-101B-9397-08002B2CF9AE}" pid="10" name="ToAsAtDate">
    <vt:lpwstr>28 Jun 2010</vt:lpwstr>
  </property>
</Properties>
</file>