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Betting (Contracts and Securities)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2004</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Gaming and Betting (Contracts and Securities) Act 1985 </w:t>
      </w:r>
    </w:p>
    <w:p>
      <w:pPr>
        <w:pStyle w:val="LongTitle"/>
        <w:rPr>
          <w:snapToGrid w:val="0"/>
        </w:rPr>
      </w:pPr>
      <w:r>
        <w:rPr>
          <w:snapToGrid w:val="0"/>
        </w:rPr>
        <w:t>A</w:t>
      </w:r>
      <w:bookmarkStart w:id="0" w:name="_GoBack"/>
      <w:bookmarkEnd w:id="0"/>
      <w:r>
        <w:rPr>
          <w:snapToGrid w:val="0"/>
        </w:rPr>
        <w:t xml:space="preserve">n Act to amend and consolidate the law in respect of contracts, agreements and securities relating to gaming or betting, and matters incidental thereto. </w:t>
      </w:r>
    </w:p>
    <w:p>
      <w:pPr>
        <w:pStyle w:val="Heading5"/>
        <w:spacing w:before="400"/>
        <w:rPr>
          <w:snapToGrid w:val="0"/>
        </w:rPr>
      </w:pPr>
      <w:bookmarkStart w:id="1" w:name="_Toc428767577"/>
      <w:bookmarkStart w:id="2" w:name="_Toc62970733"/>
      <w:bookmarkStart w:id="3" w:name="_Toc67820462"/>
      <w:bookmarkStart w:id="4" w:name="_Toc69007224"/>
      <w:bookmarkStart w:id="5" w:name="_Toc26791770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vertAlign w:val="superscript"/>
        </w:rPr>
        <w:t> 1</w:t>
      </w:r>
      <w:r>
        <w:rPr>
          <w:snapToGrid w:val="0"/>
        </w:rPr>
        <w:t>.</w:t>
      </w:r>
    </w:p>
    <w:p>
      <w:pPr>
        <w:pStyle w:val="Heading5"/>
        <w:rPr>
          <w:snapToGrid w:val="0"/>
        </w:rPr>
      </w:pPr>
      <w:bookmarkStart w:id="6" w:name="_Toc428767578"/>
      <w:bookmarkStart w:id="7" w:name="_Toc62970734"/>
      <w:bookmarkStart w:id="8" w:name="_Toc67820463"/>
      <w:bookmarkStart w:id="9" w:name="_Toc69007225"/>
      <w:bookmarkStart w:id="10" w:name="_Toc26791770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vertAlign w:val="superscript"/>
        </w:rPr>
        <w:t> 1</w:t>
      </w:r>
      <w:r>
        <w:rPr>
          <w:snapToGrid w:val="0"/>
        </w:rPr>
        <w:t>.</w:t>
      </w:r>
    </w:p>
    <w:p>
      <w:pPr>
        <w:pStyle w:val="Heading5"/>
        <w:rPr>
          <w:snapToGrid w:val="0"/>
        </w:rPr>
      </w:pPr>
      <w:bookmarkStart w:id="11" w:name="_Toc428767579"/>
      <w:bookmarkStart w:id="12" w:name="_Toc62970735"/>
      <w:bookmarkStart w:id="13" w:name="_Toc67820464"/>
      <w:bookmarkStart w:id="14" w:name="_Toc69007226"/>
      <w:bookmarkStart w:id="15" w:name="_Toc26791770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pPr>
        <w:pStyle w:val="Subsection"/>
        <w:keepNext/>
        <w:rPr>
          <w:snapToGrid w:val="0"/>
        </w:rPr>
      </w:pPr>
      <w:r>
        <w:rPr>
          <w:snapToGrid w:val="0"/>
        </w:rPr>
        <w:tab/>
        <w:t>(2)</w:t>
      </w:r>
      <w:r>
        <w:rPr>
          <w:snapToGrid w:val="0"/>
        </w:rPr>
        <w:tab/>
        <w:t>In this Act — </w:t>
      </w:r>
    </w:p>
    <w:p>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pPr>
        <w:pStyle w:val="Defstart"/>
      </w:pPr>
      <w:r>
        <w:rPr>
          <w:b/>
        </w:rPr>
        <w:tab/>
      </w:r>
      <w:r>
        <w:rPr>
          <w:rStyle w:val="CharDefText"/>
        </w:rPr>
        <w:t>lawful gaming</w:t>
      </w:r>
      <w:r>
        <w:t xml:space="preserve"> means gaming other than unlawful gaming, and includes prescribed gaming;</w:t>
      </w:r>
    </w:p>
    <w:p>
      <w:pPr>
        <w:pStyle w:val="Defstart"/>
      </w:pPr>
      <w:r>
        <w:rPr>
          <w:b/>
        </w:rPr>
        <w:tab/>
      </w:r>
      <w:r>
        <w:rPr>
          <w:rStyle w:val="CharDefText"/>
        </w:rPr>
        <w:t>prescribed bet</w:t>
      </w:r>
      <w:r>
        <w:t xml:space="preserve"> means — </w:t>
      </w:r>
    </w:p>
    <w:p>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pPr>
        <w:pStyle w:val="Defpara"/>
      </w:pPr>
      <w:r>
        <w:tab/>
        <w:t>(b)</w:t>
      </w:r>
      <w:r>
        <w:tab/>
        <w:t>a bet made, with a person authorised to accept bets of that kind, under an Act specified in the Schedule or under a prescribed provision; or</w:t>
      </w:r>
    </w:p>
    <w:p>
      <w:pPr>
        <w:pStyle w:val="Defpara"/>
      </w:pPr>
      <w:r>
        <w:tab/>
        <w:t>(c)</w:t>
      </w:r>
      <w:r>
        <w:tab/>
        <w:t>a bet of a kind prescribed, or made in circumstances prescribed, for the purposes of this definition,</w:t>
      </w:r>
    </w:p>
    <w:p>
      <w:pPr>
        <w:pStyle w:val="Defstart"/>
      </w:pPr>
      <w:r>
        <w:tab/>
        <w:t xml:space="preserve">and </w:t>
      </w:r>
      <w:r>
        <w:rPr>
          <w:rStyle w:val="CharDefText"/>
        </w:rPr>
        <w:t>prescribed betting</w:t>
      </w:r>
      <w:r>
        <w:t xml:space="preserve"> shall be construed accordingly;</w:t>
      </w:r>
    </w:p>
    <w:p>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pPr>
        <w:pStyle w:val="Defstart"/>
      </w:pPr>
      <w:r>
        <w:rPr>
          <w:b/>
        </w:rPr>
        <w:tab/>
      </w:r>
      <w:r>
        <w:rPr>
          <w:rStyle w:val="CharDefText"/>
        </w:rPr>
        <w:t>prescribed provision</w:t>
      </w:r>
      <w:r>
        <w:t xml:space="preserve"> means a provision of an Act declared by the regulations to be a prescribed provision for the purposes of this Act;</w:t>
      </w:r>
    </w:p>
    <w:p>
      <w:pPr>
        <w:pStyle w:val="Defstart"/>
      </w:pPr>
      <w:r>
        <w:rPr>
          <w:b/>
        </w:rPr>
        <w:tab/>
      </w:r>
      <w:r>
        <w:rPr>
          <w:rStyle w:val="CharDefText"/>
        </w:rPr>
        <w:t>unlawful betting</w:t>
      </w:r>
      <w:r>
        <w:t xml:space="preserve"> means betting of a kind declared or deemed to be unlawful by or under any Act or law;</w:t>
      </w:r>
    </w:p>
    <w:p>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pPr>
        <w:pStyle w:val="Footnotesection"/>
      </w:pPr>
      <w:r>
        <w:tab/>
        <w:t>[Section 3 amended by No. 35 of 2003 s. 118; No. 74 of 2003 s. 57(2).]</w:t>
      </w:r>
    </w:p>
    <w:p>
      <w:pPr>
        <w:pStyle w:val="Heading5"/>
        <w:rPr>
          <w:snapToGrid w:val="0"/>
        </w:rPr>
      </w:pPr>
      <w:bookmarkStart w:id="16" w:name="_Toc428767580"/>
      <w:bookmarkStart w:id="17" w:name="_Toc62970736"/>
      <w:bookmarkStart w:id="18" w:name="_Toc67820465"/>
      <w:bookmarkStart w:id="19" w:name="_Toc69007227"/>
      <w:bookmarkStart w:id="20" w:name="_Toc267917709"/>
      <w:r>
        <w:rPr>
          <w:rStyle w:val="CharSectno"/>
        </w:rPr>
        <w:t>4</w:t>
      </w:r>
      <w:r>
        <w:rPr>
          <w:snapToGrid w:val="0"/>
        </w:rPr>
        <w:t>.</w:t>
      </w:r>
      <w:r>
        <w:rPr>
          <w:snapToGrid w:val="0"/>
        </w:rPr>
        <w:tab/>
        <w:t>Certain contracts and agreements relating to gaming and betting to be unenforceable</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pPr>
        <w:pStyle w:val="Indenti"/>
        <w:rPr>
          <w:snapToGrid w:val="0"/>
        </w:rPr>
      </w:pPr>
      <w:r>
        <w:rPr>
          <w:snapToGrid w:val="0"/>
        </w:rPr>
        <w:tab/>
        <w:t>(i)</w:t>
      </w:r>
      <w:r>
        <w:rPr>
          <w:snapToGrid w:val="0"/>
        </w:rPr>
        <w:tab/>
        <w:t>by way of gaming; or</w:t>
      </w:r>
    </w:p>
    <w:p>
      <w:pPr>
        <w:pStyle w:val="Indenti"/>
        <w:rPr>
          <w:snapToGrid w:val="0"/>
        </w:rPr>
      </w:pPr>
      <w:r>
        <w:rPr>
          <w:snapToGrid w:val="0"/>
        </w:rPr>
        <w:tab/>
        <w:t>(ii)</w:t>
      </w:r>
      <w:r>
        <w:rPr>
          <w:snapToGrid w:val="0"/>
        </w:rPr>
        <w:tab/>
        <w:t>by a bet on the chances of any player or participant in, or the outcome of, any game or race in progress or to be held,</w:t>
      </w:r>
    </w:p>
    <w:p>
      <w:pPr>
        <w:pStyle w:val="Indenta"/>
        <w:rPr>
          <w:snapToGrid w:val="0"/>
        </w:rPr>
      </w:pPr>
      <w:r>
        <w:rPr>
          <w:snapToGrid w:val="0"/>
        </w:rPr>
        <w:tab/>
      </w:r>
      <w:r>
        <w:rPr>
          <w:snapToGrid w:val="0"/>
        </w:rPr>
        <w:tab/>
        <w:t>is deemed to be drawn, accepted, made, given, granted, or entered into or executed for an illegal consideration.</w:t>
      </w:r>
    </w:p>
    <w:p>
      <w:pPr>
        <w:pStyle w:val="Subsection"/>
        <w:keepNext/>
        <w:keepLines/>
        <w:rPr>
          <w:snapToGrid w:val="0"/>
        </w:rPr>
      </w:pPr>
      <w:r>
        <w:rPr>
          <w:snapToGrid w:val="0"/>
        </w:rPr>
        <w:tab/>
        <w:t>(2)</w:t>
      </w:r>
      <w:r>
        <w:rPr>
          <w:snapToGrid w:val="0"/>
        </w:rPr>
        <w:tab/>
        <w:t>In so far as subsection (1) might but for this subsection apply to, or in relation to — </w:t>
      </w:r>
    </w:p>
    <w:p>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pPr>
        <w:pStyle w:val="Subsection"/>
        <w:rPr>
          <w:snapToGrid w:val="0"/>
        </w:rPr>
      </w:pPr>
      <w:r>
        <w:rPr>
          <w:snapToGrid w:val="0"/>
        </w:rPr>
        <w:tab/>
      </w:r>
      <w:r>
        <w:rPr>
          <w:snapToGrid w:val="0"/>
        </w:rPr>
        <w:tab/>
        <w:t>the provisions of that subsection shall not apply thereto.</w:t>
      </w:r>
    </w:p>
    <w:p>
      <w:pPr>
        <w:pStyle w:val="Heading5"/>
        <w:rPr>
          <w:snapToGrid w:val="0"/>
        </w:rPr>
      </w:pPr>
      <w:bookmarkStart w:id="21" w:name="_Toc428767581"/>
      <w:bookmarkStart w:id="22" w:name="_Toc62970737"/>
      <w:bookmarkStart w:id="23" w:name="_Toc67820466"/>
      <w:bookmarkStart w:id="24" w:name="_Toc69007228"/>
      <w:bookmarkStart w:id="25" w:name="_Toc267917710"/>
      <w:r>
        <w:rPr>
          <w:rStyle w:val="CharSectno"/>
        </w:rPr>
        <w:t>5</w:t>
      </w:r>
      <w:r>
        <w:rPr>
          <w:snapToGrid w:val="0"/>
        </w:rPr>
        <w:t>.</w:t>
      </w:r>
      <w:r>
        <w:rPr>
          <w:snapToGrid w:val="0"/>
        </w:rPr>
        <w:tab/>
        <w:t>Contracts relating to prescribed gaming or betting may be enforced etc.</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pPr>
        <w:pStyle w:val="Heading5"/>
        <w:rPr>
          <w:snapToGrid w:val="0"/>
        </w:rPr>
      </w:pPr>
      <w:bookmarkStart w:id="26" w:name="_Toc428767582"/>
      <w:bookmarkStart w:id="27" w:name="_Toc62970738"/>
      <w:bookmarkStart w:id="28" w:name="_Toc67820467"/>
      <w:bookmarkStart w:id="29" w:name="_Toc69007229"/>
      <w:bookmarkStart w:id="30" w:name="_Toc267917711"/>
      <w:r>
        <w:rPr>
          <w:rStyle w:val="CharSectno"/>
        </w:rPr>
        <w:t>6</w:t>
      </w:r>
      <w:r>
        <w:rPr>
          <w:snapToGrid w:val="0"/>
        </w:rPr>
        <w:t>.</w:t>
      </w:r>
      <w:r>
        <w:rPr>
          <w:snapToGrid w:val="0"/>
        </w:rPr>
        <w:tab/>
        <w:t>Money or security lent for lawful gaming or betting recoverable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pPr>
        <w:pStyle w:val="Heading5"/>
        <w:rPr>
          <w:snapToGrid w:val="0"/>
        </w:rPr>
      </w:pPr>
      <w:bookmarkStart w:id="31" w:name="_Toc428767583"/>
      <w:bookmarkStart w:id="32" w:name="_Toc62970739"/>
      <w:bookmarkStart w:id="33" w:name="_Toc67820468"/>
      <w:bookmarkStart w:id="34" w:name="_Toc69007230"/>
      <w:bookmarkStart w:id="35" w:name="_Toc267917712"/>
      <w:r>
        <w:rPr>
          <w:rStyle w:val="CharSectno"/>
        </w:rPr>
        <w:t>7</w:t>
      </w:r>
      <w:r>
        <w:rPr>
          <w:snapToGrid w:val="0"/>
        </w:rPr>
        <w:t>.</w:t>
      </w:r>
      <w:r>
        <w:rPr>
          <w:snapToGrid w:val="0"/>
        </w:rPr>
        <w:tab/>
        <w:t>Regulations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 w:name="_Toc62970740"/>
      <w:bookmarkStart w:id="37" w:name="_Toc67820469"/>
      <w:bookmarkStart w:id="38" w:name="_Toc69007231"/>
      <w:bookmarkStart w:id="39" w:name="_Toc267917713"/>
      <w:r>
        <w:rPr>
          <w:rStyle w:val="CharSchNo"/>
        </w:rPr>
        <w:t>Schedule</w:t>
      </w:r>
      <w:bookmarkEnd w:id="36"/>
      <w:bookmarkEnd w:id="37"/>
      <w:bookmarkEnd w:id="38"/>
      <w:bookmarkEnd w:id="39"/>
      <w:r>
        <w:rPr>
          <w:rStyle w:val="CharSchText"/>
        </w:rPr>
        <w:t xml:space="preserve"> </w:t>
      </w:r>
    </w:p>
    <w:p>
      <w:pPr>
        <w:pStyle w:val="yShoulderClause"/>
        <w:rPr>
          <w:snapToGrid w:val="0"/>
        </w:rPr>
      </w:pPr>
      <w:r>
        <w:rPr>
          <w:snapToGrid w:val="0"/>
        </w:rPr>
        <w:t>[s. 3]</w:t>
      </w:r>
    </w:p>
    <w:p>
      <w:pPr>
        <w:pStyle w:val="yNumberedItem"/>
        <w:rPr>
          <w:i/>
          <w:iCs/>
        </w:rPr>
      </w:pPr>
      <w:r>
        <w:tab/>
      </w:r>
      <w:r>
        <w:rPr>
          <w:i/>
          <w:iCs/>
        </w:rPr>
        <w:t>Racing and Wagering Western Australia Act 2003</w:t>
      </w:r>
    </w:p>
    <w:p>
      <w:pPr>
        <w:pStyle w:val="yNumberedItem"/>
        <w:rPr>
          <w:i/>
          <w:iCs/>
        </w:rPr>
      </w:pPr>
      <w:r>
        <w:tab/>
      </w:r>
      <w:r>
        <w:rPr>
          <w:i/>
          <w:iCs/>
        </w:rPr>
        <w:t>Lotteries Commission Act 1990</w:t>
      </w:r>
    </w:p>
    <w:p>
      <w:pPr>
        <w:pStyle w:val="yNumberedItem"/>
        <w:rPr>
          <w:i/>
          <w:iCs/>
        </w:rPr>
      </w:pPr>
      <w:r>
        <w:tab/>
      </w:r>
      <w:r>
        <w:rPr>
          <w:i/>
          <w:iCs/>
        </w:rPr>
        <w:t>Casino Control Act 1984</w:t>
      </w:r>
    </w:p>
    <w:p>
      <w:pPr>
        <w:pStyle w:val="yNumberedItem"/>
        <w:rPr>
          <w:i/>
          <w:iCs/>
        </w:rPr>
      </w:pPr>
      <w:r>
        <w:tab/>
      </w:r>
      <w:r>
        <w:rPr>
          <w:i/>
          <w:iCs/>
        </w:rPr>
        <w:t>Casino (Burswood Island) Agreement Act 1985</w:t>
      </w:r>
    </w:p>
    <w:p>
      <w:pPr>
        <w:pStyle w:val="yNumberedItem"/>
        <w:rPr>
          <w:i/>
          <w:iCs/>
        </w:rPr>
      </w:pPr>
      <w:r>
        <w:tab/>
      </w:r>
      <w:r>
        <w:rPr>
          <w:i/>
          <w:iCs/>
        </w:rPr>
        <w:t>Gaming and Wagering Commission Act 1987</w:t>
      </w:r>
    </w:p>
    <w:p>
      <w:pPr>
        <w:pStyle w:val="yFootnotesection"/>
      </w:pPr>
      <w:r>
        <w:tab/>
        <w:t>[Schedule amended by No. 26 of 1998 s. 23; No. 35 of 2003 s. 119; No. 74 of 2003 s. 57(3).]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 w:name="_Toc67820470"/>
      <w:bookmarkStart w:id="41" w:name="_Toc69007232"/>
      <w:bookmarkStart w:id="42" w:name="_Toc267917714"/>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Betting (Contracts and Securities) Act 1985</w:t>
      </w:r>
      <w:r>
        <w:rPr>
          <w:snapToGrid w:val="0"/>
        </w:rPr>
        <w:t xml:space="preserve"> and includes the amendments made by the other written laws referred to in the following table</w:t>
      </w:r>
      <w:ins w:id="43" w:author="svcMRProcess" w:date="2015-10-30T02:27:00Z">
        <w:r>
          <w:rPr>
            <w:snapToGrid w:val="0"/>
            <w:vertAlign w:val="superscript"/>
          </w:rPr>
          <w:t> 1a</w:t>
        </w:r>
      </w:ins>
      <w:r>
        <w:rPr>
          <w:snapToGrid w:val="0"/>
        </w:rPr>
        <w:t>.  The table also contains information about any reprint.</w:t>
      </w:r>
    </w:p>
    <w:p>
      <w:pPr>
        <w:pStyle w:val="nHeading3"/>
        <w:rPr>
          <w:snapToGrid w:val="0"/>
        </w:rPr>
      </w:pPr>
      <w:bookmarkStart w:id="44" w:name="_Toc62970741"/>
      <w:bookmarkStart w:id="45" w:name="_Toc67820471"/>
      <w:bookmarkStart w:id="46" w:name="_Toc69007233"/>
      <w:bookmarkStart w:id="47" w:name="_Toc267917715"/>
      <w:r>
        <w:rPr>
          <w:snapToGrid w:val="0"/>
        </w:rPr>
        <w:t>Compilation table</w:t>
      </w:r>
      <w:bookmarkEnd w:id="44"/>
      <w:bookmarkEnd w:id="45"/>
      <w:bookmarkEnd w:id="46"/>
      <w:bookmarkEnd w:id="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sz w:val="19"/>
              </w:rPr>
            </w:pPr>
            <w:r>
              <w:rPr>
                <w:b/>
                <w:sz w:val="19"/>
              </w:rPr>
              <w:t>Short title</w:t>
            </w:r>
          </w:p>
        </w:tc>
        <w:tc>
          <w:tcPr>
            <w:tcW w:w="1134" w:type="dxa"/>
            <w:tcBorders>
              <w:bottom w:val="nil"/>
            </w:tcBorders>
          </w:tcPr>
          <w:p>
            <w:pPr>
              <w:pStyle w:val="nTable"/>
              <w:spacing w:after="40"/>
              <w:rPr>
                <w:b/>
                <w:sz w:val="19"/>
              </w:rPr>
            </w:pPr>
            <w:r>
              <w:rPr>
                <w:b/>
                <w:sz w:val="19"/>
              </w:rPr>
              <w:t>Number and year</w:t>
            </w:r>
          </w:p>
        </w:tc>
        <w:tc>
          <w:tcPr>
            <w:tcW w:w="1134" w:type="dxa"/>
            <w:tcBorders>
              <w:bottom w:val="nil"/>
            </w:tcBorders>
          </w:tcPr>
          <w:p>
            <w:pPr>
              <w:pStyle w:val="nTable"/>
              <w:spacing w:after="40"/>
              <w:rPr>
                <w:b/>
                <w:sz w:val="19"/>
              </w:rPr>
            </w:pPr>
            <w:r>
              <w:rPr>
                <w:b/>
                <w:sz w:val="19"/>
              </w:rPr>
              <w:t>Assent</w:t>
            </w:r>
          </w:p>
        </w:tc>
        <w:tc>
          <w:tcPr>
            <w:tcW w:w="2552" w:type="dxa"/>
            <w:tcBorders>
              <w:bottom w:val="nil"/>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Gaming and Betting (Contracts and Securities) Act 1985</w:t>
            </w:r>
          </w:p>
        </w:tc>
        <w:tc>
          <w:tcPr>
            <w:tcW w:w="1134" w:type="dxa"/>
            <w:tcBorders>
              <w:bottom w:val="nil"/>
            </w:tcBorders>
          </w:tcPr>
          <w:p>
            <w:pPr>
              <w:pStyle w:val="nTable"/>
              <w:spacing w:after="40"/>
              <w:rPr>
                <w:sz w:val="19"/>
              </w:rPr>
            </w:pPr>
            <w:r>
              <w:rPr>
                <w:sz w:val="19"/>
              </w:rPr>
              <w:t>28 of 1985</w:t>
            </w:r>
          </w:p>
        </w:tc>
        <w:tc>
          <w:tcPr>
            <w:tcW w:w="1134" w:type="dxa"/>
            <w:tcBorders>
              <w:bottom w:val="nil"/>
            </w:tcBorders>
          </w:tcPr>
          <w:p>
            <w:pPr>
              <w:pStyle w:val="nTable"/>
              <w:spacing w:after="40"/>
              <w:rPr>
                <w:sz w:val="19"/>
              </w:rPr>
            </w:pPr>
            <w:r>
              <w:rPr>
                <w:sz w:val="19"/>
              </w:rPr>
              <w:t>24 Apr 1985</w:t>
            </w:r>
          </w:p>
        </w:tc>
        <w:tc>
          <w:tcPr>
            <w:tcW w:w="2552" w:type="dxa"/>
            <w:tcBorders>
              <w:bottom w:val="nil"/>
            </w:tcBorders>
          </w:tcPr>
          <w:p>
            <w:pPr>
              <w:pStyle w:val="nTable"/>
              <w:spacing w:after="40"/>
              <w:rPr>
                <w:sz w:val="19"/>
              </w:rPr>
            </w:pPr>
            <w:r>
              <w:rPr>
                <w:sz w:val="19"/>
              </w:rPr>
              <w:t xml:space="preserve">1 Jun 1985 (see s. 2 and </w:t>
            </w:r>
            <w:r>
              <w:rPr>
                <w:i/>
                <w:sz w:val="19"/>
              </w:rPr>
              <w:t>Gazette</w:t>
            </w:r>
            <w:r>
              <w:rPr>
                <w:sz w:val="19"/>
              </w:rPr>
              <w:t xml:space="preserve"> 31 May 1985 p. 1878)</w:t>
            </w:r>
          </w:p>
        </w:tc>
      </w:tr>
      <w:tr>
        <w:tc>
          <w:tcPr>
            <w:tcW w:w="2268" w:type="dxa"/>
            <w:tcBorders>
              <w:top w:val="nil"/>
              <w:bottom w:val="nil"/>
            </w:tcBorders>
          </w:tcPr>
          <w:p>
            <w:pPr>
              <w:pStyle w:val="nTable"/>
              <w:spacing w:after="40"/>
              <w:rPr>
                <w:sz w:val="19"/>
              </w:rPr>
            </w:pPr>
            <w:r>
              <w:rPr>
                <w:i/>
                <w:sz w:val="19"/>
              </w:rPr>
              <w:t>Lotteries Commission Amendment Act 1998</w:t>
            </w:r>
            <w:r>
              <w:rPr>
                <w:sz w:val="19"/>
              </w:rPr>
              <w:t xml:space="preserve"> s. 23</w:t>
            </w:r>
          </w:p>
        </w:tc>
        <w:tc>
          <w:tcPr>
            <w:tcW w:w="1134" w:type="dxa"/>
            <w:tcBorders>
              <w:top w:val="nil"/>
              <w:bottom w:val="nil"/>
            </w:tcBorders>
          </w:tcPr>
          <w:p>
            <w:pPr>
              <w:pStyle w:val="nTable"/>
              <w:spacing w:after="40"/>
              <w:rPr>
                <w:sz w:val="19"/>
              </w:rPr>
            </w:pPr>
            <w:r>
              <w:rPr>
                <w:sz w:val="19"/>
              </w:rPr>
              <w:t>26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22 Jul 1998 (see s. 2 and </w:t>
            </w:r>
            <w:r>
              <w:rPr>
                <w:i/>
                <w:sz w:val="19"/>
              </w:rPr>
              <w:t>Gazette</w:t>
            </w:r>
            <w:r>
              <w:rPr>
                <w:sz w:val="19"/>
              </w:rPr>
              <w:t xml:space="preserve"> 21 Jul 1998 p. 3825)</w:t>
            </w:r>
          </w:p>
        </w:tc>
      </w:tr>
      <w:tr>
        <w:tc>
          <w:tcPr>
            <w:tcW w:w="2268" w:type="dxa"/>
            <w:tcBorders>
              <w:top w:val="nil"/>
              <w:bottom w:val="nil"/>
            </w:tcBorders>
          </w:tcPr>
          <w:p>
            <w:pPr>
              <w:pStyle w:val="nTable"/>
              <w:spacing w:after="40"/>
              <w:rPr>
                <w:i/>
                <w:sz w:val="19"/>
              </w:rPr>
            </w:pPr>
            <w:r>
              <w:rPr>
                <w:i/>
                <w:sz w:val="19"/>
              </w:rPr>
              <w:t xml:space="preserve">Racing and Gambling Legislation Amendment and Repeal Act 2003 </w:t>
            </w:r>
            <w:r>
              <w:rPr>
                <w:sz w:val="19"/>
              </w:rPr>
              <w:t>Pt. 8</w:t>
            </w:r>
          </w:p>
        </w:tc>
        <w:tc>
          <w:tcPr>
            <w:tcW w:w="1134" w:type="dxa"/>
            <w:tcBorders>
              <w:top w:val="nil"/>
              <w:bottom w:val="nil"/>
            </w:tcBorders>
          </w:tcPr>
          <w:p>
            <w:pPr>
              <w:pStyle w:val="nTable"/>
              <w:spacing w:after="40"/>
              <w:rPr>
                <w:sz w:val="19"/>
              </w:rPr>
            </w:pPr>
            <w:r>
              <w:rPr>
                <w:sz w:val="19"/>
              </w:rPr>
              <w:t>35 of 2003</w:t>
            </w:r>
          </w:p>
        </w:tc>
        <w:tc>
          <w:tcPr>
            <w:tcW w:w="1134" w:type="dxa"/>
            <w:tcBorders>
              <w:top w:val="nil"/>
              <w:bottom w:val="nil"/>
            </w:tcBorders>
          </w:tcPr>
          <w:p>
            <w:pPr>
              <w:pStyle w:val="nTable"/>
              <w:spacing w:after="40"/>
              <w:rPr>
                <w:sz w:val="19"/>
              </w:rPr>
            </w:pPr>
            <w:r>
              <w:rPr>
                <w:sz w:val="19"/>
              </w:rPr>
              <w:t>26 Jun 2003</w:t>
            </w:r>
          </w:p>
        </w:tc>
        <w:tc>
          <w:tcPr>
            <w:tcW w:w="2552" w:type="dxa"/>
            <w:tcBorders>
              <w:top w:val="nil"/>
              <w:bottom w:val="nil"/>
            </w:tcBorders>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c>
          <w:tcPr>
            <w:tcW w:w="2268" w:type="dxa"/>
            <w:tcBorders>
              <w:top w:val="nil"/>
              <w:bottom w:val="nil"/>
            </w:tcBorders>
          </w:tcPr>
          <w:p>
            <w:pPr>
              <w:pStyle w:val="nTable"/>
              <w:spacing w:after="40"/>
              <w:rPr>
                <w:sz w:val="19"/>
              </w:rPr>
            </w:pPr>
            <w:r>
              <w:rPr>
                <w:i/>
                <w:sz w:val="19"/>
              </w:rPr>
              <w:t>Statutes (Repeals and Minor Amendments) Act 2003</w:t>
            </w:r>
            <w:r>
              <w:rPr>
                <w:sz w:val="19"/>
              </w:rPr>
              <w:t xml:space="preserve"> s. 57</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tcBorders>
          </w:tcPr>
          <w:p>
            <w:pPr>
              <w:pStyle w:val="nTable"/>
              <w:spacing w:after="40"/>
              <w:rPr>
                <w:spacing w:val="-2"/>
                <w:sz w:val="19"/>
              </w:rPr>
            </w:pPr>
            <w:r>
              <w:rPr>
                <w:b/>
                <w:spacing w:val="-2"/>
                <w:sz w:val="19"/>
              </w:rPr>
              <w:t xml:space="preserve">Reprint 1:  The </w:t>
            </w:r>
            <w:r>
              <w:rPr>
                <w:b/>
                <w:i/>
                <w:spacing w:val="-2"/>
                <w:sz w:val="19"/>
              </w:rPr>
              <w:t>Gaming and Betting (Contracts and Securities) Act 1985</w:t>
            </w:r>
            <w:r>
              <w:rPr>
                <w:b/>
                <w:spacing w:val="-2"/>
                <w:sz w:val="19"/>
              </w:rPr>
              <w:t xml:space="preserve"> as at 27 Feb 2004 </w:t>
            </w:r>
            <w:r>
              <w:rPr>
                <w:spacing w:val="-2"/>
                <w:sz w:val="19"/>
              </w:rPr>
              <w:t xml:space="preserve">(includes amendments listed above) (Correction to reprint in </w:t>
            </w:r>
            <w:r>
              <w:rPr>
                <w:i/>
                <w:spacing w:val="-2"/>
                <w:sz w:val="19"/>
              </w:rPr>
              <w:t>Gazette</w:t>
            </w:r>
            <w:r>
              <w:rPr>
                <w:spacing w:val="-2"/>
                <w:sz w:val="19"/>
              </w:rPr>
              <w:t xml:space="preserve"> 6 Apr 2004 p. 1134)</w:t>
            </w:r>
          </w:p>
        </w:tc>
      </w:tr>
    </w:tbl>
    <w:p/>
    <w:p>
      <w:pPr>
        <w:pStyle w:val="nSubsection"/>
        <w:tabs>
          <w:tab w:val="clear" w:pos="454"/>
          <w:tab w:val="left" w:pos="567"/>
        </w:tabs>
        <w:spacing w:before="120"/>
        <w:ind w:left="567" w:hanging="567"/>
        <w:rPr>
          <w:ins w:id="48" w:author="svcMRProcess" w:date="2015-10-30T02:27:00Z"/>
          <w:snapToGrid w:val="0"/>
        </w:rPr>
      </w:pPr>
      <w:ins w:id="49" w:author="svcMRProcess" w:date="2015-10-30T02: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svcMRProcess" w:date="2015-10-30T02:27:00Z"/>
        </w:rPr>
      </w:pPr>
      <w:bookmarkStart w:id="51" w:name="_Toc7405065"/>
      <w:ins w:id="52" w:author="svcMRProcess" w:date="2015-10-30T02:27:00Z">
        <w:r>
          <w:t>Provisions that have not come into operation</w:t>
        </w:r>
        <w:bookmarkEnd w:id="5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3" w:author="svcMRProcess" w:date="2015-10-30T02:27:00Z"/>
        </w:trPr>
        <w:tc>
          <w:tcPr>
            <w:tcW w:w="2266" w:type="dxa"/>
          </w:tcPr>
          <w:p>
            <w:pPr>
              <w:pStyle w:val="nTable"/>
              <w:spacing w:after="40"/>
              <w:rPr>
                <w:ins w:id="54" w:author="svcMRProcess" w:date="2015-10-30T02:27:00Z"/>
                <w:b/>
                <w:snapToGrid w:val="0"/>
                <w:sz w:val="19"/>
                <w:lang w:val="en-US"/>
              </w:rPr>
            </w:pPr>
            <w:ins w:id="55" w:author="svcMRProcess" w:date="2015-10-30T02:27:00Z">
              <w:r>
                <w:rPr>
                  <w:b/>
                  <w:snapToGrid w:val="0"/>
                  <w:sz w:val="19"/>
                  <w:lang w:val="en-US"/>
                </w:rPr>
                <w:t>Short title</w:t>
              </w:r>
            </w:ins>
          </w:p>
        </w:tc>
        <w:tc>
          <w:tcPr>
            <w:tcW w:w="1120" w:type="dxa"/>
          </w:tcPr>
          <w:p>
            <w:pPr>
              <w:pStyle w:val="nTable"/>
              <w:spacing w:after="40"/>
              <w:rPr>
                <w:ins w:id="56" w:author="svcMRProcess" w:date="2015-10-30T02:27:00Z"/>
                <w:b/>
                <w:snapToGrid w:val="0"/>
                <w:sz w:val="19"/>
                <w:lang w:val="en-US"/>
              </w:rPr>
            </w:pPr>
            <w:ins w:id="57" w:author="svcMRProcess" w:date="2015-10-30T02:27:00Z">
              <w:r>
                <w:rPr>
                  <w:b/>
                  <w:snapToGrid w:val="0"/>
                  <w:sz w:val="19"/>
                  <w:lang w:val="en-US"/>
                </w:rPr>
                <w:t>Number and year</w:t>
              </w:r>
            </w:ins>
          </w:p>
        </w:tc>
        <w:tc>
          <w:tcPr>
            <w:tcW w:w="1135" w:type="dxa"/>
          </w:tcPr>
          <w:p>
            <w:pPr>
              <w:pStyle w:val="nTable"/>
              <w:spacing w:after="40"/>
              <w:rPr>
                <w:ins w:id="58" w:author="svcMRProcess" w:date="2015-10-30T02:27:00Z"/>
                <w:b/>
                <w:snapToGrid w:val="0"/>
                <w:sz w:val="19"/>
                <w:lang w:val="en-US"/>
              </w:rPr>
            </w:pPr>
            <w:ins w:id="59" w:author="svcMRProcess" w:date="2015-10-30T02:27:00Z">
              <w:r>
                <w:rPr>
                  <w:b/>
                  <w:snapToGrid w:val="0"/>
                  <w:sz w:val="19"/>
                  <w:lang w:val="en-US"/>
                </w:rPr>
                <w:t>Assent</w:t>
              </w:r>
            </w:ins>
          </w:p>
        </w:tc>
        <w:tc>
          <w:tcPr>
            <w:tcW w:w="2534" w:type="dxa"/>
          </w:tcPr>
          <w:p>
            <w:pPr>
              <w:pStyle w:val="nTable"/>
              <w:spacing w:after="40"/>
              <w:rPr>
                <w:ins w:id="60" w:author="svcMRProcess" w:date="2015-10-30T02:27:00Z"/>
                <w:b/>
                <w:snapToGrid w:val="0"/>
                <w:sz w:val="19"/>
                <w:lang w:val="en-US"/>
              </w:rPr>
            </w:pPr>
            <w:ins w:id="61" w:author="svcMRProcess" w:date="2015-10-30T02:27:00Z">
              <w:r>
                <w:rPr>
                  <w:b/>
                  <w:snapToGrid w:val="0"/>
                  <w:sz w:val="19"/>
                  <w:lang w:val="en-US"/>
                </w:rPr>
                <w:t>Commencement</w:t>
              </w:r>
            </w:ins>
          </w:p>
        </w:tc>
      </w:tr>
      <w:tr>
        <w:tblPrEx>
          <w:tblCellMar>
            <w:left w:w="56" w:type="dxa"/>
            <w:right w:w="56" w:type="dxa"/>
          </w:tblCellMar>
        </w:tblPrEx>
        <w:trPr>
          <w:cantSplit/>
          <w:ins w:id="62" w:author="svcMRProcess" w:date="2015-10-30T02:27:00Z"/>
        </w:trPr>
        <w:tc>
          <w:tcPr>
            <w:tcW w:w="2266" w:type="dxa"/>
          </w:tcPr>
          <w:p>
            <w:pPr>
              <w:pStyle w:val="nTable"/>
              <w:spacing w:after="40"/>
              <w:ind w:right="113"/>
              <w:rPr>
                <w:ins w:id="63" w:author="svcMRProcess" w:date="2015-10-30T02:27:00Z"/>
                <w:iCs/>
                <w:snapToGrid w:val="0"/>
                <w:sz w:val="19"/>
                <w:lang w:val="en-US"/>
              </w:rPr>
            </w:pPr>
            <w:ins w:id="64" w:author="svcMRProcess" w:date="2015-10-30T02:2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65" w:author="svcMRProcess" w:date="2015-10-30T02:27:00Z"/>
                <w:snapToGrid w:val="0"/>
                <w:sz w:val="19"/>
                <w:lang w:val="en-US"/>
              </w:rPr>
            </w:pPr>
            <w:ins w:id="66" w:author="svcMRProcess" w:date="2015-10-30T02:27:00Z">
              <w:r>
                <w:rPr>
                  <w:snapToGrid w:val="0"/>
                  <w:sz w:val="19"/>
                  <w:lang w:val="en-US"/>
                </w:rPr>
                <w:t>19 of 2010</w:t>
              </w:r>
            </w:ins>
          </w:p>
        </w:tc>
        <w:tc>
          <w:tcPr>
            <w:tcW w:w="1135" w:type="dxa"/>
          </w:tcPr>
          <w:p>
            <w:pPr>
              <w:pStyle w:val="nTable"/>
              <w:spacing w:after="40"/>
              <w:rPr>
                <w:ins w:id="67" w:author="svcMRProcess" w:date="2015-10-30T02:27:00Z"/>
                <w:snapToGrid w:val="0"/>
                <w:sz w:val="19"/>
                <w:lang w:val="en-US"/>
              </w:rPr>
            </w:pPr>
            <w:ins w:id="68" w:author="svcMRProcess" w:date="2015-10-30T02:27:00Z">
              <w:r>
                <w:rPr>
                  <w:snapToGrid w:val="0"/>
                  <w:sz w:val="19"/>
                  <w:lang w:val="en-US"/>
                </w:rPr>
                <w:t>28 Jun 2010</w:t>
              </w:r>
            </w:ins>
          </w:p>
        </w:tc>
        <w:tc>
          <w:tcPr>
            <w:tcW w:w="2534" w:type="dxa"/>
          </w:tcPr>
          <w:p>
            <w:pPr>
              <w:pStyle w:val="nTable"/>
              <w:spacing w:after="40"/>
              <w:rPr>
                <w:ins w:id="69" w:author="svcMRProcess" w:date="2015-10-30T02:27:00Z"/>
                <w:snapToGrid w:val="0"/>
                <w:sz w:val="19"/>
                <w:lang w:val="en-US"/>
              </w:rPr>
            </w:pPr>
            <w:ins w:id="70" w:author="svcMRProcess" w:date="2015-10-30T02:27:00Z">
              <w:r>
                <w:rPr>
                  <w:snapToGrid w:val="0"/>
                  <w:sz w:val="19"/>
                  <w:lang w:val="en-US"/>
                </w:rPr>
                <w:t>To be proclaimed (see s. 2(b))</w:t>
              </w:r>
            </w:ins>
          </w:p>
        </w:tc>
      </w:tr>
    </w:tbl>
    <w:p>
      <w:pPr>
        <w:rPr>
          <w:ins w:id="71" w:author="svcMRProcess" w:date="2015-10-30T02:27:00Z"/>
        </w:rPr>
      </w:pPr>
    </w:p>
    <w:p>
      <w:pPr>
        <w:pStyle w:val="nSubsection"/>
        <w:rPr>
          <w:ins w:id="72" w:author="svcMRProcess" w:date="2015-10-30T02:27:00Z"/>
          <w:snapToGrid w:val="0"/>
        </w:rPr>
      </w:pPr>
      <w:ins w:id="73" w:author="svcMRProcess" w:date="2015-10-30T02:2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4" w:author="svcMRProcess" w:date="2015-10-30T02:27:00Z"/>
        </w:rPr>
      </w:pPr>
    </w:p>
    <w:p>
      <w:pPr>
        <w:pStyle w:val="nzHeading5"/>
        <w:rPr>
          <w:ins w:id="75" w:author="svcMRProcess" w:date="2015-10-30T02:27:00Z"/>
          <w:rFonts w:eastAsia="MS Mincho"/>
        </w:rPr>
      </w:pPr>
      <w:bookmarkStart w:id="76" w:name="_Toc233107675"/>
      <w:bookmarkStart w:id="77" w:name="_Toc255473698"/>
      <w:bookmarkStart w:id="78" w:name="_Toc265583753"/>
      <w:ins w:id="79" w:author="svcMRProcess" w:date="2015-10-30T02:27:00Z">
        <w:r>
          <w:rPr>
            <w:rStyle w:val="CharSectno"/>
            <w:rFonts w:eastAsia="MS Mincho"/>
          </w:rPr>
          <w:t>4</w:t>
        </w:r>
        <w:r>
          <w:rPr>
            <w:rFonts w:eastAsia="MS Mincho"/>
          </w:rPr>
          <w:t>.</w:t>
        </w:r>
        <w:r>
          <w:rPr>
            <w:rFonts w:eastAsia="MS Mincho"/>
          </w:rPr>
          <w:tab/>
          <w:t>Schedule headings reformatted</w:t>
        </w:r>
        <w:bookmarkEnd w:id="76"/>
        <w:bookmarkEnd w:id="77"/>
        <w:bookmarkEnd w:id="78"/>
      </w:ins>
    </w:p>
    <w:p>
      <w:pPr>
        <w:pStyle w:val="nzSubsection"/>
        <w:rPr>
          <w:ins w:id="80" w:author="svcMRProcess" w:date="2015-10-30T02:27:00Z"/>
          <w:rFonts w:eastAsia="MS Mincho"/>
        </w:rPr>
      </w:pPr>
      <w:ins w:id="81" w:author="svcMRProcess" w:date="2015-10-30T02:27:00Z">
        <w:r>
          <w:rPr>
            <w:rFonts w:eastAsia="MS Mincho"/>
          </w:rPr>
          <w:tab/>
          <w:t>(1)</w:t>
        </w:r>
        <w:r>
          <w:rPr>
            <w:rFonts w:eastAsia="MS Mincho"/>
          </w:rPr>
          <w:tab/>
          <w:t>This section amends the Acts listed in the Table.</w:t>
        </w:r>
      </w:ins>
    </w:p>
    <w:p>
      <w:pPr>
        <w:pStyle w:val="nzSubsection"/>
        <w:rPr>
          <w:ins w:id="82" w:author="svcMRProcess" w:date="2015-10-30T02:27:00Z"/>
        </w:rPr>
      </w:pPr>
      <w:ins w:id="83" w:author="svcMRProcess" w:date="2015-10-30T02:27:00Z">
        <w:r>
          <w:rPr>
            <w:rFonts w:eastAsia="MS Mincho"/>
          </w:rPr>
          <w:tab/>
          <w:t>(2)</w:t>
        </w:r>
        <w:r>
          <w:rPr>
            <w:rFonts w:eastAsia="MS Mincho"/>
          </w:rPr>
          <w:tab/>
          <w:t>In each Schedule listed in the Table:</w:t>
        </w:r>
      </w:ins>
    </w:p>
    <w:p>
      <w:pPr>
        <w:pStyle w:val="nzIndenta"/>
        <w:rPr>
          <w:ins w:id="84" w:author="svcMRProcess" w:date="2015-10-30T02:27:00Z"/>
        </w:rPr>
      </w:pPr>
      <w:ins w:id="85" w:author="svcMRProcess" w:date="2015-10-30T02:27:00Z">
        <w:r>
          <w:tab/>
          <w:t>(a)</w:t>
        </w:r>
        <w:r>
          <w:tab/>
          <w:t>if there is a title set out in the Table for the Schedule — after the identifier for the Schedule insert that title;</w:t>
        </w:r>
      </w:ins>
    </w:p>
    <w:p>
      <w:pPr>
        <w:pStyle w:val="nzIndenta"/>
        <w:rPr>
          <w:ins w:id="86" w:author="svcMRProcess" w:date="2015-10-30T02:27:00Z"/>
        </w:rPr>
      </w:pPr>
      <w:ins w:id="87" w:author="svcMRProcess" w:date="2015-10-30T02:27:00Z">
        <w:r>
          <w:tab/>
          <w:t>(b)</w:t>
        </w:r>
        <w:r>
          <w:tab/>
          <w:t>if there is a shoulder note set out in the Table for the Schedule — at the end of the heading to the Schedule insert that shoulder note;</w:t>
        </w:r>
      </w:ins>
    </w:p>
    <w:p>
      <w:pPr>
        <w:pStyle w:val="nzIndenta"/>
        <w:rPr>
          <w:ins w:id="88" w:author="svcMRProcess" w:date="2015-10-30T02:27:00Z"/>
        </w:rPr>
      </w:pPr>
      <w:ins w:id="89" w:author="svcMRProcess" w:date="2015-10-30T02:2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0" w:author="svcMRProcess" w:date="2015-10-30T02: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15-10-30T02:27:00Z"/>
                <w:rFonts w:eastAsia="MS Mincho"/>
                <w:b/>
                <w:bCs/>
                <w:sz w:val="18"/>
              </w:rPr>
            </w:pPr>
            <w:ins w:id="92" w:author="svcMRProcess" w:date="2015-10-30T02:2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15-10-30T02:27:00Z"/>
                <w:b/>
                <w:bCs/>
                <w:sz w:val="18"/>
              </w:rPr>
            </w:pPr>
            <w:ins w:id="94" w:author="svcMRProcess" w:date="2015-10-30T02:2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5" w:author="svcMRProcess" w:date="2015-10-30T02:27:00Z"/>
                <w:b/>
                <w:bCs/>
                <w:sz w:val="18"/>
              </w:rPr>
            </w:pPr>
            <w:ins w:id="96" w:author="svcMRProcess" w:date="2015-10-30T02:2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7" w:author="svcMRProcess" w:date="2015-10-30T02:27:00Z"/>
                <w:b/>
                <w:bCs/>
                <w:sz w:val="18"/>
              </w:rPr>
            </w:pPr>
            <w:ins w:id="98" w:author="svcMRProcess" w:date="2015-10-30T02:27:00Z">
              <w:r>
                <w:rPr>
                  <w:b/>
                  <w:bCs/>
                  <w:sz w:val="18"/>
                </w:rPr>
                <w:t>Shoulder note</w:t>
              </w:r>
            </w:ins>
          </w:p>
        </w:tc>
      </w:tr>
      <w:tr>
        <w:trPr>
          <w:ins w:id="99" w:author="svcMRProcess" w:date="2015-10-30T02: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15-10-30T02:27:00Z"/>
                <w:i/>
                <w:iCs/>
                <w:sz w:val="18"/>
              </w:rPr>
            </w:pPr>
            <w:ins w:id="101" w:author="svcMRProcess" w:date="2015-10-30T02:27:00Z">
              <w:r>
                <w:rPr>
                  <w:rFonts w:eastAsia="MS Mincho"/>
                  <w:i/>
                  <w:iCs/>
                  <w:sz w:val="18"/>
                </w:rPr>
                <w:t>Gaming and Betting (Contracts and Securities)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2" w:author="svcMRProcess" w:date="2015-10-30T02:27:00Z"/>
                <w:sz w:val="18"/>
              </w:rPr>
            </w:pPr>
            <w:ins w:id="103" w:author="svcMRProcess" w:date="2015-10-30T02:2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4" w:author="svcMRProcess" w:date="2015-10-30T02:27:00Z"/>
                <w:sz w:val="18"/>
              </w:rPr>
            </w:pPr>
            <w:ins w:id="105" w:author="svcMRProcess" w:date="2015-10-30T02:27:00Z">
              <w:r>
                <w:rPr>
                  <w:rFonts w:eastAsia="MS Mincho"/>
                  <w:sz w:val="18"/>
                </w:rPr>
                <w:t>Gaming and betting Acts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6" w:author="svcMRProcess" w:date="2015-10-30T02:27:00Z"/>
                <w:sz w:val="18"/>
              </w:rPr>
            </w:pPr>
          </w:p>
        </w:tc>
      </w:tr>
    </w:tbl>
    <w:p>
      <w:pPr>
        <w:pStyle w:val="BlankClose"/>
        <w:rPr>
          <w:ins w:id="107" w:author="svcMRProcess" w:date="2015-10-30T02:27:00Z"/>
        </w:rPr>
      </w:pPr>
    </w:p>
    <w:p>
      <w:pPr>
        <w:rPr>
          <w:ins w:id="108" w:author="svcMRProcess" w:date="2015-10-30T02:2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Betting (Contracts and Securities)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Gaming and Betting (Contracts and Securities)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Gaming and Betting (Contracts and Securities)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Betting (Contracts and Securities)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Betting (Contracts and Securities)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Betting (Contracts and Securities)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Gaming and Betting (Contracts and Securities)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Betting (Contracts and Securities)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Gaming and Betting (Contracts and Securities)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D4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A822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D4B9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509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49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CEA4F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560EE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7530</Characters>
  <Application>Microsoft Office Word</Application>
  <DocSecurity>0</DocSecurity>
  <Lines>242</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01-b0-07 - 01-c0-02</dc:title>
  <dc:subject/>
  <dc:creator/>
  <cp:keywords/>
  <dc:description/>
  <cp:lastModifiedBy>svcMRProcess</cp:lastModifiedBy>
  <cp:revision>2</cp:revision>
  <cp:lastPrinted>2004-03-16T03:04:00Z</cp:lastPrinted>
  <dcterms:created xsi:type="dcterms:W3CDTF">2015-10-29T18:27:00Z</dcterms:created>
  <dcterms:modified xsi:type="dcterms:W3CDTF">2015-10-29T18:27:00Z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310</vt:i4>
  </property>
  <property fmtid="{D5CDD505-2E9C-101B-9397-08002B2CF9AE}" pid="6" name="FromSuffix">
    <vt:lpwstr>01-b0-07</vt:lpwstr>
  </property>
  <property fmtid="{D5CDD505-2E9C-101B-9397-08002B2CF9AE}" pid="7" name="FromAsAtDate">
    <vt:lpwstr>06 Apr 2004</vt:lpwstr>
  </property>
  <property fmtid="{D5CDD505-2E9C-101B-9397-08002B2CF9AE}" pid="8" name="ToSuffix">
    <vt:lpwstr>01-c0-02</vt:lpwstr>
  </property>
  <property fmtid="{D5CDD505-2E9C-101B-9397-08002B2CF9AE}" pid="9" name="ToAsAtDate">
    <vt:lpwstr>28 Jun 2010</vt:lpwstr>
  </property>
</Properties>
</file>