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Cemeteries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1999</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Albany Cemeteries Act 1943 </w:t>
      </w:r>
    </w:p>
    <w:p>
      <w:pPr>
        <w:pStyle w:val="LongTitle"/>
        <w:spacing w:after="240"/>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
        <w:tabs>
          <w:tab w:val="clear" w:pos="567"/>
        </w:tabs>
        <w:spacing w:before="240" w:after="240"/>
        <w:ind w:left="0" w:firstLine="0"/>
        <w:rPr>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xml:space="preserve">; and whereas it is deemed desirable and expedient that the lands should become and be used as a public cemetery under the Act: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10795682"/>
      <w:bookmarkStart w:id="2" w:name="_Toc465070056"/>
      <w:bookmarkStart w:id="3" w:name="_Toc467651387"/>
      <w:bookmarkStart w:id="4" w:name="_Toc26809415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pPr>
        <w:pStyle w:val="Heading5"/>
        <w:rPr>
          <w:snapToGrid w:val="0"/>
        </w:rPr>
      </w:pPr>
      <w:bookmarkStart w:id="5" w:name="_Toc410795683"/>
      <w:bookmarkStart w:id="6" w:name="_Toc465070057"/>
      <w:bookmarkStart w:id="7" w:name="_Toc467651388"/>
      <w:bookmarkStart w:id="8" w:name="_Toc268094156"/>
      <w:r>
        <w:rPr>
          <w:rStyle w:val="CharSectno"/>
        </w:rPr>
        <w:t>2</w:t>
      </w:r>
      <w:r>
        <w:rPr>
          <w:snapToGrid w:val="0"/>
        </w:rPr>
        <w:t>.</w:t>
      </w:r>
      <w:r>
        <w:rPr>
          <w:snapToGrid w:val="0"/>
        </w:rPr>
        <w:tab/>
        <w:t>Lands revested in His Majesty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9" w:name="_Toc410795684"/>
      <w:bookmarkStart w:id="10" w:name="_Toc465070058"/>
      <w:bookmarkStart w:id="11" w:name="_Toc467651389"/>
      <w:bookmarkStart w:id="12" w:name="_Toc268094157"/>
      <w:r>
        <w:rPr>
          <w:rStyle w:val="CharSectno"/>
        </w:rPr>
        <w:t>3</w:t>
      </w:r>
      <w:r>
        <w:rPr>
          <w:snapToGrid w:val="0"/>
        </w:rPr>
        <w:t>.</w:t>
      </w:r>
      <w:r>
        <w:rPr>
          <w:snapToGrid w:val="0"/>
        </w:rPr>
        <w:tab/>
        <w:t>Land revested to be reserved as a cemetery</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pPr>
        <w:pStyle w:val="Heading5"/>
        <w:rPr>
          <w:snapToGrid w:val="0"/>
        </w:rPr>
      </w:pPr>
      <w:bookmarkStart w:id="13" w:name="_Toc410795685"/>
      <w:bookmarkStart w:id="14" w:name="_Toc465070059"/>
      <w:bookmarkStart w:id="15" w:name="_Toc467651390"/>
      <w:bookmarkStart w:id="16" w:name="_Toc268094158"/>
      <w:r>
        <w:rPr>
          <w:rStyle w:val="CharSectno"/>
        </w:rPr>
        <w:t>4</w:t>
      </w:r>
      <w:r>
        <w:rPr>
          <w:snapToGrid w:val="0"/>
        </w:rPr>
        <w:t>.</w:t>
      </w:r>
      <w:r>
        <w:rPr>
          <w:snapToGrid w:val="0"/>
        </w:rPr>
        <w:tab/>
        <w:t>Original owner of land relieved of responsibility</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pPr>
        <w:pStyle w:val="Heading5"/>
        <w:rPr>
          <w:snapToGrid w:val="0"/>
        </w:rPr>
      </w:pPr>
      <w:bookmarkStart w:id="17" w:name="_Toc410795686"/>
      <w:bookmarkStart w:id="18" w:name="_Toc465070060"/>
      <w:bookmarkStart w:id="19" w:name="_Toc467651391"/>
      <w:bookmarkStart w:id="20" w:name="_Toc268094159"/>
      <w:r>
        <w:rPr>
          <w:rStyle w:val="CharSectno"/>
        </w:rPr>
        <w:t>5</w:t>
      </w:r>
      <w:r>
        <w:rPr>
          <w:snapToGrid w:val="0"/>
        </w:rPr>
        <w:t>.</w:t>
      </w:r>
      <w:r>
        <w:rPr>
          <w:snapToGrid w:val="0"/>
        </w:rPr>
        <w:tab/>
        <w:t>Reservation of existing burial rights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21" w:name="_Toc268009588"/>
      <w:bookmarkStart w:id="22" w:name="_Toc268094160"/>
      <w:r>
        <w:rPr>
          <w:rStyle w:val="CharSchNo"/>
        </w:rPr>
        <w:t>Schedule</w:t>
      </w:r>
      <w:bookmarkEnd w:id="21"/>
      <w:bookmarkEnd w:id="22"/>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trPr>
          <w:tblHeader/>
        </w:trPr>
        <w:tc>
          <w:tcPr>
            <w:tcW w:w="1701" w:type="dxa"/>
            <w:tcBorders>
              <w:top w:val="single" w:sz="4" w:space="0" w:color="auto"/>
            </w:tcBorders>
          </w:tcPr>
          <w:p>
            <w:pPr>
              <w:pStyle w:val="yTable"/>
              <w:jc w:val="center"/>
              <w:rPr>
                <w:b/>
                <w:sz w:val="20"/>
              </w:rPr>
            </w:pPr>
            <w:r>
              <w:rPr>
                <w:b/>
                <w:sz w:val="20"/>
              </w:rPr>
              <w:t>Land</w:t>
            </w:r>
          </w:p>
        </w:tc>
        <w:tc>
          <w:tcPr>
            <w:tcW w:w="2410" w:type="dxa"/>
            <w:tcBorders>
              <w:top w:val="single" w:sz="4" w:space="0" w:color="auto"/>
            </w:tcBorders>
          </w:tcPr>
          <w:p>
            <w:pPr>
              <w:pStyle w:val="yTable"/>
              <w:jc w:val="center"/>
              <w:rPr>
                <w:b/>
                <w:sz w:val="20"/>
              </w:rPr>
            </w:pPr>
            <w:r>
              <w:rPr>
                <w:b/>
                <w:sz w:val="20"/>
              </w:rPr>
              <w:t>Instrument of Title</w:t>
            </w:r>
          </w:p>
        </w:tc>
        <w:tc>
          <w:tcPr>
            <w:tcW w:w="2977" w:type="dxa"/>
            <w:tcBorders>
              <w:top w:val="single" w:sz="4" w:space="0" w:color="auto"/>
            </w:tcBorders>
          </w:tcPr>
          <w:p>
            <w:pPr>
              <w:pStyle w:val="yTable"/>
              <w:jc w:val="center"/>
              <w:rPr>
                <w:b/>
                <w:sz w:val="20"/>
              </w:rPr>
            </w:pPr>
            <w:r>
              <w:rPr>
                <w:b/>
                <w:sz w:val="20"/>
              </w:rPr>
              <w:t>Proprietors</w:t>
            </w:r>
          </w:p>
        </w:tc>
      </w:tr>
      <w:tr>
        <w:tc>
          <w:tcPr>
            <w:tcW w:w="1701" w:type="dxa"/>
            <w:tcBorders>
              <w:top w:val="single" w:sz="4" w:space="0" w:color="auto"/>
            </w:tcBorders>
          </w:tcPr>
          <w:p>
            <w:pPr>
              <w:pStyle w:val="yTable"/>
              <w:rPr>
                <w:sz w:val="20"/>
              </w:rPr>
            </w:pPr>
            <w:r>
              <w:rPr>
                <w:sz w:val="20"/>
              </w:rPr>
              <w:t>Albany Town Lots 327 and 328</w:t>
            </w:r>
          </w:p>
        </w:tc>
        <w:tc>
          <w:tcPr>
            <w:tcW w:w="2410" w:type="dxa"/>
            <w:tcBorders>
              <w:top w:val="single" w:sz="4" w:space="0" w:color="auto"/>
            </w:tcBorders>
          </w:tcPr>
          <w:p>
            <w:pPr>
              <w:pStyle w:val="yTable"/>
              <w:rPr>
                <w:sz w:val="20"/>
              </w:rPr>
            </w:pPr>
            <w:r>
              <w:rPr>
                <w:sz w:val="20"/>
              </w:rPr>
              <w:t>Vol. 35, Fols. 172 and 173</w:t>
            </w:r>
          </w:p>
        </w:tc>
        <w:tc>
          <w:tcPr>
            <w:tcW w:w="2977" w:type="dxa"/>
            <w:tcBorders>
              <w:top w:val="single" w:sz="4" w:space="0" w:color="auto"/>
            </w:tcBorders>
          </w:tcPr>
          <w:p>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1701" w:type="dxa"/>
            <w:tcBorders>
              <w:top w:val="single" w:sz="4" w:space="0" w:color="auto"/>
            </w:tcBorders>
          </w:tcPr>
          <w:p>
            <w:pPr>
              <w:pStyle w:val="yTable"/>
              <w:rPr>
                <w:sz w:val="20"/>
              </w:rPr>
            </w:pPr>
            <w:r>
              <w:rPr>
                <w:sz w:val="20"/>
              </w:rPr>
              <w:t>Albany building Lot 329.</w:t>
            </w:r>
          </w:p>
        </w:tc>
        <w:tc>
          <w:tcPr>
            <w:tcW w:w="2410" w:type="dxa"/>
            <w:tcBorders>
              <w:top w:val="single" w:sz="4" w:space="0" w:color="auto"/>
            </w:tcBorders>
          </w:tcPr>
          <w:p>
            <w:pPr>
              <w:pStyle w:val="yTable"/>
              <w:rPr>
                <w:sz w:val="20"/>
              </w:rPr>
            </w:pPr>
            <w:r>
              <w:rPr>
                <w:sz w:val="20"/>
              </w:rPr>
              <w:t>Enrolment 1298.</w:t>
            </w:r>
          </w:p>
        </w:tc>
        <w:tc>
          <w:tcPr>
            <w:tcW w:w="2977" w:type="dxa"/>
            <w:tcBorders>
              <w:top w:val="single" w:sz="4" w:space="0" w:color="auto"/>
            </w:tcBorders>
          </w:tcPr>
          <w:p>
            <w:pPr>
              <w:pStyle w:val="yTable"/>
              <w:rPr>
                <w:sz w:val="20"/>
              </w:rPr>
            </w:pPr>
            <w:r>
              <w:rPr>
                <w:sz w:val="20"/>
              </w:rPr>
              <w:t>The Roman Catholic Bishop of Perth.</w:t>
            </w:r>
          </w:p>
        </w:tc>
      </w:tr>
      <w:tr>
        <w:tc>
          <w:tcPr>
            <w:tcW w:w="1701" w:type="dxa"/>
            <w:tcBorders>
              <w:top w:val="single" w:sz="4" w:space="0" w:color="auto"/>
              <w:bottom w:val="single" w:sz="4" w:space="0" w:color="auto"/>
            </w:tcBorders>
          </w:tcPr>
          <w:p>
            <w:pPr>
              <w:pStyle w:val="yTable"/>
              <w:rPr>
                <w:sz w:val="20"/>
              </w:rPr>
            </w:pPr>
            <w:r>
              <w:rPr>
                <w:sz w:val="20"/>
              </w:rPr>
              <w:t>Albany Allotment S. 51</w:t>
            </w:r>
          </w:p>
        </w:tc>
        <w:tc>
          <w:tcPr>
            <w:tcW w:w="2410" w:type="dxa"/>
            <w:tcBorders>
              <w:top w:val="single" w:sz="4" w:space="0" w:color="auto"/>
              <w:bottom w:val="single" w:sz="4" w:space="0" w:color="auto"/>
            </w:tcBorders>
          </w:tcPr>
          <w:p>
            <w:pPr>
              <w:pStyle w:val="yTable"/>
              <w:rPr>
                <w:sz w:val="20"/>
              </w:rPr>
            </w:pPr>
            <w:r>
              <w:rPr>
                <w:sz w:val="20"/>
              </w:rPr>
              <w:t>Enrolment 859.</w:t>
            </w:r>
          </w:p>
        </w:tc>
        <w:tc>
          <w:tcPr>
            <w:tcW w:w="2977" w:type="dxa"/>
            <w:tcBorders>
              <w:top w:val="single" w:sz="4" w:space="0" w:color="auto"/>
              <w:bottom w:val="single" w:sz="4" w:space="0" w:color="auto"/>
            </w:tcBorders>
          </w:tcPr>
          <w:p>
            <w:pPr>
              <w:pStyle w:val="yTable"/>
              <w:rPr>
                <w:sz w:val="20"/>
              </w:rPr>
            </w:pPr>
            <w:r>
              <w:rPr>
                <w:sz w:val="20"/>
              </w:rPr>
              <w:t>Frederick Goldsmith, Thomas Louch, Frederick Henry Piesse, William Lambden Owen, Arnold Edmund Piesse, Kenneth McAskell Eastman, The Diocesan Trustees, of Bunbury, Incorporated.</w:t>
            </w:r>
          </w:p>
        </w:tc>
      </w:tr>
      <w:tr>
        <w:tc>
          <w:tcPr>
            <w:tcW w:w="1701" w:type="dxa"/>
            <w:tcBorders>
              <w:bottom w:val="single" w:sz="4" w:space="0" w:color="auto"/>
            </w:tcBorders>
          </w:tcPr>
          <w:p>
            <w:pPr>
              <w:pStyle w:val="yTable"/>
              <w:rPr>
                <w:sz w:val="20"/>
              </w:rPr>
            </w:pPr>
            <w:r>
              <w:rPr>
                <w:sz w:val="20"/>
              </w:rPr>
              <w:t>Albany Lots 503 and 504.</w:t>
            </w:r>
          </w:p>
        </w:tc>
        <w:tc>
          <w:tcPr>
            <w:tcW w:w="2410" w:type="dxa"/>
            <w:tcBorders>
              <w:bottom w:val="single" w:sz="4" w:space="0" w:color="auto"/>
            </w:tcBorders>
          </w:tcPr>
          <w:p>
            <w:pPr>
              <w:pStyle w:val="yTable"/>
              <w:rPr>
                <w:sz w:val="20"/>
              </w:rPr>
            </w:pPr>
            <w:r>
              <w:rPr>
                <w:sz w:val="20"/>
              </w:rPr>
              <w:t>Vol. 68, Fols. 32 and 34.</w:t>
            </w:r>
          </w:p>
        </w:tc>
        <w:tc>
          <w:tcPr>
            <w:tcW w:w="2977" w:type="dxa"/>
            <w:tcBorders>
              <w:bottom w:val="single" w:sz="4" w:space="0" w:color="auto"/>
            </w:tcBorders>
          </w:tcPr>
          <w:p>
            <w:pPr>
              <w:pStyle w:val="yTable"/>
              <w:rPr>
                <w:sz w:val="20"/>
              </w:rPr>
            </w:pPr>
            <w:r>
              <w:rPr>
                <w:sz w:val="20"/>
              </w:rPr>
              <w:t>The Commissioners of the Presbyterian Church in Western Australia.</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 w:name="_Toc268009589"/>
      <w:bookmarkStart w:id="24" w:name="_Toc268094161"/>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all </w:t>
      </w:r>
      <w:ins w:id="25" w:author="svcMRProcess" w:date="2015-10-27T06:33:00Z">
        <w:r>
          <w:rPr>
            <w:snapToGrid w:val="0"/>
          </w:rPr>
          <w:t xml:space="preserve">the </w:t>
        </w:r>
      </w:ins>
      <w:r>
        <w:rPr>
          <w:snapToGrid w:val="0"/>
        </w:rPr>
        <w:t xml:space="preserve">amendments </w:t>
      </w:r>
      <w:del w:id="26" w:author="svcMRProcess" w:date="2015-10-27T06:33:00Z">
        <w:r>
          <w:rPr>
            <w:snapToGrid w:val="0"/>
          </w:rPr>
          <w:delText>effected</w:delText>
        </w:r>
      </w:del>
      <w:ins w:id="27" w:author="svcMRProcess" w:date="2015-10-27T06:33:00Z">
        <w:r>
          <w:rPr>
            <w:snapToGrid w:val="0"/>
          </w:rPr>
          <w:t>made</w:t>
        </w:r>
      </w:ins>
      <w:r>
        <w:rPr>
          <w:snapToGrid w:val="0"/>
        </w:rPr>
        <w:t xml:space="preserve"> by the other </w:t>
      </w:r>
      <w:del w:id="28" w:author="svcMRProcess" w:date="2015-10-27T06:33:00Z">
        <w:r>
          <w:rPr>
            <w:snapToGrid w:val="0"/>
          </w:rPr>
          <w:delText>Acts</w:delText>
        </w:r>
      </w:del>
      <w:ins w:id="29" w:author="svcMRProcess" w:date="2015-10-27T06:33:00Z">
        <w:r>
          <w:rPr>
            <w:snapToGrid w:val="0"/>
          </w:rPr>
          <w:t>written laws</w:t>
        </w:r>
      </w:ins>
      <w:r>
        <w:rPr>
          <w:snapToGrid w:val="0"/>
        </w:rPr>
        <w:t xml:space="preserve"> referred to in the following </w:t>
      </w:r>
      <w:del w:id="30" w:author="svcMRProcess" w:date="2015-10-27T06:33:00Z">
        <w:r>
          <w:rPr>
            <w:snapToGrid w:val="0"/>
          </w:rPr>
          <w:delText>Table</w:delText>
        </w:r>
      </w:del>
      <w:ins w:id="31" w:author="svcMRProcess" w:date="2015-10-27T06:33:00Z">
        <w:r>
          <w:rPr>
            <w:snapToGrid w:val="0"/>
          </w:rPr>
          <w:t>table </w:t>
        </w:r>
        <w:r>
          <w:rPr>
            <w:snapToGrid w:val="0"/>
            <w:vertAlign w:val="superscript"/>
          </w:rPr>
          <w:t>1a</w:t>
        </w:r>
      </w:ins>
      <w:r>
        <w:rPr>
          <w:snapToGrid w:val="0"/>
        </w:rPr>
        <w:t>.</w:t>
      </w:r>
    </w:p>
    <w:p>
      <w:pPr>
        <w:pStyle w:val="MiscellaneousHeading"/>
        <w:spacing w:after="80"/>
        <w:rPr>
          <w:del w:id="32" w:author="svcMRProcess" w:date="2015-10-27T06:33:00Z"/>
          <w:b/>
          <w:snapToGrid w:val="0"/>
        </w:rPr>
      </w:pPr>
      <w:bookmarkStart w:id="33" w:name="_Toc268094162"/>
      <w:del w:id="34" w:author="svcMRProcess" w:date="2015-10-27T06:33:00Z">
        <w:r>
          <w:rPr>
            <w:b/>
            <w:snapToGrid w:val="0"/>
          </w:rPr>
          <w:delText>Table of Acts</w:delText>
        </w:r>
      </w:del>
    </w:p>
    <w:p>
      <w:pPr>
        <w:pStyle w:val="nHeading3"/>
        <w:rPr>
          <w:ins w:id="35" w:author="svcMRProcess" w:date="2015-10-27T06:33:00Z"/>
          <w:snapToGrid w:val="0"/>
        </w:rPr>
      </w:pPr>
      <w:ins w:id="36" w:author="svcMRProcess" w:date="2015-10-27T06:33:00Z">
        <w:r>
          <w:rPr>
            <w:snapToGrid w:val="0"/>
          </w:rPr>
          <w:t>Compilation table</w:t>
        </w:r>
        <w:bookmarkEnd w:id="3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cellDel w:id="37" w:author="svcMRProcess" w:date="2015-10-27T06:33:00Z"/>
          </w:tcPr>
          <w:p>
            <w:pPr>
              <w:pStyle w:val="nTable"/>
              <w:spacing w:before="120" w:after="60"/>
              <w:rPr>
                <w:b/>
                <w:sz w:val="19"/>
              </w:rPr>
            </w:pPr>
            <w:del w:id="38" w:author="svcMRProcess" w:date="2015-10-27T06:33:00Z">
              <w:r>
                <w:rPr>
                  <w:b/>
                  <w:sz w:val="19"/>
                </w:rPr>
                <w:delText>Miscellaneous</w:delText>
              </w:r>
            </w:del>
          </w:p>
        </w:tc>
      </w:tr>
      <w:tr>
        <w:trPr>
          <w:cantSplit/>
        </w:trPr>
        <w:tc>
          <w:tcPr>
            <w:tcW w:w="2268" w:type="dxa"/>
            <w:tcBorders>
              <w:top w:val="single" w:sz="8" w:space="0" w:color="auto"/>
              <w:bottom w:val="single" w:sz="8" w:space="0" w:color="auto"/>
            </w:tcBorders>
          </w:tcPr>
          <w:p>
            <w:pPr>
              <w:pStyle w:val="nTable"/>
              <w:spacing w:after="40"/>
              <w:ind w:right="170"/>
              <w:rPr>
                <w:sz w:val="19"/>
              </w:rPr>
            </w:pPr>
            <w:r>
              <w:rPr>
                <w:i/>
                <w:sz w:val="19"/>
              </w:rPr>
              <w:t>Albany Cemeteries Act 1943</w:t>
            </w:r>
          </w:p>
        </w:tc>
        <w:tc>
          <w:tcPr>
            <w:tcW w:w="1134" w:type="dxa"/>
            <w:tcBorders>
              <w:top w:val="single" w:sz="8" w:space="0" w:color="auto"/>
              <w:bottom w:val="single" w:sz="8" w:space="0" w:color="auto"/>
            </w:tcBorders>
          </w:tcPr>
          <w:p>
            <w:pPr>
              <w:pStyle w:val="nTable"/>
              <w:spacing w:after="40"/>
              <w:rPr>
                <w:sz w:val="19"/>
              </w:rPr>
            </w:pPr>
            <w:r>
              <w:rPr>
                <w:sz w:val="19"/>
              </w:rPr>
              <w:t>23 of 1943</w:t>
            </w:r>
          </w:p>
        </w:tc>
        <w:tc>
          <w:tcPr>
            <w:tcW w:w="1134" w:type="dxa"/>
            <w:tcBorders>
              <w:top w:val="single" w:sz="8" w:space="0" w:color="auto"/>
              <w:bottom w:val="single" w:sz="8" w:space="0" w:color="auto"/>
            </w:tcBorders>
          </w:tcPr>
          <w:p>
            <w:pPr>
              <w:pStyle w:val="nTable"/>
              <w:spacing w:after="40"/>
              <w:rPr>
                <w:sz w:val="19"/>
              </w:rPr>
            </w:pPr>
            <w:r>
              <w:rPr>
                <w:sz w:val="19"/>
              </w:rPr>
              <w:t>25 </w:t>
            </w:r>
            <w:del w:id="39" w:author="svcMRProcess" w:date="2015-10-27T06:33:00Z">
              <w:r>
                <w:rPr>
                  <w:sz w:val="19"/>
                </w:rPr>
                <w:delText>October</w:delText>
              </w:r>
            </w:del>
            <w:ins w:id="40" w:author="svcMRProcess" w:date="2015-10-27T06:33:00Z">
              <w:r>
                <w:rPr>
                  <w:sz w:val="19"/>
                </w:rPr>
                <w:t>Oct</w:t>
              </w:r>
            </w:ins>
            <w:r>
              <w:rPr>
                <w:sz w:val="19"/>
              </w:rPr>
              <w:t xml:space="preserve"> 1943</w:t>
            </w:r>
          </w:p>
        </w:tc>
        <w:tc>
          <w:tcPr>
            <w:tcW w:w="2551" w:type="dxa"/>
            <w:tcBorders>
              <w:top w:val="single" w:sz="8" w:space="0" w:color="auto"/>
              <w:bottom w:val="single" w:sz="8" w:space="0" w:color="auto"/>
            </w:tcBorders>
          </w:tcPr>
          <w:p>
            <w:pPr>
              <w:pStyle w:val="nTable"/>
              <w:spacing w:after="40"/>
              <w:rPr>
                <w:sz w:val="19"/>
              </w:rPr>
            </w:pPr>
            <w:r>
              <w:rPr>
                <w:sz w:val="19"/>
              </w:rPr>
              <w:t>25 </w:t>
            </w:r>
            <w:del w:id="41" w:author="svcMRProcess" w:date="2015-10-27T06:33:00Z">
              <w:r>
                <w:rPr>
                  <w:sz w:val="19"/>
                </w:rPr>
                <w:delText>October</w:delText>
              </w:r>
            </w:del>
            <w:ins w:id="42" w:author="svcMRProcess" w:date="2015-10-27T06:33:00Z">
              <w:r>
                <w:rPr>
                  <w:sz w:val="19"/>
                </w:rPr>
                <w:t>Oct</w:t>
              </w:r>
            </w:ins>
            <w:r>
              <w:rPr>
                <w:sz w:val="19"/>
              </w:rPr>
              <w:t xml:space="preserve"> 1943</w:t>
            </w:r>
          </w:p>
        </w:tc>
        <w:tc>
          <w:tcPr>
            <w:tcW w:w="1417" w:type="dxa"/>
            <w:cellDel w:id="43" w:author="svcMRProcess" w:date="2015-10-27T06:33:00Z"/>
          </w:tcPr>
          <w:p>
            <w:pPr>
              <w:pStyle w:val="nTable"/>
              <w:spacing w:before="120"/>
              <w:rPr>
                <w:sz w:val="19"/>
              </w:rPr>
            </w:pPr>
          </w:p>
        </w:tc>
      </w:tr>
    </w:tbl>
    <w:p>
      <w:pPr>
        <w:pStyle w:val="nSubsection"/>
        <w:rPr>
          <w:ins w:id="44" w:author="svcMRProcess" w:date="2015-10-27T06:33:00Z"/>
          <w:vertAlign w:val="superscript"/>
        </w:rPr>
      </w:pPr>
    </w:p>
    <w:p>
      <w:pPr>
        <w:pStyle w:val="nSubsection"/>
        <w:tabs>
          <w:tab w:val="clear" w:pos="454"/>
          <w:tab w:val="left" w:pos="567"/>
        </w:tabs>
        <w:spacing w:before="120"/>
        <w:ind w:left="567" w:hanging="567"/>
        <w:rPr>
          <w:ins w:id="45" w:author="svcMRProcess" w:date="2015-10-27T06:33:00Z"/>
          <w:snapToGrid w:val="0"/>
        </w:rPr>
      </w:pPr>
      <w:ins w:id="46" w:author="svcMRProcess" w:date="2015-10-27T06: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svcMRProcess" w:date="2015-10-27T06:33:00Z"/>
        </w:rPr>
      </w:pPr>
      <w:bookmarkStart w:id="48" w:name="_Toc7405065"/>
      <w:bookmarkStart w:id="49" w:name="_Toc268094163"/>
      <w:ins w:id="50" w:author="svcMRProcess" w:date="2015-10-27T06:33:00Z">
        <w:r>
          <w:t>Provisions that have not come into operation</w:t>
        </w:r>
        <w:bookmarkEnd w:id="48"/>
        <w:bookmarkEnd w:id="4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1" w:author="svcMRProcess" w:date="2015-10-27T06:33:00Z"/>
        </w:trPr>
        <w:tc>
          <w:tcPr>
            <w:tcW w:w="2266" w:type="dxa"/>
          </w:tcPr>
          <w:p>
            <w:pPr>
              <w:pStyle w:val="nTable"/>
              <w:spacing w:after="40"/>
              <w:rPr>
                <w:ins w:id="52" w:author="svcMRProcess" w:date="2015-10-27T06:33:00Z"/>
                <w:b/>
                <w:snapToGrid w:val="0"/>
                <w:sz w:val="19"/>
                <w:lang w:val="en-US"/>
              </w:rPr>
            </w:pPr>
            <w:ins w:id="53" w:author="svcMRProcess" w:date="2015-10-27T06:33:00Z">
              <w:r>
                <w:rPr>
                  <w:b/>
                  <w:snapToGrid w:val="0"/>
                  <w:sz w:val="19"/>
                  <w:lang w:val="en-US"/>
                </w:rPr>
                <w:t>Short title</w:t>
              </w:r>
            </w:ins>
          </w:p>
        </w:tc>
        <w:tc>
          <w:tcPr>
            <w:tcW w:w="1120" w:type="dxa"/>
          </w:tcPr>
          <w:p>
            <w:pPr>
              <w:pStyle w:val="nTable"/>
              <w:spacing w:after="40"/>
              <w:rPr>
                <w:ins w:id="54" w:author="svcMRProcess" w:date="2015-10-27T06:33:00Z"/>
                <w:b/>
                <w:snapToGrid w:val="0"/>
                <w:sz w:val="19"/>
                <w:lang w:val="en-US"/>
              </w:rPr>
            </w:pPr>
            <w:ins w:id="55" w:author="svcMRProcess" w:date="2015-10-27T06:33:00Z">
              <w:r>
                <w:rPr>
                  <w:b/>
                  <w:snapToGrid w:val="0"/>
                  <w:sz w:val="19"/>
                  <w:lang w:val="en-US"/>
                </w:rPr>
                <w:t>Number and year</w:t>
              </w:r>
            </w:ins>
          </w:p>
        </w:tc>
        <w:tc>
          <w:tcPr>
            <w:tcW w:w="1135" w:type="dxa"/>
          </w:tcPr>
          <w:p>
            <w:pPr>
              <w:pStyle w:val="nTable"/>
              <w:spacing w:after="40"/>
              <w:rPr>
                <w:ins w:id="56" w:author="svcMRProcess" w:date="2015-10-27T06:33:00Z"/>
                <w:b/>
                <w:snapToGrid w:val="0"/>
                <w:sz w:val="19"/>
                <w:lang w:val="en-US"/>
              </w:rPr>
            </w:pPr>
            <w:ins w:id="57" w:author="svcMRProcess" w:date="2015-10-27T06:33:00Z">
              <w:r>
                <w:rPr>
                  <w:b/>
                  <w:snapToGrid w:val="0"/>
                  <w:sz w:val="19"/>
                  <w:lang w:val="en-US"/>
                </w:rPr>
                <w:t>Assent</w:t>
              </w:r>
            </w:ins>
          </w:p>
        </w:tc>
        <w:tc>
          <w:tcPr>
            <w:tcW w:w="2534" w:type="dxa"/>
          </w:tcPr>
          <w:p>
            <w:pPr>
              <w:pStyle w:val="nTable"/>
              <w:spacing w:after="40"/>
              <w:rPr>
                <w:ins w:id="58" w:author="svcMRProcess" w:date="2015-10-27T06:33:00Z"/>
                <w:b/>
                <w:snapToGrid w:val="0"/>
                <w:sz w:val="19"/>
                <w:lang w:val="en-US"/>
              </w:rPr>
            </w:pPr>
            <w:ins w:id="59" w:author="svcMRProcess" w:date="2015-10-27T06:33:00Z">
              <w:r>
                <w:rPr>
                  <w:b/>
                  <w:snapToGrid w:val="0"/>
                  <w:sz w:val="19"/>
                  <w:lang w:val="en-US"/>
                </w:rPr>
                <w:t>Commencement</w:t>
              </w:r>
            </w:ins>
          </w:p>
        </w:tc>
      </w:tr>
      <w:tr>
        <w:tblPrEx>
          <w:tblCellMar>
            <w:left w:w="56" w:type="dxa"/>
            <w:right w:w="56" w:type="dxa"/>
          </w:tblCellMar>
        </w:tblPrEx>
        <w:trPr>
          <w:cantSplit/>
          <w:ins w:id="60" w:author="svcMRProcess" w:date="2015-10-27T06:33:00Z"/>
        </w:trPr>
        <w:tc>
          <w:tcPr>
            <w:tcW w:w="2266" w:type="dxa"/>
          </w:tcPr>
          <w:p>
            <w:pPr>
              <w:pStyle w:val="nTable"/>
              <w:spacing w:after="40"/>
              <w:ind w:right="113"/>
              <w:rPr>
                <w:ins w:id="61" w:author="svcMRProcess" w:date="2015-10-27T06:33:00Z"/>
                <w:iCs/>
                <w:snapToGrid w:val="0"/>
                <w:sz w:val="19"/>
                <w:lang w:val="en-US"/>
              </w:rPr>
            </w:pPr>
            <w:ins w:id="62" w:author="svcMRProcess" w:date="2015-10-27T06:33: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3</w:t>
              </w:r>
            </w:ins>
          </w:p>
        </w:tc>
        <w:tc>
          <w:tcPr>
            <w:tcW w:w="1120" w:type="dxa"/>
          </w:tcPr>
          <w:p>
            <w:pPr>
              <w:pStyle w:val="nTable"/>
              <w:spacing w:after="40"/>
              <w:rPr>
                <w:ins w:id="63" w:author="svcMRProcess" w:date="2015-10-27T06:33:00Z"/>
                <w:snapToGrid w:val="0"/>
                <w:sz w:val="19"/>
                <w:lang w:val="en-US"/>
              </w:rPr>
            </w:pPr>
            <w:ins w:id="64" w:author="svcMRProcess" w:date="2015-10-27T06:33:00Z">
              <w:r>
                <w:rPr>
                  <w:snapToGrid w:val="0"/>
                  <w:sz w:val="19"/>
                  <w:lang w:val="en-US"/>
                </w:rPr>
                <w:t>19 of 2010</w:t>
              </w:r>
            </w:ins>
          </w:p>
        </w:tc>
        <w:tc>
          <w:tcPr>
            <w:tcW w:w="1135" w:type="dxa"/>
          </w:tcPr>
          <w:p>
            <w:pPr>
              <w:pStyle w:val="nTable"/>
              <w:spacing w:after="40"/>
              <w:rPr>
                <w:ins w:id="65" w:author="svcMRProcess" w:date="2015-10-27T06:33:00Z"/>
                <w:snapToGrid w:val="0"/>
                <w:sz w:val="19"/>
                <w:lang w:val="en-US"/>
              </w:rPr>
            </w:pPr>
            <w:ins w:id="66" w:author="svcMRProcess" w:date="2015-10-27T06:33:00Z">
              <w:r>
                <w:rPr>
                  <w:snapToGrid w:val="0"/>
                  <w:sz w:val="19"/>
                  <w:lang w:val="en-US"/>
                </w:rPr>
                <w:t>28 Jun 2010</w:t>
              </w:r>
            </w:ins>
          </w:p>
        </w:tc>
        <w:tc>
          <w:tcPr>
            <w:tcW w:w="2534" w:type="dxa"/>
          </w:tcPr>
          <w:p>
            <w:pPr>
              <w:pStyle w:val="nTable"/>
              <w:spacing w:after="40"/>
              <w:rPr>
                <w:ins w:id="67" w:author="svcMRProcess" w:date="2015-10-27T06:33:00Z"/>
                <w:snapToGrid w:val="0"/>
                <w:sz w:val="19"/>
                <w:lang w:val="en-US"/>
              </w:rPr>
            </w:pPr>
            <w:ins w:id="68" w:author="svcMRProcess" w:date="2015-10-27T06:33:00Z">
              <w:r>
                <w:rPr>
                  <w:snapToGrid w:val="0"/>
                  <w:sz w:val="19"/>
                  <w:lang w:val="en-US"/>
                </w:rPr>
                <w:t>To be proclaimed (see s. 2(b))</w:t>
              </w:r>
            </w:ins>
          </w:p>
        </w:tc>
      </w:tr>
    </w:tbl>
    <w:p>
      <w:pPr>
        <w:pStyle w:val="nSubsection"/>
        <w:rPr>
          <w:ins w:id="69" w:author="svcMRProcess" w:date="2015-10-27T06:33:00Z"/>
          <w:vertAlign w:val="superscript"/>
        </w:rPr>
      </w:pPr>
    </w:p>
    <w:p>
      <w:pPr>
        <w:pStyle w:val="nSubsection"/>
      </w:pPr>
      <w:r>
        <w:rPr>
          <w:vertAlign w:val="superscript"/>
        </w:rPr>
        <w:t>2</w:t>
      </w:r>
      <w:r>
        <w:tab/>
        <w:t xml:space="preserve">Repealed by the </w:t>
      </w:r>
      <w:r>
        <w:rPr>
          <w:i/>
        </w:rPr>
        <w:t>Cemeteries Act 1986</w:t>
      </w:r>
      <w:r>
        <w:t xml:space="preserve"> (No. 102 of 1986).</w:t>
      </w:r>
    </w:p>
    <w:p>
      <w:pPr>
        <w:pStyle w:val="nSubsection"/>
        <w:rPr>
          <w:ins w:id="70" w:author="svcMRProcess" w:date="2015-10-27T06:33:00Z"/>
          <w:snapToGrid w:val="0"/>
        </w:rPr>
      </w:pPr>
      <w:ins w:id="71" w:author="svcMRProcess" w:date="2015-10-27T06:3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ins>
    </w:p>
    <w:p>
      <w:pPr>
        <w:pStyle w:val="BlankOpen"/>
        <w:rPr>
          <w:ins w:id="72" w:author="svcMRProcess" w:date="2015-10-27T06:33:00Z"/>
        </w:rPr>
      </w:pPr>
    </w:p>
    <w:p>
      <w:pPr>
        <w:pStyle w:val="nzHeading5"/>
        <w:rPr>
          <w:ins w:id="73" w:author="svcMRProcess" w:date="2015-10-27T06:33:00Z"/>
          <w:rFonts w:eastAsia="MS Mincho"/>
        </w:rPr>
      </w:pPr>
      <w:bookmarkStart w:id="74" w:name="_Toc233107675"/>
      <w:bookmarkStart w:id="75" w:name="_Toc255473698"/>
      <w:bookmarkStart w:id="76" w:name="_Toc265583753"/>
      <w:ins w:id="77" w:author="svcMRProcess" w:date="2015-10-27T06:33:00Z">
        <w:r>
          <w:rPr>
            <w:rStyle w:val="CharSectno"/>
            <w:rFonts w:eastAsia="MS Mincho"/>
          </w:rPr>
          <w:t>4</w:t>
        </w:r>
        <w:r>
          <w:rPr>
            <w:rFonts w:eastAsia="MS Mincho"/>
          </w:rPr>
          <w:t>.</w:t>
        </w:r>
        <w:r>
          <w:rPr>
            <w:rFonts w:eastAsia="MS Mincho"/>
          </w:rPr>
          <w:tab/>
          <w:t>Schedule headings reformatted</w:t>
        </w:r>
        <w:bookmarkEnd w:id="74"/>
        <w:bookmarkEnd w:id="75"/>
        <w:bookmarkEnd w:id="76"/>
      </w:ins>
    </w:p>
    <w:p>
      <w:pPr>
        <w:pStyle w:val="nzSubsection"/>
        <w:rPr>
          <w:ins w:id="78" w:author="svcMRProcess" w:date="2015-10-27T06:33:00Z"/>
          <w:rFonts w:eastAsia="MS Mincho"/>
        </w:rPr>
      </w:pPr>
      <w:ins w:id="79" w:author="svcMRProcess" w:date="2015-10-27T06:33:00Z">
        <w:r>
          <w:rPr>
            <w:rFonts w:eastAsia="MS Mincho"/>
          </w:rPr>
          <w:tab/>
          <w:t>(1)</w:t>
        </w:r>
        <w:r>
          <w:rPr>
            <w:rFonts w:eastAsia="MS Mincho"/>
          </w:rPr>
          <w:tab/>
          <w:t>This section amends the Acts listed in the Table.</w:t>
        </w:r>
      </w:ins>
    </w:p>
    <w:p>
      <w:pPr>
        <w:pStyle w:val="nzSubsection"/>
        <w:rPr>
          <w:ins w:id="80" w:author="svcMRProcess" w:date="2015-10-27T06:33:00Z"/>
        </w:rPr>
      </w:pPr>
      <w:ins w:id="81" w:author="svcMRProcess" w:date="2015-10-27T06:33:00Z">
        <w:r>
          <w:rPr>
            <w:rFonts w:eastAsia="MS Mincho"/>
          </w:rPr>
          <w:tab/>
          <w:t>(2)</w:t>
        </w:r>
        <w:r>
          <w:rPr>
            <w:rFonts w:eastAsia="MS Mincho"/>
          </w:rPr>
          <w:tab/>
          <w:t>In each Schedule listed in the Table:</w:t>
        </w:r>
      </w:ins>
    </w:p>
    <w:p>
      <w:pPr>
        <w:pStyle w:val="nzIndenta"/>
        <w:rPr>
          <w:ins w:id="82" w:author="svcMRProcess" w:date="2015-10-27T06:33:00Z"/>
        </w:rPr>
      </w:pPr>
      <w:ins w:id="83" w:author="svcMRProcess" w:date="2015-10-27T06:33:00Z">
        <w:r>
          <w:tab/>
          <w:t>(a)</w:t>
        </w:r>
        <w:r>
          <w:tab/>
          <w:t>if there is a title set out in the Table for the Schedule — after the identifier for the Schedule insert that title;</w:t>
        </w:r>
      </w:ins>
    </w:p>
    <w:p>
      <w:pPr>
        <w:pStyle w:val="nzIndenta"/>
        <w:rPr>
          <w:ins w:id="84" w:author="svcMRProcess" w:date="2015-10-27T06:33:00Z"/>
        </w:rPr>
      </w:pPr>
      <w:ins w:id="85" w:author="svcMRProcess" w:date="2015-10-27T06:33:00Z">
        <w:r>
          <w:tab/>
          <w:t>(b)</w:t>
        </w:r>
        <w:r>
          <w:tab/>
          <w:t>if there is a shoulder note set out in the Table for the Schedule — at the end of the heading to the Schedule insert that shoulder note;</w:t>
        </w:r>
      </w:ins>
    </w:p>
    <w:p>
      <w:pPr>
        <w:pStyle w:val="nzIndenta"/>
        <w:rPr>
          <w:ins w:id="86" w:author="svcMRProcess" w:date="2015-10-27T06:33:00Z"/>
        </w:rPr>
      </w:pPr>
      <w:ins w:id="87" w:author="svcMRProcess" w:date="2015-10-27T06:3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8" w:author="svcMRProcess" w:date="2015-10-27T0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15-10-27T06:33:00Z"/>
                <w:rFonts w:eastAsia="MS Mincho"/>
                <w:b/>
                <w:bCs/>
                <w:sz w:val="18"/>
              </w:rPr>
            </w:pPr>
            <w:ins w:id="90" w:author="svcMRProcess" w:date="2015-10-27T06: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15-10-27T06:33:00Z"/>
                <w:b/>
                <w:bCs/>
                <w:sz w:val="18"/>
              </w:rPr>
            </w:pPr>
            <w:ins w:id="92" w:author="svcMRProcess" w:date="2015-10-27T06: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3" w:author="svcMRProcess" w:date="2015-10-27T06:33:00Z"/>
                <w:b/>
                <w:bCs/>
                <w:sz w:val="18"/>
              </w:rPr>
            </w:pPr>
            <w:ins w:id="94" w:author="svcMRProcess" w:date="2015-10-27T06: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5" w:author="svcMRProcess" w:date="2015-10-27T06:33:00Z"/>
                <w:b/>
                <w:bCs/>
                <w:sz w:val="18"/>
              </w:rPr>
            </w:pPr>
            <w:ins w:id="96" w:author="svcMRProcess" w:date="2015-10-27T06:33:00Z">
              <w:r>
                <w:rPr>
                  <w:b/>
                  <w:bCs/>
                  <w:sz w:val="18"/>
                </w:rPr>
                <w:t>Shoulder note</w:t>
              </w:r>
            </w:ins>
          </w:p>
        </w:tc>
      </w:tr>
      <w:tr>
        <w:trPr>
          <w:ins w:id="97" w:author="svcMRProcess" w:date="2015-10-27T0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15-10-27T06:33:00Z"/>
                <w:rFonts w:eastAsia="MS Mincho"/>
                <w:iCs/>
                <w:sz w:val="18"/>
              </w:rPr>
            </w:pPr>
            <w:ins w:id="99" w:author="svcMRProcess" w:date="2015-10-27T06:33:00Z">
              <w:r>
                <w:rPr>
                  <w:rFonts w:eastAsia="MS Mincho"/>
                  <w:i/>
                  <w:iCs/>
                  <w:sz w:val="18"/>
                </w:rPr>
                <w:t>Albany Cemeteries Act 1943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15-10-27T06:33:00Z"/>
                <w:sz w:val="18"/>
              </w:rPr>
            </w:pPr>
            <w:ins w:id="101" w:author="svcMRProcess" w:date="2015-10-27T06:33: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2" w:author="svcMRProcess" w:date="2015-10-27T06:33:00Z"/>
                <w:rFonts w:eastAsia="MS Mincho"/>
                <w:sz w:val="18"/>
              </w:rPr>
            </w:pPr>
            <w:ins w:id="103" w:author="svcMRProcess" w:date="2015-10-27T06:33:00Z">
              <w:r>
                <w:rPr>
                  <w:rFonts w:eastAsia="MS Mincho"/>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4" w:author="svcMRProcess" w:date="2015-10-27T06:33:00Z"/>
                <w:sz w:val="18"/>
              </w:rPr>
            </w:pPr>
            <w:ins w:id="105" w:author="svcMRProcess" w:date="2015-10-27T06:33:00Z">
              <w:r>
                <w:rPr>
                  <w:sz w:val="18"/>
                </w:rPr>
                <w:t>[s. 2]</w:t>
              </w:r>
            </w:ins>
          </w:p>
        </w:tc>
      </w:tr>
    </w:tbl>
    <w:p>
      <w:pPr>
        <w:pStyle w:val="nzHeading5"/>
        <w:spacing w:before="240"/>
        <w:rPr>
          <w:ins w:id="106" w:author="svcMRProcess" w:date="2015-10-27T06:33:00Z"/>
        </w:rPr>
      </w:pPr>
      <w:bookmarkStart w:id="107" w:name="_Toc233107852"/>
      <w:bookmarkStart w:id="108" w:name="_Toc255473745"/>
      <w:bookmarkStart w:id="109" w:name="_Toc265583800"/>
      <w:ins w:id="110" w:author="svcMRProcess" w:date="2015-10-27T06:33:00Z">
        <w:r>
          <w:rPr>
            <w:rStyle w:val="CharSectno"/>
          </w:rPr>
          <w:t>50</w:t>
        </w:r>
        <w:r>
          <w:t>.</w:t>
        </w:r>
        <w:r>
          <w:tab/>
          <w:t>Heading to preamble</w:t>
        </w:r>
        <w:bookmarkEnd w:id="107"/>
        <w:bookmarkEnd w:id="108"/>
        <w:bookmarkEnd w:id="109"/>
      </w:ins>
    </w:p>
    <w:p>
      <w:pPr>
        <w:pStyle w:val="nzSubsection"/>
        <w:rPr>
          <w:ins w:id="111" w:author="svcMRProcess" w:date="2015-10-27T06:33:00Z"/>
        </w:rPr>
      </w:pPr>
      <w:ins w:id="112" w:author="svcMRProcess" w:date="2015-10-27T06:33:00Z">
        <w:r>
          <w:tab/>
          <w:t>(1)</w:t>
        </w:r>
        <w:r>
          <w:tab/>
          <w:t>This section amends the Acts listed in the Table.</w:t>
        </w:r>
      </w:ins>
    </w:p>
    <w:p>
      <w:pPr>
        <w:pStyle w:val="nzSubsection"/>
        <w:rPr>
          <w:ins w:id="113" w:author="svcMRProcess" w:date="2015-10-27T06:33:00Z"/>
        </w:rPr>
      </w:pPr>
      <w:ins w:id="114" w:author="svcMRProcess" w:date="2015-10-27T06:33:00Z">
        <w:r>
          <w:tab/>
          <w:t>(2)</w:t>
        </w:r>
        <w:r>
          <w:tab/>
          <w:t>In each Act listed in the Table after the long title insert:</w:t>
        </w:r>
      </w:ins>
    </w:p>
    <w:p>
      <w:pPr>
        <w:pStyle w:val="BlankOpen"/>
        <w:rPr>
          <w:ins w:id="115" w:author="svcMRProcess" w:date="2015-10-27T06:33:00Z"/>
        </w:rPr>
      </w:pPr>
    </w:p>
    <w:p>
      <w:pPr>
        <w:pStyle w:val="zPreamble1"/>
        <w:rPr>
          <w:ins w:id="116" w:author="svcMRProcess" w:date="2015-10-27T06:33:00Z"/>
          <w:rFonts w:ascii="Times New Roman" w:hAnsi="Times New Roman"/>
        </w:rPr>
      </w:pPr>
      <w:ins w:id="117" w:author="svcMRProcess" w:date="2015-10-27T06:33:00Z">
        <w:r>
          <w:rPr>
            <w:rFonts w:ascii="Times New Roman" w:hAnsi="Times New Roman"/>
          </w:rPr>
          <w:t>Preamble</w:t>
        </w:r>
      </w:ins>
    </w:p>
    <w:p>
      <w:pPr>
        <w:pStyle w:val="BlankClose"/>
        <w:rPr>
          <w:ins w:id="118" w:author="svcMRProcess" w:date="2015-10-27T06:33:00Z"/>
        </w:rPr>
      </w:pPr>
    </w:p>
    <w:p>
      <w:bookmarkStart w:id="119" w:name="UpToHere"/>
      <w:bookmarkEnd w:id="119"/>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Cemeteries Act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Cemeteries Act 1943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Cemeteries Act 1943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275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B08E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9EA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8CB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FE52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7008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ECEF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DEF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A169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FA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BB635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nzNotesPerm">
    <w:name w:val="nzNotesPerm"/>
    <w:basedOn w:val="NotesPerm"/>
    <w:pPr>
      <w:tabs>
        <w:tab w:val="clear" w:pos="879"/>
        <w:tab w:val="left" w:pos="1446"/>
      </w:tabs>
      <w:spacing w:before="40"/>
      <w:ind w:left="1446" w:right="284"/>
    </w:pPr>
    <w:rPr>
      <w:sz w:val="1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nzNotesPerm">
    <w:name w:val="nzNotesPerm"/>
    <w:basedOn w:val="NotesPerm"/>
    <w:pPr>
      <w:tabs>
        <w:tab w:val="clear" w:pos="879"/>
        <w:tab w:val="left" w:pos="1446"/>
      </w:tabs>
      <w:spacing w:before="40"/>
      <w:ind w:left="1446" w:right="284"/>
    </w:pPr>
    <w:rPr>
      <w:sz w:val="1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5392</Characters>
  <Application>Microsoft Office Word</Application>
  <DocSecurity>0</DocSecurity>
  <Lines>185</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01-a0-08 - 01-b0-01</dc:title>
  <dc:subject/>
  <dc:creator/>
  <cp:keywords/>
  <dc:description/>
  <cp:lastModifiedBy>svcMRProcess</cp:lastModifiedBy>
  <cp:revision>2</cp:revision>
  <cp:lastPrinted>1999-11-16T00:31:00Z</cp:lastPrinted>
  <dcterms:created xsi:type="dcterms:W3CDTF">2015-10-26T22:33:00Z</dcterms:created>
  <dcterms:modified xsi:type="dcterms:W3CDTF">2015-10-26T22:33:00Z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29 Oct 1999</vt:lpwstr>
  </property>
  <property fmtid="{D5CDD505-2E9C-101B-9397-08002B2CF9AE}" pid="7" name="ToSuffix">
    <vt:lpwstr>01-b0-01</vt:lpwstr>
  </property>
  <property fmtid="{D5CDD505-2E9C-101B-9397-08002B2CF9AE}" pid="8" name="ToAsAtDate">
    <vt:lpwstr>28 Jun 2010</vt:lpwstr>
  </property>
</Properties>
</file>