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A</w:t>
      </w:r>
      <w:bookmarkStart w:id="0" w:name="_GoBack"/>
      <w:bookmarkEnd w:id="0"/>
      <w:r>
        <w:rPr>
          <w:snapToGrid w:val="0"/>
        </w:rPr>
        <w:t xml:space="preserve">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bookmarkStart w:id="7" w:name="_Toc268095904"/>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8" w:name="_Toc459106986"/>
      <w:bookmarkStart w:id="9" w:name="_Toc532872974"/>
      <w:bookmarkStart w:id="10" w:name="_Toc534795354"/>
      <w:bookmarkStart w:id="11" w:name="_Toc535308474"/>
      <w:bookmarkStart w:id="12" w:name="_Toc44928058"/>
      <w:bookmarkStart w:id="13" w:name="_Toc44928110"/>
      <w:bookmarkStart w:id="14" w:name="_Toc268095905"/>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5" w:name="_Toc459106987"/>
      <w:bookmarkStart w:id="16" w:name="_Toc532872975"/>
      <w:bookmarkStart w:id="17" w:name="_Toc534795355"/>
      <w:bookmarkStart w:id="18" w:name="_Toc535308475"/>
      <w:bookmarkStart w:id="19" w:name="_Toc44928059"/>
      <w:bookmarkStart w:id="20" w:name="_Toc44928111"/>
      <w:bookmarkStart w:id="21" w:name="_Toc268095906"/>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2" w:name="endcomma"/>
      <w:bookmarkEnd w:id="22"/>
      <w:r>
        <w:rPr>
          <w:rStyle w:val="CharDefText"/>
        </w:rPr>
        <w:t>the Variation Agreement</w:t>
      </w:r>
      <w:r>
        <w:t xml:space="preserve"> </w:t>
      </w:r>
      <w:bookmarkStart w:id="23" w:name="comma"/>
      <w:bookmarkEnd w:id="23"/>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4" w:name="_Toc459106988"/>
      <w:bookmarkStart w:id="25" w:name="_Toc532872976"/>
      <w:bookmarkStart w:id="26" w:name="_Toc534795356"/>
      <w:bookmarkStart w:id="27" w:name="_Toc535308476"/>
      <w:bookmarkStart w:id="28" w:name="_Toc44928060"/>
      <w:bookmarkStart w:id="29" w:name="_Toc44928112"/>
      <w:bookmarkStart w:id="30" w:name="_Toc268095907"/>
      <w:r>
        <w:rPr>
          <w:rStyle w:val="CharSectno"/>
        </w:rPr>
        <w:lastRenderedPageBreak/>
        <w:t>4</w:t>
      </w:r>
      <w:r>
        <w:rPr>
          <w:snapToGrid w:val="0"/>
        </w:rPr>
        <w:t>.</w:t>
      </w:r>
      <w:r>
        <w:rPr>
          <w:snapToGrid w:val="0"/>
        </w:rPr>
        <w:tab/>
        <w:t>Validation of Agreement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31" w:name="_Toc459106989"/>
      <w:bookmarkStart w:id="32" w:name="_Toc532872977"/>
      <w:bookmarkStart w:id="33" w:name="_Toc534795357"/>
      <w:bookmarkStart w:id="34" w:name="_Toc535308477"/>
      <w:bookmarkStart w:id="35" w:name="_Toc44928061"/>
      <w:bookmarkStart w:id="36" w:name="_Toc44928113"/>
      <w:bookmarkStart w:id="37" w:name="_Toc268095908"/>
      <w:r>
        <w:rPr>
          <w:rStyle w:val="CharSectno"/>
        </w:rPr>
        <w:lastRenderedPageBreak/>
        <w:t>4A</w:t>
      </w:r>
      <w:r>
        <w:rPr>
          <w:snapToGrid w:val="0"/>
        </w:rPr>
        <w:t>.</w:t>
      </w:r>
      <w:r>
        <w:rPr>
          <w:snapToGrid w:val="0"/>
        </w:rPr>
        <w:tab/>
        <w:t>Ratification of Variation Agreement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38" w:name="_Toc459106990"/>
      <w:bookmarkStart w:id="39" w:name="_Toc532872978"/>
      <w:bookmarkStart w:id="40" w:name="_Toc534795358"/>
      <w:bookmarkStart w:id="41" w:name="_Toc535308478"/>
      <w:bookmarkStart w:id="42" w:name="_Toc44928062"/>
      <w:bookmarkStart w:id="43" w:name="_Toc44928114"/>
      <w:bookmarkStart w:id="44" w:name="_Toc268095909"/>
      <w:r>
        <w:rPr>
          <w:rStyle w:val="CharSectno"/>
        </w:rPr>
        <w:t>5</w:t>
      </w:r>
      <w:r>
        <w:rPr>
          <w:snapToGrid w:val="0"/>
        </w:rPr>
        <w:t>.</w:t>
      </w:r>
      <w:r>
        <w:rPr>
          <w:snapToGrid w:val="0"/>
        </w:rPr>
        <w:tab/>
        <w:t>Cancellation of reserve 12562</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45" w:name="_Toc459106991"/>
      <w:bookmarkStart w:id="46" w:name="_Toc532872979"/>
      <w:bookmarkStart w:id="47" w:name="_Toc534795359"/>
      <w:bookmarkStart w:id="48" w:name="_Toc535308479"/>
      <w:bookmarkStart w:id="49" w:name="_Toc44928063"/>
      <w:bookmarkStart w:id="50" w:name="_Toc44928115"/>
      <w:bookmarkStart w:id="51" w:name="_Toc268095910"/>
      <w:r>
        <w:rPr>
          <w:rStyle w:val="CharSectno"/>
        </w:rPr>
        <w:t>6</w:t>
      </w:r>
      <w:r>
        <w:rPr>
          <w:snapToGrid w:val="0"/>
        </w:rPr>
        <w:t>.</w:t>
      </w:r>
      <w:r>
        <w:rPr>
          <w:snapToGrid w:val="0"/>
        </w:rPr>
        <w:tab/>
        <w:t>State’s obligations not to be prejudiced</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52" w:name="_Toc459106992"/>
      <w:bookmarkStart w:id="53" w:name="_Toc532872980"/>
      <w:bookmarkStart w:id="54" w:name="_Toc534795360"/>
      <w:bookmarkStart w:id="55" w:name="_Toc535308480"/>
      <w:bookmarkStart w:id="56" w:name="_Toc44928064"/>
      <w:bookmarkStart w:id="57" w:name="_Toc44928116"/>
      <w:bookmarkStart w:id="58" w:name="_Toc268095911"/>
      <w:r>
        <w:rPr>
          <w:rStyle w:val="CharSectno"/>
        </w:rPr>
        <w:t>7</w:t>
      </w:r>
      <w:r>
        <w:rPr>
          <w:snapToGrid w:val="0"/>
        </w:rPr>
        <w:t>.</w:t>
      </w:r>
      <w:r>
        <w:rPr>
          <w:snapToGrid w:val="0"/>
        </w:rPr>
        <w:tab/>
        <w:t>Act No. 46 of 1952 amended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9" w:name="_Toc533389825"/>
      <w:bookmarkStart w:id="60" w:name="_Toc534795361"/>
      <w:bookmarkStart w:id="61" w:name="_Toc535308481"/>
      <w:bookmarkStart w:id="62" w:name="_Toc44928065"/>
      <w:bookmarkStart w:id="63" w:name="_Toc44928117"/>
      <w:bookmarkStart w:id="64" w:name="_Toc266971629"/>
      <w:bookmarkStart w:id="65" w:name="_Toc268095912"/>
      <w:r>
        <w:t>The Schedules</w:t>
      </w:r>
      <w:bookmarkEnd w:id="59"/>
      <w:bookmarkEnd w:id="60"/>
      <w:bookmarkEnd w:id="61"/>
      <w:bookmarkEnd w:id="62"/>
      <w:bookmarkEnd w:id="63"/>
      <w:bookmarkEnd w:id="64"/>
      <w:bookmarkEnd w:id="65"/>
    </w:p>
    <w:p>
      <w:pPr>
        <w:pStyle w:val="yScheduleHeading"/>
        <w:pageBreakBefore w:val="0"/>
      </w:pPr>
      <w:bookmarkStart w:id="66" w:name="_Toc534795362"/>
      <w:bookmarkStart w:id="67" w:name="_Toc535308482"/>
      <w:bookmarkStart w:id="68" w:name="_Toc44928066"/>
      <w:bookmarkStart w:id="69" w:name="_Toc44928118"/>
      <w:bookmarkStart w:id="70" w:name="_Toc266971630"/>
      <w:bookmarkStart w:id="71" w:name="_Toc268095913"/>
      <w:r>
        <w:rPr>
          <w:rStyle w:val="CharSchNo"/>
        </w:rPr>
        <w:t>First Schedule</w:t>
      </w:r>
      <w:bookmarkEnd w:id="66"/>
      <w:bookmarkEnd w:id="67"/>
      <w:bookmarkEnd w:id="68"/>
      <w:bookmarkEnd w:id="69"/>
      <w:bookmarkEnd w:id="70"/>
      <w:bookmarkEnd w:id="71"/>
    </w:p>
    <w:p>
      <w:pPr>
        <w:pStyle w:val="yFootnoteheading"/>
        <w:rPr>
          <w:snapToGrid w:val="0"/>
        </w:rPr>
      </w:pPr>
      <w:r>
        <w:rPr>
          <w:snapToGrid w:val="0"/>
        </w:rPr>
        <w:t>[Headings inserted by No. 47 of 1973 s. 6.]</w:t>
      </w:r>
    </w:p>
    <w:p>
      <w:pPr>
        <w:pStyle w:val="yShoulderClause"/>
        <w:spacing w:before="80"/>
        <w:rPr>
          <w:snapToGrid w:val="0"/>
        </w:rPr>
      </w:pPr>
      <w:r>
        <w:rPr>
          <w:snapToGrid w:val="0"/>
        </w:rPr>
        <w:t>[S. 3]</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del w:id="72" w:author="svcMRProcess" w:date="2020-02-13T23:30:00Z">
              <w:r>
                <w:rPr>
                  <w:noProof/>
                  <w:lang w:eastAsia="en-AU"/>
                </w:rPr>
                <w:drawing>
                  <wp:inline distT="0" distB="0" distL="0" distR="0">
                    <wp:extent cx="12382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del>
            <w:ins w:id="73" w:author="svcMRProcess" w:date="2020-02-13T23:30:00Z">
              <w:r>
                <w:rPr>
                  <w:noProof/>
                  <w:lang w:eastAsia="en-AU"/>
                </w:rPr>
                <w:drawing>
                  <wp:inline distT="0" distB="0" distL="0" distR="0">
                    <wp:extent cx="127000" cy="325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325755"/>
                            </a:xfrm>
                            <a:prstGeom prst="rect">
                              <a:avLst/>
                            </a:prstGeom>
                            <a:noFill/>
                            <a:ln>
                              <a:noFill/>
                            </a:ln>
                          </pic:spPr>
                        </pic:pic>
                      </a:graphicData>
                    </a:graphic>
                  </wp:inline>
                </w:drawing>
              </w:r>
            </w:ins>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del w:id="74" w:author="svcMRProcess" w:date="2020-02-13T23:30:00Z"/>
          <w:snapToGrid w:val="0"/>
        </w:rPr>
      </w:pPr>
      <w:del w:id="75" w:author="svcMRProcess" w:date="2020-02-13T23:30:00Z">
        <w:r>
          <w:rPr>
            <w:noProof/>
            <w:lang w:eastAsia="en-AU"/>
          </w:rPr>
          <w:drawing>
            <wp:inline distT="0" distB="0" distL="0" distR="0">
              <wp:extent cx="3114675" cy="4924425"/>
              <wp:effectExtent l="0" t="0" r="9525" b="9525"/>
              <wp:docPr id="10" name="Picture 10"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4675" cy="4924425"/>
                      </a:xfrm>
                      <a:prstGeom prst="rect">
                        <a:avLst/>
                      </a:prstGeom>
                      <a:noFill/>
                      <a:ln>
                        <a:noFill/>
                      </a:ln>
                    </pic:spPr>
                  </pic:pic>
                </a:graphicData>
              </a:graphic>
            </wp:inline>
          </w:drawing>
        </w:r>
      </w:del>
    </w:p>
    <w:p>
      <w:pPr>
        <w:pStyle w:val="yTable"/>
        <w:jc w:val="center"/>
        <w:rPr>
          <w:ins w:id="76" w:author="svcMRProcess" w:date="2020-02-13T23:30:00Z"/>
          <w:snapToGrid w:val="0"/>
        </w:rPr>
      </w:pPr>
      <w:ins w:id="77" w:author="svcMRProcess" w:date="2020-02-13T23:30:00Z">
        <w:r>
          <w:rPr>
            <w:noProof/>
            <w:lang w:eastAsia="en-AU"/>
          </w:rPr>
          <w:drawing>
            <wp:inline distT="0" distB="0" distL="0" distR="0">
              <wp:extent cx="3117215" cy="4929505"/>
              <wp:effectExtent l="0" t="0" r="6985" b="444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7215" cy="4929505"/>
                      </a:xfrm>
                      <a:prstGeom prst="rect">
                        <a:avLst/>
                      </a:prstGeom>
                      <a:noFill/>
                      <a:ln>
                        <a:noFill/>
                      </a:ln>
                    </pic:spPr>
                  </pic:pic>
                </a:graphicData>
              </a:graphic>
            </wp:inline>
          </w:drawing>
        </w:r>
      </w:ins>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p>
      <w:pPr>
        <w:pStyle w:val="yTable"/>
        <w:jc w:val="center"/>
        <w:rPr>
          <w:del w:id="78" w:author="svcMRProcess" w:date="2020-02-13T23:30:00Z"/>
        </w:rPr>
      </w:pPr>
      <w:bookmarkStart w:id="79" w:name="_MON_1243866692"/>
      <w:bookmarkStart w:id="80" w:name="_MON_1072512128"/>
      <w:bookmarkEnd w:id="79"/>
      <w:bookmarkEnd w:id="80"/>
      <w:del w:id="81" w:author="svcMRProcess" w:date="2020-02-13T23:30: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4.25pt" fillcolor="window">
              <v:imagedata r:id="rId23" o:title=""/>
            </v:shape>
          </w:pict>
        </w:r>
      </w:del>
    </w:p>
    <w:p>
      <w:pPr>
        <w:pStyle w:val="yTable"/>
        <w:jc w:val="center"/>
        <w:rPr>
          <w:ins w:id="82" w:author="svcMRProcess" w:date="2020-02-13T23:30:00Z"/>
        </w:rPr>
      </w:pPr>
      <w:ins w:id="83" w:author="svcMRProcess" w:date="2020-02-13T23:30:00Z">
        <w:r>
          <w:pict>
            <v:shape id="_x0000_i1026" type="#_x0000_t75" style="width:353.25pt;height:374.25pt" fillcolor="window">
              <v:imagedata r:id="rId23" o:title=""/>
            </v:shape>
          </w:pict>
        </w:r>
      </w:ins>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del w:id="84" w:author="svcMRProcess" w:date="2020-02-13T23:30:00Z">
              <w:r>
                <w:rPr>
                  <w:i/>
                  <w:noProof/>
                  <w:lang w:eastAsia="en-AU"/>
                </w:rPr>
                <w:drawing>
                  <wp:inline distT="0" distB="0" distL="0" distR="0">
                    <wp:extent cx="12382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del>
            <w:ins w:id="85" w:author="svcMRProcess" w:date="2020-02-13T23:30:00Z">
              <w:r>
                <w:rPr>
                  <w:i/>
                  <w:noProof/>
                  <w:lang w:eastAsia="en-AU"/>
                </w:rPr>
                <w:drawing>
                  <wp:inline distT="0" distB="0" distL="0" distR="0">
                    <wp:extent cx="127000" cy="6756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75640"/>
                            </a:xfrm>
                            <a:prstGeom prst="rect">
                              <a:avLst/>
                            </a:prstGeom>
                            <a:noFill/>
                            <a:ln>
                              <a:noFill/>
                            </a:ln>
                          </pic:spPr>
                        </pic:pic>
                      </a:graphicData>
                    </a:graphic>
                  </wp:inline>
                </w:drawing>
              </w:r>
            </w:ins>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del w:id="86" w:author="svcMRProcess" w:date="2020-02-13T23:30:00Z">
              <w:r>
                <w:rPr>
                  <w:i w:val="0"/>
                  <w:noProof/>
                  <w:lang w:eastAsia="en-AU"/>
                </w:rPr>
                <w:drawing>
                  <wp:inline distT="0" distB="0" distL="0" distR="0">
                    <wp:extent cx="123825" cy="923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del>
            <w:ins w:id="87" w:author="svcMRProcess" w:date="2020-02-13T23:30:00Z">
              <w:r>
                <w:rPr>
                  <w:i w:val="0"/>
                  <w:noProof/>
                  <w:lang w:eastAsia="en-AU"/>
                </w:rPr>
                <w:drawing>
                  <wp:inline distT="0" distB="0" distL="0" distR="0">
                    <wp:extent cx="127000" cy="93027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ins>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del w:id="88" w:author="svcMRProcess" w:date="2020-02-13T23:30:00Z">
              <w:r>
                <w:rPr>
                  <w:i w:val="0"/>
                  <w:noProof/>
                  <w:lang w:eastAsia="en-AU"/>
                </w:rPr>
                <w:drawing>
                  <wp:inline distT="0" distB="0" distL="0" distR="0">
                    <wp:extent cx="1238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del>
            <w:ins w:id="89" w:author="svcMRProcess" w:date="2020-02-13T23:30:00Z">
              <w:r>
                <w:rPr>
                  <w:i w:val="0"/>
                  <w:noProof/>
                  <w:lang w:eastAsia="en-AU"/>
                </w:rPr>
                <w:drawing>
                  <wp:inline distT="0" distB="0" distL="0" distR="0">
                    <wp:extent cx="127000" cy="35750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357505"/>
                            </a:xfrm>
                            <a:prstGeom prst="rect">
                              <a:avLst/>
                            </a:prstGeom>
                            <a:noFill/>
                            <a:ln>
                              <a:noFill/>
                            </a:ln>
                          </pic:spPr>
                        </pic:pic>
                      </a:graphicData>
                    </a:graphic>
                  </wp:inline>
                </w:drawing>
              </w:r>
            </w:ins>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pPr>
      <w:bookmarkStart w:id="90" w:name="_Toc534795363"/>
      <w:bookmarkStart w:id="91" w:name="_Toc535308483"/>
      <w:bookmarkStart w:id="92" w:name="_Toc44928067"/>
      <w:bookmarkStart w:id="93" w:name="_Toc44928119"/>
      <w:bookmarkStart w:id="94" w:name="_Toc266971631"/>
      <w:bookmarkStart w:id="95" w:name="_Toc268095914"/>
      <w:r>
        <w:rPr>
          <w:rStyle w:val="CharSchNo"/>
        </w:rPr>
        <w:t>Second Schedule</w:t>
      </w:r>
      <w:bookmarkEnd w:id="90"/>
      <w:bookmarkEnd w:id="91"/>
      <w:bookmarkEnd w:id="92"/>
      <w:bookmarkEnd w:id="93"/>
      <w:bookmarkEnd w:id="94"/>
      <w:bookmarkEnd w:id="95"/>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del w:id="96" w:author="svcMRProcess" w:date="2020-02-13T23:30:00Z">
              <w:r>
                <w:rPr>
                  <w:i/>
                  <w:noProof/>
                  <w:lang w:eastAsia="en-AU"/>
                </w:rPr>
                <w:drawing>
                  <wp:inline distT="0" distB="0" distL="0" distR="0">
                    <wp:extent cx="123825" cy="552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del>
            <w:ins w:id="97" w:author="svcMRProcess" w:date="2020-02-13T23:30:00Z">
              <w:r>
                <w:rPr>
                  <w:i/>
                  <w:noProof/>
                  <w:lang w:eastAsia="en-AU"/>
                </w:rPr>
                <w:drawing>
                  <wp:inline distT="0" distB="0" distL="0" distR="0">
                    <wp:extent cx="127000" cy="548640"/>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548640"/>
                            </a:xfrm>
                            <a:prstGeom prst="rect">
                              <a:avLst/>
                            </a:prstGeom>
                            <a:noFill/>
                            <a:ln>
                              <a:noFill/>
                            </a:ln>
                          </pic:spPr>
                        </pic:pic>
                      </a:graphicData>
                    </a:graphic>
                  </wp:inline>
                </w:drawing>
              </w:r>
            </w:ins>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del w:id="98" w:author="svcMRProcess" w:date="2020-02-13T23:30:00Z">
              <w:r>
                <w:rPr>
                  <w:i/>
                  <w:noProof/>
                  <w:lang w:eastAsia="en-AU"/>
                </w:rPr>
                <w:drawing>
                  <wp:inline distT="0" distB="0" distL="0" distR="0">
                    <wp:extent cx="1238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47725"/>
                            </a:xfrm>
                            <a:prstGeom prst="rect">
                              <a:avLst/>
                            </a:prstGeom>
                            <a:noFill/>
                            <a:ln>
                              <a:noFill/>
                            </a:ln>
                          </pic:spPr>
                        </pic:pic>
                      </a:graphicData>
                    </a:graphic>
                  </wp:inline>
                </w:drawing>
              </w:r>
            </w:del>
            <w:ins w:id="99" w:author="svcMRProcess" w:date="2020-02-13T23:30:00Z">
              <w:r>
                <w:rPr>
                  <w:i/>
                  <w:noProof/>
                  <w:lang w:eastAsia="en-AU"/>
                </w:rPr>
                <w:drawing>
                  <wp:inline distT="0" distB="0" distL="0" distR="0">
                    <wp:extent cx="127000" cy="84264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42645"/>
                            </a:xfrm>
                            <a:prstGeom prst="rect">
                              <a:avLst/>
                            </a:prstGeom>
                            <a:noFill/>
                            <a:ln>
                              <a:noFill/>
                            </a:ln>
                          </pic:spPr>
                        </pic:pic>
                      </a:graphicData>
                    </a:graphic>
                  </wp:inline>
                </w:drawing>
              </w:r>
            </w:ins>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del w:id="100" w:author="svcMRProcess" w:date="2020-02-13T23:30:00Z">
              <w:r>
                <w:rPr>
                  <w:noProof/>
                  <w:lang w:eastAsia="en-AU"/>
                </w:rPr>
                <w:drawing>
                  <wp:inline distT="0" distB="0" distL="0" distR="0">
                    <wp:extent cx="123825" cy="838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del>
            <w:ins w:id="101" w:author="svcMRProcess" w:date="2020-02-13T23:30:00Z">
              <w:r>
                <w:rPr>
                  <w:noProof/>
                  <w:lang w:eastAsia="en-AU"/>
                </w:rPr>
                <w:drawing>
                  <wp:inline distT="0" distB="0" distL="0" distR="0">
                    <wp:extent cx="127000" cy="83502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35025"/>
                            </a:xfrm>
                            <a:prstGeom prst="rect">
                              <a:avLst/>
                            </a:prstGeom>
                            <a:noFill/>
                            <a:ln>
                              <a:noFill/>
                            </a:ln>
                          </pic:spPr>
                        </pic:pic>
                      </a:graphicData>
                    </a:graphic>
                  </wp:inline>
                </w:drawing>
              </w:r>
            </w:ins>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ins w:id="102" w:author="svcMRProcess" w:date="2020-02-13T23:30:00Z">
        <w:r>
          <w:tab/>
        </w:r>
      </w:ins>
      <w:r>
        <w:t xml:space="preserve">[Second Schedule inserted by No. 47 of 1973 s. 7.] </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03" w:name="_Toc266971632"/>
      <w:bookmarkStart w:id="104" w:name="_Toc268095915"/>
      <w:r>
        <w:t>Notes</w:t>
      </w:r>
      <w:bookmarkEnd w:id="103"/>
      <w:bookmarkEnd w:id="104"/>
    </w:p>
    <w:p>
      <w:pPr>
        <w:pStyle w:val="nSubsection"/>
        <w:rPr>
          <w:snapToGrid w:val="0"/>
        </w:rPr>
      </w:pPr>
      <w:r>
        <w:rPr>
          <w:snapToGrid w:val="0"/>
          <w:vertAlign w:val="superscript"/>
        </w:rPr>
        <w:t>1</w:t>
      </w:r>
      <w:r>
        <w:rPr>
          <w:snapToGrid w:val="0"/>
        </w:rPr>
        <w:tab/>
        <w:t>This</w:t>
      </w:r>
      <w:del w:id="105" w:author="svcMRProcess" w:date="2020-02-13T23:30:00Z">
        <w:r>
          <w:rPr>
            <w:snapToGrid w:val="0"/>
          </w:rPr>
          <w:delText> </w:delText>
        </w:r>
      </w:del>
      <w:ins w:id="106" w:author="svcMRProcess" w:date="2020-02-13T23:30:00Z">
        <w:r>
          <w:rPr>
            <w:snapToGrid w:val="0"/>
          </w:rPr>
          <w:t xml:space="preserve"> </w:t>
        </w:r>
      </w:ins>
      <w:r>
        <w:rPr>
          <w:snapToGrid w:val="0"/>
        </w:rPr>
        <w:t xml:space="preserve">is a compilation of the </w:t>
      </w:r>
      <w:r>
        <w:rPr>
          <w:i/>
          <w:noProof/>
          <w:snapToGrid w:val="0"/>
        </w:rPr>
        <w:t>Broken Hill Proprietary Company’s Integrated Steel Works Agreement Act</w:t>
      </w:r>
      <w:del w:id="107" w:author="svcMRProcess" w:date="2020-02-13T23:30:00Z">
        <w:r>
          <w:rPr>
            <w:i/>
            <w:snapToGrid w:val="0"/>
          </w:rPr>
          <w:delText> </w:delText>
        </w:r>
      </w:del>
      <w:ins w:id="108" w:author="svcMRProcess" w:date="2020-02-13T23:30:00Z">
        <w:r>
          <w:rPr>
            <w:i/>
            <w:noProof/>
            <w:snapToGrid w:val="0"/>
          </w:rPr>
          <w:t xml:space="preserve"> </w:t>
        </w:r>
      </w:ins>
      <w:r>
        <w:rPr>
          <w:i/>
          <w:noProof/>
          <w:snapToGrid w:val="0"/>
        </w:rPr>
        <w:t>1960</w:t>
      </w:r>
      <w:r>
        <w:rPr>
          <w:snapToGrid w:val="0"/>
        </w:rPr>
        <w:t xml:space="preserve"> and includes the amendments made by the other written laws referred to in the following table</w:t>
      </w:r>
      <w:ins w:id="109" w:author="svcMRProcess" w:date="2020-02-13T23:30: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110" w:name="_Toc534795364"/>
      <w:bookmarkStart w:id="111" w:name="_Toc535308484"/>
      <w:bookmarkStart w:id="112" w:name="_Toc44928068"/>
      <w:bookmarkStart w:id="113" w:name="_Toc44928120"/>
      <w:bookmarkStart w:id="114" w:name="_Toc268095916"/>
      <w:r>
        <w:rPr>
          <w:snapToGrid w:val="0"/>
        </w:rPr>
        <w:t>Compilation table</w:t>
      </w:r>
      <w:bookmarkEnd w:id="110"/>
      <w:bookmarkEnd w:id="111"/>
      <w:bookmarkEnd w:id="112"/>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sz w:val="19"/>
              </w:rPr>
              <w:t xml:space="preserve">Public Transport Authority Act 2003 </w:t>
            </w:r>
            <w:r>
              <w:rPr>
                <w:sz w:val="19"/>
              </w:rPr>
              <w:t>s. 145</w:t>
            </w:r>
          </w:p>
        </w:tc>
        <w:tc>
          <w:tcPr>
            <w:tcW w:w="1134" w:type="dxa"/>
            <w:tcBorders>
              <w:bottom w:val="single" w:sz="4" w:space="0" w:color="auto"/>
            </w:tcBorders>
          </w:tcPr>
          <w:p>
            <w:pPr>
              <w:pStyle w:val="nTable"/>
              <w:spacing w:before="120"/>
              <w:rPr>
                <w:sz w:val="19"/>
              </w:rPr>
            </w:pPr>
            <w:r>
              <w:rPr>
                <w:sz w:val="19"/>
              </w:rPr>
              <w:t>31 of 2003</w:t>
            </w:r>
          </w:p>
        </w:tc>
        <w:tc>
          <w:tcPr>
            <w:tcW w:w="1134" w:type="dxa"/>
            <w:tcBorders>
              <w:bottom w:val="single" w:sz="4" w:space="0" w:color="auto"/>
            </w:tcBorders>
          </w:tcPr>
          <w:p>
            <w:pPr>
              <w:pStyle w:val="nTable"/>
              <w:spacing w:before="120"/>
              <w:rPr>
                <w:sz w:val="19"/>
              </w:rPr>
            </w:pPr>
            <w:r>
              <w:rPr>
                <w:sz w:val="19"/>
              </w:rPr>
              <w:t>26 May 2003</w:t>
            </w:r>
          </w:p>
        </w:tc>
        <w:tc>
          <w:tcPr>
            <w:tcW w:w="2552" w:type="dxa"/>
            <w:tcBorders>
              <w:bottom w:val="single" w:sz="4" w:space="0" w:color="auto"/>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bl>
    <w:p>
      <w:pPr>
        <w:pStyle w:val="nSubsection"/>
        <w:tabs>
          <w:tab w:val="clear" w:pos="454"/>
          <w:tab w:val="left" w:pos="567"/>
        </w:tabs>
        <w:spacing w:before="120"/>
        <w:ind w:left="567" w:hanging="567"/>
        <w:rPr>
          <w:ins w:id="115" w:author="svcMRProcess" w:date="2020-02-13T23:30:00Z"/>
          <w:snapToGrid w:val="0"/>
        </w:rPr>
      </w:pPr>
      <w:ins w:id="116" w:author="svcMRProcess" w:date="2020-02-13T23: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 w:author="svcMRProcess" w:date="2020-02-13T23:30:00Z"/>
        </w:rPr>
      </w:pPr>
      <w:bookmarkStart w:id="118" w:name="_Toc7405065"/>
      <w:bookmarkStart w:id="119" w:name="_Toc268095917"/>
      <w:ins w:id="120" w:author="svcMRProcess" w:date="2020-02-13T23:30:00Z">
        <w:r>
          <w:t>Provisions that have not come into operation</w:t>
        </w:r>
        <w:bookmarkEnd w:id="118"/>
        <w:bookmarkEnd w:id="11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21" w:author="svcMRProcess" w:date="2020-02-13T23:30:00Z"/>
        </w:trPr>
        <w:tc>
          <w:tcPr>
            <w:tcW w:w="2266" w:type="dxa"/>
          </w:tcPr>
          <w:p>
            <w:pPr>
              <w:pStyle w:val="nTable"/>
              <w:spacing w:after="40"/>
              <w:rPr>
                <w:ins w:id="122" w:author="svcMRProcess" w:date="2020-02-13T23:30:00Z"/>
                <w:b/>
                <w:snapToGrid w:val="0"/>
                <w:sz w:val="19"/>
                <w:lang w:val="en-US"/>
              </w:rPr>
            </w:pPr>
            <w:ins w:id="123" w:author="svcMRProcess" w:date="2020-02-13T23:30:00Z">
              <w:r>
                <w:rPr>
                  <w:b/>
                  <w:snapToGrid w:val="0"/>
                  <w:sz w:val="19"/>
                  <w:lang w:val="en-US"/>
                </w:rPr>
                <w:t>Short title</w:t>
              </w:r>
            </w:ins>
          </w:p>
        </w:tc>
        <w:tc>
          <w:tcPr>
            <w:tcW w:w="1120" w:type="dxa"/>
          </w:tcPr>
          <w:p>
            <w:pPr>
              <w:pStyle w:val="nTable"/>
              <w:spacing w:after="40"/>
              <w:rPr>
                <w:ins w:id="124" w:author="svcMRProcess" w:date="2020-02-13T23:30:00Z"/>
                <w:b/>
                <w:snapToGrid w:val="0"/>
                <w:sz w:val="19"/>
                <w:lang w:val="en-US"/>
              </w:rPr>
            </w:pPr>
            <w:ins w:id="125" w:author="svcMRProcess" w:date="2020-02-13T23:30:00Z">
              <w:r>
                <w:rPr>
                  <w:b/>
                  <w:snapToGrid w:val="0"/>
                  <w:sz w:val="19"/>
                  <w:lang w:val="en-US"/>
                </w:rPr>
                <w:t>Number and year</w:t>
              </w:r>
            </w:ins>
          </w:p>
        </w:tc>
        <w:tc>
          <w:tcPr>
            <w:tcW w:w="1135" w:type="dxa"/>
          </w:tcPr>
          <w:p>
            <w:pPr>
              <w:pStyle w:val="nTable"/>
              <w:spacing w:after="40"/>
              <w:rPr>
                <w:ins w:id="126" w:author="svcMRProcess" w:date="2020-02-13T23:30:00Z"/>
                <w:b/>
                <w:snapToGrid w:val="0"/>
                <w:sz w:val="19"/>
                <w:lang w:val="en-US"/>
              </w:rPr>
            </w:pPr>
            <w:ins w:id="127" w:author="svcMRProcess" w:date="2020-02-13T23:30:00Z">
              <w:r>
                <w:rPr>
                  <w:b/>
                  <w:snapToGrid w:val="0"/>
                  <w:sz w:val="19"/>
                  <w:lang w:val="en-US"/>
                </w:rPr>
                <w:t>Assent</w:t>
              </w:r>
            </w:ins>
          </w:p>
        </w:tc>
        <w:tc>
          <w:tcPr>
            <w:tcW w:w="2534" w:type="dxa"/>
          </w:tcPr>
          <w:p>
            <w:pPr>
              <w:pStyle w:val="nTable"/>
              <w:spacing w:after="40"/>
              <w:rPr>
                <w:ins w:id="128" w:author="svcMRProcess" w:date="2020-02-13T23:30:00Z"/>
                <w:b/>
                <w:snapToGrid w:val="0"/>
                <w:sz w:val="19"/>
                <w:lang w:val="en-US"/>
              </w:rPr>
            </w:pPr>
            <w:ins w:id="129" w:author="svcMRProcess" w:date="2020-02-13T23:30:00Z">
              <w:r>
                <w:rPr>
                  <w:b/>
                  <w:snapToGrid w:val="0"/>
                  <w:sz w:val="19"/>
                  <w:lang w:val="en-US"/>
                </w:rPr>
                <w:t>Commencement</w:t>
              </w:r>
            </w:ins>
          </w:p>
        </w:tc>
      </w:tr>
      <w:tr>
        <w:tblPrEx>
          <w:tblCellMar>
            <w:left w:w="56" w:type="dxa"/>
            <w:right w:w="56" w:type="dxa"/>
          </w:tblCellMar>
        </w:tblPrEx>
        <w:trPr>
          <w:cantSplit/>
          <w:ins w:id="130" w:author="svcMRProcess" w:date="2020-02-13T23:30:00Z"/>
        </w:trPr>
        <w:tc>
          <w:tcPr>
            <w:tcW w:w="2266" w:type="dxa"/>
          </w:tcPr>
          <w:p>
            <w:pPr>
              <w:pStyle w:val="nTable"/>
              <w:spacing w:after="40"/>
              <w:ind w:right="113"/>
              <w:rPr>
                <w:ins w:id="131" w:author="svcMRProcess" w:date="2020-02-13T23:30:00Z"/>
                <w:iCs/>
                <w:snapToGrid w:val="0"/>
                <w:sz w:val="19"/>
                <w:lang w:val="en-US"/>
              </w:rPr>
            </w:pPr>
            <w:ins w:id="132" w:author="svcMRProcess" w:date="2020-02-13T23:30: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7</w:t>
              </w:r>
            </w:ins>
          </w:p>
        </w:tc>
        <w:tc>
          <w:tcPr>
            <w:tcW w:w="1120" w:type="dxa"/>
          </w:tcPr>
          <w:p>
            <w:pPr>
              <w:pStyle w:val="nTable"/>
              <w:spacing w:after="40"/>
              <w:rPr>
                <w:ins w:id="133" w:author="svcMRProcess" w:date="2020-02-13T23:30:00Z"/>
                <w:snapToGrid w:val="0"/>
                <w:sz w:val="19"/>
                <w:lang w:val="en-US"/>
              </w:rPr>
            </w:pPr>
            <w:ins w:id="134" w:author="svcMRProcess" w:date="2020-02-13T23:30:00Z">
              <w:r>
                <w:rPr>
                  <w:snapToGrid w:val="0"/>
                  <w:sz w:val="19"/>
                  <w:lang w:val="en-US"/>
                </w:rPr>
                <w:t>19 of 2010</w:t>
              </w:r>
            </w:ins>
          </w:p>
        </w:tc>
        <w:tc>
          <w:tcPr>
            <w:tcW w:w="1135" w:type="dxa"/>
          </w:tcPr>
          <w:p>
            <w:pPr>
              <w:pStyle w:val="nTable"/>
              <w:spacing w:after="40"/>
              <w:rPr>
                <w:ins w:id="135" w:author="svcMRProcess" w:date="2020-02-13T23:30:00Z"/>
                <w:snapToGrid w:val="0"/>
                <w:sz w:val="19"/>
                <w:lang w:val="en-US"/>
              </w:rPr>
            </w:pPr>
            <w:ins w:id="136" w:author="svcMRProcess" w:date="2020-02-13T23:30:00Z">
              <w:r>
                <w:rPr>
                  <w:snapToGrid w:val="0"/>
                  <w:sz w:val="19"/>
                  <w:lang w:val="en-US"/>
                </w:rPr>
                <w:t>28 Jun 2010</w:t>
              </w:r>
            </w:ins>
          </w:p>
        </w:tc>
        <w:tc>
          <w:tcPr>
            <w:tcW w:w="2534" w:type="dxa"/>
          </w:tcPr>
          <w:p>
            <w:pPr>
              <w:pStyle w:val="nTable"/>
              <w:spacing w:after="40"/>
              <w:rPr>
                <w:ins w:id="137" w:author="svcMRProcess" w:date="2020-02-13T23:30:00Z"/>
                <w:snapToGrid w:val="0"/>
                <w:sz w:val="19"/>
                <w:lang w:val="en-US"/>
              </w:rPr>
            </w:pPr>
            <w:ins w:id="138" w:author="svcMRProcess" w:date="2020-02-13T23:30:00Z">
              <w:r>
                <w:rPr>
                  <w:snapToGrid w:val="0"/>
                  <w:sz w:val="19"/>
                  <w:lang w:val="en-US"/>
                </w:rPr>
                <w:t>To be proclaimed (see s. 2(b))</w:t>
              </w:r>
            </w:ins>
          </w:p>
        </w:tc>
      </w:tr>
    </w:tbl>
    <w:p>
      <w:pPr>
        <w:pStyle w:val="nSubsection"/>
        <w:rPr>
          <w:ins w:id="139" w:author="svcMRProcess" w:date="2020-02-13T23:30:00Z"/>
          <w:vertAlign w:val="superscript"/>
        </w:rPr>
      </w:pPr>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rPr>
          <w:ins w:id="140" w:author="svcMRProcess" w:date="2020-02-13T23:30:00Z"/>
          <w:snapToGrid w:val="0"/>
        </w:rPr>
      </w:pPr>
      <w:ins w:id="141" w:author="svcMRProcess" w:date="2020-02-13T23:30: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142" w:author="svcMRProcess" w:date="2020-02-13T23:30:00Z"/>
        </w:rPr>
      </w:pPr>
    </w:p>
    <w:p>
      <w:pPr>
        <w:pStyle w:val="nzHeading5"/>
        <w:rPr>
          <w:ins w:id="143" w:author="svcMRProcess" w:date="2020-02-13T23:30:00Z"/>
          <w:rFonts w:eastAsia="MS Mincho"/>
        </w:rPr>
      </w:pPr>
      <w:bookmarkStart w:id="144" w:name="_Toc233107675"/>
      <w:bookmarkStart w:id="145" w:name="_Toc255473698"/>
      <w:bookmarkStart w:id="146" w:name="_Toc265583753"/>
      <w:bookmarkStart w:id="147" w:name="_Toc267907333"/>
      <w:ins w:id="148" w:author="svcMRProcess" w:date="2020-02-13T23:30:00Z">
        <w:r>
          <w:rPr>
            <w:rStyle w:val="CharSectno"/>
            <w:rFonts w:eastAsia="MS Mincho"/>
          </w:rPr>
          <w:t>4</w:t>
        </w:r>
        <w:r>
          <w:rPr>
            <w:rFonts w:eastAsia="MS Mincho"/>
          </w:rPr>
          <w:t>.</w:t>
        </w:r>
        <w:r>
          <w:rPr>
            <w:rFonts w:eastAsia="MS Mincho"/>
          </w:rPr>
          <w:tab/>
          <w:t>Schedule headings reformatted</w:t>
        </w:r>
        <w:bookmarkEnd w:id="144"/>
        <w:bookmarkEnd w:id="145"/>
        <w:bookmarkEnd w:id="146"/>
        <w:bookmarkEnd w:id="147"/>
      </w:ins>
    </w:p>
    <w:p>
      <w:pPr>
        <w:pStyle w:val="nzSubsection"/>
        <w:rPr>
          <w:ins w:id="149" w:author="svcMRProcess" w:date="2020-02-13T23:30:00Z"/>
          <w:rFonts w:eastAsia="MS Mincho"/>
        </w:rPr>
      </w:pPr>
      <w:ins w:id="150" w:author="svcMRProcess" w:date="2020-02-13T23:30:00Z">
        <w:r>
          <w:rPr>
            <w:rFonts w:eastAsia="MS Mincho"/>
          </w:rPr>
          <w:tab/>
          <w:t>(1)</w:t>
        </w:r>
        <w:r>
          <w:rPr>
            <w:rFonts w:eastAsia="MS Mincho"/>
          </w:rPr>
          <w:tab/>
          <w:t>This section amends the Acts listed in the Table.</w:t>
        </w:r>
      </w:ins>
    </w:p>
    <w:p>
      <w:pPr>
        <w:pStyle w:val="nzSubsection"/>
        <w:rPr>
          <w:ins w:id="151" w:author="svcMRProcess" w:date="2020-02-13T23:30:00Z"/>
        </w:rPr>
      </w:pPr>
      <w:ins w:id="152" w:author="svcMRProcess" w:date="2020-02-13T23:30:00Z">
        <w:r>
          <w:rPr>
            <w:rFonts w:eastAsia="MS Mincho"/>
          </w:rPr>
          <w:tab/>
          <w:t>(2)</w:t>
        </w:r>
        <w:r>
          <w:rPr>
            <w:rFonts w:eastAsia="MS Mincho"/>
          </w:rPr>
          <w:tab/>
          <w:t>In each Schedule listed in the Table:</w:t>
        </w:r>
      </w:ins>
    </w:p>
    <w:p>
      <w:pPr>
        <w:pStyle w:val="nzIndenta"/>
        <w:rPr>
          <w:ins w:id="153" w:author="svcMRProcess" w:date="2020-02-13T23:30:00Z"/>
        </w:rPr>
      </w:pPr>
      <w:ins w:id="154" w:author="svcMRProcess" w:date="2020-02-13T23:30:00Z">
        <w:r>
          <w:tab/>
          <w:t>(a)</w:t>
        </w:r>
        <w:r>
          <w:tab/>
          <w:t>if there is a title set out in the Table for the Schedule — after the identifier for the Schedule insert that title;</w:t>
        </w:r>
      </w:ins>
    </w:p>
    <w:p>
      <w:pPr>
        <w:pStyle w:val="nzIndenta"/>
        <w:rPr>
          <w:ins w:id="155" w:author="svcMRProcess" w:date="2020-02-13T23:30:00Z"/>
        </w:rPr>
      </w:pPr>
      <w:ins w:id="156" w:author="svcMRProcess" w:date="2020-02-13T23:30:00Z">
        <w:r>
          <w:tab/>
          <w:t>(b)</w:t>
        </w:r>
        <w:r>
          <w:tab/>
          <w:t>if there is a shoulder note set out in the Table for the Schedule — at the end of the heading to the Schedule insert that shoulder note;</w:t>
        </w:r>
      </w:ins>
    </w:p>
    <w:p>
      <w:pPr>
        <w:pStyle w:val="nzIndenta"/>
        <w:rPr>
          <w:ins w:id="157" w:author="svcMRProcess" w:date="2020-02-13T23:30:00Z"/>
        </w:rPr>
      </w:pPr>
      <w:ins w:id="158" w:author="svcMRProcess" w:date="2020-02-13T23:30:00Z">
        <w:r>
          <w:tab/>
          <w:t>(c)</w:t>
        </w:r>
        <w:r>
          <w:tab/>
          <w:t>reformat the heading to the Schedule, as amended by paragraphs (a) and (b) if applicable, so that it is in the current format.</w:t>
        </w:r>
      </w:ins>
    </w:p>
    <w:p>
      <w:pPr>
        <w:pStyle w:val="nzMiscellaneousHeading"/>
        <w:rPr>
          <w:ins w:id="159" w:author="svcMRProcess" w:date="2020-02-13T23:30:00Z"/>
        </w:rPr>
      </w:pPr>
      <w:ins w:id="160" w:author="svcMRProcess" w:date="2020-02-13T23:3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61" w:author="svcMRProcess" w:date="2020-02-13T23: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2" w:author="svcMRProcess" w:date="2020-02-13T23:30:00Z"/>
                <w:rFonts w:eastAsia="MS Mincho"/>
                <w:b/>
                <w:bCs/>
                <w:sz w:val="18"/>
              </w:rPr>
            </w:pPr>
            <w:ins w:id="163" w:author="svcMRProcess" w:date="2020-02-13T23:3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4" w:author="svcMRProcess" w:date="2020-02-13T23:30:00Z"/>
                <w:b/>
                <w:bCs/>
                <w:sz w:val="18"/>
              </w:rPr>
            </w:pPr>
            <w:ins w:id="165" w:author="svcMRProcess" w:date="2020-02-13T23:3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6" w:author="svcMRProcess" w:date="2020-02-13T23:30:00Z"/>
                <w:b/>
                <w:bCs/>
                <w:sz w:val="18"/>
              </w:rPr>
            </w:pPr>
            <w:ins w:id="167" w:author="svcMRProcess" w:date="2020-02-13T23:3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68" w:author="svcMRProcess" w:date="2020-02-13T23:30:00Z"/>
                <w:b/>
                <w:bCs/>
                <w:sz w:val="18"/>
              </w:rPr>
            </w:pPr>
            <w:ins w:id="169" w:author="svcMRProcess" w:date="2020-02-13T23:30:00Z">
              <w:r>
                <w:rPr>
                  <w:b/>
                  <w:bCs/>
                  <w:sz w:val="18"/>
                </w:rPr>
                <w:t>Shoulder note</w:t>
              </w:r>
            </w:ins>
          </w:p>
        </w:tc>
      </w:tr>
      <w:tr>
        <w:trPr>
          <w:cantSplit/>
          <w:ins w:id="170" w:author="svcMRProcess" w:date="2020-02-13T23:3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71" w:author="svcMRProcess" w:date="2020-02-13T23:30:00Z"/>
                <w:i/>
                <w:iCs/>
                <w:sz w:val="18"/>
              </w:rPr>
            </w:pPr>
            <w:ins w:id="172" w:author="svcMRProcess" w:date="2020-02-13T23:30:00Z">
              <w:r>
                <w:rPr>
                  <w:rFonts w:eastAsia="MS Mincho"/>
                  <w:i/>
                  <w:iCs/>
                  <w:sz w:val="18"/>
                </w:rPr>
                <w:t>Broken Hill Proprietary Company’s Integrated Steel Works Agreement Act 1960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3" w:author="svcMRProcess" w:date="2020-02-13T23:30:00Z"/>
                <w:sz w:val="18"/>
              </w:rPr>
            </w:pPr>
            <w:ins w:id="174" w:author="svcMRProcess" w:date="2020-02-13T23:30: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5" w:author="svcMRProcess" w:date="2020-02-13T23:30:00Z"/>
                <w:sz w:val="18"/>
              </w:rPr>
            </w:pPr>
            <w:ins w:id="176" w:author="svcMRProcess" w:date="2020-02-13T23:30:00Z">
              <w:r>
                <w:rPr>
                  <w:rFonts w:eastAsia="MS Mincho"/>
                  <w:sz w:val="18"/>
                </w:rPr>
                <w:t>Broken Hill Proprietary Company’s Integrated Steel Works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77" w:author="svcMRProcess" w:date="2020-02-13T23:30:00Z"/>
                <w:sz w:val="18"/>
              </w:rPr>
            </w:pPr>
          </w:p>
        </w:tc>
      </w:tr>
      <w:tr>
        <w:trPr>
          <w:cantSplit/>
          <w:ins w:id="178" w:author="svcMRProcess" w:date="2020-02-13T23:3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79" w:author="svcMRProcess" w:date="2020-02-13T23:3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80" w:author="svcMRProcess" w:date="2020-02-13T23:30:00Z"/>
                <w:sz w:val="18"/>
              </w:rPr>
            </w:pPr>
            <w:ins w:id="181" w:author="svcMRProcess" w:date="2020-02-13T23:30: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2" w:author="svcMRProcess" w:date="2020-02-13T23:30:00Z"/>
                <w:sz w:val="18"/>
              </w:rPr>
            </w:pPr>
            <w:ins w:id="183" w:author="svcMRProcess" w:date="2020-02-13T23:30: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4" w:author="svcMRProcess" w:date="2020-02-13T23:30:00Z"/>
                <w:sz w:val="18"/>
              </w:rPr>
            </w:pPr>
            <w:ins w:id="185" w:author="svcMRProcess" w:date="2020-02-13T23:30:00Z">
              <w:r>
                <w:rPr>
                  <w:sz w:val="18"/>
                </w:rPr>
                <w:t>[s. 3]</w:t>
              </w:r>
            </w:ins>
          </w:p>
        </w:tc>
      </w:tr>
    </w:tbl>
    <w:p>
      <w:pPr>
        <w:pStyle w:val="nzHeading5"/>
        <w:spacing w:before="240"/>
        <w:rPr>
          <w:ins w:id="186" w:author="svcMRProcess" w:date="2020-02-13T23:30:00Z"/>
        </w:rPr>
      </w:pPr>
      <w:ins w:id="187" w:author="svcMRProcess" w:date="2020-02-13T23:30:00Z">
        <w:r>
          <w:rPr>
            <w:rStyle w:val="CharSectno"/>
          </w:rPr>
          <w:t>42</w:t>
        </w:r>
        <w:r>
          <w:t>.</w:t>
        </w:r>
        <w:r>
          <w:tab/>
          <w:t>“The Schedules” and “Schedules” headings deleted</w:t>
        </w:r>
      </w:ins>
    </w:p>
    <w:p>
      <w:pPr>
        <w:pStyle w:val="nzSubsection"/>
        <w:rPr>
          <w:ins w:id="188" w:author="svcMRProcess" w:date="2020-02-13T23:30:00Z"/>
        </w:rPr>
      </w:pPr>
      <w:ins w:id="189" w:author="svcMRProcess" w:date="2020-02-13T23:30:00Z">
        <w:r>
          <w:tab/>
          <w:t>(1)</w:t>
        </w:r>
        <w:r>
          <w:tab/>
          <w:t>This section amends the Acts listed in Tables 1 and 2.</w:t>
        </w:r>
      </w:ins>
    </w:p>
    <w:p>
      <w:pPr>
        <w:pStyle w:val="nzSubsection"/>
        <w:rPr>
          <w:ins w:id="190" w:author="svcMRProcess" w:date="2020-02-13T23:30:00Z"/>
        </w:rPr>
      </w:pPr>
      <w:ins w:id="191" w:author="svcMRProcess" w:date="2020-02-13T23:30:00Z">
        <w:r>
          <w:tab/>
          <w:t>(2)</w:t>
        </w:r>
        <w:r>
          <w:tab/>
          <w:t>In each Act listed in Tab</w:t>
        </w:r>
        <w:bookmarkStart w:id="192" w:name="UpToHere"/>
        <w:bookmarkEnd w:id="192"/>
        <w:r>
          <w:t>le 1 before the first of the Schedules to the Act delete “</w:t>
        </w:r>
        <w:r>
          <w:rPr>
            <w:b/>
            <w:sz w:val="28"/>
          </w:rPr>
          <w:t>The Schedules</w:t>
        </w:r>
        <w:r>
          <w:t>”.</w:t>
        </w:r>
      </w:ins>
    </w:p>
    <w:p>
      <w:pPr>
        <w:pStyle w:val="BlankClose"/>
        <w:rPr>
          <w:ins w:id="193" w:author="svcMRProcess" w:date="2020-02-13T23:30:00Z"/>
        </w:rPr>
      </w:pPr>
    </w:p>
    <w:p>
      <w:pPr>
        <w:rPr>
          <w:ins w:id="194" w:author="svcMRProcess" w:date="2020-02-13T23:30:00Z"/>
          <w:sz w:val="20"/>
        </w:rPr>
      </w:pPr>
    </w:p>
    <w:p>
      <w:pPr>
        <w:rPr>
          <w:sz w:val="2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z w:val="20"/>
        </w:rPr>
      </w:pPr>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1"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A8B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D8F5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52"/>
    <w:docVar w:name="WAFER_20151207104352" w:val="RemoveTrackChanges"/>
    <w:docVar w:name="WAFER_20151207104352_GUID" w:val="4b97de17-1177-4250-9c87-6bcca4cf0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19032</Words>
  <Characters>91547</Characters>
  <Application>Microsoft Office Word</Application>
  <DocSecurity>0</DocSecurity>
  <Lines>1947</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110004</CharactersWithSpaces>
  <SharedDoc>false</SharedDoc>
  <HLinks>
    <vt:vector size="6" baseType="variant">
      <vt:variant>
        <vt:i4>65554</vt:i4>
      </vt:variant>
      <vt:variant>
        <vt:i4>102394</vt:i4>
      </vt:variant>
      <vt:variant>
        <vt:i4>1027</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01-b0-08 - 01-c0-02</dc:title>
  <dc:subject/>
  <dc:creator/>
  <cp:keywords/>
  <dc:description/>
  <cp:lastModifiedBy>svcMRProcess</cp:lastModifiedBy>
  <cp:revision>2</cp:revision>
  <cp:lastPrinted>2002-01-16T03:55:00Z</cp:lastPrinted>
  <dcterms:created xsi:type="dcterms:W3CDTF">2020-02-13T15:30:00Z</dcterms:created>
  <dcterms:modified xsi:type="dcterms:W3CDTF">2020-02-13T15:30:00Z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01-b0-08</vt:lpwstr>
  </property>
  <property fmtid="{D5CDD505-2E9C-101B-9397-08002B2CF9AE}" pid="6" name="FromAsAtDate">
    <vt:lpwstr>01 Jul 2003</vt:lpwstr>
  </property>
  <property fmtid="{D5CDD505-2E9C-101B-9397-08002B2CF9AE}" pid="7" name="ToSuffix">
    <vt:lpwstr>01-c0-02</vt:lpwstr>
  </property>
  <property fmtid="{D5CDD505-2E9C-101B-9397-08002B2CF9AE}" pid="8" name="ToAsAtDate">
    <vt:lpwstr>28 Jun 2010</vt:lpwstr>
  </property>
</Properties>
</file>