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(McCamey’s Monster) Agreement Authorisation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(McCamey’s Monster) Agreement Authorisation Act 1972 </w:t>
      </w:r>
    </w:p>
    <w:p>
      <w:pPr>
        <w:pStyle w:val="LongTitle"/>
        <w:rPr>
          <w:snapToGrid w:val="0"/>
        </w:rPr>
      </w:pPr>
      <w:r>
        <w:rPr>
          <w:snapToGrid w:val="0"/>
        </w:rPr>
        <w:t>A</w:t>
      </w:r>
      <w:bookmarkStart w:id="0" w:name="_GoBack"/>
      <w:bookmarkEnd w:id="0"/>
      <w:r>
        <w:rPr>
          <w:snapToGrid w:val="0"/>
        </w:rPr>
        <w:t xml:space="preserve">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1" w:name="_Toc407112335"/>
      <w:bookmarkStart w:id="2" w:name="_Toc27811366"/>
      <w:bookmarkStart w:id="3" w:name="_Toc34541379"/>
      <w:bookmarkStart w:id="4" w:name="_Toc270606089"/>
      <w:bookmarkStart w:id="5" w:name="_Toc26792075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(McCamey’s Monster) Agreement Authorisation Act 1972</w:t>
      </w:r>
      <w:r>
        <w:rPr>
          <w:i/>
          <w:snapToGrid w:val="0"/>
          <w:vertAlign w:val="superscript"/>
        </w:rPr>
        <w:t> </w:t>
      </w:r>
      <w:r>
        <w:rPr>
          <w:snapToGrid w:val="0"/>
          <w:vertAlign w:val="superscript"/>
        </w:rPr>
        <w:t>1</w:t>
      </w:r>
      <w:r>
        <w:rPr>
          <w:snapToGrid w:val="0"/>
        </w:rPr>
        <w:t>.</w:t>
      </w:r>
    </w:p>
    <w:p>
      <w:pPr>
        <w:pStyle w:val="Heading5"/>
        <w:rPr>
          <w:snapToGrid w:val="0"/>
        </w:rPr>
      </w:pPr>
      <w:bookmarkStart w:id="6" w:name="_Toc407112336"/>
      <w:bookmarkStart w:id="7" w:name="_Toc27811367"/>
      <w:bookmarkStart w:id="8" w:name="_Toc34541380"/>
      <w:bookmarkStart w:id="9" w:name="_Toc270606090"/>
      <w:bookmarkStart w:id="10" w:name="_Toc267920754"/>
      <w:r>
        <w:rPr>
          <w:rStyle w:val="CharSectno"/>
        </w:rPr>
        <w:t>2</w:t>
      </w:r>
      <w:r>
        <w:rPr>
          <w:snapToGrid w:val="0"/>
        </w:rPr>
        <w:t>.</w:t>
      </w:r>
      <w:r>
        <w:rPr>
          <w:snapToGrid w:val="0"/>
        </w:rPr>
        <w:tab/>
        <w:t>Execution of agreement authorised</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11" w:name="_Toc407112337"/>
      <w:bookmarkStart w:id="12" w:name="_Toc27811368"/>
      <w:bookmarkStart w:id="13" w:name="_Toc34541381"/>
      <w:bookmarkStart w:id="14" w:name="_Toc270606091"/>
      <w:bookmarkStart w:id="15" w:name="_Toc267920755"/>
      <w:r>
        <w:rPr>
          <w:rStyle w:val="CharSectno"/>
        </w:rPr>
        <w:t>3</w:t>
      </w:r>
      <w:r>
        <w:rPr>
          <w:snapToGrid w:val="0"/>
        </w:rPr>
        <w:t>.</w:t>
      </w:r>
      <w:r>
        <w:rPr>
          <w:snapToGrid w:val="0"/>
        </w:rPr>
        <w:tab/>
        <w:t>Executed agreement to operate and take effect</w:t>
      </w:r>
      <w:bookmarkEnd w:id="11"/>
      <w:bookmarkEnd w:id="12"/>
      <w:bookmarkEnd w:id="13"/>
      <w:bookmarkEnd w:id="14"/>
      <w:bookmarkEnd w:id="15"/>
      <w:r>
        <w:rPr>
          <w:snapToGrid w:val="0"/>
        </w:rPr>
        <w:t xml:space="preserve"> </w:t>
      </w:r>
    </w:p>
    <w:p>
      <w:pPr>
        <w:pStyle w:val="Subsection"/>
        <w:keepNext/>
        <w:keepLines/>
        <w:rPr>
          <w:snapToGrid w:val="0"/>
        </w:rPr>
      </w:pPr>
      <w:r>
        <w:rPr>
          <w:snapToGrid w:val="0"/>
        </w:rPr>
        <w:tab/>
      </w:r>
      <w:r>
        <w:rPr>
          <w:snapToGrid w:val="0"/>
        </w:rPr>
        <w:tab/>
        <w:t xml:space="preserve">When the agreement referred to in section 2 is duly executed by all the parties thereto, the agreement (in this Act called </w:t>
      </w:r>
      <w:r>
        <w:rPr>
          <w:b/>
          <w:snapToGrid w:val="0"/>
        </w:rPr>
        <w:t>“the Principal Agreement”</w:t>
      </w:r>
      <w:r>
        <w:rPr>
          <w:snapToGrid w:val="0"/>
        </w:rPr>
        <w:t>) shall, subject to its provisions, operate and take effect as though those provisions were enacted in this Act.</w:t>
      </w:r>
    </w:p>
    <w:p>
      <w:pPr>
        <w:pStyle w:val="Footnotesection"/>
      </w:pPr>
      <w:r>
        <w:tab/>
        <w:t xml:space="preserve">[Section 3 amended by No. 45 of 1986 s. 5.] </w:t>
      </w:r>
    </w:p>
    <w:p>
      <w:pPr>
        <w:pStyle w:val="Heading5"/>
        <w:rPr>
          <w:snapToGrid w:val="0"/>
        </w:rPr>
      </w:pPr>
      <w:bookmarkStart w:id="16" w:name="_Toc407112338"/>
      <w:bookmarkStart w:id="17" w:name="_Toc27811369"/>
      <w:bookmarkStart w:id="18" w:name="_Toc34541382"/>
      <w:bookmarkStart w:id="19" w:name="_Toc270606092"/>
      <w:bookmarkStart w:id="20" w:name="_Toc267920756"/>
      <w:r>
        <w:rPr>
          <w:rStyle w:val="CharSectno"/>
        </w:rPr>
        <w:lastRenderedPageBreak/>
        <w:t>4</w:t>
      </w:r>
      <w:r>
        <w:rPr>
          <w:snapToGrid w:val="0"/>
        </w:rPr>
        <w:t>.</w:t>
      </w:r>
      <w:r>
        <w:rPr>
          <w:snapToGrid w:val="0"/>
        </w:rPr>
        <w:tab/>
        <w:t>First Variation Agreement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Iron Ore (McCamey’s Monster) Agreement Authorisation Amendment Act 1986</w:t>
      </w:r>
      <w:r>
        <w:rPr>
          <w:i/>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45 of 1986 s. 6; amended by No. 29 of 1994 s. 8.] </w:t>
      </w:r>
    </w:p>
    <w:p>
      <w:pPr>
        <w:pStyle w:val="Heading5"/>
        <w:rPr>
          <w:snapToGrid w:val="0"/>
        </w:rPr>
      </w:pPr>
      <w:bookmarkStart w:id="21" w:name="_Toc407112339"/>
      <w:bookmarkStart w:id="22" w:name="_Toc27811370"/>
      <w:bookmarkStart w:id="23" w:name="_Toc34541383"/>
      <w:bookmarkStart w:id="24" w:name="_Toc270606093"/>
      <w:bookmarkStart w:id="25" w:name="_Toc267920757"/>
      <w:r>
        <w:rPr>
          <w:rStyle w:val="CharSectno"/>
        </w:rPr>
        <w:t>5</w:t>
      </w:r>
      <w:r>
        <w:rPr>
          <w:snapToGrid w:val="0"/>
        </w:rPr>
        <w:t>.</w:t>
      </w:r>
      <w:r>
        <w:rPr>
          <w:snapToGrid w:val="0"/>
        </w:rPr>
        <w:tab/>
        <w:t>Second Variation Agreement</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xml:space="preserve">, the Principal Agreement, as amended by the first Variation Agreement and </w:t>
      </w:r>
      <w:r>
        <w:rPr>
          <w:snapToGrid w:val="0"/>
        </w:rPr>
        <w:lastRenderedPageBreak/>
        <w:t>the second Variation Agreement, shall, subject to its provisions, operate and take effect as though those provisions were enacted in this Act.</w:t>
      </w:r>
    </w:p>
    <w:p>
      <w:pPr>
        <w:pStyle w:val="Footnotesection"/>
      </w:pPr>
      <w:r>
        <w:tab/>
        <w:t xml:space="preserve">[Section 5 inserted by No. 29 of 1994 s. 9.] </w:t>
      </w:r>
    </w:p>
    <w:p>
      <w:pPr>
        <w:pStyle w:val="Heading5"/>
      </w:pPr>
      <w:bookmarkStart w:id="26" w:name="_Toc27811371"/>
      <w:bookmarkStart w:id="27" w:name="_Toc34541384"/>
      <w:bookmarkStart w:id="28" w:name="_Toc270606094"/>
      <w:bookmarkStart w:id="29" w:name="_Toc267920758"/>
      <w:r>
        <w:rPr>
          <w:rStyle w:val="CharSectno"/>
        </w:rPr>
        <w:t>6</w:t>
      </w:r>
      <w:r>
        <w:t>.</w:t>
      </w:r>
      <w:r>
        <w:tab/>
        <w:t>Third Variation Agreement</w:t>
      </w:r>
      <w:bookmarkEnd w:id="26"/>
      <w:bookmarkEnd w:id="27"/>
      <w:bookmarkEnd w:id="28"/>
      <w:bookmarkEnd w:id="29"/>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by No. 57 of 2000 s. 13.] </w:t>
      </w:r>
    </w:p>
    <w:p>
      <w:pPr>
        <w:pStyle w:val="Heading5"/>
        <w:rPr>
          <w:ins w:id="30" w:author="svcMRProcess" w:date="2020-02-17T07:22:00Z"/>
        </w:rPr>
      </w:pPr>
      <w:bookmarkStart w:id="31" w:name="_Toc270333559"/>
      <w:bookmarkStart w:id="32" w:name="_Toc270602730"/>
      <w:bookmarkStart w:id="33" w:name="_Toc270606095"/>
      <w:ins w:id="34" w:author="svcMRProcess" w:date="2020-02-17T07:22:00Z">
        <w:r>
          <w:rPr>
            <w:rStyle w:val="CharSectno"/>
          </w:rPr>
          <w:t>7</w:t>
        </w:r>
        <w:r>
          <w:t>.</w:t>
        </w:r>
        <w:r>
          <w:tab/>
          <w:t>Variation of Agreement to increase rates of royalty</w:t>
        </w:r>
        <w:bookmarkEnd w:id="31"/>
        <w:bookmarkEnd w:id="32"/>
        <w:bookmarkEnd w:id="33"/>
      </w:ins>
    </w:p>
    <w:p>
      <w:pPr>
        <w:pStyle w:val="Subsection"/>
        <w:rPr>
          <w:ins w:id="35" w:author="svcMRProcess" w:date="2020-02-17T07:22:00Z"/>
        </w:rPr>
      </w:pPr>
      <w:ins w:id="36" w:author="svcMRProcess" w:date="2020-02-17T07:22:00Z">
        <w:r>
          <w:tab/>
          <w:t>(1)</w:t>
        </w:r>
        <w:r>
          <w:tab/>
          <w:t xml:space="preserve">In this section — </w:t>
        </w:r>
      </w:ins>
    </w:p>
    <w:p>
      <w:pPr>
        <w:pStyle w:val="Defstart"/>
        <w:rPr>
          <w:ins w:id="37" w:author="svcMRProcess" w:date="2020-02-17T07:22:00Z"/>
        </w:rPr>
      </w:pPr>
      <w:ins w:id="38" w:author="svcMRProcess" w:date="2020-02-17T07:22:00Z">
        <w:r>
          <w:tab/>
        </w:r>
        <w:r>
          <w:rPr>
            <w:rStyle w:val="CharDefText"/>
          </w:rPr>
          <w:t>the Agreement</w:t>
        </w:r>
        <w:r>
          <w:t xml:space="preserve"> means the Principal Agreement — </w:t>
        </w:r>
      </w:ins>
    </w:p>
    <w:p>
      <w:pPr>
        <w:pStyle w:val="Defpara"/>
        <w:rPr>
          <w:ins w:id="39" w:author="svcMRProcess" w:date="2020-02-17T07:22:00Z"/>
        </w:rPr>
      </w:pPr>
      <w:ins w:id="40" w:author="svcMRProcess" w:date="2020-02-17T07:22:00Z">
        <w:r>
          <w:tab/>
          <w:t>(a)</w:t>
        </w:r>
        <w:r>
          <w:tab/>
          <w:t>as varied from time to time in accordance with its provisions; and</w:t>
        </w:r>
      </w:ins>
    </w:p>
    <w:p>
      <w:pPr>
        <w:pStyle w:val="Defpara"/>
        <w:rPr>
          <w:ins w:id="41" w:author="svcMRProcess" w:date="2020-02-17T07:22:00Z"/>
        </w:rPr>
      </w:pPr>
      <w:ins w:id="42" w:author="svcMRProcess" w:date="2020-02-17T07:22:00Z">
        <w:r>
          <w:tab/>
          <w:t>(b)</w:t>
        </w:r>
        <w:r>
          <w:tab/>
          <w:t xml:space="preserve">as varied by these agreements — </w:t>
        </w:r>
      </w:ins>
    </w:p>
    <w:p>
      <w:pPr>
        <w:pStyle w:val="Defsubpara"/>
        <w:rPr>
          <w:ins w:id="43" w:author="svcMRProcess" w:date="2020-02-17T07:22:00Z"/>
        </w:rPr>
      </w:pPr>
      <w:ins w:id="44" w:author="svcMRProcess" w:date="2020-02-17T07:22:00Z">
        <w:r>
          <w:tab/>
          <w:t>(i)</w:t>
        </w:r>
        <w:r>
          <w:tab/>
          <w:t>the first Variation Agreement;</w:t>
        </w:r>
      </w:ins>
    </w:p>
    <w:p>
      <w:pPr>
        <w:pStyle w:val="Defsubpara"/>
        <w:rPr>
          <w:ins w:id="45" w:author="svcMRProcess" w:date="2020-02-17T07:22:00Z"/>
        </w:rPr>
      </w:pPr>
      <w:ins w:id="46" w:author="svcMRProcess" w:date="2020-02-17T07:22:00Z">
        <w:r>
          <w:tab/>
          <w:t>(ii)</w:t>
        </w:r>
        <w:r>
          <w:tab/>
          <w:t>the second Variation Agreement;</w:t>
        </w:r>
      </w:ins>
    </w:p>
    <w:p>
      <w:pPr>
        <w:pStyle w:val="Defsubpara"/>
        <w:rPr>
          <w:ins w:id="47" w:author="svcMRProcess" w:date="2020-02-17T07:22:00Z"/>
        </w:rPr>
      </w:pPr>
      <w:ins w:id="48" w:author="svcMRProcess" w:date="2020-02-17T07:22:00Z">
        <w:r>
          <w:tab/>
          <w:t>(iii)</w:t>
        </w:r>
        <w:r>
          <w:tab/>
          <w:t>the third Variation Agreement.</w:t>
        </w:r>
      </w:ins>
    </w:p>
    <w:p>
      <w:pPr>
        <w:pStyle w:val="Subsection"/>
        <w:rPr>
          <w:ins w:id="49" w:author="svcMRProcess" w:date="2020-02-17T07:22:00Z"/>
        </w:rPr>
      </w:pPr>
      <w:ins w:id="50" w:author="svcMRProcess" w:date="2020-02-17T07:22:00Z">
        <w:r>
          <w:tab/>
          <w:t>(2)</w:t>
        </w:r>
        <w:r>
          <w:tab/>
          <w:t xml:space="preserve">Clause 31(1) of the Agreement is varied — </w:t>
        </w:r>
      </w:ins>
    </w:p>
    <w:p>
      <w:pPr>
        <w:pStyle w:val="Indenta"/>
        <w:rPr>
          <w:ins w:id="51" w:author="svcMRProcess" w:date="2020-02-17T07:22:00Z"/>
        </w:rPr>
      </w:pPr>
      <w:ins w:id="52" w:author="svcMRProcess" w:date="2020-02-17T07:22:00Z">
        <w:r>
          <w:tab/>
          <w:t>(a)</w:t>
        </w:r>
        <w:r>
          <w:tab/>
          <w:t>in paragraph (aa)(ii) by deleting “</w:t>
        </w:r>
        <w:r>
          <w:rPr>
            <w:sz w:val="22"/>
          </w:rPr>
          <w:t>3.75%</w:t>
        </w:r>
        <w:r>
          <w:t xml:space="preserve">” and inserting — </w:t>
        </w:r>
      </w:ins>
    </w:p>
    <w:p>
      <w:pPr>
        <w:pStyle w:val="BlankOpen"/>
        <w:rPr>
          <w:ins w:id="53" w:author="svcMRProcess" w:date="2020-02-17T07:22:00Z"/>
        </w:rPr>
      </w:pPr>
    </w:p>
    <w:p>
      <w:pPr>
        <w:pStyle w:val="Indenta"/>
        <w:rPr>
          <w:ins w:id="54" w:author="svcMRProcess" w:date="2020-02-17T07:22:00Z"/>
        </w:rPr>
      </w:pPr>
      <w:ins w:id="55" w:author="svcMRProcess" w:date="2020-02-17T07:22:00Z">
        <w:r>
          <w:tab/>
        </w:r>
        <w:r>
          <w:tab/>
        </w:r>
        <w:r>
          <w:rPr>
            <w:sz w:val="22"/>
          </w:rPr>
          <w:t>5.625%</w:t>
        </w:r>
      </w:ins>
    </w:p>
    <w:p>
      <w:pPr>
        <w:pStyle w:val="BlankClose"/>
        <w:rPr>
          <w:ins w:id="56" w:author="svcMRProcess" w:date="2020-02-17T07:22:00Z"/>
        </w:rPr>
      </w:pPr>
    </w:p>
    <w:p>
      <w:pPr>
        <w:pStyle w:val="Indenta"/>
        <w:rPr>
          <w:ins w:id="57" w:author="svcMRProcess" w:date="2020-02-17T07:22:00Z"/>
        </w:rPr>
      </w:pPr>
      <w:ins w:id="58" w:author="svcMRProcess" w:date="2020-02-17T07:22:00Z">
        <w:r>
          <w:tab/>
          <w:t>(b)</w:t>
        </w:r>
        <w:r>
          <w:tab/>
          <w:t xml:space="preserve">after paragraph (aa) by inserting — </w:t>
        </w:r>
      </w:ins>
    </w:p>
    <w:p>
      <w:pPr>
        <w:pStyle w:val="BlankOpen"/>
        <w:rPr>
          <w:ins w:id="59" w:author="svcMRProcess" w:date="2020-02-17T07:22:00Z"/>
        </w:rPr>
      </w:pPr>
    </w:p>
    <w:p>
      <w:pPr>
        <w:pStyle w:val="zyMiscellaneousBody"/>
        <w:tabs>
          <w:tab w:val="left" w:pos="2268"/>
        </w:tabs>
        <w:spacing w:before="80"/>
        <w:ind w:left="2835" w:hanging="1134"/>
        <w:rPr>
          <w:ins w:id="60" w:author="svcMRProcess" w:date="2020-02-17T07:22:00Z"/>
        </w:rPr>
      </w:pPr>
      <w:ins w:id="61" w:author="svcMRProcess" w:date="2020-02-17T07:22:00Z">
        <w:r>
          <w:tab/>
          <w:t>(ab)</w:t>
        </w:r>
        <w:r>
          <w:tab/>
          <w:t>on iron ore products being fine ore and fines where such fine ore or fines are sold or shipped separately as such — at the rate of 5.625% of the f.o.b. revenue (computed as mentioned in paragraph (a) of this subclause);</w:t>
        </w:r>
      </w:ins>
    </w:p>
    <w:p>
      <w:pPr>
        <w:pStyle w:val="zyMiscellaneousBody"/>
        <w:tabs>
          <w:tab w:val="left" w:pos="2268"/>
        </w:tabs>
        <w:spacing w:before="80"/>
        <w:ind w:left="2835" w:hanging="1134"/>
        <w:rPr>
          <w:ins w:id="62" w:author="svcMRProcess" w:date="2020-02-17T07:22:00Z"/>
        </w:rPr>
      </w:pPr>
      <w:ins w:id="63" w:author="svcMRProcess" w:date="2020-02-17T07:22:00Z">
        <w:r>
          <w:tab/>
          <w:t>(ac)</w:t>
        </w:r>
        <w:r>
          <w:tab/>
          <w:t>on iron ore products being iron ore concentrates — at the rate of 5% of the f.o.b. revenue (computed as mentioned in paragraph (a) of this subclause);</w:t>
        </w:r>
      </w:ins>
    </w:p>
    <w:p>
      <w:pPr>
        <w:pStyle w:val="BlankClose"/>
        <w:rPr>
          <w:ins w:id="64" w:author="svcMRProcess" w:date="2020-02-17T07:22:00Z"/>
        </w:rPr>
      </w:pPr>
    </w:p>
    <w:p>
      <w:pPr>
        <w:pStyle w:val="Subsection"/>
        <w:rPr>
          <w:ins w:id="65" w:author="svcMRProcess" w:date="2020-02-17T07:22:00Z"/>
        </w:rPr>
      </w:pPr>
      <w:ins w:id="66" w:author="svcMRProcess" w:date="2020-02-17T07:22:00Z">
        <w:r>
          <w:tab/>
          <w:t>(3)</w:t>
        </w:r>
        <w:r>
          <w:tab/>
          <w:t xml:space="preserve">Clause 31(1)(aa)(ii) of the Agreement as varied, and clause 31(1)(ab) and (ac) as inserted in the Agreement, by subsection (2) operate and take effect despite — </w:t>
        </w:r>
      </w:ins>
    </w:p>
    <w:p>
      <w:pPr>
        <w:pStyle w:val="Indenta"/>
        <w:rPr>
          <w:ins w:id="67" w:author="svcMRProcess" w:date="2020-02-17T07:22:00Z"/>
        </w:rPr>
      </w:pPr>
      <w:ins w:id="68" w:author="svcMRProcess" w:date="2020-02-17T07:22:00Z">
        <w:r>
          <w:tab/>
          <w:t>(a)</w:t>
        </w:r>
        <w:r>
          <w:tab/>
          <w:t>any other provision of the Agreement; and</w:t>
        </w:r>
      </w:ins>
    </w:p>
    <w:p>
      <w:pPr>
        <w:pStyle w:val="Indenta"/>
        <w:rPr>
          <w:ins w:id="69" w:author="svcMRProcess" w:date="2020-02-17T07:22:00Z"/>
        </w:rPr>
      </w:pPr>
      <w:ins w:id="70" w:author="svcMRProcess" w:date="2020-02-17T07:22:00Z">
        <w:r>
          <w:tab/>
          <w:t>(b)</w:t>
        </w:r>
        <w:r>
          <w:tab/>
          <w:t>any other agreement or instrument; and</w:t>
        </w:r>
      </w:ins>
    </w:p>
    <w:p>
      <w:pPr>
        <w:pStyle w:val="Indenta"/>
        <w:rPr>
          <w:ins w:id="71" w:author="svcMRProcess" w:date="2020-02-17T07:22:00Z"/>
        </w:rPr>
      </w:pPr>
      <w:ins w:id="72" w:author="svcMRProcess" w:date="2020-02-17T07:22:00Z">
        <w:r>
          <w:tab/>
          <w:t>(c)</w:t>
        </w:r>
        <w:r>
          <w:tab/>
          <w:t>any other Act or law.</w:t>
        </w:r>
      </w:ins>
    </w:p>
    <w:p>
      <w:pPr>
        <w:pStyle w:val="Subsection"/>
        <w:rPr>
          <w:ins w:id="73" w:author="svcMRProcess" w:date="2020-02-17T07:22:00Z"/>
        </w:rPr>
      </w:pPr>
      <w:ins w:id="74" w:author="svcMRProcess" w:date="2020-02-17T07:22:00Z">
        <w:r>
          <w:tab/>
          <w:t>(4)</w:t>
        </w:r>
        <w:r>
          <w:tab/>
          <w:t xml:space="preserve">Nothing in this section affects the amount of royalty payable under clause 31 of the Agreement in respect of any period before the commencement of the </w:t>
        </w:r>
        <w:r>
          <w:rPr>
            <w:i/>
          </w:rPr>
          <w:t>Iron Ore Agreements Legislation Amendment Act 2010</w:t>
        </w:r>
        <w:r>
          <w:t xml:space="preserve"> Part 5.</w:t>
        </w:r>
      </w:ins>
    </w:p>
    <w:p>
      <w:pPr>
        <w:pStyle w:val="Footnotesection"/>
        <w:rPr>
          <w:ins w:id="75" w:author="svcMRProcess" w:date="2020-02-17T07:22:00Z"/>
        </w:rPr>
      </w:pPr>
      <w:ins w:id="76" w:author="svcMRProcess" w:date="2020-02-17T07:22:00Z">
        <w:r>
          <w:tab/>
          <w:t xml:space="preserve">[Section 7 inserted by No. 34 of 2010 s. 11.] </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7" w:name="_Toc34541385"/>
      <w:bookmarkStart w:id="78" w:name="_Toc267920759"/>
      <w:bookmarkStart w:id="79" w:name="_Toc270603886"/>
      <w:bookmarkStart w:id="80" w:name="_Toc270606096"/>
      <w:r>
        <w:rPr>
          <w:rStyle w:val="CharSchNo"/>
        </w:rPr>
        <w:t>Schedule 1</w:t>
      </w:r>
      <w:bookmarkEnd w:id="77"/>
      <w:bookmarkEnd w:id="78"/>
      <w:bookmarkEnd w:id="79"/>
      <w:bookmarkEnd w:id="80"/>
      <w:r>
        <w:rPr>
          <w:rStyle w:val="CharSchText"/>
        </w:rPr>
        <w:t xml:space="preserve"> </w:t>
      </w:r>
    </w:p>
    <w:p>
      <w:pPr>
        <w:pStyle w:val="yFootnoteheading"/>
      </w:pPr>
      <w:ins w:id="81" w:author="svcMRProcess" w:date="2020-02-17T07:22:00Z">
        <w:r>
          <w:tab/>
        </w:r>
      </w:ins>
      <w:r>
        <w:t>[Heading inserted by No. 45 of 1986 s. 7.]</w:t>
      </w:r>
    </w:p>
    <w:p>
      <w:pPr>
        <w:pStyle w:val="yMiscellaneousBody"/>
        <w:rPr>
          <w:spacing w:val="-2"/>
        </w:rPr>
      </w:pPr>
      <w:r>
        <w:rPr>
          <w:spacing w:val="-2"/>
        </w:rPr>
        <w:t>THIS AGREEMENT made the                          day of</w:t>
      </w:r>
      <w:r>
        <w:rPr>
          <w:spacing w:val="-2"/>
        </w:rPr>
        <w:br/>
        <w:t>One thousand nine hundred and seventy</w:t>
      </w:r>
      <w:r>
        <w:rPr>
          <w:spacing w:val="-2"/>
        </w:rP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pPr>
      <w:r>
        <w:t>WHEREAS:</w:t>
      </w:r>
    </w:p>
    <w:p>
      <w:pPr>
        <w:pStyle w:val="yMiscellaneousBody"/>
        <w:tabs>
          <w:tab w:val="left" w:pos="567"/>
          <w:tab w:val="left" w:pos="1134"/>
        </w:tabs>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100"/>
      </w:pPr>
      <w:r>
        <w:t>NOW THIS AGREEMENT WITNESSETH as follows — </w:t>
      </w:r>
    </w:p>
    <w:p>
      <w:pPr>
        <w:pStyle w:val="yMiscellaneousHeading"/>
        <w:spacing w:before="10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8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8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80"/>
        <w:ind w:left="1134" w:hanging="1134"/>
      </w:pPr>
      <w:r>
        <w:tab/>
        <w:t>“associated company” means — </w:t>
      </w:r>
    </w:p>
    <w:p>
      <w:pPr>
        <w:pStyle w:val="yMiscellaneousBody"/>
        <w:tabs>
          <w:tab w:val="left" w:pos="1134"/>
          <w:tab w:val="left" w:pos="1701"/>
        </w:tabs>
        <w:spacing w:before="80"/>
        <w:ind w:left="1701" w:hanging="1701"/>
      </w:pPr>
      <w:r>
        <w:tab/>
        <w:t>(a)</w:t>
      </w:r>
      <w:r>
        <w:tab/>
        <w:t>any company notified by the Joint Venturers or any of them to the Minister which has a paid</w:t>
      </w:r>
      <w:r>
        <w:noBreakHyphen/>
        <w:t>up capital of not less than two million dollars and is incorporated in the United Kingdom, the United States of America,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80"/>
        <w:ind w:left="1701" w:hanging="1701"/>
      </w:pPr>
      <w:r>
        <w:tab/>
        <w:t>(b)</w:t>
      </w:r>
      <w:r>
        <w:tab/>
        <w:t>any other company which the Minister approves as an associated company for the purposes of this Agreement.</w:t>
      </w:r>
    </w:p>
    <w:p>
      <w:pPr>
        <w:pStyle w:val="yMiscellaneousBody"/>
        <w:tabs>
          <w:tab w:val="left" w:pos="709"/>
        </w:tabs>
        <w:spacing w:before="120"/>
        <w:ind w:left="1134" w:hanging="1134"/>
      </w:pPr>
      <w:r>
        <w:tab/>
        <w:t>“Clause” means a clause of this Agreement.</w:t>
      </w:r>
    </w:p>
    <w:p>
      <w:pPr>
        <w:pStyle w:val="yMiscellaneousBody"/>
        <w:tabs>
          <w:tab w:val="left" w:pos="709"/>
        </w:tabs>
        <w:spacing w:before="120"/>
        <w:ind w:left="1134" w:hanging="1134"/>
      </w:pPr>
      <w:r>
        <w:tab/>
        <w:t>“commencement date” means the date on which this Agreement is executed by all the parties hereto;</w:t>
      </w:r>
    </w:p>
    <w:p>
      <w:pPr>
        <w:pStyle w:val="yMiscellaneousBody"/>
        <w:tabs>
          <w:tab w:val="left" w:pos="709"/>
        </w:tabs>
        <w:spacing w:before="120"/>
        <w:ind w:left="1134" w:hanging="1134"/>
      </w:pPr>
      <w:r>
        <w:tab/>
        <w:t>“Commission” means the State Electricity Commission of Western Australia;</w:t>
      </w:r>
    </w:p>
    <w:p>
      <w:pPr>
        <w:pStyle w:val="yMiscellaneousBody"/>
        <w:tabs>
          <w:tab w:val="left" w:pos="709"/>
        </w:tabs>
        <w:spacing w:before="120"/>
        <w:ind w:left="1134" w:hanging="1134"/>
      </w:pPr>
      <w:r>
        <w:tab/>
        <w:t>“Commonwealth” means the Commonwealth of Australia and includes the Government thereof for the time being;</w:t>
      </w:r>
    </w:p>
    <w:p>
      <w:pPr>
        <w:pStyle w:val="yMiscellaneousBody"/>
        <w:tabs>
          <w:tab w:val="left" w:pos="709"/>
        </w:tabs>
        <w:spacing w:before="12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20"/>
        <w:ind w:left="1134" w:hanging="1134"/>
      </w:pPr>
      <w:r>
        <w:tab/>
        <w:t>“financial year” means a year commencing on and including the 1st day of July;</w:t>
      </w:r>
    </w:p>
    <w:p>
      <w:pPr>
        <w:pStyle w:val="yMiscellaneousBody"/>
        <w:tabs>
          <w:tab w:val="left" w:pos="709"/>
        </w:tabs>
        <w:spacing w:before="12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“fines” means iron ore (not being direct shipping ore or fine ore) which will pass through a 6 millimetre mesh screen;</w:t>
      </w:r>
    </w:p>
    <w:p>
      <w:pPr>
        <w:pStyle w:val="yMiscellaneousBody"/>
        <w:tabs>
          <w:tab w:val="left" w:pos="709"/>
        </w:tabs>
        <w:spacing w:before="12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20"/>
        <w:ind w:left="1985" w:hanging="1985"/>
      </w:pPr>
      <w:r>
        <w:tab/>
        <w:t>(1)</w:t>
      </w:r>
      <w:r>
        <w:tab/>
        <w:t>ocean freight;</w:t>
      </w:r>
    </w:p>
    <w:p>
      <w:pPr>
        <w:pStyle w:val="yMiscellaneousBody"/>
        <w:tabs>
          <w:tab w:val="left" w:pos="1418"/>
          <w:tab w:val="left" w:pos="1985"/>
        </w:tabs>
        <w:spacing w:before="120"/>
        <w:ind w:left="1985" w:hanging="1985"/>
      </w:pPr>
      <w:r>
        <w:tab/>
        <w:t>(2)</w:t>
      </w:r>
      <w:r>
        <w:tab/>
        <w:t>marine insurance;</w:t>
      </w:r>
    </w:p>
    <w:p>
      <w:pPr>
        <w:pStyle w:val="yMiscellaneousBody"/>
        <w:tabs>
          <w:tab w:val="left" w:pos="1418"/>
          <w:tab w:val="left" w:pos="1985"/>
        </w:tabs>
        <w:spacing w:before="120"/>
        <w:ind w:left="1985" w:hanging="1985"/>
      </w:pPr>
      <w:r>
        <w:tab/>
        <w:t>(3)</w:t>
      </w:r>
      <w:r>
        <w:tab/>
        <w:t>port and handling charges at port of discharge;</w:t>
      </w:r>
    </w:p>
    <w:p>
      <w:pPr>
        <w:pStyle w:val="yMiscellaneousBody"/>
        <w:tabs>
          <w:tab w:val="left" w:pos="1418"/>
          <w:tab w:val="left" w:pos="1985"/>
        </w:tabs>
        <w:spacing w:before="120"/>
        <w:ind w:left="1985" w:hanging="1985"/>
      </w:pPr>
      <w:r>
        <w:tab/>
        <w:t>(4)</w:t>
      </w:r>
      <w:r>
        <w:tab/>
        <w:t>costs of delivery from port of discharge to a smelter nominated by the purchaser;</w:t>
      </w:r>
    </w:p>
    <w:p>
      <w:pPr>
        <w:pStyle w:val="yMiscellaneousBody"/>
        <w:tabs>
          <w:tab w:val="left" w:pos="1418"/>
          <w:tab w:val="left" w:pos="1985"/>
        </w:tabs>
        <w:spacing w:before="12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20"/>
        <w:ind w:left="1985" w:hanging="1985"/>
      </w:pPr>
      <w:r>
        <w:tab/>
        <w:t>(6)</w:t>
      </w:r>
      <w:r>
        <w:tab/>
        <w:t>shipping agency charges;</w:t>
      </w:r>
    </w:p>
    <w:p>
      <w:pPr>
        <w:pStyle w:val="yMiscellaneousBody"/>
        <w:tabs>
          <w:tab w:val="left" w:pos="1418"/>
          <w:tab w:val="left" w:pos="1985"/>
        </w:tabs>
        <w:spacing w:before="120"/>
        <w:ind w:left="1985" w:hanging="1985"/>
      </w:pPr>
      <w:r>
        <w:tab/>
        <w:t>(7)</w:t>
      </w:r>
      <w:r>
        <w:tab/>
        <w:t>import taxes payable to the country of the port of discharge;</w:t>
      </w:r>
    </w:p>
    <w:p>
      <w:pPr>
        <w:pStyle w:val="yMiscellaneousBody"/>
        <w:tabs>
          <w:tab w:val="left" w:pos="1418"/>
          <w:tab w:val="left" w:pos="1985"/>
        </w:tabs>
        <w:spacing w:before="120"/>
        <w:ind w:left="1985" w:hanging="1985"/>
      </w:pPr>
      <w:r>
        <w:tab/>
        <w:t>(8)</w:t>
      </w:r>
      <w:r>
        <w:tab/>
        <w:t>demurrage incurred after loading and at port of discharge; and</w:t>
      </w:r>
    </w:p>
    <w:p>
      <w:pPr>
        <w:pStyle w:val="yMiscellaneousBody"/>
        <w:tabs>
          <w:tab w:val="left" w:pos="1418"/>
          <w:tab w:val="left" w:pos="1985"/>
        </w:tabs>
        <w:spacing w:before="12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20"/>
        <w:ind w:left="1134" w:hanging="1134"/>
      </w:pPr>
      <w:r>
        <w:tab/>
      </w:r>
      <w:r>
        <w:tab/>
        <w:t>For the purpose of this definition — </w:t>
      </w:r>
    </w:p>
    <w:p>
      <w:pPr>
        <w:pStyle w:val="yMiscellaneousBody"/>
        <w:tabs>
          <w:tab w:val="left" w:pos="1418"/>
          <w:tab w:val="left" w:pos="1985"/>
        </w:tabs>
        <w:spacing w:before="12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2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2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2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20"/>
        <w:ind w:left="1134" w:hanging="1134"/>
      </w:pPr>
      <w:r>
        <w:tab/>
        <w:t>“iron ore” means iron ore from the mining areas;</w:t>
      </w:r>
    </w:p>
    <w:p>
      <w:pPr>
        <w:pStyle w:val="yMiscellaneousBody"/>
        <w:tabs>
          <w:tab w:val="left" w:pos="709"/>
        </w:tabs>
        <w:spacing w:before="12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2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2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2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20"/>
        <w:ind w:left="1134" w:hanging="1134"/>
      </w:pPr>
      <w:r>
        <w:tab/>
        <w:t xml:space="preserve">“Land Act” means the </w:t>
      </w:r>
      <w:r>
        <w:rPr>
          <w:i/>
        </w:rPr>
        <w:t>Land Act 1933</w:t>
      </w:r>
      <w:r>
        <w:t>;</w:t>
      </w:r>
    </w:p>
    <w:p>
      <w:pPr>
        <w:pStyle w:val="yMiscellaneousBody"/>
        <w:tabs>
          <w:tab w:val="left" w:pos="709"/>
        </w:tabs>
        <w:spacing w:before="12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2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2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2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20"/>
        <w:ind w:left="1134" w:hanging="1134"/>
      </w:pPr>
      <w:r>
        <w:tab/>
        <w:t xml:space="preserve">“Mining Act” means the </w:t>
      </w:r>
      <w:r>
        <w:rPr>
          <w:i/>
        </w:rPr>
        <w:t>Mining Act 1904</w:t>
      </w:r>
      <w:r>
        <w:t>;</w:t>
      </w:r>
    </w:p>
    <w:p>
      <w:pPr>
        <w:pStyle w:val="yMiscellaneousBody"/>
        <w:tabs>
          <w:tab w:val="left" w:pos="709"/>
        </w:tabs>
        <w:spacing w:before="12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20"/>
        <w:ind w:left="1134" w:hanging="1134"/>
        <w:rPr>
          <w:spacing w:val="-4"/>
        </w:rPr>
      </w:pPr>
      <w:r>
        <w:tab/>
      </w:r>
      <w:r>
        <w:rPr>
          <w:spacing w:val="-4"/>
        </w:rPr>
        <w:t>“Minister” means the Minister of the Government of the said State for the time being responsible for the administration of this Agreement;</w:t>
      </w:r>
    </w:p>
    <w:p>
      <w:pPr>
        <w:pStyle w:val="yMiscellaneousBody"/>
        <w:tabs>
          <w:tab w:val="left" w:pos="709"/>
        </w:tabs>
        <w:spacing w:before="12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20"/>
        <w:ind w:left="1134" w:hanging="1134"/>
      </w:pPr>
      <w:r>
        <w:tab/>
        <w:t>“month” means calendar month;</w:t>
      </w:r>
    </w:p>
    <w:p>
      <w:pPr>
        <w:pStyle w:val="yMiscellaneousBody"/>
        <w:tabs>
          <w:tab w:val="left" w:pos="709"/>
        </w:tabs>
        <w:spacing w:before="120"/>
        <w:ind w:left="1134" w:hanging="1134"/>
      </w:pPr>
      <w:r>
        <w:tab/>
        <w:t>“notice” means notice in writing;</w:t>
      </w:r>
    </w:p>
    <w:p>
      <w:pPr>
        <w:pStyle w:val="yMiscellaneousBody"/>
        <w:tabs>
          <w:tab w:val="left" w:pos="709"/>
        </w:tabs>
        <w:spacing w:before="120"/>
        <w:ind w:left="1134" w:hanging="1134"/>
      </w:pPr>
      <w:r>
        <w:tab/>
        <w:t>“ore” means iron ore;</w:t>
      </w:r>
    </w:p>
    <w:p>
      <w:pPr>
        <w:pStyle w:val="yMiscellaneousBody"/>
        <w:tabs>
          <w:tab w:val="left" w:pos="709"/>
        </w:tabs>
        <w:spacing w:before="120"/>
        <w:ind w:left="1134" w:hanging="1134"/>
      </w:pPr>
      <w:r>
        <w:tab/>
        <w:t>“parties” means the parties to this Agreement;</w:t>
      </w:r>
    </w:p>
    <w:p>
      <w:pPr>
        <w:pStyle w:val="yMiscellaneousBody"/>
        <w:tabs>
          <w:tab w:val="left" w:pos="709"/>
        </w:tabs>
        <w:spacing w:before="120"/>
        <w:ind w:left="1134" w:hanging="1134"/>
      </w:pPr>
      <w:r>
        <w:tab/>
        <w:t>“person” or “persons” includes bodies corporate;</w:t>
      </w:r>
    </w:p>
    <w:p>
      <w:pPr>
        <w:pStyle w:val="yMiscellaneousBody"/>
        <w:tabs>
          <w:tab w:val="left" w:pos="709"/>
        </w:tabs>
        <w:spacing w:before="12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120"/>
        <w:ind w:left="1134" w:hanging="1134"/>
      </w:pPr>
      <w:r>
        <w:tab/>
        <w:t>“port townsite” means the townsite to be expanded or developed near the port;</w:t>
      </w:r>
    </w:p>
    <w:p>
      <w:pPr>
        <w:pStyle w:val="yMiscellaneousBody"/>
        <w:tabs>
          <w:tab w:val="left" w:pos="709"/>
        </w:tabs>
        <w:spacing w:before="120"/>
        <w:ind w:left="1134" w:hanging="1134"/>
      </w:pPr>
      <w:r>
        <w:tab/>
        <w:t>“said State” means the State of Western Australia;</w:t>
      </w:r>
    </w:p>
    <w:p>
      <w:pPr>
        <w:pStyle w:val="yMiscellaneousBody"/>
        <w:tabs>
          <w:tab w:val="left" w:pos="709"/>
        </w:tabs>
        <w:spacing w:before="12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120"/>
        <w:ind w:left="1134" w:hanging="1134"/>
      </w:pPr>
      <w:r>
        <w:tab/>
        <w:t>“steel” means steel in the form of steel billets or manufactured steel products;</w:t>
      </w:r>
    </w:p>
    <w:p>
      <w:pPr>
        <w:pStyle w:val="yMiscellaneousBody"/>
        <w:tabs>
          <w:tab w:val="left" w:pos="709"/>
        </w:tabs>
        <w:spacing w:before="12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120"/>
        <w:ind w:left="1134" w:hanging="1134"/>
      </w:pPr>
      <w:r>
        <w:tab/>
        <w:t>“this Agreement” “hereof” and “hereunder” includes this Agreement as from time to time added to varied or amended;</w:t>
      </w:r>
    </w:p>
    <w:p>
      <w:pPr>
        <w:pStyle w:val="yMiscellaneousBody"/>
        <w:tabs>
          <w:tab w:val="left" w:pos="709"/>
        </w:tabs>
        <w:spacing w:before="120"/>
        <w:ind w:left="1134" w:hanging="1134"/>
      </w:pPr>
      <w:r>
        <w:tab/>
        <w:t>“tonne” means a tonne of one thousand kilograms net dry weight;</w:t>
      </w:r>
    </w:p>
    <w:p>
      <w:pPr>
        <w:pStyle w:val="yMiscellaneousBody"/>
        <w:tabs>
          <w:tab w:val="left" w:pos="709"/>
        </w:tabs>
        <w:spacing w:before="120"/>
        <w:ind w:left="1134" w:hanging="1134"/>
      </w:pPr>
      <w:r>
        <w:tab/>
        <w:t xml:space="preserve">“Transfer of Land Act” means </w:t>
      </w:r>
      <w:r>
        <w:rPr>
          <w:i/>
        </w:rPr>
        <w:t>Transfer of Land Act 1893</w:t>
      </w:r>
      <w:r>
        <w:t>;</w:t>
      </w:r>
    </w:p>
    <w:p>
      <w:pPr>
        <w:pStyle w:val="yMiscellaneousBody"/>
        <w:tabs>
          <w:tab w:val="left" w:pos="709"/>
        </w:tabs>
        <w:spacing w:before="120"/>
        <w:ind w:left="1134" w:hanging="1134"/>
      </w:pPr>
      <w:r>
        <w:tab/>
        <w:t>“wharf” includes any jetty structure;</w:t>
      </w:r>
    </w:p>
    <w:p>
      <w:pPr>
        <w:pStyle w:val="yMiscellaneousBody"/>
        <w:tabs>
          <w:tab w:val="left" w:pos="709"/>
        </w:tabs>
        <w:spacing w:before="120"/>
        <w:ind w:left="1134" w:hanging="1134"/>
      </w:pPr>
      <w:r>
        <w:tab/>
        <w:t>“Year 1” means the year next following the export date and “year” followed immediately by any other numeral has a corresponding meaning.</w:t>
      </w:r>
    </w:p>
    <w:p>
      <w:pPr>
        <w:pStyle w:val="yMiscellaneousHeading"/>
        <w:keepLines/>
        <w:spacing w:before="120"/>
        <w:jc w:val="left"/>
        <w:rPr>
          <w:b/>
        </w:rPr>
      </w:pPr>
      <w:r>
        <w:rPr>
          <w:b/>
        </w:rPr>
        <w:t>Interpretation</w:t>
      </w:r>
      <w:r>
        <w:rPr>
          <w:b/>
          <w:vertAlign w:val="superscript"/>
        </w:rPr>
        <w:t> 2</w:t>
      </w:r>
    </w:p>
    <w:p>
      <w:pPr>
        <w:pStyle w:val="yMiscellaneousBody"/>
        <w:keepNext/>
        <w:keepLines/>
        <w:tabs>
          <w:tab w:val="left" w:pos="567"/>
          <w:tab w:val="left" w:pos="1134"/>
        </w:tabs>
        <w:ind w:left="1134" w:hanging="1134"/>
      </w:pPr>
      <w:r>
        <w:t>2.</w:t>
      </w:r>
      <w:r>
        <w:tab/>
        <w:t>(1)</w:t>
      </w:r>
      <w:r>
        <w:tab/>
        <w:t>In this Agreement — </w:t>
      </w:r>
    </w:p>
    <w:p>
      <w:pPr>
        <w:pStyle w:val="yMiscellaneousBody"/>
        <w:tabs>
          <w:tab w:val="left" w:pos="1134"/>
          <w:tab w:val="left" w:pos="1701"/>
        </w:tabs>
        <w:spacing w:before="12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2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2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2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rPr>
          <w:spacing w:val="-4"/>
        </w:rPr>
      </w:pPr>
      <w:r>
        <w:rPr>
          <w:spacing w:val="-4"/>
        </w:rPr>
        <w:tab/>
        <w:t>(2)</w:t>
      </w:r>
      <w:r>
        <w:rPr>
          <w:spacing w:val="-4"/>
        </w:rP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20"/>
        <w:ind w:left="1701" w:hanging="1701"/>
      </w:pPr>
      <w:r>
        <w:tab/>
        <w:t>(i)</w:t>
      </w:r>
      <w:r>
        <w:tab/>
        <w:t>to close or vary the alignments or boundaries of any public road and — </w:t>
      </w:r>
    </w:p>
    <w:p>
      <w:pPr>
        <w:pStyle w:val="yMiscellaneousBody"/>
        <w:tabs>
          <w:tab w:val="left" w:pos="1134"/>
          <w:tab w:val="left" w:pos="1701"/>
        </w:tabs>
        <w:spacing w:before="120"/>
        <w:ind w:left="1701" w:hanging="1701"/>
      </w:pPr>
      <w:r>
        <w:tab/>
        <w:t>(ii)</w:t>
      </w:r>
      <w:r>
        <w:tab/>
        <w:t>to resume as and for a public work any land or other estate right or interest in land.</w:t>
      </w:r>
    </w:p>
    <w:p>
      <w:pPr>
        <w:pStyle w:val="yMiscellaneousHeading"/>
        <w:spacing w:before="120"/>
        <w:jc w:val="left"/>
        <w:rPr>
          <w:b/>
        </w:rPr>
      </w:pPr>
      <w:r>
        <w:rPr>
          <w:b/>
        </w:rPr>
        <w:t>Effect on existing Acts</w:t>
      </w:r>
      <w:r>
        <w:rPr>
          <w:b/>
          <w:vertAlign w:val="superscript"/>
        </w:rPr>
        <w:t> 2</w:t>
      </w:r>
    </w:p>
    <w:p>
      <w:pPr>
        <w:pStyle w:val="yMiscellaneousBody"/>
        <w:tabs>
          <w:tab w:val="left" w:pos="567"/>
          <w:tab w:val="left" w:pos="1134"/>
        </w:tabs>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120"/>
        <w:ind w:left="1701" w:hanging="1701"/>
      </w:pPr>
      <w:r>
        <w:tab/>
        <w:t>(a)</w:t>
      </w:r>
      <w:r>
        <w:tab/>
        <w:t>the Mining Act — by deleting Sections 277 and 282 thereof;</w:t>
      </w:r>
    </w:p>
    <w:p>
      <w:pPr>
        <w:pStyle w:val="yMiscellaneousBody"/>
        <w:tabs>
          <w:tab w:val="left" w:pos="1134"/>
          <w:tab w:val="left" w:pos="1701"/>
        </w:tabs>
        <w:spacing w:before="120"/>
        <w:ind w:left="1701" w:hanging="1701"/>
      </w:pPr>
      <w:r>
        <w:tab/>
        <w:t>(b)</w:t>
      </w:r>
      <w:r>
        <w:tab/>
        <w:t>the Land Act — </w:t>
      </w:r>
    </w:p>
    <w:p>
      <w:pPr>
        <w:pStyle w:val="yMiscellaneousBody"/>
        <w:tabs>
          <w:tab w:val="left" w:pos="1701"/>
          <w:tab w:val="left" w:pos="2268"/>
        </w:tabs>
        <w:ind w:left="2268" w:hanging="2268"/>
      </w:pPr>
      <w:r>
        <w:tab/>
        <w:t>(i)</w:t>
      </w:r>
      <w:r>
        <w:tab/>
        <w:t>by deleting subsections (1) and (2) of Section 45A thereof and by substituting the following — </w:t>
      </w:r>
    </w:p>
    <w:p>
      <w:pPr>
        <w:pStyle w:val="yMiscellaneousBody"/>
        <w:tabs>
          <w:tab w:val="left" w:pos="2268"/>
          <w:tab w:val="left" w:pos="2835"/>
          <w:tab w:val="left" w:pos="3402"/>
          <w:tab w:val="left" w:pos="3828"/>
        </w:tabs>
        <w:spacing w:before="12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20"/>
        <w:ind w:left="2268" w:hanging="2268"/>
        <w:rPr>
          <w:spacing w:val="-4"/>
        </w:rPr>
      </w:pPr>
      <w:r>
        <w:tab/>
      </w:r>
      <w:r>
        <w:tab/>
        <w:t>(2)</w:t>
      </w:r>
      <w:r>
        <w:tab/>
      </w:r>
      <w:r>
        <w:rPr>
          <w:spacing w:val="-4"/>
        </w:rPr>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20"/>
        <w:ind w:left="2268" w:hanging="2268"/>
      </w:pPr>
      <w:r>
        <w:tab/>
        <w:t>(ii)</w:t>
      </w:r>
      <w:r>
        <w:tab/>
        <w:t>by deleting the proviso to Section 116 thereof;</w:t>
      </w:r>
    </w:p>
    <w:p>
      <w:pPr>
        <w:pStyle w:val="yMiscellaneousBody"/>
        <w:tabs>
          <w:tab w:val="left" w:pos="1701"/>
          <w:tab w:val="left" w:pos="2268"/>
        </w:tabs>
        <w:spacing w:before="120"/>
        <w:ind w:left="2268" w:hanging="2268"/>
      </w:pPr>
      <w:r>
        <w:tab/>
        <w:t>(iii)</w:t>
      </w:r>
      <w:r>
        <w:tab/>
        <w:t>by deleting Sections 135 and 143 thereof;</w:t>
      </w:r>
    </w:p>
    <w:p>
      <w:pPr>
        <w:pStyle w:val="yMiscellaneousBody"/>
        <w:tabs>
          <w:tab w:val="left" w:pos="1134"/>
          <w:tab w:val="left" w:pos="1701"/>
        </w:tabs>
        <w:spacing w:before="12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2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20"/>
        <w:ind w:left="1701" w:hanging="1701"/>
      </w:pPr>
      <w:r>
        <w:tab/>
        <w:t>(e)</w:t>
      </w:r>
      <w:r>
        <w:tab/>
      </w:r>
      <w:r>
        <w:rPr>
          <w:spacing w:val="-2"/>
        </w:rPr>
        <w:t xml:space="preserve">no lease sublease licence or other title or right granted or assigned under or pursuant to this Agreement shall be subject to or capable of partition and the provisions of Part XIV of the </w:t>
      </w:r>
      <w:r>
        <w:rPr>
          <w:i/>
          <w:spacing w:val="-2"/>
        </w:rPr>
        <w:t>Property Law Act 1969</w:t>
      </w:r>
      <w:r>
        <w:rPr>
          <w:spacing w:val="-2"/>
        </w:rPr>
        <w:t xml:space="preserve"> shall not apply thereto.</w:t>
      </w:r>
    </w:p>
    <w:p>
      <w:pPr>
        <w:pStyle w:val="yMiscellaneousHeading"/>
        <w:spacing w:before="12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12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r>
      <w:r>
        <w:rPr>
          <w:spacing w:val="-2"/>
        </w:rPr>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12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left" w:pos="1134"/>
          <w:tab w:val="left" w:pos="1701"/>
        </w:tabs>
        <w:spacing w:before="120"/>
        <w:ind w:left="1701" w:hanging="1701"/>
      </w:pPr>
      <w:r>
        <w:tab/>
        <w:t>(d)</w:t>
      </w:r>
      <w:r>
        <w:tab/>
        <w:t>a general survey and preliminary engineering investigation of possible port sites in the vicinity of Port Hedland, Cape Lambert and the Dampier Archipelago including Legendre Island;</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12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12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120"/>
        <w:ind w:left="1701" w:hanging="1701"/>
      </w:pPr>
      <w:r>
        <w:tab/>
        <w:t>(d)</w:t>
      </w:r>
      <w:r>
        <w:tab/>
        <w:t>housing;</w:t>
      </w:r>
    </w:p>
    <w:p>
      <w:pPr>
        <w:pStyle w:val="yMiscellaneousBody"/>
        <w:tabs>
          <w:tab w:val="left" w:pos="1134"/>
          <w:tab w:val="left" w:pos="1701"/>
        </w:tabs>
        <w:spacing w:before="120"/>
        <w:ind w:left="1701" w:hanging="1701"/>
      </w:pPr>
      <w:r>
        <w:t xml:space="preserve"> </w:t>
      </w:r>
      <w:r>
        <w:tab/>
        <w:t>(e)</w:t>
      </w:r>
      <w:r>
        <w:tab/>
        <w:t>water supply;</w:t>
      </w:r>
    </w:p>
    <w:p>
      <w:pPr>
        <w:pStyle w:val="yMiscellaneousBody"/>
        <w:tabs>
          <w:tab w:val="left" w:pos="1134"/>
          <w:tab w:val="left" w:pos="1701"/>
        </w:tabs>
        <w:spacing w:before="120"/>
        <w:ind w:left="1701" w:hanging="1701"/>
      </w:pPr>
      <w:r>
        <w:tab/>
        <w:t>(f)</w:t>
      </w:r>
      <w:r>
        <w:tab/>
        <w:t>roads;</w:t>
      </w:r>
    </w:p>
    <w:p>
      <w:pPr>
        <w:pStyle w:val="yMiscellaneousBody"/>
        <w:tabs>
          <w:tab w:val="left" w:pos="1134"/>
          <w:tab w:val="left" w:pos="1701"/>
        </w:tabs>
        <w:spacing w:before="120"/>
        <w:ind w:left="1701" w:hanging="1701"/>
      </w:pPr>
      <w:r>
        <w:tab/>
        <w:t>(g)</w:t>
      </w:r>
      <w:r>
        <w:tab/>
        <w:t>generation transmission and distribution of electricity;</w:t>
      </w:r>
    </w:p>
    <w:p>
      <w:pPr>
        <w:pStyle w:val="yMiscellaneousBody"/>
        <w:tabs>
          <w:tab w:val="left" w:pos="1134"/>
          <w:tab w:val="left" w:pos="1701"/>
        </w:tabs>
        <w:spacing w:before="120"/>
        <w:ind w:left="1701" w:hanging="1701"/>
      </w:pPr>
      <w:r>
        <w:tab/>
        <w:t>(h)</w:t>
      </w:r>
      <w:r>
        <w:tab/>
        <w:t>airfields;</w:t>
      </w:r>
    </w:p>
    <w:p>
      <w:pPr>
        <w:pStyle w:val="yMiscellaneousBody"/>
        <w:tabs>
          <w:tab w:val="left" w:pos="1134"/>
          <w:tab w:val="left" w:pos="1701"/>
        </w:tabs>
        <w:spacing w:before="12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120"/>
        <w:ind w:left="1701" w:hanging="1701"/>
      </w:pPr>
      <w:r>
        <w:tab/>
        <w:t>(j)</w:t>
      </w:r>
      <w:r>
        <w:tab/>
        <w:t>disposal of waste materials;</w:t>
      </w:r>
    </w:p>
    <w:p>
      <w:pPr>
        <w:pStyle w:val="yMiscellaneousBody"/>
        <w:tabs>
          <w:tab w:val="left" w:pos="1134"/>
          <w:tab w:val="left" w:pos="1701"/>
        </w:tabs>
        <w:spacing w:before="120"/>
        <w:ind w:left="1701" w:hanging="1701"/>
      </w:pPr>
      <w:r>
        <w:tab/>
        <w:t>(k)</w:t>
      </w:r>
      <w:r>
        <w:tab/>
        <w:t>drainage;</w:t>
      </w:r>
    </w:p>
    <w:p>
      <w:pPr>
        <w:pStyle w:val="yMiscellaneousBody"/>
        <w:tabs>
          <w:tab w:val="left" w:pos="1134"/>
          <w:tab w:val="left" w:pos="1701"/>
        </w:tabs>
        <w:spacing w:before="120"/>
        <w:ind w:left="1701" w:hanging="1701"/>
      </w:pPr>
      <w:r>
        <w:tab/>
        <w:t>(l)</w:t>
      </w:r>
      <w:r>
        <w:tab/>
        <w:t>dust control measures; and</w:t>
      </w:r>
    </w:p>
    <w:p>
      <w:pPr>
        <w:pStyle w:val="yMiscellaneousBody"/>
        <w:tabs>
          <w:tab w:val="left" w:pos="1134"/>
          <w:tab w:val="left" w:pos="1701"/>
        </w:tabs>
        <w:spacing w:before="12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r>
      <w:r>
        <w:rPr>
          <w:spacing w:val="-4"/>
        </w:rPr>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12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r>
      <w:r>
        <w:rPr>
          <w:spacing w:val="-4"/>
        </w:rPr>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12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r>
      <w:r>
        <w:rPr>
          <w:spacing w:val="-4"/>
        </w:rPr>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12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20"/>
        <w:jc w:val="left"/>
        <w:rPr>
          <w:b/>
        </w:rPr>
      </w:pPr>
      <w:r>
        <w:rPr>
          <w:b/>
        </w:rPr>
        <w:tab/>
        <w:t>Ministers’ decision subject to arbitration</w:t>
      </w:r>
      <w:r>
        <w:rPr>
          <w:b/>
          <w:vertAlign w:val="superscript"/>
        </w:rPr>
        <w:t> 2</w:t>
      </w:r>
    </w:p>
    <w:p>
      <w:pPr>
        <w:pStyle w:val="yMiscellaneousBody"/>
        <w:tabs>
          <w:tab w:val="left" w:pos="567"/>
          <w:tab w:val="left" w:pos="1134"/>
        </w:tabs>
        <w:spacing w:before="12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20"/>
        <w:jc w:val="left"/>
        <w:rPr>
          <w:b/>
        </w:rPr>
      </w:pPr>
      <w:r>
        <w:rPr>
          <w:b/>
        </w:rPr>
        <w:tab/>
        <w:t>Reasonableness of Minister’s decision</w:t>
      </w:r>
      <w:r>
        <w:rPr>
          <w:b/>
          <w:vertAlign w:val="superscript"/>
        </w:rPr>
        <w:t> 2</w:t>
      </w:r>
    </w:p>
    <w:p>
      <w:pPr>
        <w:pStyle w:val="yMiscellaneousBody"/>
        <w:tabs>
          <w:tab w:val="left" w:pos="567"/>
          <w:tab w:val="left" w:pos="1134"/>
        </w:tabs>
        <w:spacing w:before="12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20"/>
        <w:jc w:val="left"/>
        <w:rPr>
          <w:b/>
        </w:rPr>
      </w:pPr>
      <w:r>
        <w:rPr>
          <w:b/>
        </w:rPr>
        <w:tab/>
        <w:t>Arbitration Award</w:t>
      </w:r>
      <w:r>
        <w:rPr>
          <w:b/>
          <w:vertAlign w:val="superscript"/>
        </w:rPr>
        <w:t> 2</w:t>
      </w:r>
    </w:p>
    <w:p>
      <w:pPr>
        <w:pStyle w:val="yMiscellaneousBody"/>
        <w:tabs>
          <w:tab w:val="left" w:pos="567"/>
          <w:tab w:val="left" w:pos="1134"/>
        </w:tabs>
        <w:spacing w:before="120"/>
      </w:pPr>
      <w:r>
        <w:tab/>
        <w:t>(6)</w:t>
      </w:r>
      <w:r>
        <w:tab/>
        <w:t>An award made on an arbitration pursuant to subclause (4) of this Clause shall have force and effect as follows — </w:t>
      </w:r>
    </w:p>
    <w:p>
      <w:pPr>
        <w:pStyle w:val="yMiscellaneousBody"/>
        <w:tabs>
          <w:tab w:val="left" w:pos="1134"/>
          <w:tab w:val="left" w:pos="1701"/>
        </w:tabs>
        <w:spacing w:before="12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2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20"/>
        <w:jc w:val="left"/>
        <w:rPr>
          <w:b/>
        </w:rPr>
      </w:pPr>
      <w:r>
        <w:rPr>
          <w:b/>
        </w:rPr>
        <w:t>Additional proposals</w:t>
      </w:r>
      <w:r>
        <w:rPr>
          <w:b/>
          <w:vertAlign w:val="superscript"/>
        </w:rPr>
        <w:t> 2</w:t>
      </w:r>
    </w:p>
    <w:p>
      <w:pPr>
        <w:pStyle w:val="yMiscellaneousBody"/>
        <w:tabs>
          <w:tab w:val="left" w:pos="567"/>
          <w:tab w:val="left" w:pos="1134"/>
        </w:tabs>
        <w:spacing w:before="120"/>
      </w:pPr>
      <w:r>
        <w:t>9.</w:t>
      </w:r>
      <w:r>
        <w:tab/>
      </w:r>
      <w:r>
        <w:rPr>
          <w:spacing w:val="-2"/>
        </w:rPr>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spacing w:val="-2"/>
        </w:rPr>
        <w:t>mutatis mutandis</w:t>
      </w:r>
      <w:r>
        <w:rPr>
          <w:spacing w:val="-2"/>
        </w:rP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spacing w:before="22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80"/>
      </w:pPr>
      <w:r>
        <w:t>10.</w:t>
      </w:r>
      <w:r>
        <w:tab/>
        <w:t>In any of the following events namely — </w:t>
      </w:r>
    </w:p>
    <w:p>
      <w:pPr>
        <w:pStyle w:val="yMiscellaneousBody"/>
        <w:tabs>
          <w:tab w:val="left" w:pos="1134"/>
          <w:tab w:val="left" w:pos="1701"/>
        </w:tabs>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2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60"/>
        <w:jc w:val="left"/>
        <w:rPr>
          <w:b/>
        </w:rPr>
      </w:pPr>
      <w:r>
        <w:rPr>
          <w:b/>
        </w:rPr>
        <w:t>Mineral Lease</w:t>
      </w:r>
      <w:r>
        <w:rPr>
          <w:b/>
          <w:vertAlign w:val="superscript"/>
        </w:rPr>
        <w:t> 2</w:t>
      </w:r>
    </w:p>
    <w:p>
      <w:pPr>
        <w:pStyle w:val="yMiscellaneousBody"/>
        <w:tabs>
          <w:tab w:val="left" w:pos="567"/>
          <w:tab w:val="left" w:pos="1134"/>
        </w:tabs>
        <w:spacing w:before="18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jc w:val="left"/>
        <w:rPr>
          <w:b/>
        </w:rPr>
      </w:pPr>
      <w:r>
        <w:rPr>
          <w:b/>
        </w:rPr>
        <w:tab/>
        <w:t>Provisions</w:t>
      </w:r>
      <w:r>
        <w:rPr>
          <w:b/>
          <w:vertAlign w:val="superscript"/>
        </w:rPr>
        <w:t> 2</w:t>
      </w:r>
    </w:p>
    <w:p>
      <w:pPr>
        <w:pStyle w:val="yMiscellaneousBody"/>
        <w:tabs>
          <w:tab w:val="left" w:pos="1134"/>
          <w:tab w:val="left" w:pos="1701"/>
        </w:tabs>
        <w:spacing w:before="12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12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12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rPr>
          <w:spacing w:val="-2"/>
        </w:rPr>
      </w:pPr>
      <w:r>
        <w:tab/>
        <w:t>(f)</w:t>
      </w:r>
      <w:r>
        <w:tab/>
        <w:t>subject to paragraphs (a) to (e) inclusive of this subclause and as in this Agreement otherwise provided all relevant provisions of the</w:t>
      </w:r>
      <w:r>
        <w:rPr>
          <w:spacing w:val="-2"/>
        </w:rPr>
        <w:t xml:space="preserv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120"/>
        <w:jc w:val="left"/>
        <w:rPr>
          <w:b/>
        </w:rPr>
      </w:pPr>
      <w:r>
        <w:rPr>
          <w:b/>
        </w:rPr>
        <w:tab/>
        <w:t>Rent</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spacing w:val="-2"/>
        </w:rPr>
        <w:t>Petroleum Act 1967</w:t>
      </w:r>
      <w:r>
        <w:rPr>
          <w:spacing w:val="-2"/>
        </w:rP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rPr>
          <w:spacing w:val="-2"/>
        </w:rPr>
      </w:pPr>
      <w:r>
        <w:rPr>
          <w:spacing w:val="-2"/>
        </w:rPr>
        <w:tab/>
        <w:t>(7)</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rPr>
          <w:spacing w:val="-2"/>
        </w:rPr>
      </w:pPr>
      <w:r>
        <w:rPr>
          <w:spacing w:val="-2"/>
        </w:rPr>
        <w:t>12.</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120"/>
        <w:jc w:val="left"/>
        <w:rPr>
          <w:b/>
        </w:rPr>
      </w:pPr>
      <w:r>
        <w:rPr>
          <w:b/>
        </w:rPr>
        <w:t>Other Leases</w:t>
      </w:r>
      <w:r>
        <w:rPr>
          <w:b/>
          <w:vertAlign w:val="superscript"/>
        </w:rPr>
        <w:t> 2</w:t>
      </w:r>
    </w:p>
    <w:p>
      <w:pPr>
        <w:pStyle w:val="yMiscellaneousBody"/>
        <w:tabs>
          <w:tab w:val="left" w:pos="567"/>
          <w:tab w:val="left" w:pos="1134"/>
        </w:tabs>
        <w:spacing w:before="120"/>
        <w:rPr>
          <w:spacing w:val="-2"/>
        </w:rPr>
      </w:pPr>
      <w:r>
        <w:rPr>
          <w:spacing w:val="-2"/>
        </w:rPr>
        <w:t>13.</w:t>
      </w:r>
      <w:r>
        <w:rPr>
          <w:spacing w:val="-2"/>
        </w:rPr>
        <w:tab/>
        <w:t>(1)</w:t>
      </w:r>
      <w:r>
        <w:rPr>
          <w:spacing w:val="-2"/>
        </w:rP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rPr>
          <w:spacing w:val="-2"/>
        </w:rP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rPr>
          <w:spacing w:val="-2"/>
        </w:rPr>
      </w:pPr>
      <w:r>
        <w:rPr>
          <w:spacing w:val="-2"/>
        </w:rPr>
        <w:tab/>
        <w:t>(2)</w:t>
      </w:r>
      <w:r>
        <w:rPr>
          <w:spacing w:val="-2"/>
        </w:rP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rPr>
          <w:spacing w:val="-2"/>
        </w:rPr>
      </w:pPr>
      <w:r>
        <w:rPr>
          <w:spacing w:val="-2"/>
        </w:rPr>
        <w:tab/>
        <w:t>(a)</w:t>
      </w:r>
      <w:r>
        <w:rPr>
          <w:spacing w:val="-2"/>
        </w:rP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rPr>
          <w:spacing w:val="-2"/>
        </w:rPr>
      </w:pPr>
      <w:r>
        <w:rPr>
          <w:spacing w:val="-2"/>
        </w:rPr>
        <w:tab/>
        <w:t>(b)</w:t>
      </w:r>
      <w:r>
        <w:rPr>
          <w:spacing w:val="-2"/>
        </w:rP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rPr>
          <w:spacing w:val="-2"/>
        </w:rPr>
      </w:pPr>
      <w:r>
        <w:rPr>
          <w:spacing w:val="-2"/>
        </w:rPr>
        <w:tab/>
        <w:t>(c)</w:t>
      </w:r>
      <w:r>
        <w:rPr>
          <w:spacing w:val="-2"/>
        </w:rPr>
        <w:tab/>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12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12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12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12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12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120"/>
        <w:jc w:val="left"/>
        <w:rPr>
          <w:b/>
        </w:rPr>
      </w:pPr>
      <w:r>
        <w:rPr>
          <w:b/>
        </w:rPr>
        <w:t>Roads Construction</w:t>
      </w:r>
      <w:r>
        <w:rPr>
          <w:b/>
          <w:vertAlign w:val="superscript"/>
        </w:rPr>
        <w:t> 2</w:t>
      </w:r>
    </w:p>
    <w:p>
      <w:pPr>
        <w:pStyle w:val="yMiscellaneousBody"/>
        <w:tabs>
          <w:tab w:val="left" w:pos="567"/>
          <w:tab w:val="left" w:pos="1134"/>
        </w:tabs>
        <w:spacing w:before="12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20"/>
        <w:jc w:val="left"/>
        <w:rPr>
          <w:b/>
        </w:rPr>
      </w:pPr>
      <w:r>
        <w:rPr>
          <w:b/>
        </w:rPr>
        <w:tab/>
        <w:t>Use of public roads</w:t>
      </w:r>
      <w:r>
        <w:rPr>
          <w:b/>
          <w:vertAlign w:val="superscript"/>
        </w:rPr>
        <w:t> 2</w:t>
      </w:r>
    </w:p>
    <w:p>
      <w:pPr>
        <w:pStyle w:val="yMiscellaneousBody"/>
        <w:tabs>
          <w:tab w:val="left" w:pos="567"/>
          <w:tab w:val="left" w:pos="1134"/>
        </w:tabs>
        <w:spacing w:before="12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20"/>
        <w:jc w:val="left"/>
        <w:rPr>
          <w:b/>
        </w:rPr>
      </w:pPr>
      <w:r>
        <w:rPr>
          <w:b/>
        </w:rPr>
        <w:tab/>
        <w:t>Upgrading of roads</w:t>
      </w:r>
      <w:r>
        <w:rPr>
          <w:b/>
          <w:vertAlign w:val="superscript"/>
        </w:rPr>
        <w:t> 2</w:t>
      </w:r>
    </w:p>
    <w:p>
      <w:pPr>
        <w:pStyle w:val="yMiscellaneousBody"/>
        <w:tabs>
          <w:tab w:val="left" w:pos="567"/>
          <w:tab w:val="left" w:pos="1134"/>
        </w:tabs>
        <w:spacing w:before="12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60" w:hanging="1560"/>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12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rPr>
          <w:spacing w:val="-4"/>
        </w:rPr>
      </w:pPr>
      <w:r>
        <w:rPr>
          <w:spacing w:val="-4"/>
        </w:rPr>
        <w:tab/>
        <w:t>(11)</w:t>
      </w:r>
      <w:r>
        <w:rPr>
          <w:spacing w:val="-4"/>
        </w:rP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0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12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0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0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0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tabs>
          <w:tab w:val="left" w:pos="567"/>
        </w:tabs>
        <w:spacing w:before="120"/>
        <w:jc w:val="left"/>
        <w:rPr>
          <w:b/>
        </w:rPr>
      </w:pPr>
      <w:r>
        <w:rPr>
          <w:b/>
        </w:rPr>
        <w:tab/>
        <w:t>Bulk supply to State</w:t>
      </w:r>
      <w:r>
        <w:rPr>
          <w:b/>
          <w:vertAlign w:val="superscript"/>
        </w:rPr>
        <w:t> 2</w:t>
      </w:r>
    </w:p>
    <w:p>
      <w:pPr>
        <w:pStyle w:val="yMiscellaneousBody"/>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120"/>
        <w:jc w:val="left"/>
        <w:rPr>
          <w:b/>
          <w:spacing w:val="-2"/>
        </w:rPr>
      </w:pPr>
      <w:r>
        <w:rPr>
          <w:b/>
        </w:rPr>
        <w:t>Port</w:t>
      </w:r>
      <w:r>
        <w:rPr>
          <w:b/>
          <w:spacing w:val="-2"/>
        </w:rPr>
        <w:t xml:space="preserve"> and </w:t>
      </w:r>
      <w:r>
        <w:rPr>
          <w:b/>
        </w:rPr>
        <w:t>Joint</w:t>
      </w:r>
      <w:r>
        <w:rPr>
          <w:b/>
          <w:spacing w:val="-2"/>
        </w:rPr>
        <w:t xml:space="preserve"> Venturers’ wharf</w:t>
      </w:r>
      <w:r>
        <w:rPr>
          <w:b/>
          <w:spacing w:val="-2"/>
          <w:vertAlign w:val="superscript"/>
        </w:rPr>
        <w:t> 2</w:t>
      </w:r>
    </w:p>
    <w:p>
      <w:pPr>
        <w:pStyle w:val="yMiscellaneousBody"/>
        <w:tabs>
          <w:tab w:val="left" w:pos="567"/>
          <w:tab w:val="left" w:pos="993"/>
          <w:tab w:val="left" w:pos="1560"/>
        </w:tabs>
        <w:spacing w:before="120"/>
        <w:ind w:left="1560" w:hanging="1560"/>
        <w:rPr>
          <w:spacing w:val="-2"/>
        </w:rPr>
      </w:pPr>
      <w:r>
        <w:rPr>
          <w:spacing w:val="-2"/>
        </w:rPr>
        <w:t>23.</w:t>
      </w:r>
      <w:r>
        <w:rPr>
          <w:spacing w:val="-2"/>
        </w:rPr>
        <w:tab/>
        <w:t>(1)</w:t>
      </w:r>
      <w:r>
        <w:rPr>
          <w:spacing w:val="-2"/>
        </w:rPr>
        <w:tab/>
        <w:t>(a)</w:t>
      </w:r>
      <w:r>
        <w:rPr>
          <w:spacing w:val="-2"/>
        </w:rP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t>(2)</w:t>
      </w:r>
      <w:r>
        <w:rPr>
          <w:spacing w:val="-2"/>
        </w:rPr>
        <w:tab/>
        <w:t>(a)</w:t>
      </w:r>
      <w:r>
        <w:rPr>
          <w:spacing w:val="-2"/>
        </w:rPr>
        <w:tab/>
        <w:t>Subject to the payment to them of the charges prescribed by and for the time being payable under any by</w:t>
      </w:r>
      <w:r>
        <w:rPr>
          <w:spacing w:val="-2"/>
        </w:rPr>
        <w:noBreakHyphen/>
        <w:t>laws made by the Joint Venturers in respect of the use by others of the Joint Venturers’ wharf and subject to the due compliance with the other requirements and conditions prescribed by such by</w:t>
      </w:r>
      <w:r>
        <w:rPr>
          <w:spacing w:val="-2"/>
        </w:rPr>
        <w:noBreakHyphen/>
        <w:t>laws or should there be no such by</w:t>
      </w:r>
      <w:r>
        <w:rPr>
          <w:spacing w:val="-2"/>
        </w:rP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 xml:space="preserve">Subject to the provisions of Clause 24 nothing in this Agreement shall be construed to limit the application of the </w:t>
      </w:r>
      <w:r>
        <w:rPr>
          <w:i/>
          <w:spacing w:val="-2"/>
        </w:rPr>
        <w:t>Shipping and Pilotage Act 1967</w:t>
      </w:r>
      <w:r>
        <w:rPr>
          <w:spacing w:val="-2"/>
        </w:rPr>
        <w:t>.</w:t>
      </w:r>
    </w:p>
    <w:p>
      <w:pPr>
        <w:pStyle w:val="yMiscellaneousHeading"/>
        <w:spacing w:before="120"/>
        <w:jc w:val="left"/>
        <w:rPr>
          <w:b/>
        </w:rPr>
      </w:pPr>
      <w:r>
        <w:rPr>
          <w:b/>
        </w:rPr>
        <w:t>No charge for the handling of cargoes</w:t>
      </w:r>
      <w:r>
        <w:rPr>
          <w:b/>
          <w:vertAlign w:val="superscript"/>
        </w:rPr>
        <w:t> 2</w:t>
      </w:r>
    </w:p>
    <w:p>
      <w:pPr>
        <w:pStyle w:val="yMiscellaneousBody"/>
        <w:tabs>
          <w:tab w:val="left" w:pos="567"/>
        </w:tabs>
        <w:spacing w:before="120"/>
        <w:rPr>
          <w:spacing w:val="-2"/>
        </w:rPr>
      </w:pPr>
      <w:r>
        <w:rPr>
          <w:spacing w:val="-2"/>
        </w:rPr>
        <w:t>24.</w:t>
      </w:r>
      <w:r>
        <w:rPr>
          <w:spacing w:val="-2"/>
        </w:rPr>
        <w:tab/>
        <w:t>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12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25.</w:t>
      </w:r>
      <w:r>
        <w:rPr>
          <w:spacing w:val="-2"/>
        </w:rPr>
        <w:tab/>
        <w:t>(1)</w:t>
      </w:r>
      <w:r>
        <w:rPr>
          <w:spacing w:val="-2"/>
        </w:rPr>
        <w:tab/>
        <w:t>(a)</w:t>
      </w:r>
      <w:r>
        <w:rPr>
          <w:spacing w:val="-2"/>
        </w:rP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rPr>
          <w:spacing w:val="-2"/>
        </w:rPr>
      </w:pPr>
      <w:r>
        <w:rPr>
          <w:spacing w:val="-2"/>
        </w:rPr>
        <w:tab/>
        <w:t>(i)</w:t>
      </w:r>
      <w:r>
        <w:rPr>
          <w:spacing w:val="-2"/>
        </w:rP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rPr>
          <w:spacing w:val="-2"/>
        </w:rPr>
      </w:pPr>
      <w:r>
        <w:rPr>
          <w:spacing w:val="-2"/>
        </w:rPr>
        <w:tab/>
        <w:t>(ii)</w:t>
      </w:r>
      <w:r>
        <w:rPr>
          <w:spacing w:val="-2"/>
        </w:rP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120"/>
        <w:jc w:val="left"/>
        <w:rPr>
          <w:b/>
        </w:rPr>
      </w:pPr>
      <w:r>
        <w:rPr>
          <w:b/>
        </w:rPr>
        <w:t>Environmental protection</w:t>
      </w:r>
      <w:r>
        <w:rPr>
          <w:b/>
          <w:vertAlign w:val="superscript"/>
        </w:rPr>
        <w:t> 2</w:t>
      </w:r>
    </w:p>
    <w:p>
      <w:pPr>
        <w:pStyle w:val="yMiscellaneousBody"/>
        <w:tabs>
          <w:tab w:val="left" w:pos="567"/>
        </w:tabs>
        <w:spacing w:before="120"/>
        <w:rPr>
          <w:spacing w:val="-2"/>
        </w:rPr>
      </w:pPr>
      <w:r>
        <w:rPr>
          <w:spacing w:val="-2"/>
        </w:rPr>
        <w:t>26.</w:t>
      </w:r>
      <w:r>
        <w:rPr>
          <w:spacing w:val="-2"/>
        </w:rP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120"/>
        <w:jc w:val="left"/>
        <w:rPr>
          <w:b/>
        </w:rPr>
      </w:pPr>
      <w:r>
        <w:rPr>
          <w:b/>
        </w:rPr>
        <w:t>Compliance with State laws </w:t>
      </w:r>
      <w:r>
        <w:rPr>
          <w:b/>
          <w:vertAlign w:val="superscript"/>
        </w:rPr>
        <w:t>2</w:t>
      </w:r>
    </w:p>
    <w:p>
      <w:pPr>
        <w:pStyle w:val="yMiscellaneousBody"/>
        <w:tabs>
          <w:tab w:val="left" w:pos="567"/>
        </w:tabs>
        <w:spacing w:before="120"/>
        <w:rPr>
          <w:spacing w:val="-2"/>
        </w:rPr>
      </w:pPr>
      <w:r>
        <w:rPr>
          <w:spacing w:val="-2"/>
        </w:rPr>
        <w:t>27.</w:t>
      </w:r>
      <w:r>
        <w:rPr>
          <w:spacing w:val="-2"/>
        </w:rP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120"/>
        <w:jc w:val="left"/>
        <w:rPr>
          <w:b/>
        </w:rPr>
      </w:pPr>
      <w:r>
        <w:rPr>
          <w:b/>
        </w:rPr>
        <w:t>Maintenance of Installations</w:t>
      </w:r>
      <w:r>
        <w:rPr>
          <w:b/>
          <w:vertAlign w:val="superscript"/>
        </w:rPr>
        <w:t> 2</w:t>
      </w:r>
    </w:p>
    <w:p>
      <w:pPr>
        <w:pStyle w:val="yMiscellaneousBody"/>
        <w:tabs>
          <w:tab w:val="left" w:pos="567"/>
        </w:tabs>
        <w:spacing w:before="120"/>
        <w:rPr>
          <w:spacing w:val="-2"/>
        </w:rPr>
      </w:pPr>
      <w:r>
        <w:rPr>
          <w:spacing w:val="-2"/>
        </w:rPr>
        <w:t>28.</w:t>
      </w:r>
      <w:r>
        <w:rPr>
          <w:spacing w:val="-2"/>
        </w:rP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spacing w:before="120"/>
        <w:jc w:val="left"/>
        <w:rPr>
          <w:b/>
        </w:rPr>
      </w:pPr>
      <w:r>
        <w:rPr>
          <w:b/>
        </w:rPr>
        <w:t>Use of local professional services labour and materials </w:t>
      </w:r>
      <w:r>
        <w:rPr>
          <w:b/>
          <w:vertAlign w:val="superscript"/>
        </w:rPr>
        <w:t>2</w:t>
      </w:r>
    </w:p>
    <w:p>
      <w:pPr>
        <w:pStyle w:val="yMiscellaneousBody"/>
        <w:tabs>
          <w:tab w:val="left" w:pos="567"/>
        </w:tabs>
        <w:spacing w:before="120"/>
        <w:rPr>
          <w:spacing w:val="-2"/>
        </w:rPr>
      </w:pPr>
      <w:r>
        <w:rPr>
          <w:spacing w:val="-2"/>
        </w:rPr>
        <w:t>29.</w:t>
      </w:r>
      <w:r>
        <w:rPr>
          <w:spacing w:val="-2"/>
        </w:rP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rPr>
          <w:spacing w:val="-2"/>
        </w:rPr>
      </w:pPr>
      <w:r>
        <w:rPr>
          <w:spacing w:val="-2"/>
        </w:rPr>
        <w:tab/>
        <w:t>(b)</w:t>
      </w:r>
      <w:r>
        <w:rPr>
          <w:spacing w:val="-2"/>
        </w:rPr>
        <w:tab/>
        <w:t>use labour available within the said State;</w:t>
      </w:r>
    </w:p>
    <w:p>
      <w:pPr>
        <w:pStyle w:val="yMiscellaneousBody"/>
        <w:tabs>
          <w:tab w:val="left" w:pos="1134"/>
          <w:tab w:val="left" w:pos="1701"/>
        </w:tabs>
        <w:spacing w:before="120"/>
        <w:ind w:left="1701" w:hanging="1701"/>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120"/>
        <w:jc w:val="left"/>
        <w:rPr>
          <w:b/>
        </w:rPr>
      </w:pPr>
      <w:r>
        <w:rPr>
          <w:b/>
        </w:rPr>
        <w:t>Commonwealth licences and consents</w:t>
      </w:r>
      <w:r>
        <w:rPr>
          <w:b/>
          <w:vertAlign w:val="superscript"/>
        </w:rPr>
        <w:t> 2</w:t>
      </w:r>
    </w:p>
    <w:p>
      <w:pPr>
        <w:pStyle w:val="yMiscellaneousBody"/>
        <w:tabs>
          <w:tab w:val="left" w:pos="567"/>
          <w:tab w:val="left" w:pos="1134"/>
        </w:tabs>
        <w:spacing w:before="120"/>
        <w:rPr>
          <w:spacing w:val="-2"/>
        </w:rPr>
      </w:pPr>
      <w:r>
        <w:rPr>
          <w:spacing w:val="-2"/>
        </w:rPr>
        <w:t>30.</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120"/>
        <w:jc w:val="left"/>
        <w:rPr>
          <w:b/>
        </w:rPr>
      </w:pPr>
      <w:r>
        <w:rPr>
          <w:b/>
        </w:rPr>
        <w:t>Royalty</w:t>
      </w:r>
      <w:r>
        <w:rPr>
          <w:b/>
          <w:vertAlign w:val="superscript"/>
        </w:rPr>
        <w:t> 2</w:t>
      </w:r>
    </w:p>
    <w:p>
      <w:pPr>
        <w:pStyle w:val="yMiscellaneousBody"/>
        <w:tabs>
          <w:tab w:val="left" w:pos="567"/>
          <w:tab w:val="left" w:pos="1134"/>
        </w:tabs>
        <w:spacing w:before="120"/>
        <w:rPr>
          <w:spacing w:val="-2"/>
        </w:rPr>
      </w:pPr>
      <w:r>
        <w:rPr>
          <w:spacing w:val="-2"/>
        </w:rPr>
        <w:t>31.</w:t>
      </w:r>
      <w:r>
        <w:rPr>
          <w:spacing w:val="-2"/>
        </w:rPr>
        <w:tab/>
        <w:t>(1)</w:t>
      </w:r>
      <w:r>
        <w:rPr>
          <w:spacing w:val="-2"/>
        </w:rP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20"/>
        <w:ind w:left="1701" w:hanging="1701"/>
        <w:rPr>
          <w:spacing w:val="-2"/>
        </w:rPr>
      </w:pPr>
      <w:r>
        <w:rPr>
          <w:spacing w:val="-2"/>
        </w:rPr>
        <w:tab/>
        <w:t>(a)</w:t>
      </w:r>
      <w:r>
        <w:rPr>
          <w:spacing w:val="-2"/>
        </w:rP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(b)</w:t>
      </w:r>
      <w:r>
        <w:rPr>
          <w:spacing w:val="-2"/>
        </w:rP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(c)</w:t>
      </w:r>
      <w:r>
        <w:rPr>
          <w:spacing w:val="-2"/>
        </w:rP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20"/>
        <w:ind w:left="1701" w:hanging="1701"/>
        <w:rPr>
          <w:spacing w:val="-2"/>
        </w:rPr>
      </w:pPr>
      <w:r>
        <w:rPr>
          <w:spacing w:val="-2"/>
        </w:rPr>
        <w:tab/>
        <w:t>(d)</w:t>
      </w:r>
      <w:r>
        <w:rPr>
          <w:spacing w:val="-2"/>
        </w:rPr>
        <w:tab/>
        <w:t>on any other iron ore products — </w:t>
      </w:r>
    </w:p>
    <w:p>
      <w:pPr>
        <w:pStyle w:val="yMiscellaneousBody"/>
        <w:tabs>
          <w:tab w:val="left" w:pos="1701"/>
          <w:tab w:val="left" w:pos="2268"/>
        </w:tabs>
        <w:spacing w:before="120"/>
        <w:ind w:left="2268" w:hanging="2268"/>
        <w:rPr>
          <w:spacing w:val="-2"/>
        </w:rPr>
      </w:pPr>
      <w:r>
        <w:rPr>
          <w:spacing w:val="-2"/>
        </w:rPr>
        <w:tab/>
        <w:t>(i)</w:t>
      </w:r>
      <w:r>
        <w:rPr>
          <w:spacing w:val="-2"/>
        </w:rP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20"/>
        <w:ind w:left="2268" w:hanging="2268"/>
        <w:rPr>
          <w:spacing w:val="-2"/>
        </w:rPr>
      </w:pPr>
      <w:r>
        <w:rPr>
          <w:spacing w:val="-2"/>
        </w:rPr>
        <w:tab/>
        <w:t>(ii)</w:t>
      </w:r>
      <w:r>
        <w:rPr>
          <w:spacing w:val="-2"/>
        </w:rPr>
        <w:tab/>
        <w:t>where the same are not so sold and shipped — at the rate of 14.7631 cents per tonne.</w:t>
      </w:r>
    </w:p>
    <w:p>
      <w:pPr>
        <w:pStyle w:val="yMiscellaneousBody"/>
        <w:tabs>
          <w:tab w:val="left" w:pos="1134"/>
          <w:tab w:val="left" w:pos="1701"/>
        </w:tabs>
        <w:spacing w:before="120"/>
        <w:ind w:left="1701" w:hanging="1701"/>
        <w:rPr>
          <w:spacing w:val="-2"/>
        </w:rPr>
      </w:pPr>
      <w:r>
        <w:rPr>
          <w:spacing w:val="-2"/>
        </w:rPr>
        <w:tab/>
        <w:t>(e)</w:t>
      </w:r>
      <w:r>
        <w:rPr>
          <w:spacing w:val="-2"/>
        </w:rP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(f)</w:t>
      </w:r>
      <w:r>
        <w:rPr>
          <w:spacing w:val="-2"/>
        </w:rP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(g)</w:t>
      </w:r>
      <w:r>
        <w:rPr>
          <w:spacing w:val="-2"/>
        </w:rP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20"/>
        <w:ind w:left="1701" w:hanging="1701"/>
        <w:rPr>
          <w:spacing w:val="-2"/>
        </w:rPr>
      </w:pPr>
      <w:r>
        <w:rPr>
          <w:spacing w:val="-2"/>
        </w:rPr>
        <w:tab/>
        <w:t>(h)</w:t>
      </w:r>
      <w:r>
        <w:rPr>
          <w:spacing w:val="-2"/>
        </w:rP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tabs>
          <w:tab w:val="left" w:pos="567"/>
        </w:tabs>
        <w:spacing w:before="120"/>
        <w:jc w:val="left"/>
        <w:rPr>
          <w:b/>
        </w:rPr>
      </w:pPr>
      <w:r>
        <w:rPr>
          <w:b/>
        </w:rPr>
        <w:tab/>
        <w:t>Payment of royalties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jc w:val="left"/>
        <w:rPr>
          <w:b/>
        </w:rPr>
      </w:pPr>
      <w:r>
        <w:rPr>
          <w:b/>
        </w:rPr>
        <w:tab/>
        <w:t>Inspection of Records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120"/>
        <w:jc w:val="left"/>
        <w:rPr>
          <w:b/>
        </w:rPr>
      </w:pPr>
      <w:r>
        <w:rPr>
          <w:b/>
        </w:rPr>
        <w:t>Off</w:t>
      </w:r>
      <w:r>
        <w:rPr>
          <w:b/>
        </w:rPr>
        <w:noBreakHyphen/>
        <w:t>loading</w:t>
      </w:r>
      <w:r>
        <w:rPr>
          <w:b/>
          <w:vertAlign w:val="superscript"/>
        </w:rPr>
        <w:t> 2</w:t>
      </w:r>
    </w:p>
    <w:p>
      <w:pPr>
        <w:pStyle w:val="yMiscellaneousBody"/>
        <w:tabs>
          <w:tab w:val="left" w:pos="567"/>
          <w:tab w:val="left" w:pos="1134"/>
        </w:tabs>
        <w:spacing w:before="120"/>
        <w:rPr>
          <w:spacing w:val="-2"/>
        </w:rPr>
      </w:pPr>
      <w:r>
        <w:rPr>
          <w:spacing w:val="-2"/>
        </w:rPr>
        <w:t>32.</w:t>
      </w:r>
      <w:r>
        <w:rPr>
          <w:spacing w:val="-2"/>
        </w:rPr>
        <w:tab/>
        <w:t>(1)</w:t>
      </w:r>
      <w:r>
        <w:rPr>
          <w:spacing w:val="-2"/>
        </w:rPr>
        <w:tab/>
        <w:t>Subject to the provisions of subclause (3) of this Clause the Joint Venturers shall not at any time during the continuance of this Agreement, unless the Minister otherwise permits, off</w:t>
      </w:r>
      <w:r>
        <w:rPr>
          <w:spacing w:val="-2"/>
        </w:rPr>
        <w:noBreakHyphen/>
        <w:t>load or permit to be off</w:t>
      </w:r>
      <w:r>
        <w:rPr>
          <w:spacing w:val="-2"/>
        </w:rPr>
        <w:noBreakHyphen/>
        <w:t>loaded any iron ore products shipped pursuant to this Agreement at a place within the Commonwealth.</w:t>
      </w:r>
    </w:p>
    <w:p>
      <w:pPr>
        <w:pStyle w:val="yMiscellaneousBody"/>
        <w:tabs>
          <w:tab w:val="left" w:pos="567"/>
          <w:tab w:val="left" w:pos="1134"/>
        </w:tabs>
        <w:spacing w:before="120"/>
        <w:rPr>
          <w:spacing w:val="-2"/>
        </w:rPr>
      </w:pPr>
      <w:r>
        <w:rPr>
          <w:spacing w:val="-2"/>
        </w:rPr>
        <w:tab/>
        <w:t>(2)</w:t>
      </w:r>
      <w:r>
        <w:rPr>
          <w:spacing w:val="-2"/>
        </w:rPr>
        <w:tab/>
        <w:t>Where iron ore products are off</w:t>
      </w:r>
      <w:r>
        <w:rPr>
          <w:spacing w:val="-2"/>
        </w:rP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rPr>
          <w:spacing w:val="-2"/>
        </w:rPr>
        <w:noBreakHyphen/>
        <w:t>loaded.</w:t>
      </w:r>
    </w:p>
    <w:p>
      <w:pPr>
        <w:pStyle w:val="yMiscellaneousBody"/>
        <w:tabs>
          <w:tab w:val="left" w:pos="567"/>
          <w:tab w:val="left" w:pos="1134"/>
        </w:tabs>
        <w:spacing w:before="120"/>
        <w:rPr>
          <w:spacing w:val="-2"/>
        </w:rPr>
      </w:pPr>
      <w:r>
        <w:rPr>
          <w:spacing w:val="-2"/>
        </w:rPr>
        <w:tab/>
        <w:t>(3)</w:t>
      </w:r>
      <w:r>
        <w:rPr>
          <w:spacing w:val="-2"/>
        </w:rPr>
        <w:tab/>
        <w:t>The Joint Venturers shall not be deemed to have committed a breach of this Clause if iron ore products are off</w:t>
      </w:r>
      <w:r>
        <w:rPr>
          <w:spacing w:val="-2"/>
        </w:rPr>
        <w:noBreakHyphen/>
        <w:t>loaded at a place within the Commonwealth in any of the following circumstances — </w:t>
      </w:r>
    </w:p>
    <w:p>
      <w:pPr>
        <w:pStyle w:val="yMiscellaneousBody"/>
        <w:tabs>
          <w:tab w:val="left" w:pos="1134"/>
          <w:tab w:val="left" w:pos="1701"/>
        </w:tabs>
        <w:spacing w:before="120"/>
        <w:ind w:left="1701" w:hanging="1701"/>
        <w:rPr>
          <w:spacing w:val="-2"/>
        </w:rPr>
      </w:pPr>
      <w:r>
        <w:rPr>
          <w:spacing w:val="-2"/>
        </w:rPr>
        <w:tab/>
        <w:t>(a)</w:t>
      </w:r>
      <w:r>
        <w:rPr>
          <w:spacing w:val="-2"/>
        </w:rPr>
        <w:tab/>
        <w:t>where the iron ore products are shipped in a vessel that is not owned by the Joint Venturers or an associated company and the Joint Venturers satisfy the Minister that they have taken appropriate steps to ensure that iron ore products will not again be off</w:t>
      </w:r>
      <w:r>
        <w:rPr>
          <w:spacing w:val="-2"/>
        </w:rPr>
        <w:noBreakHyphen/>
        <w:t>loaded in breach of this Clause; or</w:t>
      </w:r>
    </w:p>
    <w:p>
      <w:pPr>
        <w:pStyle w:val="yMiscellaneousBody"/>
        <w:tabs>
          <w:tab w:val="left" w:pos="1134"/>
          <w:tab w:val="left" w:pos="1701"/>
        </w:tabs>
        <w:spacing w:before="120"/>
        <w:ind w:left="1701" w:hanging="1701"/>
        <w:rPr>
          <w:spacing w:val="-2"/>
        </w:rPr>
      </w:pPr>
      <w:r>
        <w:rPr>
          <w:spacing w:val="-2"/>
        </w:rPr>
        <w:tab/>
        <w:t>(b)</w:t>
      </w:r>
      <w:r>
        <w:rPr>
          <w:spacing w:val="-2"/>
        </w:rPr>
        <w:tab/>
        <w:t xml:space="preserve">because the vessel in which the iron ore products are being carried is unforeseeably diverted for necessary repairs or because of a  </w:t>
      </w:r>
      <w:r>
        <w:rPr>
          <w:i/>
          <w:spacing w:val="-2"/>
        </w:rPr>
        <w:t>force majeure</w:t>
      </w:r>
      <w:r>
        <w:rPr>
          <w:spacing w:val="-2"/>
        </w:rPr>
        <w:t xml:space="preserve"> or other unforeseeable cause and the Joint Venturers satisfy the Minister that because of any such event they could not take or be reasonably expected to have taken steps to prevent the off</w:t>
      </w:r>
      <w:r>
        <w:rPr>
          <w:spacing w:val="-2"/>
        </w:rPr>
        <w:noBreakHyphen/>
        <w:t>loading; or</w:t>
      </w:r>
    </w:p>
    <w:p>
      <w:pPr>
        <w:pStyle w:val="yMiscellaneousBody"/>
        <w:tabs>
          <w:tab w:val="left" w:pos="1134"/>
          <w:tab w:val="left" w:pos="1701"/>
        </w:tabs>
        <w:spacing w:before="120"/>
        <w:ind w:left="1701" w:hanging="1701"/>
        <w:rPr>
          <w:spacing w:val="-2"/>
        </w:rPr>
      </w:pPr>
      <w:r>
        <w:rPr>
          <w:spacing w:val="-2"/>
        </w:rPr>
        <w:tab/>
        <w:t>(c)</w:t>
      </w:r>
      <w:r>
        <w:rPr>
          <w:spacing w:val="-2"/>
        </w:rPr>
        <w:tab/>
        <w:t>where the weight of iron ore products off</w:t>
      </w:r>
      <w:r>
        <w:rPr>
          <w:spacing w:val="-2"/>
        </w:rP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spacing w:before="120"/>
        <w:jc w:val="left"/>
        <w:rPr>
          <w:b/>
        </w:rPr>
      </w:pPr>
      <w:r>
        <w:rPr>
          <w:b/>
        </w:rPr>
        <w:t>Secondary Processing proposals</w:t>
      </w:r>
      <w:r>
        <w:rPr>
          <w:b/>
          <w:vertAlign w:val="superscript"/>
        </w:rPr>
        <w:t> 2</w:t>
      </w:r>
    </w:p>
    <w:p>
      <w:pPr>
        <w:pStyle w:val="yMiscellaneousBody"/>
        <w:tabs>
          <w:tab w:val="left" w:pos="567"/>
          <w:tab w:val="left" w:pos="1134"/>
        </w:tabs>
        <w:spacing w:before="120"/>
        <w:rPr>
          <w:spacing w:val="-2"/>
        </w:rPr>
      </w:pPr>
      <w:r>
        <w:rPr>
          <w:spacing w:val="-2"/>
        </w:rPr>
        <w:t>33.</w:t>
      </w:r>
      <w:r>
        <w:rPr>
          <w:spacing w:val="-2"/>
        </w:rPr>
        <w:tab/>
        <w:t>(1)</w:t>
      </w:r>
      <w:r>
        <w:rPr>
          <w:spacing w:val="-2"/>
        </w:rPr>
        <w:tab/>
        <w:t>The Joint Venturers shall from time to time renew the investigations already commenced by them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rPr>
          <w:spacing w:val="-2"/>
        </w:rPr>
      </w:pPr>
      <w:r>
        <w:rPr>
          <w:spacing w:val="-2"/>
        </w:rPr>
        <w:tab/>
        <w:t>(a)</w:t>
      </w:r>
      <w:r>
        <w:rPr>
          <w:spacing w:val="-2"/>
        </w:rPr>
        <w:tab/>
        <w:t>the plant to be of such design and dimensions that it will progressively have the capacity to process annually — </w:t>
      </w:r>
    </w:p>
    <w:p>
      <w:pPr>
        <w:pStyle w:val="yMiscellaneousBody"/>
        <w:tabs>
          <w:tab w:val="left" w:pos="1985"/>
          <w:tab w:val="left" w:pos="2552"/>
        </w:tabs>
        <w:spacing w:before="120"/>
        <w:ind w:left="2552" w:hanging="2552"/>
        <w:rPr>
          <w:spacing w:val="-2"/>
        </w:rPr>
      </w:pPr>
      <w:r>
        <w:rPr>
          <w:spacing w:val="-2"/>
        </w:rPr>
        <w:tab/>
        <w:t>(i)</w:t>
      </w:r>
      <w:r>
        <w:rPr>
          <w:spacing w:val="-2"/>
        </w:rPr>
        <w:tab/>
        <w:t>by the end of Year 12 — not less than five hundred thousand tonnes of iron ore;</w:t>
      </w:r>
    </w:p>
    <w:p>
      <w:pPr>
        <w:pStyle w:val="yMiscellaneousBody"/>
        <w:tabs>
          <w:tab w:val="left" w:pos="1985"/>
          <w:tab w:val="left" w:pos="2552"/>
        </w:tabs>
        <w:spacing w:before="120"/>
        <w:ind w:left="2552" w:hanging="2552"/>
        <w:rPr>
          <w:spacing w:val="-2"/>
        </w:rPr>
      </w:pPr>
      <w:r>
        <w:rPr>
          <w:spacing w:val="-2"/>
        </w:rPr>
        <w:tab/>
        <w:t>(ii)</w:t>
      </w:r>
      <w:r>
        <w:rPr>
          <w:spacing w:val="-2"/>
        </w:rPr>
        <w:tab/>
        <w:t>by the end of Year 13 — not less than one million tonnes of iron ore;</w:t>
      </w:r>
    </w:p>
    <w:p>
      <w:pPr>
        <w:pStyle w:val="yMiscellaneousBody"/>
        <w:tabs>
          <w:tab w:val="left" w:pos="1985"/>
          <w:tab w:val="left" w:pos="2552"/>
        </w:tabs>
        <w:spacing w:before="120"/>
        <w:ind w:left="2552" w:hanging="2552"/>
        <w:rPr>
          <w:spacing w:val="-2"/>
        </w:rPr>
      </w:pPr>
      <w:r>
        <w:rPr>
          <w:spacing w:val="-2"/>
        </w:rPr>
        <w:tab/>
        <w:t>(iii)</w:t>
      </w:r>
      <w:r>
        <w:rPr>
          <w:spacing w:val="-2"/>
        </w:rPr>
        <w:tab/>
        <w:t>by the end of Year 16 — not less than two million tonnes of iron ore;</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jc w:val="left"/>
        <w:rPr>
          <w:b/>
        </w:rPr>
      </w:pPr>
      <w:r>
        <w:rPr>
          <w:b/>
        </w:rPr>
        <w:tab/>
        <w:t>Consideration of proposals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jc w:val="left"/>
        <w:rPr>
          <w:b/>
        </w:rPr>
      </w:pPr>
      <w:r>
        <w:rPr>
          <w:b/>
        </w:rPr>
        <w:tab/>
        <w:t>Failure to submit proposals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rPr>
          <w:spacing w:val="-2"/>
        </w:rPr>
      </w:pPr>
      <w:r>
        <w:rPr>
          <w:spacing w:val="-2"/>
        </w:rPr>
        <w:tab/>
        <w:t>(a)</w:t>
      </w:r>
      <w:r>
        <w:rPr>
          <w:spacing w:val="-2"/>
        </w:rP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 xml:space="preserve">if by the end of Year 13 the State gives to the Joint Venturers notice that some other company or party (hereinafter referred to as “the Third Party”) has </w:t>
      </w:r>
      <w:r>
        <w:rPr>
          <w:spacing w:val="-2"/>
        </w:rPr>
        <w:t>agreed</w:t>
      </w:r>
      <w:r>
        <w:t xml:space="preserve">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rPr>
          <w:spacing w:val="-2"/>
        </w:rPr>
      </w:pPr>
      <w:r>
        <w:rPr>
          <w:spacing w:val="-2"/>
        </w:rPr>
        <w:tab/>
        <w:t>(c)</w:t>
      </w:r>
      <w:r>
        <w:rPr>
          <w:spacing w:val="-2"/>
        </w:rP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jc w:val="left"/>
        <w:rPr>
          <w:b/>
        </w:rPr>
      </w:pPr>
      <w:r>
        <w:rPr>
          <w:b/>
        </w:rPr>
        <w:tab/>
        <w:t>Submission of proposals after Year 10</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Notwithstanding anything contained herein the failure by the Joint Venturers to submit proposals to the Minister pursuant to subclause (1) of this Clause or the non</w:t>
      </w:r>
      <w:r>
        <w:rPr>
          <w:spacing w:val="-2"/>
        </w:rPr>
        <w:noBreakHyphen/>
        <w:t>approval by the Minister of any proposals so submitted shall not constitute a breach of this Agreement by the Joint Venturers but subject as herein otherwise provided the only consequence arising from such failure or non</w:t>
      </w:r>
      <w:r>
        <w:rPr>
          <w:spacing w:val="-2"/>
        </w:rPr>
        <w:noBreakHyphen/>
        <w:t>approval will be that set out in subclause (3) of this Clause.</w:t>
      </w:r>
    </w:p>
    <w:p>
      <w:pPr>
        <w:pStyle w:val="yMiscellaneousHeading"/>
        <w:tabs>
          <w:tab w:val="left" w:pos="567"/>
        </w:tabs>
        <w:spacing w:before="100"/>
        <w:jc w:val="left"/>
        <w:rPr>
          <w:b/>
        </w:rPr>
      </w:pPr>
      <w:r>
        <w:rPr>
          <w:b/>
        </w:rPr>
        <w:tab/>
        <w:t>Provisions applying to proposals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Subject as in this Clause otherwise provided the provisions of Clauses 7, 8 and 9 shall apply </w:t>
      </w:r>
      <w:r>
        <w:rPr>
          <w:i/>
          <w:spacing w:val="-2"/>
        </w:rPr>
        <w:t>mutatis mutandis</w:t>
      </w:r>
      <w:r>
        <w:rPr>
          <w:spacing w:val="-2"/>
        </w:rPr>
        <w:t xml:space="preserve"> to detailed proposals made pursuant to this Clause.</w:t>
      </w:r>
    </w:p>
    <w:p>
      <w:pPr>
        <w:pStyle w:val="yMiscellaneousHeading"/>
        <w:spacing w:before="100"/>
        <w:jc w:val="left"/>
        <w:rPr>
          <w:b/>
        </w:rPr>
      </w:pPr>
      <w:r>
        <w:rPr>
          <w:b/>
        </w:rPr>
        <w:t>Iron and Steel Industry</w:t>
      </w:r>
      <w:r>
        <w:rPr>
          <w:b/>
          <w:vertAlign w:val="superscript"/>
        </w:rPr>
        <w:t> 2</w:t>
      </w:r>
    </w:p>
    <w:p>
      <w:pPr>
        <w:pStyle w:val="yMiscellaneousBody"/>
        <w:tabs>
          <w:tab w:val="left" w:pos="567"/>
          <w:tab w:val="left" w:pos="1134"/>
        </w:tabs>
        <w:spacing w:before="120"/>
        <w:rPr>
          <w:spacing w:val="-2"/>
        </w:rPr>
      </w:pPr>
      <w:r>
        <w:rPr>
          <w:spacing w:val="-2"/>
        </w:rPr>
        <w:t>34.</w:t>
      </w:r>
      <w:r>
        <w:rPr>
          <w:spacing w:val="-2"/>
        </w:rPr>
        <w:tab/>
        <w:t>(1)</w:t>
      </w:r>
      <w:r>
        <w:rPr>
          <w:spacing w:val="-2"/>
        </w:rP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rPr>
          <w:spacing w:val="-4"/>
        </w:rPr>
      </w:pPr>
      <w:r>
        <w:rPr>
          <w:spacing w:val="-4"/>
        </w:rP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rPr>
          <w:spacing w:val="-2"/>
        </w:rPr>
      </w:pPr>
      <w:r>
        <w:rPr>
          <w:spacing w:val="-2"/>
        </w:rPr>
        <w:tab/>
        <w:t>(a)</w:t>
      </w:r>
      <w:r>
        <w:rPr>
          <w:spacing w:val="-2"/>
        </w:rP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rPr>
          <w:spacing w:val="-2"/>
        </w:rPr>
      </w:pPr>
      <w:r>
        <w:rPr>
          <w:spacing w:val="-2"/>
        </w:rPr>
        <w:tab/>
        <w:t>(i)</w:t>
      </w:r>
      <w:r>
        <w:rPr>
          <w:spacing w:val="-2"/>
        </w:rP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rPr>
          <w:spacing w:val="-2"/>
        </w:rPr>
      </w:pPr>
      <w:r>
        <w:rPr>
          <w:spacing w:val="-2"/>
        </w:rPr>
        <w:tab/>
        <w:t>(ii)</w:t>
      </w:r>
      <w:r>
        <w:rPr>
          <w:spacing w:val="-2"/>
        </w:rP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rPr>
          <w:spacing w:val="-2"/>
        </w:rPr>
      </w:pPr>
      <w:r>
        <w:rPr>
          <w:spacing w:val="-2"/>
        </w:rPr>
        <w:tab/>
        <w:t>(iii)</w:t>
      </w:r>
      <w:r>
        <w:rPr>
          <w:spacing w:val="-2"/>
        </w:rP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one hundred million dollars unless the Joint Venturers utilise a less expensive but at least equally satisfactory method of production than any at present known to either of the parties.</w:t>
      </w:r>
    </w:p>
    <w:p>
      <w:pPr>
        <w:pStyle w:val="yMiscellaneousBody"/>
        <w:tabs>
          <w:tab w:val="left" w:pos="567"/>
        </w:tabs>
        <w:spacing w:before="120"/>
        <w:ind w:left="567" w:hanging="567"/>
        <w:rPr>
          <w:spacing w:val="-2"/>
        </w:rPr>
      </w:pPr>
      <w:r>
        <w:rPr>
          <w:spacing w:val="-2"/>
        </w:rPr>
        <w:tab/>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rPr>
          <w:spacing w:val="-2"/>
        </w:rPr>
      </w:pPr>
      <w:r>
        <w:rPr>
          <w:spacing w:val="-2"/>
        </w:rPr>
        <w:tab/>
        <w:t>(2)</w:t>
      </w:r>
      <w:r>
        <w:rPr>
          <w:spacing w:val="-2"/>
        </w:rP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 xml:space="preserve">If such </w:t>
      </w:r>
      <w:r>
        <w:rPr>
          <w:spacing w:val="-2"/>
        </w:rPr>
        <w:t>proposals</w:t>
      </w:r>
      <w:r>
        <w:t xml:space="preserve"> are not submitted by the Joint Venturers to the Minister before the end of Year 20 or if such proposals are so submitted but are </w:t>
      </w:r>
      <w:r>
        <w:rPr>
          <w:spacing w:val="-2"/>
        </w:rPr>
        <w:t>not</w:t>
      </w:r>
      <w:r>
        <w:t xml:space="preserve">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rPr>
          <w:spacing w:val="-2"/>
        </w:rPr>
      </w:pPr>
      <w:r>
        <w:rPr>
          <w:spacing w:val="-2"/>
        </w:rPr>
        <w:tab/>
        <w:t>(a)</w:t>
      </w:r>
      <w:r>
        <w:rPr>
          <w:spacing w:val="-2"/>
        </w:rP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rPr>
          <w:spacing w:val="-2"/>
        </w:rPr>
      </w:pPr>
      <w:r>
        <w:rPr>
          <w:spacing w:val="-2"/>
        </w:rPr>
        <w:t>then and in either case this Agreement shall cease and determine — </w:t>
      </w:r>
    </w:p>
    <w:p>
      <w:pPr>
        <w:pStyle w:val="yMiscellaneousBody"/>
        <w:tabs>
          <w:tab w:val="left" w:pos="1134"/>
          <w:tab w:val="left" w:pos="1701"/>
        </w:tabs>
        <w:spacing w:before="120"/>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rPr>
          <w:spacing w:val="-2"/>
        </w:rPr>
      </w:pPr>
      <w:r>
        <w:rPr>
          <w:spacing w:val="-2"/>
        </w:rPr>
        <w:tab/>
        <w:t>(ii)</w:t>
      </w:r>
      <w:r>
        <w:rPr>
          <w:spacing w:val="-2"/>
        </w:rP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rPr>
          <w:spacing w:val="-2"/>
        </w:rPr>
      </w:pPr>
      <w:r>
        <w:rPr>
          <w:spacing w:val="-2"/>
        </w:rPr>
        <w:tab/>
        <w:t>(iii)</w:t>
      </w:r>
      <w:r>
        <w:rPr>
          <w:spacing w:val="-2"/>
        </w:rP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rPr>
          <w:spacing w:val="-2"/>
        </w:rPr>
      </w:pPr>
      <w:r>
        <w:rPr>
          <w:spacing w:val="-2"/>
        </w:rPr>
        <w:tab/>
        <w:t>(4)</w:t>
      </w:r>
      <w:r>
        <w:rPr>
          <w:spacing w:val="-2"/>
        </w:rP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rPr>
          <w:spacing w:val="-2"/>
        </w:rPr>
      </w:pPr>
      <w:r>
        <w:rPr>
          <w:spacing w:val="-2"/>
        </w:rPr>
        <w:tab/>
        <w:t>(5)</w:t>
      </w:r>
      <w:r>
        <w:rPr>
          <w:spacing w:val="-2"/>
        </w:rP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rPr>
          <w:spacing w:val="-2"/>
        </w:rPr>
      </w:pPr>
      <w:r>
        <w:rPr>
          <w:spacing w:val="-2"/>
        </w:rPr>
        <w:tab/>
        <w:t>(6)</w:t>
      </w:r>
      <w:r>
        <w:rPr>
          <w:spacing w:val="-2"/>
        </w:rP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rPr>
          <w:spacing w:val="-2"/>
        </w:rPr>
      </w:pPr>
      <w:r>
        <w:rPr>
          <w:spacing w:val="-2"/>
        </w:rPr>
        <w:tab/>
        <w:t>(7)</w:t>
      </w:r>
      <w:r>
        <w:rPr>
          <w:spacing w:val="-2"/>
        </w:rPr>
        <w:tab/>
        <w:t>Notwithstanding anything contained herein no failure by the Joint Venturers to submit to the Minister proposals as aforesaid nor any non</w:t>
      </w:r>
      <w:r>
        <w:rPr>
          <w:spacing w:val="-2"/>
        </w:rPr>
        <w:noBreakHyphen/>
        <w:t>approval by the Minister of such proposals shall constitute a breach of this Agreement by the Joint Venturers and the only consequences arising from such failure or non</w:t>
      </w:r>
      <w:r>
        <w:rPr>
          <w:spacing w:val="-2"/>
        </w:rPr>
        <w:noBreakHyphen/>
        <w:t>approval (as the case may be) will be those set out in subclause (3) of this clause.</w:t>
      </w:r>
    </w:p>
    <w:p>
      <w:pPr>
        <w:pStyle w:val="yMiscellaneousHeading"/>
        <w:spacing w:before="120"/>
        <w:jc w:val="left"/>
        <w:rPr>
          <w:b/>
        </w:rPr>
      </w:pPr>
      <w:r>
        <w:rPr>
          <w:b/>
        </w:rPr>
        <w:t>Substantial establishment</w:t>
      </w:r>
      <w:r>
        <w:rPr>
          <w:b/>
          <w:vertAlign w:val="superscript"/>
        </w:rPr>
        <w:t> 2</w:t>
      </w:r>
    </w:p>
    <w:p>
      <w:pPr>
        <w:pStyle w:val="yMiscellaneousBody"/>
        <w:tabs>
          <w:tab w:val="left" w:pos="567"/>
        </w:tabs>
        <w:spacing w:before="120"/>
        <w:rPr>
          <w:spacing w:val="-2"/>
        </w:rPr>
      </w:pPr>
      <w:r>
        <w:rPr>
          <w:spacing w:val="-2"/>
        </w:rPr>
        <w:t>35.</w:t>
      </w:r>
      <w:r>
        <w:rPr>
          <w:spacing w:val="-2"/>
        </w:rP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spacing w:val="-2"/>
        </w:rPr>
        <w:t>bona fide</w:t>
      </w:r>
      <w:r>
        <w:rPr>
          <w:spacing w:val="-2"/>
        </w:rPr>
        <w:t xml:space="preserve"> to operate its plant or industry.</w:t>
      </w:r>
    </w:p>
    <w:p>
      <w:pPr>
        <w:pStyle w:val="yMiscellaneousHeading"/>
        <w:spacing w:before="120"/>
        <w:jc w:val="left"/>
        <w:rPr>
          <w:b/>
        </w:rPr>
      </w:pPr>
      <w:r>
        <w:rPr>
          <w:b/>
        </w:rPr>
        <w:t>Terms “not more favourable”</w:t>
      </w:r>
      <w:r>
        <w:rPr>
          <w:b/>
          <w:vertAlign w:val="superscript"/>
        </w:rPr>
        <w:t> 2</w:t>
      </w:r>
    </w:p>
    <w:p>
      <w:pPr>
        <w:pStyle w:val="yMiscellaneousBody"/>
        <w:tabs>
          <w:tab w:val="left" w:pos="567"/>
        </w:tabs>
        <w:spacing w:before="120"/>
        <w:rPr>
          <w:spacing w:val="-2"/>
        </w:rPr>
      </w:pPr>
      <w:r>
        <w:rPr>
          <w:spacing w:val="-2"/>
        </w:rPr>
        <w:t>36.</w:t>
      </w:r>
      <w:r>
        <w:rPr>
          <w:spacing w:val="-2"/>
        </w:rPr>
        <w:tab/>
        <w:t xml:space="preserve">In deciding whether for the purposes of Clause 33 or Clause 34 the terms granted by the State to some Company or party are not more favourable on the whole than those proposed by or available to the Joint Venturers regard shall be had </w:t>
      </w:r>
      <w:r>
        <w:rPr>
          <w:i/>
          <w:spacing w:val="-2"/>
        </w:rPr>
        <w:t>inter alia</w:t>
      </w:r>
      <w:r>
        <w:rPr>
          <w:spacing w:val="-2"/>
        </w:rP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120"/>
        <w:jc w:val="left"/>
        <w:rPr>
          <w:b/>
        </w:rPr>
      </w:pPr>
      <w:r>
        <w:rPr>
          <w:b/>
        </w:rPr>
        <w:t>Supply of iron ore to others</w:t>
      </w:r>
      <w:r>
        <w:rPr>
          <w:b/>
          <w:vertAlign w:val="superscript"/>
        </w:rPr>
        <w:t> 2</w:t>
      </w:r>
    </w:p>
    <w:p>
      <w:pPr>
        <w:pStyle w:val="yMiscellaneousBody"/>
        <w:tabs>
          <w:tab w:val="left" w:pos="567"/>
        </w:tabs>
        <w:spacing w:before="120"/>
        <w:rPr>
          <w:spacing w:val="-2"/>
        </w:rPr>
      </w:pPr>
      <w:r>
        <w:rPr>
          <w:spacing w:val="-2"/>
        </w:rPr>
        <w:t>37.</w:t>
      </w:r>
      <w:r>
        <w:rPr>
          <w:spacing w:val="-2"/>
        </w:rP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rPr>
          <w:spacing w:val="-2"/>
        </w:rPr>
      </w:pPr>
      <w:r>
        <w:rPr>
          <w:spacing w:val="-2"/>
        </w:rPr>
        <w:tab/>
        <w:t>(i)</w:t>
      </w:r>
      <w:r>
        <w:rPr>
          <w:spacing w:val="-2"/>
        </w:rPr>
        <w:tab/>
        <w:t>at such rates and grades as may reasonably be available and be required;</w:t>
      </w:r>
    </w:p>
    <w:p>
      <w:pPr>
        <w:pStyle w:val="yMiscellaneousBody"/>
        <w:tabs>
          <w:tab w:val="left" w:pos="1134"/>
          <w:tab w:val="left" w:pos="1701"/>
        </w:tabs>
        <w:spacing w:before="120"/>
        <w:ind w:left="1701" w:hanging="1701"/>
        <w:rPr>
          <w:spacing w:val="-2"/>
        </w:rPr>
      </w:pPr>
      <w:r>
        <w:rPr>
          <w:spacing w:val="-2"/>
        </w:rPr>
        <w:tab/>
        <w:t>(ii)</w:t>
      </w:r>
      <w:r>
        <w:rPr>
          <w:spacing w:val="-2"/>
        </w:rPr>
        <w:tab/>
        <w:t>at such points on the Joint Venturers’ railway;</w:t>
      </w:r>
    </w:p>
    <w:p>
      <w:pPr>
        <w:pStyle w:val="yMiscellaneousBody"/>
        <w:tabs>
          <w:tab w:val="left" w:pos="1134"/>
          <w:tab w:val="left" w:pos="1701"/>
        </w:tabs>
        <w:spacing w:before="120"/>
        <w:ind w:left="1701" w:hanging="1701"/>
        <w:rPr>
          <w:spacing w:val="-2"/>
        </w:rPr>
      </w:pPr>
      <w:r>
        <w:rPr>
          <w:spacing w:val="-2"/>
        </w:rPr>
        <w:tab/>
        <w:t>(iii)</w:t>
      </w:r>
      <w:r>
        <w:rPr>
          <w:spacing w:val="-2"/>
        </w:rPr>
        <w:tab/>
        <w:t>at such price; and</w:t>
      </w:r>
    </w:p>
    <w:p>
      <w:pPr>
        <w:pStyle w:val="yMiscellaneousBody"/>
        <w:tabs>
          <w:tab w:val="left" w:pos="1134"/>
          <w:tab w:val="left" w:pos="1701"/>
        </w:tabs>
        <w:spacing w:before="120"/>
        <w:ind w:left="1701" w:hanging="1701"/>
        <w:rPr>
          <w:spacing w:val="-2"/>
        </w:rPr>
      </w:pPr>
      <w:r>
        <w:rPr>
          <w:spacing w:val="-2"/>
        </w:rPr>
        <w:tab/>
        <w:t>(iv)</w:t>
      </w:r>
      <w:r>
        <w:rPr>
          <w:spacing w:val="-2"/>
        </w:rPr>
        <w:tab/>
        <w:t>on such other terms and conditions</w:t>
      </w:r>
    </w:p>
    <w:p>
      <w:pPr>
        <w:pStyle w:val="yMiscellaneousBody"/>
        <w:spacing w:before="120"/>
        <w:rPr>
          <w:spacing w:val="-2"/>
        </w:rPr>
      </w:pPr>
      <w:r>
        <w:rPr>
          <w:spacing w:val="-2"/>
        </w:rP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120"/>
        <w:jc w:val="left"/>
        <w:rPr>
          <w:b/>
        </w:rPr>
      </w:pPr>
      <w:r>
        <w:rPr>
          <w:b/>
        </w:rPr>
        <w:t>Protection for current contracts</w:t>
      </w:r>
      <w:r>
        <w:rPr>
          <w:b/>
          <w:vertAlign w:val="superscript"/>
        </w:rPr>
        <w:t> 2</w:t>
      </w:r>
    </w:p>
    <w:p>
      <w:pPr>
        <w:pStyle w:val="yMiscellaneousBody"/>
        <w:tabs>
          <w:tab w:val="left" w:pos="567"/>
        </w:tabs>
        <w:spacing w:before="120"/>
        <w:rPr>
          <w:spacing w:val="-2"/>
        </w:rPr>
      </w:pPr>
      <w:r>
        <w:rPr>
          <w:spacing w:val="-2"/>
        </w:rPr>
        <w:t>38.</w:t>
      </w:r>
      <w:r>
        <w:rPr>
          <w:spacing w:val="-2"/>
        </w:rP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120"/>
        <w:jc w:val="left"/>
        <w:rPr>
          <w:b/>
        </w:rPr>
      </w:pPr>
      <w:r>
        <w:rPr>
          <w:b/>
        </w:rPr>
        <w:t>Delays</w:t>
      </w:r>
      <w:r>
        <w:rPr>
          <w:b/>
          <w:vertAlign w:val="superscript"/>
        </w:rPr>
        <w:t> 2</w:t>
      </w:r>
    </w:p>
    <w:p>
      <w:pPr>
        <w:pStyle w:val="yMiscellaneousBody"/>
        <w:tabs>
          <w:tab w:val="left" w:pos="567"/>
        </w:tabs>
        <w:spacing w:before="120"/>
        <w:rPr>
          <w:spacing w:val="-2"/>
        </w:rPr>
      </w:pPr>
      <w:r>
        <w:rPr>
          <w:spacing w:val="-2"/>
        </w:rPr>
        <w:t>39.</w:t>
      </w:r>
      <w:r>
        <w:rPr>
          <w:spacing w:val="-2"/>
        </w:rP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spacing w:val="-2"/>
        </w:rPr>
        <w:t xml:space="preserve"> force majeure</w:t>
      </w:r>
      <w:r>
        <w:rPr>
          <w:spacing w:val="-2"/>
        </w:rPr>
        <w:t xml:space="preserv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120"/>
        <w:jc w:val="left"/>
        <w:rPr>
          <w:b/>
        </w:rPr>
      </w:pPr>
      <w:r>
        <w:rPr>
          <w:b/>
        </w:rPr>
        <w:t>Assignment</w:t>
      </w:r>
      <w:r>
        <w:rPr>
          <w:b/>
          <w:vertAlign w:val="superscript"/>
        </w:rPr>
        <w:t> 2</w:t>
      </w:r>
    </w:p>
    <w:p>
      <w:pPr>
        <w:pStyle w:val="yMiscellaneousBody"/>
        <w:tabs>
          <w:tab w:val="left" w:pos="567"/>
          <w:tab w:val="left" w:pos="1134"/>
        </w:tabs>
        <w:spacing w:before="120"/>
        <w:rPr>
          <w:spacing w:val="-2"/>
        </w:rPr>
      </w:pPr>
      <w:r>
        <w:rPr>
          <w:spacing w:val="-2"/>
        </w:rPr>
        <w:t>40.</w:t>
      </w:r>
      <w:r>
        <w:rPr>
          <w:spacing w:val="-2"/>
        </w:rPr>
        <w:tab/>
        <w:t>(1)</w:t>
      </w:r>
      <w:r>
        <w:rPr>
          <w:spacing w:val="-2"/>
        </w:rPr>
        <w:tab/>
        <w:t>Subject to the provisions of this Clause the Joint Venturers or any of them may at any time — </w:t>
      </w:r>
    </w:p>
    <w:p>
      <w:pPr>
        <w:pStyle w:val="yMiscellaneousBody"/>
        <w:tabs>
          <w:tab w:val="left" w:pos="1134"/>
          <w:tab w:val="left" w:pos="1701"/>
        </w:tabs>
        <w:spacing w:before="120"/>
        <w:ind w:left="1701" w:hanging="1701"/>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rPr>
          <w:spacing w:val="-2"/>
        </w:rPr>
      </w:pPr>
      <w:r>
        <w:rPr>
          <w:spacing w:val="-2"/>
        </w:rPr>
        <w:tab/>
      </w:r>
      <w:r>
        <w:rPr>
          <w:spacing w:val="-2"/>
        </w:rP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120"/>
        <w:jc w:val="left"/>
        <w:rPr>
          <w:b/>
        </w:rPr>
      </w:pPr>
      <w:r>
        <w:rPr>
          <w:b/>
        </w:rPr>
        <w:t>By</w:t>
      </w:r>
      <w:r>
        <w:rPr>
          <w:b/>
        </w:rPr>
        <w:noBreakHyphen/>
        <w:t>laws</w:t>
      </w:r>
      <w:r>
        <w:rPr>
          <w:b/>
          <w:vertAlign w:val="superscript"/>
        </w:rPr>
        <w:t> 2</w:t>
      </w:r>
    </w:p>
    <w:p>
      <w:pPr>
        <w:pStyle w:val="yMiscellaneousBody"/>
        <w:tabs>
          <w:tab w:val="left" w:pos="567"/>
          <w:tab w:val="left" w:pos="1134"/>
        </w:tabs>
        <w:spacing w:before="120"/>
        <w:rPr>
          <w:spacing w:val="-2"/>
        </w:rPr>
      </w:pPr>
      <w:r>
        <w:rPr>
          <w:spacing w:val="-2"/>
        </w:rPr>
        <w:t>41.</w:t>
      </w:r>
      <w:r>
        <w:rPr>
          <w:spacing w:val="-2"/>
        </w:rPr>
        <w:tab/>
        <w:t>The Governor in executive Council may upon the recommendation of the Joint Venturers make alter and repeal by</w:t>
      </w:r>
      <w:r>
        <w:rPr>
          <w:spacing w:val="-2"/>
        </w:rP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120"/>
        <w:jc w:val="left"/>
        <w:rPr>
          <w:b/>
        </w:rPr>
      </w:pPr>
      <w:r>
        <w:rPr>
          <w:b/>
        </w:rPr>
        <w:t>Determination of Agreement</w:t>
      </w:r>
      <w:r>
        <w:rPr>
          <w:b/>
          <w:vertAlign w:val="superscript"/>
        </w:rPr>
        <w:t xml:space="preserve"> 2</w:t>
      </w:r>
    </w:p>
    <w:p>
      <w:pPr>
        <w:pStyle w:val="yMiscellaneousBody"/>
        <w:tabs>
          <w:tab w:val="left" w:pos="567"/>
          <w:tab w:val="left" w:pos="1134"/>
        </w:tabs>
        <w:spacing w:before="120"/>
        <w:rPr>
          <w:spacing w:val="-2"/>
        </w:rPr>
      </w:pPr>
      <w:r>
        <w:rPr>
          <w:spacing w:val="-2"/>
        </w:rPr>
        <w:t>42.</w:t>
      </w:r>
      <w:r>
        <w:rPr>
          <w:spacing w:val="-2"/>
        </w:rPr>
        <w:tab/>
        <w:t>(1)</w:t>
      </w:r>
      <w:r>
        <w:rPr>
          <w:spacing w:val="-2"/>
        </w:rPr>
        <w:tab/>
        <w:t>In any of the following events namely — </w:t>
      </w:r>
    </w:p>
    <w:p>
      <w:pPr>
        <w:pStyle w:val="yMiscellaneousBody"/>
        <w:tabs>
          <w:tab w:val="left" w:pos="1134"/>
          <w:tab w:val="left" w:pos="1701"/>
        </w:tabs>
        <w:spacing w:before="120"/>
        <w:ind w:left="1701" w:hanging="1701"/>
        <w:rPr>
          <w:spacing w:val="-2"/>
        </w:rPr>
      </w:pPr>
      <w:r>
        <w:rPr>
          <w:spacing w:val="-2"/>
        </w:rPr>
        <w:tab/>
        <w:t>(a)</w:t>
      </w:r>
      <w:r>
        <w:rPr>
          <w:spacing w:val="-2"/>
        </w:rP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spacing w:val="-2"/>
        </w:rPr>
        <w:t>bona fide</w:t>
      </w:r>
      <w:r>
        <w:rPr>
          <w:spacing w:val="-2"/>
        </w:rPr>
        <w:t xml:space="preserve"> dispute and that the Joint Venturers had not been dilatory in pursuing the arbitration); or</w:t>
      </w:r>
    </w:p>
    <w:p>
      <w:pPr>
        <w:pStyle w:val="yMiscellaneousBody"/>
        <w:tabs>
          <w:tab w:val="left" w:pos="1134"/>
          <w:tab w:val="left" w:pos="1701"/>
        </w:tabs>
        <w:spacing w:before="120"/>
        <w:ind w:left="1701" w:hanging="1701"/>
        <w:rPr>
          <w:spacing w:val="-2"/>
        </w:rPr>
      </w:pPr>
      <w:r>
        <w:rPr>
          <w:spacing w:val="-2"/>
        </w:rPr>
        <w:tab/>
        <w:t>(b)</w:t>
      </w:r>
      <w:r>
        <w:rPr>
          <w:spacing w:val="-2"/>
        </w:rPr>
        <w:tab/>
        <w:t>If the Joint Venturers abandon their operations or repudiate their obligations under this Agreement; or</w:t>
      </w:r>
    </w:p>
    <w:p>
      <w:pPr>
        <w:pStyle w:val="yMiscellaneousBody"/>
        <w:tabs>
          <w:tab w:val="left" w:pos="1134"/>
          <w:tab w:val="left" w:pos="1701"/>
        </w:tabs>
        <w:spacing w:before="120"/>
        <w:ind w:left="1701" w:hanging="1701"/>
        <w:rPr>
          <w:spacing w:val="-2"/>
        </w:rPr>
      </w:pPr>
      <w:r>
        <w:rPr>
          <w:spacing w:val="-2"/>
        </w:rPr>
        <w:tab/>
        <w:t>(c)</w:t>
      </w:r>
      <w:r>
        <w:rPr>
          <w:spacing w:val="-2"/>
        </w:rP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 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rPr>
          <w:spacing w:val="-2"/>
        </w:rPr>
      </w:pPr>
      <w:r>
        <w:rPr>
          <w:spacing w:val="-2"/>
        </w:rP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rPr>
          <w:spacing w:val="-2"/>
        </w:rPr>
      </w:pPr>
      <w:r>
        <w:rPr>
          <w:spacing w:val="-2"/>
        </w:rPr>
        <w:tab/>
        <w:t>(2)</w:t>
      </w:r>
      <w:r>
        <w:rPr>
          <w:spacing w:val="-2"/>
        </w:rP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12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rPr>
          <w:spacing w:val="-2"/>
        </w:rPr>
      </w:pPr>
      <w:r>
        <w:rPr>
          <w:spacing w:val="-2"/>
        </w:rPr>
        <w:t>43.</w:t>
      </w:r>
      <w:r>
        <w:rPr>
          <w:spacing w:val="-2"/>
        </w:rPr>
        <w:tab/>
        <w:t>(1)</w:t>
      </w:r>
      <w:r>
        <w:rPr>
          <w:spacing w:val="-2"/>
        </w:rPr>
        <w:tab/>
        <w:t>Upon the cessation or determination of this Agreement — </w:t>
      </w:r>
    </w:p>
    <w:p>
      <w:pPr>
        <w:pStyle w:val="yMiscellaneousBody"/>
        <w:tabs>
          <w:tab w:val="left" w:pos="1134"/>
          <w:tab w:val="left" w:pos="1701"/>
        </w:tabs>
        <w:spacing w:before="120"/>
        <w:ind w:left="1701" w:hanging="1701"/>
        <w:rPr>
          <w:spacing w:val="-2"/>
        </w:rPr>
      </w:pPr>
      <w:r>
        <w:rPr>
          <w:spacing w:val="-2"/>
        </w:rPr>
        <w:tab/>
        <w:t>(a)</w:t>
      </w:r>
      <w:r>
        <w:rPr>
          <w:spacing w:val="-2"/>
        </w:rPr>
        <w:tab/>
      </w:r>
      <w:r>
        <w:rPr>
          <w:spacing w:val="-4"/>
        </w:rPr>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spacing w:val="-2"/>
        </w:rPr>
        <w:t>in situ</w:t>
      </w:r>
      <w:r>
        <w:rPr>
          <w:spacing w:val="-2"/>
        </w:rP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120"/>
        <w:jc w:val="left"/>
        <w:rPr>
          <w:b/>
        </w:rPr>
      </w:pPr>
      <w:r>
        <w:rPr>
          <w:b/>
        </w:rPr>
        <w:t>Indemnity</w:t>
      </w:r>
      <w:r>
        <w:rPr>
          <w:b/>
          <w:vertAlign w:val="superscript"/>
        </w:rPr>
        <w:t> 2</w:t>
      </w:r>
    </w:p>
    <w:p>
      <w:pPr>
        <w:pStyle w:val="yMiscellaneousBody"/>
        <w:tabs>
          <w:tab w:val="left" w:pos="567"/>
          <w:tab w:val="left" w:pos="1134"/>
        </w:tabs>
        <w:spacing w:before="120"/>
        <w:rPr>
          <w:spacing w:val="-2"/>
        </w:rPr>
      </w:pPr>
      <w:r>
        <w:rPr>
          <w:spacing w:val="-2"/>
        </w:rPr>
        <w:t>44.</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120"/>
        <w:jc w:val="left"/>
        <w:rPr>
          <w:b/>
        </w:rPr>
      </w:pPr>
      <w:r>
        <w:rPr>
          <w:b/>
        </w:rPr>
        <w:t>Variation</w:t>
      </w:r>
      <w:r>
        <w:rPr>
          <w:b/>
          <w:vertAlign w:val="superscript"/>
        </w:rPr>
        <w:t> 2</w:t>
      </w:r>
    </w:p>
    <w:p>
      <w:pPr>
        <w:pStyle w:val="yMiscellaneousBody"/>
        <w:tabs>
          <w:tab w:val="left" w:pos="567"/>
          <w:tab w:val="left" w:pos="1134"/>
        </w:tabs>
        <w:spacing w:before="120"/>
        <w:rPr>
          <w:spacing w:val="-2"/>
        </w:rPr>
      </w:pPr>
      <w:r>
        <w:rPr>
          <w:spacing w:val="-2"/>
        </w:rPr>
        <w:t>45.</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rPr>
          <w:spacing w:val="-2"/>
        </w:rPr>
      </w:pPr>
      <w:r>
        <w:rPr>
          <w:spacing w:val="-2"/>
        </w:rPr>
        <w:tab/>
        <w:t>(2)</w:t>
      </w:r>
      <w:r>
        <w:rPr>
          <w:spacing w:val="-2"/>
        </w:rPr>
        <w:tab/>
      </w:r>
      <w:r>
        <w:rPr>
          <w:spacing w:val="-4"/>
        </w:rPr>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120"/>
        <w:jc w:val="left"/>
        <w:rPr>
          <w:b/>
        </w:rPr>
      </w:pPr>
      <w:r>
        <w:rPr>
          <w:b/>
        </w:rPr>
        <w:t>Power to extend periods</w:t>
      </w:r>
      <w:r>
        <w:rPr>
          <w:b/>
          <w:vertAlign w:val="superscript"/>
        </w:rPr>
        <w:t> 2</w:t>
      </w:r>
    </w:p>
    <w:p>
      <w:pPr>
        <w:pStyle w:val="yMiscellaneousBody"/>
        <w:tabs>
          <w:tab w:val="left" w:pos="567"/>
          <w:tab w:val="left" w:pos="1134"/>
        </w:tabs>
        <w:spacing w:before="120"/>
        <w:rPr>
          <w:spacing w:val="-2"/>
        </w:rPr>
      </w:pPr>
      <w:r>
        <w:rPr>
          <w:spacing w:val="-2"/>
        </w:rPr>
        <w:t>46.</w:t>
      </w:r>
      <w:r>
        <w:rPr>
          <w:spacing w:val="-2"/>
        </w:rP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120"/>
        <w:jc w:val="left"/>
        <w:rPr>
          <w:b/>
        </w:rPr>
      </w:pPr>
      <w:r>
        <w:rPr>
          <w:b/>
        </w:rPr>
        <w:t>Notices</w:t>
      </w:r>
      <w:r>
        <w:rPr>
          <w:b/>
          <w:vertAlign w:val="superscript"/>
        </w:rPr>
        <w:t> 2</w:t>
      </w:r>
    </w:p>
    <w:p>
      <w:pPr>
        <w:pStyle w:val="yMiscellaneousBody"/>
        <w:tabs>
          <w:tab w:val="left" w:pos="567"/>
          <w:tab w:val="left" w:pos="1134"/>
        </w:tabs>
        <w:spacing w:before="120"/>
        <w:rPr>
          <w:spacing w:val="-2"/>
        </w:rPr>
      </w:pPr>
      <w:r>
        <w:rPr>
          <w:spacing w:val="-2"/>
        </w:rPr>
        <w:t>47.</w:t>
      </w:r>
      <w:r>
        <w:rPr>
          <w:spacing w:val="-2"/>
        </w:rPr>
        <w:tab/>
      </w:r>
      <w:r>
        <w:rPr>
          <w:spacing w:val="-4"/>
        </w:rPr>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120"/>
        <w:jc w:val="left"/>
        <w:rPr>
          <w:b/>
        </w:rPr>
      </w:pPr>
      <w:r>
        <w:rPr>
          <w:b/>
        </w:rPr>
        <w:t>Exemption from Stamp Duty</w:t>
      </w:r>
      <w:r>
        <w:rPr>
          <w:b/>
          <w:vertAlign w:val="superscript"/>
        </w:rPr>
        <w:t> 2</w:t>
      </w:r>
    </w:p>
    <w:p>
      <w:pPr>
        <w:pStyle w:val="yMiscellaneousBody"/>
        <w:tabs>
          <w:tab w:val="left" w:pos="567"/>
          <w:tab w:val="left" w:pos="1134"/>
        </w:tabs>
        <w:spacing w:before="120"/>
        <w:rPr>
          <w:spacing w:val="-2"/>
        </w:rPr>
      </w:pPr>
      <w:r>
        <w:rPr>
          <w:spacing w:val="-2"/>
        </w:rPr>
        <w:t>48.</w:t>
      </w:r>
      <w:r>
        <w:rPr>
          <w:spacing w:val="-2"/>
        </w:rPr>
        <w:tab/>
        <w:t>(1)</w:t>
      </w:r>
      <w:r>
        <w:rPr>
          <w:spacing w:val="-2"/>
        </w:rP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rPr>
          <w:spacing w:val="-2"/>
        </w:rPr>
      </w:pPr>
      <w:r>
        <w:rPr>
          <w:spacing w:val="-2"/>
        </w:rPr>
        <w:tab/>
        <w:t>(a)</w:t>
      </w:r>
      <w:r>
        <w:rPr>
          <w:spacing w:val="-2"/>
        </w:rPr>
        <w:tab/>
        <w:t>this Agreement;</w:t>
      </w:r>
    </w:p>
    <w:p>
      <w:pPr>
        <w:pStyle w:val="yMiscellaneousBody"/>
        <w:tabs>
          <w:tab w:val="left" w:pos="1134"/>
          <w:tab w:val="left" w:pos="1701"/>
        </w:tabs>
        <w:spacing w:before="120"/>
        <w:ind w:left="1701" w:hanging="1701"/>
        <w:rPr>
          <w:spacing w:val="-2"/>
        </w:rPr>
      </w:pPr>
      <w:r>
        <w:rPr>
          <w:spacing w:val="-2"/>
        </w:rPr>
        <w:tab/>
        <w:t>(b)</w:t>
      </w:r>
      <w:r>
        <w:rPr>
          <w:spacing w:val="-2"/>
        </w:rP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rPr>
          <w:spacing w:val="-2"/>
        </w:rPr>
      </w:pPr>
      <w:r>
        <w:rPr>
          <w:spacing w:val="-2"/>
        </w:rPr>
        <w:tab/>
        <w:t>(2)</w:t>
      </w:r>
      <w:r>
        <w:rPr>
          <w:spacing w:val="-2"/>
        </w:rPr>
        <w:tab/>
        <w:t>This Clause does not apply to any instrument or other document executed or made more than seven years after the date of the execution hereof.</w:t>
      </w:r>
    </w:p>
    <w:p>
      <w:pPr>
        <w:pStyle w:val="yMiscellaneousBody"/>
        <w:tabs>
          <w:tab w:val="left" w:pos="567"/>
          <w:tab w:val="left" w:pos="1134"/>
        </w:tabs>
        <w:spacing w:before="120"/>
        <w:rPr>
          <w:spacing w:val="-2"/>
        </w:rPr>
      </w:pPr>
      <w:r>
        <w:rPr>
          <w:spacing w:val="-2"/>
        </w:rPr>
        <w:tab/>
        <w:t>(3)</w:t>
      </w:r>
      <w:r>
        <w:rPr>
          <w:spacing w:val="-2"/>
        </w:rP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120"/>
        <w:jc w:val="left"/>
        <w:rPr>
          <w:b/>
        </w:rPr>
      </w:pPr>
      <w:r>
        <w:rPr>
          <w:b/>
        </w:rPr>
        <w:t>Arbitration</w:t>
      </w:r>
      <w:r>
        <w:rPr>
          <w:b/>
          <w:vertAlign w:val="superscript"/>
        </w:rPr>
        <w:t> 2</w:t>
      </w:r>
    </w:p>
    <w:p>
      <w:pPr>
        <w:pStyle w:val="yMiscellaneousBody"/>
        <w:tabs>
          <w:tab w:val="left" w:pos="567"/>
          <w:tab w:val="left" w:pos="1134"/>
        </w:tabs>
        <w:spacing w:before="120"/>
        <w:rPr>
          <w:spacing w:val="-2"/>
        </w:rPr>
      </w:pPr>
      <w:r>
        <w:rPr>
          <w:spacing w:val="-2"/>
        </w:rPr>
        <w:t>49.</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rPr>
          <w:spacing w:val="-2"/>
        </w:rPr>
      </w:pPr>
      <w:r>
        <w:rPr>
          <w:spacing w:val="-2"/>
        </w:rPr>
        <w:tab/>
        <w:t>(2)</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120"/>
        <w:jc w:val="left"/>
        <w:rPr>
          <w:b/>
        </w:rPr>
      </w:pPr>
      <w:r>
        <w:rPr>
          <w:b/>
        </w:rPr>
        <w:t>Applicable Law</w:t>
      </w:r>
      <w:r>
        <w:rPr>
          <w:b/>
          <w:vertAlign w:val="superscript"/>
        </w:rPr>
        <w:t> 2</w:t>
      </w:r>
    </w:p>
    <w:p>
      <w:pPr>
        <w:pStyle w:val="yMiscellaneousBody"/>
        <w:tabs>
          <w:tab w:val="left" w:pos="567"/>
          <w:tab w:val="left" w:pos="1134"/>
        </w:tabs>
        <w:spacing w:before="120"/>
        <w:rPr>
          <w:spacing w:val="-2"/>
        </w:rPr>
      </w:pPr>
      <w:r>
        <w:rPr>
          <w:spacing w:val="-2"/>
        </w:rPr>
        <w:t>50.</w:t>
      </w:r>
      <w:r>
        <w:rPr>
          <w:spacing w:val="-2"/>
        </w:rPr>
        <w:tab/>
        <w:t>This Agreement shall be interpreted according to the law for the time being in force in the said State.</w:t>
      </w:r>
    </w:p>
    <w:p>
      <w:pPr>
        <w:pStyle w:val="yMiscellaneousHeading"/>
        <w:spacing w:before="120"/>
      </w:pPr>
      <w:r>
        <w:t>THE SCHEDULE</w:t>
      </w:r>
    </w:p>
    <w:p>
      <w:pPr>
        <w:pStyle w:val="yMiscellaneousHeading"/>
      </w:pPr>
      <w:r>
        <w:t>WESTERN AUSTRALIA</w:t>
      </w:r>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rPr>
          <w:spacing w:val="-4"/>
        </w:rPr>
      </w:pPr>
      <w:r>
        <w:rPr>
          <w:spacing w:val="-4"/>
        </w:rPr>
        <w:t xml:space="preserve">AND WHEREAS the said Agreement was executed by the State pursuant to the authority granted by </w:t>
      </w:r>
      <w:r>
        <w:rPr>
          <w:i/>
          <w:spacing w:val="-4"/>
        </w:rPr>
        <w:t>the Iron Ore (McCameys Monster) Agreement Authorization Act 1972</w:t>
      </w:r>
      <w:r>
        <w:rPr>
          <w:spacing w:val="-4"/>
        </w:rPr>
        <w:t xml:space="preserve"> and the same operates and takes effect as provided in the said Act.</w:t>
      </w:r>
    </w:p>
    <w:p>
      <w:pPr>
        <w:pStyle w:val="yMiscellaneousBody"/>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r>
              <w:t xml:space="preserve">TONKIN, M.L.A., in the </w:t>
            </w:r>
          </w:p>
          <w:p>
            <w:pPr>
              <w:pStyle w:val="yTable"/>
              <w:spacing w:before="0"/>
            </w:pPr>
            <w:r>
              <w:t>presence of — </w:t>
            </w:r>
            <w:r>
              <w:tab/>
            </w:r>
          </w:p>
        </w:tc>
        <w:tc>
          <w:tcPr>
            <w:tcW w:w="567" w:type="dxa"/>
          </w:tcPr>
          <w:p>
            <w:r>
              <w:rPr>
                <w:noProof/>
                <w:lang w:eastAsia="en-AU"/>
              </w:rPr>
              <w:drawing>
                <wp:inline distT="0" distB="0" distL="0" distR="0">
                  <wp:extent cx="1238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Pr>
          <w:p>
            <w:pPr>
              <w:ind w:left="-108" w:firstLine="108"/>
            </w:pPr>
          </w:p>
        </w:tc>
      </w:tr>
    </w:tbl>
    <w:p/>
    <w:p>
      <w:pPr>
        <w:pStyle w:val="yMiscellaneousBody"/>
        <w:tabs>
          <w:tab w:val="left" w:pos="567"/>
        </w:tabs>
        <w:spacing w:before="0"/>
      </w:pPr>
      <w:r>
        <w:tab/>
        <w:t>Minister for Development</w:t>
      </w:r>
    </w:p>
    <w:p>
      <w:pPr>
        <w:pStyle w:val="yMiscellaneousBody"/>
        <w:tabs>
          <w:tab w:val="left" w:pos="851"/>
        </w:tabs>
        <w:spacing w:before="0"/>
      </w:pPr>
      <w:r>
        <w:tab/>
        <w:t>and Decentralisation</w:t>
      </w:r>
    </w:p>
    <w:p/>
    <w:p>
      <w:pPr>
        <w:pStyle w:val="yMiscellaneousBody"/>
        <w:tabs>
          <w:tab w:val="left" w:pos="567"/>
        </w:tabs>
        <w:spacing w:before="0" w:after="24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r>
              <w:rPr>
                <w:noProof/>
                <w:lang w:eastAsia="en-AU"/>
              </w:rPr>
              <w:drawing>
                <wp:inline distT="0" distB="0" distL="0" distR="0">
                  <wp:extent cx="1238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r>
              <w:rPr>
                <w:noProof/>
                <w:lang w:eastAsia="en-AU"/>
              </w:rPr>
              <w:drawing>
                <wp:inline distT="0" distB="0" distL="0" distR="0">
                  <wp:extent cx="1238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r>
              <w:rPr>
                <w:noProof/>
                <w:lang w:eastAsia="en-AU"/>
              </w:rPr>
              <w:drawing>
                <wp:inline distT="0" distB="0" distL="0" distR="0">
                  <wp:extent cx="1238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r>
              <w:rPr>
                <w:noProof/>
                <w:lang w:eastAsia="en-AU"/>
              </w:rPr>
              <w:drawing>
                <wp:inline distT="0" distB="0" distL="0" distR="0">
                  <wp:extent cx="12382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r>
              <w:rPr>
                <w:noProof/>
                <w:lang w:eastAsia="en-AU"/>
              </w:rPr>
              <w:drawing>
                <wp:inline distT="0" distB="0" distL="0" distR="0">
                  <wp:extent cx="123825" cy="895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95350"/>
                          </a:xfrm>
                          <a:prstGeom prst="rect">
                            <a:avLst/>
                          </a:prstGeom>
                          <a:noFill/>
                          <a:ln>
                            <a:noFill/>
                          </a:ln>
                        </pic:spPr>
                      </pic:pic>
                    </a:graphicData>
                  </a:graphic>
                </wp:inline>
              </w:drawing>
            </w:r>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r>
              <w:rPr>
                <w:noProof/>
                <w:lang w:eastAsia="en-AU"/>
              </w:rPr>
              <w:drawing>
                <wp:inline distT="0" distB="0" distL="0" distR="0">
                  <wp:extent cx="1238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551" w:type="dxa"/>
          </w:tcPr>
          <w:p>
            <w:pPr>
              <w:keepNext/>
              <w:ind w:left="-108" w:firstLine="108"/>
            </w:pPr>
          </w:p>
        </w:tc>
      </w:tr>
    </w:tbl>
    <w:p/>
    <w:p>
      <w:pPr>
        <w:pStyle w:val="yMiscellaneousBody"/>
        <w:tabs>
          <w:tab w:val="left" w:pos="567"/>
        </w:tabs>
        <w:spacing w:before="0"/>
      </w:pPr>
      <w:r>
        <w:tab/>
        <w:t>Director</w:t>
      </w:r>
    </w:p>
    <w:p/>
    <w:p>
      <w:pPr>
        <w:pStyle w:val="yMiscellaneousBody"/>
        <w:tabs>
          <w:tab w:val="left" w:pos="567"/>
        </w:tabs>
        <w:spacing w:before="0"/>
      </w:pPr>
      <w:r>
        <w:rPr>
          <w:spacing w:val="-2"/>
        </w:rPr>
        <w:tab/>
        <w:t>Secretary</w:t>
      </w:r>
    </w:p>
    <w:p>
      <w:pPr>
        <w:pStyle w:val="yScheduleHeading"/>
      </w:pPr>
      <w:bookmarkStart w:id="82" w:name="_Toc34541386"/>
      <w:bookmarkStart w:id="83" w:name="_Toc267920760"/>
      <w:bookmarkStart w:id="84" w:name="_Toc270603887"/>
      <w:bookmarkStart w:id="85" w:name="_Toc270606097"/>
      <w:r>
        <w:rPr>
          <w:rStyle w:val="CharSchNo"/>
        </w:rPr>
        <w:t>Schedule 2</w:t>
      </w:r>
      <w:bookmarkEnd w:id="82"/>
      <w:bookmarkEnd w:id="83"/>
      <w:bookmarkEnd w:id="84"/>
      <w:bookmarkEnd w:id="85"/>
      <w:r>
        <w:t xml:space="preserve"> </w:t>
      </w:r>
    </w:p>
    <w:p>
      <w:pPr>
        <w:pStyle w:val="yMiscellaneousBody"/>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by Deed dated 12th February, 1980 Cyprus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pPr>
      <w:r>
        <w:tab/>
        <w:t>CGFA</w:t>
      </w:r>
      <w:r>
        <w:tab/>
        <w:t>38.5%</w:t>
      </w:r>
    </w:p>
    <w:p>
      <w:pPr>
        <w:pStyle w:val="yMiscellaneousBody"/>
        <w:tabs>
          <w:tab w:val="left" w:pos="1134"/>
          <w:tab w:val="right" w:pos="3969"/>
        </w:tabs>
      </w:pPr>
      <w:r>
        <w:tab/>
        <w:t>Utah</w:t>
      </w:r>
      <w:r>
        <w:tab/>
        <w:t>38.5%</w:t>
      </w:r>
    </w:p>
    <w:p>
      <w:pPr>
        <w:pStyle w:val="yMiscellaneousBody"/>
        <w:tabs>
          <w:tab w:val="left" w:pos="1134"/>
          <w:tab w:val="right" w:pos="3969"/>
        </w:tabs>
      </w:pPr>
      <w:r>
        <w:tab/>
        <w:t>HPPL and WPPL</w:t>
      </w:r>
      <w:r>
        <w:tab/>
        <w:t>23%;</w:t>
      </w:r>
    </w:p>
    <w:p>
      <w:pPr>
        <w:pStyle w:val="yMiscellaneousBody"/>
        <w:tabs>
          <w:tab w:val="left" w:pos="567"/>
        </w:tabs>
        <w:ind w:left="567" w:hanging="567"/>
      </w:pPr>
      <w:r>
        <w:t>(d)</w:t>
      </w:r>
      <w:r>
        <w:tab/>
        <w:t>CGFA, Utah,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ind w:left="567" w:hanging="567"/>
      </w:pPr>
      <w:r>
        <w:t>(2)</w:t>
      </w:r>
      <w:r>
        <w:tab/>
        <w:t>Clause 1 — </w:t>
      </w:r>
    </w:p>
    <w:p>
      <w:pPr>
        <w:pStyle w:val="yMiscellaneousBody"/>
        <w:tabs>
          <w:tab w:val="left" w:pos="567"/>
          <w:tab w:val="left" w:pos="1134"/>
          <w:tab w:val="left" w:pos="1701"/>
        </w:tabs>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pPr>
      <w:r>
        <w:tab/>
        <w:t xml:space="preserve">“   section 7 of the </w:t>
      </w:r>
      <w:r>
        <w:rPr>
          <w:i/>
        </w:rPr>
        <w:t>Companies (Western Australia) Code</w:t>
      </w:r>
      <w:r>
        <w:t xml:space="preserve">   ”;</w:t>
      </w:r>
    </w:p>
    <w:p>
      <w:pPr>
        <w:pStyle w:val="yMiscellaneousBody"/>
        <w:tabs>
          <w:tab w:val="left" w:pos="567"/>
          <w:tab w:val="left" w:pos="1134"/>
          <w:tab w:val="left" w:pos="1701"/>
        </w:tabs>
        <w:ind w:left="1701" w:hanging="1701"/>
      </w:pPr>
      <w:r>
        <w:tab/>
      </w:r>
      <w:r>
        <w:tab/>
        <w:t>(ii)</w:t>
      </w:r>
      <w:r>
        <w:tab/>
        <w:t>in the definition of “Commission”, by deleting “State Electricity Commission” and substituting the following — </w:t>
      </w:r>
    </w:p>
    <w:p>
      <w:pPr>
        <w:pStyle w:val="yMiscellaneousBody"/>
        <w:tabs>
          <w:tab w:val="left" w:pos="1701"/>
        </w:tabs>
      </w:pPr>
      <w:r>
        <w:tab/>
        <w:t>“   State Energy Commission   ”;</w:t>
      </w:r>
    </w:p>
    <w:p>
      <w:pPr>
        <w:pStyle w:val="yMiscellaneousBody"/>
        <w:keepNext/>
        <w:keepLines/>
        <w:tabs>
          <w:tab w:val="left" w:pos="567"/>
          <w:tab w:val="left" w:pos="1134"/>
          <w:tab w:val="left" w:pos="1701"/>
        </w:tabs>
        <w:ind w:left="1701" w:hanging="1701"/>
      </w:pPr>
      <w:r>
        <w:tab/>
      </w:r>
      <w:r>
        <w:tab/>
        <w:t>(iii)</w:t>
      </w:r>
      <w:r>
        <w:tab/>
        <w:t>in the definition of “direct shipping ore”, by inserting before “crushing” the following — </w:t>
      </w:r>
    </w:p>
    <w:p>
      <w:pPr>
        <w:pStyle w:val="yMiscellaneousBody"/>
        <w:tabs>
          <w:tab w:val="left" w:pos="1701"/>
        </w:tabs>
      </w:pPr>
      <w:r>
        <w:tab/>
        <w:t>“   washing   ”;</w:t>
      </w:r>
    </w:p>
    <w:p>
      <w:pPr>
        <w:pStyle w:val="yMiscellaneousBody"/>
        <w:keepNext/>
        <w:tabs>
          <w:tab w:val="left" w:pos="567"/>
          <w:tab w:val="left" w:pos="1134"/>
          <w:tab w:val="left" w:pos="1701"/>
        </w:tabs>
        <w:ind w:left="1701" w:hanging="1701"/>
      </w:pPr>
      <w:r>
        <w:tab/>
      </w:r>
      <w:r>
        <w:tab/>
        <w:t>(iv)</w:t>
      </w:r>
      <w:r>
        <w:tab/>
        <w:t>in the definition of “fine ore”, by inserting before “crushing” the following — </w:t>
      </w:r>
    </w:p>
    <w:p>
      <w:pPr>
        <w:pStyle w:val="yMiscellaneousBody"/>
        <w:tabs>
          <w:tab w:val="left" w:pos="1701"/>
        </w:tabs>
      </w:pPr>
      <w:r>
        <w:tab/>
        <w:t>“   washing   ”;</w:t>
      </w:r>
    </w:p>
    <w:p>
      <w:pPr>
        <w:pStyle w:val="yMiscellaneousBody"/>
        <w:tabs>
          <w:tab w:val="left" w:pos="567"/>
          <w:tab w:val="left" w:pos="1134"/>
          <w:tab w:val="left" w:pos="1701"/>
        </w:tabs>
        <w:ind w:left="1701" w:hanging="1701"/>
      </w:pPr>
      <w:r>
        <w:tab/>
      </w:r>
      <w:r>
        <w:tab/>
        <w:t>(v)</w:t>
      </w:r>
      <w:r>
        <w:tab/>
        <w:t>in the definition of “f.o.b. revenue” — </w:t>
      </w:r>
    </w:p>
    <w:p>
      <w:pPr>
        <w:pStyle w:val="yMiscellaneousBody"/>
        <w:tabs>
          <w:tab w:val="left" w:pos="1701"/>
          <w:tab w:val="left" w:pos="2268"/>
        </w:tabs>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ind w:left="2268" w:hanging="2268"/>
      </w:pPr>
      <w:r>
        <w:tab/>
        <w:t>(B)</w:t>
      </w:r>
      <w:r>
        <w:tab/>
        <w:t>in item (8) by deleting “and” where it last occurs;</w:t>
      </w:r>
    </w:p>
    <w:p>
      <w:pPr>
        <w:pStyle w:val="yMiscellaneousBody"/>
        <w:tabs>
          <w:tab w:val="left" w:pos="1701"/>
          <w:tab w:val="left" w:pos="2268"/>
        </w:tabs>
        <w:ind w:left="2268" w:hanging="2268"/>
      </w:pPr>
      <w:r>
        <w:tab/>
        <w:t>(C)</w:t>
      </w:r>
      <w:r>
        <w:tab/>
        <w:t>by deleting item (9) and inserting after item (8) the following — </w:t>
      </w:r>
    </w:p>
    <w:p>
      <w:pPr>
        <w:pStyle w:val="yMiscellaneousBody"/>
        <w:tabs>
          <w:tab w:val="left" w:pos="1701"/>
          <w:tab w:val="left" w:pos="2268"/>
        </w:tabs>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tabs>
          <w:tab w:val="left" w:pos="1701"/>
          <w:tab w:val="left" w:pos="2268"/>
        </w:tabs>
        <w:ind w:left="2268" w:hanging="2268"/>
      </w:pPr>
      <w:r>
        <w:tab/>
        <w:t>(D)</w:t>
      </w:r>
      <w:r>
        <w:tab/>
        <w:t>in paragraph (a) by deleting “(9)” and substituting the following — </w:t>
      </w:r>
    </w:p>
    <w:p>
      <w:pPr>
        <w:pStyle w:val="yMiscellaneousBody"/>
        <w:tabs>
          <w:tab w:val="left" w:pos="2268"/>
        </w:tabs>
        <w:ind w:left="2268" w:hanging="2268"/>
      </w:pPr>
      <w:r>
        <w:tab/>
        <w:t>“   (8)   ”</w:t>
      </w:r>
    </w:p>
    <w:p>
      <w:pPr>
        <w:pStyle w:val="yMiscellaneousBody"/>
        <w:tabs>
          <w:tab w:val="left" w:pos="1701"/>
          <w:tab w:val="left" w:pos="2268"/>
        </w:tabs>
        <w:ind w:left="2268" w:hanging="2268"/>
      </w:pPr>
      <w:r>
        <w:tab/>
        <w:t>(E)</w:t>
      </w:r>
      <w:r>
        <w:tab/>
        <w:t>by deleting paragraph (c);</w:t>
      </w:r>
    </w:p>
    <w:p>
      <w:pPr>
        <w:pStyle w:val="yMiscellaneousBody"/>
        <w:tabs>
          <w:tab w:val="left" w:pos="567"/>
          <w:tab w:val="left" w:pos="1134"/>
          <w:tab w:val="left" w:pos="1701"/>
        </w:tabs>
        <w:ind w:left="1701" w:hanging="1701"/>
      </w:pPr>
      <w:r>
        <w:tab/>
      </w:r>
      <w:r>
        <w:tab/>
        <w:t>(vi)</w:t>
      </w:r>
      <w:r>
        <w:tab/>
        <w:t>in the definition of “mineral lease”, by deleting “the mineral lease or mineral leases” and substituting the following — </w:t>
      </w:r>
    </w:p>
    <w:p>
      <w:pPr>
        <w:pStyle w:val="yMiscellaneousBody"/>
        <w:tabs>
          <w:tab w:val="left" w:pos="1701"/>
        </w:tabs>
      </w:pPr>
      <w:r>
        <w:tab/>
        <w:t>“   the mining lease for the mining of iron ore   ”;</w:t>
      </w:r>
    </w:p>
    <w:p>
      <w:pPr>
        <w:pStyle w:val="yMiscellaneousBody"/>
        <w:tabs>
          <w:tab w:val="left" w:pos="567"/>
          <w:tab w:val="left" w:pos="1134"/>
          <w:tab w:val="left" w:pos="1701"/>
        </w:tabs>
        <w:ind w:left="1701" w:hanging="1701"/>
      </w:pPr>
      <w:r>
        <w:tab/>
      </w:r>
      <w:r>
        <w:tab/>
        <w:t>(vii)</w:t>
      </w:r>
      <w:r>
        <w:tab/>
        <w:t>by deleting the definition of “mine townsite” and substituting the following definition — </w:t>
      </w:r>
    </w:p>
    <w:p>
      <w:pPr>
        <w:pStyle w:val="yMiscellaneousBody"/>
        <w:tabs>
          <w:tab w:val="left" w:pos="1701"/>
          <w:tab w:val="left" w:pos="1985"/>
        </w:tabs>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ind w:left="1985" w:hanging="1985"/>
      </w:pPr>
      <w:r>
        <w:tab/>
        <w:t>“   washing crushing or screening or any combination thereof   ”;</w:t>
      </w:r>
    </w:p>
    <w:p>
      <w:pPr>
        <w:pStyle w:val="yMiscellaneousBody"/>
        <w:tabs>
          <w:tab w:val="left" w:pos="567"/>
          <w:tab w:val="left" w:pos="1134"/>
        </w:tabs>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ind w:left="1134" w:hanging="1134"/>
      </w:pPr>
      <w:r>
        <w:tab/>
        <w:t>(c)</w:t>
      </w:r>
      <w:r>
        <w:tab/>
        <w:t>by inserting, in their appropriate alphabetical positions, the following definitions — </w:t>
      </w:r>
    </w:p>
    <w:p>
      <w:pPr>
        <w:pStyle w:val="yMiscellaneousBody"/>
        <w:tabs>
          <w:tab w:val="left" w:pos="1134"/>
          <w:tab w:val="left" w:pos="1701"/>
        </w:tabs>
        <w:ind w:left="1701" w:hanging="1701"/>
      </w:pPr>
      <w:r>
        <w:tab/>
        <w:t>“  “Joint Venturers” means Hancock Mining Limited a company incorporated in the State of Western Australia and its successors, permitted assigns and appointees;</w:t>
      </w:r>
    </w:p>
    <w:p>
      <w:pPr>
        <w:pStyle w:val="yMiscellaneousBody"/>
        <w:tabs>
          <w:tab w:val="left" w:pos="1134"/>
          <w:tab w:val="left" w:pos="1418"/>
          <w:tab w:val="left" w:pos="1701"/>
        </w:tabs>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ind w:left="567" w:hanging="567"/>
      </w:pPr>
      <w:r>
        <w:t>(3)</w:t>
      </w:r>
      <w:r>
        <w:tab/>
        <w:t>Clause 2 subclause (1) — </w:t>
      </w:r>
    </w:p>
    <w:p>
      <w:pPr>
        <w:pStyle w:val="yMiscellaneousBody"/>
        <w:tabs>
          <w:tab w:val="left" w:pos="567"/>
          <w:tab w:val="left" w:pos="1134"/>
        </w:tabs>
        <w:ind w:left="1134" w:hanging="1134"/>
      </w:pPr>
      <w:r>
        <w:tab/>
        <w:t>(a)</w:t>
      </w:r>
      <w:r>
        <w:tab/>
        <w:t>paragraph (c) — </w:t>
      </w:r>
    </w:p>
    <w:p>
      <w:pPr>
        <w:pStyle w:val="yMiscellaneousBody"/>
        <w:tabs>
          <w:tab w:val="left" w:pos="567"/>
        </w:tabs>
        <w:ind w:left="567" w:hanging="567"/>
      </w:pPr>
      <w:r>
        <w:tab/>
      </w:r>
      <w:r>
        <w:tab/>
      </w:r>
      <w:r>
        <w:tab/>
        <w:t>by deleting “and”;</w:t>
      </w:r>
    </w:p>
    <w:p>
      <w:pPr>
        <w:pStyle w:val="yMiscellaneousBody"/>
        <w:tabs>
          <w:tab w:val="left" w:pos="567"/>
          <w:tab w:val="left" w:pos="1134"/>
        </w:tabs>
        <w:ind w:left="1134" w:hanging="1134"/>
      </w:pPr>
      <w:r>
        <w:tab/>
        <w:t>(b)</w:t>
      </w:r>
      <w:r>
        <w:tab/>
        <w:t>paragraph (d) — </w:t>
      </w:r>
    </w:p>
    <w:p>
      <w:pPr>
        <w:pStyle w:val="yMiscellaneousBody"/>
        <w:tabs>
          <w:tab w:val="left" w:pos="1134"/>
          <w:tab w:val="left" w:pos="1701"/>
        </w:tabs>
        <w:ind w:left="1701" w:hanging="1701"/>
      </w:pPr>
      <w:r>
        <w:tab/>
        <w:t>(i)</w:t>
      </w:r>
      <w:r>
        <w:tab/>
        <w:t>by inserting after “Act”, where it first occurs, the following — </w:t>
      </w:r>
    </w:p>
    <w:p>
      <w:pPr>
        <w:pStyle w:val="yMiscellaneousBody"/>
        <w:tabs>
          <w:tab w:val="left" w:pos="1985"/>
        </w:tabs>
      </w:pPr>
      <w:r>
        <w:tab/>
      </w:r>
      <w:r>
        <w:tab/>
        <w:t xml:space="preserve">“   other than the </w:t>
      </w:r>
      <w:r>
        <w:rPr>
          <w:i/>
        </w:rPr>
        <w:t>Mining Act 1904</w:t>
      </w:r>
      <w:r>
        <w:t xml:space="preserve">   ”;</w:t>
      </w:r>
    </w:p>
    <w:p>
      <w:pPr>
        <w:pStyle w:val="yMiscellaneousBody"/>
        <w:tabs>
          <w:tab w:val="left" w:pos="1134"/>
          <w:tab w:val="left" w:pos="1701"/>
        </w:tabs>
        <w:ind w:left="1701" w:hanging="1701"/>
      </w:pPr>
      <w:r>
        <w:tab/>
        <w:t>(ii)</w:t>
      </w:r>
      <w:r>
        <w:tab/>
        <w:t>by deleting “thereunder.” and substituting the following — </w:t>
      </w:r>
    </w:p>
    <w:p>
      <w:pPr>
        <w:pStyle w:val="yMiscellaneousBody"/>
        <w:tabs>
          <w:tab w:val="left" w:pos="1985"/>
        </w:tabs>
      </w:pPr>
      <w:r>
        <w:tab/>
        <w:t>“   thereunder;   ”</w:t>
      </w:r>
    </w:p>
    <w:p>
      <w:pPr>
        <w:pStyle w:val="yMiscellaneousBody"/>
        <w:tabs>
          <w:tab w:val="left" w:pos="567"/>
          <w:tab w:val="left" w:pos="1134"/>
        </w:tabs>
        <w:ind w:left="1134" w:hanging="1134"/>
      </w:pPr>
      <w:r>
        <w:tab/>
        <w:t>(c)</w:t>
      </w:r>
      <w:r>
        <w:tab/>
        <w:t>by inserting after paragraph (d) the following paragraphs — </w:t>
      </w:r>
    </w:p>
    <w:p>
      <w:pPr>
        <w:pStyle w:val="yMiscellaneousBody"/>
        <w:tabs>
          <w:tab w:val="left" w:pos="1134"/>
          <w:tab w:val="left" w:pos="1701"/>
        </w:tabs>
        <w:ind w:left="1701" w:hanging="1701"/>
      </w:pPr>
      <w:r>
        <w:tab/>
        <w:t>“(e)</w:t>
      </w:r>
      <w:r>
        <w:tab/>
        <w:t>words in the singular number include the plural and words in the plural number include the singular;</w:t>
      </w:r>
    </w:p>
    <w:p>
      <w:pPr>
        <w:pStyle w:val="yMiscellaneousBody"/>
        <w:tabs>
          <w:tab w:val="left" w:pos="1134"/>
          <w:tab w:val="left" w:pos="1701"/>
        </w:tabs>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ind w:left="567" w:hanging="567"/>
      </w:pPr>
      <w:r>
        <w:t>(4)</w:t>
      </w:r>
      <w:r>
        <w:tab/>
        <w:t>Clause 3 — </w:t>
      </w:r>
    </w:p>
    <w:p>
      <w:pPr>
        <w:pStyle w:val="yMiscellaneousBody"/>
        <w:tabs>
          <w:tab w:val="left" w:pos="567"/>
          <w:tab w:val="left" w:pos="1134"/>
        </w:tabs>
        <w:ind w:left="1134" w:hanging="1134"/>
      </w:pPr>
      <w:r>
        <w:tab/>
        <w:t>(a)</w:t>
      </w:r>
      <w:r>
        <w:tab/>
        <w:t>by deleting the subclause designation (1);</w:t>
      </w:r>
    </w:p>
    <w:p>
      <w:pPr>
        <w:pStyle w:val="yMiscellaneousBody"/>
        <w:keepNext/>
        <w:tabs>
          <w:tab w:val="left" w:pos="567"/>
          <w:tab w:val="left" w:pos="1134"/>
        </w:tabs>
        <w:ind w:left="1134" w:hanging="1134"/>
      </w:pPr>
      <w:r>
        <w:tab/>
        <w:t>(b)</w:t>
      </w:r>
      <w:r>
        <w:tab/>
        <w:t>by deleting “Mining Act”, wherever it occurs, and substituting the following — </w:t>
      </w:r>
    </w:p>
    <w:p>
      <w:pPr>
        <w:pStyle w:val="yMiscellaneousBody"/>
        <w:tabs>
          <w:tab w:val="left" w:pos="1418"/>
        </w:tabs>
      </w:pPr>
      <w:r>
        <w:tab/>
        <w:t xml:space="preserve">“   </w:t>
      </w:r>
      <w:r>
        <w:rPr>
          <w:i/>
        </w:rPr>
        <w:t>Mining Act 1904</w:t>
      </w:r>
      <w:r>
        <w:t xml:space="preserve">   ”.</w:t>
      </w:r>
    </w:p>
    <w:p>
      <w:pPr>
        <w:pStyle w:val="yMiscellaneousBody"/>
        <w:keepNext/>
        <w:tabs>
          <w:tab w:val="left" w:pos="567"/>
        </w:tabs>
        <w:ind w:left="567" w:hanging="567"/>
      </w:pPr>
      <w:r>
        <w:t>(5)</w:t>
      </w:r>
      <w:r>
        <w:tab/>
        <w:t>Clause 5 — </w:t>
      </w:r>
    </w:p>
    <w:p>
      <w:pPr>
        <w:pStyle w:val="yMiscellaneousBody"/>
        <w:keepNext/>
        <w:tabs>
          <w:tab w:val="left" w:pos="567"/>
          <w:tab w:val="left" w:pos="1134"/>
        </w:tabs>
        <w:ind w:left="1134" w:hanging="1134"/>
      </w:pPr>
      <w:r>
        <w:tab/>
        <w:t>(a)</w:t>
      </w:r>
      <w:r>
        <w:tab/>
        <w:t>by deleting “Mining Act”, wherever it occurs, and substituting — </w:t>
      </w:r>
    </w:p>
    <w:p>
      <w:pPr>
        <w:pStyle w:val="yMiscellaneousBody"/>
        <w:keepNext/>
        <w:tabs>
          <w:tab w:val="left" w:pos="1134"/>
          <w:tab w:val="left" w:pos="1701"/>
        </w:tabs>
        <w:ind w:left="1701" w:hanging="1701"/>
      </w:pPr>
      <w:r>
        <w:tab/>
        <w:t>(i)</w:t>
      </w:r>
      <w:r>
        <w:tab/>
        <w:t>in the first three instances where it occurs “</w:t>
      </w:r>
      <w:r>
        <w:rPr>
          <w:i/>
        </w:rPr>
        <w:t>Mining Act 1904</w:t>
      </w:r>
      <w:r>
        <w:t>”; and</w:t>
      </w:r>
    </w:p>
    <w:p>
      <w:pPr>
        <w:pStyle w:val="yMiscellaneousBody"/>
        <w:tabs>
          <w:tab w:val="left" w:pos="1134"/>
          <w:tab w:val="left" w:pos="1701"/>
        </w:tabs>
        <w:ind w:left="1701" w:hanging="1701"/>
      </w:pPr>
      <w:r>
        <w:tab/>
        <w:t>(ii)</w:t>
      </w:r>
      <w:r>
        <w:tab/>
        <w:t>in the last instance where it occurs “</w:t>
      </w:r>
      <w:r>
        <w:rPr>
          <w:i/>
        </w:rPr>
        <w:t>Mining Act 1978</w:t>
      </w:r>
      <w:r>
        <w:t>”;</w:t>
      </w:r>
    </w:p>
    <w:p>
      <w:pPr>
        <w:pStyle w:val="yMiscellaneousBody"/>
        <w:tabs>
          <w:tab w:val="left" w:pos="567"/>
          <w:tab w:val="left" w:pos="1134"/>
        </w:tabs>
        <w:ind w:left="1134" w:hanging="1134"/>
      </w:pPr>
      <w:r>
        <w:tab/>
        <w:t>(b)</w:t>
      </w:r>
      <w:r>
        <w:tab/>
        <w:t>by deleting paragraph (a);</w:t>
      </w:r>
    </w:p>
    <w:p>
      <w:pPr>
        <w:pStyle w:val="yMiscellaneousBody"/>
        <w:tabs>
          <w:tab w:val="left" w:pos="567"/>
          <w:tab w:val="left" w:pos="1134"/>
        </w:tabs>
        <w:ind w:left="1134" w:hanging="1134"/>
      </w:pPr>
      <w:r>
        <w:tab/>
        <w:t>(c)</w:t>
      </w:r>
      <w:r>
        <w:tab/>
        <w:t>by deleting “Minister for Mines”, wherever it occurs, and substituting the following — </w:t>
      </w:r>
    </w:p>
    <w:p>
      <w:pPr>
        <w:pStyle w:val="yMiscellaneousBody"/>
        <w:tabs>
          <w:tab w:val="left" w:pos="1418"/>
        </w:tabs>
      </w:pPr>
      <w:r>
        <w:tab/>
        <w:t>“   Minister for Minerals and Energy   ”.</w:t>
      </w:r>
    </w:p>
    <w:p>
      <w:pPr>
        <w:pStyle w:val="yMiscellaneousBody"/>
        <w:tabs>
          <w:tab w:val="left" w:pos="567"/>
        </w:tabs>
        <w:ind w:left="567" w:hanging="567"/>
      </w:pPr>
      <w:r>
        <w:t>(6)</w:t>
      </w:r>
      <w:r>
        <w:tab/>
        <w:t>Clause 7 — </w:t>
      </w:r>
    </w:p>
    <w:p>
      <w:pPr>
        <w:pStyle w:val="yMiscellaneousBody"/>
        <w:tabs>
          <w:tab w:val="left" w:pos="567"/>
          <w:tab w:val="left" w:pos="1134"/>
        </w:tabs>
        <w:ind w:left="1134" w:hanging="1134"/>
      </w:pPr>
      <w:r>
        <w:tab/>
        <w:t>(a)</w:t>
      </w:r>
      <w:r>
        <w:tab/>
        <w:t>subclause (1) — </w:t>
      </w:r>
    </w:p>
    <w:p>
      <w:pPr>
        <w:pStyle w:val="yMiscellaneousBody"/>
        <w:tabs>
          <w:tab w:val="left" w:pos="567"/>
          <w:tab w:val="left" w:pos="1134"/>
        </w:tabs>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ind w:left="1701" w:hanging="1701"/>
      </w:pPr>
      <w:r>
        <w:tab/>
        <w:t>“   On or before 31st March, 1987 or such later date as the Minister may approve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701"/>
          <w:tab w:val="left" w:pos="1985"/>
        </w:tabs>
        <w:ind w:left="1985" w:hanging="1985"/>
      </w:pPr>
      <w:r>
        <w:tab/>
        <w:t>“</w:t>
      </w:r>
      <w:r>
        <w:tab/>
        <w:t>On or before 30th June, 1987 or such later date as the Minister may approve the Joint Venturers shall   ”;</w:t>
      </w:r>
    </w:p>
    <w:p>
      <w:pPr>
        <w:pStyle w:val="yMiscellaneousBody"/>
        <w:tabs>
          <w:tab w:val="left" w:pos="1134"/>
          <w:tab w:val="left" w:pos="1701"/>
        </w:tabs>
        <w:ind w:left="1701" w:hanging="1701"/>
      </w:pPr>
      <w:r>
        <w:tab/>
        <w:t>(ii)</w:t>
      </w:r>
      <w:r>
        <w:tab/>
        <w:t>by inserting after “protection”, where it first occurs, the following — </w:t>
      </w:r>
    </w:p>
    <w:p>
      <w:pPr>
        <w:pStyle w:val="yMiscellaneousBody"/>
        <w:tabs>
          <w:tab w:val="left" w:pos="1701"/>
          <w:tab w:val="left" w:pos="1985"/>
        </w:tabs>
        <w:ind w:left="1985" w:hanging="1985"/>
      </w:pPr>
      <w:r>
        <w:tab/>
      </w:r>
      <w:r>
        <w:tab/>
        <w:t>“</w:t>
      </w:r>
      <w:r>
        <w:tab/>
        <w:t>and management   ”;</w:t>
      </w:r>
    </w:p>
    <w:p>
      <w:pPr>
        <w:pStyle w:val="yMiscellaneousBody"/>
        <w:keepNext/>
        <w:tabs>
          <w:tab w:val="left" w:pos="1134"/>
          <w:tab w:val="left" w:pos="1701"/>
        </w:tabs>
        <w:ind w:left="1701" w:hanging="1701"/>
      </w:pPr>
      <w:r>
        <w:tab/>
        <w:t>(iii)</w:t>
      </w:r>
      <w:r>
        <w:tab/>
        <w:t>paragraph (d) — </w:t>
      </w:r>
    </w:p>
    <w:p>
      <w:pPr>
        <w:pStyle w:val="yMiscellaneousBody"/>
        <w:tabs>
          <w:tab w:val="left" w:pos="1701"/>
          <w:tab w:val="left" w:pos="1985"/>
        </w:tabs>
        <w:ind w:left="1985" w:hanging="1985"/>
      </w:pPr>
      <w:r>
        <w:tab/>
        <w:t>by inserting after “housing” the following — </w:t>
      </w:r>
    </w:p>
    <w:p>
      <w:pPr>
        <w:pStyle w:val="yMiscellaneousBody"/>
        <w:tabs>
          <w:tab w:val="left" w:pos="1985"/>
          <w:tab w:val="left" w:pos="2268"/>
        </w:tabs>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ind w:left="1134" w:hanging="1134"/>
      </w:pPr>
      <w:r>
        <w:tab/>
        <w:t>(c)</w:t>
      </w:r>
      <w:r>
        <w:tab/>
        <w:t>by inserting after subclause (2) the following subclause — </w:t>
      </w:r>
    </w:p>
    <w:p>
      <w:pPr>
        <w:pStyle w:val="yMiscellaneousBody"/>
        <w:tabs>
          <w:tab w:val="left" w:pos="1418"/>
          <w:tab w:val="left" w:pos="1701"/>
          <w:tab w:val="left" w:pos="2268"/>
        </w:tabs>
        <w:ind w:left="2268" w:hanging="2268"/>
      </w:pPr>
      <w:r>
        <w:tab/>
        <w:t>“</w:t>
      </w:r>
      <w:r>
        <w:tab/>
        <w:t>(2a)</w:t>
      </w:r>
      <w:r>
        <w:tab/>
        <w:t>The provisions of Clause 39 shall not apply to subclauses (1) and (2) of this Clause.   ”.</w:t>
      </w:r>
    </w:p>
    <w:p>
      <w:pPr>
        <w:pStyle w:val="yMiscellaneousBody"/>
        <w:tabs>
          <w:tab w:val="left" w:pos="567"/>
        </w:tabs>
        <w:ind w:left="567" w:hanging="567"/>
      </w:pPr>
      <w:r>
        <w:t>(7)</w:t>
      </w:r>
      <w:r>
        <w:tab/>
        <w:t>By inserting after Clause 9 the following clause — </w:t>
      </w:r>
    </w:p>
    <w:p>
      <w:pPr>
        <w:pStyle w:val="yMiscellaneousBody"/>
        <w:tabs>
          <w:tab w:val="left" w:pos="567"/>
          <w:tab w:val="left" w:pos="1134"/>
          <w:tab w:val="left" w:pos="1701"/>
        </w:tabs>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ind w:left="567" w:hanging="567"/>
      </w:pPr>
      <w:r>
        <w:t>(8)</w:t>
      </w:r>
      <w:r>
        <w:tab/>
        <w:t>Clause 10 — </w:t>
      </w:r>
    </w:p>
    <w:p>
      <w:pPr>
        <w:pStyle w:val="yMiscellaneousBody"/>
        <w:tabs>
          <w:tab w:val="left" w:pos="567"/>
        </w:tabs>
        <w:ind w:left="567" w:hanging="567"/>
      </w:pPr>
      <w:r>
        <w:tab/>
        <w:t>by inserting after paragraph (c) the following paragraph — </w:t>
      </w:r>
    </w:p>
    <w:p>
      <w:pPr>
        <w:pStyle w:val="yMiscellaneousBody"/>
        <w:tabs>
          <w:tab w:val="left" w:pos="851"/>
          <w:tab w:val="left" w:pos="1134"/>
          <w:tab w:val="left" w:pos="1701"/>
        </w:tabs>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ind w:left="567" w:hanging="567"/>
      </w:pPr>
      <w:r>
        <w:t>(9)</w:t>
      </w:r>
      <w:r>
        <w:tab/>
        <w:t>Clause 11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“mineral lease”, where it first occurs. and substituting the following — </w:t>
      </w:r>
    </w:p>
    <w:p>
      <w:pPr>
        <w:pStyle w:val="yMiscellaneousBody"/>
        <w:tabs>
          <w:tab w:val="left" w:pos="1985"/>
          <w:tab w:val="left" w:pos="2268"/>
        </w:tabs>
        <w:ind w:left="2268" w:hanging="2268"/>
      </w:pPr>
      <w:r>
        <w:tab/>
        <w:t>“</w:t>
      </w:r>
      <w:r>
        <w:tab/>
        <w:t>mining lease (the “mineral lease”)   ”;</w:t>
      </w:r>
    </w:p>
    <w:p>
      <w:pPr>
        <w:pStyle w:val="yMiscellaneousBody"/>
        <w:tabs>
          <w:tab w:val="left" w:pos="1134"/>
          <w:tab w:val="left" w:pos="1701"/>
        </w:tabs>
        <w:ind w:left="1701" w:hanging="1701"/>
      </w:pPr>
      <w:r>
        <w:tab/>
        <w:t>(ii)</w:t>
      </w:r>
      <w:r>
        <w:tab/>
        <w:t>by deleting paragraph (a);</w:t>
      </w:r>
    </w:p>
    <w:p>
      <w:pPr>
        <w:pStyle w:val="yMiscellaneousBody"/>
        <w:tabs>
          <w:tab w:val="left" w:pos="1134"/>
          <w:tab w:val="left" w:pos="1701"/>
        </w:tabs>
        <w:ind w:left="1701" w:hanging="1701"/>
      </w:pPr>
      <w:r>
        <w:tab/>
        <w:t>(iii)</w:t>
      </w:r>
      <w:r>
        <w:tab/>
        <w:t>by deleting in paragraph (f) “Mining Act” and substituting the following — </w:t>
      </w:r>
    </w:p>
    <w:p>
      <w:pPr>
        <w:pStyle w:val="yMiscellaneousBody"/>
        <w:tabs>
          <w:tab w:val="left" w:pos="1985"/>
          <w:tab w:val="left" w:pos="2268"/>
        </w:tabs>
        <w:ind w:left="2268" w:hanging="2268"/>
      </w:pPr>
      <w:r>
        <w:tab/>
        <w:t>“</w:t>
      </w:r>
      <w:r>
        <w:tab/>
      </w:r>
      <w:r>
        <w:rPr>
          <w:i/>
        </w:rPr>
        <w:t>Mining Act 1978</w:t>
      </w:r>
      <w:r>
        <w:t xml:space="preserve">   ”;</w:t>
      </w:r>
    </w:p>
    <w:p>
      <w:pPr>
        <w:pStyle w:val="yMiscellaneousBody"/>
        <w:keepNext/>
        <w:tabs>
          <w:tab w:val="left" w:pos="1134"/>
          <w:tab w:val="left" w:pos="1701"/>
        </w:tabs>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ind w:left="2268" w:hanging="2268"/>
      </w:pPr>
      <w:r>
        <w:tab/>
        <w:t>“</w:t>
      </w:r>
      <w:r>
        <w:tab/>
        <w:t>the expenditure conditions imposed by the said Act in respect of mining leases   ”;</w:t>
      </w:r>
    </w:p>
    <w:p>
      <w:pPr>
        <w:pStyle w:val="yMiscellaneousBody"/>
        <w:keepNext/>
        <w:tabs>
          <w:tab w:val="left" w:pos="567"/>
          <w:tab w:val="left" w:pos="1134"/>
        </w:tabs>
        <w:ind w:left="1134" w:hanging="1134"/>
      </w:pPr>
      <w:r>
        <w:tab/>
        <w:t>(b)</w:t>
      </w:r>
      <w:r>
        <w:tab/>
        <w:t>subclause (2) — </w:t>
      </w:r>
    </w:p>
    <w:p>
      <w:pPr>
        <w:pStyle w:val="yMiscellaneousBody"/>
        <w:tabs>
          <w:tab w:val="left" w:pos="1134"/>
        </w:tabs>
        <w:ind w:left="1134" w:hanging="1134"/>
      </w:pPr>
      <w:r>
        <w:tab/>
        <w:t>by deleting “Minister for Mines” and substituting the following — </w:t>
      </w:r>
    </w:p>
    <w:p>
      <w:pPr>
        <w:pStyle w:val="yMiscellaneousBody"/>
        <w:tabs>
          <w:tab w:val="left" w:pos="1418"/>
          <w:tab w:val="left" w:pos="1701"/>
        </w:tabs>
        <w:ind w:left="1701" w:hanging="1701"/>
      </w:pPr>
      <w:r>
        <w:tab/>
        <w:t>“</w:t>
      </w:r>
      <w:r>
        <w:tab/>
        <w:t>Minister for Minerals and Energy   ”;</w:t>
      </w:r>
    </w:p>
    <w:p>
      <w:pPr>
        <w:pStyle w:val="yMiscellaneousBody"/>
        <w:tabs>
          <w:tab w:val="left" w:pos="567"/>
          <w:tab w:val="left" w:pos="1134"/>
        </w:tabs>
        <w:ind w:left="1134" w:hanging="1134"/>
      </w:pPr>
      <w:r>
        <w:tab/>
        <w:t>(c)</w:t>
      </w:r>
      <w:r>
        <w:tab/>
        <w:t>subclause (6) — </w:t>
      </w:r>
    </w:p>
    <w:p>
      <w:pPr>
        <w:pStyle w:val="yMiscellaneousBody"/>
        <w:tabs>
          <w:tab w:val="left" w:pos="1134"/>
          <w:tab w:val="left" w:pos="1701"/>
        </w:tabs>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ind w:left="1701" w:hanging="1701"/>
      </w:pPr>
      <w:r>
        <w:tab/>
        <w:t>(ii)</w:t>
      </w:r>
      <w:r>
        <w:tab/>
        <w:t>by inserting at the end of the subclause the following — </w:t>
      </w:r>
    </w:p>
    <w:p>
      <w:pPr>
        <w:pStyle w:val="yMiscellaneousBody"/>
        <w:tabs>
          <w:tab w:val="left" w:pos="1985"/>
          <w:tab w:val="left" w:pos="2268"/>
        </w:tabs>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ind w:left="1134" w:hanging="1134"/>
      </w:pPr>
      <w:r>
        <w:tab/>
        <w:t>(d)</w:t>
      </w:r>
      <w:r>
        <w:tab/>
        <w:t>by inserting after subclause (7) the following subclause — </w:t>
      </w:r>
    </w:p>
    <w:p>
      <w:pPr>
        <w:pStyle w:val="yMiscellaneousBody"/>
        <w:tabs>
          <w:tab w:val="left" w:pos="1134"/>
          <w:tab w:val="left" w:pos="1418"/>
          <w:tab w:val="left" w:pos="1985"/>
        </w:tabs>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ind w:left="567" w:hanging="567"/>
      </w:pPr>
      <w:r>
        <w:t>(10)</w:t>
      </w:r>
      <w:r>
        <w:tab/>
        <w:t>By inserting after Clause 11 the following clause — </w:t>
      </w:r>
    </w:p>
    <w:p>
      <w:pPr>
        <w:pStyle w:val="yMiscellaneousBody"/>
        <w:tabs>
          <w:tab w:val="left" w:pos="567"/>
          <w:tab w:val="left" w:pos="1418"/>
        </w:tabs>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ind w:left="567" w:hanging="567"/>
      </w:pPr>
      <w:r>
        <w:t>(11)</w:t>
      </w:r>
      <w:r>
        <w:tab/>
        <w:t>Clause 13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“such other leases of” and substituting the following — </w:t>
      </w:r>
    </w:p>
    <w:p>
      <w:pPr>
        <w:pStyle w:val="yMiscellaneousBody"/>
        <w:tabs>
          <w:tab w:val="left" w:pos="1985"/>
          <w:tab w:val="left" w:pos="2268"/>
        </w:tabs>
        <w:ind w:left="2268" w:hanging="2410"/>
      </w:pPr>
      <w:r>
        <w:tab/>
        <w:t>“</w:t>
      </w:r>
      <w:r>
        <w:tab/>
        <w:t>such other leases or where applicable licences easements or rights of way of or over   ”;</w:t>
      </w:r>
    </w:p>
    <w:p>
      <w:pPr>
        <w:pStyle w:val="yMiscellaneousBody"/>
        <w:tabs>
          <w:tab w:val="left" w:pos="1134"/>
          <w:tab w:val="left" w:pos="1701"/>
        </w:tabs>
        <w:ind w:left="1701" w:hanging="1701"/>
      </w:pPr>
      <w:r>
        <w:tab/>
        <w:t>(ii)</w:t>
      </w:r>
      <w:r>
        <w:tab/>
        <w:t>by inserting after “Such leases” the following — </w:t>
      </w:r>
    </w:p>
    <w:p>
      <w:pPr>
        <w:pStyle w:val="yMiscellaneousBody"/>
        <w:tabs>
          <w:tab w:val="left" w:pos="1985"/>
          <w:tab w:val="left" w:pos="2268"/>
        </w:tabs>
        <w:ind w:left="2268" w:hanging="2410"/>
      </w:pPr>
      <w:r>
        <w:tab/>
        <w:t>“</w:t>
      </w:r>
      <w:r>
        <w:tab/>
        <w:t>licences easements and rights of way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paragraph (a);</w:t>
      </w:r>
    </w:p>
    <w:p>
      <w:pPr>
        <w:pStyle w:val="yMiscellaneousBody"/>
        <w:tabs>
          <w:tab w:val="left" w:pos="1134"/>
          <w:tab w:val="left" w:pos="1701"/>
        </w:tabs>
        <w:ind w:left="1701" w:hanging="1701"/>
      </w:pPr>
      <w:r>
        <w:tab/>
        <w:t>(ii)</w:t>
      </w:r>
      <w:r>
        <w:tab/>
        <w:t>paragraph (c) — </w:t>
      </w:r>
    </w:p>
    <w:p>
      <w:pPr>
        <w:pStyle w:val="yMiscellaneousBody"/>
        <w:tabs>
          <w:tab w:val="left" w:pos="1701"/>
          <w:tab w:val="left" w:pos="2268"/>
        </w:tabs>
        <w:ind w:left="2268" w:hanging="2268"/>
      </w:pPr>
      <w:r>
        <w:tab/>
        <w:t>(A)</w:t>
      </w:r>
      <w:r>
        <w:tab/>
        <w:t>by deleting “either of paragraphs (a) or (b)” and substituting the following — </w:t>
      </w:r>
    </w:p>
    <w:p>
      <w:pPr>
        <w:pStyle w:val="yMiscellaneousBody"/>
        <w:tabs>
          <w:tab w:val="left" w:pos="2268"/>
          <w:tab w:val="left" w:pos="2552"/>
        </w:tabs>
        <w:ind w:left="2552" w:hanging="2552"/>
      </w:pPr>
      <w:r>
        <w:tab/>
        <w:t>“</w:t>
      </w:r>
      <w:r>
        <w:tab/>
        <w:t>paragraph (b)   ”;</w:t>
      </w:r>
    </w:p>
    <w:p>
      <w:pPr>
        <w:pStyle w:val="yMiscellaneousBody"/>
        <w:tabs>
          <w:tab w:val="left" w:pos="1701"/>
          <w:tab w:val="left" w:pos="2268"/>
        </w:tabs>
        <w:ind w:left="2268" w:hanging="2268"/>
      </w:pPr>
      <w:r>
        <w:tab/>
        <w:t>(B)</w:t>
      </w:r>
      <w:r>
        <w:tab/>
        <w:t>by deleting “sold and shipped” and substituting the following — </w:t>
      </w:r>
    </w:p>
    <w:p>
      <w:pPr>
        <w:pStyle w:val="yMiscellaneousBody"/>
        <w:tabs>
          <w:tab w:val="left" w:pos="2268"/>
          <w:tab w:val="left" w:pos="2552"/>
        </w:tabs>
        <w:ind w:left="2552" w:hanging="2552"/>
      </w:pPr>
      <w:r>
        <w:tab/>
        <w:t>“</w:t>
      </w:r>
      <w:r>
        <w:tab/>
        <w:t>shipped sold used or produced   ”.</w:t>
      </w:r>
    </w:p>
    <w:p>
      <w:pPr>
        <w:pStyle w:val="yMiscellaneousBody"/>
        <w:tabs>
          <w:tab w:val="left" w:pos="567"/>
        </w:tabs>
        <w:ind w:left="567" w:hanging="567"/>
      </w:pPr>
      <w:r>
        <w:t>(12)</w:t>
      </w:r>
      <w:r>
        <w:tab/>
        <w:t>Clause 18 — </w:t>
      </w:r>
    </w:p>
    <w:p>
      <w:pPr>
        <w:pStyle w:val="yMiscellaneousBody"/>
        <w:tabs>
          <w:tab w:val="left" w:pos="567"/>
          <w:tab w:val="left" w:pos="1134"/>
        </w:tabs>
        <w:ind w:left="1134" w:hanging="1134"/>
      </w:pPr>
      <w:r>
        <w:tab/>
        <w:t>(a)</w:t>
      </w:r>
      <w:r>
        <w:tab/>
        <w:t>by deleting “four years” and substituting the following — </w:t>
      </w:r>
    </w:p>
    <w:p>
      <w:pPr>
        <w:pStyle w:val="yMiscellaneousBody"/>
        <w:tabs>
          <w:tab w:val="left" w:pos="1134"/>
          <w:tab w:val="left" w:pos="1418"/>
        </w:tabs>
        <w:ind w:left="1418" w:hanging="1418"/>
      </w:pPr>
      <w:r>
        <w:tab/>
        <w:t>“</w:t>
      </w:r>
      <w:r>
        <w:tab/>
        <w:t>two years   ”;</w:t>
      </w:r>
    </w:p>
    <w:p>
      <w:pPr>
        <w:pStyle w:val="yMiscellaneousBody"/>
        <w:tabs>
          <w:tab w:val="left" w:pos="567"/>
          <w:tab w:val="left" w:pos="1134"/>
        </w:tabs>
        <w:ind w:left="1134" w:hanging="1134"/>
      </w:pPr>
      <w:r>
        <w:tab/>
        <w:t>(b)</w:t>
      </w:r>
      <w:r>
        <w:tab/>
        <w:t>by deleting “at a cost of not less than sixty million dollars”;</w:t>
      </w:r>
    </w:p>
    <w:p>
      <w:pPr>
        <w:pStyle w:val="yMiscellaneousBody"/>
        <w:keepNext/>
        <w:tabs>
          <w:tab w:val="left" w:pos="567"/>
          <w:tab w:val="left" w:pos="1134"/>
        </w:tabs>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ind w:left="1418" w:hanging="1418"/>
      </w:pPr>
      <w:r>
        <w:tab/>
        <w:t>“</w:t>
      </w:r>
      <w:r>
        <w:tab/>
        <w:t>to ship therefrom in commercial quantities at an annual rate of not less than three million tonnes   ”;</w:t>
      </w:r>
    </w:p>
    <w:p>
      <w:pPr>
        <w:pStyle w:val="yMiscellaneousBody"/>
        <w:tabs>
          <w:tab w:val="left" w:pos="567"/>
          <w:tab w:val="left" w:pos="1134"/>
        </w:tabs>
        <w:ind w:left="1134" w:hanging="1134"/>
      </w:pPr>
      <w:r>
        <w:tab/>
        <w:t>(d)</w:t>
      </w:r>
      <w:r>
        <w:tab/>
        <w:t>by deleting paragraph (a).</w:t>
      </w:r>
    </w:p>
    <w:p>
      <w:pPr>
        <w:pStyle w:val="yMiscellaneousBody"/>
        <w:keepNext/>
        <w:tabs>
          <w:tab w:val="left" w:pos="567"/>
        </w:tabs>
        <w:ind w:left="567" w:hanging="567"/>
      </w:pPr>
      <w:r>
        <w:t>(13)</w:t>
      </w:r>
      <w:r>
        <w:tab/>
        <w:t>Clause 19 — </w:t>
      </w:r>
    </w:p>
    <w:p>
      <w:pPr>
        <w:pStyle w:val="yMiscellaneousBody"/>
        <w:tabs>
          <w:tab w:val="left" w:pos="567"/>
          <w:tab w:val="left" w:pos="1134"/>
        </w:tabs>
        <w:ind w:left="1134" w:hanging="1134"/>
      </w:pPr>
      <w:r>
        <w:tab/>
        <w:t>(a)</w:t>
      </w:r>
      <w:r>
        <w:tab/>
        <w:t>by inserting after subclause (2) the following subclause — </w:t>
      </w:r>
    </w:p>
    <w:p>
      <w:pPr>
        <w:pStyle w:val="yMiscellaneousBody"/>
        <w:tabs>
          <w:tab w:val="left" w:pos="1134"/>
          <w:tab w:val="left" w:pos="1418"/>
          <w:tab w:val="left" w:pos="1985"/>
        </w:tabs>
        <w:ind w:left="1985" w:hanging="1985"/>
      </w:pPr>
      <w:r>
        <w:tab/>
        <w:t>“</w:t>
      </w:r>
      <w:r>
        <w:tab/>
        <w:t>(2a)</w:t>
      </w:r>
      <w:r>
        <w:tab/>
      </w:r>
      <w:r>
        <w:rPr>
          <w:spacing w:val="-3"/>
        </w:rPr>
        <w:t>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for the carriage of iron ore or iron ore products of third parties made pursuant to any other agreement with the State relating to the mining of iron ore.   ”;</w:t>
      </w:r>
    </w:p>
    <w:p>
      <w:pPr>
        <w:pStyle w:val="yMiscellaneousBody"/>
        <w:tabs>
          <w:tab w:val="left" w:pos="567"/>
          <w:tab w:val="left" w:pos="1134"/>
        </w:tabs>
        <w:ind w:left="1134" w:hanging="1134"/>
      </w:pPr>
      <w:r>
        <w:tab/>
        <w:t>(b)</w:t>
      </w:r>
      <w:r>
        <w:tab/>
        <w:t>subclause (3) — </w:t>
      </w:r>
    </w:p>
    <w:p>
      <w:pPr>
        <w:pStyle w:val="yMiscellaneousBody"/>
        <w:tabs>
          <w:tab w:val="left" w:pos="567"/>
          <w:tab w:val="left" w:pos="1134"/>
        </w:tabs>
        <w:ind w:left="1134" w:hanging="1134"/>
      </w:pPr>
      <w:r>
        <w:tab/>
      </w:r>
      <w:r>
        <w:tab/>
        <w:t>by inserting after “third parties” the following — </w:t>
      </w:r>
    </w:p>
    <w:p>
      <w:pPr>
        <w:pStyle w:val="yMiscellaneousBody"/>
        <w:tabs>
          <w:tab w:val="left" w:pos="1134"/>
          <w:tab w:val="left" w:pos="1418"/>
        </w:tabs>
        <w:ind w:left="1418" w:hanging="1418"/>
      </w:pPr>
      <w:r>
        <w:tab/>
        <w:t>“</w:t>
      </w:r>
      <w:r>
        <w:tab/>
        <w:t>(other than iron ore or iron ore products of third parties)   ”;</w:t>
      </w:r>
    </w:p>
    <w:p>
      <w:pPr>
        <w:pStyle w:val="yMiscellaneousBody"/>
        <w:tabs>
          <w:tab w:val="left" w:pos="567"/>
          <w:tab w:val="left" w:pos="1134"/>
        </w:tabs>
        <w:ind w:left="1134" w:hanging="1134"/>
      </w:pPr>
      <w:r>
        <w:tab/>
        <w:t>(c)</w:t>
      </w:r>
      <w:r>
        <w:tab/>
        <w:t>by inserting after subclause (3) the following subclause — </w:t>
      </w:r>
    </w:p>
    <w:p>
      <w:pPr>
        <w:pStyle w:val="yMiscellaneousBody"/>
        <w:tabs>
          <w:tab w:val="left" w:pos="1134"/>
          <w:tab w:val="left" w:pos="1418"/>
          <w:tab w:val="left" w:pos="1985"/>
        </w:tabs>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tabs>
          <w:tab w:val="left" w:pos="567"/>
        </w:tabs>
        <w:ind w:left="567" w:hanging="567"/>
      </w:pPr>
      <w:r>
        <w:t>(14)</w:t>
      </w:r>
      <w:r>
        <w:tab/>
        <w:t>Clause 21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s>
        <w:spacing w:before="100"/>
      </w:pPr>
      <w:r>
        <w:tab/>
        <w:t>by inserting after “notice” the following — </w:t>
      </w:r>
    </w:p>
    <w:p>
      <w:pPr>
        <w:pStyle w:val="yMiscellaneousBody"/>
        <w:tabs>
          <w:tab w:val="left" w:pos="1134"/>
          <w:tab w:val="left" w:pos="1418"/>
        </w:tabs>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0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tabs>
          <w:tab w:val="left" w:pos="567"/>
          <w:tab w:val="left" w:pos="1134"/>
        </w:tabs>
        <w:ind w:left="1134" w:hanging="1134"/>
      </w:pPr>
      <w:r>
        <w:tab/>
        <w:t>(b)</w:t>
      </w:r>
      <w:r>
        <w:tab/>
        <w:t>subclause (3) — </w:t>
      </w:r>
    </w:p>
    <w:p>
      <w:pPr>
        <w:pStyle w:val="yMiscellaneousBody"/>
        <w:tabs>
          <w:tab w:val="left" w:pos="1134"/>
          <w:tab w:val="left" w:pos="1701"/>
        </w:tabs>
        <w:ind w:left="1701" w:hanging="1701"/>
      </w:pPr>
      <w:r>
        <w:tab/>
        <w:t>(i)</w:t>
      </w:r>
      <w:r>
        <w:tab/>
        <w:t>by inserting after “facilities so acquired”, where it first occurs, the following — </w:t>
      </w:r>
    </w:p>
    <w:p>
      <w:pPr>
        <w:pStyle w:val="yMiscellaneousBody"/>
        <w:tabs>
          <w:tab w:val="left" w:pos="1701"/>
          <w:tab w:val="left" w:pos="1985"/>
        </w:tabs>
        <w:ind w:left="1985" w:hanging="1985"/>
      </w:pPr>
      <w:r>
        <w:tab/>
        <w:t>“</w:t>
      </w:r>
      <w:r>
        <w:tab/>
        <w:t>at levels of supply from time to time agreed between the State and the Company   ”;</w:t>
      </w:r>
    </w:p>
    <w:p>
      <w:pPr>
        <w:pStyle w:val="yMiscellaneousBody"/>
        <w:tabs>
          <w:tab w:val="left" w:pos="1134"/>
          <w:tab w:val="left" w:pos="1701"/>
        </w:tabs>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00"/>
        <w:ind w:left="1134" w:hanging="1134"/>
      </w:pPr>
      <w:r>
        <w:tab/>
        <w:t>by deleting subclause (4) and substituting the following subclause — </w:t>
      </w:r>
    </w:p>
    <w:p>
      <w:pPr>
        <w:pStyle w:val="yMiscellaneousBody"/>
        <w:tabs>
          <w:tab w:val="left" w:pos="1134"/>
          <w:tab w:val="left" w:pos="1418"/>
          <w:tab w:val="left" w:pos="1985"/>
        </w:tabs>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tabs>
          <w:tab w:val="left" w:pos="567"/>
          <w:tab w:val="left" w:pos="1134"/>
        </w:tabs>
        <w:spacing w:before="120"/>
        <w:ind w:left="1134" w:hanging="1134"/>
      </w:pPr>
      <w:r>
        <w:tab/>
        <w:t>(d)</w:t>
      </w:r>
      <w:r>
        <w:tab/>
        <w:t>subclause (5) — </w:t>
      </w:r>
    </w:p>
    <w:p>
      <w:pPr>
        <w:pStyle w:val="yMiscellaneousBody"/>
        <w:tabs>
          <w:tab w:val="left" w:pos="1134"/>
        </w:tabs>
        <w:spacing w:before="10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00"/>
        <w:ind w:left="1418" w:hanging="1418"/>
      </w:pPr>
      <w:r>
        <w:tab/>
        <w:t>“</w:t>
      </w:r>
      <w:r>
        <w:tab/>
        <w:t>on terms and conditions to be negotiated between the Commission and the Joint Venturers   ”;</w:t>
      </w:r>
    </w:p>
    <w:p>
      <w:pPr>
        <w:pStyle w:val="yMiscellaneousBody"/>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0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ind w:left="567" w:hanging="567"/>
      </w:pPr>
      <w:r>
        <w:t>(16)</w:t>
      </w:r>
      <w:r>
        <w:tab/>
        <w:t>Clause 25 — </w:t>
      </w:r>
    </w:p>
    <w:p>
      <w:pPr>
        <w:pStyle w:val="yMiscellaneousBody"/>
        <w:tabs>
          <w:tab w:val="left" w:pos="567"/>
          <w:tab w:val="left" w:pos="1134"/>
        </w:tabs>
        <w:ind w:left="1134" w:hanging="1134"/>
      </w:pPr>
      <w:r>
        <w:tab/>
        <w:t>(a)</w:t>
      </w:r>
      <w:r>
        <w:tab/>
        <w:t>subclause (1)(a) — </w:t>
      </w:r>
    </w:p>
    <w:p>
      <w:pPr>
        <w:pStyle w:val="yMiscellaneousBody"/>
        <w:tabs>
          <w:tab w:val="left" w:pos="1134"/>
        </w:tabs>
        <w:ind w:left="1134" w:hanging="1134"/>
      </w:pPr>
      <w:r>
        <w:tab/>
        <w:t>by inserting in subparagraph (i) after “under this Agreement” the following — </w:t>
      </w:r>
    </w:p>
    <w:p>
      <w:pPr>
        <w:pStyle w:val="yMiscellaneousBody"/>
        <w:tabs>
          <w:tab w:val="left" w:pos="1418"/>
          <w:tab w:val="left" w:pos="1701"/>
        </w:tabs>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ind w:left="1134" w:hanging="1134"/>
      </w:pPr>
      <w:r>
        <w:tab/>
        <w:t>(b)</w:t>
      </w:r>
      <w:r>
        <w:tab/>
        <w:t>subclause (4) — </w:t>
      </w:r>
    </w:p>
    <w:p>
      <w:pPr>
        <w:pStyle w:val="yMiscellaneousBody"/>
        <w:keepNext/>
        <w:tabs>
          <w:tab w:val="left" w:pos="1134"/>
        </w:tabs>
        <w:ind w:left="1134" w:hanging="1134"/>
      </w:pPr>
      <w:r>
        <w:tab/>
        <w:t>by inserting after “Joint Venturers’ operations” the following —</w:t>
      </w:r>
    </w:p>
    <w:p>
      <w:pPr>
        <w:pStyle w:val="yMiscellaneousBody"/>
        <w:keepNext/>
        <w:tabs>
          <w:tab w:val="left" w:pos="1418"/>
          <w:tab w:val="left" w:pos="1701"/>
        </w:tabs>
        <w:ind w:left="1701" w:hanging="1701"/>
      </w:pPr>
      <w:r>
        <w:tab/>
        <w:t>“</w:t>
      </w:r>
      <w:r>
        <w:tab/>
        <w:t>or connected wholly or partly with any railway or port operations carried on for or on behalf of the Joint Venturers   ”.</w:t>
      </w:r>
    </w:p>
    <w:p>
      <w:pPr>
        <w:pStyle w:val="yMiscellaneousBody"/>
        <w:tabs>
          <w:tab w:val="left" w:pos="567"/>
        </w:tabs>
        <w:ind w:left="567" w:hanging="567"/>
      </w:pPr>
      <w:r>
        <w:t>(17)</w:t>
      </w:r>
      <w:r>
        <w:tab/>
        <w:t>Clause 29 — </w:t>
      </w:r>
    </w:p>
    <w:p>
      <w:pPr>
        <w:pStyle w:val="yMiscellaneousBody"/>
        <w:tabs>
          <w:tab w:val="left" w:pos="567"/>
        </w:tabs>
      </w:pPr>
      <w:r>
        <w:tab/>
        <w:t>by deleting Clause 29 and substituting the following clause — </w:t>
      </w:r>
    </w:p>
    <w:p>
      <w:pPr>
        <w:pStyle w:val="yMiscellaneousBody"/>
        <w:tabs>
          <w:tab w:val="left" w:pos="851"/>
          <w:tab w:val="left" w:pos="1134"/>
          <w:tab w:val="left" w:pos="1701"/>
          <w:tab w:val="left" w:pos="2268"/>
        </w:tabs>
        <w:ind w:left="2268" w:hanging="2268"/>
      </w:pPr>
      <w:r>
        <w:tab/>
        <w:t>“</w:t>
      </w:r>
      <w:r>
        <w:tab/>
        <w:t>29.</w:t>
      </w:r>
      <w:r>
        <w:tab/>
        <w:t>(1)</w:t>
      </w:r>
      <w:r>
        <w:tab/>
        <w:t>The Joint Venturers shall, for the purposes of this Agreement — </w:t>
      </w:r>
    </w:p>
    <w:p>
      <w:pPr>
        <w:pStyle w:val="yMiscellaneousBody"/>
        <w:tabs>
          <w:tab w:val="left" w:pos="2268"/>
          <w:tab w:val="left" w:pos="2835"/>
        </w:tabs>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tabs>
          <w:tab w:val="left" w:pos="567"/>
        </w:tabs>
      </w:pPr>
      <w:r>
        <w:t>(18)</w:t>
      </w:r>
      <w:r>
        <w:tab/>
        <w:t>Clause 31 — </w:t>
      </w:r>
    </w:p>
    <w:p>
      <w:pPr>
        <w:pStyle w:val="yMiscellaneousBody"/>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tabs>
          <w:tab w:val="left" w:pos="567"/>
          <w:tab w:val="left" w:pos="1134"/>
        </w:tabs>
        <w:ind w:left="1134" w:hanging="1134"/>
      </w:pPr>
      <w:r>
        <w:tab/>
        <w:t>(c)</w:t>
      </w:r>
      <w:r>
        <w:tab/>
        <w:t>subclause (3) — </w:t>
      </w:r>
    </w:p>
    <w:p>
      <w:pPr>
        <w:pStyle w:val="yMiscellaneousBody"/>
        <w:tabs>
          <w:tab w:val="left" w:pos="567"/>
          <w:tab w:val="left" w:pos="1134"/>
        </w:tabs>
        <w:ind w:left="1134" w:hanging="1134"/>
      </w:pPr>
      <w:r>
        <w:tab/>
      </w:r>
      <w:r>
        <w:tab/>
        <w:t>by deleting subclause (3) and substituting the following subclause — </w:t>
      </w:r>
    </w:p>
    <w:p>
      <w:pPr>
        <w:pStyle w:val="yMiscellaneousBody"/>
        <w:tabs>
          <w:tab w:val="left" w:pos="1134"/>
          <w:tab w:val="left" w:pos="1701"/>
          <w:tab w:val="left" w:pos="2268"/>
        </w:tabs>
        <w:ind w:left="2268" w:hanging="2268"/>
      </w:pPr>
      <w:r>
        <w:tab/>
        <w:t>“(3)</w:t>
      </w:r>
      <w:r>
        <w:tab/>
        <w:t>(a)</w:t>
      </w:r>
      <w:r>
        <w:tab/>
        <w:t>The Joint Venturers shall permit the Minister for Minerals and Energy or his nominee — </w:t>
      </w:r>
    </w:p>
    <w:p>
      <w:pPr>
        <w:pStyle w:val="yMiscellaneousBody"/>
        <w:tabs>
          <w:tab w:val="left" w:pos="2268"/>
          <w:tab w:val="left" w:pos="2835"/>
        </w:tabs>
        <w:ind w:left="2835" w:hanging="2835"/>
      </w:pPr>
      <w:r>
        <w:tab/>
        <w:t>(i)</w:t>
      </w:r>
      <w:r>
        <w:tab/>
        <w:t>at all reasonable times — </w:t>
      </w:r>
    </w:p>
    <w:p>
      <w:pPr>
        <w:pStyle w:val="yMiscellaneousBody"/>
        <w:tabs>
          <w:tab w:val="left" w:pos="2835"/>
          <w:tab w:val="left" w:pos="3402"/>
        </w:tabs>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pPr>
      <w:r>
        <w:t>(19)</w:t>
      </w:r>
      <w:r>
        <w:tab/>
        <w:t>Clause 34 — </w:t>
      </w:r>
    </w:p>
    <w:p>
      <w:pPr>
        <w:pStyle w:val="yMiscellaneousBody"/>
        <w:tabs>
          <w:tab w:val="left" w:pos="567"/>
        </w:tabs>
      </w:pPr>
      <w:r>
        <w:tab/>
        <w:t>subclause (3) — </w:t>
      </w:r>
    </w:p>
    <w:p>
      <w:pPr>
        <w:pStyle w:val="yMiscellaneousBody"/>
        <w:tabs>
          <w:tab w:val="left" w:pos="567"/>
        </w:tabs>
      </w:pPr>
      <w:r>
        <w:tab/>
        <w:t>by deleting subclause (3) and substituting the following subclause — </w:t>
      </w:r>
    </w:p>
    <w:p>
      <w:pPr>
        <w:pStyle w:val="yMiscellaneousBody"/>
        <w:tabs>
          <w:tab w:val="left" w:pos="567"/>
          <w:tab w:val="left" w:pos="851"/>
          <w:tab w:val="left" w:pos="1418"/>
        </w:tabs>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Pr>
      <w:r>
        <w:t>“</w:t>
      </w:r>
    </w:p>
    <w:p>
      <w:pPr>
        <w:pStyle w:val="yMiscellaneousBody"/>
        <w:spacing w:before="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ORE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ind w:left="567"/>
        <w:rPr>
          <w:spacing w:val="-4"/>
        </w:rPr>
      </w:pPr>
      <w:r>
        <w:rPr>
          <w:spacing w:val="-4"/>
        </w:rPr>
        <w:t>and PROVIDED FURTHER that this lease and any renewal thereof shall not be determined or forfeited otherwise than in accordance with the Agreement.</w:t>
      </w:r>
    </w:p>
    <w:p>
      <w:pPr>
        <w:pStyle w:val="yMiscellaneousBody"/>
        <w:keepNext/>
        <w:ind w:left="567"/>
      </w:pPr>
      <w:r>
        <w:t>In this lease — </w:t>
      </w:r>
    </w:p>
    <w:p>
      <w:pPr>
        <w:pStyle w:val="yMiscellaneousBody"/>
        <w:tabs>
          <w:tab w:val="left" w:pos="567"/>
          <w:tab w:val="left" w:pos="1134"/>
        </w:tabs>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ind w:left="1134" w:hanging="1134"/>
      </w:pPr>
      <w:r>
        <w:tab/>
        <w:t>—</w:t>
      </w:r>
      <w:r>
        <w:tab/>
        <w:t>If the Lessee be more than one the liability of the Lessee hereunder shall be joint and several.</w:t>
      </w:r>
    </w:p>
    <w:p>
      <w:pPr>
        <w:pStyle w:val="yMiscellaneousBody"/>
        <w:tabs>
          <w:tab w:val="left" w:pos="567"/>
          <w:tab w:val="left" w:pos="1134"/>
        </w:tabs>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left="567"/>
        <w:jc w:val="center"/>
      </w:pPr>
      <w:r>
        <w:t>FIRST SCHEDULE</w:t>
      </w:r>
    </w:p>
    <w:p>
      <w:pPr>
        <w:pStyle w:val="yMiscellaneousBody"/>
        <w:ind w:left="567"/>
      </w:pPr>
      <w:r>
        <w:t>HANCOCK MINING LIMITED a company incorporated in Western Australia and having its registered office at 1st Floor, 49 Stirling Highway, Nedlands.</w:t>
      </w:r>
    </w:p>
    <w:p>
      <w:pPr>
        <w:pStyle w:val="yMiscellaneousBody"/>
        <w:ind w:left="567"/>
        <w:jc w:val="center"/>
      </w:pPr>
      <w:r>
        <w:t>SECOND SCHEDULE</w:t>
      </w:r>
    </w:p>
    <w:p>
      <w:pPr>
        <w:pStyle w:val="yMiscellaneousBody"/>
        <w:ind w:left="567"/>
      </w:pPr>
      <w:r>
        <w:t xml:space="preserve">The Agreement authorized by the </w:t>
      </w:r>
      <w:r>
        <w:rPr>
          <w:i/>
        </w:rPr>
        <w:t>Iron Ore (McCamey’s Monster) Agreement Authorization Act 1972</w:t>
      </w:r>
      <w:r>
        <w:t xml:space="preserve"> including any amendments to that Agreement.</w:t>
      </w:r>
    </w:p>
    <w:p>
      <w:pPr>
        <w:pStyle w:val="yMiscellaneousBody"/>
        <w:ind w:left="567"/>
        <w:jc w:val="center"/>
      </w:pPr>
      <w:r>
        <w:t>THIRD SCHEDULE</w:t>
      </w:r>
    </w:p>
    <w:p>
      <w:pPr>
        <w:pStyle w:val="yMiscellaneousBody"/>
        <w:ind w:left="567"/>
      </w:pPr>
      <w:r>
        <w:t>(Description of land)</w:t>
      </w:r>
    </w:p>
    <w:p>
      <w:pPr>
        <w:pStyle w:val="yMiscellaneousBody"/>
        <w:ind w:left="567"/>
      </w:pPr>
      <w:r>
        <w:t>Locality:</w:t>
      </w:r>
    </w:p>
    <w:p>
      <w:pPr>
        <w:pStyle w:val="yMiscellaneousBody"/>
        <w:ind w:left="567"/>
      </w:pPr>
      <w:r>
        <w:t>Mineral Field:                          Area, etc:</w:t>
      </w:r>
    </w:p>
    <w:p>
      <w:pPr>
        <w:pStyle w:val="yMiscellaneousBody"/>
        <w:ind w:left="567"/>
      </w:pPr>
      <w:r>
        <w:t>Being the land delineated on Original Plan(s) No.           and recorded in the Department of Mines, Perth.</w:t>
      </w:r>
    </w:p>
    <w:p>
      <w:pPr>
        <w:pStyle w:val="yMiscellaneousBody"/>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280"/>
        <w:ind w:left="567"/>
        <w:jc w:val="center"/>
      </w:pPr>
      <w:r>
        <w:t>FIFTH SCHEDULE</w:t>
      </w:r>
    </w:p>
    <w:p>
      <w:pPr>
        <w:pStyle w:val="yMiscellaneousBody"/>
        <w:ind w:left="567"/>
      </w:pPr>
      <w:r>
        <w:t>(Date of Commencement of the lease)</w:t>
      </w:r>
    </w:p>
    <w:p>
      <w:pPr>
        <w:pStyle w:val="yMiscellaneousBody"/>
        <w:keepNext/>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r>
              <w:rPr>
                <w:noProof/>
                <w:lang w:eastAsia="en-AU"/>
              </w:rPr>
              <w:drawing>
                <wp:inline distT="0" distB="0" distL="0" distR="0">
                  <wp:extent cx="12382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r>
              <w:rPr>
                <w:noProof/>
                <w:lang w:eastAsia="en-AU"/>
              </w:rPr>
              <w:drawing>
                <wp:inline distT="0" distB="0" distL="0" distR="0">
                  <wp:extent cx="12382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pPr>
      <w:ins w:id="86" w:author="svcMRProcess" w:date="2020-02-17T07:22:00Z">
        <w:r>
          <w:tab/>
        </w:r>
      </w:ins>
      <w:r>
        <w:t xml:space="preserve">[Schedule 2 inserted by No. 45 of 1986 s. 8.] </w:t>
      </w:r>
    </w:p>
    <w:p>
      <w:pPr>
        <w:pStyle w:val="yScheduleHeading"/>
      </w:pPr>
      <w:bookmarkStart w:id="87" w:name="_Toc34541387"/>
      <w:bookmarkStart w:id="88" w:name="_Toc267920761"/>
      <w:bookmarkStart w:id="89" w:name="_Toc270603888"/>
      <w:bookmarkStart w:id="90" w:name="_Toc270606098"/>
      <w:r>
        <w:rPr>
          <w:rStyle w:val="CharSchNo"/>
        </w:rPr>
        <w:t>Schedule 3</w:t>
      </w:r>
      <w:bookmarkEnd w:id="87"/>
      <w:bookmarkEnd w:id="88"/>
      <w:bookmarkEnd w:id="89"/>
      <w:bookmarkEnd w:id="90"/>
      <w:r>
        <w:t xml:space="preserve"> </w:t>
      </w:r>
    </w:p>
    <w:p>
      <w:pPr>
        <w:pStyle w:val="yShoulderClause"/>
        <w:rPr>
          <w:snapToGrid w:val="0"/>
        </w:rPr>
      </w:pPr>
      <w:r>
        <w:rPr>
          <w:snapToGrid w:val="0"/>
        </w:rPr>
        <w:t>[section 5]</w:t>
      </w:r>
    </w:p>
    <w:p>
      <w:pPr>
        <w:pStyle w:val="yMiscellaneousBody"/>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ind w:left="1134" w:hanging="1134"/>
      </w:pPr>
      <w:r>
        <w:tab/>
        <w:t>by deleting “If” and substituting the following — </w:t>
      </w:r>
    </w:p>
    <w:p>
      <w:pPr>
        <w:pStyle w:val="yMiscellaneousBody"/>
        <w:tabs>
          <w:tab w:val="left" w:pos="1134"/>
        </w:tabs>
        <w:ind w:left="1134" w:hanging="1134"/>
      </w:pPr>
      <w:r>
        <w:tab/>
        <w:t>“Subject to Clause 11A, if”.</w:t>
      </w:r>
    </w:p>
    <w:p>
      <w:pPr>
        <w:pStyle w:val="yMiscellaneousBody"/>
        <w:tabs>
          <w:tab w:val="left" w:pos="567"/>
          <w:tab w:val="left" w:pos="1134"/>
        </w:tabs>
        <w:ind w:left="1134" w:hanging="1134"/>
      </w:pPr>
      <w:r>
        <w:tab/>
        <w:t>(3)</w:t>
      </w:r>
      <w:r>
        <w:tab/>
      </w:r>
      <w:r>
        <w:rPr>
          <w:b/>
        </w:rPr>
        <w:t>Clause 9(2)</w:t>
      </w:r>
    </w:p>
    <w:p>
      <w:pPr>
        <w:pStyle w:val="yMiscellaneousBody"/>
        <w:tabs>
          <w:tab w:val="left" w:pos="1134"/>
        </w:tabs>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ind w:left="1134" w:hanging="1134"/>
      </w:pPr>
      <w:r>
        <w:tab/>
      </w:r>
      <w:r>
        <w:tab/>
        <w:t>“or Clause 11A”.</w:t>
      </w:r>
    </w:p>
    <w:p>
      <w:pPr>
        <w:pStyle w:val="yMiscellaneousBody"/>
        <w:tabs>
          <w:tab w:val="left" w:pos="567"/>
          <w:tab w:val="left" w:pos="1134"/>
        </w:tabs>
        <w:ind w:left="1134" w:hanging="1134"/>
      </w:pPr>
      <w:r>
        <w:tab/>
        <w:t>(4)</w:t>
      </w:r>
      <w:r>
        <w:tab/>
      </w:r>
      <w:r>
        <w:rPr>
          <w:b/>
        </w:rPr>
        <w:t>Clause 11A</w:t>
      </w:r>
    </w:p>
    <w:p>
      <w:pPr>
        <w:pStyle w:val="yMiscellaneousBody"/>
        <w:tabs>
          <w:tab w:val="left" w:pos="1134"/>
        </w:tabs>
        <w:ind w:left="1134" w:hanging="1134"/>
      </w:pPr>
      <w:r>
        <w:tab/>
        <w:t>by inserting after Clause 11 the following clause — </w:t>
      </w:r>
    </w:p>
    <w:p>
      <w:pPr>
        <w:pStyle w:val="yMiscellaneousBody"/>
        <w:tabs>
          <w:tab w:val="left" w:pos="1134"/>
        </w:tabs>
        <w:rPr>
          <w:b/>
          <w:u w:val="single"/>
        </w:rPr>
      </w:pPr>
      <w:r>
        <w:tab/>
      </w:r>
      <w:r>
        <w:rPr>
          <w:b/>
          <w:u w:val="single"/>
        </w:rPr>
        <w:t>Limits on mining</w:t>
      </w:r>
    </w:p>
    <w:p>
      <w:pPr>
        <w:pStyle w:val="yMiscellaneousBody"/>
        <w:tabs>
          <w:tab w:val="left" w:pos="1134"/>
          <w:tab w:val="left" w:pos="1418"/>
          <w:tab w:val="left" w:pos="1985"/>
          <w:tab w:val="left" w:pos="2552"/>
        </w:tabs>
        <w:ind w:left="2552" w:hanging="2552"/>
      </w:pPr>
      <w:r>
        <w:tab/>
        <w:t>“</w:t>
      </w:r>
      <w:r>
        <w:tab/>
        <w:t>11A.</w:t>
      </w:r>
      <w:r>
        <w:tab/>
        <w:t>(1)</w:t>
      </w:r>
      <w:r>
        <w:tab/>
        <w:t>In this Clause — </w:t>
      </w:r>
    </w:p>
    <w:p>
      <w:pPr>
        <w:pStyle w:val="yMiscellaneousBody"/>
        <w:tabs>
          <w:tab w:val="left" w:pos="2552"/>
        </w:tabs>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ind w:left="2552" w:hanging="2552"/>
      </w:pPr>
      <w:r>
        <w:rPr>
          <w:b/>
        </w:rPr>
        <w:tab/>
        <w:t>“BHP”</w:t>
      </w:r>
      <w:r>
        <w:t xml:space="preserve"> means BHP Minerals Pty. Ltd. and its successors and assigns who are parties with the State to the Processing Agreement;</w:t>
      </w:r>
    </w:p>
    <w:p>
      <w:pPr>
        <w:pStyle w:val="yMiscellaneousBody"/>
        <w:tabs>
          <w:tab w:val="left" w:pos="2552"/>
        </w:tabs>
        <w:ind w:left="2552" w:hanging="2552"/>
      </w:pPr>
      <w:r>
        <w:rPr>
          <w:b/>
        </w:rPr>
        <w:tab/>
        <w:t>“combined limit”</w:t>
      </w:r>
      <w:r>
        <w:t xml:space="preserve"> means the aggregate of — </w:t>
      </w:r>
    </w:p>
    <w:p>
      <w:pPr>
        <w:pStyle w:val="yMiscellaneousBody"/>
        <w:tabs>
          <w:tab w:val="left" w:pos="2552"/>
          <w:tab w:val="left" w:pos="3119"/>
        </w:tabs>
        <w:ind w:left="3119" w:hanging="3119"/>
      </w:pPr>
      <w:r>
        <w:tab/>
        <w:t>(i)</w:t>
      </w:r>
      <w:r>
        <w:tab/>
        <w:t>any approved production limit under this Clause;</w:t>
      </w:r>
    </w:p>
    <w:p>
      <w:pPr>
        <w:pStyle w:val="yMiscellaneousBody"/>
        <w:tabs>
          <w:tab w:val="left" w:pos="2552"/>
          <w:tab w:val="left" w:pos="3119"/>
        </w:tabs>
        <w:ind w:left="3119" w:hanging="3119"/>
      </w:pPr>
      <w:r>
        <w:tab/>
        <w:t>(ii)</w:t>
      </w:r>
      <w:r>
        <w:tab/>
        <w:t>the approved production limit under Clause 11 of the Marillana Creek Agreement; and</w:t>
      </w:r>
    </w:p>
    <w:p>
      <w:pPr>
        <w:pStyle w:val="yMiscellaneousBody"/>
        <w:tabs>
          <w:tab w:val="left" w:pos="2552"/>
          <w:tab w:val="left" w:pos="3119"/>
        </w:tabs>
        <w:ind w:left="3119" w:hanging="3119"/>
      </w:pPr>
      <w:r>
        <w:tab/>
        <w:t>(iii)</w:t>
      </w:r>
      <w:r>
        <w:tab/>
        <w:t>any approved production limit under Clause 12 of the Mount Goldsworthy Agreement</w:t>
      </w:r>
    </w:p>
    <w:p>
      <w:pPr>
        <w:pStyle w:val="yMiscellaneousBody"/>
        <w:tabs>
          <w:tab w:val="left" w:pos="2552"/>
        </w:tabs>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ind w:left="2552" w:hanging="2552"/>
      </w:pP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2552"/>
        </w:tabs>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ind w:left="2552" w:hanging="2552"/>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 w:val="left" w:pos="1418"/>
          <w:tab w:val="left" w:pos="1985"/>
          <w:tab w:val="left" w:pos="2552"/>
        </w:tabs>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ind w:left="3119" w:hanging="3119"/>
      </w:pPr>
      <w:r>
        <w:tab/>
        <w:t>(a)</w:t>
      </w:r>
      <w:r>
        <w:tab/>
        <w:t>if the aggregate project cost under the Processing Agreement has been expended; or</w:t>
      </w:r>
    </w:p>
    <w:p>
      <w:pPr>
        <w:pStyle w:val="yMiscellaneousBody"/>
        <w:tabs>
          <w:tab w:val="left" w:pos="2552"/>
          <w:tab w:val="left" w:pos="3119"/>
        </w:tabs>
        <w:ind w:left="3119" w:hanging="3119"/>
      </w:pPr>
      <w:r>
        <w:tab/>
        <w:t>(b)</w:t>
      </w:r>
      <w:r>
        <w:tab/>
        <w:t xml:space="preserve">if the aggregate project cost under the Processing Agreement has not been expended and: </w:t>
      </w:r>
    </w:p>
    <w:p>
      <w:pPr>
        <w:pStyle w:val="yMiscellaneousBody"/>
        <w:tabs>
          <w:tab w:val="left" w:pos="3119"/>
          <w:tab w:val="left" w:pos="3686"/>
        </w:tabs>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ind w:left="1134" w:hanging="1134"/>
      </w:pPr>
      <w:r>
        <w:tab/>
        <w:t>(5)</w:t>
      </w:r>
      <w:r>
        <w:tab/>
        <w:t>Clause 22 — </w:t>
      </w:r>
    </w:p>
    <w:p>
      <w:pPr>
        <w:pStyle w:val="yMiscellaneousBody"/>
        <w:tabs>
          <w:tab w:val="left" w:pos="1134"/>
          <w:tab w:val="left" w:pos="1701"/>
        </w:tabs>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ind w:left="1701" w:hanging="1701"/>
      </w:pPr>
      <w:r>
        <w:tab/>
        <w:t>(b)</w:t>
      </w:r>
      <w:r>
        <w:tab/>
        <w:t>by inserting as the first subclause the following — </w:t>
      </w:r>
    </w:p>
    <w:p>
      <w:pPr>
        <w:pStyle w:val="yMiscellaneousBody"/>
        <w:tabs>
          <w:tab w:val="left" w:pos="1701"/>
          <w:tab w:val="left" w:pos="1985"/>
          <w:tab w:val="left" w:pos="2552"/>
        </w:tabs>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ind w:left="1985" w:hanging="1985"/>
      </w:pPr>
      <w:r>
        <w:tab/>
        <w:t>“</w:t>
      </w:r>
      <w:r>
        <w:tab/>
        <w:t>Subject to subclause (1),   ”;</w:t>
      </w:r>
    </w:p>
    <w:p>
      <w:pPr>
        <w:pStyle w:val="yMiscellaneousBody"/>
        <w:tabs>
          <w:tab w:val="left" w:pos="1134"/>
          <w:tab w:val="left" w:pos="1701"/>
        </w:tabs>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ind w:left="1985" w:hanging="1985"/>
      </w:pPr>
      <w:r>
        <w:tab/>
        <w:t>“</w:t>
      </w:r>
      <w:r>
        <w:tab/>
        <w:t>subclause (2)   ”;</w:t>
      </w:r>
    </w:p>
    <w:p>
      <w:pPr>
        <w:pStyle w:val="yMiscellaneousBody"/>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r>
              <w:rPr>
                <w:spacing w:val="-2"/>
                <w:sz w:val="22"/>
              </w:rPr>
              <w:t>R F COURT</w:t>
            </w: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BHP IRON ORE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ins w:id="91" w:author="svcMRProcess" w:date="2020-02-17T07:22:00Z">
        <w:r>
          <w:tab/>
        </w:r>
      </w:ins>
      <w:r>
        <w:t xml:space="preserve">[Schedule 3 inserted by No. 29 of 1994 s. 10.] </w:t>
      </w:r>
    </w:p>
    <w:p>
      <w:pPr>
        <w:pStyle w:val="yScheduleHeading"/>
      </w:pPr>
      <w:bookmarkStart w:id="92" w:name="_Toc34541388"/>
      <w:bookmarkStart w:id="93" w:name="_Toc267920762"/>
      <w:bookmarkStart w:id="94" w:name="_Toc270603889"/>
      <w:bookmarkStart w:id="95" w:name="_Toc270606099"/>
      <w:r>
        <w:rPr>
          <w:rStyle w:val="CharSchNo"/>
        </w:rPr>
        <w:t>Schedule 4</w:t>
      </w:r>
      <w:bookmarkEnd w:id="92"/>
      <w:bookmarkEnd w:id="93"/>
      <w:bookmarkEnd w:id="94"/>
      <w:bookmarkEnd w:id="95"/>
      <w:r>
        <w:rPr>
          <w:rStyle w:val="CharSectno"/>
        </w:rPr>
        <w:t> </w:t>
      </w:r>
    </w:p>
    <w:p>
      <w:pPr>
        <w:pStyle w:val="yShoulderClause"/>
      </w:pPr>
      <w:r>
        <w:t>[s. 6]</w:t>
      </w:r>
    </w:p>
    <w:p>
      <w:pPr>
        <w:pStyle w:val="yMiscellaneousBody"/>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tabs>
          <w:tab w:val="left" w:pos="1134"/>
          <w:tab w:val="left" w:pos="1701"/>
        </w:tabs>
        <w:ind w:left="1701" w:hanging="1701"/>
      </w:pPr>
      <w:r>
        <w:tab/>
        <w:t>(b)</w:t>
      </w:r>
      <w:r>
        <w:tab/>
        <w:t>Bills to ratify the following agreements of even date herewith, namely: —</w:t>
      </w:r>
    </w:p>
    <w:p>
      <w:pPr>
        <w:pStyle w:val="yMiscellaneousBody"/>
        <w:tabs>
          <w:tab w:val="left" w:pos="1701"/>
          <w:tab w:val="left" w:pos="2268"/>
        </w:tabs>
        <w:spacing w:before="14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14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14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14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14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14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r>
              <w:rPr>
                <w:noProof/>
                <w:lang w:eastAsia="en-AU"/>
              </w:rPr>
              <w:drawing>
                <wp:inline distT="0" distB="0" distL="0" distR="0">
                  <wp:extent cx="123825" cy="419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c>
          <w:tcPr>
            <w:tcW w:w="2678" w:type="dxa"/>
          </w:tcPr>
          <w:p>
            <w:pPr>
              <w:pStyle w:val="yTable"/>
              <w:spacing w:before="0"/>
            </w:pPr>
          </w:p>
          <w:p>
            <w:pPr>
              <w:pStyle w:val="yTable"/>
              <w:spacing w:before="0"/>
              <w:rPr>
                <w:spacing w:val="-2"/>
              </w:rPr>
            </w:pPr>
            <w:r>
              <w:rPr>
                <w:spacing w:val="-2"/>
              </w:rPr>
              <w:t>RICHARD COURT</w:t>
            </w:r>
          </w:p>
          <w:p>
            <w:pPr>
              <w:pStyle w:val="yTable"/>
              <w:spacing w:before="0"/>
            </w:pP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keepNext/>
        <w:spacing w:before="0"/>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keepNext/>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r>
              <w:rPr>
                <w:noProof/>
                <w:lang w:eastAsia="en-AU"/>
              </w:rPr>
              <w:drawing>
                <wp:inline distT="0" distB="0" distL="0" distR="0">
                  <wp:extent cx="123825" cy="619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pPr>
    </w:p>
    <w:p>
      <w:pPr>
        <w:pStyle w:val="yMiscellaneousBody"/>
        <w:keepNext/>
        <w:spacing w:before="0"/>
      </w:pPr>
      <w:r>
        <w:t xml:space="preserve">STEFANO GIORGINI </w:t>
      </w:r>
    </w:p>
    <w:p>
      <w:pPr>
        <w:pStyle w:val="yMiscellaneousBody"/>
        <w:keepNext/>
        <w:spacing w:before="0"/>
      </w:pPr>
      <w:r>
        <w:t>Director</w:t>
      </w:r>
    </w:p>
    <w:p>
      <w:pPr>
        <w:pStyle w:val="yMiscellaneousBody"/>
        <w:spacing w:before="0"/>
      </w:pPr>
    </w:p>
    <w:p>
      <w:pPr>
        <w:pStyle w:val="yMiscellaneousBody"/>
        <w:spacing w:before="0"/>
      </w:pPr>
      <w:r>
        <w:t xml:space="preserve">MICHAEL KNOWLES </w:t>
      </w:r>
    </w:p>
    <w:p>
      <w:pPr>
        <w:pStyle w:val="yMiscellaneousBody"/>
        <w:spacing w:before="0"/>
      </w:pPr>
      <w:r>
        <w:t>Secretary</w:t>
      </w:r>
    </w:p>
    <w:p>
      <w:pPr>
        <w:pStyle w:val="yFootnotesection"/>
      </w:pPr>
      <w:ins w:id="96" w:author="svcMRProcess" w:date="2020-02-17T07:22:00Z">
        <w:r>
          <w:tab/>
        </w:r>
      </w:ins>
      <w:r>
        <w:t>[Schedule 4 inserted by No. 57 of 2000 s. 14.]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7" w:name="_Toc267920763"/>
      <w:bookmarkStart w:id="98" w:name="_Toc270603890"/>
      <w:bookmarkStart w:id="99" w:name="_Toc270606100"/>
      <w:r>
        <w:t>Notes</w:t>
      </w:r>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(McCamey’s Monster) Agreement Authorisation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0" w:name="_Toc34541389"/>
      <w:bookmarkStart w:id="101" w:name="_Toc270606101"/>
      <w:bookmarkStart w:id="102" w:name="_Toc267920764"/>
      <w:r>
        <w:t>Compilation table</w:t>
      </w:r>
      <w:bookmarkEnd w:id="100"/>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ind w:right="170"/>
              <w:rPr>
                <w:i/>
                <w:sz w:val="19"/>
              </w:rPr>
            </w:pPr>
            <w:r>
              <w:rPr>
                <w:i/>
                <w:sz w:val="19"/>
              </w:rPr>
              <w:t>Iron Ore (McCamey’s Monster) Agreement Authorisation Act 1972</w:t>
            </w:r>
          </w:p>
        </w:tc>
        <w:tc>
          <w:tcPr>
            <w:tcW w:w="1134" w:type="dxa"/>
          </w:tcPr>
          <w:p>
            <w:pPr>
              <w:pStyle w:val="nTable"/>
              <w:spacing w:before="80"/>
              <w:rPr>
                <w:sz w:val="19"/>
              </w:rPr>
            </w:pPr>
            <w:r>
              <w:rPr>
                <w:sz w:val="19"/>
              </w:rPr>
              <w:t>104 of 1972</w:t>
            </w:r>
          </w:p>
        </w:tc>
        <w:tc>
          <w:tcPr>
            <w:tcW w:w="1134" w:type="dxa"/>
          </w:tcPr>
          <w:p>
            <w:pPr>
              <w:pStyle w:val="nTable"/>
              <w:spacing w:before="80"/>
              <w:rPr>
                <w:sz w:val="19"/>
              </w:rPr>
            </w:pPr>
            <w:r>
              <w:rPr>
                <w:sz w:val="19"/>
              </w:rPr>
              <w:t>6 Dec 1972</w:t>
            </w:r>
          </w:p>
        </w:tc>
        <w:tc>
          <w:tcPr>
            <w:tcW w:w="2551" w:type="dxa"/>
          </w:tcPr>
          <w:p>
            <w:pPr>
              <w:pStyle w:val="nTable"/>
              <w:spacing w:before="80"/>
              <w:rPr>
                <w:sz w:val="19"/>
              </w:rPr>
            </w:pPr>
            <w:r>
              <w:rPr>
                <w:sz w:val="19"/>
              </w:rPr>
              <w:t>6 Dec 1972</w:t>
            </w:r>
          </w:p>
        </w:tc>
      </w:tr>
      <w:tr>
        <w:tc>
          <w:tcPr>
            <w:tcW w:w="2268" w:type="dxa"/>
          </w:tcPr>
          <w:p>
            <w:pPr>
              <w:pStyle w:val="nTable"/>
              <w:spacing w:before="80"/>
              <w:ind w:right="170"/>
              <w:rPr>
                <w:i/>
                <w:sz w:val="19"/>
              </w:rPr>
            </w:pPr>
            <w:r>
              <w:rPr>
                <w:i/>
                <w:sz w:val="19"/>
              </w:rPr>
              <w:t>Iron Ore (McCamey’s Monster) Agreement Authorisation Amendment Act 1986</w:t>
            </w:r>
          </w:p>
        </w:tc>
        <w:tc>
          <w:tcPr>
            <w:tcW w:w="1134" w:type="dxa"/>
          </w:tcPr>
          <w:p>
            <w:pPr>
              <w:pStyle w:val="nTable"/>
              <w:spacing w:before="80"/>
              <w:rPr>
                <w:sz w:val="19"/>
              </w:rPr>
            </w:pPr>
            <w:r>
              <w:rPr>
                <w:sz w:val="19"/>
              </w:rPr>
              <w:t>45 of 1986</w:t>
            </w:r>
          </w:p>
        </w:tc>
        <w:tc>
          <w:tcPr>
            <w:tcW w:w="1134" w:type="dxa"/>
          </w:tcPr>
          <w:p>
            <w:pPr>
              <w:pStyle w:val="nTable"/>
              <w:spacing w:before="80"/>
              <w:rPr>
                <w:sz w:val="19"/>
              </w:rPr>
            </w:pPr>
            <w:r>
              <w:rPr>
                <w:sz w:val="19"/>
              </w:rPr>
              <w:t>1 Aug 1986</w:t>
            </w:r>
          </w:p>
        </w:tc>
        <w:tc>
          <w:tcPr>
            <w:tcW w:w="2551" w:type="dxa"/>
          </w:tcPr>
          <w:p>
            <w:pPr>
              <w:pStyle w:val="nTable"/>
              <w:spacing w:before="80"/>
              <w:rPr>
                <w:sz w:val="19"/>
              </w:rPr>
            </w:pPr>
            <w:r>
              <w:rPr>
                <w:sz w:val="19"/>
              </w:rPr>
              <w:t>1 Aug 1986 (see s. 2)</w:t>
            </w:r>
          </w:p>
        </w:tc>
      </w:tr>
      <w:tr>
        <w:tc>
          <w:tcPr>
            <w:tcW w:w="2268" w:type="dxa"/>
          </w:tcPr>
          <w:p>
            <w:pPr>
              <w:pStyle w:val="nTable"/>
              <w:spacing w:before="80"/>
              <w:ind w:right="170"/>
              <w:rPr>
                <w:i/>
                <w:sz w:val="19"/>
              </w:rPr>
            </w:pPr>
            <w:r>
              <w:rPr>
                <w:i/>
                <w:sz w:val="19"/>
              </w:rPr>
              <w:t xml:space="preserve">Acts Amendment (Mount Goldsworthy, McCamey’s Monster and Marillana Creek Iron Ore Agreements) Act 1994 </w:t>
            </w:r>
            <w:r>
              <w:rPr>
                <w:sz w:val="19"/>
              </w:rPr>
              <w:t>Pt. 3</w:t>
            </w:r>
          </w:p>
        </w:tc>
        <w:tc>
          <w:tcPr>
            <w:tcW w:w="1134" w:type="dxa"/>
          </w:tcPr>
          <w:p>
            <w:pPr>
              <w:pStyle w:val="nTable"/>
              <w:spacing w:before="80"/>
              <w:rPr>
                <w:sz w:val="19"/>
              </w:rPr>
            </w:pPr>
            <w:r>
              <w:rPr>
                <w:sz w:val="19"/>
              </w:rPr>
              <w:t>29 of 1994</w:t>
            </w:r>
          </w:p>
        </w:tc>
        <w:tc>
          <w:tcPr>
            <w:tcW w:w="1134" w:type="dxa"/>
          </w:tcPr>
          <w:p>
            <w:pPr>
              <w:pStyle w:val="nTable"/>
              <w:spacing w:before="80"/>
              <w:rPr>
                <w:sz w:val="19"/>
              </w:rPr>
            </w:pPr>
            <w:r>
              <w:rPr>
                <w:sz w:val="19"/>
              </w:rPr>
              <w:t>8 Jul 1994</w:t>
            </w:r>
          </w:p>
        </w:tc>
        <w:tc>
          <w:tcPr>
            <w:tcW w:w="2551" w:type="dxa"/>
          </w:tcPr>
          <w:p>
            <w:pPr>
              <w:pStyle w:val="nTable"/>
              <w:spacing w:before="80"/>
              <w:rPr>
                <w:sz w:val="19"/>
              </w:rPr>
            </w:pPr>
            <w:r>
              <w:rPr>
                <w:sz w:val="19"/>
              </w:rPr>
              <w:t>8 Jul 1994 (see s. 2)</w:t>
            </w:r>
          </w:p>
        </w:tc>
      </w:tr>
      <w:tr>
        <w:tc>
          <w:tcPr>
            <w:tcW w:w="2268" w:type="dxa"/>
          </w:tcPr>
          <w:p>
            <w:pPr>
              <w:pStyle w:val="nTable"/>
              <w:spacing w:before="80"/>
              <w:ind w:right="170"/>
              <w:rPr>
                <w:i/>
                <w:sz w:val="19"/>
              </w:rPr>
            </w:pPr>
            <w:r>
              <w:rPr>
                <w:i/>
                <w:sz w:val="19"/>
              </w:rPr>
              <w:t xml:space="preserve">Acts Amendment (Iron Ore Agreements) Act 2000 </w:t>
            </w:r>
            <w:r>
              <w:rPr>
                <w:sz w:val="19"/>
              </w:rPr>
              <w:t>Pt. 4</w:t>
            </w:r>
          </w:p>
        </w:tc>
        <w:tc>
          <w:tcPr>
            <w:tcW w:w="1134" w:type="dxa"/>
          </w:tcPr>
          <w:p>
            <w:pPr>
              <w:pStyle w:val="nTable"/>
              <w:spacing w:before="80"/>
              <w:rPr>
                <w:sz w:val="19"/>
              </w:rPr>
            </w:pPr>
            <w:r>
              <w:rPr>
                <w:sz w:val="19"/>
              </w:rPr>
              <w:t>57 of 2000</w:t>
            </w:r>
          </w:p>
        </w:tc>
        <w:tc>
          <w:tcPr>
            <w:tcW w:w="1134" w:type="dxa"/>
          </w:tcPr>
          <w:p>
            <w:pPr>
              <w:pStyle w:val="nTable"/>
              <w:spacing w:before="80"/>
              <w:rPr>
                <w:sz w:val="19"/>
              </w:rPr>
            </w:pPr>
            <w:r>
              <w:rPr>
                <w:sz w:val="19"/>
              </w:rPr>
              <w:t>7 Dec 2000</w:t>
            </w:r>
          </w:p>
        </w:tc>
        <w:tc>
          <w:tcPr>
            <w:tcW w:w="2551" w:type="dxa"/>
          </w:tcPr>
          <w:p>
            <w:pPr>
              <w:pStyle w:val="nTable"/>
              <w:spacing w:before="80"/>
              <w:rPr>
                <w:sz w:val="19"/>
              </w:rPr>
            </w:pPr>
            <w:r>
              <w:rPr>
                <w:sz w:val="19"/>
              </w:rPr>
              <w:t>7 Dec 2000 (see s. 2)</w:t>
            </w:r>
          </w:p>
        </w:tc>
      </w:tr>
      <w:tr>
        <w:trPr>
          <w:cantSplit/>
        </w:trPr>
        <w:tc>
          <w:tcPr>
            <w:tcW w:w="7087" w:type="dxa"/>
            <w:gridSpan w:val="4"/>
          </w:tcPr>
          <w:p>
            <w:pPr>
              <w:pStyle w:val="nTable"/>
              <w:spacing w:before="80"/>
              <w:rPr>
                <w:sz w:val="19"/>
              </w:rPr>
            </w:pPr>
            <w:r>
              <w:rPr>
                <w:b/>
                <w:sz w:val="19"/>
              </w:rPr>
              <w:t xml:space="preserve">Reprint 1: The </w:t>
            </w:r>
            <w:r>
              <w:rPr>
                <w:b/>
                <w:i/>
                <w:noProof/>
                <w:snapToGrid w:val="0"/>
                <w:sz w:val="19"/>
              </w:rPr>
              <w:t>Iron Ore (McCamey’s Monster) Agreement Authorisation Act 1972</w:t>
            </w:r>
            <w:r>
              <w:rPr>
                <w:b/>
                <w:noProof/>
                <w:snapToGrid w:val="0"/>
                <w:sz w:val="19"/>
              </w:rPr>
              <w:t xml:space="preserve"> as at 11 Apr 2003</w:t>
            </w:r>
            <w:r>
              <w:rPr>
                <w:noProof/>
                <w:snapToGrid w:val="0"/>
                <w:sz w:val="19"/>
              </w:rPr>
              <w:t xml:space="preserve"> (includes amendments listed above)</w:t>
            </w:r>
          </w:p>
        </w:tc>
      </w:tr>
      <w:tr>
        <w:tblPrEx>
          <w:tblBorders>
            <w:top w:val="single" w:sz="4" w:space="0" w:color="auto"/>
            <w:bottom w:val="single" w:sz="4" w:space="0" w:color="auto"/>
            <w:insideH w:val="single" w:sz="4" w:space="0" w:color="auto"/>
          </w:tblBorders>
        </w:tblPrEx>
        <w:trPr>
          <w:ins w:id="103" w:author="svcMRProcess" w:date="2020-02-17T07:22:00Z"/>
        </w:trPr>
        <w:tc>
          <w:tcPr>
            <w:tcW w:w="2268" w:type="dxa"/>
            <w:tcBorders>
              <w:top w:val="nil"/>
              <w:bottom w:val="single" w:sz="4" w:space="0" w:color="auto"/>
            </w:tcBorders>
          </w:tcPr>
          <w:p>
            <w:pPr>
              <w:pStyle w:val="nTable"/>
              <w:spacing w:after="40"/>
              <w:ind w:right="170"/>
              <w:rPr>
                <w:ins w:id="104" w:author="svcMRProcess" w:date="2020-02-17T07:22:00Z"/>
                <w:iCs/>
                <w:sz w:val="19"/>
              </w:rPr>
            </w:pPr>
            <w:ins w:id="105" w:author="svcMRProcess" w:date="2020-02-17T07:22:00Z">
              <w:r>
                <w:rPr>
                  <w:i/>
                  <w:sz w:val="19"/>
                </w:rPr>
                <w:t>Iron Ore Agreements Legislation Amendment Act 2010</w:t>
              </w:r>
              <w:r>
                <w:rPr>
                  <w:iCs/>
                  <w:sz w:val="19"/>
                </w:rPr>
                <w:t xml:space="preserve"> Pt. 5</w:t>
              </w:r>
            </w:ins>
          </w:p>
        </w:tc>
        <w:tc>
          <w:tcPr>
            <w:tcW w:w="1134" w:type="dxa"/>
            <w:tcBorders>
              <w:top w:val="nil"/>
              <w:bottom w:val="single" w:sz="4" w:space="0" w:color="auto"/>
            </w:tcBorders>
          </w:tcPr>
          <w:p>
            <w:pPr>
              <w:pStyle w:val="nTable"/>
              <w:spacing w:after="40"/>
              <w:ind w:right="170"/>
              <w:rPr>
                <w:ins w:id="106" w:author="svcMRProcess" w:date="2020-02-17T07:22:00Z"/>
                <w:sz w:val="19"/>
              </w:rPr>
            </w:pPr>
            <w:ins w:id="107" w:author="svcMRProcess" w:date="2020-02-17T07:22:00Z">
              <w:r>
                <w:rPr>
                  <w:sz w:val="19"/>
                </w:rPr>
                <w:t>34 of 2010</w:t>
              </w:r>
            </w:ins>
          </w:p>
        </w:tc>
        <w:tc>
          <w:tcPr>
            <w:tcW w:w="1134" w:type="dxa"/>
            <w:tcBorders>
              <w:top w:val="nil"/>
              <w:bottom w:val="single" w:sz="4" w:space="0" w:color="auto"/>
            </w:tcBorders>
          </w:tcPr>
          <w:p>
            <w:pPr>
              <w:pStyle w:val="nTable"/>
              <w:spacing w:after="40"/>
              <w:rPr>
                <w:ins w:id="108" w:author="svcMRProcess" w:date="2020-02-17T07:22:00Z"/>
                <w:sz w:val="19"/>
              </w:rPr>
            </w:pPr>
            <w:ins w:id="109" w:author="svcMRProcess" w:date="2020-02-17T07:22:00Z">
              <w:r>
                <w:rPr>
                  <w:sz w:val="19"/>
                </w:rPr>
                <w:t>26 Aug 2010</w:t>
              </w:r>
            </w:ins>
          </w:p>
        </w:tc>
        <w:tc>
          <w:tcPr>
            <w:tcW w:w="2551" w:type="dxa"/>
            <w:tcBorders>
              <w:top w:val="nil"/>
              <w:bottom w:val="single" w:sz="4" w:space="0" w:color="auto"/>
            </w:tcBorders>
          </w:tcPr>
          <w:p>
            <w:pPr>
              <w:pStyle w:val="nTable"/>
              <w:spacing w:after="40"/>
              <w:rPr>
                <w:ins w:id="110" w:author="svcMRProcess" w:date="2020-02-17T07:22:00Z"/>
                <w:sz w:val="19"/>
              </w:rPr>
            </w:pPr>
            <w:ins w:id="111" w:author="svcMRProcess" w:date="2020-02-17T07:22:00Z">
              <w:r>
                <w:rPr>
                  <w:sz w:val="19"/>
                </w:rPr>
                <w:t>1 Jul 2010 (see s. 2(b)(ii))</w:t>
              </w:r>
            </w:ins>
          </w:p>
        </w:tc>
      </w:tr>
    </w:tbl>
    <w:p>
      <w:pPr>
        <w:pStyle w:val="nSubsection"/>
        <w:rPr>
          <w:vertAlign w:val="superscript"/>
        </w:rPr>
      </w:pPr>
      <w:bookmarkStart w:id="112" w:name="UpToHere"/>
      <w:bookmarkEnd w:id="112"/>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 w:name="_Toc7405065"/>
      <w:bookmarkStart w:id="114" w:name="_Toc270606102"/>
      <w:r>
        <w:t>Provisions that have not come into operation</w:t>
      </w:r>
      <w:bookmarkEnd w:id="113"/>
      <w:bookmarkEnd w:id="11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snapToGrid w:val="0"/>
        </w:rPr>
      </w:pPr>
      <w:r>
        <w:rPr>
          <w:snapToGrid w:val="0"/>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15" w:name="_Toc233107675"/>
      <w:bookmarkStart w:id="116" w:name="_Toc255473698"/>
      <w:bookmarkStart w:id="117" w:name="_Toc265583753"/>
      <w:r>
        <w:rPr>
          <w:rStyle w:val="CharSectno"/>
          <w:rFonts w:eastAsia="MS Mincho"/>
        </w:rPr>
        <w:t>4</w:t>
      </w:r>
      <w:r>
        <w:rPr>
          <w:rFonts w:eastAsia="MS Mincho"/>
        </w:rPr>
        <w:t>.</w:t>
      </w:r>
      <w:r>
        <w:rPr>
          <w:rFonts w:eastAsia="MS Mincho"/>
        </w:rPr>
        <w:tab/>
        <w:t>Schedule headings reformatted</w:t>
      </w:r>
      <w:bookmarkEnd w:id="115"/>
      <w:bookmarkEnd w:id="116"/>
      <w:bookmarkEnd w:id="11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(McCamey’s Monster) Agreement Authorisation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Iron Ore (McCamey’s Monster)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w:t>
            </w:r>
            <w:r>
              <w:rPr>
                <w:sz w:val="18"/>
              </w:rPr>
              <w:t>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4]</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Third </w:t>
            </w:r>
            <w:r>
              <w:rPr>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029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3823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DC82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C8AF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8C9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BEEC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1297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17645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F49B14"/>
    <w:lvl w:ilvl="0">
      <w:start w:val="1"/>
      <w:numFmt w:val="decimal"/>
      <w:pStyle w:val="ListNumber"/>
      <w:lvlText w:val="%1."/>
      <w:lvlJc w:val="left"/>
      <w:pPr>
        <w:tabs>
          <w:tab w:val="num" w:pos="360"/>
        </w:tabs>
        <w:ind w:left="360" w:hanging="360"/>
      </w:pPr>
    </w:lvl>
  </w:abstractNum>
  <w:abstractNum w:abstractNumId="9">
    <w:nsid w:val="FFFFFF89"/>
    <w:multiLevelType w:val="singleLevel"/>
    <w:tmpl w:val="67A0FF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3DA0F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42E556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32751</Words>
  <Characters>162122</Characters>
  <Application>Microsoft Office Word</Application>
  <DocSecurity>0</DocSecurity>
  <Lines>3602</Lines>
  <Paragraphs>1249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193624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01-b0-01 - 01-c0-01</dc:title>
  <dc:subject/>
  <dc:creator/>
  <cp:keywords/>
  <dc:description/>
  <cp:lastModifiedBy>svcMRProcess</cp:lastModifiedBy>
  <cp:revision>2</cp:revision>
  <cp:lastPrinted>2003-04-16T00:39:00Z</cp:lastPrinted>
  <dcterms:created xsi:type="dcterms:W3CDTF">2020-02-16T23:22:00Z</dcterms:created>
  <dcterms:modified xsi:type="dcterms:W3CDTF">2020-02-16T23:22:00Z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01-c0-01</vt:lpwstr>
  </property>
  <property fmtid="{D5CDD505-2E9C-101B-9397-08002B2CF9AE}" pid="8" name="ToAsAtDate">
    <vt:lpwstr>01 Jul 2010</vt:lpwstr>
  </property>
</Properties>
</file>