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(Marandoo)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Aboriginal Heritage (Marandoo) Act 1992 </w:t>
      </w:r>
    </w:p>
    <w:p>
      <w:pPr>
        <w:pStyle w:val="LongTitle"/>
        <w:rPr>
          <w:snapToGrid w:val="0"/>
        </w:rPr>
      </w:pPr>
      <w:r>
        <w:rPr>
          <w:snapToGrid w:val="0"/>
        </w:rPr>
        <w:t>A</w:t>
      </w:r>
      <w:bookmarkStart w:id="1" w:name="_GoBack"/>
      <w:bookmarkEnd w:id="1"/>
      <w:r>
        <w:rPr>
          <w:snapToGrid w:val="0"/>
        </w:rPr>
        <w:t xml:space="preserve">n Act concerning the application of the </w:t>
      </w:r>
      <w:r>
        <w:rPr>
          <w:i/>
          <w:snapToGrid w:val="0"/>
        </w:rPr>
        <w:t>Aboriginal Heritage Act 1972</w:t>
      </w:r>
      <w:r>
        <w:rPr>
          <w:snapToGrid w:val="0"/>
        </w:rPr>
        <w:t xml:space="preserve"> and for related purposes. </w:t>
      </w:r>
    </w:p>
    <w:p>
      <w:pPr>
        <w:pStyle w:val="Heading5"/>
        <w:rPr>
          <w:snapToGrid w:val="0"/>
        </w:rPr>
      </w:pPr>
      <w:bookmarkStart w:id="2" w:name="_Toc377724603"/>
      <w:bookmarkStart w:id="3" w:name="_Toc412551291"/>
      <w:bookmarkStart w:id="4" w:name="_Toc411909036"/>
      <w:bookmarkStart w:id="5" w:name="_Toc58995524"/>
      <w:bookmarkStart w:id="6" w:name="_Toc26799529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(Marandoo) Act 1992</w:t>
      </w:r>
      <w:r>
        <w:rPr>
          <w:snapToGrid w:val="0"/>
          <w:vertAlign w:val="superscript"/>
        </w:rPr>
        <w:t> 1</w:t>
      </w:r>
      <w:r>
        <w:rPr>
          <w:snapToGrid w:val="0"/>
        </w:rPr>
        <w:t>.</w:t>
      </w:r>
    </w:p>
    <w:p>
      <w:pPr>
        <w:pStyle w:val="Heading5"/>
        <w:rPr>
          <w:snapToGrid w:val="0"/>
        </w:rPr>
      </w:pPr>
      <w:bookmarkStart w:id="7" w:name="_Toc377724604"/>
      <w:bookmarkStart w:id="8" w:name="_Toc412551292"/>
      <w:bookmarkStart w:id="9" w:name="_Toc411909037"/>
      <w:bookmarkStart w:id="10" w:name="_Toc58995525"/>
      <w:bookmarkStart w:id="11" w:name="_Toc267995300"/>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2" w:name="_Toc377724605"/>
      <w:bookmarkStart w:id="13" w:name="_Toc412551293"/>
      <w:bookmarkStart w:id="14" w:name="_Toc411909038"/>
      <w:bookmarkStart w:id="15" w:name="_Toc58995526"/>
      <w:bookmarkStart w:id="16" w:name="_Toc267995301"/>
      <w:r>
        <w:rPr>
          <w:rStyle w:val="CharSectno"/>
        </w:rPr>
        <w:t>3</w:t>
      </w:r>
      <w:r>
        <w:rPr>
          <w:snapToGrid w:val="0"/>
        </w:rPr>
        <w:t>.</w:t>
      </w:r>
      <w:r>
        <w:rPr>
          <w:snapToGrid w:val="0"/>
        </w:rPr>
        <w:tab/>
        <w:t xml:space="preserve">Disapplication of </w:t>
      </w:r>
      <w:r>
        <w:rPr>
          <w:i/>
          <w:snapToGrid w:val="0"/>
        </w:rPr>
        <w:t>Aboriginal Heritage Act 1972</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w:t>
      </w:r>
      <w:r>
        <w:rPr>
          <w:i/>
          <w:snapToGrid w:val="0"/>
        </w:rPr>
        <w:t>Aboriginal Heritage Act 1972</w:t>
      </w:r>
      <w:r>
        <w:rPr>
          <w:snapToGrid w:val="0"/>
        </w:rPr>
        <w:t xml:space="preserve"> does not apply to any place that is on land described in Part 1 of Schedule 1, Part 1 of Schedule 2, or Part 1 of Schedule 3, or to any object situated on or under any of that land.</w:t>
      </w:r>
    </w:p>
    <w:p>
      <w:pPr>
        <w:pStyle w:val="Subsection"/>
        <w:rPr>
          <w:snapToGrid w:val="0"/>
        </w:rPr>
      </w:pPr>
      <w:r>
        <w:rPr>
          <w:snapToGrid w:val="0"/>
        </w:rPr>
        <w:tab/>
        <w:t>(2)</w:t>
      </w:r>
      <w:r>
        <w:rPr>
          <w:snapToGrid w:val="0"/>
        </w:rPr>
        <w:tab/>
        <w:t xml:space="preserve">The reference in subsection (1) to the </w:t>
      </w:r>
      <w:r>
        <w:rPr>
          <w:i/>
          <w:snapToGrid w:val="0"/>
        </w:rPr>
        <w:t>Aboriginal Heritage Act 1972</w:t>
      </w:r>
      <w:r>
        <w:rPr>
          <w:snapToGrid w:val="0"/>
        </w:rPr>
        <w:t xml:space="preserve"> includes a reference to any condition imposed or other thing done under that Act before the commencement of this Act.</w:t>
      </w:r>
    </w:p>
    <w:p>
      <w:pPr>
        <w:pStyle w:val="Sub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rPr>
          <w:snapToGrid w:val="0"/>
        </w:rPr>
        <w:tab/>
        <w:t>(3)</w:t>
      </w:r>
      <w:r>
        <w:rPr>
          <w:snapToGrid w:val="0"/>
        </w:rPr>
        <w:tab/>
        <w:t>No</w:t>
      </w:r>
      <w:r>
        <w:t>t</w:t>
      </w:r>
      <w:r>
        <w:rPr>
          <w:snapToGrid w:val="0"/>
        </w:rPr>
        <w:t xml:space="preserve">hing in the </w:t>
      </w:r>
      <w:r>
        <w:rPr>
          <w:i/>
          <w:snapToGrid w:val="0"/>
        </w:rPr>
        <w:t>Government Agreements Act 1979</w:t>
      </w:r>
      <w:r>
        <w:rPr>
          <w:snapToGrid w:val="0"/>
        </w:rPr>
        <w:t xml:space="preserve"> or any Government agreement within the meaning given to that expression by that Act affects the operation of this Act.</w:t>
      </w:r>
    </w:p>
    <w:p>
      <w:pPr>
        <w:pStyle w:val="yScheduleHeading"/>
      </w:pPr>
      <w:bookmarkStart w:id="17" w:name="_Toc58995527"/>
      <w:bookmarkStart w:id="18" w:name="_Toc267995282"/>
      <w:bookmarkStart w:id="19" w:name="_Toc267995302"/>
      <w:bookmarkStart w:id="20" w:name="_Toc377724606"/>
      <w:bookmarkStart w:id="21" w:name="_Toc412551237"/>
      <w:bookmarkStart w:id="22" w:name="_Toc412551294"/>
      <w:r>
        <w:rPr>
          <w:rStyle w:val="CharSchNo"/>
        </w:rPr>
        <w:lastRenderedPageBreak/>
        <w:t>Schedule 1</w:t>
      </w:r>
      <w:bookmarkEnd w:id="17"/>
      <w:bookmarkEnd w:id="18"/>
      <w:bookmarkEnd w:id="19"/>
      <w:del w:id="23" w:author="svcMRProcess" w:date="2019-01-18T15:22:00Z">
        <w:r>
          <w:rPr>
            <w:rStyle w:val="CharSchText"/>
          </w:rPr>
          <w:delText xml:space="preserve"> </w:delText>
        </w:r>
      </w:del>
      <w:ins w:id="24" w:author="svcMRProcess" w:date="2019-01-18T15:22:00Z">
        <w:r>
          <w:t xml:space="preserve"> — </w:t>
        </w:r>
        <w:r>
          <w:rPr>
            <w:rStyle w:val="CharSchText"/>
          </w:rPr>
          <w:t>Temporary Reserve 5623H and construction camp</w:t>
        </w:r>
      </w:ins>
      <w:bookmarkEnd w:id="20"/>
      <w:bookmarkEnd w:id="21"/>
      <w:bookmarkEnd w:id="22"/>
    </w:p>
    <w:p>
      <w:pPr>
        <w:pStyle w:val="yShoulderClause"/>
        <w:rPr>
          <w:ins w:id="25" w:author="svcMRProcess" w:date="2019-01-18T15:22:00Z"/>
        </w:rPr>
      </w:pPr>
      <w:ins w:id="26" w:author="svcMRProcess" w:date="2019-01-18T15:22:00Z">
        <w:r>
          <w:t>[s. 3(1)]</w:t>
        </w:r>
      </w:ins>
    </w:p>
    <w:p>
      <w:pPr>
        <w:pStyle w:val="yFootnoteheading"/>
        <w:rPr>
          <w:ins w:id="27" w:author="svcMRProcess" w:date="2019-01-18T15:22:00Z"/>
        </w:rPr>
      </w:pPr>
      <w:ins w:id="28" w:author="svcMRProcess" w:date="2019-01-18T15:22:00Z">
        <w:r>
          <w:tab/>
          <w:t>[Heading amended: No. 19 of 2010 s. 4.]</w:t>
        </w:r>
      </w:ins>
    </w:p>
    <w:p>
      <w:pPr>
        <w:pStyle w:val="yMiscellaneousHeading"/>
        <w:rPr>
          <w:b/>
          <w:snapToGrid w:val="0"/>
        </w:rPr>
      </w:pPr>
      <w:r>
        <w:rPr>
          <w:b/>
          <w:snapToGrid w:val="0"/>
        </w:rPr>
        <w:t xml:space="preserve">Part 1 — Portion of Temporary Reserve 5623H (“the TR”) </w:t>
      </w:r>
      <w:r>
        <w:rPr>
          <w:b/>
          <w:snapToGrid w:val="0"/>
        </w:rPr>
        <w:br/>
        <w:t>and construction camp</w:t>
      </w:r>
    </w:p>
    <w:p>
      <w:pPr>
        <w:pStyle w:val="yMiscellaneousBody"/>
        <w:rPr>
          <w:snapToGrid w:val="0"/>
        </w:rPr>
      </w:pPr>
      <w:r>
        <w:rPr>
          <w:snapToGrid w:val="0"/>
        </w:rPr>
        <w:t>Windell Locations 122 and 130 but excluding the land described in Parts 2 and 3.</w:t>
      </w:r>
    </w:p>
    <w:p>
      <w:pPr>
        <w:pStyle w:val="yMiscellaneousHeading"/>
        <w:rPr>
          <w:b/>
          <w:snapToGrid w:val="0"/>
        </w:rPr>
      </w:pPr>
      <w:r>
        <w:rPr>
          <w:b/>
          <w:snapToGrid w:val="0"/>
        </w:rPr>
        <w:t>Part 2 — Thoongarie Burial Site Complex (PO 6725)</w:t>
      </w:r>
    </w:p>
    <w:p>
      <w:pPr>
        <w:pStyle w:val="yMiscellaneousBody"/>
        <w:rPr>
          <w:snapToGrid w:val="0"/>
        </w:rPr>
      </w:pPr>
      <w:r>
        <w:rPr>
          <w:snapToGrid w:val="0"/>
        </w:rPr>
        <w:t>The land enclosed by a line starting at a point 2 014 metres at 119° 48′ from the south</w:t>
      </w:r>
      <w:r>
        <w:rPr>
          <w:snapToGrid w:val="0"/>
        </w:rPr>
        <w:noBreakHyphen/>
        <w:t>west corner of Windell Location 122 on the south boundary of Windell Location 122 and extending</w:t>
      </w:r>
    </w:p>
    <w:p>
      <w:pPr>
        <w:pStyle w:val="yMiscellaneousBody"/>
        <w:ind w:left="1134" w:hanging="567"/>
        <w:rPr>
          <w:snapToGrid w:val="0"/>
        </w:rPr>
      </w:pPr>
      <w:r>
        <w:rPr>
          <w:snapToGrid w:val="0"/>
        </w:rPr>
        <w:t>163 metres at 29° 48′</w:t>
      </w:r>
    </w:p>
    <w:p>
      <w:pPr>
        <w:pStyle w:val="yMiscellaneousBody"/>
        <w:spacing w:before="0"/>
        <w:ind w:left="1134" w:hanging="567"/>
        <w:rPr>
          <w:snapToGrid w:val="0"/>
        </w:rPr>
      </w:pPr>
      <w:r>
        <w:rPr>
          <w:snapToGrid w:val="0"/>
        </w:rPr>
        <w:t>300 metres at 119° 48′</w:t>
      </w:r>
    </w:p>
    <w:p>
      <w:pPr>
        <w:pStyle w:val="yMiscellaneousBody"/>
        <w:spacing w:before="0"/>
        <w:ind w:left="1134" w:hanging="567"/>
        <w:rPr>
          <w:snapToGrid w:val="0"/>
        </w:rPr>
      </w:pPr>
      <w:r>
        <w:rPr>
          <w:snapToGrid w:val="0"/>
        </w:rPr>
        <w:t>then at 209° 48′ to a point on the south boundary of Windell Location 122</w:t>
      </w:r>
    </w:p>
    <w:p>
      <w:pPr>
        <w:pStyle w:val="yMiscellaneousBody"/>
        <w:rPr>
          <w:snapToGrid w:val="0"/>
        </w:rPr>
      </w:pPr>
      <w:r>
        <w:rPr>
          <w:snapToGrid w:val="0"/>
        </w:rPr>
        <w:t>(true bearings) then back along that boundary to the starting point.</w:t>
      </w:r>
    </w:p>
    <w:p>
      <w:pPr>
        <w:pStyle w:val="yMiscellaneousHeading"/>
        <w:rPr>
          <w:b/>
          <w:snapToGrid w:val="0"/>
        </w:rPr>
      </w:pPr>
      <w:r>
        <w:rPr>
          <w:b/>
          <w:snapToGrid w:val="0"/>
        </w:rPr>
        <w:t>Part 3 — Land surrounding Barndayn (Bunjima Pool) </w:t>
      </w:r>
      <w:r>
        <w:rPr>
          <w:b/>
          <w:snapToGrid w:val="0"/>
        </w:rPr>
        <w:br/>
        <w:t>(PO 0164)</w:t>
      </w:r>
    </w:p>
    <w:p>
      <w:pPr>
        <w:pStyle w:val="yMiscellaneousBody"/>
        <w:rPr>
          <w:snapToGrid w:val="0"/>
        </w:rPr>
      </w:pPr>
      <w:r>
        <w:rPr>
          <w:snapToGrid w:val="0"/>
        </w:rPr>
        <w:t>So much of Windell Location 122 as is on the land enclosed by a line starting at a point on the south boundary of Windell Location 122 with AMG coordinates of E621 168.57 N7 490 867.17 and extending successively to points with AMG coordinates</w:t>
      </w:r>
    </w:p>
    <w:p>
      <w:pPr>
        <w:pStyle w:val="yMiscellaneousBody"/>
        <w:spacing w:before="0"/>
        <w:ind w:left="567"/>
        <w:rPr>
          <w:snapToGrid w:val="0"/>
        </w:rPr>
      </w:pPr>
      <w:r>
        <w:rPr>
          <w:snapToGrid w:val="0"/>
        </w:rPr>
        <w:t>E621 594.96 N7 492 138.78</w:t>
      </w:r>
    </w:p>
    <w:p>
      <w:pPr>
        <w:pStyle w:val="yMiscellaneousBody"/>
        <w:spacing w:before="0"/>
        <w:ind w:left="567"/>
        <w:rPr>
          <w:snapToGrid w:val="0"/>
        </w:rPr>
      </w:pPr>
      <w:r>
        <w:rPr>
          <w:snapToGrid w:val="0"/>
        </w:rPr>
        <w:t>E623 965.26 N7 491 343.98</w:t>
      </w:r>
    </w:p>
    <w:p>
      <w:pPr>
        <w:pStyle w:val="yMiscellaneousBody"/>
        <w:spacing w:before="0"/>
        <w:ind w:left="567"/>
        <w:rPr>
          <w:snapToGrid w:val="0"/>
        </w:rPr>
      </w:pPr>
      <w:r>
        <w:rPr>
          <w:snapToGrid w:val="0"/>
        </w:rPr>
        <w:t>E623 753.19 N7 490 711.52</w:t>
      </w:r>
    </w:p>
    <w:p>
      <w:pPr>
        <w:pStyle w:val="yMiscellaneousBody"/>
        <w:spacing w:before="0"/>
        <w:ind w:left="567"/>
        <w:rPr>
          <w:snapToGrid w:val="0"/>
        </w:rPr>
      </w:pPr>
      <w:r>
        <w:rPr>
          <w:snapToGrid w:val="0"/>
        </w:rPr>
        <w:t>E624 871.49 N7 489 268.65</w:t>
      </w:r>
    </w:p>
    <w:p>
      <w:pPr>
        <w:pStyle w:val="yMiscellaneousBody"/>
        <w:spacing w:before="0"/>
        <w:ind w:left="567"/>
        <w:rPr>
          <w:snapToGrid w:val="0"/>
        </w:rPr>
      </w:pPr>
      <w:r>
        <w:rPr>
          <w:snapToGrid w:val="0"/>
        </w:rPr>
        <w:t>E624 656.80 N7 488 833.80</w:t>
      </w:r>
    </w:p>
    <w:p>
      <w:pPr>
        <w:pStyle w:val="yMiscellaneousBody"/>
        <w:rPr>
          <w:snapToGrid w:val="0"/>
        </w:rPr>
      </w:pPr>
      <w:r>
        <w:rPr>
          <w:snapToGrid w:val="0"/>
        </w:rPr>
        <w:t>then back to the starting point.</w:t>
      </w:r>
    </w:p>
    <w:p>
      <w:pPr>
        <w:pStyle w:val="yScheduleHeading"/>
      </w:pPr>
      <w:bookmarkStart w:id="29" w:name="_Toc58995528"/>
      <w:bookmarkStart w:id="30" w:name="_Toc267995283"/>
      <w:bookmarkStart w:id="31" w:name="_Toc267995303"/>
      <w:bookmarkStart w:id="32" w:name="_Toc377724607"/>
      <w:bookmarkStart w:id="33" w:name="_Toc412551238"/>
      <w:bookmarkStart w:id="34" w:name="_Toc412551295"/>
      <w:r>
        <w:rPr>
          <w:rStyle w:val="CharSchNo"/>
        </w:rPr>
        <w:t>Schedule 2</w:t>
      </w:r>
      <w:bookmarkEnd w:id="29"/>
      <w:bookmarkEnd w:id="30"/>
      <w:bookmarkEnd w:id="31"/>
      <w:del w:id="35" w:author="svcMRProcess" w:date="2019-01-18T15:22:00Z">
        <w:r>
          <w:rPr>
            <w:rStyle w:val="CharSchText"/>
          </w:rPr>
          <w:delText xml:space="preserve"> </w:delText>
        </w:r>
      </w:del>
      <w:ins w:id="36" w:author="svcMRProcess" w:date="2019-01-18T15:22:00Z">
        <w:r>
          <w:t> — </w:t>
        </w:r>
        <w:r>
          <w:rPr>
            <w:rStyle w:val="CharSchText"/>
          </w:rPr>
          <w:t>Infrastructure corridor</w:t>
        </w:r>
      </w:ins>
      <w:bookmarkEnd w:id="32"/>
      <w:bookmarkEnd w:id="33"/>
      <w:bookmarkEnd w:id="34"/>
    </w:p>
    <w:p>
      <w:pPr>
        <w:pStyle w:val="yShoulderClause"/>
        <w:rPr>
          <w:ins w:id="37" w:author="svcMRProcess" w:date="2019-01-18T15:22:00Z"/>
        </w:rPr>
      </w:pPr>
      <w:ins w:id="38" w:author="svcMRProcess" w:date="2019-01-18T15:22:00Z">
        <w:r>
          <w:t>[s. 3(1)]</w:t>
        </w:r>
      </w:ins>
    </w:p>
    <w:p>
      <w:pPr>
        <w:pStyle w:val="yFootnoteheading"/>
        <w:rPr>
          <w:ins w:id="39" w:author="svcMRProcess" w:date="2019-01-18T15:22:00Z"/>
        </w:rPr>
      </w:pPr>
      <w:ins w:id="40" w:author="svcMRProcess" w:date="2019-01-18T15:22:00Z">
        <w:r>
          <w:tab/>
          <w:t>[Heading amended: No. 19 of 2010 s. 4.]</w:t>
        </w:r>
      </w:ins>
    </w:p>
    <w:p>
      <w:pPr>
        <w:pStyle w:val="yMiscellaneousHeading"/>
        <w:rPr>
          <w:b/>
          <w:snapToGrid w:val="0"/>
        </w:rPr>
      </w:pPr>
      <w:r>
        <w:rPr>
          <w:b/>
          <w:snapToGrid w:val="0"/>
        </w:rPr>
        <w:t>Part 1 — Infrastructure corridor</w:t>
      </w:r>
    </w:p>
    <w:p>
      <w:pPr>
        <w:pStyle w:val="yMiscellaneousBody"/>
        <w:rPr>
          <w:snapToGrid w:val="0"/>
        </w:rPr>
      </w:pPr>
      <w:r>
        <w:rPr>
          <w:snapToGrid w:val="0"/>
        </w:rPr>
        <w:t>Windell Location 121 and the land enclosed by a line starting at Latitude 22° 24′ 28″ South and Longitude 117° 41′ 9″ (a point about 9.5 km at 285° from Red Hill) and extending</w:t>
      </w:r>
    </w:p>
    <w:p>
      <w:pPr>
        <w:pStyle w:val="yMiscellaneousBody"/>
        <w:ind w:left="567"/>
        <w:rPr>
          <w:snapToGrid w:val="0"/>
        </w:rPr>
      </w:pPr>
      <w:r>
        <w:rPr>
          <w:snapToGrid w:val="0"/>
        </w:rPr>
        <w:t>16 391.9 metres at 106° 53′ 12″</w:t>
      </w:r>
    </w:p>
    <w:p>
      <w:pPr>
        <w:pStyle w:val="yMiscellaneousBody"/>
        <w:spacing w:before="0"/>
        <w:ind w:left="567"/>
        <w:rPr>
          <w:snapToGrid w:val="0"/>
        </w:rPr>
      </w:pPr>
      <w:r>
        <w:rPr>
          <w:snapToGrid w:val="0"/>
        </w:rPr>
        <w:t>2 872.1 metres at 140° 0′ 56″</w:t>
      </w:r>
    </w:p>
    <w:p>
      <w:pPr>
        <w:pStyle w:val="yMiscellaneousBody"/>
        <w:spacing w:before="0"/>
        <w:ind w:left="567"/>
        <w:rPr>
          <w:snapToGrid w:val="0"/>
        </w:rPr>
      </w:pPr>
      <w:r>
        <w:rPr>
          <w:snapToGrid w:val="0"/>
        </w:rPr>
        <w:t>4 021.2 metres at 98° 35′ 01″</w:t>
      </w:r>
    </w:p>
    <w:p>
      <w:pPr>
        <w:pStyle w:val="yMiscellaneousBody"/>
        <w:spacing w:before="0"/>
        <w:ind w:left="567"/>
        <w:rPr>
          <w:snapToGrid w:val="0"/>
        </w:rPr>
      </w:pPr>
      <w:r>
        <w:rPr>
          <w:snapToGrid w:val="0"/>
        </w:rPr>
        <w:t>5 660.3 metres at 133° 34′ 04″</w:t>
      </w:r>
    </w:p>
    <w:p>
      <w:pPr>
        <w:pStyle w:val="yMiscellaneousBody"/>
        <w:spacing w:before="0"/>
        <w:ind w:left="567"/>
        <w:rPr>
          <w:snapToGrid w:val="0"/>
        </w:rPr>
      </w:pPr>
      <w:r>
        <w:rPr>
          <w:snapToGrid w:val="0"/>
        </w:rPr>
        <w:t>4 505.7 metres at 182° 32′ 41″</w:t>
      </w:r>
    </w:p>
    <w:p>
      <w:pPr>
        <w:pStyle w:val="yMiscellaneousBody"/>
        <w:spacing w:before="0"/>
        <w:ind w:left="567"/>
        <w:rPr>
          <w:snapToGrid w:val="0"/>
        </w:rPr>
      </w:pPr>
      <w:r>
        <w:rPr>
          <w:snapToGrid w:val="0"/>
        </w:rPr>
        <w:t>5 624.1 metres at 133° 55′ 08″</w:t>
      </w:r>
    </w:p>
    <w:p>
      <w:pPr>
        <w:pStyle w:val="yMiscellaneousBody"/>
        <w:spacing w:before="0"/>
        <w:ind w:left="567"/>
        <w:rPr>
          <w:snapToGrid w:val="0"/>
        </w:rPr>
      </w:pPr>
      <w:r>
        <w:rPr>
          <w:snapToGrid w:val="0"/>
        </w:rPr>
        <w:t>3 150.9 metres at 90° 00′ 00″</w:t>
      </w:r>
    </w:p>
    <w:p>
      <w:pPr>
        <w:pStyle w:val="yMiscellaneousBody"/>
        <w:spacing w:before="0"/>
        <w:ind w:left="567"/>
        <w:rPr>
          <w:snapToGrid w:val="0"/>
        </w:rPr>
      </w:pPr>
      <w:r>
        <w:rPr>
          <w:snapToGrid w:val="0"/>
        </w:rPr>
        <w:t>7 964.5 metres at 101° 35′ 31″</w:t>
      </w:r>
    </w:p>
    <w:p>
      <w:pPr>
        <w:pStyle w:val="yMiscellaneousBody"/>
        <w:spacing w:before="0"/>
        <w:ind w:left="567"/>
        <w:rPr>
          <w:snapToGrid w:val="0"/>
        </w:rPr>
      </w:pPr>
      <w:r>
        <w:rPr>
          <w:snapToGrid w:val="0"/>
        </w:rPr>
        <w:t>1 450.4 metres at 180° 00′ 00″</w:t>
      </w:r>
    </w:p>
    <w:p>
      <w:pPr>
        <w:pStyle w:val="yMiscellaneousBody"/>
        <w:spacing w:before="0"/>
        <w:ind w:left="567"/>
        <w:rPr>
          <w:snapToGrid w:val="0"/>
        </w:rPr>
      </w:pPr>
      <w:r>
        <w:rPr>
          <w:snapToGrid w:val="0"/>
        </w:rPr>
        <w:t>3 800.9 metres at 270° 00′ 00″</w:t>
      </w:r>
    </w:p>
    <w:p>
      <w:pPr>
        <w:pStyle w:val="yMiscellaneousBody"/>
        <w:spacing w:before="0"/>
        <w:ind w:left="567"/>
        <w:rPr>
          <w:snapToGrid w:val="0"/>
        </w:rPr>
      </w:pPr>
      <w:r>
        <w:rPr>
          <w:snapToGrid w:val="0"/>
        </w:rPr>
        <w:t>4 356.7 metres at 283° 56′ 59″</w:t>
      </w:r>
    </w:p>
    <w:p>
      <w:pPr>
        <w:pStyle w:val="yMiscellaneousBody"/>
        <w:spacing w:before="0"/>
        <w:ind w:left="567"/>
        <w:rPr>
          <w:snapToGrid w:val="0"/>
        </w:rPr>
      </w:pPr>
      <w:r>
        <w:rPr>
          <w:snapToGrid w:val="0"/>
        </w:rPr>
        <w:t>3 730.3 metres at 270° 00′ 00″</w:t>
      </w:r>
    </w:p>
    <w:p>
      <w:pPr>
        <w:pStyle w:val="yMiscellaneousBody"/>
        <w:spacing w:before="0"/>
        <w:ind w:left="567"/>
        <w:rPr>
          <w:snapToGrid w:val="0"/>
        </w:rPr>
      </w:pPr>
      <w:r>
        <w:rPr>
          <w:snapToGrid w:val="0"/>
        </w:rPr>
        <w:t>7 334.5 metres at 313° 55′ 09″</w:t>
      </w:r>
    </w:p>
    <w:p>
      <w:pPr>
        <w:pStyle w:val="yMiscellaneousBody"/>
        <w:spacing w:before="0"/>
        <w:ind w:left="567"/>
        <w:rPr>
          <w:snapToGrid w:val="0"/>
        </w:rPr>
      </w:pPr>
      <w:r>
        <w:rPr>
          <w:snapToGrid w:val="0"/>
        </w:rPr>
        <w:t>4 498.3 metres at 2° 32′ 38″</w:t>
      </w:r>
    </w:p>
    <w:p>
      <w:pPr>
        <w:pStyle w:val="yMiscellaneousBody"/>
        <w:spacing w:before="0"/>
        <w:ind w:left="567"/>
        <w:rPr>
          <w:snapToGrid w:val="0"/>
        </w:rPr>
      </w:pPr>
      <w:r>
        <w:rPr>
          <w:snapToGrid w:val="0"/>
        </w:rPr>
        <w:t>4 118.6 metres at 313° 34′ 09″</w:t>
      </w:r>
    </w:p>
    <w:p>
      <w:pPr>
        <w:pStyle w:val="yMiscellaneousBody"/>
        <w:spacing w:before="0"/>
        <w:ind w:left="567"/>
        <w:rPr>
          <w:snapToGrid w:val="0"/>
        </w:rPr>
      </w:pPr>
      <w:r>
        <w:rPr>
          <w:snapToGrid w:val="0"/>
        </w:rPr>
        <w:t>4 151.5 metres at 278° 26′ 01″</w:t>
      </w:r>
    </w:p>
    <w:p>
      <w:pPr>
        <w:pStyle w:val="yMiscellaneousBody"/>
        <w:spacing w:before="0"/>
        <w:ind w:left="567"/>
        <w:rPr>
          <w:snapToGrid w:val="0"/>
        </w:rPr>
      </w:pPr>
      <w:r>
        <w:rPr>
          <w:snapToGrid w:val="0"/>
        </w:rPr>
        <w:t>7 025.6 metres at 290° 37′ 56″</w:t>
      </w:r>
    </w:p>
    <w:p>
      <w:pPr>
        <w:pStyle w:val="yMiscellaneousBody"/>
        <w:spacing w:before="0"/>
        <w:ind w:left="567"/>
        <w:rPr>
          <w:snapToGrid w:val="0"/>
        </w:rPr>
      </w:pPr>
      <w:r>
        <w:rPr>
          <w:snapToGrid w:val="0"/>
        </w:rPr>
        <w:t>9 036.7 metres at 287° 49′ 37″</w:t>
      </w:r>
    </w:p>
    <w:p>
      <w:pPr>
        <w:pStyle w:val="yMiscellaneousBody"/>
        <w:rPr>
          <w:snapToGrid w:val="0"/>
        </w:rPr>
      </w:pPr>
      <w:r>
        <w:rPr>
          <w:snapToGrid w:val="0"/>
        </w:rPr>
        <w:t>(true bearings) then back to the starting point, but excluding the land described in Part 2.</w:t>
      </w:r>
    </w:p>
    <w:p>
      <w:pPr>
        <w:pStyle w:val="yMiscellaneousHeading"/>
        <w:rPr>
          <w:b/>
          <w:snapToGrid w:val="0"/>
        </w:rPr>
      </w:pPr>
      <w:r>
        <w:rPr>
          <w:b/>
          <w:snapToGrid w:val="0"/>
        </w:rPr>
        <w:t xml:space="preserve">Part 2 — Portion of Mount Bruce Aboriginal Site </w:t>
      </w:r>
      <w:r>
        <w:rPr>
          <w:b/>
          <w:snapToGrid w:val="0"/>
        </w:rPr>
        <w:br/>
        <w:t>(PO 4344)</w:t>
      </w:r>
    </w:p>
    <w:p>
      <w:pPr>
        <w:pStyle w:val="yMiscellaneousBody"/>
        <w:rPr>
          <w:snapToGrid w:val="0"/>
        </w:rPr>
      </w:pPr>
      <w:r>
        <w:rPr>
          <w:snapToGrid w:val="0"/>
        </w:rPr>
        <w:t>The land enclosed by a line starting at a point 3 670 metres at 100° 38′ 00″ from the north</w:t>
      </w:r>
      <w:r>
        <w:rPr>
          <w:snapToGrid w:val="0"/>
        </w:rPr>
        <w:noBreakHyphen/>
        <w:t>west corner of Windell Location 122 and extending</w:t>
      </w:r>
    </w:p>
    <w:p>
      <w:pPr>
        <w:pStyle w:val="yMiscellaneousBody"/>
        <w:ind w:left="1134" w:hanging="567"/>
        <w:rPr>
          <w:snapToGrid w:val="0"/>
        </w:rPr>
      </w:pPr>
      <w:r>
        <w:rPr>
          <w:snapToGrid w:val="0"/>
        </w:rPr>
        <w:t>2 950 metres at 300° 11′ to a point on Windell Location 121 boundary</w:t>
      </w:r>
    </w:p>
    <w:p>
      <w:pPr>
        <w:pStyle w:val="yMiscellaneousBody"/>
        <w:spacing w:before="0"/>
        <w:ind w:left="1134" w:hanging="567"/>
        <w:rPr>
          <w:snapToGrid w:val="0"/>
        </w:rPr>
      </w:pPr>
      <w:r>
        <w:rPr>
          <w:snapToGrid w:val="0"/>
        </w:rPr>
        <w:t>then along that boundary 3 670 metres at 100° 38′ to a point on Windell Location 121 boundary</w:t>
      </w:r>
    </w:p>
    <w:p>
      <w:pPr>
        <w:pStyle w:val="yMiscellaneousBody"/>
        <w:spacing w:before="0"/>
        <w:ind w:left="1134" w:hanging="567"/>
        <w:rPr>
          <w:snapToGrid w:val="0"/>
        </w:rPr>
      </w:pPr>
      <w:r>
        <w:rPr>
          <w:snapToGrid w:val="0"/>
        </w:rPr>
        <w:t>then along that boundary 750 metres at 119° 35′ to a point on Windell Location 121 boundary</w:t>
      </w:r>
    </w:p>
    <w:p>
      <w:pPr>
        <w:pStyle w:val="yMiscellaneousBody"/>
        <w:spacing w:before="0"/>
        <w:ind w:left="1134" w:hanging="567"/>
        <w:rPr>
          <w:snapToGrid w:val="0"/>
        </w:rPr>
      </w:pPr>
      <w:r>
        <w:rPr>
          <w:snapToGrid w:val="0"/>
        </w:rPr>
        <w:t>then 770 metres at 209° 35′ to a point on Windell Location 121 boundary</w:t>
      </w:r>
    </w:p>
    <w:p>
      <w:pPr>
        <w:pStyle w:val="yMiscellaneousBody"/>
        <w:spacing w:before="0"/>
        <w:ind w:left="1134" w:hanging="567"/>
        <w:rPr>
          <w:snapToGrid w:val="0"/>
        </w:rPr>
      </w:pPr>
      <w:r>
        <w:rPr>
          <w:snapToGrid w:val="0"/>
        </w:rPr>
        <w:t>then 425 metres at 270° 00′ to a point on the TR boundary</w:t>
      </w:r>
    </w:p>
    <w:p>
      <w:pPr>
        <w:pStyle w:val="yMiscellaneousBody"/>
        <w:spacing w:before="0"/>
        <w:ind w:left="1134" w:hanging="567"/>
        <w:rPr>
          <w:snapToGrid w:val="0"/>
        </w:rPr>
      </w:pPr>
      <w:r>
        <w:rPr>
          <w:snapToGrid w:val="0"/>
        </w:rPr>
        <w:t>then along that boundary 194 metres at 299° 35′ to a point on Windell Location 121 boundary</w:t>
      </w:r>
    </w:p>
    <w:p>
      <w:pPr>
        <w:pStyle w:val="yMiscellaneousBody"/>
        <w:rPr>
          <w:snapToGrid w:val="0"/>
        </w:rPr>
      </w:pPr>
      <w:r>
        <w:rPr>
          <w:snapToGrid w:val="0"/>
        </w:rPr>
        <w:t>(true bearings) then back to the starting point.</w:t>
      </w:r>
    </w:p>
    <w:p>
      <w:pPr>
        <w:pStyle w:val="yScheduleHeading"/>
      </w:pPr>
      <w:bookmarkStart w:id="41" w:name="_Toc58995529"/>
      <w:bookmarkStart w:id="42" w:name="_Toc267995284"/>
      <w:bookmarkStart w:id="43" w:name="_Toc267995304"/>
      <w:bookmarkStart w:id="44" w:name="_Toc377724608"/>
      <w:bookmarkStart w:id="45" w:name="_Toc412551239"/>
      <w:bookmarkStart w:id="46" w:name="_Toc412551296"/>
      <w:r>
        <w:rPr>
          <w:rStyle w:val="CharSchNo"/>
        </w:rPr>
        <w:t>Schedule 3</w:t>
      </w:r>
      <w:bookmarkEnd w:id="41"/>
      <w:bookmarkEnd w:id="42"/>
      <w:bookmarkEnd w:id="43"/>
      <w:del w:id="47" w:author="svcMRProcess" w:date="2019-01-18T15:22:00Z">
        <w:r>
          <w:rPr>
            <w:rStyle w:val="CharSchText"/>
          </w:rPr>
          <w:delText xml:space="preserve"> </w:delText>
        </w:r>
      </w:del>
      <w:ins w:id="48" w:author="svcMRProcess" w:date="2019-01-18T15:22:00Z">
        <w:r>
          <w:t> — </w:t>
        </w:r>
        <w:r>
          <w:rPr>
            <w:rStyle w:val="CharSchText"/>
          </w:rPr>
          <w:t>Power line route</w:t>
        </w:r>
      </w:ins>
      <w:bookmarkEnd w:id="44"/>
      <w:bookmarkEnd w:id="45"/>
      <w:bookmarkEnd w:id="46"/>
    </w:p>
    <w:p>
      <w:pPr>
        <w:pStyle w:val="yShoulderClause"/>
        <w:rPr>
          <w:ins w:id="49" w:author="svcMRProcess" w:date="2019-01-18T15:22:00Z"/>
        </w:rPr>
      </w:pPr>
      <w:ins w:id="50" w:author="svcMRProcess" w:date="2019-01-18T15:22:00Z">
        <w:r>
          <w:t>[s. 3(1)]</w:t>
        </w:r>
      </w:ins>
    </w:p>
    <w:p>
      <w:pPr>
        <w:pStyle w:val="yFootnoteheading"/>
        <w:rPr>
          <w:ins w:id="51" w:author="svcMRProcess" w:date="2019-01-18T15:22:00Z"/>
        </w:rPr>
      </w:pPr>
      <w:ins w:id="52" w:author="svcMRProcess" w:date="2019-01-18T15:22:00Z">
        <w:r>
          <w:tab/>
          <w:t>[Heading amended: No. 19 of 2010 s. 4.]</w:t>
        </w:r>
      </w:ins>
    </w:p>
    <w:p>
      <w:pPr>
        <w:pStyle w:val="yMiscellaneousHeading"/>
        <w:rPr>
          <w:b/>
          <w:snapToGrid w:val="0"/>
        </w:rPr>
      </w:pPr>
      <w:r>
        <w:rPr>
          <w:b/>
          <w:snapToGrid w:val="0"/>
        </w:rPr>
        <w:t>Part 1 — Power line route</w:t>
      </w:r>
    </w:p>
    <w:p>
      <w:pPr>
        <w:pStyle w:val="yMiscellaneousBody"/>
        <w:rPr>
          <w:snapToGrid w:val="0"/>
        </w:rPr>
      </w:pPr>
      <w:r>
        <w:rPr>
          <w:snapToGrid w:val="0"/>
        </w:rPr>
        <w:t xml:space="preserve">The land enclosed by a line starting at a point 2 947.42 metres at 239° 33′ 12″ from Control Station MD 15 on the north boundary of Section 3 of Miscellaneous Licence 4 issued under the </w:t>
      </w:r>
      <w:r>
        <w:rPr>
          <w:i/>
          <w:snapToGrid w:val="0"/>
        </w:rPr>
        <w:t>Mining Act 1978</w:t>
      </w:r>
      <w:r>
        <w:rPr>
          <w:snapToGrid w:val="0"/>
        </w:rPr>
        <w:t xml:space="preserve"> and extending</w:t>
      </w:r>
    </w:p>
    <w:p>
      <w:pPr>
        <w:pStyle w:val="yMiscellaneousBody"/>
        <w:ind w:left="567"/>
        <w:rPr>
          <w:snapToGrid w:val="0"/>
        </w:rPr>
      </w:pPr>
      <w:r>
        <w:rPr>
          <w:snapToGrid w:val="0"/>
        </w:rPr>
        <w:t>1 160.76 metres at 51° 38′ 55″</w:t>
      </w:r>
    </w:p>
    <w:p>
      <w:pPr>
        <w:pStyle w:val="yMiscellaneousBody"/>
        <w:spacing w:before="0"/>
        <w:ind w:left="567"/>
        <w:rPr>
          <w:snapToGrid w:val="0"/>
        </w:rPr>
      </w:pPr>
      <w:r>
        <w:rPr>
          <w:snapToGrid w:val="0"/>
        </w:rPr>
        <w:t>930.29 metres at 90° 00′ 00″</w:t>
      </w:r>
    </w:p>
    <w:p>
      <w:pPr>
        <w:pStyle w:val="yMiscellaneousBody"/>
        <w:spacing w:before="0"/>
        <w:ind w:left="567"/>
        <w:rPr>
          <w:snapToGrid w:val="0"/>
        </w:rPr>
      </w:pPr>
      <w:r>
        <w:rPr>
          <w:snapToGrid w:val="0"/>
        </w:rPr>
        <w:t>4 158.28 metres at 16° 46′ 42″</w:t>
      </w:r>
    </w:p>
    <w:p>
      <w:pPr>
        <w:pStyle w:val="yMiscellaneousBody"/>
        <w:spacing w:before="0"/>
        <w:ind w:left="567"/>
        <w:rPr>
          <w:snapToGrid w:val="0"/>
        </w:rPr>
      </w:pPr>
      <w:r>
        <w:rPr>
          <w:snapToGrid w:val="0"/>
        </w:rPr>
        <w:t>2 845.69 metres at 73° 40′ 02″</w:t>
      </w:r>
    </w:p>
    <w:p>
      <w:pPr>
        <w:pStyle w:val="yMiscellaneousBody"/>
        <w:spacing w:before="0"/>
        <w:ind w:left="567"/>
        <w:rPr>
          <w:snapToGrid w:val="0"/>
        </w:rPr>
      </w:pPr>
      <w:r>
        <w:rPr>
          <w:snapToGrid w:val="0"/>
        </w:rPr>
        <w:t>2 389.22 metres at 41° 05′ 44″</w:t>
      </w:r>
    </w:p>
    <w:p>
      <w:pPr>
        <w:pStyle w:val="yMiscellaneousBody"/>
        <w:spacing w:before="0"/>
        <w:ind w:left="567"/>
        <w:rPr>
          <w:snapToGrid w:val="0"/>
        </w:rPr>
      </w:pPr>
      <w:r>
        <w:rPr>
          <w:snapToGrid w:val="0"/>
        </w:rPr>
        <w:t>3 516.3 metres at 62° 55′ 29″</w:t>
      </w:r>
    </w:p>
    <w:p>
      <w:pPr>
        <w:pStyle w:val="yMiscellaneousBody"/>
        <w:spacing w:before="0"/>
        <w:ind w:left="567"/>
        <w:rPr>
          <w:snapToGrid w:val="0"/>
        </w:rPr>
      </w:pPr>
      <w:r>
        <w:rPr>
          <w:snapToGrid w:val="0"/>
        </w:rPr>
        <w:t>5 004.38 metres at 1° 56′ 50″</w:t>
      </w:r>
    </w:p>
    <w:p>
      <w:pPr>
        <w:pStyle w:val="yMiscellaneousBody"/>
        <w:spacing w:before="0"/>
        <w:ind w:left="567"/>
        <w:rPr>
          <w:snapToGrid w:val="0"/>
        </w:rPr>
      </w:pPr>
      <w:r>
        <w:rPr>
          <w:snapToGrid w:val="0"/>
        </w:rPr>
        <w:t>3 000.88 metres at 90° 00′ 00″</w:t>
      </w:r>
    </w:p>
    <w:p>
      <w:pPr>
        <w:pStyle w:val="yMiscellaneousBody"/>
        <w:spacing w:before="0"/>
        <w:ind w:left="567"/>
        <w:rPr>
          <w:snapToGrid w:val="0"/>
        </w:rPr>
      </w:pPr>
      <w:r>
        <w:rPr>
          <w:snapToGrid w:val="0"/>
        </w:rPr>
        <w:t>3 962.71 metres at 67° 07′ 27″</w:t>
      </w:r>
    </w:p>
    <w:p>
      <w:pPr>
        <w:pStyle w:val="yMiscellaneousBody"/>
        <w:spacing w:before="0"/>
        <w:ind w:left="567"/>
        <w:rPr>
          <w:snapToGrid w:val="0"/>
        </w:rPr>
      </w:pPr>
      <w:r>
        <w:rPr>
          <w:snapToGrid w:val="0"/>
        </w:rPr>
        <w:t>2 216.73 metres at 134° 01′ 12″</w:t>
      </w:r>
    </w:p>
    <w:p>
      <w:pPr>
        <w:pStyle w:val="yMiscellaneousBody"/>
        <w:spacing w:before="0"/>
        <w:ind w:left="567"/>
        <w:rPr>
          <w:snapToGrid w:val="0"/>
        </w:rPr>
      </w:pPr>
      <w:r>
        <w:rPr>
          <w:snapToGrid w:val="0"/>
        </w:rPr>
        <w:t>4 433.81 metres at 247° 26′ 53″</w:t>
      </w:r>
    </w:p>
    <w:p>
      <w:pPr>
        <w:pStyle w:val="yMiscellaneousBody"/>
        <w:spacing w:before="0"/>
        <w:ind w:left="567"/>
        <w:rPr>
          <w:snapToGrid w:val="0"/>
        </w:rPr>
      </w:pPr>
      <w:r>
        <w:rPr>
          <w:snapToGrid w:val="0"/>
        </w:rPr>
        <w:t>2 750.8 metres at 270° 00′ 00″</w:t>
      </w:r>
    </w:p>
    <w:p>
      <w:pPr>
        <w:pStyle w:val="yMiscellaneousBody"/>
        <w:spacing w:before="0"/>
        <w:ind w:left="567"/>
        <w:rPr>
          <w:snapToGrid w:val="0"/>
        </w:rPr>
      </w:pPr>
      <w:r>
        <w:rPr>
          <w:snapToGrid w:val="0"/>
        </w:rPr>
        <w:t>900.26 metres at 180° 00′ 00″</w:t>
      </w:r>
    </w:p>
    <w:p>
      <w:pPr>
        <w:pStyle w:val="yMiscellaneousBody"/>
        <w:spacing w:before="0"/>
        <w:ind w:left="567"/>
        <w:rPr>
          <w:snapToGrid w:val="0"/>
        </w:rPr>
      </w:pPr>
      <w:r>
        <w:rPr>
          <w:snapToGrid w:val="0"/>
        </w:rPr>
        <w:t>600.18 metres at 270° 00′ 00″</w:t>
      </w:r>
    </w:p>
    <w:p>
      <w:pPr>
        <w:pStyle w:val="yMiscellaneousBody"/>
        <w:spacing w:before="0"/>
        <w:ind w:left="567"/>
        <w:rPr>
          <w:snapToGrid w:val="0"/>
        </w:rPr>
      </w:pPr>
      <w:r>
        <w:rPr>
          <w:snapToGrid w:val="0"/>
        </w:rPr>
        <w:t>2 900.86 metres at 180° 00′ 00″</w:t>
      </w:r>
    </w:p>
    <w:p>
      <w:pPr>
        <w:pStyle w:val="yMiscellaneousBody"/>
        <w:spacing w:before="0"/>
        <w:ind w:left="567"/>
        <w:rPr>
          <w:snapToGrid w:val="0"/>
        </w:rPr>
      </w:pPr>
      <w:r>
        <w:rPr>
          <w:snapToGrid w:val="0"/>
        </w:rPr>
        <w:t>3 937.23 metres at 244° 24′ 41″</w:t>
      </w:r>
    </w:p>
    <w:p>
      <w:pPr>
        <w:pStyle w:val="yMiscellaneousBody"/>
        <w:spacing w:before="0"/>
        <w:ind w:left="567"/>
        <w:rPr>
          <w:snapToGrid w:val="0"/>
        </w:rPr>
      </w:pPr>
      <w:r>
        <w:rPr>
          <w:snapToGrid w:val="0"/>
        </w:rPr>
        <w:t>2 565.23 metres at 221° 31′ 20″</w:t>
      </w:r>
    </w:p>
    <w:p>
      <w:pPr>
        <w:pStyle w:val="yMiscellaneousBody"/>
        <w:spacing w:before="0"/>
        <w:ind w:left="567"/>
        <w:rPr>
          <w:snapToGrid w:val="0"/>
        </w:rPr>
      </w:pPr>
      <w:r>
        <w:rPr>
          <w:snapToGrid w:val="0"/>
        </w:rPr>
        <w:t>2 604.05 metres at 250° 14′ 33″</w:t>
      </w:r>
    </w:p>
    <w:p>
      <w:pPr>
        <w:pStyle w:val="yMiscellaneousBody"/>
        <w:spacing w:before="0"/>
        <w:ind w:left="567"/>
        <w:rPr>
          <w:snapToGrid w:val="0"/>
        </w:rPr>
      </w:pPr>
      <w:r>
        <w:rPr>
          <w:snapToGrid w:val="0"/>
        </w:rPr>
        <w:t>4 267.77 metres at 196° 03′ 21″</w:t>
      </w:r>
    </w:p>
    <w:p>
      <w:pPr>
        <w:pStyle w:val="yMiscellaneousBody"/>
        <w:spacing w:before="0"/>
        <w:ind w:left="567"/>
        <w:rPr>
          <w:snapToGrid w:val="0"/>
        </w:rPr>
      </w:pPr>
      <w:r>
        <w:rPr>
          <w:snapToGrid w:val="0"/>
        </w:rPr>
        <w:t>1 420.45 metres at 270° 00′ 00″</w:t>
      </w:r>
    </w:p>
    <w:p>
      <w:pPr>
        <w:pStyle w:val="yMiscellaneousBody"/>
        <w:spacing w:before="0"/>
        <w:ind w:left="567"/>
        <w:rPr>
          <w:snapToGrid w:val="0"/>
        </w:rPr>
      </w:pPr>
      <w:r>
        <w:rPr>
          <w:snapToGrid w:val="0"/>
        </w:rPr>
        <w:t>438.43 metres at 235° 13′ 20″</w:t>
      </w:r>
    </w:p>
    <w:p>
      <w:pPr>
        <w:pStyle w:val="yMiscellaneousBody"/>
        <w:rPr>
          <w:snapToGrid w:val="0"/>
        </w:rPr>
      </w:pPr>
      <w:r>
        <w:rPr>
          <w:snapToGrid w:val="0"/>
        </w:rPr>
        <w:t>(true bearings) then back to the starting point, but excluding the land described in Part 2.</w:t>
      </w:r>
    </w:p>
    <w:p>
      <w:pPr>
        <w:pStyle w:val="yMiscellaneousHeading"/>
        <w:rPr>
          <w:b/>
          <w:snapToGrid w:val="0"/>
        </w:rPr>
      </w:pPr>
      <w:r>
        <w:rPr>
          <w:b/>
          <w:snapToGrid w:val="0"/>
        </w:rPr>
        <w:t>Part 2 — Rock Art Complex (PO 5757)</w:t>
      </w:r>
    </w:p>
    <w:p>
      <w:pPr>
        <w:pStyle w:val="yMiscellaneousBody"/>
        <w:rPr>
          <w:snapToGrid w:val="0"/>
        </w:rPr>
      </w:pPr>
      <w:r>
        <w:rPr>
          <w:snapToGrid w:val="0"/>
        </w:rPr>
        <w:t>The land enclosed by a line starting at a point 100 metres at 0° 00′ 00″ from a point with AMG coordinates of E587 800 N7 492 900 and extending</w:t>
      </w:r>
    </w:p>
    <w:p>
      <w:pPr>
        <w:pStyle w:val="yMiscellaneousBody"/>
        <w:ind w:left="567"/>
        <w:rPr>
          <w:snapToGrid w:val="0"/>
        </w:rPr>
      </w:pPr>
      <w:r>
        <w:rPr>
          <w:snapToGrid w:val="0"/>
        </w:rPr>
        <w:t>100 metres at 90° 00′ 00″</w:t>
      </w:r>
    </w:p>
    <w:p>
      <w:pPr>
        <w:pStyle w:val="yMiscellaneousBody"/>
        <w:spacing w:before="0"/>
        <w:ind w:left="567"/>
        <w:rPr>
          <w:snapToGrid w:val="0"/>
        </w:rPr>
      </w:pPr>
      <w:r>
        <w:rPr>
          <w:snapToGrid w:val="0"/>
        </w:rPr>
        <w:t>200 metres at 180° 00′ 00″</w:t>
      </w:r>
    </w:p>
    <w:p>
      <w:pPr>
        <w:pStyle w:val="yMiscellaneousBody"/>
        <w:keepNext/>
        <w:spacing w:before="0"/>
        <w:ind w:left="567"/>
        <w:rPr>
          <w:snapToGrid w:val="0"/>
        </w:rPr>
      </w:pPr>
      <w:r>
        <w:rPr>
          <w:snapToGrid w:val="0"/>
        </w:rPr>
        <w:t>200 metres at 270° 00′ 00″</w:t>
      </w:r>
    </w:p>
    <w:p>
      <w:pPr>
        <w:pStyle w:val="yMiscellaneousBody"/>
        <w:keepNext/>
        <w:spacing w:before="0"/>
        <w:ind w:left="567"/>
        <w:rPr>
          <w:snapToGrid w:val="0"/>
        </w:rPr>
      </w:pPr>
      <w:r>
        <w:rPr>
          <w:snapToGrid w:val="0"/>
        </w:rPr>
        <w:t>200 metres at 0° 00′ 00″</w:t>
      </w:r>
    </w:p>
    <w:p>
      <w:pPr>
        <w:pStyle w:val="yMiscellaneousBody"/>
        <w:rPr>
          <w:snapToGrid w:val="0"/>
        </w:rPr>
      </w:pPr>
      <w:r>
        <w:rPr>
          <w:snapToGrid w:val="0"/>
        </w:rPr>
        <w:t>(true bearings) then back to the starting point.</w:t>
      </w:r>
    </w:p>
    <w:p>
      <w:pPr>
        <w:pStyle w:val="yMiscellaneousBody"/>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4" w:name="_Toc377724609"/>
      <w:bookmarkStart w:id="55" w:name="_Toc412551240"/>
      <w:bookmarkStart w:id="56" w:name="_Toc412551297"/>
      <w:bookmarkStart w:id="57" w:name="_Toc267995285"/>
      <w:bookmarkStart w:id="58" w:name="_Toc267995305"/>
      <w:r>
        <w:t>Notes</w:t>
      </w:r>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w:t>
      </w:r>
      <w:del w:id="59" w:author="svcMRProcess" w:date="2019-01-18T15:22:00Z">
        <w:r>
          <w:rPr>
            <w:snapToGrid w:val="0"/>
          </w:rPr>
          <w:delText>reprint as at 14 November 2003</w:delText>
        </w:r>
      </w:del>
      <w:ins w:id="60" w:author="svcMRProcess" w:date="2019-01-18T15:22:00Z">
        <w:r>
          <w:rPr>
            <w:snapToGrid w:val="0"/>
          </w:rPr>
          <w:t>compilation</w:t>
        </w:r>
      </w:ins>
      <w:r>
        <w:rPr>
          <w:snapToGrid w:val="0"/>
        </w:rPr>
        <w:t xml:space="preserve"> of the </w:t>
      </w:r>
      <w:r>
        <w:rPr>
          <w:i/>
          <w:noProof/>
          <w:snapToGrid w:val="0"/>
        </w:rPr>
        <w:t>Aboriginal Heritage (Marandoo) Act 1992</w:t>
      </w:r>
      <w:del w:id="61" w:author="svcMRProcess" w:date="2019-01-18T15:22:00Z">
        <w:r>
          <w:rPr>
            <w:snapToGrid w:val="0"/>
          </w:rPr>
          <w:delText xml:space="preserve">.  The </w:delText>
        </w:r>
      </w:del>
      <w:ins w:id="62" w:author="svcMRProcess" w:date="2019-01-18T15:22:00Z">
        <w:r>
          <w:rPr>
            <w:snapToGrid w:val="0"/>
          </w:rPr>
          <w:t xml:space="preserve"> and includes the amendments made by the other written laws referred to in the </w:t>
        </w:r>
      </w:ins>
      <w:r>
        <w:rPr>
          <w:snapToGrid w:val="0"/>
        </w:rPr>
        <w:t>following table</w:t>
      </w:r>
      <w:ins w:id="63" w:author="svcMRProcess" w:date="2019-01-18T15:22:00Z">
        <w:r>
          <w:rPr>
            <w:snapToGrid w:val="0"/>
          </w:rPr>
          <w:t>.  The table also</w:t>
        </w:r>
      </w:ins>
      <w:r>
        <w:rPr>
          <w:snapToGrid w:val="0"/>
        </w:rPr>
        <w:t xml:space="preserve"> contains information about </w:t>
      </w:r>
      <w:del w:id="64" w:author="svcMRProcess" w:date="2019-01-18T15:22:00Z">
        <w:r>
          <w:rPr>
            <w:snapToGrid w:val="0"/>
          </w:rPr>
          <w:delText xml:space="preserve">that Act and </w:delText>
        </w:r>
      </w:del>
      <w:r>
        <w:rPr>
          <w:snapToGrid w:val="0"/>
        </w:rPr>
        <w:t>any reprint</w:t>
      </w:r>
      <w:del w:id="65" w:author="svcMRProcess" w:date="2019-01-18T15:22:00Z">
        <w:r>
          <w:rPr>
            <w:snapToGrid w:val="0"/>
            <w:vertAlign w:val="superscript"/>
          </w:rPr>
          <w:delText> 1a</w:delText>
        </w:r>
        <w:r>
          <w:rPr>
            <w:snapToGrid w:val="0"/>
          </w:rPr>
          <w:delText xml:space="preserve">. </w:delText>
        </w:r>
      </w:del>
      <w:ins w:id="66" w:author="svcMRProcess" w:date="2019-01-18T15:22:00Z">
        <w:r>
          <w:rPr>
            <w:snapToGrid w:val="0"/>
          </w:rPr>
          <w:t>.</w:t>
        </w:r>
      </w:ins>
    </w:p>
    <w:p>
      <w:pPr>
        <w:pStyle w:val="nHeading3"/>
        <w:rPr>
          <w:snapToGrid w:val="0"/>
        </w:rPr>
      </w:pPr>
      <w:bookmarkStart w:id="67" w:name="_Toc377724610"/>
      <w:bookmarkStart w:id="68" w:name="_Toc412551298"/>
      <w:bookmarkStart w:id="69" w:name="_Toc58995530"/>
      <w:bookmarkStart w:id="70" w:name="_Toc267995306"/>
      <w:r>
        <w:rPr>
          <w:snapToGrid w:val="0"/>
        </w:rPr>
        <w:t>Compilation table</w:t>
      </w:r>
      <w:bookmarkEnd w:id="67"/>
      <w:bookmarkEnd w:id="68"/>
      <w:bookmarkEnd w:id="69"/>
      <w:bookmarkEnd w:id="70"/>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Aboriginal Heritage (Marandoo) Act 1992</w:t>
            </w:r>
          </w:p>
        </w:tc>
        <w:tc>
          <w:tcPr>
            <w:tcW w:w="1134" w:type="dxa"/>
          </w:tcPr>
          <w:p>
            <w:pPr>
              <w:pStyle w:val="nTable"/>
              <w:spacing w:after="40"/>
            </w:pPr>
            <w:r>
              <w:t>2 of 1992</w:t>
            </w:r>
          </w:p>
        </w:tc>
        <w:tc>
          <w:tcPr>
            <w:tcW w:w="1134" w:type="dxa"/>
          </w:tcPr>
          <w:p>
            <w:pPr>
              <w:pStyle w:val="nTable"/>
              <w:spacing w:after="40"/>
            </w:pPr>
            <w:r>
              <w:t>7 Feb 1992</w:t>
            </w:r>
          </w:p>
        </w:tc>
        <w:tc>
          <w:tcPr>
            <w:tcW w:w="2551" w:type="dxa"/>
          </w:tcPr>
          <w:p>
            <w:pPr>
              <w:pStyle w:val="nTable"/>
              <w:spacing w:after="40"/>
            </w:pPr>
            <w:r>
              <w:t>7 Feb 1992 (see s. 2)</w:t>
            </w:r>
          </w:p>
        </w:tc>
      </w:tr>
      <w:tr>
        <w:trPr>
          <w:cantSplit/>
        </w:trPr>
        <w:tc>
          <w:tcPr>
            <w:tcW w:w="7087" w:type="dxa"/>
            <w:gridSpan w:val="4"/>
          </w:tcPr>
          <w:p>
            <w:pPr>
              <w:pStyle w:val="nTable"/>
              <w:spacing w:after="40"/>
              <w:rPr>
                <w:b/>
              </w:rPr>
            </w:pPr>
            <w:r>
              <w:rPr>
                <w:b/>
              </w:rPr>
              <w:t xml:space="preserve">Reprint 1: The </w:t>
            </w:r>
            <w:r>
              <w:rPr>
                <w:b/>
                <w:i/>
              </w:rPr>
              <w:t>Aboriginal Heritage (Marandoo) Act 1992</w:t>
            </w:r>
            <w:r>
              <w:rPr>
                <w:b/>
              </w:rPr>
              <w:t xml:space="preserve"> as at 14 Nov 2003</w:t>
            </w:r>
          </w:p>
        </w:tc>
      </w:tr>
    </w:tbl>
    <w:p>
      <w:pPr>
        <w:pStyle w:val="nSubsection"/>
        <w:tabs>
          <w:tab w:val="clear" w:pos="454"/>
          <w:tab w:val="left" w:pos="567"/>
        </w:tabs>
        <w:spacing w:before="120"/>
        <w:ind w:left="567" w:hanging="567"/>
        <w:rPr>
          <w:del w:id="71" w:author="svcMRProcess" w:date="2019-01-18T15:22:00Z"/>
          <w:snapToGrid w:val="0"/>
        </w:rPr>
      </w:pPr>
      <w:del w:id="72" w:author="svcMRProcess" w:date="2019-01-18T15: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 w:author="svcMRProcess" w:date="2019-01-18T15:22:00Z"/>
        </w:rPr>
      </w:pPr>
      <w:bookmarkStart w:id="74" w:name="_Toc7405065"/>
      <w:bookmarkStart w:id="75" w:name="_Toc267995307"/>
      <w:del w:id="76" w:author="svcMRProcess" w:date="2019-01-18T15:22:00Z">
        <w:r>
          <w:delText>Provisions that have not come into operation</w:delText>
        </w:r>
        <w:bookmarkEnd w:id="74"/>
        <w:bookmarkEnd w:id="7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9"/>
        <w:gridCol w:w="1126"/>
        <w:gridCol w:w="1123"/>
        <w:gridCol w:w="2567"/>
      </w:tblGrid>
      <w:tr>
        <w:trPr>
          <w:del w:id="77" w:author="svcMRProcess" w:date="2019-01-18T15:22:00Z"/>
        </w:trPr>
        <w:tc>
          <w:tcPr>
            <w:tcW w:w="2266" w:type="dxa"/>
          </w:tcPr>
          <w:p>
            <w:pPr>
              <w:pStyle w:val="nTable"/>
              <w:spacing w:after="40"/>
              <w:rPr>
                <w:del w:id="78" w:author="svcMRProcess" w:date="2019-01-18T15:22:00Z"/>
                <w:b/>
                <w:snapToGrid w:val="0"/>
                <w:lang w:val="en-US"/>
              </w:rPr>
            </w:pPr>
            <w:del w:id="79" w:author="svcMRProcess" w:date="2019-01-18T15:22:00Z">
              <w:r>
                <w:rPr>
                  <w:b/>
                  <w:snapToGrid w:val="0"/>
                  <w:lang w:val="en-US"/>
                </w:rPr>
                <w:delText>Short title</w:delText>
              </w:r>
            </w:del>
          </w:p>
        </w:tc>
        <w:tc>
          <w:tcPr>
            <w:tcW w:w="1120" w:type="dxa"/>
          </w:tcPr>
          <w:p>
            <w:pPr>
              <w:pStyle w:val="nTable"/>
              <w:spacing w:after="40"/>
              <w:rPr>
                <w:del w:id="80" w:author="svcMRProcess" w:date="2019-01-18T15:22:00Z"/>
                <w:b/>
                <w:snapToGrid w:val="0"/>
                <w:lang w:val="en-US"/>
              </w:rPr>
            </w:pPr>
            <w:del w:id="81" w:author="svcMRProcess" w:date="2019-01-18T15:22:00Z">
              <w:r>
                <w:rPr>
                  <w:b/>
                  <w:snapToGrid w:val="0"/>
                  <w:lang w:val="en-US"/>
                </w:rPr>
                <w:delText>Number and year</w:delText>
              </w:r>
            </w:del>
          </w:p>
        </w:tc>
        <w:tc>
          <w:tcPr>
            <w:tcW w:w="1135" w:type="dxa"/>
          </w:tcPr>
          <w:p>
            <w:pPr>
              <w:pStyle w:val="nTable"/>
              <w:spacing w:after="40"/>
              <w:rPr>
                <w:del w:id="82" w:author="svcMRProcess" w:date="2019-01-18T15:22:00Z"/>
                <w:b/>
                <w:snapToGrid w:val="0"/>
                <w:lang w:val="en-US"/>
              </w:rPr>
            </w:pPr>
            <w:del w:id="83" w:author="svcMRProcess" w:date="2019-01-18T15:22:00Z">
              <w:r>
                <w:rPr>
                  <w:b/>
                  <w:snapToGrid w:val="0"/>
                  <w:lang w:val="en-US"/>
                </w:rPr>
                <w:delText>Assent</w:delText>
              </w:r>
            </w:del>
          </w:p>
        </w:tc>
        <w:tc>
          <w:tcPr>
            <w:tcW w:w="2534" w:type="dxa"/>
          </w:tcPr>
          <w:p>
            <w:pPr>
              <w:pStyle w:val="nTable"/>
              <w:spacing w:after="40"/>
              <w:rPr>
                <w:del w:id="84" w:author="svcMRProcess" w:date="2019-01-18T15:22:00Z"/>
                <w:b/>
                <w:snapToGrid w:val="0"/>
                <w:lang w:val="en-US"/>
              </w:rPr>
            </w:pPr>
            <w:del w:id="85" w:author="svcMRProcess" w:date="2019-01-18T15:2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1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86" w:author="svcMRProcess" w:date="2019-01-18T15:22: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97" w:type="dxa"/>
            <w:tcBorders>
              <w:bottom w:val="single" w:sz="4" w:space="0" w:color="auto"/>
            </w:tcBorders>
          </w:tcPr>
          <w:p>
            <w:pPr>
              <w:pStyle w:val="nTable"/>
              <w:spacing w:after="40"/>
              <w:rPr>
                <w:snapToGrid w:val="0"/>
              </w:rPr>
            </w:pPr>
            <w:del w:id="87" w:author="svcMRProcess" w:date="2019-01-18T15:22:00Z">
              <w:r>
                <w:rPr>
                  <w:snapToGrid w:val="0"/>
                  <w:lang w:val="en-US"/>
                </w:rPr>
                <w:delText>To be proclaimed</w:delText>
              </w:r>
            </w:del>
            <w:ins w:id="88" w:author="svcMRProcess" w:date="2019-01-18T15:22:00Z">
              <w:r>
                <w:rPr>
                  <w:snapToGrid w:val="0"/>
                </w:rPr>
                <w:t>11 Sep 2010</w:t>
              </w:r>
            </w:ins>
            <w:r>
              <w:rPr>
                <w:snapToGrid w:val="0"/>
              </w:rPr>
              <w:t xml:space="preserve"> (see s. 2(b</w:t>
            </w:r>
            <w:del w:id="89" w:author="svcMRProcess" w:date="2019-01-18T15:22:00Z">
              <w:r>
                <w:rPr>
                  <w:snapToGrid w:val="0"/>
                  <w:lang w:val="en-US"/>
                </w:rPr>
                <w:delText>))</w:delText>
              </w:r>
            </w:del>
            <w:ins w:id="90" w:author="svcMRProcess" w:date="2019-01-18T15:22:00Z">
              <w:r>
                <w:rPr>
                  <w:snapToGrid w:val="0"/>
                </w:rPr>
                <w:t xml:space="preserve">) and </w:t>
              </w:r>
              <w:r>
                <w:rPr>
                  <w:i/>
                  <w:iCs/>
                  <w:snapToGrid w:val="0"/>
                </w:rPr>
                <w:t>Gazette</w:t>
              </w:r>
              <w:r>
                <w:rPr>
                  <w:snapToGrid w:val="0"/>
                </w:rPr>
                <w:t xml:space="preserve"> 10 Sep 2010 p. 4341)</w:t>
              </w:r>
            </w:ins>
          </w:p>
        </w:tc>
      </w:tr>
    </w:tbl>
    <w:p>
      <w:pPr>
        <w:rPr>
          <w:del w:id="91" w:author="svcMRProcess" w:date="2019-01-18T15:22:00Z"/>
        </w:rPr>
      </w:pPr>
    </w:p>
    <w:p>
      <w:pPr>
        <w:pStyle w:val="nSubsection"/>
        <w:keepLines/>
        <w:spacing w:before="0"/>
        <w:rPr>
          <w:del w:id="92" w:author="svcMRProcess" w:date="2019-01-18T15:22:00Z"/>
          <w:snapToGrid w:val="0"/>
        </w:rPr>
      </w:pPr>
      <w:del w:id="93" w:author="svcMRProcess" w:date="2019-01-18T15:2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94" w:author="svcMRProcess" w:date="2019-01-18T15:22:00Z"/>
        </w:rPr>
      </w:pPr>
    </w:p>
    <w:p>
      <w:pPr>
        <w:pStyle w:val="nzHeading5"/>
        <w:rPr>
          <w:del w:id="95" w:author="svcMRProcess" w:date="2019-01-18T15:22:00Z"/>
          <w:rFonts w:eastAsia="MS Mincho"/>
        </w:rPr>
      </w:pPr>
      <w:bookmarkStart w:id="96" w:name="_Toc233107675"/>
      <w:bookmarkStart w:id="97" w:name="_Toc255473698"/>
      <w:bookmarkStart w:id="98" w:name="_Toc265583753"/>
      <w:del w:id="99" w:author="svcMRProcess" w:date="2019-01-18T15:22:00Z">
        <w:r>
          <w:rPr>
            <w:rStyle w:val="CharSectno"/>
            <w:rFonts w:eastAsia="MS Mincho"/>
          </w:rPr>
          <w:delText>4</w:delText>
        </w:r>
        <w:r>
          <w:rPr>
            <w:rFonts w:eastAsia="MS Mincho"/>
          </w:rPr>
          <w:delText>.</w:delText>
        </w:r>
        <w:r>
          <w:rPr>
            <w:rFonts w:eastAsia="MS Mincho"/>
          </w:rPr>
          <w:tab/>
          <w:delText>Schedule headings reformatted</w:delText>
        </w:r>
        <w:bookmarkEnd w:id="96"/>
        <w:bookmarkEnd w:id="97"/>
        <w:bookmarkEnd w:id="98"/>
      </w:del>
    </w:p>
    <w:p>
      <w:pPr>
        <w:pStyle w:val="nzSubsection"/>
        <w:rPr>
          <w:del w:id="100" w:author="svcMRProcess" w:date="2019-01-18T15:22:00Z"/>
          <w:rFonts w:eastAsia="MS Mincho"/>
        </w:rPr>
      </w:pPr>
      <w:del w:id="101" w:author="svcMRProcess" w:date="2019-01-18T15:22:00Z">
        <w:r>
          <w:rPr>
            <w:rFonts w:eastAsia="MS Mincho"/>
          </w:rPr>
          <w:tab/>
          <w:delText>(1)</w:delText>
        </w:r>
        <w:r>
          <w:rPr>
            <w:rFonts w:eastAsia="MS Mincho"/>
          </w:rPr>
          <w:tab/>
          <w:delText>This section amends the Acts listed in the Table.</w:delText>
        </w:r>
      </w:del>
    </w:p>
    <w:p>
      <w:pPr>
        <w:pStyle w:val="nzSubsection"/>
        <w:rPr>
          <w:del w:id="102" w:author="svcMRProcess" w:date="2019-01-18T15:22:00Z"/>
        </w:rPr>
      </w:pPr>
      <w:del w:id="103" w:author="svcMRProcess" w:date="2019-01-18T15:22:00Z">
        <w:r>
          <w:rPr>
            <w:rFonts w:eastAsia="MS Mincho"/>
          </w:rPr>
          <w:tab/>
          <w:delText>(2)</w:delText>
        </w:r>
        <w:r>
          <w:rPr>
            <w:rFonts w:eastAsia="MS Mincho"/>
          </w:rPr>
          <w:tab/>
          <w:delText>In each Schedule listed in the Table:</w:delText>
        </w:r>
      </w:del>
    </w:p>
    <w:p>
      <w:pPr>
        <w:pStyle w:val="nzIndenta"/>
        <w:rPr>
          <w:del w:id="104" w:author="svcMRProcess" w:date="2019-01-18T15:22:00Z"/>
        </w:rPr>
      </w:pPr>
      <w:del w:id="105" w:author="svcMRProcess" w:date="2019-01-18T15:22:00Z">
        <w:r>
          <w:tab/>
          <w:delText>(a)</w:delText>
        </w:r>
        <w:r>
          <w:tab/>
          <w:delText>if there is a title set out in the Table for the Schedule — after the identifier for the Schedule insert that title;</w:delText>
        </w:r>
      </w:del>
    </w:p>
    <w:p>
      <w:pPr>
        <w:pStyle w:val="nzIndenta"/>
        <w:rPr>
          <w:del w:id="106" w:author="svcMRProcess" w:date="2019-01-18T15:22:00Z"/>
        </w:rPr>
      </w:pPr>
      <w:del w:id="107" w:author="svcMRProcess" w:date="2019-01-18T15:22:00Z">
        <w:r>
          <w:tab/>
          <w:delText>(b)</w:delText>
        </w:r>
        <w:r>
          <w:tab/>
          <w:delText>if there is a shoulder note set out in the Table for the Schedule — at the end of the heading to the Schedule insert that shoulder note;</w:delText>
        </w:r>
      </w:del>
    </w:p>
    <w:p>
      <w:pPr>
        <w:pStyle w:val="nzIndenta"/>
        <w:rPr>
          <w:del w:id="108" w:author="svcMRProcess" w:date="2019-01-18T15:22:00Z"/>
        </w:rPr>
      </w:pPr>
      <w:del w:id="109" w:author="svcMRProcess" w:date="2019-01-18T15:2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0" w:author="svcMRProcess" w:date="2019-01-18T15: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1" w:author="svcMRProcess" w:date="2019-01-18T15:22:00Z"/>
                <w:rFonts w:eastAsia="MS Mincho"/>
                <w:b/>
                <w:bCs/>
                <w:sz w:val="18"/>
              </w:rPr>
            </w:pPr>
            <w:del w:id="112" w:author="svcMRProcess" w:date="2019-01-18T15:2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3" w:author="svcMRProcess" w:date="2019-01-18T15:22:00Z"/>
                <w:b/>
                <w:bCs/>
                <w:sz w:val="18"/>
              </w:rPr>
            </w:pPr>
            <w:del w:id="114" w:author="svcMRProcess" w:date="2019-01-18T15:2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5" w:author="svcMRProcess" w:date="2019-01-18T15:22:00Z"/>
                <w:b/>
                <w:bCs/>
                <w:sz w:val="18"/>
              </w:rPr>
            </w:pPr>
            <w:del w:id="116" w:author="svcMRProcess" w:date="2019-01-18T15:2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17" w:author="svcMRProcess" w:date="2019-01-18T15:22:00Z"/>
                <w:b/>
                <w:bCs/>
                <w:sz w:val="18"/>
              </w:rPr>
            </w:pPr>
            <w:del w:id="118" w:author="svcMRProcess" w:date="2019-01-18T15:22:00Z">
              <w:r>
                <w:rPr>
                  <w:b/>
                  <w:bCs/>
                  <w:sz w:val="18"/>
                </w:rPr>
                <w:delText>Shoulder note</w:delText>
              </w:r>
            </w:del>
          </w:p>
        </w:tc>
      </w:tr>
      <w:tr>
        <w:trPr>
          <w:cantSplit/>
          <w:del w:id="119" w:author="svcMRProcess" w:date="2019-01-18T15:2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20" w:author="svcMRProcess" w:date="2019-01-18T15:22:00Z"/>
                <w:i/>
                <w:iCs/>
                <w:sz w:val="18"/>
              </w:rPr>
            </w:pPr>
            <w:del w:id="121" w:author="svcMRProcess" w:date="2019-01-18T15:22:00Z">
              <w:r>
                <w:rPr>
                  <w:rFonts w:eastAsia="MS Mincho"/>
                  <w:i/>
                  <w:iCs/>
                  <w:sz w:val="18"/>
                </w:rPr>
                <w:delText>Aboriginal Heritage (Marandoo)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2" w:author="svcMRProcess" w:date="2019-01-18T15:22:00Z"/>
                <w:sz w:val="18"/>
              </w:rPr>
            </w:pPr>
            <w:del w:id="123" w:author="svcMRProcess" w:date="2019-01-18T15:22: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4" w:author="svcMRProcess" w:date="2019-01-18T15:22:00Z"/>
                <w:sz w:val="18"/>
              </w:rPr>
            </w:pPr>
            <w:del w:id="125" w:author="svcMRProcess" w:date="2019-01-18T15:22:00Z">
              <w:r>
                <w:rPr>
                  <w:sz w:val="18"/>
                </w:rPr>
                <w:delText>Temporary Reserve 5623H and construction camp</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26" w:author="svcMRProcess" w:date="2019-01-18T15:22:00Z"/>
                <w:sz w:val="18"/>
              </w:rPr>
            </w:pPr>
            <w:del w:id="127" w:author="svcMRProcess" w:date="2019-01-18T15:22:00Z">
              <w:r>
                <w:rPr>
                  <w:sz w:val="18"/>
                </w:rPr>
                <w:delText>[s. 3(1)]</w:delText>
              </w:r>
            </w:del>
          </w:p>
        </w:tc>
      </w:tr>
      <w:tr>
        <w:trPr>
          <w:cantSplit/>
          <w:del w:id="128" w:author="svcMRProcess" w:date="2019-01-18T15:2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29" w:author="svcMRProcess" w:date="2019-01-18T15:2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0" w:author="svcMRProcess" w:date="2019-01-18T15:22:00Z"/>
                <w:sz w:val="18"/>
              </w:rPr>
            </w:pPr>
            <w:del w:id="131" w:author="svcMRProcess" w:date="2019-01-18T15:22: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2" w:author="svcMRProcess" w:date="2019-01-18T15:22:00Z"/>
                <w:sz w:val="18"/>
              </w:rPr>
            </w:pPr>
            <w:del w:id="133" w:author="svcMRProcess" w:date="2019-01-18T15:22:00Z">
              <w:r>
                <w:rPr>
                  <w:rFonts w:eastAsia="MS Mincho"/>
                  <w:sz w:val="18"/>
                </w:rPr>
                <w:delText>Infrastructure corridor</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4" w:author="svcMRProcess" w:date="2019-01-18T15:22:00Z"/>
                <w:sz w:val="18"/>
              </w:rPr>
            </w:pPr>
            <w:del w:id="135" w:author="svcMRProcess" w:date="2019-01-18T15:22:00Z">
              <w:r>
                <w:rPr>
                  <w:sz w:val="18"/>
                </w:rPr>
                <w:delText>[s. 3(1)]</w:delText>
              </w:r>
            </w:del>
          </w:p>
        </w:tc>
      </w:tr>
      <w:tr>
        <w:trPr>
          <w:cantSplit/>
          <w:del w:id="136" w:author="svcMRProcess" w:date="2019-01-18T15:2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7" w:author="svcMRProcess" w:date="2019-01-18T15:2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8" w:author="svcMRProcess" w:date="2019-01-18T15:22:00Z"/>
                <w:sz w:val="18"/>
              </w:rPr>
            </w:pPr>
            <w:del w:id="139" w:author="svcMRProcess" w:date="2019-01-18T15:22: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0" w:author="svcMRProcess" w:date="2019-01-18T15:22:00Z"/>
                <w:sz w:val="18"/>
              </w:rPr>
            </w:pPr>
            <w:del w:id="141" w:author="svcMRProcess" w:date="2019-01-18T15:22:00Z">
              <w:r>
                <w:rPr>
                  <w:rFonts w:eastAsia="MS Mincho"/>
                  <w:sz w:val="18"/>
                </w:rPr>
                <w:delText>Power line route</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2" w:author="svcMRProcess" w:date="2019-01-18T15:22:00Z"/>
                <w:sz w:val="18"/>
              </w:rPr>
            </w:pPr>
            <w:del w:id="143" w:author="svcMRProcess" w:date="2019-01-18T15:22:00Z">
              <w:r>
                <w:rPr>
                  <w:sz w:val="18"/>
                </w:rPr>
                <w:delText>[s. 3(1)]</w:delText>
              </w:r>
            </w:del>
          </w:p>
        </w:tc>
      </w:tr>
    </w:tbl>
    <w:p>
      <w:pPr>
        <w:pStyle w:val="BlankClose"/>
        <w:rPr>
          <w:del w:id="144" w:author="svcMRProcess" w:date="2019-01-18T15:22: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237A4"/>
    <w:lvl w:ilvl="0">
      <w:start w:val="1"/>
      <w:numFmt w:val="decimal"/>
      <w:lvlText w:val="%1."/>
      <w:lvlJc w:val="left"/>
      <w:pPr>
        <w:tabs>
          <w:tab w:val="num" w:pos="1492"/>
        </w:tabs>
        <w:ind w:left="1492" w:hanging="360"/>
      </w:pPr>
    </w:lvl>
  </w:abstractNum>
  <w:abstractNum w:abstractNumId="1">
    <w:nsid w:val="FFFFFF7D"/>
    <w:multiLevelType w:val="singleLevel"/>
    <w:tmpl w:val="1F1235F4"/>
    <w:lvl w:ilvl="0">
      <w:start w:val="1"/>
      <w:numFmt w:val="decimal"/>
      <w:lvlText w:val="%1."/>
      <w:lvlJc w:val="left"/>
      <w:pPr>
        <w:tabs>
          <w:tab w:val="num" w:pos="1209"/>
        </w:tabs>
        <w:ind w:left="1209" w:hanging="360"/>
      </w:pPr>
    </w:lvl>
  </w:abstractNum>
  <w:abstractNum w:abstractNumId="2">
    <w:nsid w:val="FFFFFF7E"/>
    <w:multiLevelType w:val="singleLevel"/>
    <w:tmpl w:val="A39ABEBE"/>
    <w:lvl w:ilvl="0">
      <w:start w:val="1"/>
      <w:numFmt w:val="decimal"/>
      <w:lvlText w:val="%1."/>
      <w:lvlJc w:val="left"/>
      <w:pPr>
        <w:tabs>
          <w:tab w:val="num" w:pos="926"/>
        </w:tabs>
        <w:ind w:left="926" w:hanging="360"/>
      </w:pPr>
    </w:lvl>
  </w:abstractNum>
  <w:abstractNum w:abstractNumId="3">
    <w:nsid w:val="FFFFFF7F"/>
    <w:multiLevelType w:val="singleLevel"/>
    <w:tmpl w:val="126C060E"/>
    <w:lvl w:ilvl="0">
      <w:start w:val="1"/>
      <w:numFmt w:val="decimal"/>
      <w:lvlText w:val="%1."/>
      <w:lvlJc w:val="left"/>
      <w:pPr>
        <w:tabs>
          <w:tab w:val="num" w:pos="643"/>
        </w:tabs>
        <w:ind w:left="643" w:hanging="360"/>
      </w:pPr>
    </w:lvl>
  </w:abstractNum>
  <w:abstractNum w:abstractNumId="4">
    <w:nsid w:val="FFFFFF80"/>
    <w:multiLevelType w:val="singleLevel"/>
    <w:tmpl w:val="943EB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4869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1EED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803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6262FE"/>
    <w:lvl w:ilvl="0">
      <w:start w:val="1"/>
      <w:numFmt w:val="decimal"/>
      <w:lvlText w:val="%1."/>
      <w:lvlJc w:val="left"/>
      <w:pPr>
        <w:tabs>
          <w:tab w:val="num" w:pos="360"/>
        </w:tabs>
        <w:ind w:left="360" w:hanging="360"/>
      </w:pPr>
    </w:lvl>
  </w:abstractNum>
  <w:abstractNum w:abstractNumId="9">
    <w:nsid w:val="FFFFFF89"/>
    <w:multiLevelType w:val="singleLevel"/>
    <w:tmpl w:val="EF4830C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FC4F8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1635"/>
    <w:docVar w:name="WAFER_20140117121030" w:val="RemoveTocBookmarks,RemoveUnusedBookmarks,RemoveLanguageTags,UsedStyles,ResetPageSize,UpdateArrangement"/>
    <w:docVar w:name="WAFER_20140117121030_GUID" w:val="b61c9587-85ab-4237-8726-cfc92b685de5"/>
    <w:docVar w:name="WAFER_20140117121818" w:val="RemoveTocBookmarks,RunningHeaders"/>
    <w:docVar w:name="WAFER_20140117121818_GUID" w:val="00cce493-1f59-4624-a117-6198a9b5a875"/>
    <w:docVar w:name="WAFER_20150224142427" w:val="ResetPageSize,UpdateArrangement,UpdateNTable"/>
    <w:docVar w:name="WAFER_20150224142427_GUID" w:val="c812be05-5e73-4967-ab7a-9fbc7bcc9b96"/>
    <w:docVar w:name="WAFER_20151102104101" w:val="UpdateStyles,UsedStyles"/>
    <w:docVar w:name="WAFER_20151102104101_GUID" w:val="c63a4cfb-eac9-4001-bee1-0329c5686d60"/>
    <w:docVar w:name="WAFER_20151130151635" w:val="RemoveTrackChanges"/>
    <w:docVar w:name="WAFER_20151130151635_GUID" w:val="33915155-80c5-45e0-8f42-3a463514d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6004</Characters>
  <Application>Microsoft Office Word</Application>
  <DocSecurity>0</DocSecurity>
  <Lines>230</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7247</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(Marandoo) Act 1992 01-b0-02 - 01-c0-06</dc:title>
  <dc:subject/>
  <dc:creator/>
  <cp:keywords/>
  <dc:description/>
  <cp:lastModifiedBy>svcMRProcess</cp:lastModifiedBy>
  <cp:revision>2</cp:revision>
  <cp:lastPrinted>2003-11-06T05:57:00Z</cp:lastPrinted>
  <dcterms:created xsi:type="dcterms:W3CDTF">2019-01-18T07:22:00Z</dcterms:created>
  <dcterms:modified xsi:type="dcterms:W3CDTF">2019-01-18T07:22:00Z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vt:i4>
  </property>
  <property fmtid="{D5CDD505-2E9C-101B-9397-08002B2CF9AE}" pid="6" name="FromSuffix">
    <vt:lpwstr>01-b0-02</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