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w:t>
      </w:r>
      <w:bookmarkStart w:id="0" w:name="_GoBack"/>
      <w:bookmarkEnd w:id="0"/>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bookmarkStart w:id="12" w:name="_Toc199753221"/>
      <w:bookmarkStart w:id="13" w:name="_Toc223845682"/>
      <w:bookmarkStart w:id="14" w:name="_Toc241052475"/>
      <w:bookmarkStart w:id="15" w:name="_Toc268272944"/>
      <w:bookmarkStart w:id="16" w:name="_Toc2720588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507476620"/>
      <w:bookmarkStart w:id="18" w:name="_Toc515349859"/>
      <w:bookmarkStart w:id="19" w:name="_Toc118520737"/>
      <w:bookmarkStart w:id="20" w:name="_Toc272058879"/>
      <w:bookmarkStart w:id="21" w:name="_Toc241052476"/>
      <w:r>
        <w:rPr>
          <w:rStyle w:val="CharSectno"/>
        </w:rPr>
        <w:t>1</w:t>
      </w:r>
      <w:r>
        <w:rPr>
          <w:snapToGrid w:val="0"/>
        </w:rPr>
        <w:t>.</w:t>
      </w:r>
      <w:r>
        <w:rPr>
          <w:snapToGrid w:val="0"/>
        </w:rPr>
        <w:tab/>
        <w:t>Short title</w:t>
      </w:r>
      <w:bookmarkEnd w:id="17"/>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22" w:name="_Toc507476621"/>
      <w:bookmarkStart w:id="23" w:name="_Toc515349860"/>
      <w:bookmarkStart w:id="24" w:name="_Toc118520738"/>
      <w:bookmarkStart w:id="25" w:name="_Toc272058880"/>
      <w:bookmarkStart w:id="26" w:name="_Toc241052477"/>
      <w:r>
        <w:rPr>
          <w:rStyle w:val="CharSectno"/>
        </w:rPr>
        <w:t>2</w:t>
      </w:r>
      <w:r>
        <w:rPr>
          <w:snapToGrid w:val="0"/>
        </w:rPr>
        <w:t>.</w:t>
      </w:r>
      <w:r>
        <w:rPr>
          <w:snapToGrid w:val="0"/>
        </w:rPr>
        <w:tab/>
        <w:t>Commencement</w:t>
      </w:r>
      <w:bookmarkEnd w:id="22"/>
      <w:bookmarkEnd w:id="23"/>
      <w:bookmarkEnd w:id="24"/>
      <w:bookmarkEnd w:id="25"/>
      <w:bookmarkEnd w:id="26"/>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27" w:name="_Toc507476622"/>
      <w:bookmarkStart w:id="28" w:name="_Toc515349861"/>
      <w:bookmarkStart w:id="29" w:name="_Toc118520739"/>
      <w:bookmarkStart w:id="30" w:name="_Toc272058881"/>
      <w:bookmarkStart w:id="31" w:name="_Toc241052478"/>
      <w:r>
        <w:rPr>
          <w:rStyle w:val="CharSectno"/>
        </w:rPr>
        <w:t>3</w:t>
      </w:r>
      <w:r>
        <w:rPr>
          <w:snapToGrid w:val="0"/>
        </w:rPr>
        <w:t>.</w:t>
      </w:r>
      <w:r>
        <w:rPr>
          <w:snapToGrid w:val="0"/>
        </w:rPr>
        <w:tab/>
        <w:t>Interpretation</w:t>
      </w:r>
      <w:bookmarkEnd w:id="27"/>
      <w:bookmarkEnd w:id="28"/>
      <w:bookmarkEnd w:id="29"/>
      <w:bookmarkEnd w:id="30"/>
      <w:bookmarkEnd w:id="3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 No. 21 of 2008 s. 659(2).]</w:t>
      </w:r>
    </w:p>
    <w:p>
      <w:pPr>
        <w:pStyle w:val="Heading2"/>
      </w:pPr>
      <w:bookmarkStart w:id="32" w:name="_Toc84823965"/>
      <w:bookmarkStart w:id="33" w:name="_Toc89512262"/>
      <w:bookmarkStart w:id="34" w:name="_Toc102277725"/>
      <w:bookmarkStart w:id="35" w:name="_Toc102719125"/>
      <w:bookmarkStart w:id="36" w:name="_Toc116955537"/>
      <w:bookmarkStart w:id="37" w:name="_Toc117650320"/>
      <w:bookmarkStart w:id="38" w:name="_Toc118514509"/>
      <w:bookmarkStart w:id="39" w:name="_Toc118520740"/>
      <w:bookmarkStart w:id="40" w:name="_Toc180471208"/>
      <w:bookmarkStart w:id="41" w:name="_Toc180567381"/>
      <w:bookmarkStart w:id="42" w:name="_Toc196732638"/>
      <w:bookmarkStart w:id="43" w:name="_Toc199753225"/>
      <w:bookmarkStart w:id="44" w:name="_Toc223845686"/>
      <w:bookmarkStart w:id="45" w:name="_Toc241052479"/>
      <w:bookmarkStart w:id="46" w:name="_Toc268272948"/>
      <w:bookmarkStart w:id="47" w:name="_Toc272058882"/>
      <w:r>
        <w:rPr>
          <w:rStyle w:val="CharPartNo"/>
        </w:rPr>
        <w:t>Part 2</w:t>
      </w:r>
      <w:r>
        <w:rPr>
          <w:rStyle w:val="CharDivNo"/>
        </w:rPr>
        <w:t> </w:t>
      </w:r>
      <w:r>
        <w:t>—</w:t>
      </w:r>
      <w:r>
        <w:rPr>
          <w:rStyle w:val="CharDivText"/>
        </w:rPr>
        <w:t> </w:t>
      </w:r>
      <w:r>
        <w:rPr>
          <w:rStyle w:val="CharPartText"/>
        </w:rPr>
        <w:t>Office of Director, and Deputy Director, of Public Prosecutions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07476623"/>
      <w:bookmarkStart w:id="49" w:name="_Toc515349862"/>
      <w:bookmarkStart w:id="50" w:name="_Toc118520741"/>
      <w:bookmarkStart w:id="51" w:name="_Toc272058883"/>
      <w:bookmarkStart w:id="52" w:name="_Toc241052480"/>
      <w:r>
        <w:rPr>
          <w:rStyle w:val="CharSectno"/>
        </w:rPr>
        <w:t>4</w:t>
      </w:r>
      <w:r>
        <w:rPr>
          <w:snapToGrid w:val="0"/>
        </w:rPr>
        <w:t>.</w:t>
      </w:r>
      <w:r>
        <w:rPr>
          <w:snapToGrid w:val="0"/>
        </w:rPr>
        <w:tab/>
        <w:t>Office of Director and Deputy Director</w:t>
      </w:r>
      <w:bookmarkEnd w:id="48"/>
      <w:bookmarkEnd w:id="49"/>
      <w:bookmarkEnd w:id="50"/>
      <w:bookmarkEnd w:id="51"/>
      <w:bookmarkEnd w:id="52"/>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53" w:name="_Toc507476624"/>
      <w:bookmarkStart w:id="54" w:name="_Toc515349863"/>
      <w:bookmarkStart w:id="55" w:name="_Toc118520742"/>
      <w:bookmarkStart w:id="56" w:name="_Toc272058884"/>
      <w:bookmarkStart w:id="57" w:name="_Toc241052481"/>
      <w:r>
        <w:rPr>
          <w:rStyle w:val="CharSectno"/>
        </w:rPr>
        <w:t>5</w:t>
      </w:r>
      <w:r>
        <w:rPr>
          <w:snapToGrid w:val="0"/>
        </w:rPr>
        <w:t>.</w:t>
      </w:r>
      <w:r>
        <w:rPr>
          <w:snapToGrid w:val="0"/>
        </w:rPr>
        <w:tab/>
        <w:t>Appointments</w:t>
      </w:r>
      <w:bookmarkEnd w:id="53"/>
      <w:bookmarkEnd w:id="54"/>
      <w:bookmarkEnd w:id="55"/>
      <w:bookmarkEnd w:id="56"/>
      <w:bookmarkEnd w:id="57"/>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by No. 42 of 1997 s. 8; No. 65 of 2003 s. 110(2); No. 21 of 2008 s. 659(3).]</w:t>
      </w:r>
    </w:p>
    <w:p>
      <w:pPr>
        <w:pStyle w:val="Heading5"/>
        <w:rPr>
          <w:snapToGrid w:val="0"/>
        </w:rPr>
      </w:pPr>
      <w:bookmarkStart w:id="58" w:name="_Toc507476625"/>
      <w:bookmarkStart w:id="59" w:name="_Toc515349864"/>
      <w:bookmarkStart w:id="60" w:name="_Toc118520743"/>
      <w:bookmarkStart w:id="61" w:name="_Toc272058885"/>
      <w:bookmarkStart w:id="62" w:name="_Toc241052482"/>
      <w:r>
        <w:rPr>
          <w:rStyle w:val="CharSectno"/>
        </w:rPr>
        <w:t>6</w:t>
      </w:r>
      <w:r>
        <w:rPr>
          <w:snapToGrid w:val="0"/>
        </w:rPr>
        <w:t>.</w:t>
      </w:r>
      <w:r>
        <w:rPr>
          <w:snapToGrid w:val="0"/>
        </w:rPr>
        <w:tab/>
        <w:t>Deputy Director may perform Director’s functions</w:t>
      </w:r>
      <w:bookmarkEnd w:id="58"/>
      <w:bookmarkEnd w:id="59"/>
      <w:bookmarkEnd w:id="60"/>
      <w:bookmarkEnd w:id="61"/>
      <w:bookmarkEnd w:id="62"/>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63" w:name="_Toc507476626"/>
      <w:bookmarkStart w:id="64" w:name="_Toc515349865"/>
      <w:bookmarkStart w:id="65" w:name="_Toc118520744"/>
      <w:bookmarkStart w:id="66" w:name="_Toc272058886"/>
      <w:bookmarkStart w:id="67" w:name="_Toc241052483"/>
      <w:r>
        <w:rPr>
          <w:rStyle w:val="CharSectno"/>
        </w:rPr>
        <w:t>7</w:t>
      </w:r>
      <w:r>
        <w:rPr>
          <w:snapToGrid w:val="0"/>
        </w:rPr>
        <w:t>.</w:t>
      </w:r>
      <w:r>
        <w:rPr>
          <w:snapToGrid w:val="0"/>
        </w:rPr>
        <w:tab/>
        <w:t>Director’s tenure, salary, etc.</w:t>
      </w:r>
      <w:bookmarkEnd w:id="63"/>
      <w:bookmarkEnd w:id="64"/>
      <w:bookmarkEnd w:id="65"/>
      <w:bookmarkEnd w:id="66"/>
      <w:bookmarkEnd w:id="67"/>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68" w:name="_Toc507476627"/>
      <w:bookmarkStart w:id="69" w:name="_Toc515349866"/>
      <w:bookmarkStart w:id="70" w:name="_Toc118520745"/>
      <w:bookmarkStart w:id="71" w:name="_Toc272058887"/>
      <w:bookmarkStart w:id="72" w:name="_Toc241052484"/>
      <w:r>
        <w:rPr>
          <w:rStyle w:val="CharSectno"/>
        </w:rPr>
        <w:t>8</w:t>
      </w:r>
      <w:r>
        <w:rPr>
          <w:snapToGrid w:val="0"/>
        </w:rPr>
        <w:t>.</w:t>
      </w:r>
      <w:r>
        <w:rPr>
          <w:snapToGrid w:val="0"/>
        </w:rPr>
        <w:tab/>
        <w:t>Acting appointments</w:t>
      </w:r>
      <w:bookmarkEnd w:id="68"/>
      <w:bookmarkEnd w:id="69"/>
      <w:bookmarkEnd w:id="70"/>
      <w:bookmarkEnd w:id="71"/>
      <w:bookmarkEnd w:id="72"/>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by No. 21 of 2008 s. 659(4) and (5).]</w:t>
      </w:r>
    </w:p>
    <w:p>
      <w:pPr>
        <w:pStyle w:val="Heading5"/>
        <w:rPr>
          <w:snapToGrid w:val="0"/>
        </w:rPr>
      </w:pPr>
      <w:bookmarkStart w:id="73" w:name="_Toc507476628"/>
      <w:bookmarkStart w:id="74" w:name="_Toc515349867"/>
      <w:bookmarkStart w:id="75" w:name="_Toc118520746"/>
      <w:bookmarkStart w:id="76" w:name="_Toc272058888"/>
      <w:bookmarkStart w:id="77" w:name="_Toc241052485"/>
      <w:r>
        <w:rPr>
          <w:rStyle w:val="CharSectno"/>
        </w:rPr>
        <w:t>9</w:t>
      </w:r>
      <w:r>
        <w:rPr>
          <w:snapToGrid w:val="0"/>
        </w:rPr>
        <w:t>.</w:t>
      </w:r>
      <w:r>
        <w:rPr>
          <w:snapToGrid w:val="0"/>
        </w:rPr>
        <w:tab/>
        <w:t>Judicial notice of appointment and signature</w:t>
      </w:r>
      <w:bookmarkEnd w:id="73"/>
      <w:bookmarkEnd w:id="74"/>
      <w:bookmarkEnd w:id="75"/>
      <w:bookmarkEnd w:id="76"/>
      <w:bookmarkEnd w:id="77"/>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78" w:name="_Toc84823972"/>
      <w:bookmarkStart w:id="79" w:name="_Toc89512269"/>
      <w:bookmarkStart w:id="80" w:name="_Toc102277732"/>
      <w:bookmarkStart w:id="81" w:name="_Toc102719132"/>
      <w:bookmarkStart w:id="82" w:name="_Toc116955544"/>
      <w:bookmarkStart w:id="83" w:name="_Toc117650327"/>
      <w:bookmarkStart w:id="84" w:name="_Toc118514516"/>
      <w:bookmarkStart w:id="85" w:name="_Toc118520747"/>
      <w:bookmarkStart w:id="86" w:name="_Toc180471215"/>
      <w:bookmarkStart w:id="87" w:name="_Toc180567388"/>
      <w:bookmarkStart w:id="88" w:name="_Toc196732645"/>
      <w:bookmarkStart w:id="89" w:name="_Toc199753232"/>
      <w:bookmarkStart w:id="90" w:name="_Toc223845693"/>
      <w:bookmarkStart w:id="91" w:name="_Toc241052486"/>
      <w:bookmarkStart w:id="92" w:name="_Toc268272955"/>
      <w:bookmarkStart w:id="93" w:name="_Toc272058889"/>
      <w:r>
        <w:rPr>
          <w:rStyle w:val="CharPartNo"/>
        </w:rPr>
        <w:t>Part 3</w:t>
      </w:r>
      <w:r>
        <w:rPr>
          <w:rStyle w:val="CharDivNo"/>
        </w:rPr>
        <w:t> </w:t>
      </w:r>
      <w:r>
        <w:t>—</w:t>
      </w:r>
      <w:r>
        <w:rPr>
          <w:rStyle w:val="CharDivText"/>
        </w:rPr>
        <w:t> </w:t>
      </w:r>
      <w:r>
        <w:rPr>
          <w:rStyle w:val="CharPartText"/>
        </w:rPr>
        <w:t>Functions of Director</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507476629"/>
      <w:bookmarkStart w:id="95" w:name="_Toc515349868"/>
      <w:bookmarkStart w:id="96" w:name="_Toc118520748"/>
      <w:bookmarkStart w:id="97" w:name="_Toc272058890"/>
      <w:bookmarkStart w:id="98" w:name="_Toc241052487"/>
      <w:r>
        <w:rPr>
          <w:rStyle w:val="CharSectno"/>
        </w:rPr>
        <w:t>10</w:t>
      </w:r>
      <w:r>
        <w:rPr>
          <w:snapToGrid w:val="0"/>
        </w:rPr>
        <w:t>.</w:t>
      </w:r>
      <w:r>
        <w:rPr>
          <w:snapToGrid w:val="0"/>
        </w:rPr>
        <w:tab/>
        <w:t>General principles relating to functions</w:t>
      </w:r>
      <w:bookmarkEnd w:id="94"/>
      <w:bookmarkEnd w:id="95"/>
      <w:bookmarkEnd w:id="96"/>
      <w:bookmarkEnd w:id="97"/>
      <w:bookmarkEnd w:id="98"/>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99" w:name="_Toc118520749"/>
      <w:bookmarkStart w:id="100" w:name="_Toc272058891"/>
      <w:bookmarkStart w:id="101" w:name="_Toc241052488"/>
      <w:bookmarkStart w:id="102" w:name="_Toc507476631"/>
      <w:bookmarkStart w:id="103" w:name="_Toc515349870"/>
      <w:r>
        <w:rPr>
          <w:rStyle w:val="CharSectno"/>
        </w:rPr>
        <w:t>11</w:t>
      </w:r>
      <w:r>
        <w:t>.</w:t>
      </w:r>
      <w:r>
        <w:tab/>
        <w:t>Prosecutions</w:t>
      </w:r>
      <w:bookmarkEnd w:id="99"/>
      <w:bookmarkEnd w:id="100"/>
      <w:bookmarkEnd w:id="101"/>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104" w:name="_Toc507476632"/>
      <w:bookmarkStart w:id="105" w:name="_Toc515349871"/>
      <w:bookmarkEnd w:id="102"/>
      <w:bookmarkEnd w:id="103"/>
      <w:r>
        <w:t>[</w:t>
      </w:r>
      <w:r>
        <w:rPr>
          <w:b/>
        </w:rPr>
        <w:t>12.</w:t>
      </w:r>
      <w:r>
        <w:tab/>
        <w:t>Deleted by No. 21 of 2004 s. 4.]</w:t>
      </w:r>
    </w:p>
    <w:p>
      <w:pPr>
        <w:pStyle w:val="Heading5"/>
        <w:rPr>
          <w:snapToGrid w:val="0"/>
        </w:rPr>
      </w:pPr>
      <w:bookmarkStart w:id="106" w:name="_Toc118520750"/>
      <w:bookmarkStart w:id="107" w:name="_Toc272058892"/>
      <w:bookmarkStart w:id="108" w:name="_Toc241052489"/>
      <w:r>
        <w:rPr>
          <w:rStyle w:val="CharSectno"/>
        </w:rPr>
        <w:t>13</w:t>
      </w:r>
      <w:r>
        <w:rPr>
          <w:snapToGrid w:val="0"/>
        </w:rPr>
        <w:t>.</w:t>
      </w:r>
      <w:r>
        <w:rPr>
          <w:snapToGrid w:val="0"/>
        </w:rPr>
        <w:tab/>
        <w:t>Appeals</w:t>
      </w:r>
      <w:bookmarkEnd w:id="104"/>
      <w:bookmarkEnd w:id="105"/>
      <w:bookmarkEnd w:id="106"/>
      <w:bookmarkEnd w:id="107"/>
      <w:bookmarkEnd w:id="108"/>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109" w:name="_Toc507476633"/>
      <w:bookmarkStart w:id="110" w:name="_Toc515349872"/>
      <w:r>
        <w:tab/>
        <w:t>[Section 13 amended by No. 21 of 2004 s. 5; No. 84 of 2004 s. 31.]</w:t>
      </w:r>
    </w:p>
    <w:p>
      <w:pPr>
        <w:pStyle w:val="Heading5"/>
        <w:rPr>
          <w:snapToGrid w:val="0"/>
        </w:rPr>
      </w:pPr>
      <w:bookmarkStart w:id="111" w:name="_Toc118520751"/>
      <w:bookmarkStart w:id="112" w:name="_Toc272058893"/>
      <w:bookmarkStart w:id="113" w:name="_Toc241052490"/>
      <w:r>
        <w:rPr>
          <w:rStyle w:val="CharSectno"/>
        </w:rPr>
        <w:t>14</w:t>
      </w:r>
      <w:r>
        <w:rPr>
          <w:snapToGrid w:val="0"/>
        </w:rPr>
        <w:t>.</w:t>
      </w:r>
      <w:r>
        <w:rPr>
          <w:snapToGrid w:val="0"/>
        </w:rPr>
        <w:tab/>
        <w:t>Extradition</w:t>
      </w:r>
      <w:bookmarkEnd w:id="109"/>
      <w:bookmarkEnd w:id="110"/>
      <w:bookmarkEnd w:id="111"/>
      <w:bookmarkEnd w:id="112"/>
      <w:bookmarkEnd w:id="113"/>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114" w:name="_Toc507476634"/>
      <w:bookmarkStart w:id="115" w:name="_Toc515349873"/>
      <w:bookmarkStart w:id="116" w:name="_Toc118520752"/>
      <w:bookmarkStart w:id="117" w:name="_Toc272058894"/>
      <w:bookmarkStart w:id="118" w:name="_Toc241052491"/>
      <w:r>
        <w:rPr>
          <w:rStyle w:val="CharSectno"/>
        </w:rPr>
        <w:t>15</w:t>
      </w:r>
      <w:r>
        <w:rPr>
          <w:snapToGrid w:val="0"/>
        </w:rPr>
        <w:t>.</w:t>
      </w:r>
      <w:r>
        <w:rPr>
          <w:snapToGrid w:val="0"/>
        </w:rPr>
        <w:tab/>
        <w:t>Inquests</w:t>
      </w:r>
      <w:bookmarkEnd w:id="114"/>
      <w:bookmarkEnd w:id="115"/>
      <w:bookmarkEnd w:id="116"/>
      <w:bookmarkEnd w:id="117"/>
      <w:bookmarkEnd w:id="118"/>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119" w:name="_Toc507476635"/>
      <w:bookmarkStart w:id="120" w:name="_Toc515349874"/>
      <w:bookmarkStart w:id="121" w:name="_Toc118520753"/>
      <w:bookmarkStart w:id="122" w:name="_Toc272058895"/>
      <w:bookmarkStart w:id="123" w:name="_Toc241052492"/>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119"/>
      <w:bookmarkEnd w:id="120"/>
      <w:bookmarkEnd w:id="121"/>
      <w:bookmarkEnd w:id="122"/>
      <w:bookmarkEnd w:id="123"/>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rStyle w:val="CharDefText"/>
        </w:rPr>
        <w:t>the Confiscation Act</w:t>
      </w:r>
      <w:r>
        <w:t>),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124" w:name="_Toc118520754"/>
      <w:bookmarkStart w:id="125" w:name="_Toc272058896"/>
      <w:bookmarkStart w:id="126" w:name="_Toc241052493"/>
      <w:bookmarkStart w:id="127" w:name="_Toc507476636"/>
      <w:bookmarkStart w:id="128" w:name="_Toc515349875"/>
      <w:r>
        <w:t>16A.</w:t>
      </w:r>
      <w:r>
        <w:tab/>
        <w:t>Prosecuting offences of other jurisdictions</w:t>
      </w:r>
      <w:bookmarkEnd w:id="124"/>
      <w:bookmarkEnd w:id="125"/>
      <w:bookmarkEnd w:id="126"/>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129" w:name="_Toc118520755"/>
      <w:bookmarkStart w:id="130" w:name="_Toc272058897"/>
      <w:bookmarkStart w:id="131" w:name="_Toc241052494"/>
      <w:r>
        <w:rPr>
          <w:rStyle w:val="CharSectno"/>
        </w:rPr>
        <w:t>17</w:t>
      </w:r>
      <w:r>
        <w:rPr>
          <w:snapToGrid w:val="0"/>
        </w:rPr>
        <w:t>.</w:t>
      </w:r>
      <w:r>
        <w:rPr>
          <w:snapToGrid w:val="0"/>
        </w:rPr>
        <w:tab/>
        <w:t>Assistance to officers of other jurisdictions</w:t>
      </w:r>
      <w:bookmarkEnd w:id="127"/>
      <w:bookmarkEnd w:id="128"/>
      <w:bookmarkEnd w:id="129"/>
      <w:bookmarkEnd w:id="130"/>
      <w:bookmarkEnd w:id="131"/>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132" w:name="_Toc507476637"/>
      <w:bookmarkStart w:id="133" w:name="_Toc515349876"/>
      <w:bookmarkStart w:id="134" w:name="_Toc118520756"/>
      <w:bookmarkStart w:id="135" w:name="_Toc272058898"/>
      <w:bookmarkStart w:id="136" w:name="_Toc241052495"/>
      <w:r>
        <w:rPr>
          <w:rStyle w:val="CharSectno"/>
        </w:rPr>
        <w:t>18</w:t>
      </w:r>
      <w:r>
        <w:rPr>
          <w:snapToGrid w:val="0"/>
        </w:rPr>
        <w:t>.</w:t>
      </w:r>
      <w:r>
        <w:rPr>
          <w:snapToGrid w:val="0"/>
        </w:rPr>
        <w:tab/>
        <w:t>Additional and related functions</w:t>
      </w:r>
      <w:bookmarkEnd w:id="132"/>
      <w:bookmarkEnd w:id="133"/>
      <w:bookmarkEnd w:id="134"/>
      <w:bookmarkEnd w:id="135"/>
      <w:bookmarkEnd w:id="136"/>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137" w:name="_Toc507476638"/>
      <w:bookmarkStart w:id="138" w:name="_Toc515349877"/>
      <w:bookmarkStart w:id="139" w:name="_Toc118520757"/>
      <w:bookmarkStart w:id="140" w:name="_Toc272058899"/>
      <w:bookmarkStart w:id="141" w:name="_Toc241052496"/>
      <w:r>
        <w:rPr>
          <w:rStyle w:val="CharSectno"/>
        </w:rPr>
        <w:t>19</w:t>
      </w:r>
      <w:r>
        <w:rPr>
          <w:snapToGrid w:val="0"/>
        </w:rPr>
        <w:t>.</w:t>
      </w:r>
      <w:r>
        <w:rPr>
          <w:snapToGrid w:val="0"/>
        </w:rPr>
        <w:tab/>
        <w:t>Further provisions as to taking over of matters</w:t>
      </w:r>
      <w:bookmarkEnd w:id="137"/>
      <w:bookmarkEnd w:id="138"/>
      <w:bookmarkEnd w:id="139"/>
      <w:bookmarkEnd w:id="140"/>
      <w:bookmarkEnd w:id="141"/>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142" w:name="_Toc507476639"/>
      <w:bookmarkStart w:id="143" w:name="_Toc515349878"/>
      <w:r>
        <w:tab/>
        <w:t>[Section 19 amended by No. 21 of 2004 s. 6; No. 84 of 2004 s. 80.]</w:t>
      </w:r>
    </w:p>
    <w:p>
      <w:pPr>
        <w:pStyle w:val="Heading5"/>
        <w:rPr>
          <w:snapToGrid w:val="0"/>
        </w:rPr>
      </w:pPr>
      <w:bookmarkStart w:id="144" w:name="_Toc118520758"/>
      <w:bookmarkStart w:id="145" w:name="_Toc272058900"/>
      <w:bookmarkStart w:id="146" w:name="_Toc241052497"/>
      <w:r>
        <w:rPr>
          <w:rStyle w:val="CharSectno"/>
        </w:rPr>
        <w:t>20</w:t>
      </w:r>
      <w:r>
        <w:rPr>
          <w:snapToGrid w:val="0"/>
        </w:rPr>
        <w:t>.</w:t>
      </w:r>
      <w:r>
        <w:rPr>
          <w:snapToGrid w:val="0"/>
        </w:rPr>
        <w:tab/>
        <w:t>Powers of Director</w:t>
      </w:r>
      <w:bookmarkEnd w:id="142"/>
      <w:bookmarkEnd w:id="143"/>
      <w:bookmarkEnd w:id="144"/>
      <w:bookmarkEnd w:id="145"/>
      <w:bookmarkEnd w:id="146"/>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147" w:name="_Toc507476640"/>
      <w:bookmarkStart w:id="148" w:name="_Toc515349879"/>
      <w:bookmarkStart w:id="149" w:name="_Toc118520759"/>
      <w:bookmarkStart w:id="150" w:name="_Toc272058901"/>
      <w:bookmarkStart w:id="151" w:name="_Toc241052498"/>
      <w:r>
        <w:rPr>
          <w:rStyle w:val="CharSectno"/>
        </w:rPr>
        <w:t>21</w:t>
      </w:r>
      <w:r>
        <w:rPr>
          <w:snapToGrid w:val="0"/>
        </w:rPr>
        <w:t>.</w:t>
      </w:r>
      <w:r>
        <w:rPr>
          <w:snapToGrid w:val="0"/>
        </w:rPr>
        <w:tab/>
        <w:t>Appearance by Director</w:t>
      </w:r>
      <w:bookmarkEnd w:id="147"/>
      <w:bookmarkEnd w:id="148"/>
      <w:bookmarkEnd w:id="149"/>
      <w:bookmarkEnd w:id="150"/>
      <w:bookmarkEnd w:id="151"/>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152" w:name="_Toc507476641"/>
      <w:bookmarkStart w:id="153" w:name="_Toc515349880"/>
      <w:bookmarkStart w:id="154" w:name="_Toc118520760"/>
      <w:bookmarkStart w:id="155" w:name="_Toc272058902"/>
      <w:bookmarkStart w:id="156" w:name="_Toc241052499"/>
      <w:r>
        <w:rPr>
          <w:rStyle w:val="CharSectno"/>
        </w:rPr>
        <w:t>22</w:t>
      </w:r>
      <w:r>
        <w:rPr>
          <w:snapToGrid w:val="0"/>
        </w:rPr>
        <w:t>.</w:t>
      </w:r>
      <w:r>
        <w:rPr>
          <w:snapToGrid w:val="0"/>
        </w:rPr>
        <w:tab/>
        <w:t>Director may request information</w:t>
      </w:r>
      <w:bookmarkEnd w:id="152"/>
      <w:bookmarkEnd w:id="153"/>
      <w:bookmarkEnd w:id="154"/>
      <w:bookmarkEnd w:id="155"/>
      <w:bookmarkEnd w:id="156"/>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157" w:name="_Toc507476642"/>
      <w:bookmarkStart w:id="158" w:name="_Toc515349881"/>
      <w:bookmarkStart w:id="159" w:name="_Toc118520761"/>
      <w:bookmarkStart w:id="160" w:name="_Toc272058903"/>
      <w:bookmarkStart w:id="161" w:name="_Toc241052500"/>
      <w:r>
        <w:rPr>
          <w:rStyle w:val="CharSectno"/>
        </w:rPr>
        <w:t>23</w:t>
      </w:r>
      <w:r>
        <w:rPr>
          <w:snapToGrid w:val="0"/>
        </w:rPr>
        <w:t>.</w:t>
      </w:r>
      <w:r>
        <w:rPr>
          <w:snapToGrid w:val="0"/>
        </w:rPr>
        <w:tab/>
        <w:t>Director may limit powers of other officials</w:t>
      </w:r>
      <w:bookmarkEnd w:id="157"/>
      <w:bookmarkEnd w:id="158"/>
      <w:bookmarkEnd w:id="159"/>
      <w:bookmarkEnd w:id="160"/>
      <w:bookmarkEnd w:id="161"/>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162" w:name="_Toc507476643"/>
      <w:bookmarkStart w:id="163" w:name="_Toc515349882"/>
      <w:r>
        <w:tab/>
        <w:t>[Section 23 amended by No. 21 of 2004 s. 7.]</w:t>
      </w:r>
    </w:p>
    <w:p>
      <w:pPr>
        <w:pStyle w:val="Heading5"/>
        <w:rPr>
          <w:snapToGrid w:val="0"/>
        </w:rPr>
      </w:pPr>
      <w:bookmarkStart w:id="164" w:name="_Toc118520762"/>
      <w:bookmarkStart w:id="165" w:name="_Toc272058904"/>
      <w:bookmarkStart w:id="166" w:name="_Toc241052501"/>
      <w:r>
        <w:rPr>
          <w:rStyle w:val="CharSectno"/>
        </w:rPr>
        <w:t>24</w:t>
      </w:r>
      <w:r>
        <w:rPr>
          <w:snapToGrid w:val="0"/>
        </w:rPr>
        <w:t>.</w:t>
      </w:r>
      <w:r>
        <w:rPr>
          <w:snapToGrid w:val="0"/>
        </w:rPr>
        <w:tab/>
        <w:t>Director may issue guidelines</w:t>
      </w:r>
      <w:bookmarkEnd w:id="162"/>
      <w:bookmarkEnd w:id="163"/>
      <w:bookmarkEnd w:id="164"/>
      <w:bookmarkEnd w:id="165"/>
      <w:bookmarkEnd w:id="166"/>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167" w:name="_Toc84823987"/>
      <w:bookmarkStart w:id="168" w:name="_Toc89512284"/>
      <w:bookmarkStart w:id="169" w:name="_Toc102277747"/>
      <w:bookmarkStart w:id="170" w:name="_Toc102719148"/>
      <w:bookmarkStart w:id="171" w:name="_Toc116955560"/>
      <w:bookmarkStart w:id="172" w:name="_Toc117650343"/>
      <w:bookmarkStart w:id="173" w:name="_Toc118514532"/>
      <w:bookmarkStart w:id="174" w:name="_Toc118520763"/>
      <w:bookmarkStart w:id="175" w:name="_Toc180471231"/>
      <w:bookmarkStart w:id="176" w:name="_Toc180567404"/>
      <w:bookmarkStart w:id="177" w:name="_Toc196732661"/>
      <w:bookmarkStart w:id="178" w:name="_Toc199753248"/>
      <w:bookmarkStart w:id="179" w:name="_Toc223845709"/>
      <w:bookmarkStart w:id="180" w:name="_Toc241052502"/>
      <w:bookmarkStart w:id="181" w:name="_Toc268272971"/>
      <w:bookmarkStart w:id="182" w:name="_Toc272058905"/>
      <w:r>
        <w:rPr>
          <w:rStyle w:val="CharPartNo"/>
        </w:rPr>
        <w:t>Part 4</w:t>
      </w:r>
      <w:r>
        <w:rPr>
          <w:rStyle w:val="CharDivNo"/>
        </w:rPr>
        <w:t> </w:t>
      </w:r>
      <w:r>
        <w:t>—</w:t>
      </w:r>
      <w:r>
        <w:rPr>
          <w:rStyle w:val="CharDivText"/>
        </w:rPr>
        <w:t> </w:t>
      </w:r>
      <w:r>
        <w:rPr>
          <w:rStyle w:val="CharPartText"/>
        </w:rPr>
        <w:t>Relationship with Attorney General</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spacing w:before="160"/>
        <w:rPr>
          <w:snapToGrid w:val="0"/>
        </w:rPr>
      </w:pPr>
      <w:bookmarkStart w:id="183" w:name="_Toc507476644"/>
      <w:bookmarkStart w:id="184" w:name="_Toc515349883"/>
      <w:bookmarkStart w:id="185" w:name="_Toc118520764"/>
      <w:bookmarkStart w:id="186" w:name="_Toc272058906"/>
      <w:bookmarkStart w:id="187" w:name="_Toc241052503"/>
      <w:r>
        <w:rPr>
          <w:rStyle w:val="CharSectno"/>
        </w:rPr>
        <w:t>25</w:t>
      </w:r>
      <w:r>
        <w:rPr>
          <w:snapToGrid w:val="0"/>
        </w:rPr>
        <w:t>.</w:t>
      </w:r>
      <w:r>
        <w:rPr>
          <w:snapToGrid w:val="0"/>
        </w:rPr>
        <w:tab/>
        <w:t>General freedom from direction</w:t>
      </w:r>
      <w:bookmarkEnd w:id="183"/>
      <w:bookmarkEnd w:id="184"/>
      <w:bookmarkEnd w:id="185"/>
      <w:bookmarkEnd w:id="186"/>
      <w:bookmarkEnd w:id="187"/>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188" w:name="_Toc507476645"/>
      <w:bookmarkStart w:id="189" w:name="_Toc515349884"/>
      <w:bookmarkStart w:id="190" w:name="_Toc118520765"/>
      <w:bookmarkStart w:id="191" w:name="_Toc272058907"/>
      <w:bookmarkStart w:id="192" w:name="_Toc241052504"/>
      <w:r>
        <w:rPr>
          <w:rStyle w:val="CharSectno"/>
        </w:rPr>
        <w:t>26</w:t>
      </w:r>
      <w:r>
        <w:rPr>
          <w:snapToGrid w:val="0"/>
        </w:rPr>
        <w:t>.</w:t>
      </w:r>
      <w:r>
        <w:rPr>
          <w:snapToGrid w:val="0"/>
        </w:rPr>
        <w:tab/>
        <w:t>Consultation</w:t>
      </w:r>
      <w:bookmarkEnd w:id="188"/>
      <w:bookmarkEnd w:id="189"/>
      <w:bookmarkEnd w:id="190"/>
      <w:bookmarkEnd w:id="191"/>
      <w:bookmarkEnd w:id="192"/>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193" w:name="_Toc507476646"/>
      <w:bookmarkStart w:id="194" w:name="_Toc515349885"/>
      <w:bookmarkStart w:id="195" w:name="_Toc118520766"/>
      <w:bookmarkStart w:id="196" w:name="_Toc272058908"/>
      <w:bookmarkStart w:id="197" w:name="_Toc241052505"/>
      <w:r>
        <w:rPr>
          <w:rStyle w:val="CharSectno"/>
        </w:rPr>
        <w:t>27</w:t>
      </w:r>
      <w:r>
        <w:rPr>
          <w:snapToGrid w:val="0"/>
        </w:rPr>
        <w:t>.</w:t>
      </w:r>
      <w:r>
        <w:rPr>
          <w:snapToGrid w:val="0"/>
        </w:rPr>
        <w:tab/>
        <w:t>Directions by Attorney General</w:t>
      </w:r>
      <w:bookmarkEnd w:id="193"/>
      <w:bookmarkEnd w:id="194"/>
      <w:bookmarkEnd w:id="195"/>
      <w:bookmarkEnd w:id="196"/>
      <w:bookmarkEnd w:id="197"/>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198" w:name="_Toc507476647"/>
      <w:bookmarkStart w:id="199" w:name="_Toc515349886"/>
      <w:bookmarkStart w:id="200" w:name="_Toc118520767"/>
      <w:bookmarkStart w:id="201" w:name="_Toc272058909"/>
      <w:bookmarkStart w:id="202" w:name="_Toc241052506"/>
      <w:r>
        <w:rPr>
          <w:rStyle w:val="CharSectno"/>
        </w:rPr>
        <w:t>28</w:t>
      </w:r>
      <w:r>
        <w:rPr>
          <w:snapToGrid w:val="0"/>
        </w:rPr>
        <w:t>.</w:t>
      </w:r>
      <w:r>
        <w:rPr>
          <w:snapToGrid w:val="0"/>
        </w:rPr>
        <w:tab/>
        <w:t>Consistency between Attorney General and Director</w:t>
      </w:r>
      <w:bookmarkEnd w:id="198"/>
      <w:bookmarkEnd w:id="199"/>
      <w:bookmarkEnd w:id="200"/>
      <w:bookmarkEnd w:id="201"/>
      <w:bookmarkEnd w:id="202"/>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203" w:name="_Toc507476648"/>
      <w:bookmarkStart w:id="204" w:name="_Toc515349887"/>
      <w:bookmarkStart w:id="205" w:name="_Toc118520768"/>
      <w:bookmarkStart w:id="206" w:name="_Toc272058910"/>
      <w:bookmarkStart w:id="207" w:name="_Toc241052507"/>
      <w:r>
        <w:rPr>
          <w:rStyle w:val="CharSectno"/>
        </w:rPr>
        <w:t>29</w:t>
      </w:r>
      <w:r>
        <w:rPr>
          <w:snapToGrid w:val="0"/>
        </w:rPr>
        <w:t>.</w:t>
      </w:r>
      <w:r>
        <w:rPr>
          <w:snapToGrid w:val="0"/>
        </w:rPr>
        <w:tab/>
        <w:t>Information to be furnished to Attorney General</w:t>
      </w:r>
      <w:bookmarkEnd w:id="203"/>
      <w:bookmarkEnd w:id="204"/>
      <w:bookmarkEnd w:id="205"/>
      <w:bookmarkEnd w:id="206"/>
      <w:bookmarkEnd w:id="207"/>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208" w:name="_Toc84823993"/>
      <w:bookmarkStart w:id="209" w:name="_Toc89512290"/>
      <w:bookmarkStart w:id="210" w:name="_Toc102277753"/>
      <w:bookmarkStart w:id="211" w:name="_Toc102719154"/>
      <w:bookmarkStart w:id="212" w:name="_Toc116955566"/>
      <w:bookmarkStart w:id="213" w:name="_Toc117650349"/>
      <w:bookmarkStart w:id="214" w:name="_Toc118514538"/>
      <w:bookmarkStart w:id="215" w:name="_Toc118520769"/>
      <w:bookmarkStart w:id="216" w:name="_Toc180471237"/>
      <w:bookmarkStart w:id="217" w:name="_Toc180567410"/>
      <w:bookmarkStart w:id="218" w:name="_Toc196732667"/>
      <w:bookmarkStart w:id="219" w:name="_Toc199753254"/>
      <w:bookmarkStart w:id="220" w:name="_Toc223845715"/>
      <w:bookmarkStart w:id="221" w:name="_Toc241052508"/>
      <w:bookmarkStart w:id="222" w:name="_Toc268272977"/>
      <w:bookmarkStart w:id="223" w:name="_Toc272058911"/>
      <w:r>
        <w:rPr>
          <w:rStyle w:val="CharPartNo"/>
        </w:rPr>
        <w:t>Part 5</w:t>
      </w:r>
      <w:r>
        <w:rPr>
          <w:rStyle w:val="CharDivNo"/>
        </w:rPr>
        <w:t> </w:t>
      </w:r>
      <w:r>
        <w:t>—</w:t>
      </w:r>
      <w:r>
        <w:rPr>
          <w:rStyle w:val="CharDivText"/>
        </w:rPr>
        <w:t> </w:t>
      </w:r>
      <w:r>
        <w:rPr>
          <w:rStyle w:val="CharPartText"/>
        </w:rPr>
        <w:t>Miscellaneous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507476649"/>
      <w:bookmarkStart w:id="225" w:name="_Toc515349888"/>
      <w:bookmarkStart w:id="226" w:name="_Toc118520770"/>
      <w:bookmarkStart w:id="227" w:name="_Toc272058912"/>
      <w:bookmarkStart w:id="228" w:name="_Toc241052509"/>
      <w:r>
        <w:rPr>
          <w:rStyle w:val="CharSectno"/>
        </w:rPr>
        <w:t>30</w:t>
      </w:r>
      <w:r>
        <w:rPr>
          <w:snapToGrid w:val="0"/>
        </w:rPr>
        <w:t>.</w:t>
      </w:r>
      <w:r>
        <w:rPr>
          <w:snapToGrid w:val="0"/>
        </w:rPr>
        <w:tab/>
        <w:t>Staff</w:t>
      </w:r>
      <w:bookmarkEnd w:id="224"/>
      <w:bookmarkEnd w:id="225"/>
      <w:bookmarkEnd w:id="226"/>
      <w:bookmarkEnd w:id="227"/>
      <w:bookmarkEnd w:id="228"/>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229" w:name="_Toc507476650"/>
      <w:bookmarkStart w:id="230" w:name="_Toc515349889"/>
      <w:bookmarkStart w:id="231" w:name="_Toc118520771"/>
      <w:bookmarkStart w:id="232" w:name="_Toc272058913"/>
      <w:bookmarkStart w:id="233" w:name="_Toc241052510"/>
      <w:r>
        <w:rPr>
          <w:rStyle w:val="CharSectno"/>
        </w:rPr>
        <w:t>31</w:t>
      </w:r>
      <w:r>
        <w:rPr>
          <w:snapToGrid w:val="0"/>
        </w:rPr>
        <w:t>.</w:t>
      </w:r>
      <w:r>
        <w:rPr>
          <w:snapToGrid w:val="0"/>
        </w:rPr>
        <w:tab/>
        <w:t>Delegation</w:t>
      </w:r>
      <w:bookmarkEnd w:id="229"/>
      <w:bookmarkEnd w:id="230"/>
      <w:bookmarkEnd w:id="231"/>
      <w:bookmarkEnd w:id="232"/>
      <w:bookmarkEnd w:id="233"/>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234" w:name="_Toc507476651"/>
      <w:bookmarkStart w:id="235" w:name="_Toc515349890"/>
      <w:bookmarkStart w:id="236" w:name="_Toc118520772"/>
      <w:bookmarkStart w:id="237" w:name="_Toc272058914"/>
      <w:bookmarkStart w:id="238" w:name="_Toc241052511"/>
      <w:r>
        <w:rPr>
          <w:rStyle w:val="CharSectno"/>
        </w:rPr>
        <w:t>32</w:t>
      </w:r>
      <w:r>
        <w:rPr>
          <w:snapToGrid w:val="0"/>
        </w:rPr>
        <w:t>.</w:t>
      </w:r>
      <w:r>
        <w:rPr>
          <w:snapToGrid w:val="0"/>
        </w:rPr>
        <w:tab/>
        <w:t>Annual report of Director</w:t>
      </w:r>
      <w:bookmarkEnd w:id="234"/>
      <w:bookmarkEnd w:id="235"/>
      <w:bookmarkEnd w:id="236"/>
      <w:bookmarkEnd w:id="237"/>
      <w:bookmarkEnd w:id="238"/>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239" w:name="_Toc507476652"/>
      <w:bookmarkStart w:id="240" w:name="_Toc515349891"/>
      <w:bookmarkStart w:id="241" w:name="_Toc118520773"/>
      <w:bookmarkStart w:id="242" w:name="_Toc272058915"/>
      <w:bookmarkStart w:id="243" w:name="_Toc241052512"/>
      <w:r>
        <w:rPr>
          <w:rStyle w:val="CharSectno"/>
        </w:rPr>
        <w:t>33</w:t>
      </w:r>
      <w:r>
        <w:rPr>
          <w:snapToGrid w:val="0"/>
        </w:rPr>
        <w:t>.</w:t>
      </w:r>
      <w:r>
        <w:rPr>
          <w:snapToGrid w:val="0"/>
        </w:rPr>
        <w:tab/>
        <w:t>Protection from liability</w:t>
      </w:r>
      <w:bookmarkEnd w:id="239"/>
      <w:bookmarkEnd w:id="240"/>
      <w:bookmarkEnd w:id="241"/>
      <w:bookmarkEnd w:id="242"/>
      <w:bookmarkEnd w:id="243"/>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244" w:name="_Toc507476653"/>
      <w:bookmarkStart w:id="245" w:name="_Toc515349892"/>
      <w:bookmarkStart w:id="246" w:name="_Toc118520774"/>
      <w:bookmarkStart w:id="247" w:name="_Toc272058916"/>
      <w:bookmarkStart w:id="248" w:name="_Toc241052513"/>
      <w:r>
        <w:rPr>
          <w:rStyle w:val="CharSectno"/>
        </w:rPr>
        <w:t>34</w:t>
      </w:r>
      <w:r>
        <w:rPr>
          <w:snapToGrid w:val="0"/>
        </w:rPr>
        <w:t>.</w:t>
      </w:r>
      <w:r>
        <w:rPr>
          <w:snapToGrid w:val="0"/>
        </w:rPr>
        <w:tab/>
        <w:t>Regulations</w:t>
      </w:r>
      <w:bookmarkEnd w:id="244"/>
      <w:bookmarkEnd w:id="245"/>
      <w:bookmarkEnd w:id="246"/>
      <w:bookmarkEnd w:id="247"/>
      <w:bookmarkEnd w:id="248"/>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249" w:name="_Toc507476654"/>
      <w:bookmarkStart w:id="250" w:name="_Toc515349893"/>
      <w:bookmarkStart w:id="251" w:name="_Toc118520775"/>
      <w:bookmarkStart w:id="252" w:name="_Toc272058917"/>
      <w:bookmarkStart w:id="253" w:name="_Toc241052514"/>
      <w:r>
        <w:rPr>
          <w:rStyle w:val="CharSectno"/>
        </w:rPr>
        <w:t>35</w:t>
      </w:r>
      <w:r>
        <w:rPr>
          <w:snapToGrid w:val="0"/>
        </w:rPr>
        <w:t>.</w:t>
      </w:r>
      <w:r>
        <w:rPr>
          <w:snapToGrid w:val="0"/>
        </w:rPr>
        <w:tab/>
        <w:t>Savings and transitional</w:t>
      </w:r>
      <w:bookmarkEnd w:id="249"/>
      <w:bookmarkEnd w:id="250"/>
      <w:bookmarkEnd w:id="251"/>
      <w:bookmarkEnd w:id="252"/>
      <w:bookmarkEnd w:id="253"/>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54" w:name="_Toc515351004"/>
      <w:bookmarkStart w:id="255" w:name="_Toc515677341"/>
      <w:bookmarkStart w:id="256" w:name="_Toc117650356"/>
      <w:bookmarkStart w:id="257" w:name="_Toc118514545"/>
      <w:bookmarkStart w:id="258" w:name="_Toc118520776"/>
      <w:bookmarkStart w:id="259" w:name="_Toc180471244"/>
      <w:bookmarkStart w:id="260" w:name="_Toc180567417"/>
      <w:bookmarkStart w:id="261" w:name="_Toc196732674"/>
      <w:bookmarkStart w:id="262" w:name="_Toc199753261"/>
      <w:bookmarkStart w:id="263" w:name="_Toc223845722"/>
      <w:bookmarkStart w:id="264" w:name="_Toc241052515"/>
      <w:bookmarkStart w:id="265" w:name="_Toc268272984"/>
      <w:bookmarkStart w:id="266" w:name="_Toc272058918"/>
      <w:r>
        <w:rPr>
          <w:rStyle w:val="CharSchNo"/>
        </w:rPr>
        <w:t>Schedule 1</w:t>
      </w:r>
      <w:bookmarkEnd w:id="254"/>
      <w:bookmarkEnd w:id="255"/>
      <w:bookmarkEnd w:id="256"/>
      <w:bookmarkEnd w:id="257"/>
      <w:bookmarkEnd w:id="258"/>
      <w:bookmarkEnd w:id="259"/>
      <w:bookmarkEnd w:id="260"/>
      <w:bookmarkEnd w:id="261"/>
      <w:bookmarkEnd w:id="262"/>
      <w:bookmarkEnd w:id="263"/>
      <w:bookmarkEnd w:id="264"/>
      <w:ins w:id="267" w:author="svcMRProcess" w:date="2015-12-13T11:13:00Z">
        <w:r>
          <w:t> — </w:t>
        </w:r>
        <w:r>
          <w:rPr>
            <w:rStyle w:val="CharSchText"/>
          </w:rPr>
          <w:t>Tenure, salary, conditions of service, etc., of Director</w:t>
        </w:r>
      </w:ins>
      <w:bookmarkEnd w:id="265"/>
      <w:bookmarkEnd w:id="266"/>
    </w:p>
    <w:p>
      <w:pPr>
        <w:pStyle w:val="yShoulderClause"/>
        <w:rPr>
          <w:snapToGrid w:val="0"/>
        </w:rPr>
      </w:pPr>
      <w:r>
        <w:rPr>
          <w:snapToGrid w:val="0"/>
        </w:rPr>
        <w:t>[</w:t>
      </w:r>
      <w:del w:id="268" w:author="svcMRProcess" w:date="2015-12-13T11:13:00Z">
        <w:r>
          <w:rPr>
            <w:snapToGrid w:val="0"/>
          </w:rPr>
          <w:delText>section</w:delText>
        </w:r>
      </w:del>
      <w:ins w:id="269" w:author="svcMRProcess" w:date="2015-12-13T11:13:00Z">
        <w:r>
          <w:rPr>
            <w:snapToGrid w:val="0"/>
          </w:rPr>
          <w:t>s.</w:t>
        </w:r>
      </w:ins>
      <w:r>
        <w:rPr>
          <w:snapToGrid w:val="0"/>
        </w:rPr>
        <w:t> 7]</w:t>
      </w:r>
    </w:p>
    <w:p>
      <w:pPr>
        <w:pStyle w:val="yHeading2"/>
        <w:spacing w:before="220"/>
        <w:outlineLvl w:val="9"/>
        <w:rPr>
          <w:del w:id="270" w:author="svcMRProcess" w:date="2015-12-13T11:13:00Z"/>
        </w:rPr>
      </w:pPr>
      <w:bookmarkStart w:id="271" w:name="_Toc117650357"/>
      <w:bookmarkStart w:id="272" w:name="_Toc118514546"/>
      <w:bookmarkStart w:id="273" w:name="_Toc118520777"/>
      <w:bookmarkStart w:id="274" w:name="_Toc180471245"/>
      <w:bookmarkStart w:id="275" w:name="_Toc180567418"/>
      <w:bookmarkStart w:id="276" w:name="_Toc196732675"/>
      <w:bookmarkStart w:id="277" w:name="_Toc199753262"/>
      <w:bookmarkStart w:id="278" w:name="_Toc223845723"/>
      <w:bookmarkStart w:id="279" w:name="_Toc241052516"/>
      <w:bookmarkStart w:id="280" w:name="_Toc515349895"/>
      <w:bookmarkStart w:id="281" w:name="_Toc118520778"/>
      <w:del w:id="282" w:author="svcMRProcess" w:date="2015-12-13T11:13:00Z">
        <w:r>
          <w:rPr>
            <w:rStyle w:val="CharSchText"/>
          </w:rPr>
          <w:delText>Tenure, salary, conditions of service, etc., of Director</w:delText>
        </w:r>
        <w:bookmarkEnd w:id="271"/>
        <w:bookmarkEnd w:id="272"/>
        <w:bookmarkEnd w:id="273"/>
        <w:bookmarkEnd w:id="274"/>
        <w:bookmarkEnd w:id="275"/>
        <w:bookmarkEnd w:id="276"/>
        <w:bookmarkEnd w:id="277"/>
        <w:bookmarkEnd w:id="278"/>
        <w:bookmarkEnd w:id="279"/>
      </w:del>
    </w:p>
    <w:p>
      <w:pPr>
        <w:pStyle w:val="yFootnoteheading"/>
        <w:rPr>
          <w:ins w:id="283" w:author="svcMRProcess" w:date="2015-12-13T11:13:00Z"/>
        </w:rPr>
      </w:pPr>
      <w:ins w:id="284" w:author="svcMRProcess" w:date="2015-12-13T11:13:00Z">
        <w:r>
          <w:tab/>
          <w:t>[Heading amended by No. 19 of 2010 s. 4.]</w:t>
        </w:r>
      </w:ins>
    </w:p>
    <w:p>
      <w:pPr>
        <w:pStyle w:val="yHeading5"/>
        <w:spacing w:before="160"/>
        <w:outlineLvl w:val="9"/>
      </w:pPr>
      <w:bookmarkStart w:id="285" w:name="_Toc272058919"/>
      <w:bookmarkStart w:id="286" w:name="_Toc241052517"/>
      <w:r>
        <w:rPr>
          <w:rStyle w:val="CharSClsNo"/>
        </w:rPr>
        <w:t>1</w:t>
      </w:r>
      <w:r>
        <w:t>.</w:t>
      </w:r>
      <w:r>
        <w:tab/>
        <w:t>Tenure of office</w:t>
      </w:r>
      <w:bookmarkEnd w:id="280"/>
      <w:bookmarkEnd w:id="281"/>
      <w:bookmarkEnd w:id="285"/>
      <w:bookmarkEnd w:id="286"/>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287" w:name="_Toc515349896"/>
      <w:r>
        <w:tab/>
        <w:t>[Clause 1 amended by No. 42 of 1997 s. 8.]</w:t>
      </w:r>
    </w:p>
    <w:p>
      <w:pPr>
        <w:pStyle w:val="yHeading5"/>
        <w:outlineLvl w:val="9"/>
      </w:pPr>
      <w:bookmarkStart w:id="288" w:name="_Toc118520779"/>
      <w:bookmarkStart w:id="289" w:name="_Toc272058920"/>
      <w:bookmarkStart w:id="290" w:name="_Toc241052518"/>
      <w:r>
        <w:rPr>
          <w:rStyle w:val="CharSClsNo"/>
        </w:rPr>
        <w:t>2</w:t>
      </w:r>
      <w:r>
        <w:t>.</w:t>
      </w:r>
      <w:r>
        <w:tab/>
        <w:t>Salary and entitlements</w:t>
      </w:r>
      <w:bookmarkEnd w:id="287"/>
      <w:bookmarkEnd w:id="288"/>
      <w:bookmarkEnd w:id="289"/>
      <w:bookmarkEnd w:id="290"/>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291" w:name="_Toc515349897"/>
      <w:bookmarkStart w:id="292" w:name="_Toc118520780"/>
      <w:bookmarkStart w:id="293" w:name="_Toc272058921"/>
      <w:bookmarkStart w:id="294" w:name="_Toc241052519"/>
      <w:r>
        <w:rPr>
          <w:rStyle w:val="CharSClsNo"/>
        </w:rPr>
        <w:t>3</w:t>
      </w:r>
      <w:r>
        <w:t>.</w:t>
      </w:r>
      <w:r>
        <w:tab/>
        <w:t>Superannuation</w:t>
      </w:r>
      <w:bookmarkEnd w:id="291"/>
      <w:bookmarkEnd w:id="292"/>
      <w:bookmarkEnd w:id="293"/>
      <w:bookmarkEnd w:id="294"/>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295" w:name="_Toc515349898"/>
      <w:r>
        <w:tab/>
        <w:t>[Clause 3 amended by No. 60 of 1995 s. 54; No. 43 of 2000 s. 39(1).]</w:t>
      </w:r>
    </w:p>
    <w:p>
      <w:pPr>
        <w:pStyle w:val="yHeading5"/>
        <w:outlineLvl w:val="9"/>
      </w:pPr>
      <w:bookmarkStart w:id="296" w:name="_Toc118520781"/>
      <w:bookmarkStart w:id="297" w:name="_Toc272058922"/>
      <w:bookmarkStart w:id="298" w:name="_Toc241052520"/>
      <w:r>
        <w:rPr>
          <w:rStyle w:val="CharSClsNo"/>
        </w:rPr>
        <w:t>4</w:t>
      </w:r>
      <w:r>
        <w:t>.</w:t>
      </w:r>
      <w:r>
        <w:tab/>
        <w:t>Appointment of public service officer</w:t>
      </w:r>
      <w:bookmarkEnd w:id="295"/>
      <w:bookmarkEnd w:id="296"/>
      <w:bookmarkEnd w:id="297"/>
      <w:bookmarkEnd w:id="298"/>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299" w:name="_Toc515349899"/>
      <w:r>
        <w:tab/>
        <w:t>[Clause 4 amended by No. 42 of 1997 s. 8.]</w:t>
      </w:r>
    </w:p>
    <w:p>
      <w:pPr>
        <w:pStyle w:val="yHeading5"/>
        <w:outlineLvl w:val="9"/>
      </w:pPr>
      <w:bookmarkStart w:id="300" w:name="_Toc118520782"/>
      <w:bookmarkStart w:id="301" w:name="_Toc272058923"/>
      <w:bookmarkStart w:id="302" w:name="_Toc241052521"/>
      <w:r>
        <w:rPr>
          <w:rStyle w:val="CharSClsNo"/>
        </w:rPr>
        <w:t>5</w:t>
      </w:r>
      <w:r>
        <w:t>.</w:t>
      </w:r>
      <w:r>
        <w:tab/>
        <w:t>Certain requirements to be observed</w:t>
      </w:r>
      <w:bookmarkEnd w:id="299"/>
      <w:bookmarkEnd w:id="300"/>
      <w:bookmarkEnd w:id="301"/>
      <w:bookmarkEnd w:id="302"/>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303" w:name="_Toc515349900"/>
      <w:bookmarkStart w:id="304" w:name="_Toc118520783"/>
      <w:bookmarkStart w:id="305" w:name="_Toc272058924"/>
      <w:bookmarkStart w:id="306" w:name="_Toc241052522"/>
      <w:r>
        <w:rPr>
          <w:rStyle w:val="CharSClsNo"/>
        </w:rPr>
        <w:t>6</w:t>
      </w:r>
      <w:r>
        <w:t>.</w:t>
      </w:r>
      <w:r>
        <w:tab/>
        <w:t>Removal from office</w:t>
      </w:r>
      <w:bookmarkEnd w:id="303"/>
      <w:bookmarkEnd w:id="304"/>
      <w:bookmarkEnd w:id="305"/>
      <w:bookmarkEnd w:id="306"/>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 by No. 18 of 2009 s. 31.]</w:t>
      </w:r>
    </w:p>
    <w:p>
      <w:pPr>
        <w:pStyle w:val="yHeading5"/>
        <w:outlineLvl w:val="9"/>
      </w:pPr>
      <w:bookmarkStart w:id="307" w:name="_Toc515349901"/>
      <w:bookmarkStart w:id="308" w:name="_Toc118520784"/>
      <w:bookmarkStart w:id="309" w:name="_Toc272058925"/>
      <w:bookmarkStart w:id="310" w:name="_Toc241052523"/>
      <w:r>
        <w:rPr>
          <w:rStyle w:val="CharSClsNo"/>
        </w:rPr>
        <w:t>7</w:t>
      </w:r>
      <w:r>
        <w:t>.</w:t>
      </w:r>
      <w:r>
        <w:tab/>
        <w:t>Other conditions of service</w:t>
      </w:r>
      <w:bookmarkEnd w:id="307"/>
      <w:bookmarkEnd w:id="308"/>
      <w:bookmarkEnd w:id="309"/>
      <w:bookmarkEnd w:id="310"/>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11" w:name="_Toc84824009"/>
      <w:bookmarkStart w:id="312" w:name="_Toc89512306"/>
      <w:bookmarkStart w:id="313" w:name="_Toc102277769"/>
      <w:bookmarkStart w:id="314" w:name="_Toc102719170"/>
      <w:bookmarkStart w:id="315" w:name="_Toc116955582"/>
      <w:bookmarkStart w:id="316" w:name="_Toc117650365"/>
      <w:bookmarkStart w:id="317" w:name="_Toc118514554"/>
      <w:bookmarkStart w:id="318" w:name="_Toc118520785"/>
      <w:bookmarkStart w:id="319" w:name="_Toc180471253"/>
      <w:bookmarkStart w:id="320" w:name="_Toc180567426"/>
      <w:bookmarkStart w:id="321" w:name="_Toc196732683"/>
      <w:bookmarkStart w:id="322" w:name="_Toc199753270"/>
      <w:bookmarkStart w:id="323" w:name="_Toc223845731"/>
      <w:bookmarkStart w:id="324" w:name="_Toc241052524"/>
      <w:bookmarkStart w:id="325" w:name="_Toc268272992"/>
      <w:bookmarkStart w:id="326" w:name="_Toc272058926"/>
      <w:r>
        <w:t>Notes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27" w:name="UpToHere"/>
      <w:bookmarkStart w:id="328" w:name="_Toc118520786"/>
      <w:bookmarkStart w:id="329" w:name="_Toc272058927"/>
      <w:bookmarkStart w:id="330" w:name="_Toc241052525"/>
      <w:bookmarkEnd w:id="327"/>
      <w:r>
        <w:t>Compilation table</w:t>
      </w:r>
      <w:bookmarkEnd w:id="328"/>
      <w:bookmarkEnd w:id="329"/>
      <w:bookmarkEnd w:id="330"/>
    </w:p>
    <w:tbl>
      <w:tblPr>
        <w:tblW w:w="7181"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28"/>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2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rPr>
                <w:sz w:val="19"/>
              </w:rPr>
            </w:pPr>
            <w:r>
              <w:rPr>
                <w:i/>
                <w:sz w:val="19"/>
              </w:rPr>
              <w:t>Director of Public Prosecutions Act 1991</w:t>
            </w:r>
          </w:p>
        </w:tc>
        <w:tc>
          <w:tcPr>
            <w:tcW w:w="1139" w:type="dxa"/>
          </w:tcPr>
          <w:p>
            <w:pPr>
              <w:pStyle w:val="nTable"/>
              <w:spacing w:after="40"/>
              <w:rPr>
                <w:sz w:val="19"/>
              </w:rPr>
            </w:pPr>
            <w:r>
              <w:rPr>
                <w:sz w:val="19"/>
              </w:rPr>
              <w:t>12 of 1991</w:t>
            </w:r>
          </w:p>
        </w:tc>
        <w:tc>
          <w:tcPr>
            <w:tcW w:w="1136" w:type="dxa"/>
          </w:tcPr>
          <w:p>
            <w:pPr>
              <w:pStyle w:val="nTable"/>
              <w:spacing w:after="40"/>
              <w:rPr>
                <w:sz w:val="19"/>
              </w:rPr>
            </w:pPr>
            <w:r>
              <w:rPr>
                <w:sz w:val="19"/>
              </w:rPr>
              <w:t>21 Jun 1991</w:t>
            </w:r>
          </w:p>
        </w:tc>
        <w:tc>
          <w:tcPr>
            <w:tcW w:w="2628"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2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Government Employees Superannuation Amendment Act (No. 2) 1995</w:t>
            </w:r>
            <w:r>
              <w:rPr>
                <w:sz w:val="19"/>
              </w:rPr>
              <w:t xml:space="preserve"> s. 54</w:t>
            </w:r>
          </w:p>
        </w:tc>
        <w:tc>
          <w:tcPr>
            <w:tcW w:w="1139" w:type="dxa"/>
          </w:tcPr>
          <w:p>
            <w:pPr>
              <w:pStyle w:val="nTable"/>
              <w:spacing w:after="40"/>
              <w:rPr>
                <w:sz w:val="19"/>
              </w:rPr>
            </w:pPr>
            <w:r>
              <w:rPr>
                <w:sz w:val="19"/>
              </w:rPr>
              <w:t>60 of 1995</w:t>
            </w:r>
          </w:p>
        </w:tc>
        <w:tc>
          <w:tcPr>
            <w:tcW w:w="1136" w:type="dxa"/>
          </w:tcPr>
          <w:p>
            <w:pPr>
              <w:pStyle w:val="nTable"/>
              <w:spacing w:after="40"/>
              <w:rPr>
                <w:sz w:val="19"/>
              </w:rPr>
            </w:pPr>
            <w:r>
              <w:rPr>
                <w:sz w:val="19"/>
              </w:rPr>
              <w:t>21 Dec 1995</w:t>
            </w:r>
          </w:p>
        </w:tc>
        <w:tc>
          <w:tcPr>
            <w:tcW w:w="2628" w:type="dxa"/>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78" w:type="dxa"/>
          </w:tcPr>
          <w:p>
            <w:pPr>
              <w:pStyle w:val="nTable"/>
              <w:spacing w:after="40"/>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28"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rPr>
                <w:sz w:val="19"/>
              </w:rPr>
            </w:pPr>
            <w:r>
              <w:rPr>
                <w:i/>
                <w:sz w:val="19"/>
              </w:rPr>
              <w:t>Equal Opportunity Amendment Act (No. 3) 1997</w:t>
            </w:r>
            <w:r>
              <w:rPr>
                <w:sz w:val="19"/>
              </w:rPr>
              <w:t xml:space="preserve"> s. 8</w:t>
            </w:r>
          </w:p>
        </w:tc>
        <w:tc>
          <w:tcPr>
            <w:tcW w:w="1139" w:type="dxa"/>
          </w:tcPr>
          <w:p>
            <w:pPr>
              <w:pStyle w:val="nTable"/>
              <w:spacing w:after="40"/>
              <w:rPr>
                <w:sz w:val="19"/>
              </w:rPr>
            </w:pPr>
            <w:r>
              <w:rPr>
                <w:sz w:val="19"/>
              </w:rPr>
              <w:t>42 of 1997</w:t>
            </w:r>
          </w:p>
        </w:tc>
        <w:tc>
          <w:tcPr>
            <w:tcW w:w="1136" w:type="dxa"/>
          </w:tcPr>
          <w:p>
            <w:pPr>
              <w:pStyle w:val="nTable"/>
              <w:spacing w:after="40"/>
              <w:rPr>
                <w:sz w:val="19"/>
              </w:rPr>
            </w:pPr>
            <w:r>
              <w:rPr>
                <w:sz w:val="19"/>
              </w:rPr>
              <w:t>9 Dec 1997</w:t>
            </w:r>
          </w:p>
        </w:tc>
        <w:tc>
          <w:tcPr>
            <w:tcW w:w="2628" w:type="dxa"/>
          </w:tcPr>
          <w:p>
            <w:pPr>
              <w:pStyle w:val="nTable"/>
              <w:spacing w:after="40"/>
              <w:rPr>
                <w:sz w:val="19"/>
              </w:rPr>
            </w:pPr>
            <w:r>
              <w:rPr>
                <w:sz w:val="19"/>
              </w:rPr>
              <w:t>6 Jan 1998 (see s. 2(1))</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39(1)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628" w:type="dxa"/>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9"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628" w:type="dxa"/>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181" w:type="dxa"/>
            <w:gridSpan w:val="4"/>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78" w:type="dxa"/>
          </w:tcPr>
          <w:p>
            <w:pPr>
              <w:pStyle w:val="nTable"/>
              <w:spacing w:after="40"/>
              <w:rPr>
                <w:sz w:val="19"/>
              </w:rPr>
            </w:pPr>
            <w:r>
              <w:rPr>
                <w:i/>
                <w:sz w:val="19"/>
              </w:rPr>
              <w:t>Criminal Law (Procedure) Amendment Act 2002</w:t>
            </w:r>
            <w:r>
              <w:rPr>
                <w:sz w:val="19"/>
              </w:rPr>
              <w:t xml:space="preserve"> Pt. 4 Div. 4</w:t>
            </w:r>
          </w:p>
        </w:tc>
        <w:tc>
          <w:tcPr>
            <w:tcW w:w="1139" w:type="dxa"/>
          </w:tcPr>
          <w:p>
            <w:pPr>
              <w:pStyle w:val="nTable"/>
              <w:spacing w:after="40"/>
              <w:rPr>
                <w:sz w:val="19"/>
              </w:rPr>
            </w:pPr>
            <w:r>
              <w:rPr>
                <w:sz w:val="19"/>
              </w:rPr>
              <w:t>27 of 2002</w:t>
            </w:r>
          </w:p>
        </w:tc>
        <w:tc>
          <w:tcPr>
            <w:tcW w:w="1136" w:type="dxa"/>
          </w:tcPr>
          <w:p>
            <w:pPr>
              <w:pStyle w:val="nTable"/>
              <w:spacing w:after="40"/>
              <w:rPr>
                <w:sz w:val="19"/>
              </w:rPr>
            </w:pPr>
            <w:r>
              <w:rPr>
                <w:sz w:val="19"/>
              </w:rPr>
              <w:t>25 Sep 2002</w:t>
            </w:r>
          </w:p>
        </w:tc>
        <w:tc>
          <w:tcPr>
            <w:tcW w:w="2628"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31, 110 and 124</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628"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rPr>
            </w:pPr>
            <w:r>
              <w:rPr>
                <w:i/>
                <w:sz w:val="19"/>
              </w:rPr>
              <w:t>Director of Public Prosecutions Amendment Act 2004</w:t>
            </w:r>
          </w:p>
        </w:tc>
        <w:tc>
          <w:tcPr>
            <w:tcW w:w="1139" w:type="dxa"/>
          </w:tcPr>
          <w:p>
            <w:pPr>
              <w:pStyle w:val="nTable"/>
              <w:spacing w:after="40"/>
              <w:rPr>
                <w:sz w:val="19"/>
              </w:rPr>
            </w:pPr>
            <w:r>
              <w:rPr>
                <w:sz w:val="19"/>
              </w:rPr>
              <w:t>21 of 2004</w:t>
            </w:r>
          </w:p>
        </w:tc>
        <w:tc>
          <w:tcPr>
            <w:tcW w:w="1136" w:type="dxa"/>
          </w:tcPr>
          <w:p>
            <w:pPr>
              <w:pStyle w:val="nTable"/>
              <w:spacing w:after="40"/>
              <w:rPr>
                <w:sz w:val="19"/>
              </w:rPr>
            </w:pPr>
            <w:r>
              <w:rPr>
                <w:sz w:val="19"/>
              </w:rPr>
              <w:t>8 Sep 2004</w:t>
            </w:r>
          </w:p>
        </w:tc>
        <w:tc>
          <w:tcPr>
            <w:tcW w:w="2628" w:type="dxa"/>
          </w:tcPr>
          <w:p>
            <w:pPr>
              <w:pStyle w:val="nTable"/>
              <w:spacing w:after="40"/>
              <w:rPr>
                <w:sz w:val="19"/>
              </w:rPr>
            </w:pPr>
            <w:r>
              <w:rPr>
                <w:sz w:val="19"/>
              </w:rPr>
              <w:t>6 Oct 2004</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9" w:type="dxa"/>
          </w:tcPr>
          <w:p>
            <w:pPr>
              <w:pStyle w:val="nTable"/>
              <w:spacing w:after="40"/>
              <w:rPr>
                <w:sz w:val="19"/>
              </w:rPr>
            </w:pPr>
            <w:r>
              <w:rPr>
                <w:snapToGrid w:val="0"/>
                <w:sz w:val="19"/>
                <w:lang w:val="en-US"/>
              </w:rPr>
              <w:t>59 of 2004 (as amended by No. 2 of 2008 s. 77(7))</w:t>
            </w:r>
          </w:p>
        </w:tc>
        <w:tc>
          <w:tcPr>
            <w:tcW w:w="1136" w:type="dxa"/>
          </w:tcPr>
          <w:p>
            <w:pPr>
              <w:pStyle w:val="nTable"/>
              <w:spacing w:after="40"/>
              <w:rPr>
                <w:sz w:val="19"/>
              </w:rPr>
            </w:pPr>
            <w:r>
              <w:rPr>
                <w:snapToGrid w:val="0"/>
                <w:sz w:val="19"/>
                <w:lang w:val="en-US"/>
              </w:rPr>
              <w:t>23 Nov 2004</w:t>
            </w:r>
          </w:p>
        </w:tc>
        <w:tc>
          <w:tcPr>
            <w:tcW w:w="262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napToGrid w:val="0"/>
                <w:sz w:val="19"/>
                <w:lang w:val="en-US"/>
              </w:rPr>
            </w:pPr>
            <w:r>
              <w:rPr>
                <w:sz w:val="19"/>
              </w:rPr>
              <w:t>16 Dec 2004</w:t>
            </w:r>
          </w:p>
        </w:tc>
        <w:tc>
          <w:tcPr>
            <w:tcW w:w="2628"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81" w:type="dxa"/>
            <w:gridSpan w:val="4"/>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r>
        <w:trPr>
          <w:cantSplit/>
        </w:trPr>
        <w:tc>
          <w:tcPr>
            <w:tcW w:w="227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659 </w:t>
            </w:r>
          </w:p>
        </w:tc>
        <w:tc>
          <w:tcPr>
            <w:tcW w:w="1139" w:type="dxa"/>
          </w:tcPr>
          <w:p>
            <w:pPr>
              <w:pStyle w:val="nTable"/>
              <w:spacing w:after="40"/>
              <w:rPr>
                <w:snapToGrid w:val="0"/>
                <w:sz w:val="19"/>
                <w:lang w:val="en-US"/>
              </w:rPr>
            </w:pPr>
            <w:r>
              <w:rPr>
                <w:snapToGrid w:val="0"/>
                <w:sz w:val="19"/>
                <w:lang w:val="en-US"/>
              </w:rPr>
              <w:t>21 of 2008</w:t>
            </w:r>
          </w:p>
        </w:tc>
        <w:tc>
          <w:tcPr>
            <w:tcW w:w="1136" w:type="dxa"/>
          </w:tcPr>
          <w:p>
            <w:pPr>
              <w:pStyle w:val="nTable"/>
              <w:spacing w:after="40"/>
              <w:rPr>
                <w:sz w:val="19"/>
              </w:rPr>
            </w:pPr>
            <w:r>
              <w:rPr>
                <w:snapToGrid w:val="0"/>
                <w:sz w:val="19"/>
                <w:lang w:val="en-US"/>
              </w:rPr>
              <w:t>27 May 2008</w:t>
            </w:r>
          </w:p>
        </w:tc>
        <w:tc>
          <w:tcPr>
            <w:tcW w:w="2628"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31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28" w:type="dxa"/>
          </w:tcPr>
          <w:p>
            <w:pPr>
              <w:pStyle w:val="nTable"/>
              <w:spacing w:after="40"/>
              <w:rPr>
                <w:sz w:val="19"/>
              </w:rPr>
            </w:pPr>
            <w:r>
              <w:rPr>
                <w:sz w:val="19"/>
              </w:rPr>
              <w:t>17 Sep 2009 (see s. 2(b))</w:t>
            </w:r>
          </w:p>
        </w:tc>
      </w:tr>
      <w:tr>
        <w:trPr>
          <w:cantSplit/>
          <w:ins w:id="331" w:author="svcMRProcess" w:date="2015-12-13T11:13:00Z"/>
        </w:trPr>
        <w:tc>
          <w:tcPr>
            <w:tcW w:w="2278" w:type="dxa"/>
            <w:tcBorders>
              <w:bottom w:val="single" w:sz="4" w:space="0" w:color="auto"/>
            </w:tcBorders>
          </w:tcPr>
          <w:p>
            <w:pPr>
              <w:pStyle w:val="nTable"/>
              <w:spacing w:after="40"/>
              <w:ind w:right="113"/>
              <w:rPr>
                <w:ins w:id="332" w:author="svcMRProcess" w:date="2015-12-13T11:13:00Z"/>
                <w:iCs/>
                <w:snapToGrid w:val="0"/>
                <w:sz w:val="19"/>
                <w:lang w:val="en-US"/>
              </w:rPr>
            </w:pPr>
            <w:ins w:id="333" w:author="svcMRProcess" w:date="2015-12-13T11:13: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334" w:author="svcMRProcess" w:date="2015-12-13T11:13:00Z"/>
                <w:snapToGrid w:val="0"/>
                <w:sz w:val="19"/>
                <w:lang w:val="en-US"/>
              </w:rPr>
            </w:pPr>
            <w:ins w:id="335" w:author="svcMRProcess" w:date="2015-12-13T11:13:00Z">
              <w:r>
                <w:rPr>
                  <w:snapToGrid w:val="0"/>
                  <w:sz w:val="19"/>
                  <w:lang w:val="en-US"/>
                </w:rPr>
                <w:t>19 of 2010</w:t>
              </w:r>
            </w:ins>
          </w:p>
        </w:tc>
        <w:tc>
          <w:tcPr>
            <w:tcW w:w="1136" w:type="dxa"/>
            <w:tcBorders>
              <w:bottom w:val="single" w:sz="4" w:space="0" w:color="auto"/>
            </w:tcBorders>
          </w:tcPr>
          <w:p>
            <w:pPr>
              <w:pStyle w:val="nTable"/>
              <w:spacing w:after="40"/>
              <w:rPr>
                <w:ins w:id="336" w:author="svcMRProcess" w:date="2015-12-13T11:13:00Z"/>
                <w:snapToGrid w:val="0"/>
                <w:sz w:val="19"/>
                <w:lang w:val="en-US"/>
              </w:rPr>
            </w:pPr>
            <w:ins w:id="337" w:author="svcMRProcess" w:date="2015-12-13T11:13:00Z">
              <w:r>
                <w:rPr>
                  <w:snapToGrid w:val="0"/>
                  <w:sz w:val="19"/>
                  <w:lang w:val="en-US"/>
                </w:rPr>
                <w:t>28 Jun 2010</w:t>
              </w:r>
            </w:ins>
          </w:p>
        </w:tc>
        <w:tc>
          <w:tcPr>
            <w:tcW w:w="2628" w:type="dxa"/>
            <w:tcBorders>
              <w:bottom w:val="single" w:sz="4" w:space="0" w:color="auto"/>
            </w:tcBorders>
          </w:tcPr>
          <w:p>
            <w:pPr>
              <w:pStyle w:val="nTable"/>
              <w:spacing w:after="40"/>
              <w:rPr>
                <w:ins w:id="338" w:author="svcMRProcess" w:date="2015-12-13T11:13:00Z"/>
                <w:snapToGrid w:val="0"/>
                <w:sz w:val="19"/>
                <w:lang w:val="en-US"/>
              </w:rPr>
            </w:pPr>
            <w:ins w:id="339" w:author="svcMRProcess" w:date="2015-12-13T11:13: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160"/>
        <w:ind w:left="482" w:hanging="482"/>
      </w:pPr>
      <w:r>
        <w:rPr>
          <w:vertAlign w:val="superscript"/>
        </w:rPr>
        <w:t>1a</w:t>
      </w:r>
      <w:r>
        <w:tab/>
        <w:t>On the date as at which thi</w:t>
      </w:r>
      <w:bookmarkStart w:id="340" w:name="_Hlt507390729"/>
      <w:bookmarkEnd w:id="3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1" w:name="_Toc118520787"/>
      <w:bookmarkStart w:id="342" w:name="_Toc272058928"/>
      <w:bookmarkStart w:id="343" w:name="_Toc241052526"/>
      <w:r>
        <w:t>Provisions that have not come into operation</w:t>
      </w:r>
      <w:bookmarkEnd w:id="341"/>
      <w:bookmarkEnd w:id="342"/>
      <w:bookmarkEnd w:id="343"/>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9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9" w:type="dxa"/>
            <w:tcBorders>
              <w:top w:val="single" w:sz="8" w:space="0" w:color="auto"/>
            </w:tcBorders>
          </w:tcPr>
          <w:p>
            <w:pPr>
              <w:pStyle w:val="nTable"/>
              <w:spacing w:after="40"/>
              <w:rPr>
                <w:sz w:val="19"/>
              </w:rPr>
            </w:pPr>
            <w:r>
              <w:rPr>
                <w:sz w:val="19"/>
              </w:rPr>
              <w:t>43 of 2000</w:t>
            </w:r>
          </w:p>
        </w:tc>
        <w:tc>
          <w:tcPr>
            <w:tcW w:w="1136" w:type="dxa"/>
            <w:tcBorders>
              <w:top w:val="single" w:sz="8" w:space="0" w:color="auto"/>
            </w:tcBorders>
          </w:tcPr>
          <w:p>
            <w:pPr>
              <w:pStyle w:val="nTable"/>
              <w:spacing w:after="40"/>
              <w:rPr>
                <w:sz w:val="19"/>
              </w:rPr>
            </w:pPr>
            <w:r>
              <w:rPr>
                <w:sz w:val="19"/>
              </w:rPr>
              <w:t>2 Nov 2000</w:t>
            </w:r>
          </w:p>
        </w:tc>
        <w:tc>
          <w:tcPr>
            <w:tcW w:w="2599" w:type="dxa"/>
            <w:tcBorders>
              <w:top w:val="single" w:sz="8" w:space="0" w:color="auto"/>
            </w:tcBorders>
          </w:tcPr>
          <w:p>
            <w:pPr>
              <w:pStyle w:val="nTable"/>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9" w:type="dxa"/>
            <w:tcBorders>
              <w:bottom w:val="single" w:sz="4" w:space="0" w:color="auto"/>
            </w:tcBorders>
          </w:tcPr>
          <w:p>
            <w:pPr>
              <w:pStyle w:val="nTable"/>
              <w:spacing w:after="40"/>
              <w:rPr>
                <w:sz w:val="19"/>
              </w:rPr>
            </w:pPr>
            <w:r>
              <w:rPr>
                <w:snapToGrid w:val="0"/>
                <w:sz w:val="19"/>
                <w:lang w:val="en-US"/>
              </w:rPr>
              <w:t>25 of 2007</w:t>
            </w:r>
          </w:p>
        </w:tc>
        <w:tc>
          <w:tcPr>
            <w:tcW w:w="1136" w:type="dxa"/>
            <w:tcBorders>
              <w:bottom w:val="single" w:sz="4" w:space="0" w:color="auto"/>
            </w:tcBorders>
          </w:tcPr>
          <w:p>
            <w:pPr>
              <w:pStyle w:val="nTable"/>
              <w:spacing w:after="40"/>
              <w:rPr>
                <w:sz w:val="19"/>
              </w:rPr>
            </w:pPr>
            <w:r>
              <w:rPr>
                <w:sz w:val="19"/>
              </w:rPr>
              <w:t>16 Oct 2007</w:t>
            </w:r>
          </w:p>
        </w:tc>
        <w:tc>
          <w:tcPr>
            <w:tcW w:w="2599"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del w:id="344" w:author="svcMRProcess" w:date="2015-12-13T11:13:00Z"/>
        </w:trPr>
        <w:tc>
          <w:tcPr>
            <w:tcW w:w="2278" w:type="dxa"/>
            <w:tcBorders>
              <w:bottom w:val="single" w:sz="4" w:space="0" w:color="auto"/>
            </w:tcBorders>
          </w:tcPr>
          <w:p>
            <w:pPr>
              <w:pStyle w:val="nTable"/>
              <w:spacing w:after="40"/>
              <w:ind w:right="113"/>
              <w:rPr>
                <w:del w:id="345" w:author="svcMRProcess" w:date="2015-12-13T11:13:00Z"/>
                <w:iCs/>
                <w:snapToGrid w:val="0"/>
                <w:sz w:val="19"/>
                <w:vertAlign w:val="superscript"/>
                <w:lang w:val="en-US"/>
              </w:rPr>
            </w:pPr>
            <w:del w:id="346" w:author="svcMRProcess" w:date="2015-12-13T11:13: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7</w:delText>
              </w:r>
            </w:del>
          </w:p>
        </w:tc>
        <w:tc>
          <w:tcPr>
            <w:tcW w:w="1139" w:type="dxa"/>
            <w:tcBorders>
              <w:bottom w:val="single" w:sz="4" w:space="0" w:color="auto"/>
            </w:tcBorders>
          </w:tcPr>
          <w:p>
            <w:pPr>
              <w:pStyle w:val="nTable"/>
              <w:spacing w:after="40"/>
              <w:rPr>
                <w:del w:id="347" w:author="svcMRProcess" w:date="2015-12-13T11:13:00Z"/>
                <w:snapToGrid w:val="0"/>
                <w:sz w:val="19"/>
                <w:lang w:val="en-US"/>
              </w:rPr>
            </w:pPr>
            <w:del w:id="348" w:author="svcMRProcess" w:date="2015-12-13T11:13:00Z">
              <w:r>
                <w:rPr>
                  <w:snapToGrid w:val="0"/>
                  <w:sz w:val="19"/>
                  <w:lang w:val="en-US"/>
                </w:rPr>
                <w:delText>19 of 2010</w:delText>
              </w:r>
            </w:del>
          </w:p>
        </w:tc>
        <w:tc>
          <w:tcPr>
            <w:tcW w:w="1136" w:type="dxa"/>
            <w:tcBorders>
              <w:bottom w:val="single" w:sz="4" w:space="0" w:color="auto"/>
            </w:tcBorders>
          </w:tcPr>
          <w:p>
            <w:pPr>
              <w:pStyle w:val="nTable"/>
              <w:spacing w:after="40"/>
              <w:rPr>
                <w:del w:id="349" w:author="svcMRProcess" w:date="2015-12-13T11:13:00Z"/>
                <w:snapToGrid w:val="0"/>
                <w:sz w:val="19"/>
                <w:lang w:val="en-US"/>
              </w:rPr>
            </w:pPr>
            <w:del w:id="350" w:author="svcMRProcess" w:date="2015-12-13T11:13:00Z">
              <w:r>
                <w:rPr>
                  <w:snapToGrid w:val="0"/>
                  <w:sz w:val="19"/>
                  <w:lang w:val="en-US"/>
                </w:rPr>
                <w:delText>28 Jun 2010</w:delText>
              </w:r>
            </w:del>
          </w:p>
        </w:tc>
        <w:tc>
          <w:tcPr>
            <w:tcW w:w="2600" w:type="dxa"/>
            <w:tcBorders>
              <w:bottom w:val="single" w:sz="4" w:space="0" w:color="auto"/>
            </w:tcBorders>
          </w:tcPr>
          <w:p>
            <w:pPr>
              <w:pStyle w:val="nTable"/>
              <w:spacing w:after="40"/>
              <w:rPr>
                <w:del w:id="351" w:author="svcMRProcess" w:date="2015-12-13T11:13:00Z"/>
                <w:snapToGrid w:val="0"/>
                <w:sz w:val="19"/>
                <w:lang w:val="en-US"/>
              </w:rPr>
            </w:pPr>
            <w:del w:id="352" w:author="svcMRProcess" w:date="2015-12-13T11:13:00Z">
              <w:r>
                <w:rPr>
                  <w:snapToGrid w:val="0"/>
                  <w:sz w:val="19"/>
                  <w:lang w:val="en-US"/>
                </w:rPr>
                <w:delText>To be proclaimed (see s. 2(b))</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1 cl. 46 (</w:t>
      </w:r>
      <w:r>
        <w:rPr>
          <w:snapToGrid w:val="0"/>
        </w:rPr>
        <w:t xml:space="preserve">amendment to s. 11(2)) was repealed by the </w:t>
      </w:r>
      <w:r>
        <w:rPr>
          <w:i/>
          <w:iCs/>
          <w:snapToGrid w:val="0"/>
        </w:rPr>
        <w:t>Criminal Law and Evidence Amendment Act 2008</w:t>
      </w:r>
      <w:r>
        <w:rPr>
          <w:snapToGrid w:val="0"/>
        </w:rPr>
        <w:t xml:space="preserve"> s. 77(7).</w:t>
      </w:r>
    </w:p>
    <w:p>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pPr>
        <w:pStyle w:val="MiscOpen"/>
        <w:keepNext w:val="0"/>
        <w:spacing w:before="60"/>
        <w:rPr>
          <w:sz w:val="20"/>
        </w:rPr>
      </w:pPr>
      <w:r>
        <w:rPr>
          <w:sz w:val="20"/>
        </w:rPr>
        <w:t>“</w:t>
      </w:r>
    </w:p>
    <w:p>
      <w:pPr>
        <w:pStyle w:val="nzHeading5"/>
      </w:pPr>
      <w:bookmarkStart w:id="353" w:name="_Toc170015858"/>
      <w:bookmarkStart w:id="354" w:name="_Toc170033326"/>
      <w:bookmarkStart w:id="355" w:name="_Toc179687592"/>
      <w:bookmarkStart w:id="356" w:name="_Toc180401615"/>
      <w:r>
        <w:rPr>
          <w:rStyle w:val="CharSectno"/>
        </w:rPr>
        <w:t>80</w:t>
      </w:r>
      <w:r>
        <w:t>.</w:t>
      </w:r>
      <w:r>
        <w:tab/>
      </w:r>
      <w:r>
        <w:rPr>
          <w:i/>
        </w:rPr>
        <w:t>Director of Public Prosecutions Act 1991</w:t>
      </w:r>
      <w:r>
        <w:t xml:space="preserve"> amended</w:t>
      </w:r>
      <w:bookmarkEnd w:id="353"/>
      <w:bookmarkEnd w:id="354"/>
      <w:bookmarkEnd w:id="355"/>
      <w:bookmarkEnd w:id="356"/>
    </w:p>
    <w:p>
      <w:pPr>
        <w:pStyle w:val="nzSubsection"/>
      </w:pPr>
      <w:r>
        <w:tab/>
        <w:t>(1)</w:t>
      </w:r>
      <w:r>
        <w:tab/>
        <w:t xml:space="preserve">The amendments in this section are to the </w:t>
      </w:r>
      <w:r>
        <w:rPr>
          <w:i/>
        </w:rPr>
        <w:t>Director of Public Prosecutions Act 1991</w:t>
      </w:r>
      <w:r>
        <w:t>.</w:t>
      </w:r>
    </w:p>
    <w:p>
      <w:pPr>
        <w:pStyle w:val="nzSubsection"/>
      </w:pPr>
      <w:r>
        <w:tab/>
        <w:t>(2)</w:t>
      </w:r>
      <w:r>
        <w:tab/>
        <w:t>Schedule 1 clause 3(5) to (8) are repealed.</w:t>
      </w:r>
    </w:p>
    <w:p>
      <w:pPr>
        <w:pStyle w:val="nzSubsection"/>
      </w:pPr>
      <w:r>
        <w:tab/>
        <w:t>(3)</w:t>
      </w:r>
      <w:r>
        <w:tab/>
        <w:t>After Schedule 1 clause 3 the following clause is inserted —</w:t>
      </w:r>
    </w:p>
    <w:p>
      <w:pPr>
        <w:pStyle w:val="MiscOpen"/>
      </w:pPr>
      <w:r>
        <w:t xml:space="preserve">“    </w:t>
      </w:r>
    </w:p>
    <w:p>
      <w:pPr>
        <w:pStyle w:val="nzHeading5"/>
      </w:pPr>
      <w:bookmarkStart w:id="357" w:name="_Toc170015859"/>
      <w:bookmarkStart w:id="358" w:name="_Toc170033327"/>
      <w:bookmarkStart w:id="359" w:name="_Toc179687593"/>
      <w:bookmarkStart w:id="360" w:name="_Toc180401616"/>
      <w:r>
        <w:t>3A.</w:t>
      </w:r>
      <w:r>
        <w:rPr>
          <w:b w:val="0"/>
        </w:rPr>
        <w:tab/>
      </w:r>
      <w:r>
        <w:rPr>
          <w:iCs/>
        </w:rPr>
        <w:t>Superannuation if subsequently appointed as judge</w:t>
      </w:r>
      <w:bookmarkEnd w:id="357"/>
      <w:bookmarkEnd w:id="358"/>
      <w:bookmarkEnd w:id="359"/>
      <w:bookmarkEnd w:id="360"/>
    </w:p>
    <w:p>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pPr>
        <w:pStyle w:val="nzSubsection"/>
      </w:pPr>
      <w:r>
        <w:tab/>
        <w:t>(5)</w:t>
      </w:r>
      <w:r>
        <w:tab/>
        <w:t>An election under subsection (1) is to be made in writing to the Minister within 30 days after ceasing to be Director and is irrevocable.</w:t>
      </w:r>
    </w:p>
    <w:p>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pPr>
        <w:pStyle w:val="MiscClose"/>
        <w:ind w:right="488"/>
      </w:pPr>
      <w:r>
        <w:t xml:space="preserve">    ”.</w:t>
      </w:r>
    </w:p>
    <w:p>
      <w:pPr>
        <w:pStyle w:val="MiscClose"/>
      </w:pPr>
      <w:r>
        <w:t>”.</w:t>
      </w:r>
    </w:p>
    <w:p>
      <w:pPr>
        <w:pStyle w:val="nSubsection"/>
        <w:tabs>
          <w:tab w:val="clear" w:pos="454"/>
          <w:tab w:val="left" w:pos="567"/>
        </w:tabs>
        <w:spacing w:before="120"/>
        <w:ind w:left="567" w:hanging="567"/>
        <w:rPr>
          <w:del w:id="361" w:author="svcMRProcess" w:date="2015-12-13T11:13:00Z"/>
          <w:snapToGrid w:val="0"/>
        </w:rPr>
      </w:pPr>
      <w:del w:id="362" w:author="svcMRProcess" w:date="2015-12-13T11: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3" w:author="svcMRProcess" w:date="2015-12-13T11:13:00Z"/>
        </w:rPr>
      </w:pPr>
      <w:bookmarkStart w:id="364" w:name="_Toc7405065"/>
      <w:del w:id="365" w:author="svcMRProcess" w:date="2015-12-13T11:13:00Z">
        <w:r>
          <w:delText>Provisions that have not come into operation</w:delText>
        </w:r>
        <w:bookmarkEnd w:id="36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366" w:author="svcMRProcess" w:date="2015-12-13T11:13:00Z"/>
        </w:trPr>
        <w:tc>
          <w:tcPr>
            <w:tcW w:w="2266" w:type="dxa"/>
          </w:tcPr>
          <w:p>
            <w:pPr>
              <w:pStyle w:val="nTable"/>
              <w:spacing w:after="40"/>
              <w:rPr>
                <w:del w:id="367" w:author="svcMRProcess" w:date="2015-12-13T11:13:00Z"/>
                <w:b/>
                <w:snapToGrid w:val="0"/>
                <w:sz w:val="19"/>
                <w:lang w:val="en-US"/>
              </w:rPr>
            </w:pPr>
            <w:del w:id="368" w:author="svcMRProcess" w:date="2015-12-13T11:13:00Z">
              <w:r>
                <w:rPr>
                  <w:b/>
                  <w:snapToGrid w:val="0"/>
                  <w:sz w:val="19"/>
                  <w:lang w:val="en-US"/>
                </w:rPr>
                <w:delText>Short title</w:delText>
              </w:r>
            </w:del>
          </w:p>
        </w:tc>
        <w:tc>
          <w:tcPr>
            <w:tcW w:w="1120" w:type="dxa"/>
          </w:tcPr>
          <w:p>
            <w:pPr>
              <w:pStyle w:val="nTable"/>
              <w:spacing w:after="40"/>
              <w:rPr>
                <w:del w:id="369" w:author="svcMRProcess" w:date="2015-12-13T11:13:00Z"/>
                <w:b/>
                <w:snapToGrid w:val="0"/>
                <w:sz w:val="19"/>
                <w:lang w:val="en-US"/>
              </w:rPr>
            </w:pPr>
            <w:del w:id="370" w:author="svcMRProcess" w:date="2015-12-13T11:13:00Z">
              <w:r>
                <w:rPr>
                  <w:b/>
                  <w:snapToGrid w:val="0"/>
                  <w:sz w:val="19"/>
                  <w:lang w:val="en-US"/>
                </w:rPr>
                <w:delText>Number and year</w:delText>
              </w:r>
            </w:del>
          </w:p>
        </w:tc>
        <w:tc>
          <w:tcPr>
            <w:tcW w:w="1135" w:type="dxa"/>
          </w:tcPr>
          <w:p>
            <w:pPr>
              <w:pStyle w:val="nTable"/>
              <w:spacing w:after="40"/>
              <w:rPr>
                <w:del w:id="371" w:author="svcMRProcess" w:date="2015-12-13T11:13:00Z"/>
                <w:b/>
                <w:snapToGrid w:val="0"/>
                <w:sz w:val="19"/>
                <w:lang w:val="en-US"/>
              </w:rPr>
            </w:pPr>
            <w:del w:id="372" w:author="svcMRProcess" w:date="2015-12-13T11:13:00Z">
              <w:r>
                <w:rPr>
                  <w:b/>
                  <w:snapToGrid w:val="0"/>
                  <w:sz w:val="19"/>
                  <w:lang w:val="en-US"/>
                </w:rPr>
                <w:delText>Assent</w:delText>
              </w:r>
            </w:del>
          </w:p>
        </w:tc>
        <w:tc>
          <w:tcPr>
            <w:tcW w:w="2534" w:type="dxa"/>
          </w:tcPr>
          <w:p>
            <w:pPr>
              <w:pStyle w:val="nTable"/>
              <w:spacing w:after="40"/>
              <w:rPr>
                <w:del w:id="373" w:author="svcMRProcess" w:date="2015-12-13T11:13:00Z"/>
                <w:b/>
                <w:snapToGrid w:val="0"/>
                <w:sz w:val="19"/>
                <w:lang w:val="en-US"/>
              </w:rPr>
            </w:pPr>
            <w:del w:id="374" w:author="svcMRProcess" w:date="2015-12-13T11:13:00Z">
              <w:r>
                <w:rPr>
                  <w:b/>
                  <w:snapToGrid w:val="0"/>
                  <w:sz w:val="19"/>
                  <w:lang w:val="en-US"/>
                </w:rPr>
                <w:delText>Commencement</w:delText>
              </w:r>
            </w:del>
          </w:p>
        </w:tc>
      </w:tr>
      <w:tr>
        <w:tblPrEx>
          <w:tblCellMar>
            <w:left w:w="56" w:type="dxa"/>
            <w:right w:w="56" w:type="dxa"/>
          </w:tblCellMar>
        </w:tblPrEx>
        <w:trPr>
          <w:cantSplit/>
          <w:del w:id="375" w:author="svcMRProcess" w:date="2015-12-13T11:13:00Z"/>
        </w:trPr>
        <w:tc>
          <w:tcPr>
            <w:tcW w:w="2266" w:type="dxa"/>
          </w:tcPr>
          <w:p>
            <w:pPr>
              <w:pStyle w:val="nTable"/>
              <w:spacing w:after="40"/>
              <w:ind w:right="113"/>
              <w:rPr>
                <w:del w:id="376" w:author="svcMRProcess" w:date="2015-12-13T11:13:00Z"/>
                <w:iCs/>
                <w:snapToGrid w:val="0"/>
                <w:sz w:val="19"/>
                <w:lang w:val="en-US"/>
              </w:rPr>
            </w:pPr>
            <w:del w:id="377" w:author="svcMRProcess" w:date="2015-12-13T11:13: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2</w:delText>
              </w:r>
            </w:del>
          </w:p>
        </w:tc>
        <w:tc>
          <w:tcPr>
            <w:tcW w:w="1120" w:type="dxa"/>
          </w:tcPr>
          <w:p>
            <w:pPr>
              <w:pStyle w:val="nTable"/>
              <w:spacing w:after="40"/>
              <w:rPr>
                <w:del w:id="378" w:author="svcMRProcess" w:date="2015-12-13T11:13:00Z"/>
                <w:snapToGrid w:val="0"/>
                <w:sz w:val="19"/>
                <w:lang w:val="en-US"/>
              </w:rPr>
            </w:pPr>
            <w:del w:id="379" w:author="svcMRProcess" w:date="2015-12-13T11:13:00Z">
              <w:r>
                <w:rPr>
                  <w:snapToGrid w:val="0"/>
                  <w:sz w:val="19"/>
                  <w:lang w:val="en-US"/>
                </w:rPr>
                <w:delText>19 of 2010</w:delText>
              </w:r>
            </w:del>
          </w:p>
        </w:tc>
        <w:tc>
          <w:tcPr>
            <w:tcW w:w="1135" w:type="dxa"/>
          </w:tcPr>
          <w:p>
            <w:pPr>
              <w:pStyle w:val="nTable"/>
              <w:spacing w:after="40"/>
              <w:rPr>
                <w:del w:id="380" w:author="svcMRProcess" w:date="2015-12-13T11:13:00Z"/>
                <w:snapToGrid w:val="0"/>
                <w:sz w:val="19"/>
                <w:lang w:val="en-US"/>
              </w:rPr>
            </w:pPr>
            <w:del w:id="381" w:author="svcMRProcess" w:date="2015-12-13T11:13:00Z">
              <w:r>
                <w:rPr>
                  <w:snapToGrid w:val="0"/>
                  <w:sz w:val="19"/>
                  <w:lang w:val="en-US"/>
                </w:rPr>
                <w:delText>28 Jun 2010</w:delText>
              </w:r>
            </w:del>
          </w:p>
        </w:tc>
        <w:tc>
          <w:tcPr>
            <w:tcW w:w="2534" w:type="dxa"/>
          </w:tcPr>
          <w:p>
            <w:pPr>
              <w:pStyle w:val="nTable"/>
              <w:spacing w:after="40"/>
              <w:rPr>
                <w:del w:id="382" w:author="svcMRProcess" w:date="2015-12-13T11:13:00Z"/>
                <w:snapToGrid w:val="0"/>
                <w:sz w:val="19"/>
                <w:lang w:val="en-US"/>
              </w:rPr>
            </w:pPr>
            <w:del w:id="383" w:author="svcMRProcess" w:date="2015-12-13T11:13:00Z">
              <w:r>
                <w:rPr>
                  <w:snapToGrid w:val="0"/>
                  <w:sz w:val="19"/>
                  <w:lang w:val="en-US"/>
                </w:rPr>
                <w:delText>To be proclaimed (see s. 2(b))</w:delText>
              </w:r>
            </w:del>
          </w:p>
        </w:tc>
      </w:tr>
    </w:tbl>
    <w:p>
      <w:pPr>
        <w:rPr>
          <w:del w:id="384" w:author="svcMRProcess" w:date="2015-12-13T11:13:00Z"/>
        </w:rPr>
      </w:pPr>
    </w:p>
    <w:p>
      <w:pPr>
        <w:pStyle w:val="nSubsection"/>
        <w:keepLines/>
        <w:spacing w:before="0"/>
        <w:rPr>
          <w:del w:id="385" w:author="svcMRProcess" w:date="2015-12-13T11:13:00Z"/>
          <w:snapToGrid w:val="0"/>
        </w:rPr>
      </w:pPr>
      <w:del w:id="386" w:author="svcMRProcess" w:date="2015-12-13T11:1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387" w:author="svcMRProcess" w:date="2015-12-13T11:13:00Z"/>
        </w:rPr>
      </w:pPr>
    </w:p>
    <w:p>
      <w:pPr>
        <w:pStyle w:val="nzHeading5"/>
        <w:rPr>
          <w:del w:id="388" w:author="svcMRProcess" w:date="2015-12-13T11:13:00Z"/>
          <w:rFonts w:eastAsia="MS Mincho"/>
        </w:rPr>
      </w:pPr>
      <w:bookmarkStart w:id="389" w:name="_Toc233107675"/>
      <w:bookmarkStart w:id="390" w:name="_Toc255473698"/>
      <w:bookmarkStart w:id="391" w:name="_Toc265583753"/>
      <w:del w:id="392" w:author="svcMRProcess" w:date="2015-12-13T11:13:00Z">
        <w:r>
          <w:rPr>
            <w:rStyle w:val="CharSectno"/>
            <w:rFonts w:eastAsia="MS Mincho"/>
          </w:rPr>
          <w:delText>4</w:delText>
        </w:r>
        <w:r>
          <w:rPr>
            <w:rFonts w:eastAsia="MS Mincho"/>
          </w:rPr>
          <w:delText>.</w:delText>
        </w:r>
        <w:r>
          <w:rPr>
            <w:rFonts w:eastAsia="MS Mincho"/>
          </w:rPr>
          <w:tab/>
          <w:delText>Schedule headings reformatted</w:delText>
        </w:r>
        <w:bookmarkEnd w:id="389"/>
        <w:bookmarkEnd w:id="390"/>
        <w:bookmarkEnd w:id="391"/>
      </w:del>
    </w:p>
    <w:p>
      <w:pPr>
        <w:pStyle w:val="nzSubsection"/>
        <w:rPr>
          <w:del w:id="393" w:author="svcMRProcess" w:date="2015-12-13T11:13:00Z"/>
          <w:rFonts w:eastAsia="MS Mincho"/>
        </w:rPr>
      </w:pPr>
      <w:del w:id="394" w:author="svcMRProcess" w:date="2015-12-13T11:13:00Z">
        <w:r>
          <w:rPr>
            <w:rFonts w:eastAsia="MS Mincho"/>
          </w:rPr>
          <w:tab/>
          <w:delText>(1)</w:delText>
        </w:r>
        <w:r>
          <w:rPr>
            <w:rFonts w:eastAsia="MS Mincho"/>
          </w:rPr>
          <w:tab/>
          <w:delText>This section amends the Acts listed in the Table.</w:delText>
        </w:r>
      </w:del>
    </w:p>
    <w:p>
      <w:pPr>
        <w:pStyle w:val="nzSubsection"/>
        <w:rPr>
          <w:del w:id="395" w:author="svcMRProcess" w:date="2015-12-13T11:13:00Z"/>
        </w:rPr>
      </w:pPr>
      <w:del w:id="396" w:author="svcMRProcess" w:date="2015-12-13T11:13:00Z">
        <w:r>
          <w:rPr>
            <w:rFonts w:eastAsia="MS Mincho"/>
          </w:rPr>
          <w:tab/>
          <w:delText>(2)</w:delText>
        </w:r>
        <w:r>
          <w:rPr>
            <w:rFonts w:eastAsia="MS Mincho"/>
          </w:rPr>
          <w:tab/>
          <w:delText>In each Schedule listed in the Table:</w:delText>
        </w:r>
      </w:del>
    </w:p>
    <w:p>
      <w:pPr>
        <w:pStyle w:val="nzIndenta"/>
        <w:rPr>
          <w:del w:id="397" w:author="svcMRProcess" w:date="2015-12-13T11:13:00Z"/>
        </w:rPr>
      </w:pPr>
      <w:del w:id="398" w:author="svcMRProcess" w:date="2015-12-13T11:13:00Z">
        <w:r>
          <w:tab/>
          <w:delText>(a)</w:delText>
        </w:r>
        <w:r>
          <w:tab/>
          <w:delText>if there is a title set out in the Table for the Schedule — after the identifier for the Schedule insert that title;</w:delText>
        </w:r>
      </w:del>
    </w:p>
    <w:p>
      <w:pPr>
        <w:pStyle w:val="nzIndenta"/>
        <w:rPr>
          <w:del w:id="399" w:author="svcMRProcess" w:date="2015-12-13T11:13:00Z"/>
        </w:rPr>
      </w:pPr>
      <w:del w:id="400" w:author="svcMRProcess" w:date="2015-12-13T11:13:00Z">
        <w:r>
          <w:tab/>
          <w:delText>(b)</w:delText>
        </w:r>
        <w:r>
          <w:tab/>
          <w:delText>if there is a shoulder note set out in the Table for the Schedule — at the end of the heading to the Schedule insert that shoulder note;</w:delText>
        </w:r>
      </w:del>
    </w:p>
    <w:p>
      <w:pPr>
        <w:pStyle w:val="nzIndenta"/>
        <w:rPr>
          <w:del w:id="401" w:author="svcMRProcess" w:date="2015-12-13T11:13:00Z"/>
        </w:rPr>
      </w:pPr>
      <w:del w:id="402" w:author="svcMRProcess" w:date="2015-12-13T11:13: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403" w:author="svcMRProcess" w:date="2015-12-13T11:1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04" w:author="svcMRProcess" w:date="2015-12-13T11:13:00Z"/>
                <w:rFonts w:eastAsia="MS Mincho"/>
                <w:b/>
                <w:bCs/>
                <w:sz w:val="18"/>
              </w:rPr>
            </w:pPr>
            <w:del w:id="405" w:author="svcMRProcess" w:date="2015-12-13T11:1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06" w:author="svcMRProcess" w:date="2015-12-13T11:13:00Z"/>
                <w:b/>
                <w:bCs/>
                <w:sz w:val="18"/>
              </w:rPr>
            </w:pPr>
            <w:del w:id="407" w:author="svcMRProcess" w:date="2015-12-13T11:1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408" w:author="svcMRProcess" w:date="2015-12-13T11:13:00Z"/>
                <w:b/>
                <w:bCs/>
                <w:sz w:val="18"/>
              </w:rPr>
            </w:pPr>
            <w:del w:id="409" w:author="svcMRProcess" w:date="2015-12-13T11:1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410" w:author="svcMRProcess" w:date="2015-12-13T11:13:00Z"/>
                <w:b/>
                <w:bCs/>
                <w:sz w:val="18"/>
              </w:rPr>
            </w:pPr>
            <w:del w:id="411" w:author="svcMRProcess" w:date="2015-12-13T11:13:00Z">
              <w:r>
                <w:rPr>
                  <w:b/>
                  <w:bCs/>
                  <w:sz w:val="18"/>
                </w:rPr>
                <w:delText>Shoulder note</w:delText>
              </w:r>
            </w:del>
          </w:p>
        </w:tc>
      </w:tr>
      <w:tr>
        <w:trPr>
          <w:del w:id="412" w:author="svcMRProcess" w:date="2015-12-13T11:1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413" w:author="svcMRProcess" w:date="2015-12-13T11:13:00Z"/>
                <w:i/>
                <w:iCs/>
                <w:sz w:val="18"/>
              </w:rPr>
            </w:pPr>
            <w:del w:id="414" w:author="svcMRProcess" w:date="2015-12-13T11:13:00Z">
              <w:r>
                <w:rPr>
                  <w:rFonts w:eastAsia="MS Mincho"/>
                  <w:i/>
                  <w:iCs/>
                  <w:sz w:val="18"/>
                </w:rPr>
                <w:delText>Director of Public Prosecutions Act 1991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15" w:author="svcMRProcess" w:date="2015-12-13T11:13:00Z"/>
                <w:sz w:val="18"/>
              </w:rPr>
            </w:pPr>
            <w:del w:id="416" w:author="svcMRProcess" w:date="2015-12-13T11:13: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17" w:author="svcMRProcess" w:date="2015-12-13T11:1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18" w:author="svcMRProcess" w:date="2015-12-13T11:13:00Z"/>
                <w:sz w:val="18"/>
              </w:rPr>
            </w:pPr>
          </w:p>
        </w:tc>
      </w:tr>
    </w:tbl>
    <w:p>
      <w:pPr>
        <w:pStyle w:val="BlankClose"/>
        <w:rPr>
          <w:del w:id="419" w:author="svcMRProcess" w:date="2015-12-13T11:13:00Z"/>
        </w:rPr>
      </w:pPr>
    </w:p>
    <w:p/>
    <w:p>
      <w:pPr>
        <w:sectPr>
          <w:headerReference w:type="even" r:id="rId24"/>
          <w:headerReference w:type="default" r:id="rId25"/>
          <w:pgSz w:w="11906" w:h="16838" w:code="9"/>
          <w:pgMar w:top="2381" w:right="2409" w:bottom="3543" w:left="2409"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A4EB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2C51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50FB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288E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70C1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60CF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2E07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6C29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2A31D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8028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2D23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0720A7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6394</Words>
  <Characters>30503</Characters>
  <Application>Microsoft Office Word</Application>
  <DocSecurity>0</DocSecurity>
  <Lines>871</Lines>
  <Paragraphs>473</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02-h0-03 - 02-i0-01</dc:title>
  <dc:subject/>
  <dc:creator/>
  <cp:keywords/>
  <dc:description/>
  <cp:lastModifiedBy>svcMRProcess</cp:lastModifiedBy>
  <cp:revision>2</cp:revision>
  <cp:lastPrinted>2005-11-28T00:59:00Z</cp:lastPrinted>
  <dcterms:created xsi:type="dcterms:W3CDTF">2015-12-13T03:13:00Z</dcterms:created>
  <dcterms:modified xsi:type="dcterms:W3CDTF">2015-12-13T03:13:00Z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FromSuffix">
    <vt:lpwstr>02-h0-03</vt:lpwstr>
  </property>
  <property fmtid="{D5CDD505-2E9C-101B-9397-08002B2CF9AE}" pid="8" name="FromAsAtDate">
    <vt:lpwstr>28 Jun 2010</vt:lpwstr>
  </property>
  <property fmtid="{D5CDD505-2E9C-101B-9397-08002B2CF9AE}" pid="9" name="ToSuffix">
    <vt:lpwstr>02-i0-01</vt:lpwstr>
  </property>
  <property fmtid="{D5CDD505-2E9C-101B-9397-08002B2CF9AE}" pid="10" name="ToAsAtDate">
    <vt:lpwstr>11 Sep 2010</vt:lpwstr>
  </property>
</Properties>
</file>