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Dongara-Eneabba Railway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Dongara</w:t>
      </w:r>
      <w:r>
        <w:noBreakHyphen/>
        <w:t xml:space="preserve">Eneabba Railway Act 1974 </w:t>
      </w:r>
    </w:p>
    <w:p>
      <w:pPr>
        <w:pStyle w:val="LongTitle"/>
        <w:spacing w:after="480"/>
        <w:rPr>
          <w:snapToGrid w:val="0"/>
        </w:rPr>
      </w:pPr>
      <w:r>
        <w:rPr>
          <w:snapToGrid w:val="0"/>
        </w:rPr>
        <w:t>A</w:t>
      </w:r>
      <w:bookmarkStart w:id="1" w:name="_GoBack"/>
      <w:bookmarkEnd w:id="1"/>
      <w:r>
        <w:rPr>
          <w:snapToGrid w:val="0"/>
        </w:rPr>
        <w:t>n Act to authorize the construction of a railway from the Guildford</w:t>
      </w:r>
      <w:r>
        <w:rPr>
          <w:snapToGrid w:val="0"/>
        </w:rPr>
        <w:noBreakHyphen/>
        <w:t xml:space="preserve">Greenough Flats Railway at Dongara to Eneabba. </w:t>
      </w:r>
    </w:p>
    <w:p>
      <w:pPr>
        <w:pStyle w:val="Heading5"/>
        <w:rPr>
          <w:snapToGrid w:val="0"/>
        </w:rPr>
      </w:pPr>
      <w:bookmarkStart w:id="2" w:name="_Toc378170490"/>
      <w:bookmarkStart w:id="3" w:name="_Toc416684662"/>
      <w:bookmarkStart w:id="4" w:name="_Toc410797966"/>
      <w:bookmarkStart w:id="5" w:name="_Toc469372165"/>
      <w:bookmarkStart w:id="6" w:name="_Toc475151518"/>
      <w:bookmarkStart w:id="7" w:name="_Toc267911091"/>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Dongara</w:t>
      </w:r>
      <w:r>
        <w:rPr>
          <w:i/>
          <w:snapToGrid w:val="0"/>
        </w:rPr>
        <w:noBreakHyphen/>
        <w:t>Eneabba Railway Act 1974</w:t>
      </w:r>
      <w:r>
        <w:rPr>
          <w:snapToGrid w:val="0"/>
        </w:rPr>
        <w:t xml:space="preserve"> </w:t>
      </w:r>
      <w:r>
        <w:rPr>
          <w:snapToGrid w:val="0"/>
          <w:vertAlign w:val="superscript"/>
        </w:rPr>
        <w:t>1</w:t>
      </w:r>
      <w:r>
        <w:rPr>
          <w:snapToGrid w:val="0"/>
        </w:rPr>
        <w:t>.</w:t>
      </w:r>
    </w:p>
    <w:p>
      <w:pPr>
        <w:pStyle w:val="Heading5"/>
        <w:rPr>
          <w:snapToGrid w:val="0"/>
        </w:rPr>
      </w:pPr>
      <w:bookmarkStart w:id="8" w:name="_Toc378170491"/>
      <w:bookmarkStart w:id="9" w:name="_Toc416684663"/>
      <w:bookmarkStart w:id="10" w:name="_Toc410797967"/>
      <w:bookmarkStart w:id="11" w:name="_Toc469372166"/>
      <w:bookmarkStart w:id="12" w:name="_Toc475151519"/>
      <w:bookmarkStart w:id="13" w:name="_Toc267911092"/>
      <w:r>
        <w:rPr>
          <w:rStyle w:val="CharSectno"/>
        </w:rPr>
        <w:t>2</w:t>
      </w:r>
      <w:r>
        <w:rPr>
          <w:snapToGrid w:val="0"/>
        </w:rPr>
        <w:t>.</w:t>
      </w:r>
      <w:r>
        <w:rPr>
          <w:snapToGrid w:val="0"/>
        </w:rPr>
        <w:tab/>
        <w:t>Authority to construct railway</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 described in the Schedule.</w:t>
      </w:r>
    </w:p>
    <w:p>
      <w:pPr>
        <w:pStyle w:val="Heading5"/>
        <w:rPr>
          <w:snapToGrid w:val="0"/>
        </w:rPr>
      </w:pPr>
      <w:bookmarkStart w:id="14" w:name="_Toc378170492"/>
      <w:bookmarkStart w:id="15" w:name="_Toc416684664"/>
      <w:bookmarkStart w:id="16" w:name="_Toc410797968"/>
      <w:bookmarkStart w:id="17" w:name="_Toc469372167"/>
      <w:bookmarkStart w:id="18" w:name="_Toc475151520"/>
      <w:bookmarkStart w:id="19" w:name="_Toc267911093"/>
      <w:r>
        <w:rPr>
          <w:rStyle w:val="CharSectno"/>
        </w:rPr>
        <w:t>3</w:t>
      </w:r>
      <w:r>
        <w:rPr>
          <w:snapToGrid w:val="0"/>
        </w:rPr>
        <w:t>.</w:t>
      </w:r>
      <w:r>
        <w:rPr>
          <w:snapToGrid w:val="0"/>
        </w:rPr>
        <w:tab/>
        <w:t>Authority for deviation</w:t>
      </w:r>
      <w:bookmarkEnd w:id="14"/>
      <w:bookmarkEnd w:id="15"/>
      <w:bookmarkEnd w:id="16"/>
      <w:bookmarkEnd w:id="17"/>
      <w:bookmarkEnd w:id="18"/>
      <w:bookmarkEnd w:id="19"/>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the line as described in the Schedule to the extent of 5 kilometres on either side thereof.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 w:name="_Toc267911068"/>
      <w:bookmarkStart w:id="21" w:name="_Toc267911094"/>
      <w:bookmarkStart w:id="22" w:name="_Toc378170493"/>
      <w:bookmarkStart w:id="23" w:name="_Toc416684655"/>
      <w:bookmarkStart w:id="24" w:name="_Toc416684665"/>
      <w:r>
        <w:rPr>
          <w:rStyle w:val="CharSchNo"/>
        </w:rPr>
        <w:t>Schedule</w:t>
      </w:r>
      <w:bookmarkEnd w:id="20"/>
      <w:bookmarkEnd w:id="21"/>
      <w:ins w:id="25" w:author="svcMRProcess" w:date="2015-12-11T13:05:00Z">
        <w:r>
          <w:t xml:space="preserve"> — </w:t>
        </w:r>
        <w:r>
          <w:rPr>
            <w:rStyle w:val="CharSchText"/>
          </w:rPr>
          <w:t>Line of Dongara - Eneabba Railway</w:t>
        </w:r>
      </w:ins>
      <w:bookmarkEnd w:id="22"/>
      <w:bookmarkEnd w:id="23"/>
      <w:bookmarkEnd w:id="24"/>
    </w:p>
    <w:p>
      <w:pPr>
        <w:pStyle w:val="yMiscellaneousHeading"/>
        <w:rPr>
          <w:del w:id="26" w:author="svcMRProcess" w:date="2015-12-11T13:05:00Z"/>
        </w:rPr>
      </w:pPr>
      <w:del w:id="27" w:author="svcMRProcess" w:date="2015-12-11T13:05:00Z">
        <w:r>
          <w:delText>Dongara</w:delText>
        </w:r>
        <w:r>
          <w:noBreakHyphen/>
          <w:delText>Eneabba Railway</w:delText>
        </w:r>
      </w:del>
    </w:p>
    <w:p>
      <w:pPr>
        <w:pStyle w:val="yMiscellaneousHeading"/>
        <w:rPr>
          <w:del w:id="28" w:author="svcMRProcess" w:date="2015-12-11T13:05:00Z"/>
        </w:rPr>
      </w:pPr>
      <w:del w:id="29" w:author="svcMRProcess" w:date="2015-12-11T13:05:00Z">
        <w:r>
          <w:delText>Description of line of railway</w:delText>
        </w:r>
      </w:del>
    </w:p>
    <w:p>
      <w:pPr>
        <w:pStyle w:val="yShoulderClause"/>
        <w:rPr>
          <w:ins w:id="30" w:author="svcMRProcess" w:date="2015-12-11T13:05:00Z"/>
          <w:snapToGrid w:val="0"/>
        </w:rPr>
      </w:pPr>
      <w:ins w:id="31" w:author="svcMRProcess" w:date="2015-12-11T13:05:00Z">
        <w:r>
          <w:rPr>
            <w:snapToGrid w:val="0"/>
          </w:rPr>
          <w:t>[s. 2]</w:t>
        </w:r>
      </w:ins>
    </w:p>
    <w:p>
      <w:pPr>
        <w:pStyle w:val="yFootnoteheading"/>
        <w:rPr>
          <w:ins w:id="32" w:author="svcMRProcess" w:date="2015-12-11T13:05:00Z"/>
        </w:rPr>
      </w:pPr>
      <w:ins w:id="33" w:author="svcMRProcess" w:date="2015-12-11T13:05:00Z">
        <w:r>
          <w:tab/>
          <w:t>[Heading inserted by No. 19 of 2010 s. 5.]</w:t>
        </w:r>
      </w:ins>
    </w:p>
    <w:p>
      <w:pPr>
        <w:pStyle w:val="yMiscellaneousBody"/>
      </w:pPr>
      <w:r>
        <w:t>Commence at a point being 421.517 km or thereabouts from Perth on the Guildford</w:t>
      </w:r>
      <w:r>
        <w:noBreakHyphen/>
        <w:t>Greenough Flats Railway (50 Victoria 24, 1886) and proceeding thence on a bearing of 96° 27′ for a distance of 292 m or thereabouts; thence on a bearing of 168° 30′ for a distance of 1 609 m or thereabouts; thence on a bearing of 140° 00′ for a distance of 1 851 m or thereabouts; thence on a bearing of 156° 00′ for a distance of 2 112 m or thereabouts; thence on a bearing of 177° 00′ for a distance of 925 m or thereabouts; thence on a bearing of 156° 00′ for a distance of 4 707 m or thereabouts; thence on a bearing of 143° 00′ for a distance of 1 810 m or thereabouts; thence on a bearing of 163° 00′ for a distance of 583 m or thereabouts; thence on a bearing of 180° 00′ for a distance of 1 670 m or thereabouts; thence on a bearing of 171° 00′ for a distance of 4 526 m or thereabouts; thence on a bearing of 180° 00′ for a distance of 3 098 m or thereabouts; thence on a bearing of 174° 00′ for a distance of 3 701 m or thereabouts; thence on a bearing of 138° 00′ for a distance of 925 m or thereabouts; thence on a bearing of 162° 00′ for  a distance of 805 m or thereabouts; thence on a bearing of 131° 00′ for a distance of 2 132 m or thereabouts; thence on a bearing of 181° 00′ for a distance of 1 609 m or thereabouts; thence on a bearing of 162° 00′ for a distance of 1 408 m or thereabouts; thence on a bearing of 157° 00′ for a distance of 1 408 m or thereabouts; thence on a bearing of 152° 00′ for a distance of 7 342 m or thereabouts; thence on a bearing of 104° 00′ for a distance of 3 319 m or thereabouts; thence on a bearing of 152° 00′ for a distance of 4 023 m or thereabouts; thence on a bearing of 150° 30′ for a distance of 23 254 m or thereabouts; thence on a bearing of 188° 00′ for a distance of 2 937 m or thereabouts; thence on a bearing of 110° 00′ for a distance of 1 207 m or thereabouts; thence on a bearing of 90° 00′ for a distance of 1 710 m or thereabouts; thence on a bearing of 168° 00′ for a distance of 1 469 m or thereabouts; thence on a bearing of 180° 00′ for a distance of 6 196 m or thereabouts; and being a total distance of 86.628 km or thereabouts.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5" w:name="_Toc378170494"/>
      <w:bookmarkStart w:id="36" w:name="_Toc416684656"/>
      <w:bookmarkStart w:id="37" w:name="_Toc416684666"/>
      <w:bookmarkStart w:id="38" w:name="_Toc267911069"/>
      <w:bookmarkStart w:id="39" w:name="_Toc267911095"/>
      <w:r>
        <w:t>Notes</w:t>
      </w:r>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snapToGrid w:val="0"/>
        </w:rPr>
        <w:t>Dongara</w:t>
      </w:r>
      <w:r>
        <w:rPr>
          <w:i/>
          <w:snapToGrid w:val="0"/>
        </w:rPr>
        <w:noBreakHyphen/>
        <w:t>Eneabba Railway Act 1974</w:t>
      </w:r>
      <w:del w:id="40" w:author="svcMRProcess" w:date="2015-12-11T13:05:00Z">
        <w:r>
          <w:rPr>
            <w:iCs/>
            <w:snapToGrid w:val="0"/>
          </w:rPr>
          <w:delText xml:space="preserve">.  </w:delText>
        </w:r>
        <w:r>
          <w:rPr>
            <w:snapToGrid w:val="0"/>
          </w:rPr>
          <w:delText>The</w:delText>
        </w:r>
      </w:del>
      <w:ins w:id="41" w:author="svcMRProcess" w:date="2015-12-11T13:05:00Z">
        <w:r>
          <w:rPr>
            <w:i/>
            <w:snapToGrid w:val="0"/>
          </w:rPr>
          <w:t xml:space="preserve"> </w:t>
        </w:r>
        <w:r>
          <w:rPr>
            <w:snapToGrid w:val="0"/>
          </w:rPr>
          <w:t>and includes the amendments made by the other written laws referred to in the</w:t>
        </w:r>
      </w:ins>
      <w:r>
        <w:rPr>
          <w:snapToGrid w:val="0"/>
        </w:rPr>
        <w:t xml:space="preserve"> following table</w:t>
      </w:r>
      <w:del w:id="42" w:author="svcMRProcess" w:date="2015-12-11T13:05:00Z">
        <w:r>
          <w:rPr>
            <w:snapToGrid w:val="0"/>
          </w:rPr>
          <w:delText xml:space="preserve"> contains information about that Act</w:delText>
        </w:r>
        <w:r>
          <w:rPr>
            <w:i/>
            <w:snapToGrid w:val="0"/>
          </w:rPr>
          <w:delText xml:space="preserve"> </w:delText>
        </w:r>
        <w:r>
          <w:rPr>
            <w:iCs/>
            <w:snapToGrid w:val="0"/>
            <w:vertAlign w:val="superscript"/>
          </w:rPr>
          <w:delText>1a</w:delText>
        </w:r>
      </w:del>
      <w:r>
        <w:rPr>
          <w:snapToGrid w:val="0"/>
        </w:rPr>
        <w:t>.</w:t>
      </w:r>
    </w:p>
    <w:p>
      <w:pPr>
        <w:pStyle w:val="nHeading3"/>
        <w:rPr>
          <w:snapToGrid w:val="0"/>
        </w:rPr>
      </w:pPr>
      <w:bookmarkStart w:id="43" w:name="_Toc378170495"/>
      <w:bookmarkStart w:id="44" w:name="_Toc416684667"/>
      <w:bookmarkStart w:id="45" w:name="_Toc267911096"/>
      <w:r>
        <w:rPr>
          <w:snapToGrid w:val="0"/>
        </w:rPr>
        <w:t>Compilation table</w:t>
      </w:r>
      <w:bookmarkEnd w:id="43"/>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4" w:space="0" w:color="auto"/>
            </w:tcBorders>
          </w:tcPr>
          <w:p>
            <w:pPr>
              <w:pStyle w:val="nTable"/>
              <w:spacing w:after="40"/>
              <w:ind w:right="113"/>
              <w:rPr>
                <w:b/>
              </w:rPr>
            </w:pPr>
            <w:r>
              <w:rPr>
                <w:b/>
              </w:rPr>
              <w:t>Short title</w:t>
            </w:r>
          </w:p>
        </w:tc>
        <w:tc>
          <w:tcPr>
            <w:tcW w:w="1134" w:type="dxa"/>
            <w:tcBorders>
              <w:top w:val="single" w:sz="8" w:space="0" w:color="auto"/>
              <w:bottom w:val="single" w:sz="4" w:space="0" w:color="auto"/>
            </w:tcBorders>
          </w:tcPr>
          <w:p>
            <w:pPr>
              <w:pStyle w:val="nTable"/>
              <w:spacing w:after="40"/>
              <w:rPr>
                <w:b/>
              </w:rPr>
            </w:pPr>
            <w:r>
              <w:rPr>
                <w:b/>
              </w:rPr>
              <w:t>Number and year</w:t>
            </w:r>
          </w:p>
        </w:tc>
        <w:tc>
          <w:tcPr>
            <w:tcW w:w="1134" w:type="dxa"/>
            <w:tcBorders>
              <w:top w:val="single" w:sz="8" w:space="0" w:color="auto"/>
              <w:bottom w:val="single" w:sz="4" w:space="0" w:color="auto"/>
            </w:tcBorders>
          </w:tcPr>
          <w:p>
            <w:pPr>
              <w:pStyle w:val="nTable"/>
              <w:spacing w:after="40"/>
              <w:rPr>
                <w:b/>
              </w:rPr>
            </w:pPr>
            <w:r>
              <w:rPr>
                <w:b/>
              </w:rPr>
              <w:t>Assent</w:t>
            </w:r>
          </w:p>
        </w:tc>
        <w:tc>
          <w:tcPr>
            <w:tcW w:w="2551" w:type="dxa"/>
            <w:tcBorders>
              <w:top w:val="single" w:sz="8" w:space="0" w:color="auto"/>
              <w:bottom w:val="single" w:sz="4" w:space="0" w:color="auto"/>
            </w:tcBorders>
          </w:tcPr>
          <w:p>
            <w:pPr>
              <w:pStyle w:val="nTable"/>
              <w:spacing w:after="40"/>
              <w:rPr>
                <w:b/>
              </w:rPr>
            </w:pPr>
            <w:r>
              <w:rPr>
                <w:b/>
              </w:rPr>
              <w:t>Commencement</w:t>
            </w:r>
          </w:p>
        </w:tc>
      </w:tr>
      <w:tr>
        <w:trPr>
          <w:cantSplit/>
        </w:trPr>
        <w:tc>
          <w:tcPr>
            <w:tcW w:w="2268" w:type="dxa"/>
            <w:tcBorders>
              <w:top w:val="single" w:sz="4" w:space="0" w:color="auto"/>
            </w:tcBorders>
          </w:tcPr>
          <w:p>
            <w:pPr>
              <w:pStyle w:val="nTable"/>
              <w:spacing w:after="40"/>
              <w:ind w:right="113"/>
            </w:pPr>
            <w:r>
              <w:rPr>
                <w:i/>
              </w:rPr>
              <w:t>Dongara</w:t>
            </w:r>
            <w:r>
              <w:rPr>
                <w:i/>
              </w:rPr>
              <w:noBreakHyphen/>
              <w:t>Eneabba Railway Act 1974</w:t>
            </w:r>
          </w:p>
        </w:tc>
        <w:tc>
          <w:tcPr>
            <w:tcW w:w="1134" w:type="dxa"/>
            <w:tcBorders>
              <w:top w:val="single" w:sz="4" w:space="0" w:color="auto"/>
            </w:tcBorders>
          </w:tcPr>
          <w:p>
            <w:pPr>
              <w:pStyle w:val="nTable"/>
              <w:spacing w:after="40"/>
            </w:pPr>
            <w:r>
              <w:t>24 of 1974</w:t>
            </w:r>
          </w:p>
        </w:tc>
        <w:tc>
          <w:tcPr>
            <w:tcW w:w="1134" w:type="dxa"/>
            <w:tcBorders>
              <w:top w:val="single" w:sz="4" w:space="0" w:color="auto"/>
            </w:tcBorders>
          </w:tcPr>
          <w:p>
            <w:pPr>
              <w:pStyle w:val="nTable"/>
              <w:spacing w:after="40"/>
            </w:pPr>
            <w:r>
              <w:t>23 Oct 1974</w:t>
            </w:r>
          </w:p>
        </w:tc>
        <w:tc>
          <w:tcPr>
            <w:tcW w:w="2551" w:type="dxa"/>
            <w:tcBorders>
              <w:top w:val="single" w:sz="4" w:space="0" w:color="auto"/>
            </w:tcBorders>
          </w:tcPr>
          <w:p>
            <w:pPr>
              <w:pStyle w:val="nTable"/>
              <w:spacing w:after="40"/>
            </w:pPr>
            <w:r>
              <w:t>23 Oct 1974</w:t>
            </w:r>
          </w:p>
        </w:tc>
      </w:tr>
    </w:tbl>
    <w:p>
      <w:pPr>
        <w:pStyle w:val="nSubsection"/>
        <w:tabs>
          <w:tab w:val="clear" w:pos="454"/>
          <w:tab w:val="left" w:pos="567"/>
        </w:tabs>
        <w:spacing w:before="120"/>
        <w:ind w:left="567" w:hanging="567"/>
        <w:rPr>
          <w:del w:id="46" w:author="svcMRProcess" w:date="2015-12-11T13:05:00Z"/>
          <w:snapToGrid w:val="0"/>
        </w:rPr>
      </w:pPr>
      <w:del w:id="47" w:author="svcMRProcess" w:date="2015-12-11T13: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 w:author="svcMRProcess" w:date="2015-12-11T13:05:00Z"/>
        </w:rPr>
      </w:pPr>
      <w:bookmarkStart w:id="49" w:name="_Toc7405065"/>
      <w:del w:id="50" w:author="svcMRProcess" w:date="2015-12-11T13:05:00Z">
        <w:r>
          <w:delText>Provisions that have not come into operation</w:delText>
        </w:r>
        <w:bookmarkEnd w:id="4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51" w:author="svcMRProcess" w:date="2015-12-11T13:05:00Z"/>
        </w:trPr>
        <w:tc>
          <w:tcPr>
            <w:tcW w:w="2266" w:type="dxa"/>
          </w:tcPr>
          <w:p>
            <w:pPr>
              <w:pStyle w:val="nTable"/>
              <w:spacing w:after="40"/>
              <w:rPr>
                <w:del w:id="52" w:author="svcMRProcess" w:date="2015-12-11T13:05:00Z"/>
                <w:b/>
                <w:snapToGrid w:val="0"/>
                <w:lang w:val="en-US"/>
              </w:rPr>
            </w:pPr>
            <w:del w:id="53" w:author="svcMRProcess" w:date="2015-12-11T13:05:00Z">
              <w:r>
                <w:rPr>
                  <w:b/>
                  <w:snapToGrid w:val="0"/>
                  <w:lang w:val="en-US"/>
                </w:rPr>
                <w:delText>Short title</w:delText>
              </w:r>
            </w:del>
          </w:p>
        </w:tc>
        <w:tc>
          <w:tcPr>
            <w:tcW w:w="1120" w:type="dxa"/>
          </w:tcPr>
          <w:p>
            <w:pPr>
              <w:pStyle w:val="nTable"/>
              <w:spacing w:after="40"/>
              <w:rPr>
                <w:del w:id="54" w:author="svcMRProcess" w:date="2015-12-11T13:05:00Z"/>
                <w:b/>
                <w:snapToGrid w:val="0"/>
                <w:lang w:val="en-US"/>
              </w:rPr>
            </w:pPr>
            <w:del w:id="55" w:author="svcMRProcess" w:date="2015-12-11T13:05:00Z">
              <w:r>
                <w:rPr>
                  <w:b/>
                  <w:snapToGrid w:val="0"/>
                  <w:lang w:val="en-US"/>
                </w:rPr>
                <w:delText>Number and year</w:delText>
              </w:r>
            </w:del>
          </w:p>
        </w:tc>
        <w:tc>
          <w:tcPr>
            <w:tcW w:w="1135" w:type="dxa"/>
          </w:tcPr>
          <w:p>
            <w:pPr>
              <w:pStyle w:val="nTable"/>
              <w:spacing w:after="40"/>
              <w:rPr>
                <w:del w:id="56" w:author="svcMRProcess" w:date="2015-12-11T13:05:00Z"/>
                <w:b/>
                <w:snapToGrid w:val="0"/>
                <w:lang w:val="en-US"/>
              </w:rPr>
            </w:pPr>
            <w:del w:id="57" w:author="svcMRProcess" w:date="2015-12-11T13:05:00Z">
              <w:r>
                <w:rPr>
                  <w:b/>
                  <w:snapToGrid w:val="0"/>
                  <w:lang w:val="en-US"/>
                </w:rPr>
                <w:delText>Assent</w:delText>
              </w:r>
            </w:del>
          </w:p>
        </w:tc>
        <w:tc>
          <w:tcPr>
            <w:tcW w:w="2534" w:type="dxa"/>
          </w:tcPr>
          <w:p>
            <w:pPr>
              <w:pStyle w:val="nTable"/>
              <w:spacing w:after="40"/>
              <w:rPr>
                <w:del w:id="58" w:author="svcMRProcess" w:date="2015-12-11T13:05:00Z"/>
                <w:b/>
                <w:snapToGrid w:val="0"/>
                <w:lang w:val="en-US"/>
              </w:rPr>
            </w:pPr>
            <w:del w:id="59" w:author="svcMRProcess" w:date="2015-12-11T13:05: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60" w:author="svcMRProcess" w:date="2015-12-11T13:05:00Z">
              <w:r>
                <w:rPr>
                  <w:iCs/>
                  <w:snapToGrid w:val="0"/>
                  <w:lang w:val="en-US"/>
                </w:rPr>
                <w:delText xml:space="preserve"> </w:delText>
              </w:r>
              <w:r>
                <w:rPr>
                  <w:iCs/>
                  <w:snapToGrid w:val="0"/>
                  <w:vertAlign w:val="superscript"/>
                  <w:lang w:val="en-US"/>
                </w:rPr>
                <w:delText>2</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61" w:author="svcMRProcess" w:date="2015-12-11T13:05:00Z">
              <w:r>
                <w:rPr>
                  <w:snapToGrid w:val="0"/>
                  <w:lang w:val="en-US"/>
                </w:rPr>
                <w:delText>To be proclaimed</w:delText>
              </w:r>
            </w:del>
            <w:ins w:id="62" w:author="svcMRProcess" w:date="2015-12-11T13:05:00Z">
              <w:r>
                <w:rPr>
                  <w:snapToGrid w:val="0"/>
                </w:rPr>
                <w:t>11 Sep 2010</w:t>
              </w:r>
            </w:ins>
            <w:r>
              <w:rPr>
                <w:snapToGrid w:val="0"/>
              </w:rPr>
              <w:t xml:space="preserve"> (see s. 2(b</w:t>
            </w:r>
            <w:del w:id="63" w:author="svcMRProcess" w:date="2015-12-11T13:05:00Z">
              <w:r>
                <w:rPr>
                  <w:snapToGrid w:val="0"/>
                  <w:lang w:val="en-US"/>
                </w:rPr>
                <w:delText>))</w:delText>
              </w:r>
            </w:del>
            <w:ins w:id="64" w:author="svcMRProcess" w:date="2015-12-11T13:05:00Z">
              <w:r>
                <w:rPr>
                  <w:snapToGrid w:val="0"/>
                </w:rPr>
                <w:t xml:space="preserve">) and </w:t>
              </w:r>
              <w:r>
                <w:rPr>
                  <w:i/>
                  <w:iCs/>
                  <w:snapToGrid w:val="0"/>
                </w:rPr>
                <w:t>Gazette</w:t>
              </w:r>
              <w:r>
                <w:rPr>
                  <w:snapToGrid w:val="0"/>
                </w:rPr>
                <w:t xml:space="preserve"> 10 Sep 2010 p. 4341)</w:t>
              </w:r>
            </w:ins>
          </w:p>
        </w:tc>
      </w:tr>
    </w:tbl>
    <w:p>
      <w:pPr>
        <w:pStyle w:val="nSubsection"/>
        <w:keepNext/>
        <w:keepLines/>
        <w:rPr>
          <w:del w:id="65" w:author="svcMRProcess" w:date="2015-12-11T13:05:00Z"/>
          <w:snapToGrid w:val="0"/>
        </w:rPr>
      </w:pPr>
      <w:del w:id="66" w:author="svcMRProcess" w:date="2015-12-11T13:0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67" w:author="svcMRProcess" w:date="2015-12-11T13:05:00Z"/>
          <w:snapToGrid w:val="0"/>
        </w:rPr>
      </w:pPr>
    </w:p>
    <w:p>
      <w:pPr>
        <w:pStyle w:val="nzHeading5"/>
        <w:rPr>
          <w:del w:id="68" w:author="svcMRProcess" w:date="2015-12-11T13:05:00Z"/>
        </w:rPr>
      </w:pPr>
      <w:del w:id="69" w:author="svcMRProcess" w:date="2015-12-11T13:05:00Z">
        <w:r>
          <w:rPr>
            <w:rStyle w:val="CharSectno"/>
          </w:rPr>
          <w:delText>5</w:delText>
        </w:r>
        <w:r>
          <w:delText>.</w:delText>
        </w:r>
        <w:r>
          <w:tab/>
          <w:delText>Schedule headings in railway Acts replaced</w:delText>
        </w:r>
      </w:del>
    </w:p>
    <w:p>
      <w:pPr>
        <w:pStyle w:val="nzSubsection"/>
        <w:rPr>
          <w:del w:id="70" w:author="svcMRProcess" w:date="2015-12-11T13:05:00Z"/>
          <w:rFonts w:eastAsia="MS Mincho"/>
        </w:rPr>
      </w:pPr>
      <w:del w:id="71" w:author="svcMRProcess" w:date="2015-12-11T13:05:00Z">
        <w:r>
          <w:rPr>
            <w:rFonts w:eastAsia="MS Mincho"/>
          </w:rPr>
          <w:tab/>
          <w:delText>(1)</w:delText>
        </w:r>
        <w:r>
          <w:rPr>
            <w:rFonts w:eastAsia="MS Mincho"/>
          </w:rPr>
          <w:tab/>
          <w:delText>This section amends the Acts listed in the Table.</w:delText>
        </w:r>
      </w:del>
    </w:p>
    <w:p>
      <w:pPr>
        <w:pStyle w:val="nzSubsection"/>
        <w:rPr>
          <w:del w:id="72" w:author="svcMRProcess" w:date="2015-12-11T13:05:00Z"/>
          <w:rFonts w:eastAsia="MS Mincho"/>
        </w:rPr>
      </w:pPr>
      <w:del w:id="73" w:author="svcMRProcess" w:date="2015-12-11T13:05: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74" w:author="svcMRProcess" w:date="2015-12-11T13:05:00Z"/>
        </w:rPr>
      </w:pPr>
      <w:del w:id="75" w:author="svcMRProcess" w:date="2015-12-11T13:05: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76" w:author="svcMRProcess" w:date="2015-12-11T13:05: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77" w:author="svcMRProcess" w:date="2015-12-11T13:05:00Z"/>
                <w:rFonts w:eastAsia="MS Mincho"/>
                <w:b/>
                <w:bCs/>
                <w:sz w:val="18"/>
              </w:rPr>
            </w:pPr>
            <w:del w:id="78" w:author="svcMRProcess" w:date="2015-12-11T13:05: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79" w:author="svcMRProcess" w:date="2015-12-11T13:05:00Z"/>
                <w:b/>
                <w:bCs/>
                <w:sz w:val="18"/>
              </w:rPr>
            </w:pPr>
            <w:del w:id="80" w:author="svcMRProcess" w:date="2015-12-11T13:0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1" w:author="svcMRProcess" w:date="2015-12-11T13:05:00Z"/>
                <w:b/>
                <w:bCs/>
                <w:sz w:val="18"/>
              </w:rPr>
            </w:pPr>
            <w:del w:id="82" w:author="svcMRProcess" w:date="2015-12-11T13:05:00Z">
              <w:r>
                <w:rPr>
                  <w:b/>
                  <w:bCs/>
                  <w:sz w:val="18"/>
                </w:rPr>
                <w:delText>Title</w:delText>
              </w:r>
            </w:del>
          </w:p>
          <w:p>
            <w:pPr>
              <w:pStyle w:val="TableAm"/>
              <w:spacing w:before="0"/>
              <w:jc w:val="center"/>
              <w:rPr>
                <w:del w:id="83" w:author="svcMRProcess" w:date="2015-12-11T13:05: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84" w:author="svcMRProcess" w:date="2015-12-11T13:05:00Z"/>
                <w:b/>
                <w:bCs/>
                <w:sz w:val="18"/>
              </w:rPr>
            </w:pPr>
            <w:del w:id="85" w:author="svcMRProcess" w:date="2015-12-11T13:05:00Z">
              <w:r>
                <w:rPr>
                  <w:b/>
                  <w:bCs/>
                  <w:sz w:val="18"/>
                </w:rPr>
                <w:delText>Shoulder note</w:delText>
              </w:r>
            </w:del>
          </w:p>
        </w:tc>
      </w:tr>
      <w:tr>
        <w:trPr>
          <w:del w:id="86" w:author="svcMRProcess" w:date="2015-12-11T13:05: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del w:id="87" w:author="svcMRProcess" w:date="2015-12-11T13:05:00Z"/>
                <w:sz w:val="18"/>
              </w:rPr>
            </w:pPr>
            <w:del w:id="88" w:author="svcMRProcess" w:date="2015-12-11T13:05:00Z">
              <w:r>
                <w:rPr>
                  <w:rFonts w:eastAsia="MS Mincho"/>
                  <w:i/>
                  <w:iCs/>
                  <w:sz w:val="18"/>
                </w:rPr>
                <w:delText>Dongara</w:delText>
              </w:r>
              <w:r>
                <w:rPr>
                  <w:rFonts w:eastAsia="MS Mincho"/>
                  <w:i/>
                  <w:iCs/>
                  <w:sz w:val="18"/>
                </w:rPr>
                <w:noBreakHyphen/>
                <w:delText>Eneabba Railway Act 1974</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89" w:author="svcMRProcess" w:date="2015-12-11T13:05:00Z"/>
                <w:sz w:val="18"/>
              </w:rPr>
            </w:pPr>
            <w:del w:id="90" w:author="svcMRProcess" w:date="2015-12-11T13:05: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1" w:author="svcMRProcess" w:date="2015-12-11T13:05:00Z"/>
                <w:sz w:val="18"/>
              </w:rPr>
            </w:pPr>
            <w:del w:id="92" w:author="svcMRProcess" w:date="2015-12-11T13:05:00Z">
              <w:r>
                <w:rPr>
                  <w:rFonts w:eastAsia="MS Mincho"/>
                  <w:sz w:val="18"/>
                </w:rPr>
                <w:delText xml:space="preserve">Line of Dongara </w:delText>
              </w:r>
              <w:r>
                <w:rPr>
                  <w:rFonts w:eastAsia="MS Mincho"/>
                  <w:sz w:val="18"/>
                </w:rPr>
                <w:noBreakHyphen/>
                <w:delText xml:space="preserve"> Eneabba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3" w:author="svcMRProcess" w:date="2015-12-11T13:05:00Z"/>
                <w:sz w:val="18"/>
              </w:rPr>
            </w:pPr>
            <w:del w:id="94" w:author="svcMRProcess" w:date="2015-12-11T13:05:00Z">
              <w:r>
                <w:rPr>
                  <w:sz w:val="18"/>
                </w:rPr>
                <w:delText>[s. 2]</w:delText>
              </w:r>
            </w:del>
          </w:p>
        </w:tc>
      </w:tr>
    </w:tbl>
    <w:p>
      <w:pPr>
        <w:pStyle w:val="BlankClose"/>
        <w:rPr>
          <w:del w:id="95" w:author="svcMRProcess" w:date="2015-12-11T13:05: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Dongara-Eneabba Railway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Dongara-Eneabba Railway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Dongara-Eneabba Railway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Dongara-Eneabba Railway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Dongara-Eneabba Railway Act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Dongara-Eneabba Railway Act 1974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92DA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6385E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3663D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2E86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2AEE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E46D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AAAA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266A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46E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6FD6CE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4CA8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CC45D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64844"/>
    <w:docVar w:name="WAFER_20140122160439" w:val="RemoveTocBookmarks,RemoveUnusedBookmarks,RemoveLanguageTags,UsedStyles,ResetPageSize,UpdateArrangement"/>
    <w:docVar w:name="WAFER_20140122160439_GUID" w:val="619913af-a4c4-4824-b333-48871dd97fdc"/>
    <w:docVar w:name="WAFER_20140122160824" w:val="RemoveTocBookmarks,RunningHeaders"/>
    <w:docVar w:name="WAFER_20140122160824_GUID" w:val="7c8d64aa-d0bf-424b-9d4a-97ee54c35633"/>
    <w:docVar w:name="WAFER_20150410164844" w:val="ResetPageSize,UpdateArrangement,UpdateNTable"/>
    <w:docVar w:name="WAFER_20150410164844_GUID" w:val="4d6fec1e-52ea-44fe-9036-3d5584c7cc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3819</Characters>
  <Application>Microsoft Office Word</Application>
  <DocSecurity>0</DocSecurity>
  <Lines>119</Lines>
  <Paragraphs>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Dongara-Eneabba Railway Act 1974 01-b0-02 - 01-c0-03</dc:title>
  <dc:subject/>
  <dc:creator/>
  <cp:keywords/>
  <dc:description/>
  <cp:lastModifiedBy>svcMRProcess</cp:lastModifiedBy>
  <cp:revision>2</cp:revision>
  <cp:lastPrinted>2000-01-11T03:01:00Z</cp:lastPrinted>
  <dcterms:created xsi:type="dcterms:W3CDTF">2015-12-11T05:05:00Z</dcterms:created>
  <dcterms:modified xsi:type="dcterms:W3CDTF">2015-12-11T05:05:00Z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01-b0-02</vt:lpwstr>
  </property>
  <property fmtid="{D5CDD505-2E9C-101B-9397-08002B2CF9AE}" pid="6" name="FromAsAtDate">
    <vt:lpwstr>28 Jun 2010</vt:lpwstr>
  </property>
  <property fmtid="{D5CDD505-2E9C-101B-9397-08002B2CF9AE}" pid="7" name="ToSuffix">
    <vt:lpwstr>01-c0-03</vt:lpwstr>
  </property>
  <property fmtid="{D5CDD505-2E9C-101B-9397-08002B2CF9AE}" pid="8" name="ToAsAtDate">
    <vt:lpwstr>11 Sep 2010</vt:lpwstr>
  </property>
</Properties>
</file>