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Government Employees’ Housing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Government Employees’ Housing Act 1964 </w:t>
      </w:r>
    </w:p>
    <w:p>
      <w:pPr>
        <w:pStyle w:val="LongTitle"/>
        <w:rPr>
          <w:snapToGrid w:val="0"/>
        </w:rPr>
      </w:pPr>
      <w:r>
        <w:rPr>
          <w:snapToGrid w:val="0"/>
        </w:rPr>
        <w:t>A</w:t>
      </w:r>
      <w:bookmarkStart w:id="1" w:name="_GoBack"/>
      <w:bookmarkEnd w:id="1"/>
      <w:r>
        <w:rPr>
          <w:snapToGrid w:val="0"/>
        </w:rPr>
        <w:t xml:space="preserve">n Act to make provision for adequate and suitable housing accommodation for persons employed by or under the Government of the State and for incidental and other purposes. </w:t>
      </w:r>
    </w:p>
    <w:p>
      <w:pPr>
        <w:pStyle w:val="Footnotelongtitle"/>
      </w:pPr>
      <w:r>
        <w:tab/>
        <w:t>[Long title amended</w:t>
      </w:r>
      <w:del w:id="2" w:author="svcMRProcess" w:date="2019-01-22T09:29:00Z">
        <w:r>
          <w:delText xml:space="preserve"> by</w:delText>
        </w:r>
      </w:del>
      <w:ins w:id="3" w:author="svcMRProcess" w:date="2019-01-22T09:29:00Z">
        <w:r>
          <w:t>:</w:t>
        </w:r>
      </w:ins>
      <w:r>
        <w:t xml:space="preserve"> No. 28 of 2006 s. 296.]</w:t>
      </w:r>
    </w:p>
    <w:p>
      <w:pPr>
        <w:pStyle w:val="Heading2"/>
        <w:rPr>
          <w:ins w:id="4" w:author="svcMRProcess" w:date="2019-01-22T09:29:00Z"/>
        </w:rPr>
      </w:pPr>
      <w:bookmarkStart w:id="5" w:name="_Toc378664396"/>
      <w:bookmarkStart w:id="6" w:name="_Toc418866925"/>
      <w:ins w:id="7" w:author="svcMRProcess" w:date="2019-01-22T09:29:00Z">
        <w:r>
          <w:rPr>
            <w:rStyle w:val="CharPartNo"/>
          </w:rPr>
          <w:lastRenderedPageBreak/>
          <w:t>Part I</w:t>
        </w:r>
        <w:r>
          <w:rPr>
            <w:rStyle w:val="CharDivNo"/>
          </w:rPr>
          <w:t> </w:t>
        </w:r>
        <w:r>
          <w:t>—</w:t>
        </w:r>
        <w:r>
          <w:rPr>
            <w:rStyle w:val="CharDivText"/>
          </w:rPr>
          <w:t> </w:t>
        </w:r>
        <w:r>
          <w:rPr>
            <w:rStyle w:val="CharPartText"/>
          </w:rPr>
          <w:t>Preliminary</w:t>
        </w:r>
        <w:bookmarkEnd w:id="5"/>
        <w:bookmarkEnd w:id="6"/>
      </w:ins>
    </w:p>
    <w:p>
      <w:pPr>
        <w:pStyle w:val="Footnoteheading"/>
        <w:rPr>
          <w:ins w:id="8" w:author="svcMRProcess" w:date="2019-01-22T09:29:00Z"/>
        </w:rPr>
      </w:pPr>
      <w:ins w:id="9" w:author="svcMRProcess" w:date="2019-01-22T09:29:00Z">
        <w:r>
          <w:tab/>
          <w:t>[Heading inserted: No. 19 of 2010 s. 43(3)(a).]</w:t>
        </w:r>
      </w:ins>
    </w:p>
    <w:p>
      <w:pPr>
        <w:pStyle w:val="Heading5"/>
        <w:rPr>
          <w:snapToGrid w:val="0"/>
        </w:rPr>
      </w:pPr>
      <w:bookmarkStart w:id="10" w:name="_Toc378664397"/>
      <w:bookmarkStart w:id="11" w:name="_Toc418866926"/>
      <w:bookmarkStart w:id="12" w:name="_Toc421611491"/>
      <w:bookmarkStart w:id="13" w:name="_Toc503062590"/>
      <w:bookmarkStart w:id="14" w:name="_Toc122752032"/>
      <w:bookmarkStart w:id="15" w:name="_Toc202170918"/>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Government Employees’ Housing Act 1964</w:t>
      </w:r>
      <w:r>
        <w:rPr>
          <w:snapToGrid w:val="0"/>
          <w:vertAlign w:val="superscript"/>
        </w:rPr>
        <w:t xml:space="preserve"> 1</w:t>
      </w:r>
      <w:r>
        <w:rPr>
          <w:snapToGrid w:val="0"/>
        </w:rPr>
        <w:t>.</w:t>
      </w:r>
    </w:p>
    <w:p>
      <w:pPr>
        <w:pStyle w:val="Heading5"/>
        <w:rPr>
          <w:snapToGrid w:val="0"/>
        </w:rPr>
      </w:pPr>
      <w:bookmarkStart w:id="16" w:name="_Toc378664398"/>
      <w:bookmarkStart w:id="17" w:name="_Toc418866927"/>
      <w:bookmarkStart w:id="18" w:name="_Toc421611492"/>
      <w:bookmarkStart w:id="19" w:name="_Toc503062591"/>
      <w:bookmarkStart w:id="20" w:name="_Toc122752033"/>
      <w:bookmarkStart w:id="21" w:name="_Toc202170919"/>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w:t>
      </w:r>
      <w:del w:id="22" w:author="svcMRProcess" w:date="2019-01-22T09:29:00Z">
        <w:r>
          <w:delText xml:space="preserve"> by</w:delText>
        </w:r>
      </w:del>
      <w:ins w:id="23" w:author="svcMRProcess" w:date="2019-01-22T09:29:00Z">
        <w:r>
          <w:t>:</w:t>
        </w:r>
      </w:ins>
      <w:r>
        <w:t xml:space="preserve"> No. 10 of 1998 s. 76.]</w:t>
      </w:r>
    </w:p>
    <w:p>
      <w:pPr>
        <w:pStyle w:val="Heading2"/>
        <w:rPr>
          <w:del w:id="24" w:author="svcMRProcess" w:date="2019-01-22T09:29:00Z"/>
        </w:rPr>
      </w:pPr>
      <w:bookmarkStart w:id="25" w:name="_Toc122752034"/>
      <w:bookmarkStart w:id="26" w:name="_Toc122752070"/>
      <w:bookmarkStart w:id="27" w:name="_Toc123002568"/>
      <w:bookmarkStart w:id="28" w:name="_Toc131395182"/>
      <w:bookmarkStart w:id="29" w:name="_Toc139688980"/>
      <w:bookmarkStart w:id="30" w:name="_Toc144183038"/>
      <w:bookmarkStart w:id="31" w:name="_Toc144184680"/>
      <w:bookmarkStart w:id="32" w:name="_Toc147119834"/>
      <w:bookmarkStart w:id="33" w:name="_Toc147199701"/>
      <w:bookmarkStart w:id="34" w:name="_Toc147199725"/>
      <w:bookmarkStart w:id="35" w:name="_Toc157911640"/>
      <w:bookmarkStart w:id="36" w:name="_Toc196120854"/>
      <w:bookmarkStart w:id="37" w:name="_Toc202170920"/>
      <w:del w:id="38" w:author="svcMRProcess" w:date="2019-01-22T09:29:00Z">
        <w:r>
          <w:rPr>
            <w:rStyle w:val="CharPartNo"/>
          </w:rPr>
          <w:lastRenderedPageBreak/>
          <w:delText>Part I</w:delText>
        </w:r>
        <w:r>
          <w:rPr>
            <w:rStyle w:val="CharDivNo"/>
          </w:rPr>
          <w:delText> </w:delText>
        </w:r>
        <w:r>
          <w:delText>—</w:delText>
        </w:r>
        <w:r>
          <w:rPr>
            <w:rStyle w:val="CharDivText"/>
          </w:rPr>
          <w:delText> </w:delText>
        </w:r>
        <w:r>
          <w:rPr>
            <w:rStyle w:val="CharPartText"/>
          </w:rPr>
          <w:delText>Preliminary</w:delText>
        </w:r>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delText xml:space="preserve"> </w:delText>
        </w:r>
      </w:del>
    </w:p>
    <w:p>
      <w:pPr>
        <w:pStyle w:val="Ednotepart"/>
        <w:rPr>
          <w:ins w:id="39" w:author="svcMRProcess" w:date="2019-01-22T09:29:00Z"/>
        </w:rPr>
      </w:pPr>
      <w:ins w:id="40" w:author="svcMRProcess" w:date="2019-01-22T09:29:00Z">
        <w:r>
          <w:t>[Heading deleted: No. 19 of 2010 s. 43(3)(b).]</w:t>
        </w:r>
      </w:ins>
    </w:p>
    <w:p>
      <w:pPr>
        <w:pStyle w:val="Heading5"/>
        <w:rPr>
          <w:snapToGrid w:val="0"/>
        </w:rPr>
      </w:pPr>
      <w:bookmarkStart w:id="41" w:name="_Toc378664399"/>
      <w:bookmarkStart w:id="42" w:name="_Toc418866928"/>
      <w:bookmarkStart w:id="43" w:name="_Toc421611493"/>
      <w:bookmarkStart w:id="44" w:name="_Toc503062592"/>
      <w:bookmarkStart w:id="45" w:name="_Toc122752035"/>
      <w:bookmarkStart w:id="46" w:name="_Toc202170921"/>
      <w:r>
        <w:rPr>
          <w:rStyle w:val="CharSectno"/>
        </w:rPr>
        <w:t>4</w:t>
      </w:r>
      <w:r>
        <w:rPr>
          <w:snapToGrid w:val="0"/>
        </w:rPr>
        <w:t>.</w:t>
      </w:r>
      <w:r>
        <w:rPr>
          <w:snapToGrid w:val="0"/>
        </w:rPr>
        <w:tab/>
        <w:t>Objects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of adequate and suitable housing accommodation for Government employees; and</w:t>
      </w:r>
    </w:p>
    <w:p>
      <w:pPr>
        <w:pStyle w:val="Indenta"/>
        <w:rPr>
          <w:snapToGrid w:val="0"/>
        </w:rPr>
      </w:pPr>
      <w:r>
        <w:rPr>
          <w:snapToGrid w:val="0"/>
        </w:rPr>
        <w:tab/>
        <w:t>(b)</w:t>
      </w:r>
      <w:r>
        <w:rPr>
          <w:snapToGrid w:val="0"/>
        </w:rPr>
        <w:tab/>
        <w:t>the improvement of existing housing conditions with respect to Government employees.</w:t>
      </w:r>
    </w:p>
    <w:p>
      <w:pPr>
        <w:pStyle w:val="Footnotesection"/>
      </w:pPr>
      <w:bookmarkStart w:id="47" w:name="_Toc421611494"/>
      <w:bookmarkStart w:id="48" w:name="_Toc503062593"/>
      <w:bookmarkStart w:id="49" w:name="_Toc122752036"/>
      <w:r>
        <w:tab/>
        <w:t>[Section 4 amended</w:t>
      </w:r>
      <w:del w:id="50" w:author="svcMRProcess" w:date="2019-01-22T09:29:00Z">
        <w:r>
          <w:delText xml:space="preserve"> by</w:delText>
        </w:r>
      </w:del>
      <w:ins w:id="51" w:author="svcMRProcess" w:date="2019-01-22T09:29:00Z">
        <w:r>
          <w:t>:</w:t>
        </w:r>
      </w:ins>
      <w:r>
        <w:t xml:space="preserve"> No. 28 of 2006 s. 297.]</w:t>
      </w:r>
    </w:p>
    <w:p>
      <w:pPr>
        <w:pStyle w:val="Heading5"/>
        <w:rPr>
          <w:snapToGrid w:val="0"/>
        </w:rPr>
      </w:pPr>
      <w:bookmarkStart w:id="52" w:name="_Toc378664400"/>
      <w:bookmarkStart w:id="53" w:name="_Toc418866929"/>
      <w:bookmarkStart w:id="54" w:name="_Toc202170922"/>
      <w:r>
        <w:rPr>
          <w:rStyle w:val="CharSectno"/>
        </w:rPr>
        <w:t>5</w:t>
      </w:r>
      <w:r>
        <w:rPr>
          <w:snapToGrid w:val="0"/>
        </w:rPr>
        <w:t>.</w:t>
      </w:r>
      <w:r>
        <w:rPr>
          <w:snapToGrid w:val="0"/>
        </w:rPr>
        <w:tab/>
        <w:t>Interpretation</w:t>
      </w:r>
      <w:bookmarkEnd w:id="52"/>
      <w:bookmarkEnd w:id="53"/>
      <w:bookmarkEnd w:id="47"/>
      <w:bookmarkEnd w:id="48"/>
      <w:bookmarkEnd w:id="49"/>
      <w:bookmarkEnd w:id="5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Account</w:t>
      </w:r>
      <w:r>
        <w:t xml:space="preserve"> means the Government Employees’ Housing Authority Account referred to in section 24;</w:t>
      </w:r>
    </w:p>
    <w:p>
      <w:pPr>
        <w:pStyle w:val="Defstart"/>
      </w:pPr>
      <w:r>
        <w:rPr>
          <w:b/>
        </w:rPr>
        <w:tab/>
      </w:r>
      <w:r>
        <w:rPr>
          <w:rStyle w:val="CharDefText"/>
        </w:rPr>
        <w:t>Authority</w:t>
      </w:r>
      <w:r>
        <w:t xml:space="preserve"> means the Housing Authority referred to in section 6(4) of the </w:t>
      </w:r>
      <w:r>
        <w:rPr>
          <w:i/>
        </w:rPr>
        <w:t>Housing Act 1980</w:t>
      </w:r>
      <w:r>
        <w:t>;</w:t>
      </w:r>
    </w:p>
    <w:p>
      <w:pPr>
        <w:pStyle w:val="Defstart"/>
      </w:pPr>
      <w:r>
        <w:rPr>
          <w:b/>
        </w:rPr>
        <w:tab/>
      </w:r>
      <w:r>
        <w:rPr>
          <w:rStyle w:val="CharDefText"/>
        </w:rPr>
        <w:t>Department</w:t>
      </w:r>
      <w:r>
        <w:t xml:space="preserve"> means any department which principally assists the Minister for Public Sector Management or the Minister in the administration of Part 3 of the </w:t>
      </w:r>
      <w:r>
        <w:rPr>
          <w:i/>
        </w:rPr>
        <w:t>School Education Act 1999</w:t>
      </w:r>
      <w:r>
        <w:t>; and includes any other department or any Crown instrumentality, hospital, board, body corporate or other body of whatever description that the Governor declares by proclamation to be a Department for the purposes of this Act;</w:t>
      </w:r>
    </w:p>
    <w:p>
      <w:pPr>
        <w:pStyle w:val="Defstart"/>
      </w:pPr>
      <w:r>
        <w:rPr>
          <w:b/>
        </w:rPr>
        <w:tab/>
      </w:r>
      <w:r>
        <w:rPr>
          <w:rStyle w:val="CharDefText"/>
        </w:rPr>
        <w:t>Government employee</w:t>
      </w:r>
      <w:r>
        <w:t xml:space="preserve"> means a person employed under the State in any capacity in any Department to which this Act applies;</w:t>
      </w:r>
    </w:p>
    <w:p>
      <w:pPr>
        <w:pStyle w:val="Defstart"/>
      </w:pPr>
      <w:r>
        <w:rPr>
          <w:b/>
        </w:rPr>
        <w:tab/>
      </w:r>
      <w:r>
        <w:rPr>
          <w:rStyle w:val="CharDefText"/>
        </w:rPr>
        <w:t>house</w:t>
      </w:r>
      <w:r>
        <w:t xml:space="preserve"> means any building, including any single, attached or multi</w:t>
      </w:r>
      <w:r>
        <w:noBreakHyphen/>
        <w:t>storey dwelling unit, edifice; structure or erection, or any part thereof which, or any part of which, has been used or is used or is intended to be used as a dwelling; and includes outbuildings, fences, walls and permanent provision for lighting, heating, water supply, drainage and sewerage and other appurtenances of a house;</w:t>
      </w:r>
    </w:p>
    <w:p>
      <w:pPr>
        <w:pStyle w:val="Defstart"/>
      </w:pPr>
      <w:r>
        <w:rPr>
          <w:b/>
        </w:rPr>
        <w:tab/>
      </w:r>
      <w:r>
        <w:rPr>
          <w:rStyle w:val="CharDefText"/>
        </w:rPr>
        <w:t>member</w:t>
      </w:r>
      <w:r>
        <w:t xml:space="preserve"> means a person occupying any of the offices of the Authority, including that of chairman;</w:t>
      </w:r>
    </w:p>
    <w:p>
      <w:pPr>
        <w:pStyle w:val="Defstart"/>
      </w:pPr>
      <w:r>
        <w:rPr>
          <w:b/>
        </w:rPr>
        <w:tab/>
      </w:r>
      <w:r>
        <w:rPr>
          <w:rStyle w:val="CharDefText"/>
        </w:rPr>
        <w:t>officer</w:t>
      </w:r>
      <w:r>
        <w:t xml:space="preserve"> means any officer of the Authority, or of the agent of the Authority, authorised by the Authority or the agent, in respect of or whose duty it is to deal with or to act in regard to any acts, matters or things in connection with which the term is used;</w:t>
      </w:r>
    </w:p>
    <w:p>
      <w:pPr>
        <w:pStyle w:val="Defstart"/>
      </w:pPr>
      <w:r>
        <w:rPr>
          <w:b/>
        </w:rPr>
        <w:tab/>
      </w:r>
      <w:r>
        <w:rPr>
          <w:rStyle w:val="CharDefText"/>
        </w:rPr>
        <w:t>tenant</w:t>
      </w:r>
      <w:r>
        <w:t xml:space="preserve"> includes any person deriving title under the original tenant.</w:t>
      </w:r>
    </w:p>
    <w:p>
      <w:pPr>
        <w:pStyle w:val="Footnotesection"/>
      </w:pPr>
      <w:r>
        <w:tab/>
        <w:t>[Section 5 amended</w:t>
      </w:r>
      <w:del w:id="55" w:author="svcMRProcess" w:date="2019-01-22T09:29:00Z">
        <w:r>
          <w:delText xml:space="preserve"> by</w:delText>
        </w:r>
      </w:del>
      <w:ins w:id="56" w:author="svcMRProcess" w:date="2019-01-22T09:29:00Z">
        <w:r>
          <w:t>:</w:t>
        </w:r>
      </w:ins>
      <w:r>
        <w:t xml:space="preserve"> No. 36 of 1999 s. 247; No. 28 of 2006 s. 298; No. 77 of 2006 s. 17.]</w:t>
      </w:r>
    </w:p>
    <w:p>
      <w:pPr>
        <w:pStyle w:val="Ednotesection"/>
      </w:pPr>
      <w:bookmarkStart w:id="57" w:name="_Toc421611496"/>
      <w:bookmarkStart w:id="58" w:name="_Toc503062595"/>
      <w:bookmarkStart w:id="59" w:name="_Toc122752038"/>
      <w:r>
        <w:t>[</w:t>
      </w:r>
      <w:r>
        <w:rPr>
          <w:b/>
        </w:rPr>
        <w:t>6.</w:t>
      </w:r>
      <w:r>
        <w:tab/>
        <w:t>Deleted</w:t>
      </w:r>
      <w:del w:id="60" w:author="svcMRProcess" w:date="2019-01-22T09:29:00Z">
        <w:r>
          <w:delText xml:space="preserve"> by</w:delText>
        </w:r>
      </w:del>
      <w:ins w:id="61" w:author="svcMRProcess" w:date="2019-01-22T09:29:00Z">
        <w:r>
          <w:t>:</w:t>
        </w:r>
      </w:ins>
      <w:r>
        <w:t xml:space="preserve"> No. 28 of 2006 s. 299.] </w:t>
      </w:r>
    </w:p>
    <w:p>
      <w:pPr>
        <w:pStyle w:val="Heading5"/>
        <w:rPr>
          <w:snapToGrid w:val="0"/>
        </w:rPr>
      </w:pPr>
      <w:bookmarkStart w:id="62" w:name="_Toc378664401"/>
      <w:bookmarkStart w:id="63" w:name="_Toc418866930"/>
      <w:bookmarkStart w:id="64" w:name="_Toc202170923"/>
      <w:r>
        <w:rPr>
          <w:rStyle w:val="CharSectno"/>
        </w:rPr>
        <w:t>7</w:t>
      </w:r>
      <w:r>
        <w:rPr>
          <w:snapToGrid w:val="0"/>
        </w:rPr>
        <w:t>.</w:t>
      </w:r>
      <w:r>
        <w:rPr>
          <w:snapToGrid w:val="0"/>
        </w:rPr>
        <w:tab/>
        <w:t xml:space="preserve">Governor may by proclamation declare </w:t>
      </w:r>
      <w:bookmarkEnd w:id="57"/>
      <w:r>
        <w:rPr>
          <w:snapToGrid w:val="0"/>
        </w:rPr>
        <w:t>Departments</w:t>
      </w:r>
      <w:bookmarkEnd w:id="62"/>
      <w:bookmarkEnd w:id="63"/>
      <w:bookmarkEnd w:id="58"/>
      <w:bookmarkEnd w:id="59"/>
      <w:bookmarkEnd w:id="64"/>
      <w:r>
        <w:rPr>
          <w:snapToGrid w:val="0"/>
        </w:rPr>
        <w:t xml:space="preserve"> </w:t>
      </w:r>
    </w:p>
    <w:p>
      <w:pPr>
        <w:pStyle w:val="Subsection"/>
        <w:rPr>
          <w:snapToGrid w:val="0"/>
        </w:rPr>
      </w:pPr>
      <w:r>
        <w:rPr>
          <w:snapToGrid w:val="0"/>
        </w:rPr>
        <w:tab/>
        <w:t>(1)</w:t>
      </w:r>
      <w:r>
        <w:rPr>
          <w:snapToGrid w:val="0"/>
        </w:rPr>
        <w:tab/>
        <w:t>The Governor may at any time declare, by proclamation, any department under the administration of a Minister of the Crown in the Government of the State or any Crown instrumentality, hospital, board, body corporate or other body of whatever description to be a Department for the purposes of this Act, and thereupon the provisions of this Act shall apply to that Department.</w:t>
      </w:r>
    </w:p>
    <w:p>
      <w:pPr>
        <w:pStyle w:val="Subsection"/>
        <w:rPr>
          <w:snapToGrid w:val="0"/>
        </w:rPr>
      </w:pPr>
      <w:r>
        <w:rPr>
          <w:snapToGrid w:val="0"/>
        </w:rPr>
        <w:tab/>
        <w:t>(2)</w:t>
      </w:r>
      <w:r>
        <w:rPr>
          <w:snapToGrid w:val="0"/>
        </w:rPr>
        <w:tab/>
        <w:t>A proclamation made under this section may be varied or cancelled by a subsequent proclamation.</w:t>
      </w:r>
    </w:p>
    <w:p>
      <w:pPr>
        <w:pStyle w:val="Ednotepart"/>
      </w:pPr>
      <w:bookmarkStart w:id="65" w:name="_Toc122752048"/>
      <w:bookmarkStart w:id="66" w:name="_Toc122752084"/>
      <w:bookmarkStart w:id="67" w:name="_Toc123002582"/>
      <w:bookmarkStart w:id="68" w:name="_Toc131395196"/>
      <w:r>
        <w:t>[Part II (s. 8</w:t>
      </w:r>
      <w:r>
        <w:noBreakHyphen/>
        <w:t>15) deleted</w:t>
      </w:r>
      <w:del w:id="69" w:author="svcMRProcess" w:date="2019-01-22T09:29:00Z">
        <w:r>
          <w:delText xml:space="preserve"> by</w:delText>
        </w:r>
      </w:del>
      <w:ins w:id="70" w:author="svcMRProcess" w:date="2019-01-22T09:29:00Z">
        <w:r>
          <w:t>:</w:t>
        </w:r>
      </w:ins>
      <w:r>
        <w:t xml:space="preserve"> No. 28 of 2006 s. 300.] </w:t>
      </w:r>
    </w:p>
    <w:p>
      <w:pPr>
        <w:pStyle w:val="Heading2"/>
      </w:pPr>
      <w:bookmarkStart w:id="71" w:name="_Toc378664402"/>
      <w:bookmarkStart w:id="72" w:name="_Toc418866931"/>
      <w:bookmarkStart w:id="73" w:name="_Toc139688984"/>
      <w:bookmarkStart w:id="74" w:name="_Toc144183042"/>
      <w:bookmarkStart w:id="75" w:name="_Toc144184684"/>
      <w:bookmarkStart w:id="76" w:name="_Toc147119838"/>
      <w:bookmarkStart w:id="77" w:name="_Toc147199705"/>
      <w:bookmarkStart w:id="78" w:name="_Toc147199729"/>
      <w:bookmarkStart w:id="79" w:name="_Toc157911644"/>
      <w:bookmarkStart w:id="80" w:name="_Toc196120858"/>
      <w:bookmarkStart w:id="81" w:name="_Toc202170924"/>
      <w:r>
        <w:rPr>
          <w:rStyle w:val="CharPartNo"/>
        </w:rPr>
        <w:t>Part III</w:t>
      </w:r>
      <w:r>
        <w:rPr>
          <w:rStyle w:val="CharDivNo"/>
        </w:rPr>
        <w:t> </w:t>
      </w:r>
      <w:r>
        <w:t>—</w:t>
      </w:r>
      <w:r>
        <w:rPr>
          <w:rStyle w:val="CharDivText"/>
        </w:rPr>
        <w:t> </w:t>
      </w:r>
      <w:r>
        <w:rPr>
          <w:rStyle w:val="CharPartText"/>
        </w:rPr>
        <w:t>Administration</w:t>
      </w:r>
      <w:bookmarkEnd w:id="71"/>
      <w:bookmarkEnd w:id="72"/>
      <w:bookmarkEnd w:id="65"/>
      <w:bookmarkEnd w:id="66"/>
      <w:bookmarkEnd w:id="67"/>
      <w:bookmarkEnd w:id="68"/>
      <w:bookmarkEnd w:id="73"/>
      <w:bookmarkEnd w:id="74"/>
      <w:bookmarkEnd w:id="75"/>
      <w:bookmarkEnd w:id="76"/>
      <w:bookmarkEnd w:id="77"/>
      <w:bookmarkEnd w:id="78"/>
      <w:bookmarkEnd w:id="79"/>
      <w:bookmarkEnd w:id="80"/>
      <w:bookmarkEnd w:id="81"/>
      <w:r>
        <w:rPr>
          <w:rStyle w:val="CharPartText"/>
        </w:rPr>
        <w:t xml:space="preserve"> </w:t>
      </w:r>
    </w:p>
    <w:p>
      <w:pPr>
        <w:pStyle w:val="Heading5"/>
        <w:rPr>
          <w:snapToGrid w:val="0"/>
        </w:rPr>
      </w:pPr>
      <w:bookmarkStart w:id="82" w:name="_Toc378664403"/>
      <w:bookmarkStart w:id="83" w:name="_Toc418866932"/>
      <w:bookmarkStart w:id="84" w:name="_Toc421611505"/>
      <w:bookmarkStart w:id="85" w:name="_Toc503062604"/>
      <w:bookmarkStart w:id="86" w:name="_Toc122752049"/>
      <w:bookmarkStart w:id="87" w:name="_Toc202170925"/>
      <w:r>
        <w:rPr>
          <w:rStyle w:val="CharSectno"/>
        </w:rPr>
        <w:t>16</w:t>
      </w:r>
      <w:r>
        <w:rPr>
          <w:snapToGrid w:val="0"/>
        </w:rPr>
        <w:t>.</w:t>
      </w:r>
      <w:r>
        <w:rPr>
          <w:snapToGrid w:val="0"/>
        </w:rPr>
        <w:tab/>
        <w:t>Function of Authority</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Subject to the provisions of this Act, the function of the Authority is to provide adequate and suitable housing accommodation within the State for Government employees, and for the purpose of carrying out that function, the powers of the Authority include — </w:t>
      </w:r>
    </w:p>
    <w:p>
      <w:pPr>
        <w:pStyle w:val="Indenta"/>
        <w:rPr>
          <w:snapToGrid w:val="0"/>
        </w:rPr>
      </w:pPr>
      <w:r>
        <w:rPr>
          <w:snapToGrid w:val="0"/>
        </w:rPr>
        <w:tab/>
        <w:t>(a)</w:t>
      </w:r>
      <w:r>
        <w:rPr>
          <w:snapToGrid w:val="0"/>
        </w:rPr>
        <w:tab/>
        <w:t>purchasing, contracting for the use of, or otherwise acquiring (other than by compulsory acquisition) any land or houses;</w:t>
      </w:r>
    </w:p>
    <w:p>
      <w:pPr>
        <w:pStyle w:val="Indenta"/>
        <w:rPr>
          <w:snapToGrid w:val="0"/>
        </w:rPr>
      </w:pPr>
      <w:r>
        <w:rPr>
          <w:snapToGrid w:val="0"/>
        </w:rPr>
        <w:tab/>
        <w:t>(b)</w:t>
      </w:r>
      <w:r>
        <w:rPr>
          <w:snapToGrid w:val="0"/>
        </w:rPr>
        <w:tab/>
        <w:t>the erection of houses on land acquired by the Authority;</w:t>
      </w:r>
    </w:p>
    <w:p>
      <w:pPr>
        <w:pStyle w:val="Indenta"/>
        <w:rPr>
          <w:snapToGrid w:val="0"/>
        </w:rPr>
      </w:pPr>
      <w:r>
        <w:rPr>
          <w:snapToGrid w:val="0"/>
        </w:rPr>
        <w:tab/>
        <w:t>(c)</w:t>
      </w:r>
      <w:r>
        <w:rPr>
          <w:snapToGrid w:val="0"/>
        </w:rPr>
        <w:tab/>
        <w:t>letting or disposing of houses or land owned by or under the control of the Authority; and</w:t>
      </w:r>
    </w:p>
    <w:p>
      <w:pPr>
        <w:pStyle w:val="Indenta"/>
        <w:rPr>
          <w:snapToGrid w:val="0"/>
        </w:rPr>
      </w:pPr>
      <w:r>
        <w:rPr>
          <w:snapToGrid w:val="0"/>
        </w:rPr>
        <w:tab/>
        <w:t>(d)</w:t>
      </w:r>
      <w:r>
        <w:rPr>
          <w:snapToGrid w:val="0"/>
        </w:rPr>
        <w:tab/>
        <w:t>doing such other things as under this Act are required or permitted to be done by the Authority.</w:t>
      </w:r>
    </w:p>
    <w:p>
      <w:pPr>
        <w:pStyle w:val="Heading5"/>
        <w:rPr>
          <w:snapToGrid w:val="0"/>
        </w:rPr>
      </w:pPr>
      <w:bookmarkStart w:id="88" w:name="_Toc378664404"/>
      <w:bookmarkStart w:id="89" w:name="_Toc418866933"/>
      <w:bookmarkStart w:id="90" w:name="_Toc421611506"/>
      <w:bookmarkStart w:id="91" w:name="_Toc503062605"/>
      <w:bookmarkStart w:id="92" w:name="_Toc122752050"/>
      <w:bookmarkStart w:id="93" w:name="_Toc202170926"/>
      <w:r>
        <w:rPr>
          <w:rStyle w:val="CharSectno"/>
        </w:rPr>
        <w:t>17</w:t>
      </w:r>
      <w:r>
        <w:rPr>
          <w:snapToGrid w:val="0"/>
        </w:rPr>
        <w:t>.</w:t>
      </w:r>
      <w:r>
        <w:rPr>
          <w:snapToGrid w:val="0"/>
        </w:rPr>
        <w:tab/>
        <w:t>Transfer to Authority of land and houses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Forthwith upon the coming into operation of this Act, and upon the date of proclamation in the case of a Department proclaimed pursuant to section 7, all land, houses and improvements vested in or under the management or control of any Department for providing housing accommodation of Government employees, and all powers, authorities, rights, title, interest and obligation in the same or with respect thereto, shall by virtue of this Act and without any transfer or assignment whatever pass to and become vested in and imposed upon the Authority and be divested and discharged from that Department.</w:t>
      </w:r>
    </w:p>
    <w:p>
      <w:pPr>
        <w:pStyle w:val="Subsection"/>
        <w:rPr>
          <w:snapToGrid w:val="0"/>
        </w:rPr>
      </w:pPr>
      <w:r>
        <w:rPr>
          <w:snapToGrid w:val="0"/>
        </w:rPr>
        <w:tab/>
        <w:t>(2)</w:t>
      </w:r>
      <w:r>
        <w:rPr>
          <w:snapToGrid w:val="0"/>
        </w:rPr>
        <w:tab/>
        <w:t>Notwithstanding the provisions of subsection (1), the Authority may refuse to take over, accept or have vested in it any land or house referred to in that subsection in any case where such taking over, acceptance or vesting of that land or house would in the opinion of the Authority impose or be likely to impose upon it an obligation or duty, whether financial or otherwise, which the Authority considers it should not undertake or accept.</w:t>
      </w:r>
    </w:p>
    <w:p>
      <w:pPr>
        <w:pStyle w:val="Heading5"/>
        <w:rPr>
          <w:snapToGrid w:val="0"/>
        </w:rPr>
      </w:pPr>
      <w:bookmarkStart w:id="94" w:name="_Toc421611507"/>
      <w:bookmarkStart w:id="95" w:name="_Toc378664405"/>
      <w:bookmarkStart w:id="96" w:name="_Toc418866934"/>
      <w:bookmarkStart w:id="97" w:name="_Toc503062606"/>
      <w:bookmarkStart w:id="98" w:name="_Toc122752051"/>
      <w:bookmarkStart w:id="99" w:name="_Toc202170927"/>
      <w:r>
        <w:rPr>
          <w:rStyle w:val="CharSectno"/>
        </w:rPr>
        <w:t>18</w:t>
      </w:r>
      <w:r>
        <w:rPr>
          <w:snapToGrid w:val="0"/>
        </w:rPr>
        <w:t>.</w:t>
      </w:r>
      <w:r>
        <w:rPr>
          <w:snapToGrid w:val="0"/>
        </w:rPr>
        <w:tab/>
        <w:t xml:space="preserve">Application may be made for houses for </w:t>
      </w:r>
      <w:bookmarkEnd w:id="94"/>
      <w:r>
        <w:rPr>
          <w:snapToGrid w:val="0"/>
        </w:rPr>
        <w:t>Department</w:t>
      </w:r>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w:t>
      </w:r>
      <w:r>
        <w:t>chief executive officer of a Department</w:t>
      </w:r>
      <w:r>
        <w:rPr>
          <w:snapToGrid w:val="0"/>
        </w:rPr>
        <w:t xml:space="preserve"> may in any case where he is of opinion that houses are required for Government employees apply to the Authority for the allocation to his Department of houses owned or controlled by the Authority.</w:t>
      </w:r>
    </w:p>
    <w:p>
      <w:pPr>
        <w:pStyle w:val="Subsection"/>
        <w:rPr>
          <w:snapToGrid w:val="0"/>
        </w:rPr>
      </w:pPr>
      <w:r>
        <w:rPr>
          <w:snapToGrid w:val="0"/>
        </w:rPr>
        <w:tab/>
        <w:t>(2)</w:t>
      </w:r>
      <w:r>
        <w:rPr>
          <w:snapToGrid w:val="0"/>
        </w:rPr>
        <w:tab/>
        <w:t xml:space="preserve">The Authority shall have regard to the submissions of the </w:t>
      </w:r>
      <w:r>
        <w:t>chief executive officer of a Department</w:t>
      </w:r>
      <w:r>
        <w:rPr>
          <w:snapToGrid w:val="0"/>
        </w:rPr>
        <w:t xml:space="preserve"> set forth in his application under this section and if satisfied that his Department requires houses for Government employees may allocate such houses as it thinks fit for occupation by those employees.</w:t>
      </w:r>
    </w:p>
    <w:p>
      <w:pPr>
        <w:pStyle w:val="Subsection"/>
        <w:rPr>
          <w:snapToGrid w:val="0"/>
        </w:rPr>
      </w:pPr>
      <w:r>
        <w:rPr>
          <w:snapToGrid w:val="0"/>
        </w:rPr>
        <w:tab/>
        <w:t>(3)</w:t>
      </w:r>
      <w:r>
        <w:rPr>
          <w:snapToGrid w:val="0"/>
        </w:rPr>
        <w:tab/>
        <w:t>For the purpose of exercising its duties under this section the Authority has power and authority — </w:t>
      </w:r>
    </w:p>
    <w:p>
      <w:pPr>
        <w:pStyle w:val="Indenta"/>
        <w:rPr>
          <w:snapToGrid w:val="0"/>
        </w:rPr>
      </w:pPr>
      <w:r>
        <w:rPr>
          <w:snapToGrid w:val="0"/>
        </w:rPr>
        <w:tab/>
        <w:t>(a)</w:t>
      </w:r>
      <w:r>
        <w:rPr>
          <w:snapToGrid w:val="0"/>
        </w:rPr>
        <w:tab/>
        <w:t>to inquire into and consider applications under this section;</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approve of any application, either wholly or in part;</w:t>
      </w:r>
    </w:p>
    <w:p>
      <w:pPr>
        <w:pStyle w:val="Indenta"/>
        <w:rPr>
          <w:snapToGrid w:val="0"/>
        </w:rPr>
      </w:pPr>
      <w:r>
        <w:rPr>
          <w:snapToGrid w:val="0"/>
        </w:rPr>
        <w:tab/>
        <w:t>(d)</w:t>
      </w:r>
      <w:r>
        <w:rPr>
          <w:snapToGrid w:val="0"/>
        </w:rPr>
        <w:tab/>
        <w:t>to refuse any application.</w:t>
      </w:r>
    </w:p>
    <w:p>
      <w:pPr>
        <w:pStyle w:val="Subsection"/>
        <w:rPr>
          <w:snapToGrid w:val="0"/>
        </w:rPr>
      </w:pPr>
      <w:r>
        <w:rPr>
          <w:snapToGrid w:val="0"/>
        </w:rPr>
        <w:tab/>
        <w:t>(4)</w:t>
      </w:r>
      <w:r>
        <w:rPr>
          <w:snapToGrid w:val="0"/>
        </w:rPr>
        <w:tab/>
        <w:t>Except in so far as the Authority is required under this Act, or under the terms of any agreement relating to any house taken over by the Authority under this Act, to provide a house for any Government employee, the Authority is not required to provide a house for any Government employee and may let any house to a person other than such an employee at such rent and upon such terms and conditions as it thinks fit.</w:t>
      </w:r>
    </w:p>
    <w:p>
      <w:pPr>
        <w:pStyle w:val="Footnotesection"/>
      </w:pPr>
      <w:r>
        <w:tab/>
        <w:t>[Section 18 amended</w:t>
      </w:r>
      <w:del w:id="100" w:author="svcMRProcess" w:date="2019-01-22T09:29:00Z">
        <w:r>
          <w:delText xml:space="preserve"> by</w:delText>
        </w:r>
      </w:del>
      <w:ins w:id="101" w:author="svcMRProcess" w:date="2019-01-22T09:29:00Z">
        <w:r>
          <w:t>:</w:t>
        </w:r>
      </w:ins>
      <w:r>
        <w:t xml:space="preserve"> No. 28 of 2006 s. 301.]</w:t>
      </w:r>
    </w:p>
    <w:p>
      <w:pPr>
        <w:pStyle w:val="Heading5"/>
        <w:rPr>
          <w:snapToGrid w:val="0"/>
        </w:rPr>
      </w:pPr>
      <w:bookmarkStart w:id="102" w:name="_Toc378664406"/>
      <w:bookmarkStart w:id="103" w:name="_Toc418866935"/>
      <w:bookmarkStart w:id="104" w:name="_Toc421611508"/>
      <w:bookmarkStart w:id="105" w:name="_Toc503062607"/>
      <w:bookmarkStart w:id="106" w:name="_Toc122752052"/>
      <w:bookmarkStart w:id="107" w:name="_Toc202170928"/>
      <w:r>
        <w:rPr>
          <w:rStyle w:val="CharSectno"/>
        </w:rPr>
        <w:t>19</w:t>
      </w:r>
      <w:r>
        <w:rPr>
          <w:snapToGrid w:val="0"/>
        </w:rPr>
        <w:t>.</w:t>
      </w:r>
      <w:r>
        <w:rPr>
          <w:snapToGrid w:val="0"/>
        </w:rPr>
        <w:tab/>
        <w:t>Powers of Authority</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Subject to this Act, the Authority has and may exercise the following powers, in addition to any other powers conferred on the Authority by this or any other Act — </w:t>
      </w:r>
    </w:p>
    <w:p>
      <w:pPr>
        <w:pStyle w:val="Indenta"/>
        <w:rPr>
          <w:snapToGrid w:val="0"/>
        </w:rPr>
      </w:pPr>
      <w:r>
        <w:rPr>
          <w:snapToGrid w:val="0"/>
        </w:rPr>
        <w:tab/>
        <w:t>(a)</w:t>
      </w:r>
      <w:r>
        <w:rPr>
          <w:snapToGrid w:val="0"/>
        </w:rPr>
        <w:tab/>
        <w:t>subject to the provisions of</w:t>
      </w:r>
      <w:r>
        <w:t xml:space="preserve"> the </w:t>
      </w:r>
      <w:r>
        <w:rPr>
          <w:i/>
        </w:rPr>
        <w:t>Planning and Development Act 2005</w:t>
      </w:r>
      <w:r>
        <w:rPr>
          <w:snapToGrid w:val="0"/>
        </w:rPr>
        <w:t>, to plan and subdivide any land acquired by the Authority under this Act;</w:t>
      </w:r>
    </w:p>
    <w:p>
      <w:pPr>
        <w:pStyle w:val="Indenta"/>
        <w:rPr>
          <w:snapToGrid w:val="0"/>
        </w:rPr>
      </w:pPr>
      <w:r>
        <w:rPr>
          <w:snapToGrid w:val="0"/>
        </w:rPr>
        <w:tab/>
        <w:t>(b)</w:t>
      </w:r>
      <w:r>
        <w:rPr>
          <w:snapToGrid w:val="0"/>
        </w:rPr>
        <w:tab/>
        <w:t>to lay out and construct as streets any land so acquired by the Authority or any part of that land and to expend moneys on works and operations necessary or deemed necessary for the purpose of tendering that land suitable for housing;</w:t>
      </w:r>
    </w:p>
    <w:p>
      <w:pPr>
        <w:pStyle w:val="Indenta"/>
        <w:rPr>
          <w:snapToGrid w:val="0"/>
        </w:rPr>
      </w:pPr>
      <w:r>
        <w:rPr>
          <w:snapToGrid w:val="0"/>
        </w:rPr>
        <w:tab/>
        <w:t>(c)</w:t>
      </w:r>
      <w:r>
        <w:rPr>
          <w:snapToGrid w:val="0"/>
        </w:rPr>
        <w:tab/>
        <w:t>to let or lease or dispose of any land, whether improved or unimproved, for any one or more of the purposes of this Act, or if satisfied that any land vested in it under this Act is not immediately required for the purposes of this Act, to lease or dispose of that land at such price and on such terms and conditions as the Authority thinks fit;</w:t>
      </w:r>
    </w:p>
    <w:p>
      <w:pPr>
        <w:pStyle w:val="Indenta"/>
        <w:rPr>
          <w:snapToGrid w:val="0"/>
        </w:rPr>
      </w:pPr>
      <w:r>
        <w:rPr>
          <w:snapToGrid w:val="0"/>
        </w:rPr>
        <w:tab/>
        <w:t>(d)</w:t>
      </w:r>
      <w:r>
        <w:rPr>
          <w:snapToGrid w:val="0"/>
        </w:rPr>
        <w:tab/>
        <w:t>to erect, or cause to be elected, on lands vested in the Authority houses for letting to Government employees in accordance with the provisions of this Act, or to convert any buildings or erections into houses;</w:t>
      </w:r>
    </w:p>
    <w:p>
      <w:pPr>
        <w:pStyle w:val="Indenta"/>
        <w:rPr>
          <w:snapToGrid w:val="0"/>
        </w:rPr>
      </w:pPr>
      <w:r>
        <w:rPr>
          <w:snapToGrid w:val="0"/>
        </w:rPr>
        <w:tab/>
        <w:t>(e)</w:t>
      </w:r>
      <w:r>
        <w:rPr>
          <w:snapToGrid w:val="0"/>
        </w:rPr>
        <w:tab/>
        <w:t>to maintain, alter, enlarge, repair and carry out any improvements to, and generally to control and manage, houses and other buildings and the land upon which they are situated;</w:t>
      </w:r>
    </w:p>
    <w:p>
      <w:pPr>
        <w:pStyle w:val="Indenta"/>
        <w:rPr>
          <w:snapToGrid w:val="0"/>
        </w:rPr>
      </w:pPr>
      <w:r>
        <w:rPr>
          <w:snapToGrid w:val="0"/>
        </w:rPr>
        <w:tab/>
        <w:t>(f)</w:t>
      </w:r>
      <w:r>
        <w:rPr>
          <w:snapToGrid w:val="0"/>
        </w:rPr>
        <w:tab/>
        <w:t>to exchange, upon such terms and conditions and subject to such restrictions, exceptions and reservations as the Authority thinks fit, any unimproved land of the Authority for any other land, and to give or receive consideration for equality of exchange;</w:t>
      </w:r>
    </w:p>
    <w:p>
      <w:pPr>
        <w:pStyle w:val="Indenta"/>
        <w:rPr>
          <w:snapToGrid w:val="0"/>
        </w:rPr>
      </w:pPr>
      <w:r>
        <w:rPr>
          <w:snapToGrid w:val="0"/>
        </w:rPr>
        <w:tab/>
        <w:t>(g)</w:t>
      </w:r>
      <w:r>
        <w:rPr>
          <w:snapToGrid w:val="0"/>
        </w:rPr>
        <w:tab/>
        <w:t>to enter into arrangements and agreements with any Department or any Crown instrumentality in regard to the building, maintenance, management, letting or renting of houses; or to any service or thing available from any Department and make such recoup of cost of services as may be arranged;</w:t>
      </w:r>
    </w:p>
    <w:p>
      <w:pPr>
        <w:pStyle w:val="Indenta"/>
        <w:rPr>
          <w:snapToGrid w:val="0"/>
        </w:rPr>
      </w:pPr>
      <w:r>
        <w:rPr>
          <w:snapToGrid w:val="0"/>
        </w:rPr>
        <w:tab/>
        <w:t>(h)</w:t>
      </w:r>
      <w:r>
        <w:rPr>
          <w:snapToGrid w:val="0"/>
        </w:rPr>
        <w:tab/>
        <w:t>notwithstanding the provisions of any Act or any regulations made under any Act, to determine and fix, upon such basis or formula as may be prescribed, rents payable and conditions of tenancy in respect of houses let to tenants pursuant to this Act, and to assess and reassess such rents at periods not exceeding 3 years or whenever any house becomes vacant, regard being had to the age, type of construction, design, condition and available amenities, or any other matter that the Authority may deem relevant;</w:t>
      </w:r>
    </w:p>
    <w:p>
      <w:pPr>
        <w:pStyle w:val="Indenta"/>
        <w:rPr>
          <w:snapToGrid w:val="0"/>
        </w:rPr>
      </w:pPr>
      <w:r>
        <w:rPr>
          <w:snapToGrid w:val="0"/>
        </w:rPr>
        <w:tab/>
        <w:t>(i)</w:t>
      </w:r>
      <w:r>
        <w:rPr>
          <w:snapToGrid w:val="0"/>
        </w:rPr>
        <w:tab/>
        <w:t>to make or cause to be made any inquiry, investigation or report required by this Act or that the Authority thinks necessary or expedient to make;</w:t>
      </w:r>
    </w:p>
    <w:p>
      <w:pPr>
        <w:pStyle w:val="Indenta"/>
        <w:rPr>
          <w:snapToGrid w:val="0"/>
        </w:rPr>
      </w:pPr>
      <w:r>
        <w:rPr>
          <w:snapToGrid w:val="0"/>
        </w:rPr>
        <w:tab/>
        <w:t>(j)</w:t>
      </w:r>
      <w:r>
        <w:rPr>
          <w:snapToGrid w:val="0"/>
        </w:rPr>
        <w:tab/>
        <w:t>to undertake and carry out all other matters connected with this Act generally.</w:t>
      </w:r>
    </w:p>
    <w:p>
      <w:pPr>
        <w:pStyle w:val="Footnotesection"/>
      </w:pPr>
      <w:r>
        <w:tab/>
        <w:t>[Section 19 amended</w:t>
      </w:r>
      <w:del w:id="108" w:author="svcMRProcess" w:date="2019-01-22T09:29:00Z">
        <w:r>
          <w:delText xml:space="preserve"> by</w:delText>
        </w:r>
      </w:del>
      <w:ins w:id="109" w:author="svcMRProcess" w:date="2019-01-22T09:29:00Z">
        <w:r>
          <w:t>:</w:t>
        </w:r>
      </w:ins>
      <w:r>
        <w:t xml:space="preserve"> No. 62 of 1987 s. 7; No. 1 of 1995 s. 24; No. 38 of 2005 s. 15; No. 28 of 2006 s. 302.] </w:t>
      </w:r>
    </w:p>
    <w:p>
      <w:pPr>
        <w:pStyle w:val="Heading5"/>
        <w:rPr>
          <w:snapToGrid w:val="0"/>
        </w:rPr>
      </w:pPr>
      <w:bookmarkStart w:id="110" w:name="_Toc378664407"/>
      <w:bookmarkStart w:id="111" w:name="_Toc418866936"/>
      <w:bookmarkStart w:id="112" w:name="_Toc421611509"/>
      <w:bookmarkStart w:id="113" w:name="_Toc503062608"/>
      <w:bookmarkStart w:id="114" w:name="_Toc122752053"/>
      <w:bookmarkStart w:id="115" w:name="_Toc202170929"/>
      <w:r>
        <w:rPr>
          <w:rStyle w:val="CharSectno"/>
        </w:rPr>
        <w:t>20</w:t>
      </w:r>
      <w:r>
        <w:rPr>
          <w:snapToGrid w:val="0"/>
        </w:rPr>
        <w:t>.</w:t>
      </w:r>
      <w:r>
        <w:rPr>
          <w:snapToGrid w:val="0"/>
        </w:rPr>
        <w:tab/>
        <w:t>Power to accept gifts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For the purposes of this Act, the Authority may — </w:t>
      </w:r>
    </w:p>
    <w:p>
      <w:pPr>
        <w:pStyle w:val="Indenta"/>
        <w:rPr>
          <w:snapToGrid w:val="0"/>
        </w:rPr>
      </w:pPr>
      <w:r>
        <w:rPr>
          <w:snapToGrid w:val="0"/>
        </w:rPr>
        <w:tab/>
        <w:t>(a)</w:t>
      </w:r>
      <w:r>
        <w:rPr>
          <w:snapToGrid w:val="0"/>
        </w:rPr>
        <w:tab/>
        <w:t>accept any absolute gift, devise or bequest of real or personal property; or</w:t>
      </w:r>
    </w:p>
    <w:p>
      <w:pPr>
        <w:pStyle w:val="Indenta"/>
        <w:rPr>
          <w:snapToGrid w:val="0"/>
        </w:rPr>
      </w:pPr>
      <w:r>
        <w:rPr>
          <w:snapToGrid w:val="0"/>
        </w:rPr>
        <w:tab/>
        <w:t>(b)</w:t>
      </w:r>
      <w:r>
        <w:rPr>
          <w:snapToGrid w:val="0"/>
        </w:rPr>
        <w:tab/>
        <w:t>with the consent of the Minister, accept any gift, devise or bequest of real or personal property subject to any trust the objects of which are not substantially different from those for which the Authority is established, and carry out and give effect to the objects of any such trust.</w:t>
      </w:r>
    </w:p>
    <w:p>
      <w:pPr>
        <w:pStyle w:val="Subsection"/>
        <w:rPr>
          <w:snapToGrid w:val="0"/>
        </w:rPr>
      </w:pPr>
      <w:r>
        <w:rPr>
          <w:snapToGrid w:val="0"/>
        </w:rPr>
        <w:tab/>
        <w:t>(2)</w:t>
      </w:r>
      <w:r>
        <w:rPr>
          <w:snapToGrid w:val="0"/>
        </w:rPr>
        <w:tab/>
        <w:t>If the Authority receives any gift, devise or bequest for the purpose of assisting it to provide houses for Government employees and that gift, devise or bequest is subject to any trust, condition or stipulation which cannot by reason of any other provision of this Act be given effect to, the Authority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w:t>
      </w:r>
      <w:r>
        <w:t xml:space="preserve"> duty under the </w:t>
      </w:r>
      <w:r>
        <w:rPr>
          <w:i/>
          <w:iCs/>
        </w:rPr>
        <w:t>Duties Act 2008</w:t>
      </w:r>
      <w:r>
        <w:rPr>
          <w:snapToGrid w:val="0"/>
        </w:rPr>
        <w:t>, probate or estate or succession duty shall be payable on any property given, devised or bequeathed to the Authority.</w:t>
      </w:r>
    </w:p>
    <w:p>
      <w:pPr>
        <w:pStyle w:val="Footnotesection"/>
      </w:pPr>
      <w:r>
        <w:tab/>
        <w:t>[Section 20 amended</w:t>
      </w:r>
      <w:del w:id="116" w:author="svcMRProcess" w:date="2019-01-22T09:29:00Z">
        <w:r>
          <w:delText xml:space="preserve"> by</w:delText>
        </w:r>
      </w:del>
      <w:ins w:id="117" w:author="svcMRProcess" w:date="2019-01-22T09:29:00Z">
        <w:r>
          <w:t>:</w:t>
        </w:r>
      </w:ins>
      <w:r>
        <w:t xml:space="preserve"> No. 12 of 2008 s. 52.]</w:t>
      </w:r>
    </w:p>
    <w:p>
      <w:pPr>
        <w:pStyle w:val="Ednotesection"/>
      </w:pPr>
      <w:bookmarkStart w:id="118" w:name="_Toc122752055"/>
      <w:bookmarkStart w:id="119" w:name="_Toc122752091"/>
      <w:bookmarkStart w:id="120" w:name="_Toc123002589"/>
      <w:bookmarkStart w:id="121" w:name="_Toc131395203"/>
      <w:r>
        <w:t>[</w:t>
      </w:r>
      <w:r>
        <w:rPr>
          <w:b/>
        </w:rPr>
        <w:t>21.</w:t>
      </w:r>
      <w:r>
        <w:tab/>
        <w:t>Deleted</w:t>
      </w:r>
      <w:del w:id="122" w:author="svcMRProcess" w:date="2019-01-22T09:29:00Z">
        <w:r>
          <w:delText xml:space="preserve"> by</w:delText>
        </w:r>
      </w:del>
      <w:ins w:id="123" w:author="svcMRProcess" w:date="2019-01-22T09:29:00Z">
        <w:r>
          <w:t>:</w:t>
        </w:r>
      </w:ins>
      <w:r>
        <w:t xml:space="preserve"> No. 28 of 2006 s. 303.] </w:t>
      </w:r>
    </w:p>
    <w:p>
      <w:pPr>
        <w:pStyle w:val="Heading2"/>
      </w:pPr>
      <w:bookmarkStart w:id="124" w:name="_Toc378664408"/>
      <w:bookmarkStart w:id="125" w:name="_Toc418866937"/>
      <w:bookmarkStart w:id="126" w:name="_Toc139688990"/>
      <w:bookmarkStart w:id="127" w:name="_Toc144183048"/>
      <w:bookmarkStart w:id="128" w:name="_Toc144184690"/>
      <w:bookmarkStart w:id="129" w:name="_Toc147119844"/>
      <w:bookmarkStart w:id="130" w:name="_Toc147199711"/>
      <w:bookmarkStart w:id="131" w:name="_Toc147199735"/>
      <w:bookmarkStart w:id="132" w:name="_Toc157911650"/>
      <w:bookmarkStart w:id="133" w:name="_Toc196120864"/>
      <w:bookmarkStart w:id="134" w:name="_Toc202170930"/>
      <w:r>
        <w:rPr>
          <w:rStyle w:val="CharPartNo"/>
        </w:rPr>
        <w:t>Part IV</w:t>
      </w:r>
      <w:r>
        <w:rPr>
          <w:rStyle w:val="CharDivNo"/>
        </w:rPr>
        <w:t> </w:t>
      </w:r>
      <w:r>
        <w:t>—</w:t>
      </w:r>
      <w:r>
        <w:rPr>
          <w:rStyle w:val="CharDivText"/>
        </w:rPr>
        <w:t> </w:t>
      </w:r>
      <w:r>
        <w:rPr>
          <w:rStyle w:val="CharPartText"/>
        </w:rPr>
        <w:t>Finance</w:t>
      </w:r>
      <w:bookmarkEnd w:id="124"/>
      <w:bookmarkEnd w:id="125"/>
      <w:bookmarkEnd w:id="118"/>
      <w:bookmarkEnd w:id="119"/>
      <w:bookmarkEnd w:id="120"/>
      <w:bookmarkEnd w:id="121"/>
      <w:bookmarkEnd w:id="126"/>
      <w:bookmarkEnd w:id="127"/>
      <w:bookmarkEnd w:id="128"/>
      <w:bookmarkEnd w:id="129"/>
      <w:bookmarkEnd w:id="130"/>
      <w:bookmarkEnd w:id="131"/>
      <w:bookmarkEnd w:id="132"/>
      <w:bookmarkEnd w:id="133"/>
      <w:bookmarkEnd w:id="134"/>
      <w:r>
        <w:rPr>
          <w:rStyle w:val="CharPartText"/>
        </w:rPr>
        <w:t xml:space="preserve"> </w:t>
      </w:r>
    </w:p>
    <w:p>
      <w:pPr>
        <w:pStyle w:val="Heading5"/>
        <w:rPr>
          <w:snapToGrid w:val="0"/>
        </w:rPr>
      </w:pPr>
      <w:bookmarkStart w:id="135" w:name="_Toc378664409"/>
      <w:bookmarkStart w:id="136" w:name="_Toc418866938"/>
      <w:bookmarkStart w:id="137" w:name="_Toc421611511"/>
      <w:bookmarkStart w:id="138" w:name="_Toc503062610"/>
      <w:bookmarkStart w:id="139" w:name="_Toc122752056"/>
      <w:bookmarkStart w:id="140" w:name="_Toc202170931"/>
      <w:r>
        <w:rPr>
          <w:rStyle w:val="CharSectno"/>
        </w:rPr>
        <w:t>22</w:t>
      </w:r>
      <w:r>
        <w:rPr>
          <w:snapToGrid w:val="0"/>
        </w:rPr>
        <w:t>.</w:t>
      </w:r>
      <w:r>
        <w:rPr>
          <w:snapToGrid w:val="0"/>
        </w:rPr>
        <w:tab/>
        <w:t>Power to borrow money</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functions and powers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referred to in subsection (1), including the guarantee of interest, for and on behalf of the Crown in right of the State.</w:t>
      </w:r>
    </w:p>
    <w:p>
      <w:pPr>
        <w:pStyle w:val="Subsection"/>
        <w:rPr>
          <w:snapToGrid w:val="0"/>
        </w:rPr>
      </w:pPr>
      <w:r>
        <w:rPr>
          <w:snapToGrid w:val="0"/>
        </w:rPr>
        <w:tab/>
        <w:t>(4)</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(5)</w:t>
      </w:r>
      <w:r>
        <w:rPr>
          <w:snapToGrid w:val="0"/>
        </w:rPr>
        <w:tab/>
        <w:t>The Authority shall apply and use all moneys borrowed under the power conferred by this section for the purposes of carrying this Act into effect.</w:t>
      </w:r>
    </w:p>
    <w:p>
      <w:pPr>
        <w:pStyle w:val="Heading5"/>
        <w:rPr>
          <w:snapToGrid w:val="0"/>
        </w:rPr>
      </w:pPr>
      <w:bookmarkStart w:id="141" w:name="_Toc378664410"/>
      <w:bookmarkStart w:id="142" w:name="_Toc418866939"/>
      <w:bookmarkStart w:id="143" w:name="_Toc421611512"/>
      <w:bookmarkStart w:id="144" w:name="_Toc503062611"/>
      <w:bookmarkStart w:id="145" w:name="_Toc122752057"/>
      <w:bookmarkStart w:id="146" w:name="_Toc202170932"/>
      <w:r>
        <w:rPr>
          <w:rStyle w:val="CharSectno"/>
        </w:rPr>
        <w:t>23</w:t>
      </w:r>
      <w:r>
        <w:rPr>
          <w:snapToGrid w:val="0"/>
        </w:rPr>
        <w:t>.</w:t>
      </w:r>
      <w:r>
        <w:rPr>
          <w:snapToGrid w:val="0"/>
        </w:rPr>
        <w:tab/>
        <w:t>Funds of Authority</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functions and powers under this Act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borrowed by the Authority under the powers conferred by this Act;</w:t>
      </w:r>
    </w:p>
    <w:p>
      <w:pPr>
        <w:pStyle w:val="Indenta"/>
        <w:rPr>
          <w:snapToGrid w:val="0"/>
        </w:rPr>
      </w:pPr>
      <w:r>
        <w:rPr>
          <w:snapToGrid w:val="0"/>
        </w:rPr>
        <w:tab/>
        <w:t>(c)</w:t>
      </w:r>
      <w:r>
        <w:rPr>
          <w:snapToGrid w:val="0"/>
        </w:rPr>
        <w:tab/>
        <w:t>moneys from time to time received by the Authority from rents derived from letting houses and from the disposal of houses and land pursuant to the provisions of this Act;</w:t>
      </w:r>
    </w:p>
    <w:p>
      <w:pPr>
        <w:pStyle w:val="Indenta"/>
        <w:rPr>
          <w:snapToGrid w:val="0"/>
        </w:rPr>
      </w:pPr>
      <w:r>
        <w:rPr>
          <w:snapToGrid w:val="0"/>
        </w:rPr>
        <w:tab/>
        <w:t>(d)</w:t>
      </w:r>
      <w:r>
        <w:rPr>
          <w:snapToGrid w:val="0"/>
        </w:rPr>
        <w:tab/>
        <w:t>moneys received by way of gifts or legacies for the general purposes of this Act; and</w:t>
      </w:r>
    </w:p>
    <w:p>
      <w:pPr>
        <w:pStyle w:val="Indenta"/>
        <w:rPr>
          <w:snapToGrid w:val="0"/>
        </w:rPr>
      </w:pPr>
      <w:r>
        <w:rPr>
          <w:snapToGrid w:val="0"/>
        </w:rPr>
        <w:tab/>
        <w:t>(e)</w:t>
      </w:r>
      <w:r>
        <w:rPr>
          <w:snapToGrid w:val="0"/>
        </w:rPr>
        <w:tab/>
        <w:t>moneys received by the Authority in any manner and from any source as part of its general revenue, including short term borrowings and temporary advances.</w:t>
      </w:r>
    </w:p>
    <w:p>
      <w:pPr>
        <w:pStyle w:val="Footnotesection"/>
      </w:pPr>
      <w:r>
        <w:tab/>
        <w:t>[Section 23 amended</w:t>
      </w:r>
      <w:del w:id="147" w:author="svcMRProcess" w:date="2019-01-22T09:29:00Z">
        <w:r>
          <w:delText xml:space="preserve"> by</w:delText>
        </w:r>
      </w:del>
      <w:ins w:id="148" w:author="svcMRProcess" w:date="2019-01-22T09:29:00Z">
        <w:r>
          <w:t>:</w:t>
        </w:r>
      </w:ins>
      <w:r>
        <w:t xml:space="preserve"> No. 28 of 2006 s. 304.]</w:t>
      </w:r>
    </w:p>
    <w:p>
      <w:pPr>
        <w:pStyle w:val="Heading5"/>
        <w:rPr>
          <w:snapToGrid w:val="0"/>
        </w:rPr>
      </w:pPr>
      <w:bookmarkStart w:id="149" w:name="_Toc378664411"/>
      <w:bookmarkStart w:id="150" w:name="_Toc418866940"/>
      <w:bookmarkStart w:id="151" w:name="_Toc421611513"/>
      <w:bookmarkStart w:id="152" w:name="_Toc503062612"/>
      <w:bookmarkStart w:id="153" w:name="_Toc122752058"/>
      <w:bookmarkStart w:id="154" w:name="_Toc202170933"/>
      <w:r>
        <w:rPr>
          <w:rStyle w:val="CharSectno"/>
        </w:rPr>
        <w:t>24</w:t>
      </w:r>
      <w:r>
        <w:rPr>
          <w:snapToGrid w:val="0"/>
        </w:rPr>
        <w:t>.</w:t>
      </w:r>
      <w:r>
        <w:rPr>
          <w:snapToGrid w:val="0"/>
        </w:rPr>
        <w:tab/>
        <w:t>Establishment of Government Employees’ Housing Fund</w:t>
      </w:r>
      <w:bookmarkEnd w:id="149"/>
      <w:bookmarkEnd w:id="150"/>
      <w:bookmarkEnd w:id="151"/>
      <w:bookmarkEnd w:id="152"/>
      <w:bookmarkEnd w:id="153"/>
      <w:bookmarkEnd w:id="154"/>
      <w:r>
        <w:rPr>
          <w:snapToGrid w:val="0"/>
        </w:rPr>
        <w:t xml:space="preserve"> </w:t>
      </w:r>
    </w:p>
    <w:p>
      <w:pPr>
        <w:pStyle w:val="Subsection"/>
      </w:pPr>
      <w:r>
        <w:tab/>
        <w:t>(1)</w:t>
      </w:r>
      <w:r>
        <w:tab/>
        <w:t>An agency special purpose account called the Government Employees’ Housing Authority Account i</w:t>
      </w:r>
      <w:r>
        <w:rPr>
          <w:bCs/>
        </w:rPr>
        <w:t xml:space="preserve">s established under section 16 </w:t>
      </w:r>
      <w:r>
        <w:t xml:space="preserve">of the </w:t>
      </w:r>
      <w:r>
        <w:rPr>
          <w:i/>
          <w:iCs/>
        </w:rPr>
        <w:t>Financial Management Act 2006</w:t>
      </w:r>
      <w:r>
        <w:t>.</w:t>
      </w:r>
    </w:p>
    <w:p>
      <w:pPr>
        <w:pStyle w:val="Subsection"/>
        <w:rPr>
          <w:rFonts w:eastAsia="Arial Unicode MS"/>
        </w:rPr>
      </w:pPr>
      <w:r>
        <w:rPr>
          <w:rFonts w:eastAsia="Arial Unicode MS"/>
        </w:rPr>
        <w:tab/>
        <w:t>(1a)</w:t>
      </w:r>
      <w:r>
        <w:rPr>
          <w:rFonts w:eastAsia="Arial Unicode MS"/>
        </w:rPr>
        <w:tab/>
        <w:t>All moneys received by or for the Authority are to be credited to the Account, and all costs of operation and administration of this Act are to be charged to the Account.</w:t>
      </w:r>
    </w:p>
    <w:p>
      <w:pPr>
        <w:pStyle w:val="Subsection"/>
        <w:rPr>
          <w:snapToGrid w:val="0"/>
        </w:rPr>
      </w:pPr>
      <w:r>
        <w:rPr>
          <w:snapToGrid w:val="0"/>
        </w:rPr>
        <w:tab/>
        <w:t>(2)</w:t>
      </w:r>
      <w:r>
        <w:rPr>
          <w:snapToGrid w:val="0"/>
        </w:rPr>
        <w:tab/>
        <w:t>The Account shall be controlled by the Authority and may be operated upon for the purposes in such manner as the Treasurer approves from time to time.</w:t>
      </w:r>
    </w:p>
    <w:p>
      <w:pPr>
        <w:pStyle w:val="Subsection"/>
        <w:rPr>
          <w:snapToGrid w:val="0"/>
        </w:rPr>
      </w:pPr>
      <w:r>
        <w:rPr>
          <w:snapToGrid w:val="0"/>
        </w:rPr>
        <w:tab/>
        <w:t>(3)</w:t>
      </w:r>
      <w:r>
        <w:rPr>
          <w:snapToGrid w:val="0"/>
        </w:rPr>
        <w:tab/>
        <w:t>The expenses incurred by the Authority in carrying out its functions and exercising its powers under this Act and generally in administering this Act shall be charged to the Account, and such expenses shall include interest on and contributions to the sinking fund for the redemption of moneys appropriated by Parliament to the purposes of this Act and moneys borrowed by the Authority under the provisions of this Act.</w:t>
      </w:r>
    </w:p>
    <w:p>
      <w:pPr>
        <w:pStyle w:val="Ednotesubsection"/>
      </w:pPr>
      <w:r>
        <w:tab/>
        <w:t>[(4)</w:t>
      </w:r>
      <w:r>
        <w:tab/>
        <w:t>deleted]</w:t>
      </w:r>
    </w:p>
    <w:p>
      <w:pPr>
        <w:pStyle w:val="Subsection"/>
        <w:rPr>
          <w:snapToGrid w:val="0"/>
        </w:rPr>
      </w:pPr>
      <w:r>
        <w:rPr>
          <w:snapToGrid w:val="0"/>
        </w:rPr>
        <w:tab/>
        <w:t>(5)</w:t>
      </w:r>
      <w:r>
        <w:rPr>
          <w:snapToGrid w:val="0"/>
        </w:rPr>
        <w:tab/>
        <w:t>Any moneys standing to the credit of the Account may, until required for the purposes of this Act, be temporarily invested at the request of the Authority by the Treasurer in any securities approved by the Treasurer, and all interest derived from the investment shall be credited to the Account.</w:t>
      </w:r>
    </w:p>
    <w:p>
      <w:pPr>
        <w:pStyle w:val="Footnotesection"/>
        <w:spacing w:before="100"/>
        <w:ind w:left="890" w:hanging="890"/>
      </w:pPr>
      <w:r>
        <w:tab/>
        <w:t>[Section 24 amended</w:t>
      </w:r>
      <w:del w:id="155" w:author="svcMRProcess" w:date="2019-01-22T09:29:00Z">
        <w:r>
          <w:delText xml:space="preserve"> by</w:delText>
        </w:r>
      </w:del>
      <w:ins w:id="156" w:author="svcMRProcess" w:date="2019-01-22T09:29:00Z">
        <w:r>
          <w:t>:</w:t>
        </w:r>
      </w:ins>
      <w:r>
        <w:t xml:space="preserve"> No. 98 of 1985 s. 3; No. 49 of 1996 s. 64; No. 28 of 2006 s. 305; Correction to reprint in Gazette 9 May 2003 p. 1619; No. 77 of 2006 s. 17.] </w:t>
      </w:r>
    </w:p>
    <w:p>
      <w:pPr>
        <w:pStyle w:val="Heading2"/>
      </w:pPr>
      <w:bookmarkStart w:id="157" w:name="_Toc378664412"/>
      <w:bookmarkStart w:id="158" w:name="_Toc418866941"/>
      <w:bookmarkStart w:id="159" w:name="_Toc122752059"/>
      <w:bookmarkStart w:id="160" w:name="_Toc122752095"/>
      <w:bookmarkStart w:id="161" w:name="_Toc123002593"/>
      <w:bookmarkStart w:id="162" w:name="_Toc131395207"/>
      <w:bookmarkStart w:id="163" w:name="_Toc139688994"/>
      <w:bookmarkStart w:id="164" w:name="_Toc144183052"/>
      <w:bookmarkStart w:id="165" w:name="_Toc144184694"/>
      <w:bookmarkStart w:id="166" w:name="_Toc147119848"/>
      <w:bookmarkStart w:id="167" w:name="_Toc147199715"/>
      <w:bookmarkStart w:id="168" w:name="_Toc147199739"/>
      <w:bookmarkStart w:id="169" w:name="_Toc157911654"/>
      <w:bookmarkStart w:id="170" w:name="_Toc196120868"/>
      <w:bookmarkStart w:id="171" w:name="_Toc202170934"/>
      <w:r>
        <w:rPr>
          <w:rStyle w:val="CharPartNo"/>
        </w:rPr>
        <w:t>Part V</w:t>
      </w:r>
      <w:r>
        <w:rPr>
          <w:rStyle w:val="CharDivNo"/>
        </w:rPr>
        <w:t> </w:t>
      </w:r>
      <w:r>
        <w:t>—</w:t>
      </w:r>
      <w:r>
        <w:rPr>
          <w:rStyle w:val="CharDivText"/>
        </w:rPr>
        <w:t> </w:t>
      </w:r>
      <w:r>
        <w:rPr>
          <w:rStyle w:val="CharPartText"/>
        </w:rPr>
        <w:t>Miscellaneous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PartText"/>
        </w:rPr>
        <w:t xml:space="preserve"> </w:t>
      </w:r>
    </w:p>
    <w:p>
      <w:pPr>
        <w:pStyle w:val="Ednotesection"/>
      </w:pPr>
      <w:r>
        <w:t>[</w:t>
      </w:r>
      <w:r>
        <w:rPr>
          <w:b/>
        </w:rPr>
        <w:t>25.</w:t>
      </w:r>
      <w:r>
        <w:tab/>
        <w:t>Deleted</w:t>
      </w:r>
      <w:del w:id="172" w:author="svcMRProcess" w:date="2019-01-22T09:29:00Z">
        <w:r>
          <w:delText xml:space="preserve"> by</w:delText>
        </w:r>
      </w:del>
      <w:ins w:id="173" w:author="svcMRProcess" w:date="2019-01-22T09:29:00Z">
        <w:r>
          <w:t>:</w:t>
        </w:r>
      </w:ins>
      <w:r>
        <w:t xml:space="preserve"> No. 28 of 2006 s. 306.] </w:t>
      </w:r>
    </w:p>
    <w:p>
      <w:pPr>
        <w:pStyle w:val="Ednotesection"/>
      </w:pPr>
      <w:r>
        <w:t>[</w:t>
      </w:r>
      <w:r>
        <w:rPr>
          <w:b/>
        </w:rPr>
        <w:t>26.</w:t>
      </w:r>
      <w:r>
        <w:tab/>
        <w:t>Deleted</w:t>
      </w:r>
      <w:del w:id="174" w:author="svcMRProcess" w:date="2019-01-22T09:29:00Z">
        <w:r>
          <w:delText xml:space="preserve"> by</w:delText>
        </w:r>
      </w:del>
      <w:ins w:id="175" w:author="svcMRProcess" w:date="2019-01-22T09:29:00Z">
        <w:r>
          <w:t>:</w:t>
        </w:r>
      </w:ins>
      <w:r>
        <w:t xml:space="preserve"> No. 98 of 1985 s. 3.] </w:t>
      </w:r>
    </w:p>
    <w:p>
      <w:pPr>
        <w:pStyle w:val="Heading5"/>
        <w:rPr>
          <w:snapToGrid w:val="0"/>
        </w:rPr>
      </w:pPr>
      <w:bookmarkStart w:id="176" w:name="_Toc378664413"/>
      <w:bookmarkStart w:id="177" w:name="_Toc418866942"/>
      <w:bookmarkStart w:id="178" w:name="_Toc421611515"/>
      <w:bookmarkStart w:id="179" w:name="_Toc503062614"/>
      <w:bookmarkStart w:id="180" w:name="_Toc122752061"/>
      <w:bookmarkStart w:id="181" w:name="_Toc202170935"/>
      <w:r>
        <w:rPr>
          <w:rStyle w:val="CharSectno"/>
        </w:rPr>
        <w:t>27</w:t>
      </w:r>
      <w:r>
        <w:rPr>
          <w:snapToGrid w:val="0"/>
        </w:rPr>
        <w:t>.</w:t>
      </w:r>
      <w:r>
        <w:rPr>
          <w:snapToGrid w:val="0"/>
        </w:rPr>
        <w:tab/>
        <w:t>Exemption from personal liability</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 person who is or has been a member of the Authority, or an officer or agent of the Authority, or who otherwise carries out or exercises or has carried out or exercised any function or power conferred or any duty imposed by this Act, is not personally liable for anything done or omitted in good faith in or in connection with the exercise or purported exercise of any function or power conferred, or the carrying out of any duty imposed, by this Act.</w:t>
      </w:r>
    </w:p>
    <w:p>
      <w:pPr>
        <w:pStyle w:val="Heading5"/>
        <w:rPr>
          <w:snapToGrid w:val="0"/>
        </w:rPr>
      </w:pPr>
      <w:bookmarkStart w:id="182" w:name="_Toc378664414"/>
      <w:bookmarkStart w:id="183" w:name="_Toc418866943"/>
      <w:bookmarkStart w:id="184" w:name="_Toc421611516"/>
      <w:bookmarkStart w:id="185" w:name="_Toc503062615"/>
      <w:bookmarkStart w:id="186" w:name="_Toc122752062"/>
      <w:bookmarkStart w:id="187" w:name="_Toc202170936"/>
      <w:r>
        <w:rPr>
          <w:rStyle w:val="CharSectno"/>
        </w:rPr>
        <w:t>28</w:t>
      </w:r>
      <w:r>
        <w:rPr>
          <w:snapToGrid w:val="0"/>
        </w:rPr>
        <w:t>.</w:t>
      </w:r>
      <w:r>
        <w:rPr>
          <w:snapToGrid w:val="0"/>
        </w:rPr>
        <w:tab/>
        <w:t>Determination of tenancy</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Authority may determine the tenancy of any premises let pursuant to the provisions of this Act in any case where the tenant — </w:t>
      </w:r>
    </w:p>
    <w:p>
      <w:pPr>
        <w:pStyle w:val="Indenta"/>
        <w:rPr>
          <w:snapToGrid w:val="0"/>
        </w:rPr>
      </w:pPr>
      <w:r>
        <w:rPr>
          <w:snapToGrid w:val="0"/>
        </w:rPr>
        <w:tab/>
        <w:t>(a)</w:t>
      </w:r>
      <w:r>
        <w:rPr>
          <w:snapToGrid w:val="0"/>
        </w:rPr>
        <w:tab/>
        <w:t>makes default in payment of any instalment of rent for 14 days after the day upon which that instalment became due;</w:t>
      </w:r>
    </w:p>
    <w:p>
      <w:pPr>
        <w:pStyle w:val="Indenta"/>
        <w:rPr>
          <w:snapToGrid w:val="0"/>
        </w:rPr>
      </w:pPr>
      <w:r>
        <w:rPr>
          <w:snapToGrid w:val="0"/>
        </w:rPr>
        <w:tab/>
        <w:t>(b)</w:t>
      </w:r>
      <w:r>
        <w:rPr>
          <w:snapToGrid w:val="0"/>
        </w:rPr>
        <w:tab/>
        <w:t>fails or neglects to comply with any of his covenants or conditions under the tenancy agreement and such default continues for 14 days;</w:t>
      </w:r>
    </w:p>
    <w:p>
      <w:pPr>
        <w:pStyle w:val="Indenta"/>
        <w:rPr>
          <w:snapToGrid w:val="0"/>
        </w:rPr>
      </w:pPr>
      <w:r>
        <w:rPr>
          <w:snapToGrid w:val="0"/>
        </w:rPr>
        <w:tab/>
        <w:t>(c)</w:t>
      </w:r>
      <w:r>
        <w:rPr>
          <w:snapToGrid w:val="0"/>
        </w:rPr>
        <w:tab/>
        <w:t>ceases to be an employee in a Department; or</w:t>
      </w:r>
    </w:p>
    <w:p>
      <w:pPr>
        <w:pStyle w:val="Indenta"/>
        <w:rPr>
          <w:snapToGrid w:val="0"/>
        </w:rPr>
      </w:pPr>
      <w:r>
        <w:rPr>
          <w:snapToGrid w:val="0"/>
        </w:rPr>
        <w:tab/>
        <w:t>(d)</w:t>
      </w:r>
      <w:r>
        <w:rPr>
          <w:snapToGrid w:val="0"/>
        </w:rPr>
        <w:tab/>
        <w:t xml:space="preserve">is an owner, or the spouse </w:t>
      </w:r>
      <w:r>
        <w:t>or de facto partner</w:t>
      </w:r>
      <w:r>
        <w:rPr>
          <w:snapToGrid w:val="0"/>
        </w:rPr>
        <w:t xml:space="preserve"> of an owner, of land where, in the opinion of the Authority, that tenant might reasonably reside.</w:t>
      </w:r>
    </w:p>
    <w:p>
      <w:pPr>
        <w:pStyle w:val="Subsection"/>
        <w:rPr>
          <w:snapToGrid w:val="0"/>
        </w:rPr>
      </w:pPr>
      <w:r>
        <w:rPr>
          <w:snapToGrid w:val="0"/>
        </w:rPr>
        <w:tab/>
        <w:t>(2)</w:t>
      </w:r>
      <w:r>
        <w:rPr>
          <w:snapToGrid w:val="0"/>
        </w:rPr>
        <w:tab/>
        <w:t>Where the Authority determines a tenancy pursuant to this section, it may give notice in writing to the tenant requiring him to vacate the premises or before a date specified in the notice, and if the tenant fails to vacate the premises on or before the date so specified, any court of summary jurisdiction may upon application made by the Authority or its agent issue a warrant in the prescribed form directed to such person as the court thinks fit requiring that person, within a period to be specified in the warrant, to enter (if need be by force) upon the premises the subject of the tenancy and give possession thereof to the Authority.</w:t>
      </w:r>
    </w:p>
    <w:p>
      <w:pPr>
        <w:pStyle w:val="Subsection"/>
        <w:rPr>
          <w:snapToGrid w:val="0"/>
        </w:rPr>
      </w:pPr>
      <w:r>
        <w:rPr>
          <w:snapToGrid w:val="0"/>
        </w:rPr>
        <w:tab/>
        <w:t>(3)</w:t>
      </w:r>
      <w:r>
        <w:rPr>
          <w:snapToGrid w:val="0"/>
        </w:rPr>
        <w:tab/>
        <w:t>A warrant to a person to give possession of premises under this section shall justify the person named in the warrant in entering upon the premises with such assistance as he thinks necessary, and in giving possession accordingly.</w:t>
      </w:r>
    </w:p>
    <w:p>
      <w:pPr>
        <w:pStyle w:val="Subsection"/>
        <w:rPr>
          <w:snapToGrid w:val="0"/>
        </w:rPr>
      </w:pPr>
      <w:r>
        <w:rPr>
          <w:snapToGrid w:val="0"/>
        </w:rPr>
        <w:tab/>
        <w:t>(4)</w:t>
      </w:r>
      <w:r>
        <w:rPr>
          <w:snapToGrid w:val="0"/>
        </w:rPr>
        <w:tab/>
        <w:t xml:space="preserve">For the purpose of subsection (1)(d) </w:t>
      </w:r>
      <w:r>
        <w:rPr>
          <w:rStyle w:val="CharDefText"/>
        </w:rPr>
        <w:t>owner</w:t>
      </w:r>
      <w:r>
        <w:rPr>
          <w:snapToGrid w:val="0"/>
        </w:rPr>
        <w:t>, in relation to any land, means — </w:t>
      </w:r>
    </w:p>
    <w:p>
      <w:pPr>
        <w:pStyle w:val="Indenta"/>
        <w:rPr>
          <w:snapToGrid w:val="0"/>
        </w:rPr>
      </w:pPr>
      <w:r>
        <w:rPr>
          <w:snapToGrid w:val="0"/>
        </w:rPr>
        <w:tab/>
        <w:t>(a)</w:t>
      </w:r>
      <w:r>
        <w:rPr>
          <w:snapToGrid w:val="0"/>
        </w:rPr>
        <w:tab/>
        <w:t>a person authorised by the Crown to occupy land vested in the Crown pursuant to any lease, licence, concession or any other arrangement;</w:t>
      </w:r>
    </w:p>
    <w:p>
      <w:pPr>
        <w:pStyle w:val="Indenta"/>
        <w:rPr>
          <w:snapToGrid w:val="0"/>
        </w:rPr>
      </w:pPr>
      <w:r>
        <w:rPr>
          <w:snapToGrid w:val="0"/>
        </w:rPr>
        <w:tab/>
        <w:t>(b)</w:t>
      </w:r>
      <w:r>
        <w:rPr>
          <w:snapToGrid w:val="0"/>
        </w:rPr>
        <w:tab/>
        <w:t>a person entitled to the use, occupation and enjoyment of land of which a corporation is the registered proprietor in fee simple, or a specific part of that land, by virtue of a shareholding in that corporation held by that person expressly conferring that entitlement;</w:t>
      </w:r>
    </w:p>
    <w:p>
      <w:pPr>
        <w:pStyle w:val="Indenta"/>
        <w:rPr>
          <w:snapToGrid w:val="0"/>
        </w:rPr>
      </w:pPr>
      <w:r>
        <w:rPr>
          <w:snapToGrid w:val="0"/>
        </w:rPr>
        <w:tab/>
        <w:t>(c)</w:t>
      </w:r>
      <w:r>
        <w:rPr>
          <w:snapToGrid w:val="0"/>
        </w:rPr>
        <w:tab/>
        <w:t>a person entitled to — </w:t>
      </w:r>
    </w:p>
    <w:p>
      <w:pPr>
        <w:pStyle w:val="Indenti"/>
        <w:rPr>
          <w:snapToGrid w:val="0"/>
        </w:rPr>
      </w:pPr>
      <w:r>
        <w:rPr>
          <w:snapToGrid w:val="0"/>
        </w:rPr>
        <w:tab/>
        <w:t>(i)</w:t>
      </w:r>
      <w:r>
        <w:rPr>
          <w:snapToGrid w:val="0"/>
        </w:rPr>
        <w:tab/>
        <w:t>receive the rent of the land;</w:t>
      </w:r>
    </w:p>
    <w:p>
      <w:pPr>
        <w:pStyle w:val="Indenti"/>
        <w:rPr>
          <w:snapToGrid w:val="0"/>
        </w:rPr>
      </w:pPr>
      <w:r>
        <w:rPr>
          <w:snapToGrid w:val="0"/>
        </w:rPr>
        <w:tab/>
        <w:t>(ii)</w:t>
      </w:r>
      <w:r>
        <w:rPr>
          <w:snapToGrid w:val="0"/>
        </w:rPr>
        <w:tab/>
        <w:t>receive the rent of the land if the land were let at a rent; or</w:t>
      </w:r>
    </w:p>
    <w:p>
      <w:pPr>
        <w:pStyle w:val="Indenti"/>
        <w:rPr>
          <w:snapToGrid w:val="0"/>
        </w:rPr>
      </w:pPr>
      <w:r>
        <w:rPr>
          <w:snapToGrid w:val="0"/>
        </w:rPr>
        <w:tab/>
        <w:t>(iii)</w:t>
      </w:r>
      <w:r>
        <w:rPr>
          <w:snapToGrid w:val="0"/>
        </w:rPr>
        <w:tab/>
        <w:t xml:space="preserve">possession of the land for the time being as a beneficiary under a deceased estate or as a life tenant;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has agreed to purchase the land under a contract of sale, notwithstanding that title to that land has not passed to that person from the vendor.</w:t>
      </w:r>
    </w:p>
    <w:p>
      <w:pPr>
        <w:pStyle w:val="Footnotesection"/>
      </w:pPr>
      <w:r>
        <w:tab/>
        <w:t>[Section 28 amended</w:t>
      </w:r>
      <w:del w:id="188" w:author="svcMRProcess" w:date="2019-01-22T09:29:00Z">
        <w:r>
          <w:delText xml:space="preserve"> by</w:delText>
        </w:r>
      </w:del>
      <w:ins w:id="189" w:author="svcMRProcess" w:date="2019-01-22T09:29:00Z">
        <w:r>
          <w:t>:</w:t>
        </w:r>
      </w:ins>
      <w:r>
        <w:t xml:space="preserve"> No. 62 of 1987 s. 8; No. 28 of 2003 s. 71.]</w:t>
      </w:r>
    </w:p>
    <w:p>
      <w:pPr>
        <w:pStyle w:val="Heading5"/>
        <w:rPr>
          <w:snapToGrid w:val="0"/>
        </w:rPr>
      </w:pPr>
      <w:bookmarkStart w:id="190" w:name="_Toc378664415"/>
      <w:bookmarkStart w:id="191" w:name="_Toc418866944"/>
      <w:bookmarkStart w:id="192" w:name="_Toc421611517"/>
      <w:bookmarkStart w:id="193" w:name="_Toc503062616"/>
      <w:bookmarkStart w:id="194" w:name="_Toc122752063"/>
      <w:bookmarkStart w:id="195" w:name="_Toc202170937"/>
      <w:r>
        <w:rPr>
          <w:rStyle w:val="CharSectno"/>
        </w:rPr>
        <w:t>29</w:t>
      </w:r>
      <w:r>
        <w:rPr>
          <w:snapToGrid w:val="0"/>
        </w:rPr>
        <w:t>.</w:t>
      </w:r>
      <w:r>
        <w:rPr>
          <w:snapToGrid w:val="0"/>
        </w:rPr>
        <w:tab/>
        <w:t>Regulations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contemplated, required or permitted to be prescribed or that may in his opinion be necessary or expedient to be prescribed for enabling the functions of the Authority to be carried out, or for carrying out or giving effect to the objects and purposes of this Act.</w:t>
      </w:r>
    </w:p>
    <w:p>
      <w:pPr>
        <w:pStyle w:val="Subsection"/>
        <w:rPr>
          <w:snapToGrid w:val="0"/>
        </w:rPr>
      </w:pPr>
      <w:r>
        <w:rPr>
          <w:snapToGrid w:val="0"/>
        </w:rPr>
        <w:tab/>
        <w:t>(2)</w:t>
      </w:r>
      <w:r>
        <w:rPr>
          <w:snapToGrid w:val="0"/>
        </w:rPr>
        <w:tab/>
        <w:t>Regulations made under this Act may impose a fine of $40 for the breach of any regulation.</w:t>
      </w:r>
    </w:p>
    <w:p>
      <w:pPr>
        <w:pStyle w:val="Footnotesection"/>
      </w:pPr>
      <w:bookmarkStart w:id="196" w:name="_Toc421611518"/>
      <w:r>
        <w:tab/>
        <w:t>[Section 29 amended</w:t>
      </w:r>
      <w:del w:id="197" w:author="svcMRProcess" w:date="2019-01-22T09:29:00Z">
        <w:r>
          <w:delText xml:space="preserve"> by</w:delText>
        </w:r>
      </w:del>
      <w:ins w:id="198" w:author="svcMRProcess" w:date="2019-01-22T09:29:00Z">
        <w:r>
          <w:t>:</w:t>
        </w:r>
      </w:ins>
      <w:r>
        <w:t xml:space="preserve"> No. 113 of 1965 s. 8(1).]</w:t>
      </w:r>
    </w:p>
    <w:p>
      <w:pPr>
        <w:pStyle w:val="Heading5"/>
        <w:rPr>
          <w:snapToGrid w:val="0"/>
        </w:rPr>
      </w:pPr>
      <w:bookmarkStart w:id="199" w:name="_Toc378664416"/>
      <w:bookmarkStart w:id="200" w:name="_Toc418866945"/>
      <w:bookmarkStart w:id="201" w:name="_Toc503062617"/>
      <w:bookmarkStart w:id="202" w:name="_Toc122752064"/>
      <w:bookmarkStart w:id="203" w:name="_Toc202170938"/>
      <w:r>
        <w:rPr>
          <w:rStyle w:val="CharSectno"/>
        </w:rPr>
        <w:t>30</w:t>
      </w:r>
      <w:r>
        <w:rPr>
          <w:snapToGrid w:val="0"/>
        </w:rPr>
        <w:t>.</w:t>
      </w:r>
      <w:r>
        <w:rPr>
          <w:snapToGrid w:val="0"/>
        </w:rPr>
        <w:tab/>
        <w:t>Review of Act</w:t>
      </w:r>
      <w:bookmarkEnd w:id="199"/>
      <w:bookmarkEnd w:id="200"/>
      <w:bookmarkEnd w:id="196"/>
      <w:bookmarkEnd w:id="201"/>
      <w:bookmarkEnd w:id="202"/>
      <w:bookmarkEnd w:id="203"/>
      <w:r>
        <w:rPr>
          <w:snapToGrid w:val="0"/>
        </w:rPr>
        <w:t xml:space="preserve"> </w:t>
      </w:r>
    </w:p>
    <w:p>
      <w:pPr>
        <w:pStyle w:val="Subsection"/>
        <w:rPr>
          <w:snapToGrid w:val="0"/>
        </w:rPr>
      </w:pPr>
      <w:r>
        <w:rPr>
          <w:snapToGrid w:val="0"/>
        </w:rPr>
        <w:tab/>
        <w:t>(1)</w:t>
      </w:r>
      <w:r>
        <w:rPr>
          <w:snapToGrid w:val="0"/>
        </w:rPr>
        <w:tab/>
        <w:t>As soon as practicable after 1 July 1992, and every 5 years thereafter, the Minister shall cause an investigation and review to be conducted, and a report to be prepared, as to 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practicable after it is completed.</w:t>
      </w:r>
    </w:p>
    <w:p>
      <w:pPr>
        <w:pStyle w:val="Footnotesection"/>
      </w:pPr>
      <w:r>
        <w:tab/>
        <w:t>[Section 30 inserted</w:t>
      </w:r>
      <w:del w:id="204" w:author="svcMRProcess" w:date="2019-01-22T09:29:00Z">
        <w:r>
          <w:delText xml:space="preserve"> by</w:delText>
        </w:r>
      </w:del>
      <w:ins w:id="205" w:author="svcMRProcess" w:date="2019-01-22T09:29:00Z">
        <w:r>
          <w:t>:</w:t>
        </w:r>
      </w:ins>
      <w:r>
        <w:t xml:space="preserve"> No. 62 of 1987 s. 9.]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6" w:name="_Toc378664417"/>
      <w:bookmarkStart w:id="207" w:name="_Toc418866946"/>
      <w:bookmarkStart w:id="208" w:name="_Toc89163345"/>
      <w:bookmarkStart w:id="209" w:name="_Toc92789104"/>
      <w:bookmarkStart w:id="210" w:name="_Toc93305511"/>
      <w:bookmarkStart w:id="211" w:name="_Toc101845082"/>
      <w:bookmarkStart w:id="212" w:name="_Toc142809325"/>
      <w:bookmarkStart w:id="213" w:name="_Toc147119853"/>
      <w:bookmarkStart w:id="214" w:name="_Toc147199720"/>
      <w:bookmarkStart w:id="215" w:name="_Toc147199744"/>
      <w:bookmarkStart w:id="216" w:name="_Toc157911659"/>
      <w:bookmarkStart w:id="217" w:name="_Toc196120873"/>
      <w:bookmarkStart w:id="218" w:name="_Toc202170939"/>
      <w:r>
        <w:t>Notes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Employees’ Housing Act 1964</w:t>
      </w:r>
      <w:r>
        <w:rPr>
          <w:snapToGrid w:val="0"/>
        </w:rPr>
        <w:t xml:space="preserve"> and includes the amendments made by the other written laws referred to in the following table</w:t>
      </w:r>
      <w:del w:id="219" w:author="svcMRProcess" w:date="2019-01-22T09:29:00Z">
        <w:r>
          <w:rPr>
            <w:snapToGrid w:val="0"/>
            <w:vertAlign w:val="superscript"/>
          </w:rPr>
          <w:delText> 1a</w:delText>
        </w:r>
      </w:del>
      <w:r>
        <w:rPr>
          <w:snapToGrid w:val="0"/>
        </w:rPr>
        <w:t>.  The table also contains information about any reprint.</w:t>
      </w:r>
    </w:p>
    <w:p>
      <w:pPr>
        <w:pStyle w:val="nHeading3"/>
        <w:rPr>
          <w:snapToGrid w:val="0"/>
        </w:rPr>
      </w:pPr>
      <w:bookmarkStart w:id="220" w:name="_Toc378664418"/>
      <w:bookmarkStart w:id="221" w:name="_Toc418866947"/>
      <w:bookmarkStart w:id="222" w:name="_Toc202170940"/>
      <w:r>
        <w:rPr>
          <w:snapToGrid w:val="0"/>
        </w:rPr>
        <w:t>Compilation table</w:t>
      </w:r>
      <w:bookmarkEnd w:id="220"/>
      <w:bookmarkEnd w:id="221"/>
      <w:bookmarkEnd w:id="222"/>
    </w:p>
    <w:tbl>
      <w:tblPr>
        <w:tblW w:w="7087" w:type="dxa"/>
        <w:tblInd w:w="28" w:type="dxa"/>
        <w:tblLayout w:type="fixed"/>
        <w:tblCellMar>
          <w:left w:w="56" w:type="dxa"/>
          <w:right w:w="56" w:type="dxa"/>
        </w:tblCellMar>
        <w:tblLook w:val="0000" w:firstRow="0" w:lastRow="0" w:firstColumn="0" w:lastColumn="0" w:noHBand="0" w:noVBand="0"/>
      </w:tblPr>
      <w:tblGrid>
        <w:gridCol w:w="2263"/>
        <w:gridCol w:w="1134"/>
        <w:gridCol w:w="1131"/>
        <w:gridCol w:w="2559"/>
      </w:tblGrid>
      <w:tr>
        <w:trPr>
          <w:cantSplit/>
          <w:tblHeader/>
        </w:trPr>
        <w:tc>
          <w:tcPr>
            <w:tcW w:w="2263"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1" w:type="dxa"/>
            <w:tcBorders>
              <w:top w:val="single" w:sz="8" w:space="0" w:color="auto"/>
              <w:bottom w:val="single" w:sz="8" w:space="0" w:color="auto"/>
            </w:tcBorders>
          </w:tcPr>
          <w:p>
            <w:pPr>
              <w:pStyle w:val="nTable"/>
              <w:spacing w:after="40"/>
              <w:rPr>
                <w:b/>
              </w:rPr>
            </w:pPr>
            <w:r>
              <w:rPr>
                <w:b/>
              </w:rPr>
              <w:t>Assent</w:t>
            </w:r>
          </w:p>
        </w:tc>
        <w:tc>
          <w:tcPr>
            <w:tcW w:w="2559" w:type="dxa"/>
            <w:tcBorders>
              <w:top w:val="single" w:sz="8" w:space="0" w:color="auto"/>
              <w:bottom w:val="single" w:sz="8" w:space="0" w:color="auto"/>
            </w:tcBorders>
          </w:tcPr>
          <w:p>
            <w:pPr>
              <w:pStyle w:val="nTable"/>
              <w:spacing w:after="40"/>
              <w:rPr>
                <w:b/>
              </w:rPr>
            </w:pPr>
            <w:r>
              <w:rPr>
                <w:b/>
              </w:rPr>
              <w:t>Commencement</w:t>
            </w:r>
          </w:p>
        </w:tc>
      </w:tr>
      <w:tr>
        <w:trPr>
          <w:cantSplit/>
        </w:trPr>
        <w:tc>
          <w:tcPr>
            <w:tcW w:w="2263" w:type="dxa"/>
          </w:tcPr>
          <w:p>
            <w:pPr>
              <w:pStyle w:val="nTable"/>
              <w:spacing w:after="40"/>
              <w:ind w:right="113"/>
            </w:pPr>
            <w:r>
              <w:rPr>
                <w:i/>
              </w:rPr>
              <w:t>Government Employees’ Housing Act 1964</w:t>
            </w:r>
          </w:p>
        </w:tc>
        <w:tc>
          <w:tcPr>
            <w:tcW w:w="1134" w:type="dxa"/>
          </w:tcPr>
          <w:p>
            <w:pPr>
              <w:pStyle w:val="nTable"/>
              <w:spacing w:after="40"/>
            </w:pPr>
            <w:r>
              <w:t>95 of 1964 (13 Eliz. II No. 95)</w:t>
            </w:r>
          </w:p>
        </w:tc>
        <w:tc>
          <w:tcPr>
            <w:tcW w:w="1131" w:type="dxa"/>
          </w:tcPr>
          <w:p>
            <w:pPr>
              <w:pStyle w:val="nTable"/>
              <w:spacing w:after="40"/>
            </w:pPr>
            <w:r>
              <w:t>14 Dec 1964</w:t>
            </w:r>
          </w:p>
        </w:tc>
        <w:tc>
          <w:tcPr>
            <w:tcW w:w="2559" w:type="dxa"/>
          </w:tcPr>
          <w:p>
            <w:pPr>
              <w:pStyle w:val="nTable"/>
              <w:spacing w:after="40"/>
            </w:pPr>
            <w:r>
              <w:t xml:space="preserve">2 Aug 1965 (see s. 2 and </w:t>
            </w:r>
            <w:r>
              <w:rPr>
                <w:i/>
              </w:rPr>
              <w:t>Gazette</w:t>
            </w:r>
            <w:r>
              <w:t xml:space="preserve"> 23 Jul 1965 p. 2133)</w:t>
            </w:r>
          </w:p>
        </w:tc>
      </w:tr>
      <w:tr>
        <w:trPr>
          <w:cantSplit/>
        </w:trPr>
        <w:tc>
          <w:tcPr>
            <w:tcW w:w="2263" w:type="dxa"/>
          </w:tcPr>
          <w:p>
            <w:pPr>
              <w:pStyle w:val="nTable"/>
              <w:spacing w:after="40"/>
              <w:ind w:right="113"/>
              <w:rPr>
                <w:i/>
              </w:rPr>
            </w:pPr>
            <w:r>
              <w:rPr>
                <w:i/>
              </w:rPr>
              <w:t>Decimal Currency Act 1965</w:t>
            </w:r>
          </w:p>
        </w:tc>
        <w:tc>
          <w:tcPr>
            <w:tcW w:w="1134" w:type="dxa"/>
          </w:tcPr>
          <w:p>
            <w:pPr>
              <w:pStyle w:val="nTable"/>
              <w:spacing w:after="40"/>
            </w:pPr>
            <w:r>
              <w:t>113 of 1965</w:t>
            </w:r>
          </w:p>
        </w:tc>
        <w:tc>
          <w:tcPr>
            <w:tcW w:w="1131" w:type="dxa"/>
          </w:tcPr>
          <w:p>
            <w:pPr>
              <w:pStyle w:val="nTable"/>
              <w:spacing w:after="40"/>
            </w:pPr>
            <w:r>
              <w:t>21 Dec 1965</w:t>
            </w:r>
          </w:p>
        </w:tc>
        <w:tc>
          <w:tcPr>
            <w:tcW w:w="2559" w:type="dxa"/>
          </w:tcPr>
          <w:p>
            <w:pPr>
              <w:pStyle w:val="nTable"/>
              <w:spacing w:after="40"/>
            </w:pPr>
            <w:r>
              <w:t>Act other than s. 4-9: 21 Dec 1965 (see s. 2(1));</w:t>
            </w:r>
            <w:r>
              <w:br/>
              <w:t>s. 4-9: 14 Feb 1966 (see s. 2(2))</w:t>
            </w:r>
          </w:p>
        </w:tc>
      </w:tr>
      <w:tr>
        <w:trPr>
          <w:cantSplit/>
        </w:trPr>
        <w:tc>
          <w:tcPr>
            <w:tcW w:w="2263" w:type="dxa"/>
          </w:tcPr>
          <w:p>
            <w:pPr>
              <w:pStyle w:val="nTable"/>
              <w:spacing w:after="40"/>
              <w:ind w:right="113"/>
              <w:rPr>
                <w:i/>
              </w:rPr>
            </w:pPr>
            <w:r>
              <w:rPr>
                <w:i/>
              </w:rPr>
              <w:t>Government Employees’ Housing Act Amendment Act 1973</w:t>
            </w:r>
          </w:p>
        </w:tc>
        <w:tc>
          <w:tcPr>
            <w:tcW w:w="1134" w:type="dxa"/>
          </w:tcPr>
          <w:p>
            <w:pPr>
              <w:pStyle w:val="nTable"/>
              <w:spacing w:after="40"/>
            </w:pPr>
            <w:r>
              <w:t>3 of 1973</w:t>
            </w:r>
          </w:p>
        </w:tc>
        <w:tc>
          <w:tcPr>
            <w:tcW w:w="1131" w:type="dxa"/>
          </w:tcPr>
          <w:p>
            <w:pPr>
              <w:pStyle w:val="nTable"/>
              <w:spacing w:after="40"/>
            </w:pPr>
            <w:r>
              <w:t>21 May 1973</w:t>
            </w:r>
          </w:p>
        </w:tc>
        <w:tc>
          <w:tcPr>
            <w:tcW w:w="2559" w:type="dxa"/>
          </w:tcPr>
          <w:p>
            <w:pPr>
              <w:pStyle w:val="nTable"/>
              <w:spacing w:after="40"/>
            </w:pPr>
            <w:r>
              <w:t>21 May 1973</w:t>
            </w:r>
          </w:p>
        </w:tc>
      </w:tr>
      <w:tr>
        <w:trPr>
          <w:cantSplit/>
        </w:trPr>
        <w:tc>
          <w:tcPr>
            <w:tcW w:w="2263"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1" w:type="dxa"/>
          </w:tcPr>
          <w:p>
            <w:pPr>
              <w:pStyle w:val="nTable"/>
              <w:spacing w:after="40"/>
            </w:pPr>
            <w:r>
              <w:t>4 Dec 1985</w:t>
            </w:r>
          </w:p>
        </w:tc>
        <w:tc>
          <w:tcPr>
            <w:tcW w:w="2559" w:type="dxa"/>
          </w:tcPr>
          <w:p>
            <w:pPr>
              <w:pStyle w:val="nTable"/>
              <w:spacing w:after="40"/>
            </w:pPr>
            <w:r>
              <w:t xml:space="preserve">1 Jul 1986 (see s. 2 and </w:t>
            </w:r>
            <w:r>
              <w:rPr>
                <w:i/>
              </w:rPr>
              <w:t>Gazette</w:t>
            </w:r>
            <w:r>
              <w:t xml:space="preserve"> 30 Jun 1986 p. 2255)</w:t>
            </w:r>
          </w:p>
        </w:tc>
      </w:tr>
      <w:tr>
        <w:trPr>
          <w:cantSplit/>
        </w:trPr>
        <w:tc>
          <w:tcPr>
            <w:tcW w:w="2263" w:type="dxa"/>
          </w:tcPr>
          <w:p>
            <w:pPr>
              <w:pStyle w:val="nTable"/>
              <w:spacing w:after="40"/>
              <w:ind w:right="113"/>
              <w:rPr>
                <w:iCs/>
              </w:rPr>
            </w:pPr>
            <w:r>
              <w:rPr>
                <w:i/>
              </w:rPr>
              <w:t>Government Employees’ Housing Amendment Act 1987</w:t>
            </w:r>
            <w:r>
              <w:rPr>
                <w:iCs/>
                <w:vertAlign w:val="superscript"/>
              </w:rPr>
              <w:t> 2</w:t>
            </w:r>
          </w:p>
        </w:tc>
        <w:tc>
          <w:tcPr>
            <w:tcW w:w="1134" w:type="dxa"/>
          </w:tcPr>
          <w:p>
            <w:pPr>
              <w:pStyle w:val="nTable"/>
              <w:spacing w:after="40"/>
            </w:pPr>
            <w:r>
              <w:t>62 of 1987</w:t>
            </w:r>
          </w:p>
        </w:tc>
        <w:tc>
          <w:tcPr>
            <w:tcW w:w="1131" w:type="dxa"/>
          </w:tcPr>
          <w:p>
            <w:pPr>
              <w:pStyle w:val="nTable"/>
              <w:spacing w:after="40"/>
            </w:pPr>
            <w:r>
              <w:t>13 Nov 1987</w:t>
            </w:r>
          </w:p>
        </w:tc>
        <w:tc>
          <w:tcPr>
            <w:tcW w:w="2559" w:type="dxa"/>
          </w:tcPr>
          <w:p>
            <w:pPr>
              <w:pStyle w:val="nTable"/>
              <w:spacing w:after="40"/>
            </w:pPr>
            <w:r>
              <w:t>Act other than s. 4-6: 13 Nov 1987;</w:t>
            </w:r>
            <w:r>
              <w:br/>
              <w:t xml:space="preserve">s. 4-6: 22 Apr 1988 (see s. 2 and </w:t>
            </w:r>
            <w:r>
              <w:rPr>
                <w:i/>
              </w:rPr>
              <w:t>Gazette</w:t>
            </w:r>
            <w:r>
              <w:t xml:space="preserve"> 22 Apr 1988 p. 1219)</w:t>
            </w:r>
          </w:p>
        </w:tc>
      </w:tr>
      <w:tr>
        <w:trPr>
          <w:cantSplit/>
        </w:trPr>
        <w:tc>
          <w:tcPr>
            <w:tcW w:w="2263"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1" w:type="dxa"/>
          </w:tcPr>
          <w:p>
            <w:pPr>
              <w:pStyle w:val="nTable"/>
              <w:spacing w:after="40"/>
            </w:pPr>
            <w:r>
              <w:t>29 Jun 1994</w:t>
            </w:r>
          </w:p>
        </w:tc>
        <w:tc>
          <w:tcPr>
            <w:tcW w:w="2559" w:type="dxa"/>
          </w:tcPr>
          <w:p>
            <w:pPr>
              <w:pStyle w:val="nTable"/>
              <w:spacing w:after="40"/>
            </w:pPr>
            <w:r>
              <w:t xml:space="preserve">1 Oct 1994 (see s. 2 and </w:t>
            </w:r>
            <w:r>
              <w:rPr>
                <w:i/>
              </w:rPr>
              <w:t>Gazette</w:t>
            </w:r>
            <w:r>
              <w:t xml:space="preserve"> 30 Sep 1994 p. 4948)</w:t>
            </w:r>
          </w:p>
        </w:tc>
      </w:tr>
      <w:tr>
        <w:trPr>
          <w:cantSplit/>
        </w:trPr>
        <w:tc>
          <w:tcPr>
            <w:tcW w:w="2263" w:type="dxa"/>
          </w:tcPr>
          <w:p>
            <w:pPr>
              <w:pStyle w:val="nTable"/>
              <w:spacing w:after="40"/>
              <w:ind w:right="113"/>
            </w:pPr>
            <w:r>
              <w:rPr>
                <w:i/>
              </w:rPr>
              <w:t>Industrial Legislation Amendment Act 1995</w:t>
            </w:r>
            <w:r>
              <w:t xml:space="preserve"> s. 24</w:t>
            </w:r>
          </w:p>
        </w:tc>
        <w:tc>
          <w:tcPr>
            <w:tcW w:w="1134" w:type="dxa"/>
          </w:tcPr>
          <w:p>
            <w:pPr>
              <w:pStyle w:val="nTable"/>
              <w:spacing w:after="40"/>
            </w:pPr>
            <w:r>
              <w:t>1 of 1995</w:t>
            </w:r>
          </w:p>
        </w:tc>
        <w:tc>
          <w:tcPr>
            <w:tcW w:w="1131" w:type="dxa"/>
          </w:tcPr>
          <w:p>
            <w:pPr>
              <w:pStyle w:val="nTable"/>
              <w:spacing w:after="40"/>
            </w:pPr>
            <w:r>
              <w:t>9 May 1995</w:t>
            </w:r>
          </w:p>
        </w:tc>
        <w:tc>
          <w:tcPr>
            <w:tcW w:w="2559" w:type="dxa"/>
          </w:tcPr>
          <w:p>
            <w:pPr>
              <w:pStyle w:val="nTable"/>
              <w:spacing w:after="40"/>
            </w:pPr>
            <w:r>
              <w:t>9 May 1995 (see s. 2)</w:t>
            </w:r>
          </w:p>
        </w:tc>
      </w:tr>
      <w:tr>
        <w:trPr>
          <w:cantSplit/>
        </w:trPr>
        <w:tc>
          <w:tcPr>
            <w:tcW w:w="2263" w:type="dxa"/>
          </w:tcPr>
          <w:p>
            <w:pPr>
              <w:pStyle w:val="nTable"/>
              <w:spacing w:after="40"/>
              <w:ind w:right="113"/>
            </w:pPr>
            <w:r>
              <w:rPr>
                <w:i/>
              </w:rPr>
              <w:t>Education Amendment Act 1996</w:t>
            </w:r>
            <w:r>
              <w:t xml:space="preserve"> s. 16(5)</w:t>
            </w:r>
          </w:p>
        </w:tc>
        <w:tc>
          <w:tcPr>
            <w:tcW w:w="1134" w:type="dxa"/>
          </w:tcPr>
          <w:p>
            <w:pPr>
              <w:pStyle w:val="nTable"/>
              <w:spacing w:after="40"/>
            </w:pPr>
            <w:r>
              <w:t>22 of 1996</w:t>
            </w:r>
          </w:p>
        </w:tc>
        <w:tc>
          <w:tcPr>
            <w:tcW w:w="1131" w:type="dxa"/>
          </w:tcPr>
          <w:p>
            <w:pPr>
              <w:pStyle w:val="nTable"/>
              <w:spacing w:after="40"/>
            </w:pPr>
            <w:r>
              <w:t>11 Jul 1996</w:t>
            </w:r>
          </w:p>
        </w:tc>
        <w:tc>
          <w:tcPr>
            <w:tcW w:w="2559" w:type="dxa"/>
          </w:tcPr>
          <w:p>
            <w:pPr>
              <w:pStyle w:val="nTable"/>
              <w:spacing w:after="40"/>
            </w:pPr>
            <w:r>
              <w:t>11 Jul 1996 (see s. 2(1))</w:t>
            </w:r>
          </w:p>
        </w:tc>
      </w:tr>
      <w:tr>
        <w:trPr>
          <w:cantSplit/>
        </w:trPr>
        <w:tc>
          <w:tcPr>
            <w:tcW w:w="2263"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1" w:type="dxa"/>
          </w:tcPr>
          <w:p>
            <w:pPr>
              <w:pStyle w:val="nTable"/>
              <w:spacing w:after="40"/>
            </w:pPr>
            <w:r>
              <w:t>25 Oct 1996</w:t>
            </w:r>
          </w:p>
        </w:tc>
        <w:tc>
          <w:tcPr>
            <w:tcW w:w="2559" w:type="dxa"/>
          </w:tcPr>
          <w:p>
            <w:pPr>
              <w:pStyle w:val="nTable"/>
              <w:spacing w:after="40"/>
            </w:pPr>
            <w:r>
              <w:t>25 Oct 1996 (see s. 2(1))</w:t>
            </w:r>
          </w:p>
        </w:tc>
      </w:tr>
      <w:tr>
        <w:trPr>
          <w:cantSplit/>
        </w:trPr>
        <w:tc>
          <w:tcPr>
            <w:tcW w:w="2263"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1" w:type="dxa"/>
          </w:tcPr>
          <w:p>
            <w:pPr>
              <w:pStyle w:val="nTable"/>
              <w:spacing w:after="40"/>
            </w:pPr>
            <w:r>
              <w:t>30 Apr 1998</w:t>
            </w:r>
          </w:p>
        </w:tc>
        <w:tc>
          <w:tcPr>
            <w:tcW w:w="2559" w:type="dxa"/>
          </w:tcPr>
          <w:p>
            <w:pPr>
              <w:pStyle w:val="nTable"/>
              <w:spacing w:after="40"/>
            </w:pPr>
            <w:r>
              <w:t>30 Apr 1998 (see s. 2(1))</w:t>
            </w:r>
          </w:p>
        </w:tc>
      </w:tr>
      <w:tr>
        <w:trPr>
          <w:cantSplit/>
        </w:trPr>
        <w:tc>
          <w:tcPr>
            <w:tcW w:w="2263"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1" w:type="dxa"/>
          </w:tcPr>
          <w:p>
            <w:pPr>
              <w:pStyle w:val="nTable"/>
              <w:spacing w:after="40"/>
            </w:pPr>
            <w:r>
              <w:t>2 Nov 1999</w:t>
            </w:r>
          </w:p>
        </w:tc>
        <w:tc>
          <w:tcPr>
            <w:tcW w:w="2559" w:type="dxa"/>
          </w:tcPr>
          <w:p>
            <w:pPr>
              <w:pStyle w:val="nTable"/>
              <w:spacing w:after="40"/>
            </w:pPr>
            <w:r>
              <w:t xml:space="preserve">1 Jan 2001 (see s. 2 and </w:t>
            </w:r>
            <w:r>
              <w:rPr>
                <w:i/>
              </w:rPr>
              <w:t>Gazette</w:t>
            </w:r>
            <w:r>
              <w:t xml:space="preserve"> 29 Dec 2000 p. 7904)</w:t>
            </w:r>
          </w:p>
        </w:tc>
      </w:tr>
      <w:tr>
        <w:trPr>
          <w:cantSplit/>
        </w:trPr>
        <w:tc>
          <w:tcPr>
            <w:tcW w:w="7087" w:type="dxa"/>
            <w:gridSpan w:val="4"/>
          </w:tcPr>
          <w:p>
            <w:pPr>
              <w:pStyle w:val="nTable"/>
              <w:spacing w:after="40"/>
            </w:pPr>
            <w:r>
              <w:rPr>
                <w:b/>
              </w:rPr>
              <w:t xml:space="preserve">Reprint of the </w:t>
            </w:r>
            <w:r>
              <w:rPr>
                <w:b/>
                <w:i/>
              </w:rPr>
              <w:t>Government Employees’ Housing Act 1964</w:t>
            </w:r>
            <w:r>
              <w:rPr>
                <w:b/>
              </w:rPr>
              <w:t xml:space="preserve"> as at 8 Dec 2000</w:t>
            </w:r>
            <w:r>
              <w:rPr>
                <w:b/>
              </w:rPr>
              <w:br/>
            </w:r>
            <w:r>
              <w:t xml:space="preserve">(includes amendments listed above except those in the </w:t>
            </w:r>
            <w:r>
              <w:rPr>
                <w:i/>
                <w:iCs/>
              </w:rPr>
              <w:t>School Education Act 1999</w:t>
            </w:r>
            <w:r>
              <w:t xml:space="preserve">) (correction in </w:t>
            </w:r>
            <w:r>
              <w:rPr>
                <w:i/>
              </w:rPr>
              <w:t>Gazette</w:t>
            </w:r>
            <w:r>
              <w:t xml:space="preserve"> 9 May 2003 p. 1619)</w:t>
            </w:r>
          </w:p>
        </w:tc>
      </w:tr>
      <w:tr>
        <w:trPr>
          <w:cantSplit/>
        </w:trPr>
        <w:tc>
          <w:tcPr>
            <w:tcW w:w="2263" w:type="dxa"/>
          </w:tcPr>
          <w:p>
            <w:pPr>
              <w:pStyle w:val="nTable"/>
              <w:spacing w:after="40"/>
              <w:ind w:right="113"/>
            </w:pPr>
            <w:r>
              <w:rPr>
                <w:i/>
              </w:rPr>
              <w:t>Acts Amendment (Equality of Status) Act 2003</w:t>
            </w:r>
            <w:r>
              <w:t xml:space="preserve"> Pt. 25</w:t>
            </w:r>
          </w:p>
        </w:tc>
        <w:tc>
          <w:tcPr>
            <w:tcW w:w="1134" w:type="dxa"/>
          </w:tcPr>
          <w:p>
            <w:pPr>
              <w:pStyle w:val="nTable"/>
              <w:spacing w:after="40"/>
            </w:pPr>
            <w:r>
              <w:t>28 of 2003</w:t>
            </w:r>
          </w:p>
        </w:tc>
        <w:tc>
          <w:tcPr>
            <w:tcW w:w="1131" w:type="dxa"/>
          </w:tcPr>
          <w:p>
            <w:pPr>
              <w:pStyle w:val="nTable"/>
              <w:spacing w:after="40"/>
            </w:pPr>
            <w:r>
              <w:t>22 May 2003</w:t>
            </w:r>
          </w:p>
        </w:tc>
        <w:tc>
          <w:tcPr>
            <w:tcW w:w="2559" w:type="dxa"/>
          </w:tcPr>
          <w:p>
            <w:pPr>
              <w:pStyle w:val="nTable"/>
              <w:spacing w:after="40"/>
            </w:pPr>
            <w:r>
              <w:t xml:space="preserve">1 Jul 2003 (see s. 2 and </w:t>
            </w:r>
            <w:r>
              <w:rPr>
                <w:i/>
              </w:rPr>
              <w:t xml:space="preserve">Gazette </w:t>
            </w:r>
            <w:r>
              <w:t>30 Jun 2003 p. 2579)</w:t>
            </w:r>
          </w:p>
        </w:tc>
      </w:tr>
      <w:tr>
        <w:trPr>
          <w:cantSplit/>
        </w:trPr>
        <w:tc>
          <w:tcPr>
            <w:tcW w:w="2263"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1" w:type="dxa"/>
          </w:tcPr>
          <w:p>
            <w:pPr>
              <w:pStyle w:val="nTable"/>
              <w:spacing w:after="40"/>
            </w:pPr>
            <w:r>
              <w:t>12 Dec 2005</w:t>
            </w:r>
          </w:p>
        </w:tc>
        <w:tc>
          <w:tcPr>
            <w:tcW w:w="2559" w:type="dxa"/>
          </w:tcPr>
          <w:p>
            <w:pPr>
              <w:pStyle w:val="nTable"/>
              <w:spacing w:after="40"/>
            </w:pPr>
            <w:r>
              <w:t xml:space="preserve">9 Apr 2006 (see s. 2 and </w:t>
            </w:r>
            <w:r>
              <w:rPr>
                <w:i/>
                <w:iCs/>
              </w:rPr>
              <w:t>Gazette</w:t>
            </w:r>
            <w:r>
              <w:t xml:space="preserve"> 21 Mar 2006 p. 1078)</w:t>
            </w:r>
          </w:p>
        </w:tc>
      </w:tr>
      <w:tr>
        <w:trPr>
          <w:cantSplit/>
        </w:trPr>
        <w:tc>
          <w:tcPr>
            <w:tcW w:w="2263"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10 Div. 2</w:t>
            </w:r>
            <w:r>
              <w:rPr>
                <w:snapToGrid w:val="0"/>
                <w:vertAlign w:val="superscript"/>
              </w:rPr>
              <w:t> 3</w:t>
            </w:r>
          </w:p>
        </w:tc>
        <w:tc>
          <w:tcPr>
            <w:tcW w:w="1134" w:type="dxa"/>
          </w:tcPr>
          <w:p>
            <w:pPr>
              <w:pStyle w:val="nTable"/>
              <w:spacing w:after="40"/>
              <w:rPr>
                <w:snapToGrid w:val="0"/>
              </w:rPr>
            </w:pPr>
            <w:r>
              <w:rPr>
                <w:snapToGrid w:val="0"/>
              </w:rPr>
              <w:t>28 of 2006</w:t>
            </w:r>
          </w:p>
        </w:tc>
        <w:tc>
          <w:tcPr>
            <w:tcW w:w="1131" w:type="dxa"/>
          </w:tcPr>
          <w:p>
            <w:pPr>
              <w:pStyle w:val="nTable"/>
              <w:spacing w:after="40"/>
            </w:pPr>
            <w:r>
              <w:t>26 Jun 2006</w:t>
            </w:r>
          </w:p>
        </w:tc>
        <w:tc>
          <w:tcPr>
            <w:tcW w:w="2559"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rPr>
              <w:t xml:space="preserve">Reprint 2:  The </w:t>
            </w:r>
            <w:r>
              <w:rPr>
                <w:b/>
                <w:i/>
              </w:rPr>
              <w:t>Government Employees’ Housing Act 1964</w:t>
            </w:r>
            <w:r>
              <w:rPr>
                <w:b/>
              </w:rPr>
              <w:t xml:space="preserve"> as at 13 Oct 2006</w:t>
            </w:r>
            <w:r>
              <w:rPr>
                <w:b/>
              </w:rPr>
              <w:br/>
            </w:r>
            <w:r>
              <w:t>(includes amendments listed above)</w:t>
            </w:r>
          </w:p>
        </w:tc>
      </w:tr>
      <w:tr>
        <w:trPr>
          <w:cantSplit/>
        </w:trPr>
        <w:tc>
          <w:tcPr>
            <w:tcW w:w="2263" w:type="dxa"/>
          </w:tcPr>
          <w:p>
            <w:pPr>
              <w:pStyle w:val="nTable"/>
              <w:spacing w:after="40"/>
              <w:ind w:right="113"/>
              <w:rPr>
                <w:i/>
                <w:snapToGrid w:val="0"/>
                <w:vertAlign w:val="superscript"/>
              </w:rPr>
            </w:pPr>
            <w:r>
              <w:rPr>
                <w:i/>
                <w:snapToGrid w:val="0"/>
              </w:rPr>
              <w:t xml:space="preserve">Financial Legislation Amendment and Repeal Act 2006 </w:t>
            </w:r>
            <w:r>
              <w:rPr>
                <w:iCs/>
                <w:snapToGrid w:val="0"/>
              </w:rPr>
              <w:t>s. 17 </w:t>
            </w:r>
            <w:r>
              <w:rPr>
                <w:iCs/>
                <w:snapToGrid w:val="0"/>
                <w:vertAlign w:val="superscript"/>
              </w:rPr>
              <w:t>4</w:t>
            </w:r>
          </w:p>
        </w:tc>
        <w:tc>
          <w:tcPr>
            <w:tcW w:w="1134" w:type="dxa"/>
          </w:tcPr>
          <w:p>
            <w:pPr>
              <w:pStyle w:val="nTable"/>
              <w:spacing w:after="40"/>
              <w:rPr>
                <w:snapToGrid w:val="0"/>
              </w:rPr>
            </w:pPr>
            <w:r>
              <w:rPr>
                <w:snapToGrid w:val="0"/>
              </w:rPr>
              <w:t xml:space="preserve">77 of 2006 </w:t>
            </w:r>
          </w:p>
        </w:tc>
        <w:tc>
          <w:tcPr>
            <w:tcW w:w="1131" w:type="dxa"/>
          </w:tcPr>
          <w:p>
            <w:pPr>
              <w:pStyle w:val="nTable"/>
              <w:spacing w:after="40"/>
            </w:pPr>
            <w:r>
              <w:rPr>
                <w:snapToGrid w:val="0"/>
              </w:rPr>
              <w:t>21 Dec 2006</w:t>
            </w:r>
          </w:p>
        </w:tc>
        <w:tc>
          <w:tcPr>
            <w:tcW w:w="2559" w:type="dxa"/>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cantSplit/>
        </w:trPr>
        <w:tc>
          <w:tcPr>
            <w:tcW w:w="2263" w:type="dxa"/>
          </w:tcPr>
          <w:p>
            <w:pPr>
              <w:pStyle w:val="nTable"/>
              <w:spacing w:after="40"/>
              <w:rPr>
                <w:iCs/>
                <w:vertAlign w:val="superscript"/>
              </w:rPr>
            </w:pPr>
            <w:r>
              <w:rPr>
                <w:i/>
              </w:rPr>
              <w:t>Duties Legislation Amendment Act 2008</w:t>
            </w:r>
            <w:r>
              <w:rPr>
                <w:iCs/>
              </w:rPr>
              <w:t xml:space="preserve"> s. 52 </w:t>
            </w:r>
          </w:p>
        </w:tc>
        <w:tc>
          <w:tcPr>
            <w:tcW w:w="1134" w:type="dxa"/>
          </w:tcPr>
          <w:p>
            <w:pPr>
              <w:pStyle w:val="nTable"/>
              <w:spacing w:after="40"/>
            </w:pPr>
            <w:r>
              <w:t>12 of 2008</w:t>
            </w:r>
          </w:p>
        </w:tc>
        <w:tc>
          <w:tcPr>
            <w:tcW w:w="1131" w:type="dxa"/>
          </w:tcPr>
          <w:p>
            <w:pPr>
              <w:pStyle w:val="nTable"/>
              <w:spacing w:after="40"/>
            </w:pPr>
            <w:r>
              <w:t>14 Apr 2008</w:t>
            </w:r>
          </w:p>
        </w:tc>
        <w:tc>
          <w:tcPr>
            <w:tcW w:w="2559" w:type="dxa"/>
          </w:tcPr>
          <w:p>
            <w:pPr>
              <w:pStyle w:val="nTable"/>
              <w:spacing w:after="40"/>
            </w:pPr>
            <w:r>
              <w:t>1 Jul 2008 (see s. 2(d))</w:t>
            </w:r>
          </w:p>
        </w:tc>
      </w:tr>
    </w:tbl>
    <w:p>
      <w:pPr>
        <w:pStyle w:val="nSubsection"/>
        <w:keepNext/>
        <w:keepLines/>
        <w:spacing w:before="160"/>
        <w:rPr>
          <w:del w:id="223" w:author="svcMRProcess" w:date="2019-01-22T09:29:00Z"/>
          <w:snapToGrid w:val="0"/>
          <w:vertAlign w:val="superscript"/>
        </w:rPr>
      </w:pPr>
    </w:p>
    <w:p>
      <w:pPr>
        <w:pStyle w:val="nSubsection"/>
        <w:tabs>
          <w:tab w:val="clear" w:pos="454"/>
          <w:tab w:val="left" w:pos="567"/>
        </w:tabs>
        <w:spacing w:before="120"/>
        <w:ind w:left="567" w:hanging="567"/>
        <w:rPr>
          <w:del w:id="224" w:author="svcMRProcess" w:date="2019-01-22T09:29:00Z"/>
          <w:snapToGrid w:val="0"/>
        </w:rPr>
      </w:pPr>
      <w:del w:id="225" w:author="svcMRProcess" w:date="2019-01-22T09: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26" w:author="svcMRProcess" w:date="2019-01-22T09:29:00Z"/>
        </w:rPr>
      </w:pPr>
      <w:bookmarkStart w:id="227" w:name="_Toc7405065"/>
      <w:del w:id="228" w:author="svcMRProcess" w:date="2019-01-22T09:29:00Z">
        <w:r>
          <w:delText>Provisions that have not come into operation</w:delText>
        </w:r>
        <w:bookmarkEnd w:id="22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9"/>
        <w:gridCol w:w="1130"/>
        <w:gridCol w:w="1131"/>
        <w:gridCol w:w="2535"/>
      </w:tblGrid>
      <w:tr>
        <w:trPr>
          <w:del w:id="229" w:author="svcMRProcess" w:date="2019-01-22T09:29:00Z"/>
        </w:trPr>
        <w:tc>
          <w:tcPr>
            <w:tcW w:w="2266" w:type="dxa"/>
          </w:tcPr>
          <w:p>
            <w:pPr>
              <w:pStyle w:val="nTable"/>
              <w:spacing w:after="40"/>
              <w:rPr>
                <w:del w:id="230" w:author="svcMRProcess" w:date="2019-01-22T09:29:00Z"/>
                <w:b/>
                <w:snapToGrid w:val="0"/>
                <w:lang w:val="en-US"/>
              </w:rPr>
            </w:pPr>
            <w:del w:id="231" w:author="svcMRProcess" w:date="2019-01-22T09:29:00Z">
              <w:r>
                <w:rPr>
                  <w:b/>
                  <w:snapToGrid w:val="0"/>
                  <w:lang w:val="en-US"/>
                </w:rPr>
                <w:delText>Short title</w:delText>
              </w:r>
            </w:del>
          </w:p>
        </w:tc>
        <w:tc>
          <w:tcPr>
            <w:tcW w:w="1120" w:type="dxa"/>
          </w:tcPr>
          <w:p>
            <w:pPr>
              <w:pStyle w:val="nTable"/>
              <w:spacing w:after="40"/>
              <w:rPr>
                <w:del w:id="232" w:author="svcMRProcess" w:date="2019-01-22T09:29:00Z"/>
                <w:b/>
                <w:snapToGrid w:val="0"/>
                <w:lang w:val="en-US"/>
              </w:rPr>
            </w:pPr>
            <w:del w:id="233" w:author="svcMRProcess" w:date="2019-01-22T09:29:00Z">
              <w:r>
                <w:rPr>
                  <w:b/>
                  <w:snapToGrid w:val="0"/>
                  <w:lang w:val="en-US"/>
                </w:rPr>
                <w:delText>Number and year</w:delText>
              </w:r>
            </w:del>
          </w:p>
        </w:tc>
        <w:tc>
          <w:tcPr>
            <w:tcW w:w="1135" w:type="dxa"/>
          </w:tcPr>
          <w:p>
            <w:pPr>
              <w:pStyle w:val="nTable"/>
              <w:spacing w:after="40"/>
              <w:rPr>
                <w:del w:id="234" w:author="svcMRProcess" w:date="2019-01-22T09:29:00Z"/>
                <w:b/>
                <w:snapToGrid w:val="0"/>
                <w:lang w:val="en-US"/>
              </w:rPr>
            </w:pPr>
            <w:del w:id="235" w:author="svcMRProcess" w:date="2019-01-22T09:29:00Z">
              <w:r>
                <w:rPr>
                  <w:b/>
                  <w:snapToGrid w:val="0"/>
                  <w:lang w:val="en-US"/>
                </w:rPr>
                <w:delText>Assent</w:delText>
              </w:r>
            </w:del>
          </w:p>
        </w:tc>
        <w:tc>
          <w:tcPr>
            <w:tcW w:w="2534" w:type="dxa"/>
          </w:tcPr>
          <w:p>
            <w:pPr>
              <w:pStyle w:val="nTable"/>
              <w:spacing w:after="40"/>
              <w:rPr>
                <w:del w:id="236" w:author="svcMRProcess" w:date="2019-01-22T09:29:00Z"/>
                <w:b/>
                <w:snapToGrid w:val="0"/>
                <w:lang w:val="en-US"/>
              </w:rPr>
            </w:pPr>
            <w:del w:id="237" w:author="svcMRProcess" w:date="2019-01-22T09:29: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3"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43(3)</w:t>
            </w:r>
            <w:del w:id="238" w:author="svcMRProcess" w:date="2019-01-22T09:29:00Z">
              <w:r>
                <w:rPr>
                  <w:iCs/>
                  <w:snapToGrid w:val="0"/>
                  <w:vertAlign w:val="superscript"/>
                  <w:lang w:val="en-US"/>
                </w:rPr>
                <w:delText> 5</w:delText>
              </w:r>
            </w:del>
          </w:p>
        </w:tc>
        <w:tc>
          <w:tcPr>
            <w:tcW w:w="1134" w:type="dxa"/>
            <w:tcBorders>
              <w:bottom w:val="single" w:sz="4" w:space="0" w:color="auto"/>
            </w:tcBorders>
          </w:tcPr>
          <w:p>
            <w:pPr>
              <w:pStyle w:val="nTable"/>
              <w:spacing w:after="40"/>
              <w:rPr>
                <w:snapToGrid w:val="0"/>
              </w:rPr>
            </w:pPr>
            <w:r>
              <w:rPr>
                <w:snapToGrid w:val="0"/>
              </w:rPr>
              <w:t>19 of 2010</w:t>
            </w:r>
          </w:p>
        </w:tc>
        <w:tc>
          <w:tcPr>
            <w:tcW w:w="1131" w:type="dxa"/>
            <w:tcBorders>
              <w:bottom w:val="single" w:sz="4" w:space="0" w:color="auto"/>
            </w:tcBorders>
          </w:tcPr>
          <w:p>
            <w:pPr>
              <w:pStyle w:val="nTable"/>
              <w:spacing w:after="40"/>
              <w:rPr>
                <w:snapToGrid w:val="0"/>
              </w:rPr>
            </w:pPr>
            <w:r>
              <w:rPr>
                <w:snapToGrid w:val="0"/>
              </w:rPr>
              <w:t>28 Jun 2010</w:t>
            </w:r>
          </w:p>
        </w:tc>
        <w:tc>
          <w:tcPr>
            <w:tcW w:w="2543" w:type="dxa"/>
            <w:tcBorders>
              <w:bottom w:val="single" w:sz="4" w:space="0" w:color="auto"/>
            </w:tcBorders>
          </w:tcPr>
          <w:p>
            <w:pPr>
              <w:pStyle w:val="nTable"/>
              <w:spacing w:after="40"/>
              <w:rPr>
                <w:snapToGrid w:val="0"/>
              </w:rPr>
            </w:pPr>
            <w:del w:id="239" w:author="svcMRProcess" w:date="2019-01-22T09:29:00Z">
              <w:r>
                <w:rPr>
                  <w:snapToGrid w:val="0"/>
                  <w:lang w:val="en-US"/>
                </w:rPr>
                <w:delText>To be proclaimed</w:delText>
              </w:r>
            </w:del>
            <w:ins w:id="240" w:author="svcMRProcess" w:date="2019-01-22T09:29:00Z">
              <w:r>
                <w:rPr>
                  <w:snapToGrid w:val="0"/>
                </w:rPr>
                <w:t>11 Sep 2010</w:t>
              </w:r>
            </w:ins>
            <w:r>
              <w:rPr>
                <w:snapToGrid w:val="0"/>
              </w:rPr>
              <w:t xml:space="preserve"> (see s. 2(b</w:t>
            </w:r>
            <w:del w:id="241" w:author="svcMRProcess" w:date="2019-01-22T09:29:00Z">
              <w:r>
                <w:rPr>
                  <w:snapToGrid w:val="0"/>
                  <w:lang w:val="en-US"/>
                </w:rPr>
                <w:delText>))</w:delText>
              </w:r>
            </w:del>
            <w:ins w:id="242" w:author="svcMRProcess" w:date="2019-01-22T09:29:00Z">
              <w:r>
                <w:rPr>
                  <w:snapToGrid w:val="0"/>
                </w:rPr>
                <w:t xml:space="preserve">) and </w:t>
              </w:r>
              <w:r>
                <w:rPr>
                  <w:i/>
                  <w:iCs/>
                  <w:snapToGrid w:val="0"/>
                </w:rPr>
                <w:t>Gazette</w:t>
              </w:r>
              <w:r>
                <w:rPr>
                  <w:snapToGrid w:val="0"/>
                </w:rPr>
                <w:t xml:space="preserve"> 10 Sep 2010 p. 4341)</w:t>
              </w:r>
            </w:ins>
          </w:p>
        </w:tc>
      </w:tr>
    </w:tbl>
    <w:p>
      <w:pPr>
        <w:pStyle w:val="nSubsection"/>
        <w:keepNext/>
        <w:keepLines/>
        <w:spacing w:before="160"/>
        <w:rPr>
          <w:del w:id="243" w:author="svcMRProcess" w:date="2019-01-22T09:29:00Z"/>
          <w:snapToGrid w:val="0"/>
          <w:vertAlign w:val="superscript"/>
        </w:rPr>
      </w:pPr>
    </w:p>
    <w:p>
      <w:pPr>
        <w:pStyle w:val="nSubsection"/>
        <w:keepNext/>
        <w:keepLines/>
        <w:spacing w:before="160"/>
        <w:rPr>
          <w:snapToGrid w:val="0"/>
        </w:rPr>
      </w:pPr>
      <w:r>
        <w:rPr>
          <w:snapToGrid w:val="0"/>
          <w:vertAlign w:val="superscript"/>
        </w:rPr>
        <w:t>2</w:t>
      </w:r>
      <w:r>
        <w:rPr>
          <w:snapToGrid w:val="0"/>
        </w:rPr>
        <w:tab/>
        <w:t xml:space="preserve">The </w:t>
      </w:r>
      <w:r>
        <w:rPr>
          <w:i/>
        </w:rPr>
        <w:t>Government Employees’ Housing Amendment Act 1987</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The appointment of the holder of an office specified in section 8(2) of the principal Act as in force immediately before the coming into operation of this section is hereby determined.</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10 Div. 6 reads as follows:</w:t>
      </w:r>
    </w:p>
    <w:p>
      <w:pPr>
        <w:pStyle w:val="MiscOpen"/>
      </w:pPr>
      <w:r>
        <w:t>“</w:t>
      </w:r>
    </w:p>
    <w:p>
      <w:pPr>
        <w:pStyle w:val="nzHeading3"/>
      </w:pPr>
      <w:bookmarkStart w:id="244" w:name="_Toc101073355"/>
      <w:bookmarkStart w:id="245" w:name="_Toc101080538"/>
      <w:bookmarkStart w:id="246" w:name="_Toc101081201"/>
      <w:bookmarkStart w:id="247" w:name="_Toc101174163"/>
      <w:bookmarkStart w:id="248" w:name="_Toc101256839"/>
      <w:bookmarkStart w:id="249" w:name="_Toc101260891"/>
      <w:bookmarkStart w:id="250" w:name="_Toc101329672"/>
      <w:bookmarkStart w:id="251" w:name="_Toc101351113"/>
      <w:bookmarkStart w:id="252" w:name="_Toc101578993"/>
      <w:bookmarkStart w:id="253" w:name="_Toc101599968"/>
      <w:bookmarkStart w:id="254" w:name="_Toc101666800"/>
      <w:bookmarkStart w:id="255" w:name="_Toc101672762"/>
      <w:bookmarkStart w:id="256" w:name="_Toc101675272"/>
      <w:bookmarkStart w:id="257" w:name="_Toc101682998"/>
      <w:bookmarkStart w:id="258" w:name="_Toc101690268"/>
      <w:bookmarkStart w:id="259" w:name="_Toc101769600"/>
      <w:bookmarkStart w:id="260" w:name="_Toc101770886"/>
      <w:bookmarkStart w:id="261" w:name="_Toc101774343"/>
      <w:bookmarkStart w:id="262" w:name="_Toc101845307"/>
      <w:bookmarkStart w:id="263" w:name="_Toc102981960"/>
      <w:bookmarkStart w:id="264" w:name="_Toc103570066"/>
      <w:bookmarkStart w:id="265" w:name="_Toc106089302"/>
      <w:bookmarkStart w:id="266" w:name="_Toc106097357"/>
      <w:bookmarkStart w:id="267" w:name="_Toc136050503"/>
      <w:bookmarkStart w:id="268" w:name="_Toc138660882"/>
      <w:bookmarkStart w:id="269" w:name="_Toc138661461"/>
      <w:bookmarkStart w:id="270" w:name="_Toc138750462"/>
      <w:bookmarkStart w:id="271" w:name="_Toc138751147"/>
      <w:bookmarkStart w:id="272" w:name="_Toc139166888"/>
      <w:r>
        <w:t>Division 6 — Transitional matters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nzHeading5"/>
      </w:pPr>
      <w:bookmarkStart w:id="273" w:name="_Toc100544670"/>
      <w:bookmarkStart w:id="274" w:name="_Toc138661462"/>
      <w:bookmarkStart w:id="275" w:name="_Toc138751148"/>
      <w:bookmarkStart w:id="276" w:name="_Toc139166889"/>
      <w:r>
        <w:t>336.</w:t>
      </w:r>
      <w:r>
        <w:tab/>
        <w:t>Financial reporting</w:t>
      </w:r>
      <w:bookmarkEnd w:id="273"/>
      <w:bookmarkEnd w:id="274"/>
      <w:bookmarkEnd w:id="275"/>
      <w:bookmarkEnd w:id="276"/>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 xml:space="preserve">except that —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 xml:space="preserve">In this section —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277" w:name="_Toc100544671"/>
      <w:bookmarkStart w:id="278" w:name="_Toc138661463"/>
      <w:bookmarkStart w:id="279" w:name="_Toc138751149"/>
      <w:bookmarkStart w:id="280" w:name="_Toc139166890"/>
      <w:r>
        <w:t>337.</w:t>
      </w:r>
      <w:r>
        <w:tab/>
        <w:t>References to former bodies</w:t>
      </w:r>
      <w:bookmarkEnd w:id="277"/>
      <w:bookmarkEnd w:id="278"/>
      <w:bookmarkEnd w:id="279"/>
      <w:bookmarkEnd w:id="280"/>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281" w:name="_Toc40495503"/>
      <w:bookmarkStart w:id="282" w:name="_Toc100544672"/>
      <w:bookmarkStart w:id="283" w:name="_Toc138661464"/>
      <w:bookmarkStart w:id="284" w:name="_Toc138751150"/>
      <w:bookmarkStart w:id="285" w:name="_Toc139166891"/>
      <w:r>
        <w:t>338.</w:t>
      </w:r>
      <w:r>
        <w:tab/>
      </w:r>
      <w:r>
        <w:rPr>
          <w:i/>
          <w:iCs/>
        </w:rPr>
        <w:t>Government Employees’ Housing Act 1964</w:t>
      </w:r>
      <w:bookmarkEnd w:id="281"/>
      <w:bookmarkEnd w:id="282"/>
      <w:bookmarkEnd w:id="283"/>
      <w:bookmarkEnd w:id="284"/>
      <w:bookmarkEnd w:id="285"/>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286" w:name="_Toc40495504"/>
      <w:bookmarkStart w:id="287" w:name="_Toc100544673"/>
      <w:bookmarkStart w:id="288" w:name="_Toc138661465"/>
      <w:bookmarkStart w:id="289" w:name="_Toc138751151"/>
      <w:bookmarkStart w:id="290" w:name="_Toc139166892"/>
      <w:r>
        <w:t>339.</w:t>
      </w:r>
      <w:r>
        <w:tab/>
      </w:r>
      <w:r>
        <w:rPr>
          <w:i/>
          <w:iCs/>
        </w:rPr>
        <w:t>Housing Act 1980</w:t>
      </w:r>
      <w:bookmarkEnd w:id="286"/>
      <w:bookmarkEnd w:id="287"/>
      <w:bookmarkEnd w:id="288"/>
      <w:bookmarkEnd w:id="289"/>
      <w:bookmarkEnd w:id="290"/>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291" w:name="_Toc100544674"/>
      <w:bookmarkStart w:id="292" w:name="_Toc138661466"/>
      <w:bookmarkStart w:id="293" w:name="_Toc138751152"/>
      <w:bookmarkStart w:id="294" w:name="_Toc139166893"/>
      <w:r>
        <w:t>340.</w:t>
      </w:r>
      <w:r>
        <w:tab/>
        <w:t>Interpretation</w:t>
      </w:r>
      <w:bookmarkEnd w:id="291"/>
      <w:bookmarkEnd w:id="292"/>
      <w:bookmarkEnd w:id="293"/>
      <w:bookmarkEnd w:id="294"/>
    </w:p>
    <w:p>
      <w:pPr>
        <w:pStyle w:val="nzSubsection"/>
      </w:pPr>
      <w:r>
        <w:tab/>
      </w:r>
      <w:r>
        <w:tab/>
        <w:t xml:space="preserve">In this Division —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keepLines/>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MiscClose"/>
      </w:pPr>
      <w:r>
        <w:t>”.</w:t>
      </w:r>
    </w:p>
    <w:p>
      <w:pPr>
        <w:pStyle w:val="nSubsection"/>
      </w:pPr>
      <w:r>
        <w:rPr>
          <w:vertAlign w:val="superscript"/>
        </w:rPr>
        <w:t>4</w:t>
      </w:r>
      <w:r>
        <w:tab/>
        <w:t xml:space="preserve">The amendment to s. 25 in the </w:t>
      </w:r>
      <w:r>
        <w:rPr>
          <w:i/>
          <w:iCs/>
        </w:rPr>
        <w:t xml:space="preserve">Financial Legislation Amendment and Repeal Act 2006 </w:t>
      </w:r>
      <w:r>
        <w:t xml:space="preserve">s. 17, which gives effect to Sch. 1 cl.77, is not included because the section it sought to amend was repealed by the </w:t>
      </w:r>
      <w:r>
        <w:rPr>
          <w:i/>
          <w:iCs/>
        </w:rPr>
        <w:t>Machinery of Government (Miscellaneous Amendments) Act 2006</w:t>
      </w:r>
      <w:r>
        <w:t xml:space="preserve"> s. 306.</w:t>
      </w:r>
    </w:p>
    <w:p>
      <w:pPr>
        <w:pStyle w:val="nSubsection"/>
        <w:rPr>
          <w:del w:id="295" w:author="svcMRProcess" w:date="2019-01-22T09:29:00Z"/>
          <w:snapToGrid w:val="0"/>
        </w:rPr>
      </w:pPr>
      <w:bookmarkStart w:id="296" w:name="AutoSch"/>
      <w:bookmarkEnd w:id="296"/>
      <w:del w:id="297" w:author="svcMRProcess" w:date="2019-01-22T09:2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43(3) had not come into operation.  It reads as follows:</w:delText>
        </w:r>
      </w:del>
    </w:p>
    <w:p>
      <w:pPr>
        <w:pStyle w:val="BlankOpen"/>
        <w:rPr>
          <w:del w:id="298" w:author="svcMRProcess" w:date="2019-01-22T09:29:00Z"/>
        </w:rPr>
      </w:pPr>
    </w:p>
    <w:p>
      <w:pPr>
        <w:pStyle w:val="nzHeading5"/>
        <w:rPr>
          <w:del w:id="299" w:author="svcMRProcess" w:date="2019-01-22T09:29:00Z"/>
        </w:rPr>
      </w:pPr>
      <w:bookmarkStart w:id="300" w:name="_Toc233107838"/>
      <w:bookmarkStart w:id="301" w:name="_Toc255473738"/>
      <w:bookmarkStart w:id="302" w:name="_Toc265583793"/>
      <w:del w:id="303" w:author="svcMRProcess" w:date="2019-01-22T09:29:00Z">
        <w:r>
          <w:rPr>
            <w:rStyle w:val="CharSectno"/>
          </w:rPr>
          <w:delText>43</w:delText>
        </w:r>
        <w:r>
          <w:delText>.</w:delText>
        </w:r>
        <w:r>
          <w:tab/>
          <w:delText>Part heading inserted before section 1</w:delText>
        </w:r>
        <w:bookmarkEnd w:id="300"/>
        <w:bookmarkEnd w:id="301"/>
        <w:bookmarkEnd w:id="302"/>
      </w:del>
    </w:p>
    <w:p>
      <w:pPr>
        <w:pStyle w:val="nzSubsection"/>
        <w:rPr>
          <w:del w:id="304" w:author="svcMRProcess" w:date="2019-01-22T09:29:00Z"/>
        </w:rPr>
      </w:pPr>
      <w:del w:id="305" w:author="svcMRProcess" w:date="2019-01-22T09:29:00Z">
        <w:r>
          <w:tab/>
          <w:delText>(1)</w:delText>
        </w:r>
        <w:r>
          <w:tab/>
          <w:delText>This section amends the Acts listed in Tables 1 and 2.</w:delText>
        </w:r>
      </w:del>
    </w:p>
    <w:p>
      <w:pPr>
        <w:pStyle w:val="nzSubsection"/>
        <w:rPr>
          <w:del w:id="306" w:author="svcMRProcess" w:date="2019-01-22T09:29:00Z"/>
        </w:rPr>
      </w:pPr>
      <w:del w:id="307" w:author="svcMRProcess" w:date="2019-01-22T09:29:00Z">
        <w:r>
          <w:tab/>
          <w:delText>(3)</w:delText>
        </w:r>
        <w:r>
          <w:tab/>
          <w:delText>In the Acts listed in Table 2:</w:delText>
        </w:r>
      </w:del>
    </w:p>
    <w:p>
      <w:pPr>
        <w:pStyle w:val="nzIndenta"/>
        <w:rPr>
          <w:del w:id="308" w:author="svcMRProcess" w:date="2019-01-22T09:29:00Z"/>
        </w:rPr>
      </w:pPr>
      <w:del w:id="309" w:author="svcMRProcess" w:date="2019-01-22T09:29:00Z">
        <w:r>
          <w:tab/>
          <w:delText>(a)</w:delText>
        </w:r>
        <w:r>
          <w:tab/>
          <w:delText>before section 1 insert:</w:delText>
        </w:r>
      </w:del>
    </w:p>
    <w:p>
      <w:pPr>
        <w:pStyle w:val="BlankOpen"/>
        <w:rPr>
          <w:del w:id="310" w:author="svcMRProcess" w:date="2019-01-22T09:29:00Z"/>
        </w:rPr>
      </w:pPr>
    </w:p>
    <w:p>
      <w:pPr>
        <w:pStyle w:val="nzHeading2"/>
        <w:rPr>
          <w:del w:id="311" w:author="svcMRProcess" w:date="2019-01-22T09:29:00Z"/>
        </w:rPr>
      </w:pPr>
      <w:bookmarkStart w:id="312" w:name="_Toc232235611"/>
      <w:bookmarkStart w:id="313" w:name="_Toc232235809"/>
      <w:bookmarkStart w:id="314" w:name="_Toc233100679"/>
      <w:bookmarkStart w:id="315" w:name="_Toc233107840"/>
      <w:del w:id="316" w:author="svcMRProcess" w:date="2019-01-22T09:29:00Z">
        <w:r>
          <w:delText>Part I</w:delText>
        </w:r>
        <w:r>
          <w:rPr>
            <w:b w:val="0"/>
          </w:rPr>
          <w:delText> — </w:delText>
        </w:r>
        <w:r>
          <w:delText>Preliminary</w:delText>
        </w:r>
        <w:bookmarkEnd w:id="312"/>
        <w:bookmarkEnd w:id="313"/>
        <w:bookmarkEnd w:id="314"/>
        <w:bookmarkEnd w:id="315"/>
      </w:del>
    </w:p>
    <w:p>
      <w:pPr>
        <w:pStyle w:val="BlankClose"/>
        <w:rPr>
          <w:del w:id="317" w:author="svcMRProcess" w:date="2019-01-22T09:29:00Z"/>
        </w:rPr>
      </w:pPr>
    </w:p>
    <w:p>
      <w:pPr>
        <w:pStyle w:val="nzIndenta"/>
        <w:rPr>
          <w:del w:id="318" w:author="svcMRProcess" w:date="2019-01-22T09:29:00Z"/>
        </w:rPr>
      </w:pPr>
      <w:del w:id="319" w:author="svcMRProcess" w:date="2019-01-22T09:29:00Z">
        <w:r>
          <w:tab/>
          <w:delText>(b)</w:delText>
        </w:r>
        <w:r>
          <w:tab/>
          <w:delText>before the section listed in Table 2 for that Act delete the heading to Part I.</w:delText>
        </w:r>
      </w:del>
    </w:p>
    <w:p>
      <w:pPr>
        <w:pStyle w:val="BlankClose"/>
        <w:rPr>
          <w:del w:id="320" w:author="svcMRProcess" w:date="2019-01-22T09:29:00Z"/>
        </w:rPr>
      </w:pPr>
    </w:p>
    <w:p/>
    <w:p>
      <w:pPr>
        <w:sectPr>
          <w:headerReference w:type="even" r:id="rId21"/>
          <w:headerReference w:type="default" r:id="rId22"/>
          <w:pgSz w:w="11907" w:h="16840" w:code="9"/>
          <w:pgMar w:top="2381" w:right="2409" w:bottom="3543" w:left="2409"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Employees’ Housing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21" w:name="Compilation"/>
    <w:bookmarkEnd w:id="3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003"/>
    <w:docVar w:name="WAFER_20140128092149" w:val="RemoveTocBookmarks,RemoveUnusedBookmarks,RemoveLanguageTags,UsedStyles,ResetPageSize,UpdateArrangement"/>
    <w:docVar w:name="WAFER_20140128092149_GUID" w:val="b9244305-fd79-4c70-a2c4-5c5842ef38f5"/>
    <w:docVar w:name="WAFER_20140128092154" w:val="RemoveTocBookmarks,RunningHeaders"/>
    <w:docVar w:name="WAFER_20140128092154_GUID" w:val="07ce0a46-24d7-4baa-b9a0-7b6e005d1695"/>
    <w:docVar w:name="WAFER_20150508162705" w:val="ResetPageSize,UpdateArrangement,UpdateNTable"/>
    <w:docVar w:name="WAFER_20150508162705_GUID" w:val="a4a8d3b3-9b92-481b-8d0b-d7d69673d070"/>
    <w:docVar w:name="WAFER_20150508162958" w:val="ResetPageSize,UpdateArrangement,UpdateNTable"/>
    <w:docVar w:name="WAFER_20150508162958_GUID" w:val="2a58ceb1-cbca-42cd-8fee-2ee383bb176e"/>
    <w:docVar w:name="WAFER_20151105132003" w:val="UpdateStyles,UsedStyles"/>
    <w:docVar w:name="WAFER_20151105132003_GUID" w:val="287e0a86-e7c7-4314-bf26-0a271e90e6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4713</Words>
  <Characters>22293</Characters>
  <Application>Microsoft Office Word</Application>
  <DocSecurity>0</DocSecurity>
  <Lines>636</Lines>
  <Paragraphs>314</Paragraphs>
  <ScaleCrop>false</ScaleCrop>
  <HeadingPairs>
    <vt:vector size="2" baseType="variant">
      <vt:variant>
        <vt:lpstr>Title</vt:lpstr>
      </vt:variant>
      <vt:variant>
        <vt:i4>1</vt:i4>
      </vt:variant>
    </vt:vector>
  </HeadingPairs>
  <TitlesOfParts>
    <vt:vector size="1" baseType="lpstr">
      <vt:lpstr>Government Employees Housing Act 1964</vt:lpstr>
    </vt:vector>
  </TitlesOfParts>
  <Manager/>
  <Company/>
  <LinksUpToDate>false</LinksUpToDate>
  <CharactersWithSpaces>26692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Employees' Housing Act 1964 02-e0-02 - 02-f0-05</dc:title>
  <dc:subject/>
  <dc:creator/>
  <cp:keywords/>
  <dc:description/>
  <cp:lastModifiedBy>svcMRProcess</cp:lastModifiedBy>
  <cp:revision>2</cp:revision>
  <cp:lastPrinted>2007-01-24T05:49:00Z</cp:lastPrinted>
  <dcterms:created xsi:type="dcterms:W3CDTF">2019-01-22T01:29:00Z</dcterms:created>
  <dcterms:modified xsi:type="dcterms:W3CDTF">2019-01-22T01:29:00Z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 of 1964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328</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28 Jun 2010</vt:lpwstr>
  </property>
  <property fmtid="{D5CDD505-2E9C-101B-9397-08002B2CF9AE}" pid="9" name="ToSuffix">
    <vt:lpwstr>02-f0-05</vt:lpwstr>
  </property>
  <property fmtid="{D5CDD505-2E9C-101B-9397-08002B2CF9AE}" pid="10" name="ToAsAtDate">
    <vt:lpwstr>11 Sep 2010</vt:lpwstr>
  </property>
</Properties>
</file>