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d02f70a4f6ef4184" Type="http://schemas.microsoft.com/office/2007/relationships/ui/extensibility" Target="customUI/customUI14.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Judges’ Retirement Act 1937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40" w:after="960"/>
      </w:pPr>
      <w:r>
        <w:t xml:space="preserve">Judges’ Retirement Act 1937 </w:t>
      </w:r>
    </w:p>
    <w:p>
      <w:pPr>
        <w:pStyle w:val="LongTitle"/>
        <w:rPr>
          <w:snapToGrid w:val="0"/>
        </w:rPr>
      </w:pPr>
      <w:r>
        <w:rPr>
          <w:snapToGrid w:val="0"/>
        </w:rPr>
        <w:t>A</w:t>
      </w:r>
      <w:bookmarkStart w:id="1" w:name="_GoBack"/>
      <w:bookmarkEnd w:id="1"/>
      <w:r>
        <w:rPr>
          <w:snapToGrid w:val="0"/>
        </w:rPr>
        <w:t xml:space="preserve">n Act to provide for the retirement of Judges of the Supreme Court and to provide for their pensions on such retirement; to amend the </w:t>
      </w:r>
      <w:r>
        <w:rPr>
          <w:i/>
          <w:snapToGrid w:val="0"/>
        </w:rPr>
        <w:t>Constitution Act 1889</w:t>
      </w:r>
      <w:r>
        <w:rPr>
          <w:snapToGrid w:val="0"/>
        </w:rPr>
        <w:t xml:space="preserve"> and the </w:t>
      </w:r>
      <w:r>
        <w:rPr>
          <w:i/>
          <w:snapToGrid w:val="0"/>
        </w:rPr>
        <w:t>Supreme Court Act 1935</w:t>
      </w:r>
      <w:r>
        <w:rPr>
          <w:snapToGrid w:val="0"/>
        </w:rPr>
        <w:t xml:space="preserve">; and for other purposes consequent thereon and incidental thereto. </w:t>
      </w:r>
    </w:p>
    <w:p>
      <w:pPr>
        <w:pStyle w:val="Heading5"/>
        <w:rPr>
          <w:snapToGrid w:val="0"/>
        </w:rPr>
      </w:pPr>
      <w:bookmarkStart w:id="2" w:name="_Toc378930638"/>
      <w:bookmarkStart w:id="3" w:name="_Toc420504225"/>
      <w:bookmarkStart w:id="4" w:name="_Toc535917761"/>
      <w:bookmarkStart w:id="5" w:name="_Toc535917911"/>
      <w:bookmarkStart w:id="6" w:name="_Toc411243872"/>
      <w:bookmarkStart w:id="7" w:name="_Toc88027573"/>
      <w:bookmarkStart w:id="8" w:name="_Toc94948365"/>
      <w:bookmarkStart w:id="9" w:name="_Toc267657419"/>
      <w:r>
        <w:rPr>
          <w:rStyle w:val="CharSectno"/>
        </w:rPr>
        <w:t>1</w:t>
      </w:r>
      <w:r>
        <w:rPr>
          <w:snapToGrid w:val="0"/>
        </w:rPr>
        <w:t>.</w:t>
      </w:r>
      <w:r>
        <w:rPr>
          <w:snapToGrid w:val="0"/>
        </w:rPr>
        <w:tab/>
        <w:t>Short title and construction</w:t>
      </w:r>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Judges’ Retirement Act 1937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This Act shall be read and construed with and as an amendment of the </w:t>
      </w:r>
      <w:r>
        <w:rPr>
          <w:i/>
          <w:snapToGrid w:val="0"/>
        </w:rPr>
        <w:t>Constitution Act 1889</w:t>
      </w:r>
      <w:r>
        <w:rPr>
          <w:snapToGrid w:val="0"/>
        </w:rPr>
        <w:t xml:space="preserve"> (52 Vict., No. 23), and the </w:t>
      </w:r>
      <w:r>
        <w:rPr>
          <w:i/>
          <w:snapToGrid w:val="0"/>
        </w:rPr>
        <w:t>Supreme Court Act 1935</w:t>
      </w:r>
      <w:r>
        <w:rPr>
          <w:snapToGrid w:val="0"/>
        </w:rPr>
        <w:t xml:space="preserve"> (No. 36 of 1935).</w:t>
      </w:r>
    </w:p>
    <w:p>
      <w:pPr>
        <w:pStyle w:val="Heading5"/>
        <w:rPr>
          <w:snapToGrid w:val="0"/>
        </w:rPr>
      </w:pPr>
      <w:bookmarkStart w:id="10" w:name="_Toc378930639"/>
      <w:bookmarkStart w:id="11" w:name="_Toc420504226"/>
      <w:bookmarkStart w:id="12" w:name="_Toc535917762"/>
      <w:bookmarkStart w:id="13" w:name="_Toc535917912"/>
      <w:bookmarkStart w:id="14" w:name="_Toc411243873"/>
      <w:bookmarkStart w:id="15" w:name="_Toc88027574"/>
      <w:bookmarkStart w:id="16" w:name="_Toc94948366"/>
      <w:bookmarkStart w:id="17" w:name="_Toc267657420"/>
      <w:r>
        <w:rPr>
          <w:rStyle w:val="CharSectno"/>
        </w:rPr>
        <w:t>2</w:t>
      </w:r>
      <w:r>
        <w:rPr>
          <w:snapToGrid w:val="0"/>
        </w:rPr>
        <w:t>.</w:t>
      </w:r>
      <w:r>
        <w:rPr>
          <w:snapToGrid w:val="0"/>
        </w:rPr>
        <w:tab/>
        <w:t>Interpretation</w:t>
      </w:r>
      <w:bookmarkEnd w:id="10"/>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w:t>
      </w:r>
      <w:r>
        <w:t> — </w:t>
      </w:r>
    </w:p>
    <w:p>
      <w:pPr>
        <w:pStyle w:val="Defstart"/>
      </w:pPr>
      <w:r>
        <w:rPr>
          <w:b/>
        </w:rPr>
        <w:tab/>
      </w:r>
      <w:r>
        <w:rPr>
          <w:rStyle w:val="CharDefText"/>
        </w:rPr>
        <w:t>Judge</w:t>
      </w:r>
      <w:r>
        <w:t xml:space="preserve"> means and includes any person appointed to and holding any of the following offices —</w:t>
      </w:r>
    </w:p>
    <w:p>
      <w:pPr>
        <w:pStyle w:val="Defpara"/>
      </w:pPr>
      <w:r>
        <w:tab/>
        <w:t>(a)</w:t>
      </w:r>
      <w:r>
        <w:tab/>
        <w:t>Chief Justice of Western Australia; or</w:t>
      </w:r>
    </w:p>
    <w:p>
      <w:pPr>
        <w:pStyle w:val="Defpara"/>
      </w:pPr>
      <w:r>
        <w:tab/>
        <w:t>(aa)</w:t>
      </w:r>
      <w:r>
        <w:tab/>
        <w:t>President of the Court of Appeal; or</w:t>
      </w:r>
    </w:p>
    <w:p>
      <w:pPr>
        <w:pStyle w:val="Defpara"/>
      </w:pPr>
      <w:r>
        <w:tab/>
        <w:t>(b)</w:t>
      </w:r>
      <w:r>
        <w:tab/>
        <w:t>Judge of the Supreme Court of Western Australia; or</w:t>
      </w:r>
    </w:p>
    <w:p>
      <w:pPr>
        <w:pStyle w:val="Defpara"/>
      </w:pPr>
      <w:r>
        <w:tab/>
        <w:t>(c)</w:t>
      </w:r>
      <w:r>
        <w:tab/>
        <w:t>Acting Judge or Auxiliary Judge of the Supreme Court of Western Australia; or</w:t>
      </w:r>
    </w:p>
    <w:p>
      <w:pPr>
        <w:pStyle w:val="Defpara"/>
      </w:pPr>
      <w:r>
        <w:tab/>
        <w:t>(ca)</w:t>
      </w:r>
      <w:r>
        <w:tab/>
        <w:t>Master or acting Master of the Supreme Court of Western Australia; or</w:t>
      </w:r>
    </w:p>
    <w:p>
      <w:pPr>
        <w:pStyle w:val="Defpara"/>
      </w:pPr>
      <w:r>
        <w:lastRenderedPageBreak/>
        <w:tab/>
        <w:t>(d)</w:t>
      </w:r>
      <w:r>
        <w:tab/>
        <w:t xml:space="preserve">a Commissioner of the Supreme Court of Western Australia appointed under section 49 of the </w:t>
      </w:r>
      <w:r>
        <w:rPr>
          <w:i/>
        </w:rPr>
        <w:t>Supreme Court Act 1935</w:t>
      </w:r>
      <w:r>
        <w:t>.</w:t>
      </w:r>
    </w:p>
    <w:p>
      <w:pPr>
        <w:pStyle w:val="Footnotesection"/>
      </w:pPr>
      <w:r>
        <w:tab/>
        <w:t>[Section 2 amended</w:t>
      </w:r>
      <w:del w:id="18" w:author="svcMRProcess" w:date="2019-01-22T11:48:00Z">
        <w:r>
          <w:delText xml:space="preserve"> by</w:delText>
        </w:r>
      </w:del>
      <w:ins w:id="19" w:author="svcMRProcess" w:date="2019-01-22T11:48:00Z">
        <w:r>
          <w:t>:</w:t>
        </w:r>
      </w:ins>
      <w:r>
        <w:t xml:space="preserve"> No. 23 of 1997 s. 11; No. 45 of 2004 s. 34(2).] </w:t>
      </w:r>
    </w:p>
    <w:p>
      <w:pPr>
        <w:pStyle w:val="Heading5"/>
        <w:rPr>
          <w:snapToGrid w:val="0"/>
        </w:rPr>
      </w:pPr>
      <w:bookmarkStart w:id="20" w:name="_Toc378930640"/>
      <w:bookmarkStart w:id="21" w:name="_Toc420504227"/>
      <w:bookmarkStart w:id="22" w:name="_Toc535917763"/>
      <w:bookmarkStart w:id="23" w:name="_Toc535917913"/>
      <w:bookmarkStart w:id="24" w:name="_Toc411243874"/>
      <w:bookmarkStart w:id="25" w:name="_Toc88027575"/>
      <w:bookmarkStart w:id="26" w:name="_Toc94948367"/>
      <w:bookmarkStart w:id="27" w:name="_Toc267657421"/>
      <w:r>
        <w:rPr>
          <w:rStyle w:val="CharSectno"/>
        </w:rPr>
        <w:t>3</w:t>
      </w:r>
      <w:r>
        <w:rPr>
          <w:snapToGrid w:val="0"/>
        </w:rPr>
        <w:t>.</w:t>
      </w:r>
      <w:r>
        <w:rPr>
          <w:snapToGrid w:val="0"/>
        </w:rPr>
        <w:tab/>
        <w:t>Retirement of Judges</w:t>
      </w:r>
      <w:bookmarkEnd w:id="20"/>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ins w:id="28" w:author="svcMRProcess" w:date="2019-01-22T11:48:00Z">
        <w:r>
          <w:rPr>
            <w:snapToGrid w:val="0"/>
          </w:rPr>
          <w:t>(1)</w:t>
        </w:r>
      </w:ins>
      <w:r>
        <w:rPr>
          <w:snapToGrid w:val="0"/>
        </w:rPr>
        <w:tab/>
        <w:t xml:space="preserve">Notwithstanding anything to the contrary contained in the </w:t>
      </w:r>
      <w:r>
        <w:rPr>
          <w:i/>
          <w:snapToGrid w:val="0"/>
        </w:rPr>
        <w:t>Constitution Act 1889</w:t>
      </w:r>
      <w:r>
        <w:rPr>
          <w:snapToGrid w:val="0"/>
        </w:rPr>
        <w:t xml:space="preserve">, or in the </w:t>
      </w:r>
      <w:r>
        <w:rPr>
          <w:i/>
          <w:snapToGrid w:val="0"/>
        </w:rPr>
        <w:t>Supreme Court Act 1935</w:t>
      </w:r>
      <w:r>
        <w:rPr>
          <w:snapToGrid w:val="0"/>
        </w:rPr>
        <w:t>, but subject to — </w:t>
      </w:r>
    </w:p>
    <w:p>
      <w:pPr>
        <w:pStyle w:val="Indenta"/>
        <w:rPr>
          <w:snapToGrid w:val="0"/>
        </w:rPr>
      </w:pPr>
      <w:r>
        <w:rPr>
          <w:snapToGrid w:val="0"/>
        </w:rPr>
        <w:tab/>
        <w:t>(a)</w:t>
      </w:r>
      <w:r>
        <w:rPr>
          <w:snapToGrid w:val="0"/>
        </w:rPr>
        <w:tab/>
        <w:t>section 11AA of the latter Act; or</w:t>
      </w:r>
    </w:p>
    <w:p>
      <w:pPr>
        <w:pStyle w:val="Indenta"/>
        <w:rPr>
          <w:snapToGrid w:val="0"/>
        </w:rPr>
      </w:pPr>
      <w:r>
        <w:rPr>
          <w:snapToGrid w:val="0"/>
        </w:rPr>
        <w:tab/>
        <w:t>(b)</w:t>
      </w:r>
      <w:r>
        <w:rPr>
          <w:snapToGrid w:val="0"/>
        </w:rPr>
        <w:tab/>
        <w:t xml:space="preserve">sections 16 and 18A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as the case requires, every Judge appointed after the commencement of this Act who shall attain the age of 70 years shall retire from office on the day on which he attains such age, and thereupon the office of such Judge shall by virtue of this Act become vacant</w:t>
      </w:r>
      <w:del w:id="29" w:author="svcMRProcess" w:date="2019-01-22T11:48:00Z">
        <w:r>
          <w:rPr>
            <w:snapToGrid w:val="0"/>
          </w:rPr>
          <w:delText>:</w:delText>
        </w:r>
      </w:del>
      <w:ins w:id="30" w:author="svcMRProcess" w:date="2019-01-22T11:48:00Z">
        <w:r>
          <w:rPr>
            <w:snapToGrid w:val="0"/>
          </w:rPr>
          <w:t>.</w:t>
        </w:r>
      </w:ins>
    </w:p>
    <w:p>
      <w:pPr>
        <w:pStyle w:val="Subsection"/>
        <w:rPr>
          <w:snapToGrid w:val="0"/>
        </w:rPr>
      </w:pPr>
      <w:del w:id="31" w:author="svcMRProcess" w:date="2019-01-22T11:48:00Z">
        <w:r>
          <w:rPr>
            <w:snapToGrid w:val="0"/>
          </w:rPr>
          <w:tab/>
        </w:r>
        <w:r>
          <w:rPr>
            <w:snapToGrid w:val="0"/>
          </w:rPr>
          <w:tab/>
          <w:delText>Provided that</w:delText>
        </w:r>
      </w:del>
      <w:ins w:id="32" w:author="svcMRProcess" w:date="2019-01-22T11:48:00Z">
        <w:r>
          <w:rPr>
            <w:snapToGrid w:val="0"/>
          </w:rPr>
          <w:tab/>
          <w:t>(2)</w:t>
        </w:r>
        <w:r>
          <w:rPr>
            <w:snapToGrid w:val="0"/>
          </w:rPr>
          <w:tab/>
          <w:t>Despite subsection (1),</w:t>
        </w:r>
      </w:ins>
      <w:r>
        <w:rPr>
          <w:snapToGrid w:val="0"/>
        </w:rPr>
        <w:t xml:space="preserve"> any Judge who ceases to hold office under this section on attaining the age of 70 years may nevertheless complete </w:t>
      </w:r>
      <w:r>
        <w:t>the hearing and determination of any action, cause, matter, trial or proceeding that was pending before him immediately before</w:t>
      </w:r>
      <w:r>
        <w:rPr>
          <w:snapToGrid w:val="0"/>
        </w:rPr>
        <w:t xml:space="preserve"> attaining that age</w:t>
      </w:r>
      <w:del w:id="33" w:author="svcMRProcess" w:date="2019-01-22T11:48:00Z">
        <w:r>
          <w:rPr>
            <w:snapToGrid w:val="0"/>
          </w:rPr>
          <w:delText>:</w:delText>
        </w:r>
      </w:del>
      <w:ins w:id="34" w:author="svcMRProcess" w:date="2019-01-22T11:48:00Z">
        <w:r>
          <w:rPr>
            <w:snapToGrid w:val="0"/>
          </w:rPr>
          <w:t>.</w:t>
        </w:r>
      </w:ins>
    </w:p>
    <w:p>
      <w:pPr>
        <w:pStyle w:val="Subsection"/>
        <w:rPr>
          <w:snapToGrid w:val="0"/>
        </w:rPr>
      </w:pPr>
      <w:del w:id="35" w:author="svcMRProcess" w:date="2019-01-22T11:48:00Z">
        <w:r>
          <w:rPr>
            <w:snapToGrid w:val="0"/>
          </w:rPr>
          <w:tab/>
        </w:r>
        <w:r>
          <w:rPr>
            <w:snapToGrid w:val="0"/>
          </w:rPr>
          <w:tab/>
          <w:delText>Provided further, that this</w:delText>
        </w:r>
      </w:del>
      <w:ins w:id="36" w:author="svcMRProcess" w:date="2019-01-22T11:48:00Z">
        <w:r>
          <w:rPr>
            <w:snapToGrid w:val="0"/>
          </w:rPr>
          <w:tab/>
          <w:t>(3)</w:t>
        </w:r>
        <w:r>
          <w:rPr>
            <w:snapToGrid w:val="0"/>
          </w:rPr>
          <w:tab/>
          <w:t>This</w:t>
        </w:r>
      </w:ins>
      <w:r>
        <w:rPr>
          <w:snapToGrid w:val="0"/>
        </w:rPr>
        <w:t xml:space="preserve"> section shall not apply to any Judge who holds office as a puisne Judge at the date of the commencement of this Act and who is hereafter appointed to the office of Chief Justice.</w:t>
      </w:r>
    </w:p>
    <w:p>
      <w:pPr>
        <w:pStyle w:val="Footnotesection"/>
      </w:pPr>
      <w:r>
        <w:tab/>
        <w:t>[Section 3 amended</w:t>
      </w:r>
      <w:del w:id="37" w:author="svcMRProcess" w:date="2019-01-22T11:48:00Z">
        <w:r>
          <w:delText xml:space="preserve"> by</w:delText>
        </w:r>
      </w:del>
      <w:ins w:id="38" w:author="svcMRProcess" w:date="2019-01-22T11:48:00Z">
        <w:r>
          <w:t>:</w:t>
        </w:r>
      </w:ins>
      <w:r>
        <w:t xml:space="preserve"> No. 23 of 1997 s. 12; No. 45 of 2004 s. 34(3</w:t>
      </w:r>
      <w:del w:id="39" w:author="svcMRProcess" w:date="2019-01-22T11:48:00Z">
        <w:r>
          <w:delText>).]</w:delText>
        </w:r>
      </w:del>
      <w:ins w:id="40" w:author="svcMRProcess" w:date="2019-01-22T11:48:00Z">
        <w:r>
          <w:t>); No. 19 of 2010 s. 51.]</w:t>
        </w:r>
      </w:ins>
      <w:r>
        <w:t xml:space="preserve"> </w:t>
      </w:r>
    </w:p>
    <w:p>
      <w:pPr>
        <w:pStyle w:val="Heading5"/>
      </w:pPr>
      <w:bookmarkStart w:id="41" w:name="_Toc378930641"/>
      <w:bookmarkStart w:id="42" w:name="_Toc420504228"/>
      <w:bookmarkStart w:id="43" w:name="_Toc535917764"/>
      <w:bookmarkStart w:id="44" w:name="_Toc535917914"/>
      <w:bookmarkStart w:id="45" w:name="_Toc94948368"/>
      <w:bookmarkStart w:id="46" w:name="_Toc267657422"/>
      <w:r>
        <w:rPr>
          <w:rStyle w:val="CharSectno"/>
        </w:rPr>
        <w:t>4</w:t>
      </w:r>
      <w:r>
        <w:t>.</w:t>
      </w:r>
      <w:r>
        <w:tab/>
        <w:t>Resignation of judges</w:t>
      </w:r>
      <w:bookmarkEnd w:id="41"/>
      <w:bookmarkEnd w:id="42"/>
      <w:bookmarkEnd w:id="43"/>
      <w:bookmarkEnd w:id="44"/>
      <w:bookmarkEnd w:id="45"/>
      <w:bookmarkEnd w:id="46"/>
    </w:p>
    <w:p>
      <w:pPr>
        <w:pStyle w:val="Subsection"/>
      </w:pPr>
      <w:r>
        <w:tab/>
        <w:t>(1)</w:t>
      </w:r>
      <w:r>
        <w:tab/>
        <w:t>A Judge may at any time resign from office by giving his written and signed resignation to the Governor.</w:t>
      </w:r>
    </w:p>
    <w:p>
      <w:pPr>
        <w:pStyle w:val="Subsection"/>
      </w:pPr>
      <w:r>
        <w:tab/>
        <w:t>(2)</w:t>
      </w:r>
      <w:r>
        <w:tab/>
        <w:t>If the Governor agrees to the resignation, it takes effect on the day on which the Governor agrees to it or on any later day that it may specify.</w:t>
      </w:r>
    </w:p>
    <w:p>
      <w:pPr>
        <w:pStyle w:val="Subsection"/>
      </w:pPr>
      <w:r>
        <w:tab/>
        <w:t>(3)</w:t>
      </w:r>
      <w:r>
        <w:tab/>
        <w:t>A Judge who resigns from office may complete the hearing and determination of any action, cause, matter, trial or proceeding that was pending before him immediately before his resignation took effect and for that purpose the Judge’s appointment is to be taken to be extended until he has done so.</w:t>
      </w:r>
    </w:p>
    <w:p>
      <w:pPr>
        <w:pStyle w:val="Footnotesection"/>
      </w:pPr>
      <w:r>
        <w:tab/>
        <w:t>[Section 4 inserted</w:t>
      </w:r>
      <w:del w:id="47" w:author="svcMRProcess" w:date="2019-01-22T11:48:00Z">
        <w:r>
          <w:delText xml:space="preserve"> by</w:delText>
        </w:r>
      </w:del>
      <w:ins w:id="48" w:author="svcMRProcess" w:date="2019-01-22T11:48:00Z">
        <w:r>
          <w:t>:</w:t>
        </w:r>
      </w:ins>
      <w:r>
        <w:t xml:space="preserve"> No. 45 of 2004 s. 34(4).]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76" w:right="2405" w:bottom="3542" w:left="2405" w:header="706" w:footer="3380" w:gutter="0"/>
          <w:pgNumType w:start="1"/>
          <w:cols w:space="720"/>
          <w:noEndnote/>
          <w:titlePg/>
          <w:docGrid w:linePitch="326"/>
        </w:sectPr>
      </w:pPr>
    </w:p>
    <w:p>
      <w:pPr>
        <w:pStyle w:val="nHeading2"/>
      </w:pPr>
      <w:bookmarkStart w:id="49" w:name="_Toc378930642"/>
      <w:bookmarkStart w:id="50" w:name="_Toc420504195"/>
      <w:bookmarkStart w:id="51" w:name="_Toc420504229"/>
      <w:bookmarkStart w:id="52" w:name="_Toc535917765"/>
      <w:bookmarkStart w:id="53" w:name="_Toc535917915"/>
      <w:bookmarkStart w:id="54" w:name="_Toc88027576"/>
      <w:bookmarkStart w:id="55" w:name="_Toc88027641"/>
      <w:bookmarkStart w:id="56" w:name="_Toc88370976"/>
      <w:bookmarkStart w:id="57" w:name="_Toc88539480"/>
      <w:bookmarkStart w:id="58" w:name="_Toc94948304"/>
      <w:bookmarkStart w:id="59" w:name="_Toc94948369"/>
      <w:bookmarkStart w:id="60" w:name="_Toc267656716"/>
      <w:bookmarkStart w:id="61" w:name="_Toc267656740"/>
      <w:bookmarkStart w:id="62" w:name="_Toc267656764"/>
      <w:bookmarkStart w:id="63" w:name="_Toc267656956"/>
      <w:bookmarkStart w:id="64" w:name="_Toc267657423"/>
      <w:r>
        <w:t>Notes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Judges’ Retirement Act 1937</w:t>
      </w:r>
      <w:r>
        <w:rPr>
          <w:snapToGrid w:val="0"/>
        </w:rPr>
        <w:t xml:space="preserve"> and includes the amendments made by the other written laws referred to in the following table</w:t>
      </w:r>
      <w:del w:id="65" w:author="svcMRProcess" w:date="2019-01-22T11:48:00Z">
        <w:r>
          <w:rPr>
            <w:snapToGrid w:val="0"/>
            <w:vertAlign w:val="superscript"/>
          </w:rPr>
          <w:delText> 1a</w:delText>
        </w:r>
      </w:del>
      <w:r>
        <w:rPr>
          <w:snapToGrid w:val="0"/>
        </w:rPr>
        <w:t>.  The table also contains information about any reprint.</w:t>
      </w:r>
    </w:p>
    <w:p>
      <w:pPr>
        <w:pStyle w:val="nHeading3"/>
        <w:rPr>
          <w:snapToGrid w:val="0"/>
        </w:rPr>
      </w:pPr>
      <w:bookmarkStart w:id="66" w:name="_Toc378930643"/>
      <w:bookmarkStart w:id="67" w:name="_Toc420504230"/>
      <w:bookmarkStart w:id="68" w:name="_Toc535917766"/>
      <w:bookmarkStart w:id="69" w:name="_Toc535917916"/>
      <w:bookmarkStart w:id="70" w:name="_Toc88027577"/>
      <w:bookmarkStart w:id="71" w:name="_Toc94948370"/>
      <w:bookmarkStart w:id="72" w:name="_Toc267657424"/>
      <w:r>
        <w:rPr>
          <w:snapToGrid w:val="0"/>
        </w:rPr>
        <w:t>Compilation table</w:t>
      </w:r>
      <w:bookmarkEnd w:id="66"/>
      <w:bookmarkEnd w:id="67"/>
      <w:bookmarkEnd w:id="68"/>
      <w:bookmarkEnd w:id="69"/>
      <w:bookmarkEnd w:id="70"/>
      <w:bookmarkEnd w:id="71"/>
      <w:bookmarkEnd w:id="72"/>
    </w:p>
    <w:tbl>
      <w:tblPr>
        <w:tblW w:w="0" w:type="auto"/>
        <w:tblInd w:w="57" w:type="dxa"/>
        <w:tblLayout w:type="fixed"/>
        <w:tblCellMar>
          <w:left w:w="56" w:type="dxa"/>
          <w:right w:w="56" w:type="dxa"/>
        </w:tblCellMar>
        <w:tblLook w:val="0000" w:firstRow="0" w:lastRow="0" w:firstColumn="0" w:lastColumn="0" w:noHBand="0" w:noVBand="0"/>
      </w:tblPr>
      <w:tblGrid>
        <w:gridCol w:w="2278"/>
        <w:gridCol w:w="1139"/>
        <w:gridCol w:w="1136"/>
        <w:gridCol w:w="2599"/>
      </w:tblGrid>
      <w:tr>
        <w:trPr>
          <w:tblHeader/>
        </w:trPr>
        <w:tc>
          <w:tcPr>
            <w:tcW w:w="2278" w:type="dxa"/>
            <w:tcBorders>
              <w:top w:val="single" w:sz="8" w:space="0" w:color="auto"/>
              <w:bottom w:val="single" w:sz="8" w:space="0" w:color="auto"/>
            </w:tcBorders>
          </w:tcPr>
          <w:p>
            <w:pPr>
              <w:pStyle w:val="nTable"/>
              <w:keepNext/>
              <w:spacing w:after="40"/>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6" w:type="dxa"/>
            <w:tcBorders>
              <w:top w:val="single" w:sz="8" w:space="0" w:color="auto"/>
              <w:bottom w:val="single" w:sz="8" w:space="0" w:color="auto"/>
            </w:tcBorders>
          </w:tcPr>
          <w:p>
            <w:pPr>
              <w:pStyle w:val="nTable"/>
              <w:keepNext/>
              <w:spacing w:after="40"/>
              <w:rPr>
                <w:b/>
              </w:rPr>
            </w:pPr>
            <w:r>
              <w:rPr>
                <w:b/>
              </w:rPr>
              <w:t>Assent</w:t>
            </w:r>
          </w:p>
        </w:tc>
        <w:tc>
          <w:tcPr>
            <w:tcW w:w="2599" w:type="dxa"/>
            <w:tcBorders>
              <w:top w:val="single" w:sz="8" w:space="0" w:color="auto"/>
              <w:bottom w:val="single" w:sz="8" w:space="0" w:color="auto"/>
            </w:tcBorders>
          </w:tcPr>
          <w:p>
            <w:pPr>
              <w:pStyle w:val="nTable"/>
              <w:keepNext/>
              <w:spacing w:after="40"/>
              <w:rPr>
                <w:b/>
              </w:rPr>
            </w:pPr>
            <w:r>
              <w:rPr>
                <w:b/>
              </w:rPr>
              <w:t>Commencement</w:t>
            </w:r>
          </w:p>
        </w:tc>
      </w:tr>
      <w:tr>
        <w:tc>
          <w:tcPr>
            <w:tcW w:w="2278" w:type="dxa"/>
          </w:tcPr>
          <w:p>
            <w:pPr>
              <w:pStyle w:val="nTable"/>
              <w:spacing w:after="40"/>
            </w:pPr>
            <w:r>
              <w:rPr>
                <w:i/>
              </w:rPr>
              <w:t>Judges’ Retirement Act 1937</w:t>
            </w:r>
          </w:p>
        </w:tc>
        <w:tc>
          <w:tcPr>
            <w:tcW w:w="1139" w:type="dxa"/>
          </w:tcPr>
          <w:p>
            <w:pPr>
              <w:pStyle w:val="nTable"/>
              <w:spacing w:after="40"/>
            </w:pPr>
            <w:r>
              <w:t>8 of 1937</w:t>
            </w:r>
          </w:p>
        </w:tc>
        <w:tc>
          <w:tcPr>
            <w:tcW w:w="1136" w:type="dxa"/>
          </w:tcPr>
          <w:p>
            <w:pPr>
              <w:pStyle w:val="nTable"/>
              <w:spacing w:after="40"/>
            </w:pPr>
            <w:r>
              <w:t>8 Dec 1937</w:t>
            </w:r>
          </w:p>
        </w:tc>
        <w:tc>
          <w:tcPr>
            <w:tcW w:w="2599" w:type="dxa"/>
          </w:tcPr>
          <w:p>
            <w:pPr>
              <w:pStyle w:val="nTable"/>
              <w:spacing w:after="40"/>
            </w:pPr>
            <w:r>
              <w:t>8 Dec 1937</w:t>
            </w:r>
          </w:p>
        </w:tc>
      </w:tr>
      <w:tr>
        <w:tc>
          <w:tcPr>
            <w:tcW w:w="2278" w:type="dxa"/>
          </w:tcPr>
          <w:p>
            <w:pPr>
              <w:pStyle w:val="nTable"/>
              <w:spacing w:after="40"/>
            </w:pPr>
            <w:r>
              <w:rPr>
                <w:i/>
              </w:rPr>
              <w:t xml:space="preserve">Judges’ Salaries and Pensions Act 1950 </w:t>
            </w:r>
            <w:r>
              <w:t>s. 4</w:t>
            </w:r>
          </w:p>
        </w:tc>
        <w:tc>
          <w:tcPr>
            <w:tcW w:w="1139" w:type="dxa"/>
          </w:tcPr>
          <w:p>
            <w:pPr>
              <w:pStyle w:val="nTable"/>
              <w:spacing w:after="40"/>
            </w:pPr>
            <w:r>
              <w:t>35 of 1950</w:t>
            </w:r>
          </w:p>
        </w:tc>
        <w:tc>
          <w:tcPr>
            <w:tcW w:w="1136" w:type="dxa"/>
          </w:tcPr>
          <w:p>
            <w:pPr>
              <w:pStyle w:val="nTable"/>
              <w:spacing w:after="40"/>
            </w:pPr>
            <w:r>
              <w:t>16 Dec 1950</w:t>
            </w:r>
          </w:p>
        </w:tc>
        <w:tc>
          <w:tcPr>
            <w:tcW w:w="2599" w:type="dxa"/>
          </w:tcPr>
          <w:p>
            <w:pPr>
              <w:pStyle w:val="nTable"/>
              <w:spacing w:after="40"/>
            </w:pPr>
            <w:r>
              <w:t>16 Dec 1950</w:t>
            </w:r>
          </w:p>
        </w:tc>
      </w:tr>
      <w:tr>
        <w:trPr>
          <w:cantSplit/>
        </w:trPr>
        <w:tc>
          <w:tcPr>
            <w:tcW w:w="7152" w:type="dxa"/>
            <w:gridSpan w:val="4"/>
          </w:tcPr>
          <w:p>
            <w:pPr>
              <w:pStyle w:val="nTable"/>
              <w:spacing w:after="40"/>
            </w:pPr>
            <w:r>
              <w:rPr>
                <w:b/>
              </w:rPr>
              <w:t xml:space="preserve">Reprint of the </w:t>
            </w:r>
            <w:r>
              <w:rPr>
                <w:b/>
                <w:i/>
              </w:rPr>
              <w:t>Judges’ Retirement Act 1937</w:t>
            </w:r>
            <w:r>
              <w:rPr>
                <w:b/>
              </w:rPr>
              <w:t xml:space="preserve"> as at 19 Jan 1989</w:t>
            </w:r>
            <w:r>
              <w:t xml:space="preserve"> (includes amendments listed above)</w:t>
            </w:r>
          </w:p>
        </w:tc>
      </w:tr>
      <w:tr>
        <w:tc>
          <w:tcPr>
            <w:tcW w:w="2278" w:type="dxa"/>
          </w:tcPr>
          <w:p>
            <w:pPr>
              <w:pStyle w:val="nTable"/>
              <w:spacing w:after="40"/>
            </w:pPr>
            <w:r>
              <w:rPr>
                <w:i/>
              </w:rPr>
              <w:t xml:space="preserve">Acts Amendment (Auxiliary Judges) Act 1997 </w:t>
            </w:r>
            <w:r>
              <w:t>Pt. 4</w:t>
            </w:r>
          </w:p>
        </w:tc>
        <w:tc>
          <w:tcPr>
            <w:tcW w:w="1139" w:type="dxa"/>
          </w:tcPr>
          <w:p>
            <w:pPr>
              <w:pStyle w:val="nTable"/>
              <w:spacing w:after="40"/>
            </w:pPr>
            <w:r>
              <w:t>23 of 1997</w:t>
            </w:r>
          </w:p>
        </w:tc>
        <w:tc>
          <w:tcPr>
            <w:tcW w:w="1136" w:type="dxa"/>
          </w:tcPr>
          <w:p>
            <w:pPr>
              <w:pStyle w:val="nTable"/>
              <w:spacing w:after="40"/>
            </w:pPr>
            <w:r>
              <w:t>18 Sep 1997</w:t>
            </w:r>
          </w:p>
        </w:tc>
        <w:tc>
          <w:tcPr>
            <w:tcW w:w="2599" w:type="dxa"/>
          </w:tcPr>
          <w:p>
            <w:pPr>
              <w:pStyle w:val="nTable"/>
              <w:spacing w:after="40"/>
            </w:pPr>
            <w:r>
              <w:t>18 Sep 1997 (see s. 2)</w:t>
            </w:r>
          </w:p>
        </w:tc>
      </w:tr>
      <w:tr>
        <w:trPr>
          <w:cantSplit/>
        </w:trPr>
        <w:tc>
          <w:tcPr>
            <w:tcW w:w="7152" w:type="dxa"/>
            <w:gridSpan w:val="4"/>
          </w:tcPr>
          <w:p>
            <w:pPr>
              <w:pStyle w:val="nTable"/>
              <w:spacing w:after="40"/>
            </w:pPr>
            <w:r>
              <w:rPr>
                <w:b/>
              </w:rPr>
              <w:t xml:space="preserve">Reprint 2: The </w:t>
            </w:r>
            <w:r>
              <w:rPr>
                <w:b/>
                <w:i/>
              </w:rPr>
              <w:t>Judges’ Retirement Act 1937</w:t>
            </w:r>
            <w:r>
              <w:rPr>
                <w:b/>
              </w:rPr>
              <w:t xml:space="preserve"> as at 5 Dec 2003</w:t>
            </w:r>
            <w:r>
              <w:t xml:space="preserve"> (includes amendments listed above)</w:t>
            </w:r>
          </w:p>
        </w:tc>
      </w:tr>
      <w:tr>
        <w:tc>
          <w:tcPr>
            <w:tcW w:w="2278" w:type="dxa"/>
          </w:tcPr>
          <w:p>
            <w:pPr>
              <w:pStyle w:val="nTable"/>
              <w:rPr>
                <w:i/>
                <w:snapToGrid w:val="0"/>
              </w:rPr>
            </w:pPr>
            <w:r>
              <w:rPr>
                <w:i/>
                <w:iCs/>
                <w:snapToGrid w:val="0"/>
              </w:rPr>
              <w:t>Acts Amendment (Court of Appeal) Act 2004</w:t>
            </w:r>
            <w:r>
              <w:rPr>
                <w:snapToGrid w:val="0"/>
              </w:rPr>
              <w:t xml:space="preserve"> s. 34</w:t>
            </w:r>
          </w:p>
        </w:tc>
        <w:tc>
          <w:tcPr>
            <w:tcW w:w="1139" w:type="dxa"/>
          </w:tcPr>
          <w:p>
            <w:pPr>
              <w:pStyle w:val="nTable"/>
              <w:rPr>
                <w:snapToGrid w:val="0"/>
              </w:rPr>
            </w:pPr>
            <w:r>
              <w:rPr>
                <w:snapToGrid w:val="0"/>
              </w:rPr>
              <w:t>45 of 2004</w:t>
            </w:r>
          </w:p>
        </w:tc>
        <w:tc>
          <w:tcPr>
            <w:tcW w:w="1136" w:type="dxa"/>
          </w:tcPr>
          <w:p>
            <w:pPr>
              <w:pStyle w:val="nTable"/>
            </w:pPr>
            <w:r>
              <w:t>9 Nov 2004</w:t>
            </w:r>
          </w:p>
        </w:tc>
        <w:tc>
          <w:tcPr>
            <w:tcW w:w="2599" w:type="dxa"/>
          </w:tcPr>
          <w:p>
            <w:pPr>
              <w:pStyle w:val="nTable"/>
              <w:rPr>
                <w:snapToGrid w:val="0"/>
              </w:rPr>
            </w:pPr>
            <w:r>
              <w:rPr>
                <w:snapToGrid w:val="0"/>
              </w:rPr>
              <w:t xml:space="preserve">1 Feb 2005 (see s. 2 and </w:t>
            </w:r>
            <w:r>
              <w:rPr>
                <w:i/>
                <w:iCs/>
                <w:snapToGrid w:val="0"/>
              </w:rPr>
              <w:t>Gazette</w:t>
            </w:r>
            <w:r>
              <w:rPr>
                <w:snapToGrid w:val="0"/>
              </w:rPr>
              <w:t xml:space="preserve"> 14 Jan 2005 p. 163)</w:t>
            </w:r>
          </w:p>
        </w:tc>
      </w:tr>
    </w:tbl>
    <w:p>
      <w:pPr>
        <w:pStyle w:val="nSubsection"/>
        <w:ind w:left="459" w:hanging="459"/>
        <w:rPr>
          <w:del w:id="73" w:author="svcMRProcess" w:date="2019-01-22T11:48:00Z"/>
          <w:snapToGrid w:val="0"/>
          <w:vertAlign w:val="superscript"/>
        </w:rPr>
      </w:pPr>
    </w:p>
    <w:p>
      <w:pPr>
        <w:pStyle w:val="nSubsection"/>
        <w:tabs>
          <w:tab w:val="clear" w:pos="454"/>
          <w:tab w:val="left" w:pos="567"/>
        </w:tabs>
        <w:spacing w:before="120"/>
        <w:ind w:left="567" w:hanging="567"/>
        <w:rPr>
          <w:del w:id="74" w:author="svcMRProcess" w:date="2019-01-22T11:48:00Z"/>
          <w:snapToGrid w:val="0"/>
        </w:rPr>
      </w:pPr>
      <w:del w:id="75" w:author="svcMRProcess" w:date="2019-01-22T11: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6" w:author="svcMRProcess" w:date="2019-01-22T11:48:00Z"/>
        </w:rPr>
      </w:pPr>
      <w:bookmarkStart w:id="77" w:name="_Toc7405065"/>
      <w:bookmarkStart w:id="78" w:name="_Toc267657425"/>
      <w:del w:id="79" w:author="svcMRProcess" w:date="2019-01-22T11:48:00Z">
        <w:r>
          <w:delText>Provisions that have not come into operation</w:delText>
        </w:r>
        <w:bookmarkEnd w:id="77"/>
        <w:bookmarkEnd w:id="7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2"/>
        <w:gridCol w:w="1126"/>
        <w:gridCol w:w="1123"/>
        <w:gridCol w:w="2554"/>
      </w:tblGrid>
      <w:tr>
        <w:trPr>
          <w:del w:id="80" w:author="svcMRProcess" w:date="2019-01-22T11:48:00Z"/>
        </w:trPr>
        <w:tc>
          <w:tcPr>
            <w:tcW w:w="2266" w:type="dxa"/>
          </w:tcPr>
          <w:p>
            <w:pPr>
              <w:pStyle w:val="nTable"/>
              <w:spacing w:after="40"/>
              <w:rPr>
                <w:del w:id="81" w:author="svcMRProcess" w:date="2019-01-22T11:48:00Z"/>
                <w:b/>
                <w:snapToGrid w:val="0"/>
                <w:lang w:val="en-US"/>
              </w:rPr>
            </w:pPr>
            <w:del w:id="82" w:author="svcMRProcess" w:date="2019-01-22T11:48:00Z">
              <w:r>
                <w:rPr>
                  <w:b/>
                  <w:snapToGrid w:val="0"/>
                  <w:lang w:val="en-US"/>
                </w:rPr>
                <w:delText>Short title</w:delText>
              </w:r>
            </w:del>
          </w:p>
        </w:tc>
        <w:tc>
          <w:tcPr>
            <w:tcW w:w="1120" w:type="dxa"/>
          </w:tcPr>
          <w:p>
            <w:pPr>
              <w:pStyle w:val="nTable"/>
              <w:spacing w:after="40"/>
              <w:rPr>
                <w:del w:id="83" w:author="svcMRProcess" w:date="2019-01-22T11:48:00Z"/>
                <w:b/>
                <w:snapToGrid w:val="0"/>
                <w:lang w:val="en-US"/>
              </w:rPr>
            </w:pPr>
            <w:del w:id="84" w:author="svcMRProcess" w:date="2019-01-22T11:48:00Z">
              <w:r>
                <w:rPr>
                  <w:b/>
                  <w:snapToGrid w:val="0"/>
                  <w:lang w:val="en-US"/>
                </w:rPr>
                <w:delText>Number and year</w:delText>
              </w:r>
            </w:del>
          </w:p>
        </w:tc>
        <w:tc>
          <w:tcPr>
            <w:tcW w:w="1135" w:type="dxa"/>
          </w:tcPr>
          <w:p>
            <w:pPr>
              <w:pStyle w:val="nTable"/>
              <w:spacing w:after="40"/>
              <w:rPr>
                <w:del w:id="85" w:author="svcMRProcess" w:date="2019-01-22T11:48:00Z"/>
                <w:b/>
                <w:snapToGrid w:val="0"/>
                <w:lang w:val="en-US"/>
              </w:rPr>
            </w:pPr>
            <w:del w:id="86" w:author="svcMRProcess" w:date="2019-01-22T11:48:00Z">
              <w:r>
                <w:rPr>
                  <w:b/>
                  <w:snapToGrid w:val="0"/>
                  <w:lang w:val="en-US"/>
                </w:rPr>
                <w:delText>Assent</w:delText>
              </w:r>
            </w:del>
          </w:p>
        </w:tc>
        <w:tc>
          <w:tcPr>
            <w:tcW w:w="2534" w:type="dxa"/>
          </w:tcPr>
          <w:p>
            <w:pPr>
              <w:pStyle w:val="nTable"/>
              <w:spacing w:after="40"/>
              <w:rPr>
                <w:del w:id="87" w:author="svcMRProcess" w:date="2019-01-22T11:48:00Z"/>
                <w:b/>
                <w:snapToGrid w:val="0"/>
                <w:lang w:val="en-US"/>
              </w:rPr>
            </w:pPr>
            <w:del w:id="88" w:author="svcMRProcess" w:date="2019-01-22T11:4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51</w:t>
            </w:r>
            <w:del w:id="89" w:author="svcMRProcess" w:date="2019-01-22T11:48:00Z">
              <w:r>
                <w:rPr>
                  <w:iCs/>
                  <w:snapToGrid w:val="0"/>
                  <w:vertAlign w:val="superscript"/>
                  <w:lang w:val="en-US"/>
                </w:rPr>
                <w:delText> 3</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85" w:type="dxa"/>
            <w:tcBorders>
              <w:bottom w:val="single" w:sz="4" w:space="0" w:color="auto"/>
            </w:tcBorders>
          </w:tcPr>
          <w:p>
            <w:pPr>
              <w:pStyle w:val="nTable"/>
              <w:spacing w:after="40"/>
              <w:rPr>
                <w:snapToGrid w:val="0"/>
              </w:rPr>
            </w:pPr>
            <w:del w:id="90" w:author="svcMRProcess" w:date="2019-01-22T11:48:00Z">
              <w:r>
                <w:rPr>
                  <w:snapToGrid w:val="0"/>
                  <w:lang w:val="en-US"/>
                </w:rPr>
                <w:delText>To be proclaimed</w:delText>
              </w:r>
            </w:del>
            <w:ins w:id="91" w:author="svcMRProcess" w:date="2019-01-22T11:48:00Z">
              <w:r>
                <w:rPr>
                  <w:snapToGrid w:val="0"/>
                </w:rPr>
                <w:t>11 Sep 2010</w:t>
              </w:r>
            </w:ins>
            <w:r>
              <w:rPr>
                <w:snapToGrid w:val="0"/>
              </w:rPr>
              <w:t xml:space="preserve"> (see s. 2(b</w:t>
            </w:r>
            <w:del w:id="92" w:author="svcMRProcess" w:date="2019-01-22T11:48:00Z">
              <w:r>
                <w:rPr>
                  <w:snapToGrid w:val="0"/>
                  <w:lang w:val="en-US"/>
                </w:rPr>
                <w:delText>))</w:delText>
              </w:r>
            </w:del>
            <w:ins w:id="93" w:author="svcMRProcess" w:date="2019-01-22T11:48:00Z">
              <w:r>
                <w:rPr>
                  <w:snapToGrid w:val="0"/>
                </w:rPr>
                <w:t xml:space="preserve">) and </w:t>
              </w:r>
              <w:r>
                <w:rPr>
                  <w:i/>
                  <w:iCs/>
                  <w:snapToGrid w:val="0"/>
                </w:rPr>
                <w:t>Gazette</w:t>
              </w:r>
              <w:r>
                <w:rPr>
                  <w:snapToGrid w:val="0"/>
                </w:rPr>
                <w:t xml:space="preserve"> 10 Sep 2010 p. 4341)</w:t>
              </w:r>
            </w:ins>
          </w:p>
        </w:tc>
      </w:tr>
    </w:tbl>
    <w:p>
      <w:pPr>
        <w:pStyle w:val="nSubsection"/>
        <w:ind w:left="459" w:hanging="459"/>
        <w:rPr>
          <w:del w:id="94" w:author="svcMRProcess" w:date="2019-01-22T11:48:00Z"/>
          <w:snapToGrid w:val="0"/>
          <w:vertAlign w:val="superscript"/>
        </w:rPr>
      </w:pPr>
    </w:p>
    <w:p>
      <w:pPr>
        <w:pStyle w:val="nSubsection"/>
        <w:ind w:left="459" w:hanging="459"/>
        <w:rPr>
          <w:snapToGrid w:val="0"/>
        </w:rPr>
      </w:pPr>
      <w:r>
        <w:rPr>
          <w:snapToGrid w:val="0"/>
          <w:vertAlign w:val="superscript"/>
        </w:rPr>
        <w:t>2</w:t>
      </w:r>
      <w:r>
        <w:rPr>
          <w:snapToGrid w:val="0"/>
        </w:rPr>
        <w:tab/>
        <w:t xml:space="preserve">Marginal notes in the </w:t>
      </w:r>
      <w:r>
        <w:rPr>
          <w:i/>
          <w:snapToGrid w:val="0"/>
        </w:rPr>
        <w:t>Judges’ Retirement Act 1937</w:t>
      </w:r>
      <w:r>
        <w:rPr>
          <w:snapToGrid w:val="0"/>
        </w:rPr>
        <w:t xml:space="preserve"> referring to legislation of other jurisdictions have been omitted.</w:t>
      </w:r>
    </w:p>
    <w:p>
      <w:pPr>
        <w:pStyle w:val="nSubsection"/>
        <w:ind w:left="459" w:hanging="459"/>
        <w:rPr>
          <w:del w:id="95" w:author="svcMRProcess" w:date="2019-01-22T11:48:00Z"/>
          <w:snapToGrid w:val="0"/>
        </w:rPr>
      </w:pPr>
      <w:del w:id="96" w:author="svcMRProcess" w:date="2019-01-22T11:48: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97" w:author="svcMRProcess" w:date="2019-01-22T11:48:00Z"/>
        </w:rPr>
      </w:pPr>
    </w:p>
    <w:p>
      <w:pPr>
        <w:pStyle w:val="nzHeading5"/>
        <w:rPr>
          <w:del w:id="98" w:author="svcMRProcess" w:date="2019-01-22T11:48:00Z"/>
        </w:rPr>
      </w:pPr>
      <w:bookmarkStart w:id="99" w:name="_Toc233107854"/>
      <w:bookmarkStart w:id="100" w:name="_Toc255473747"/>
      <w:bookmarkStart w:id="101" w:name="_Toc265583802"/>
      <w:del w:id="102" w:author="svcMRProcess" w:date="2019-01-22T11:48:00Z">
        <w:r>
          <w:rPr>
            <w:rStyle w:val="CharSectno"/>
          </w:rPr>
          <w:delText>51</w:delText>
        </w:r>
        <w:r>
          <w:delText>.</w:delText>
        </w:r>
        <w:r>
          <w:tab/>
          <w:delText>Various written laws amended</w:delText>
        </w:r>
        <w:bookmarkEnd w:id="99"/>
        <w:bookmarkEnd w:id="100"/>
        <w:bookmarkEnd w:id="101"/>
      </w:del>
    </w:p>
    <w:p>
      <w:pPr>
        <w:pStyle w:val="nzSubsection"/>
        <w:rPr>
          <w:del w:id="103" w:author="svcMRProcess" w:date="2019-01-22T11:48:00Z"/>
        </w:rPr>
      </w:pPr>
      <w:del w:id="104" w:author="svcMRProcess" w:date="2019-01-22T11:48:00Z">
        <w:r>
          <w:tab/>
          <w:delText>(1)</w:delText>
        </w:r>
        <w:r>
          <w:tab/>
          <w:delText>This section amends the written laws listed in the Table.</w:delText>
        </w:r>
      </w:del>
    </w:p>
    <w:p>
      <w:pPr>
        <w:pStyle w:val="nzSubsection"/>
        <w:rPr>
          <w:del w:id="105" w:author="svcMRProcess" w:date="2019-01-22T11:48:00Z"/>
        </w:rPr>
      </w:pPr>
      <w:del w:id="106" w:author="svcMRProcess" w:date="2019-01-22T11:48: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07" w:author="svcMRProcess" w:date="2019-01-22T11:48:00Z"/>
        </w:trPr>
        <w:tc>
          <w:tcPr>
            <w:tcW w:w="6804" w:type="dxa"/>
            <w:gridSpan w:val="3"/>
          </w:tcPr>
          <w:p>
            <w:pPr>
              <w:pStyle w:val="TableAm"/>
              <w:keepNext/>
              <w:ind w:left="567" w:hanging="567"/>
              <w:rPr>
                <w:del w:id="108" w:author="svcMRProcess" w:date="2019-01-22T11:48:00Z"/>
                <w:b/>
                <w:bCs/>
                <w:iCs/>
              </w:rPr>
            </w:pPr>
            <w:del w:id="109" w:author="svcMRProcess" w:date="2019-01-22T11:48:00Z">
              <w:r>
                <w:rPr>
                  <w:b/>
                  <w:bCs/>
                </w:rPr>
                <w:delText>33.</w:delText>
              </w:r>
              <w:r>
                <w:rPr>
                  <w:b/>
                  <w:bCs/>
                </w:rPr>
                <w:tab/>
              </w:r>
              <w:r>
                <w:rPr>
                  <w:b/>
                  <w:bCs/>
                  <w:i/>
                  <w:iCs/>
                </w:rPr>
                <w:delText>Judges’ Retirement Act 1937</w:delText>
              </w:r>
            </w:del>
          </w:p>
        </w:tc>
      </w:tr>
      <w:tr>
        <w:trPr>
          <w:jc w:val="center"/>
          <w:del w:id="110" w:author="svcMRProcess" w:date="2019-01-22T11:48:00Z"/>
        </w:trPr>
        <w:tc>
          <w:tcPr>
            <w:tcW w:w="1702" w:type="dxa"/>
          </w:tcPr>
          <w:p>
            <w:pPr>
              <w:pStyle w:val="TableAm"/>
              <w:rPr>
                <w:del w:id="111" w:author="svcMRProcess" w:date="2019-01-22T11:48:00Z"/>
              </w:rPr>
            </w:pPr>
            <w:del w:id="112" w:author="svcMRProcess" w:date="2019-01-22T11:48:00Z">
              <w:r>
                <w:delText>s. 3</w:delText>
              </w:r>
            </w:del>
          </w:p>
        </w:tc>
        <w:tc>
          <w:tcPr>
            <w:tcW w:w="2551" w:type="dxa"/>
          </w:tcPr>
          <w:p>
            <w:pPr>
              <w:pStyle w:val="TableAm"/>
              <w:rPr>
                <w:del w:id="113" w:author="svcMRProcess" w:date="2019-01-22T11:48:00Z"/>
                <w:snapToGrid w:val="0"/>
              </w:rPr>
            </w:pPr>
            <w:del w:id="114" w:author="svcMRProcess" w:date="2019-01-22T11:48:00Z">
              <w:r>
                <w:rPr>
                  <w:snapToGrid w:val="0"/>
                </w:rPr>
                <w:delText>Notwithstanding</w:delText>
              </w:r>
            </w:del>
          </w:p>
          <w:p>
            <w:pPr>
              <w:pStyle w:val="TableAm"/>
              <w:rPr>
                <w:del w:id="115" w:author="svcMRProcess" w:date="2019-01-22T11:48:00Z"/>
                <w:snapToGrid w:val="0"/>
              </w:rPr>
            </w:pPr>
            <w:del w:id="116" w:author="svcMRProcess" w:date="2019-01-22T11:48:00Z">
              <w:r>
                <w:rPr>
                  <w:snapToGrid w:val="0"/>
                </w:rPr>
                <w:delText>vacant:</w:delText>
              </w:r>
            </w:del>
          </w:p>
          <w:p>
            <w:pPr>
              <w:pStyle w:val="TableAm"/>
              <w:rPr>
                <w:del w:id="117" w:author="svcMRProcess" w:date="2019-01-22T11:48:00Z"/>
                <w:snapToGrid w:val="0"/>
              </w:rPr>
            </w:pPr>
            <w:del w:id="118" w:author="svcMRProcess" w:date="2019-01-22T11:48:00Z">
              <w:r>
                <w:rPr>
                  <w:snapToGrid w:val="0"/>
                </w:rPr>
                <w:delText>Provided that any</w:delText>
              </w:r>
              <w:r>
                <w:rPr>
                  <w:snapToGrid w:val="0"/>
                </w:rPr>
                <w:br/>
              </w:r>
            </w:del>
          </w:p>
          <w:p>
            <w:pPr>
              <w:pStyle w:val="TableAm"/>
              <w:rPr>
                <w:del w:id="119" w:author="svcMRProcess" w:date="2019-01-22T11:48:00Z"/>
                <w:snapToGrid w:val="0"/>
              </w:rPr>
            </w:pPr>
            <w:del w:id="120" w:author="svcMRProcess" w:date="2019-01-22T11:48:00Z">
              <w:r>
                <w:rPr>
                  <w:snapToGrid w:val="0"/>
                </w:rPr>
                <w:delText>age:</w:delText>
              </w:r>
            </w:del>
          </w:p>
          <w:p>
            <w:pPr>
              <w:pStyle w:val="TableAm"/>
              <w:rPr>
                <w:del w:id="121" w:author="svcMRProcess" w:date="2019-01-22T11:48:00Z"/>
              </w:rPr>
            </w:pPr>
            <w:del w:id="122" w:author="svcMRProcess" w:date="2019-01-22T11:48:00Z">
              <w:r>
                <w:rPr>
                  <w:snapToGrid w:val="0"/>
                </w:rPr>
                <w:delText>Provided further, that this</w:delText>
              </w:r>
            </w:del>
          </w:p>
        </w:tc>
        <w:tc>
          <w:tcPr>
            <w:tcW w:w="2551" w:type="dxa"/>
          </w:tcPr>
          <w:p>
            <w:pPr>
              <w:pStyle w:val="TableAm"/>
              <w:rPr>
                <w:del w:id="123" w:author="svcMRProcess" w:date="2019-01-22T11:48:00Z"/>
                <w:snapToGrid w:val="0"/>
              </w:rPr>
            </w:pPr>
            <w:del w:id="124" w:author="svcMRProcess" w:date="2019-01-22T11:48:00Z">
              <w:r>
                <w:rPr>
                  <w:snapToGrid w:val="0"/>
                </w:rPr>
                <w:delText>(1)</w:delText>
              </w:r>
              <w:r>
                <w:rPr>
                  <w:snapToGrid w:val="0"/>
                </w:rPr>
                <w:tab/>
                <w:delText>Notwithstanding</w:delText>
              </w:r>
            </w:del>
          </w:p>
          <w:p>
            <w:pPr>
              <w:pStyle w:val="TableAm"/>
              <w:rPr>
                <w:del w:id="125" w:author="svcMRProcess" w:date="2019-01-22T11:48:00Z"/>
                <w:snapToGrid w:val="0"/>
              </w:rPr>
            </w:pPr>
            <w:del w:id="126" w:author="svcMRProcess" w:date="2019-01-22T11:48:00Z">
              <w:r>
                <w:rPr>
                  <w:snapToGrid w:val="0"/>
                </w:rPr>
                <w:delText>vacant.</w:delText>
              </w:r>
            </w:del>
          </w:p>
          <w:p>
            <w:pPr>
              <w:pStyle w:val="TableAm"/>
              <w:ind w:left="567" w:hanging="567"/>
              <w:rPr>
                <w:del w:id="127" w:author="svcMRProcess" w:date="2019-01-22T11:48:00Z"/>
                <w:snapToGrid w:val="0"/>
              </w:rPr>
            </w:pPr>
            <w:del w:id="128" w:author="svcMRProcess" w:date="2019-01-22T11:48:00Z">
              <w:r>
                <w:rPr>
                  <w:snapToGrid w:val="0"/>
                </w:rPr>
                <w:delText>(2)</w:delText>
              </w:r>
              <w:r>
                <w:rPr>
                  <w:snapToGrid w:val="0"/>
                </w:rPr>
                <w:tab/>
                <w:delText>Despite subsection (1), any</w:delText>
              </w:r>
            </w:del>
          </w:p>
          <w:p>
            <w:pPr>
              <w:pStyle w:val="TableAm"/>
              <w:ind w:left="567" w:hanging="567"/>
              <w:rPr>
                <w:del w:id="129" w:author="svcMRProcess" w:date="2019-01-22T11:48:00Z"/>
                <w:snapToGrid w:val="0"/>
              </w:rPr>
            </w:pPr>
            <w:del w:id="130" w:author="svcMRProcess" w:date="2019-01-22T11:48:00Z">
              <w:r>
                <w:rPr>
                  <w:snapToGrid w:val="0"/>
                </w:rPr>
                <w:delText>age.</w:delText>
              </w:r>
            </w:del>
          </w:p>
          <w:p>
            <w:pPr>
              <w:pStyle w:val="TableAm"/>
              <w:ind w:left="567" w:hanging="567"/>
              <w:rPr>
                <w:del w:id="131" w:author="svcMRProcess" w:date="2019-01-22T11:48:00Z"/>
              </w:rPr>
            </w:pPr>
            <w:del w:id="132" w:author="svcMRProcess" w:date="2019-01-22T11:48:00Z">
              <w:r>
                <w:rPr>
                  <w:snapToGrid w:val="0"/>
                </w:rPr>
                <w:delText>(3)</w:delText>
              </w:r>
              <w:r>
                <w:rPr>
                  <w:snapToGrid w:val="0"/>
                </w:rPr>
                <w:tab/>
                <w:delText>This</w:delText>
              </w:r>
            </w:del>
          </w:p>
        </w:tc>
      </w:tr>
    </w:tbl>
    <w:p>
      <w:pPr>
        <w:pStyle w:val="BlankClose"/>
        <w:rPr>
          <w:del w:id="133" w:author="svcMRProcess" w:date="2019-01-22T11:48: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 w:name="Coversheet"/>
    <w:bookmarkEnd w:id="1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Judges’ Retirement Act 1937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Judges’ Retirement Act 1937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Judges’ Retirement Act 1937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Judges’ Retirement Act 1937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11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xmlns:pcowa="urn:pcowa">
  <ribbon>
    <tabs>
      <tab idQ="pcowa:pcodrafting" label="PCO Drafting">
        <group id="pcodllbar" label="Common">
          <button id="displaypropertybox" screentip="Display the Document Properties Box" imageMso="AddTextToTextEffect" onAction="RCDisplayProperties"/>
          <button id="pcosave" screentip="PCO Save" imageMso="SaveAll" onAction="RCPCOSave"/>
          <button id="converttodefinition" screentip="Convert Selection to 'Definition' styles" imageMso="CatalogMergeResultsPreview" onAction="PCConvertToDefinition"/>
          <button id="changespacestb" screentip="Insert Hard Spaces" imageMso="AutoTextGallery" onAction="RCChangeSpaces"/>
          <button id="previouserror" screentip="Move to Previous error" imageMso="RoutingDirectionUp" onAction="RCRuleMovePrevious"/>
          <button id="nexterror" screentip="Move to Next error" imageMso="RoutingDirectionDown" onAction="RCRuleMoveNext"/>
          <button id="deleteerrorbookmarks" screentip="Delete all the Error Bookmarks" imageMso="BackgroundRemovalClose" onAction="RCDeleteErrorBookmarks"/>
          <button id="ruleclearerror" screentip="Clean error and Move to the Next error" imageMso="GroupListToolTrack" onAction="RCRuleClearError"/>
          <button id="rulehightlighterror" screentip="Highlight error and Move to the Next error" imageMso="GroupLevel" onAction="RCRuleHighlightError"/>
          <button id="rulehighlightallerrors" screentip="Highlight All errors" imageMso="GroupComments" onAction="RCRuleHighlightAllErrors"/>
          <button id="rulecheck" screentip="Get error information for current position" label="hae" onAction="RCRuleCheck"/>
          <button id="insertact" screentip="Display a list of Acts, double-click one to insert" imageMso="A" onAction="RCInsertAct"/>
          <button id="insertreg" screentip="Display a list of Regs, double-click one to insert" imageMso="R" onAction="RCInsertReg"/>
          <button id="locatedraftersnotes" screentip="Locate the next set of 'Drafters Notes' in this document" imageMso="OutlineShowTextFormatting" onAction="RCLocateDraftersNotes"/>
          <button id="amendingtext" screentip="Convert selection to 'Amendng Text'" imageMso="I" onAction="RCAmendingText"/>
          <control idQ="ParagraphKeepLinesTogether" screentip="Keep Lines Together" imageMso="EndOfLine" showLabel="false"/>
          <control idQ="ParagraphKeepWithNext" screentip="Keep With Next" label="kwn" showLabel="true" showImage="false"/>
          <control idQ="TableRowsInsertWord" screentip="Insert Rows" showImage="true" showLabel="false"/>
          <control idQ="TableRowsDelete" screentip="Delete Rows" showImage="true" showLabel="false"/>
          <button id="rearrangetable" screentip="Re Arrange Table" imageMso="ReadingViewShowTwoPages" onAction="RCReArrangeTable"/>
        </group>
        <group id="pcomenu" label="PCO Menu">
          <button id="changedpages" imageMso="PrintPreviewZoomTwoPages" label="Changed Pages" onAction="RCChangedPages"/>
          <button id="revisedsections" imageMso="AddCellRight" label="Changed Selected Report" onAction="RCRevisedSections"/>
          <button id="printeditedpages" imageMso="AutoFormat" label="Print Edited Pages" onAction="RCPrintEditedPages"/>
          <button id="documentreset" imageMso="HeaderFooterLinkToPrevious" label="Reset Document" onAction="RCDocumentReset"/>
          <button id="hardendocument" imageMso="JotSyncOffline" label="Harden Document" onAction="RCHardenDocument"/>
          <button id="documenttopdf" imageMso="P" label="Document to PDF" onAction="PDF" tag="Document"/>
          <button id="selectiontopdf" imageMso="TracePrecedentCells" label="Selection to PDF" onAction="PDF" tag="Selection"/>
          <button id="checkhyperlinks" imageMso="ImportTemplate" label="Check Hyperlinks" onAction="RCCheckHyperlinks"/>
          <button id="updatehyperlinks" imageMso="TextAllCaps" label="Update Hyperlinks" onAction="RCUpdateHyperlinks"/>
          <button id="aboutdll" imageMso="MicrosoftVisualFoxPro" label="About" onAction="RCAboutDLL"/>
        </group>
        <group id="camera" label="Camera">
          <button id="billnumberrequest" imageMso="FileAddDigitalSignature" label="Bill Number Request" onAction="RCBillNumberRequest"/>
          <button id="letterstoprinter" imageMso="First10RecordsPreview" label="Letters To Printer" onAction="RCLettersToPrinter"/>
          <button id="camerareadyproperties" imageMso="C" label="Camera Ready Properties" onAction="RCCameraReadyProperties"/>
          <button id="removecoversheet" imageMso="PictureBackgroundRemovalMarkBackground" label="Remove Coversheet" onAction="RCRemoveCoversheet"/>
          <button id="billcamerafooters" imageMso="F" label="Camera Footers" onAction="RCBillCameraFooters"/>
          <button id="makecameraready" imageMso="Camera" label="Make Camera Ready" onAction="RCMakeCameraReady"/>
          <button id="stripcustomproperties" imageMso="SourceControlRefreshStatus" label="Strip Custom Properties" onAction="RCStripCustomProperties"/>
          <button id="highlightfields" imageMso="HighlightNew" label="Highlight Fields" onAction="RCHighLightFields"/>
          <button id="billgreenfooters" imageMso="F" label="Green Bill Footers" onAction="RCGreenBillFooters"/>
          <button id="insertgreentitlepage" imageMso="KeepBackgroundRemoval" label="Insert Green Bill Title Page" onAction="RCInsertBillTitlePage" tag="GreenBill"/>
        </group>
        <group id="checks" label="Checks">
          <button id="runcamerareadyrules" imageMso="JotRecordVideo" label="Camera Ready Check" onAction="RCRunCameraReadyRules"/>
          <button id="counselcheck" imageMso="RelationshipsDirectRelationships" label="Counsel Document Check" onAction="RCCounselCheck"/>
          <button id="reprintscheck" imageMso="CalendarViewZoom" label="Reprints Document Check" onAction="RCReprintsCheck"/>
          <button id="eoprecheck" imageMso="RelationshipDesignAllRelationships" label="EO Document Pre-Check" onAction="RCEOPreCheck"/>
          <button id="eocheck" imageMso="RelationshipDesignAllRelationships" label="EO Document Check" onAction="RCEOCheck"/>
          <button id="verifyactsandregs" imageMso="CitationInsert" label="Verify Acts and Regs" onAction="RCVerifyActsAndRegs"/>
        </group>
        <group id="comps" label="Comps">
          <button id="insertarragement" imageMso="PivotShowDetails" label="Insert Arrangement" onAction="RCInsertArrangement"/>
          <button id="removearrangement" imageMso="PictureBackgroundRemovalMarkBackground" label="Remove Arrangement" onAction="RCRemoveArrangement"/>
          <button id="insertcitation" imageMso="AutoFormatGallery" label="Insert Citation" onAction="RCInsertCitation"/>
          <button id="insertschedule" imageMso="MacroDefault" label="Insert Schedule" onAction="RCInsertSchedule"/>
          <button id="removeschedule" imageMso="PictureBackgroundRemovalMarkBackground" label="Remove Schedule" onAction="RCRemoveSchedule"/>
          <button id="changespaces" imageMso="AutoTextGallery" label="Insert Hard Spaces" onAction="RCChangeSpaces"/>
          <button id="insertdefinedterms" imageMso="FrameInsertHorizontal" label="Insert Table of Defined Terms" onAction="RCInsertDefinedTerms"/>
          <button id="removedefinedterms" imageMso="PictureBackgroundRemovalMarkBackground" label="Remove Table of Defined Terms" onAction="RCRemoveDefinedTerms"/>
          <button id="insertwatermark" imageMso="BevelTextGallery" label="Insert and Clear Watermarks" onAction="RCWatermark"/>
          <button id="converttexttotable" imageMso="Multiline" label="Convert Text to Table" onAction="RCConvertTextToTable"/>
        </group>
        <group id="styles" label="Styles">
          <button id="amendingtonormal" imageMso="AsianLayoutCharacterScaling" label="Amending To Normal" onAction="RCAmendingToNormal"/>
          <button id="normaltoamendingnotes" imageMso="HtmlMatchTag" label="Normal to Amending Notes" onAction="RCNormalToAmendingNotes"/>
          <button id="updatedocumentstyles" imageMso="PasteApplyStyle" label="Update Document Styles" onAction="RCUpdateDocumentStyles"/>
          <button id="updateoldbills" imageMso="CancelRequest" label="Update Old Bills" onAction="RCUpdateOldDocuments" tag="Draft,Normal"/>
          <button id="converttoswans" imageMso="C" label="Convert to SWANS" onAction="RCChangeTemplate" tag="Bill"/>
          <button id="fixdraftcoversheet" imageMso="ArrangeByAttachment" label="Fix Draft Coversheet" onAction="RCFixDraftCoversheet"/>
        </group>
        <group id="remote" label="Remote Drafting">
          <button id="rremovefieldcodesifs" imageMso="GoToHeader" label="Update Headers" onAction="RCRemoveFieldCodesIfs"/>
          <button id="rinsertpart999" imageMso="KeepBackgroundRemoval" label="Insert Part 999" onAction="RCDocContentPart999" tag="V1,Final"/>
          <button id="rremovepart999" imageMso="ChangeToDeclineInvitation" label="Remove Part 999" onAction="RCDocRemovePart999"/>
          <button id="rupdatecoversheet" imageMso="ArrangeByAttachment" label="Update Coversheet" onAction="RCDocContentTblCoversheet" tag="Remote_V1"/>
          <button id="rsetstationId" imageMso="HighlightNew" label="Fix Station Id" onAction="RCSettationId" tag="Rmt"/>
          <button id="converttonormal" imageMso="C" label="Convert to Normal" onAction="RCChangeTemplate" tag="Norma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A902-7730-469C-B683-BEDE8C5F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4296</Characters>
  <Application>Microsoft Office Word</Application>
  <DocSecurity>0</DocSecurity>
  <Lines>153</Lines>
  <Paragraphs>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5149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Retirement Act 1937 02-c0-01 - 02-d0-05</dc:title>
  <dc:subject/>
  <dc:creator/>
  <cp:keywords/>
  <dc:description/>
  <cp:lastModifiedBy>svcMRProcess</cp:lastModifiedBy>
  <cp:revision>2</cp:revision>
  <cp:lastPrinted>2009-01-06T08:52:00Z</cp:lastPrinted>
  <dcterms:created xsi:type="dcterms:W3CDTF">2019-01-22T03:48:00Z</dcterms:created>
  <dcterms:modified xsi:type="dcterms:W3CDTF">2019-01-22T03:48:00Z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Act</vt:lpwstr>
  </property>
  <property fmtid="{D5CDD505-2E9C-101B-9397-08002B2CF9AE}" pid="3" name="ActNo">
    <vt:lpwstr>8 of 1937</vt:lpwstr>
  </property>
  <property fmtid="{D5CDD505-2E9C-101B-9397-08002B2CF9AE}" pid="4" name="CommencementDate">
    <vt:lpwstr>20100911</vt:lpwstr>
  </property>
  <property fmtid="{D5CDD505-2E9C-101B-9397-08002B2CF9AE}" pid="5" name="OwlsUID">
    <vt:lpwstr>408</vt:lpwstr>
  </property>
  <property fmtid="{D5CDD505-2E9C-101B-9397-08002B2CF9AE}" pid="6" name="FromSuffix">
    <vt:lpwstr>02-c0-01</vt:lpwstr>
  </property>
  <property fmtid="{D5CDD505-2E9C-101B-9397-08002B2CF9AE}" pid="7" name="FromAsAtDate">
    <vt:lpwstr>28 Jun 2010</vt:lpwstr>
  </property>
  <property fmtid="{D5CDD505-2E9C-101B-9397-08002B2CF9AE}" pid="8" name="ToSuffix">
    <vt:lpwstr>02-d0-05</vt:lpwstr>
  </property>
  <property fmtid="{D5CDD505-2E9C-101B-9397-08002B2CF9AE}" pid="9" name="ToAsAtDate">
    <vt:lpwstr>11 Sep 2010</vt:lpwstr>
  </property>
</Properties>
</file>

<file path=userCustomization/customUI.xml><?xml version="1.0" encoding="utf-8"?>
<customUI xmlns="http://schemas.microsoft.com/office/2006/01/customui" xmlns:doc="http://schemas.microsoft.com/office/2006/01/customui/currentDocument">
  <ribbon>
    <qat>
      <documentControls>
        <button idQ="doc:QTDisplayProperties_1" label="Display the Document Properties Box" imageMso="AddTextToTextEffect" onAction="QTDisplayProperties"/>
        <button idQ="doc:QTPCOSave_1" screentip="PCO Save" imageMso="SaveAll" onAction="QTPCOSave"/>
        <button idQ="doc:QTInsertAct_1" screentip="Display a list of Acts, double-click one to insert" imageMso="A" onAction="QTInsertAct"/>
        <button idQ="doc:QTInsertReg_1" screentip="Display a list of Regs, double-click one to insert" imageMso="R" onAction="QTInsertReg"/>
        <button idQ="doc:QTLocateDraftersNotes_1" screentip="Locate the next set of 'Drafters Notes' in this document" imageMso="OutlineShowTextFormatting" onAction="QTLocateDraftersNotes"/>
      </documentControls>
    </qat>
  </ribbon>
</customUI>
</file>