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Litter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04-e0-01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Litter Act 1979</w:t>
      </w:r>
    </w:p>
    <w:p>
      <w:pPr>
        <w:pStyle w:val="LongTitle"/>
        <w:rPr>
          <w:snapToGrid w:val="0"/>
        </w:rPr>
      </w:pPr>
      <w:r>
        <w:rPr>
          <w:snapToGrid w:val="0"/>
        </w:rPr>
        <w:t>A</w:t>
      </w:r>
      <w:bookmarkStart w:id="0" w:name="_GoBack"/>
      <w:bookmarkEnd w:id="0"/>
      <w:r>
        <w:rPr>
          <w:snapToGrid w:val="0"/>
        </w:rPr>
        <w:t>n Act to make provision for the abatement of litter, to establish, incorporate and confer powers upon the Keep Australia Beautiful Council (W.A.), and for incidental and other purposes.</w:t>
      </w:r>
    </w:p>
    <w:p>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89568332"/>
      <w:bookmarkStart w:id="26" w:name="_Toc103067263"/>
      <w:bookmarkStart w:id="27" w:name="_Toc272231182"/>
      <w:bookmarkStart w:id="28" w:name="_Toc241054044"/>
      <w:r>
        <w:rPr>
          <w:rStyle w:val="CharSectno"/>
        </w:rPr>
        <w:t>1</w:t>
      </w:r>
      <w:r>
        <w:rPr>
          <w:snapToGrid w:val="0"/>
        </w:rPr>
        <w:t>.</w:t>
      </w:r>
      <w:r>
        <w:rPr>
          <w:snapToGrid w:val="0"/>
        </w:rPr>
        <w:tab/>
        <w:t>Short title</w:t>
      </w:r>
      <w:bookmarkEnd w:id="25"/>
      <w:bookmarkEnd w:id="26"/>
      <w:bookmarkEnd w:id="27"/>
      <w:bookmarkEnd w:id="28"/>
    </w:p>
    <w:p>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pPr>
        <w:pStyle w:val="Heading5"/>
        <w:rPr>
          <w:snapToGrid w:val="0"/>
        </w:rPr>
      </w:pPr>
      <w:bookmarkStart w:id="29" w:name="_Toc89568333"/>
      <w:bookmarkStart w:id="30" w:name="_Toc103067264"/>
      <w:bookmarkStart w:id="31" w:name="_Toc272231183"/>
      <w:bookmarkStart w:id="32" w:name="_Toc241054045"/>
      <w:r>
        <w:rPr>
          <w:rStyle w:val="CharSectno"/>
        </w:rPr>
        <w:t>2</w:t>
      </w:r>
      <w:r>
        <w:rPr>
          <w:snapToGrid w:val="0"/>
        </w:rPr>
        <w:t>.</w:t>
      </w:r>
      <w:r>
        <w:rPr>
          <w:snapToGrid w:val="0"/>
        </w:rPr>
        <w:tab/>
        <w:t>Commencement</w:t>
      </w:r>
      <w:bookmarkEnd w:id="29"/>
      <w:bookmarkEnd w:id="30"/>
      <w:bookmarkEnd w:id="31"/>
      <w:bookmarkEnd w:id="32"/>
    </w:p>
    <w:p>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pPr>
        <w:pStyle w:val="Ednotesection"/>
      </w:pPr>
      <w:r>
        <w:t>[</w:t>
      </w:r>
      <w:r>
        <w:rPr>
          <w:b/>
        </w:rPr>
        <w:t>3.</w:t>
      </w:r>
      <w:r>
        <w:tab/>
        <w:t>Deleted by No. 49 of 1981 s. 3.]</w:t>
      </w:r>
    </w:p>
    <w:p>
      <w:pPr>
        <w:pStyle w:val="Heading5"/>
        <w:rPr>
          <w:snapToGrid w:val="0"/>
        </w:rPr>
      </w:pPr>
      <w:bookmarkStart w:id="33" w:name="_Toc89568334"/>
      <w:bookmarkStart w:id="34" w:name="_Toc103067265"/>
      <w:bookmarkStart w:id="35" w:name="_Toc272231184"/>
      <w:bookmarkStart w:id="36" w:name="_Toc241054046"/>
      <w:r>
        <w:rPr>
          <w:rStyle w:val="CharSectno"/>
        </w:rPr>
        <w:t>4</w:t>
      </w:r>
      <w:r>
        <w:rPr>
          <w:snapToGrid w:val="0"/>
        </w:rPr>
        <w:t>.</w:t>
      </w:r>
      <w:r>
        <w:rPr>
          <w:snapToGrid w:val="0"/>
        </w:rPr>
        <w:tab/>
        <w:t>Effect on other laws</w:t>
      </w:r>
      <w:bookmarkEnd w:id="33"/>
      <w:bookmarkEnd w:id="34"/>
      <w:bookmarkEnd w:id="35"/>
      <w:bookmarkEnd w:id="36"/>
    </w:p>
    <w:p>
      <w:pPr>
        <w:pStyle w:val="Subsection"/>
        <w:rPr>
          <w:snapToGrid w:val="0"/>
        </w:rPr>
      </w:pPr>
      <w:r>
        <w:rPr>
          <w:snapToGrid w:val="0"/>
        </w:rPr>
        <w:tab/>
        <w:t>(1)</w:t>
      </w:r>
      <w:r>
        <w:rPr>
          <w:snapToGrid w:val="0"/>
        </w:rPr>
        <w:tab/>
        <w:t>The provisions of this Act are complementary to and not in derogation of the provisions of any other law of the State.</w:t>
      </w:r>
    </w:p>
    <w:p>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pPr>
        <w:pStyle w:val="Footnotesection"/>
      </w:pPr>
      <w:r>
        <w:tab/>
        <w:t>[Section 4 amended by No. 14 of 1996 s. 4; No. 78 of 1995 s. 67.]</w:t>
      </w:r>
    </w:p>
    <w:p>
      <w:pPr>
        <w:pStyle w:val="Heading5"/>
        <w:rPr>
          <w:snapToGrid w:val="0"/>
        </w:rPr>
      </w:pPr>
      <w:bookmarkStart w:id="37" w:name="_Toc89568335"/>
      <w:bookmarkStart w:id="38" w:name="_Toc103067266"/>
      <w:bookmarkStart w:id="39" w:name="_Toc272231185"/>
      <w:bookmarkStart w:id="40" w:name="_Toc241054047"/>
      <w:r>
        <w:rPr>
          <w:rStyle w:val="CharSectno"/>
        </w:rPr>
        <w:t>5</w:t>
      </w:r>
      <w:r>
        <w:rPr>
          <w:snapToGrid w:val="0"/>
        </w:rPr>
        <w:t>.</w:t>
      </w:r>
      <w:r>
        <w:rPr>
          <w:snapToGrid w:val="0"/>
        </w:rPr>
        <w:tab/>
        <w:t>Interpretation</w:t>
      </w:r>
      <w:bookmarkEnd w:id="37"/>
      <w:bookmarkEnd w:id="38"/>
      <w:bookmarkEnd w:id="39"/>
      <w:bookmarkEnd w:id="40"/>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area</w:t>
      </w:r>
      <w:r>
        <w:t xml:space="preserve"> means an area set aside by a public authority on land under its control as an area for the deposit of litter;</w:t>
      </w:r>
    </w:p>
    <w:p>
      <w:pPr>
        <w:pStyle w:val="Defstart"/>
      </w:pPr>
      <w:r>
        <w:rPr>
          <w:b/>
        </w:rPr>
        <w:tab/>
      </w:r>
      <w:r>
        <w:rPr>
          <w:rStyle w:val="CharDefText"/>
        </w:rPr>
        <w:t>authorised officer</w:t>
      </w:r>
      <w:r>
        <w:t xml:space="preserve"> means a person to whom section 26(1) applies;</w:t>
      </w:r>
    </w:p>
    <w:p>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pPr>
        <w:pStyle w:val="Defstart"/>
      </w:pPr>
      <w:r>
        <w:rPr>
          <w:b/>
        </w:rPr>
        <w:tab/>
      </w:r>
      <w:r>
        <w:rPr>
          <w:rStyle w:val="CharDefText"/>
        </w:rPr>
        <w:t>Chairman</w:t>
      </w:r>
      <w:r>
        <w:t xml:space="preserve"> means the Chairman of the Council;</w:t>
      </w:r>
    </w:p>
    <w:p>
      <w:pPr>
        <w:pStyle w:val="Defstart"/>
      </w:pPr>
      <w:r>
        <w:rPr>
          <w:b/>
        </w:rPr>
        <w:tab/>
      </w:r>
      <w:r>
        <w:rPr>
          <w:rStyle w:val="CharDefText"/>
        </w:rPr>
        <w:t>Department</w:t>
      </w:r>
      <w:r>
        <w:t xml:space="preserve"> means a Department of the Public Service of the State;</w:t>
      </w:r>
    </w:p>
    <w:p>
      <w:pPr>
        <w:pStyle w:val="Defstart"/>
      </w:pPr>
      <w:r>
        <w:rPr>
          <w:b/>
        </w:rPr>
        <w:tab/>
      </w:r>
      <w:r>
        <w:rPr>
          <w:rStyle w:val="CharDefText"/>
        </w:rPr>
        <w:t>land</w:t>
      </w:r>
      <w:r>
        <w:t xml:space="preserve"> means any land in the open air;</w:t>
      </w:r>
    </w:p>
    <w:p>
      <w:pPr>
        <w:pStyle w:val="Defstart"/>
        <w:keepNext/>
      </w:pPr>
      <w:r>
        <w:rPr>
          <w:b/>
        </w:rPr>
        <w:tab/>
      </w:r>
      <w:r>
        <w:rPr>
          <w:rStyle w:val="CharDefText"/>
        </w:rPr>
        <w:t>litter</w:t>
      </w:r>
      <w:r>
        <w:t xml:space="preserve"> includes —</w:t>
      </w:r>
    </w:p>
    <w:p>
      <w:pPr>
        <w:pStyle w:val="Defpara"/>
        <w:rPr>
          <w:spacing w:val="-4"/>
        </w:rPr>
      </w:pPr>
      <w:r>
        <w:rPr>
          <w:spacing w:val="-4"/>
        </w:rPr>
        <w:tab/>
        <w:t>(a)</w:t>
      </w:r>
      <w:r>
        <w:rPr>
          <w:spacing w:val="-4"/>
        </w:rPr>
        <w:tab/>
        <w:t>all kinds of rubbish, refuse, junk, garbage or scrap; and</w:t>
      </w:r>
    </w:p>
    <w:p>
      <w:pPr>
        <w:pStyle w:val="Defpara"/>
      </w:pPr>
      <w:r>
        <w:tab/>
        <w:t>(b)</w:t>
      </w:r>
      <w:r>
        <w:tab/>
        <w:t>any articles or material abandoned or unwanted by the owner or the person in possession thereof,</w:t>
      </w:r>
    </w:p>
    <w:p>
      <w:pPr>
        <w:pStyle w:val="Defstart"/>
      </w:pPr>
      <w:r>
        <w:tab/>
        <w:t>but does not include dust, smoke or other like products emitted or produced during the normal operations of any mining, extractive, primary or manufacturing industry;</w:t>
      </w:r>
    </w:p>
    <w:p>
      <w:pPr>
        <w:pStyle w:val="Defstart"/>
      </w:pPr>
      <w:r>
        <w:rPr>
          <w:b/>
        </w:rPr>
        <w:tab/>
      </w:r>
      <w:r>
        <w:rPr>
          <w:rStyle w:val="CharDefText"/>
        </w:rPr>
        <w:t>member of the Council</w:t>
      </w:r>
      <w:r>
        <w:t xml:space="preserve"> means a member appointed under section 9;</w:t>
      </w:r>
    </w:p>
    <w:p>
      <w:pPr>
        <w:pStyle w:val="Defstart"/>
      </w:pPr>
      <w:r>
        <w:rPr>
          <w:b/>
        </w:rPr>
        <w:tab/>
      </w:r>
      <w:r>
        <w:rPr>
          <w:rStyle w:val="CharDefText"/>
        </w:rPr>
        <w:t>post</w:t>
      </w:r>
      <w:r>
        <w:t>, in relation to a bill, means affix the bill by any means to an object;</w:t>
      </w:r>
    </w:p>
    <w:p>
      <w:pPr>
        <w:pStyle w:val="Defstart"/>
      </w:pPr>
      <w:r>
        <w:rPr>
          <w:b/>
        </w:rPr>
        <w:tab/>
      </w:r>
      <w:r>
        <w:rPr>
          <w:rStyle w:val="CharDefText"/>
        </w:rPr>
        <w:t>prescribed</w:t>
      </w:r>
      <w:r>
        <w:t xml:space="preserve"> means prescribed in the regulations;</w:t>
      </w:r>
    </w:p>
    <w:p>
      <w:pPr>
        <w:pStyle w:val="Defstart"/>
      </w:pPr>
      <w:r>
        <w:rPr>
          <w:b/>
        </w:rPr>
        <w:tab/>
      </w:r>
      <w:r>
        <w:rPr>
          <w:rStyle w:val="CharDefText"/>
        </w:rPr>
        <w:t>private land</w:t>
      </w:r>
      <w:r>
        <w:t xml:space="preserve"> means land that is used and held in accordance with the requirements of section 32;</w:t>
      </w:r>
    </w:p>
    <w:p>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pPr>
        <w:pStyle w:val="Defstart"/>
      </w:pPr>
      <w:r>
        <w:rPr>
          <w:b/>
        </w:rPr>
        <w:tab/>
      </w:r>
      <w:r>
        <w:rPr>
          <w:rStyle w:val="CharDefText"/>
        </w:rPr>
        <w:t>supporting member</w:t>
      </w:r>
      <w:r>
        <w:t xml:space="preserve"> means a person, body or organization affiliated with the Council under section 13;</w:t>
      </w:r>
    </w:p>
    <w:p>
      <w:pPr>
        <w:pStyle w:val="Defstart"/>
      </w:pPr>
      <w:r>
        <w:rPr>
          <w:b/>
        </w:rPr>
        <w:tab/>
      </w:r>
      <w:r>
        <w:rPr>
          <w:rStyle w:val="CharDefText"/>
        </w:rPr>
        <w:t>the Council</w:t>
      </w:r>
      <w:r>
        <w:t xml:space="preserve"> means the Keep Australia Beautiful Council (W.A.) established by section 6;</w:t>
      </w:r>
    </w:p>
    <w:p>
      <w:pPr>
        <w:pStyle w:val="Defstart"/>
      </w:pPr>
      <w:r>
        <w:rPr>
          <w:b/>
        </w:rPr>
        <w:tab/>
      </w:r>
      <w:r>
        <w:rPr>
          <w:rStyle w:val="CharDefText"/>
        </w:rPr>
        <w:t>the Fund</w:t>
      </w:r>
      <w:r>
        <w:t xml:space="preserve"> means the Keep Australia Beautiful Council (W.A.) Fund established under section 18;</w:t>
      </w:r>
    </w:p>
    <w:p>
      <w:pPr>
        <w:pStyle w:val="Defstart"/>
        <w:keepNext/>
      </w:pPr>
      <w:r>
        <w:rPr>
          <w:b/>
        </w:rPr>
        <w:tab/>
      </w:r>
      <w:r>
        <w:rPr>
          <w:rStyle w:val="CharDefText"/>
        </w:rPr>
        <w:t>waters</w:t>
      </w:r>
      <w:r>
        <w:t xml:space="preserve"> includes —</w:t>
      </w:r>
    </w:p>
    <w:p>
      <w:pPr>
        <w:pStyle w:val="Defpara"/>
      </w:pPr>
      <w:r>
        <w:tab/>
        <w:t>(a)</w:t>
      </w:r>
      <w:r>
        <w:tab/>
        <w:t>any inland waters, whether running or still, permanent or temporary, or natural or artificially created; and</w:t>
      </w:r>
    </w:p>
    <w:p>
      <w:pPr>
        <w:pStyle w:val="Defpara"/>
      </w:pPr>
      <w:r>
        <w:tab/>
        <w:t>(b)</w:t>
      </w:r>
      <w:r>
        <w:tab/>
        <w:t>any part of the seas within the jurisdiction of the State.</w:t>
      </w:r>
    </w:p>
    <w:p>
      <w:pPr>
        <w:pStyle w:val="Subsection"/>
        <w:keepNext/>
        <w:rPr>
          <w:snapToGrid w:val="0"/>
        </w:rPr>
      </w:pPr>
      <w:r>
        <w:rPr>
          <w:snapToGrid w:val="0"/>
        </w:rPr>
        <w:tab/>
        <w:t>(2)</w:t>
      </w:r>
      <w:r>
        <w:rPr>
          <w:snapToGrid w:val="0"/>
        </w:rPr>
        <w:tab/>
        <w:t>For the purposes of this Act litter is deposited on land or on or in waters if —</w:t>
      </w:r>
    </w:p>
    <w:p>
      <w:pPr>
        <w:pStyle w:val="Indenta"/>
        <w:rPr>
          <w:snapToGrid w:val="0"/>
        </w:rPr>
      </w:pPr>
      <w:r>
        <w:rPr>
          <w:snapToGrid w:val="0"/>
        </w:rPr>
        <w:tab/>
        <w:t>(a)</w:t>
      </w:r>
      <w:r>
        <w:rPr>
          <w:snapToGrid w:val="0"/>
        </w:rPr>
        <w:tab/>
        <w:t>it is placed, put, left, dropped or thrown there; or</w:t>
      </w:r>
    </w:p>
    <w:p>
      <w:pPr>
        <w:pStyle w:val="Indenta"/>
        <w:rPr>
          <w:snapToGrid w:val="0"/>
        </w:rPr>
      </w:pPr>
      <w:r>
        <w:rPr>
          <w:snapToGrid w:val="0"/>
        </w:rPr>
        <w:tab/>
        <w:t>(b)</w:t>
      </w:r>
      <w:r>
        <w:rPr>
          <w:snapToGrid w:val="0"/>
        </w:rPr>
        <w:tab/>
        <w:t>it is allowed to fall there or be carried there by the action of wind or water, or both.</w:t>
      </w:r>
    </w:p>
    <w:p>
      <w:pPr>
        <w:pStyle w:val="Footnotesection"/>
      </w:pPr>
      <w:r>
        <w:tab/>
        <w:t>[Section 5 amended by No. 18 of 1986 s. 4; No. 6 of 1996 s. 4; No. 14 of 1996 s. 4.]</w:t>
      </w:r>
    </w:p>
    <w:p>
      <w:pPr>
        <w:pStyle w:val="Heading2"/>
        <w:ind w:left="567" w:right="575"/>
      </w:pPr>
      <w:bookmarkStart w:id="41" w:name="_Toc89568336"/>
      <w:bookmarkStart w:id="42" w:name="_Toc89568647"/>
      <w:bookmarkStart w:id="43" w:name="_Toc89568712"/>
      <w:bookmarkStart w:id="44" w:name="_Toc92878014"/>
      <w:bookmarkStart w:id="45" w:name="_Toc97097093"/>
      <w:bookmarkStart w:id="46" w:name="_Toc100455874"/>
      <w:bookmarkStart w:id="47" w:name="_Toc100561766"/>
      <w:bookmarkStart w:id="48" w:name="_Toc100563926"/>
      <w:bookmarkStart w:id="49" w:name="_Toc102379729"/>
      <w:bookmarkStart w:id="50" w:name="_Toc103067267"/>
      <w:bookmarkStart w:id="51" w:name="_Toc139348698"/>
      <w:bookmarkStart w:id="52" w:name="_Toc139348762"/>
      <w:bookmarkStart w:id="53" w:name="_Toc139688701"/>
      <w:bookmarkStart w:id="54" w:name="_Toc139784754"/>
      <w:bookmarkStart w:id="55" w:name="_Toc139785339"/>
      <w:bookmarkStart w:id="56" w:name="_Toc141592724"/>
      <w:bookmarkStart w:id="57" w:name="_Toc141607352"/>
      <w:bookmarkStart w:id="58" w:name="_Toc143936887"/>
      <w:bookmarkStart w:id="59" w:name="_Toc145126390"/>
      <w:bookmarkStart w:id="60" w:name="_Toc157922117"/>
      <w:bookmarkStart w:id="61" w:name="_Toc241053981"/>
      <w:bookmarkStart w:id="62" w:name="_Toc241054048"/>
      <w:bookmarkStart w:id="63" w:name="_Toc268598303"/>
      <w:bookmarkStart w:id="64" w:name="_Toc272231186"/>
      <w:r>
        <w:rPr>
          <w:rStyle w:val="CharPartNo"/>
        </w:rPr>
        <w:t>Part II</w:t>
      </w:r>
      <w:r>
        <w:rPr>
          <w:rStyle w:val="CharDivNo"/>
        </w:rPr>
        <w:t> </w:t>
      </w:r>
      <w:r>
        <w:t>—</w:t>
      </w:r>
      <w:r>
        <w:rPr>
          <w:rStyle w:val="CharDivText"/>
        </w:rPr>
        <w:t> </w:t>
      </w:r>
      <w:r>
        <w:rPr>
          <w:rStyle w:val="CharPartText"/>
        </w:rPr>
        <w:t>The Keep Australia Beautiful Council (W.A.)</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89568337"/>
      <w:bookmarkStart w:id="66" w:name="_Toc103067268"/>
      <w:bookmarkStart w:id="67" w:name="_Toc272231187"/>
      <w:bookmarkStart w:id="68" w:name="_Toc241054049"/>
      <w:r>
        <w:rPr>
          <w:rStyle w:val="CharSectno"/>
        </w:rPr>
        <w:t>6</w:t>
      </w:r>
      <w:r>
        <w:rPr>
          <w:snapToGrid w:val="0"/>
        </w:rPr>
        <w:t>.</w:t>
      </w:r>
      <w:r>
        <w:rPr>
          <w:snapToGrid w:val="0"/>
        </w:rPr>
        <w:tab/>
        <w:t>Establishment of Keep Australia Beautiful Council</w:t>
      </w:r>
      <w:bookmarkEnd w:id="65"/>
      <w:bookmarkEnd w:id="66"/>
      <w:bookmarkEnd w:id="67"/>
      <w:bookmarkEnd w:id="68"/>
    </w:p>
    <w:p>
      <w:pPr>
        <w:pStyle w:val="Subsection"/>
        <w:rPr>
          <w:snapToGrid w:val="0"/>
        </w:rPr>
      </w:pPr>
      <w:r>
        <w:rPr>
          <w:snapToGrid w:val="0"/>
        </w:rPr>
        <w:tab/>
        <w:t>(1)</w:t>
      </w:r>
      <w:r>
        <w:rPr>
          <w:snapToGrid w:val="0"/>
        </w:rPr>
        <w:tab/>
        <w:t>A body corporate with perpetual succession is hereby established under the name “Keep Australia Beautiful Council (W.A.)”.</w:t>
      </w:r>
    </w:p>
    <w:p>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pPr>
        <w:pStyle w:val="Subsection"/>
        <w:rPr>
          <w:snapToGrid w:val="0"/>
        </w:rPr>
      </w:pPr>
      <w:r>
        <w:rPr>
          <w:snapToGrid w:val="0"/>
        </w:rPr>
        <w:tab/>
        <w:t>(3)</w:t>
      </w:r>
      <w:r>
        <w:rPr>
          <w:snapToGrid w:val="0"/>
        </w:rPr>
        <w:tab/>
        <w:t>The provisions of the First Schedule shall have effect with respect to the constitution and proceedings of the Council.</w:t>
      </w:r>
    </w:p>
    <w:p>
      <w:pPr>
        <w:pStyle w:val="Heading5"/>
        <w:rPr>
          <w:snapToGrid w:val="0"/>
        </w:rPr>
      </w:pPr>
      <w:bookmarkStart w:id="69" w:name="_Toc89568338"/>
      <w:bookmarkStart w:id="70" w:name="_Toc103067269"/>
      <w:bookmarkStart w:id="71" w:name="_Toc272231188"/>
      <w:bookmarkStart w:id="72" w:name="_Toc241054050"/>
      <w:r>
        <w:rPr>
          <w:rStyle w:val="CharSectno"/>
        </w:rPr>
        <w:t>7</w:t>
      </w:r>
      <w:r>
        <w:rPr>
          <w:snapToGrid w:val="0"/>
        </w:rPr>
        <w:t>.</w:t>
      </w:r>
      <w:r>
        <w:rPr>
          <w:snapToGrid w:val="0"/>
        </w:rPr>
        <w:tab/>
        <w:t>Objects of the Council</w:t>
      </w:r>
      <w:bookmarkEnd w:id="69"/>
      <w:bookmarkEnd w:id="70"/>
      <w:bookmarkEnd w:id="71"/>
      <w:bookmarkEnd w:id="72"/>
    </w:p>
    <w:p>
      <w:pPr>
        <w:pStyle w:val="Subsection"/>
        <w:rPr>
          <w:snapToGrid w:val="0"/>
        </w:rPr>
      </w:pPr>
      <w:r>
        <w:rPr>
          <w:snapToGrid w:val="0"/>
        </w:rPr>
        <w:tab/>
        <w:t>(1)</w:t>
      </w:r>
      <w:r>
        <w:rPr>
          <w:snapToGrid w:val="0"/>
        </w:rPr>
        <w:tab/>
        <w:t>Subject to this Act, the objects and functions of the Council are those set out in the Second Schedule.</w:t>
      </w:r>
    </w:p>
    <w:p>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pPr>
        <w:pStyle w:val="Heading5"/>
        <w:rPr>
          <w:snapToGrid w:val="0"/>
        </w:rPr>
      </w:pPr>
      <w:bookmarkStart w:id="73" w:name="_Toc89568339"/>
      <w:bookmarkStart w:id="74" w:name="_Toc103067270"/>
      <w:bookmarkStart w:id="75" w:name="_Toc272231189"/>
      <w:bookmarkStart w:id="76" w:name="_Toc241054051"/>
      <w:r>
        <w:rPr>
          <w:rStyle w:val="CharSectno"/>
        </w:rPr>
        <w:t>8</w:t>
      </w:r>
      <w:r>
        <w:rPr>
          <w:snapToGrid w:val="0"/>
        </w:rPr>
        <w:t>.</w:t>
      </w:r>
      <w:r>
        <w:rPr>
          <w:snapToGrid w:val="0"/>
        </w:rPr>
        <w:tab/>
        <w:t>Powers</w:t>
      </w:r>
      <w:bookmarkEnd w:id="73"/>
      <w:bookmarkEnd w:id="74"/>
      <w:bookmarkEnd w:id="75"/>
      <w:bookmarkEnd w:id="76"/>
    </w:p>
    <w:p>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pPr>
        <w:pStyle w:val="Indenta"/>
        <w:rPr>
          <w:snapToGrid w:val="0"/>
        </w:rPr>
      </w:pPr>
      <w:r>
        <w:rPr>
          <w:snapToGrid w:val="0"/>
        </w:rPr>
        <w:tab/>
        <w:t>(a)</w:t>
      </w:r>
      <w:r>
        <w:rPr>
          <w:snapToGrid w:val="0"/>
        </w:rPr>
        <w:tab/>
        <w:t>acquire, hold and dispose of real and personal property;</w:t>
      </w:r>
    </w:p>
    <w:p>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pPr>
        <w:pStyle w:val="Indenta"/>
        <w:rPr>
          <w:snapToGrid w:val="0"/>
        </w:rPr>
      </w:pPr>
      <w:r>
        <w:rPr>
          <w:snapToGrid w:val="0"/>
        </w:rPr>
        <w:tab/>
        <w:t>(c)</w:t>
      </w:r>
      <w:r>
        <w:rPr>
          <w:snapToGrid w:val="0"/>
        </w:rPr>
        <w:tab/>
        <w:t>sue and be sued;</w:t>
      </w:r>
    </w:p>
    <w:p>
      <w:pPr>
        <w:pStyle w:val="Indenta"/>
        <w:rPr>
          <w:snapToGrid w:val="0"/>
        </w:rPr>
      </w:pPr>
      <w:r>
        <w:rPr>
          <w:snapToGrid w:val="0"/>
        </w:rPr>
        <w:tab/>
        <w:t>(d)</w:t>
      </w:r>
      <w:r>
        <w:rPr>
          <w:snapToGrid w:val="0"/>
        </w:rPr>
        <w:tab/>
        <w:t>do and suffer all that bodies corporate may do and suffer.</w:t>
      </w:r>
    </w:p>
    <w:p>
      <w:pPr>
        <w:pStyle w:val="Heading5"/>
        <w:rPr>
          <w:snapToGrid w:val="0"/>
        </w:rPr>
      </w:pPr>
      <w:bookmarkStart w:id="77" w:name="_Toc89568340"/>
      <w:bookmarkStart w:id="78" w:name="_Toc103067271"/>
      <w:bookmarkStart w:id="79" w:name="_Toc272231190"/>
      <w:bookmarkStart w:id="80" w:name="_Toc241054052"/>
      <w:r>
        <w:rPr>
          <w:rStyle w:val="CharSectno"/>
        </w:rPr>
        <w:t>9</w:t>
      </w:r>
      <w:r>
        <w:rPr>
          <w:snapToGrid w:val="0"/>
        </w:rPr>
        <w:t>.</w:t>
      </w:r>
      <w:r>
        <w:rPr>
          <w:snapToGrid w:val="0"/>
        </w:rPr>
        <w:tab/>
        <w:t>Membership of the Council</w:t>
      </w:r>
      <w:bookmarkEnd w:id="77"/>
      <w:bookmarkEnd w:id="78"/>
      <w:bookmarkEnd w:id="79"/>
      <w:bookmarkEnd w:id="80"/>
    </w:p>
    <w:p>
      <w:pPr>
        <w:pStyle w:val="Subsection"/>
        <w:keepNext/>
        <w:rPr>
          <w:snapToGrid w:val="0"/>
        </w:rPr>
      </w:pPr>
      <w:r>
        <w:rPr>
          <w:snapToGrid w:val="0"/>
        </w:rPr>
        <w:tab/>
        <w:t>(1)</w:t>
      </w:r>
      <w:r>
        <w:rPr>
          <w:snapToGrid w:val="0"/>
        </w:rPr>
        <w:tab/>
        <w:t>The Council shall consist of 15 members appointed by the Minister of whom —</w:t>
      </w:r>
    </w:p>
    <w:p>
      <w:pPr>
        <w:pStyle w:val="Indenta"/>
        <w:rPr>
          <w:snapToGrid w:val="0"/>
        </w:rPr>
      </w:pPr>
      <w:r>
        <w:rPr>
          <w:snapToGrid w:val="0"/>
        </w:rPr>
        <w:tab/>
        <w:t>(a)</w:t>
      </w:r>
      <w:r>
        <w:rPr>
          <w:snapToGrid w:val="0"/>
        </w:rPr>
        <w:tab/>
        <w:t>one shall be appointed on the nomination of the body known as The Soft Drink Manufacturers’ Association (W.A.);</w:t>
      </w:r>
    </w:p>
    <w:p>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pPr>
        <w:pStyle w:val="Indenta"/>
        <w:rPr>
          <w:snapToGrid w:val="0"/>
        </w:rPr>
      </w:pPr>
      <w:r>
        <w:rPr>
          <w:snapToGrid w:val="0"/>
        </w:rPr>
        <w:tab/>
        <w:t>(c)</w:t>
      </w:r>
      <w:r>
        <w:rPr>
          <w:snapToGrid w:val="0"/>
        </w:rPr>
        <w:tab/>
        <w:t>one shall be appointed on the nomination of the body known as The Packaging Council of Australia (Western Australian Division);</w:t>
      </w:r>
    </w:p>
    <w:p>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pPr>
        <w:pStyle w:val="Indenta"/>
      </w:pPr>
      <w:r>
        <w:tab/>
        <w:t>(h)</w:t>
      </w:r>
      <w:r>
        <w:tab/>
        <w:t xml:space="preserve">one shall be appointed on the nomination of the Departmental CEO as defined in section 1.4 of the </w:t>
      </w:r>
      <w:r>
        <w:rPr>
          <w:i/>
        </w:rPr>
        <w:t>Local Government Act 1995</w:t>
      </w:r>
      <w:r>
        <w:t>;</w:t>
      </w:r>
    </w:p>
    <w:p>
      <w:pPr>
        <w:pStyle w:val="Indenta"/>
      </w:pPr>
      <w:r>
        <w:tab/>
        <w:t>(i)</w:t>
      </w:r>
      <w:r>
        <w:tab/>
        <w:t xml:space="preserve">one shall be appointed on the nomination of the CEO as defined in section 3 of the </w:t>
      </w:r>
      <w:r>
        <w:rPr>
          <w:i/>
        </w:rPr>
        <w:t>Conservation and Land Management Act 1984</w:t>
      </w:r>
      <w:r>
        <w:t>;</w:t>
      </w:r>
    </w:p>
    <w:p>
      <w:pPr>
        <w:pStyle w:val="Indenta"/>
      </w:pPr>
      <w:r>
        <w:tab/>
        <w:t>(j)</w:t>
      </w:r>
      <w:r>
        <w:tab/>
        <w:t>2 shall be appointed on the nomination of the body known as the Western Australian Local Government Association;</w:t>
      </w:r>
    </w:p>
    <w:p>
      <w:pPr>
        <w:pStyle w:val="Ednotepara"/>
        <w:spacing w:before="80"/>
      </w:pPr>
      <w:r>
        <w:tab/>
        <w:t>[(k)</w:t>
      </w:r>
      <w:r>
        <w:tab/>
        <w:t>deleted]</w:t>
      </w:r>
    </w:p>
    <w:p>
      <w:pPr>
        <w:pStyle w:val="Indenta"/>
        <w:rPr>
          <w:snapToGrid w:val="0"/>
        </w:rPr>
      </w:pPr>
      <w:r>
        <w:rPr>
          <w:snapToGrid w:val="0"/>
        </w:rPr>
        <w:tab/>
        <w:t>(ka)</w:t>
      </w:r>
      <w:r>
        <w:rPr>
          <w:snapToGrid w:val="0"/>
        </w:rPr>
        <w:tab/>
        <w:t>one shall be appointed on the nomination of the body known as the Trades and Labor Council of Western Australia;</w:t>
      </w:r>
    </w:p>
    <w:p>
      <w:pPr>
        <w:pStyle w:val="Indenta"/>
        <w:rPr>
          <w:snapToGrid w:val="0"/>
        </w:rPr>
      </w:pPr>
      <w:r>
        <w:rPr>
          <w:snapToGrid w:val="0"/>
        </w:rPr>
        <w:tab/>
        <w:t>(kb)</w:t>
      </w:r>
      <w:r>
        <w:rPr>
          <w:snapToGrid w:val="0"/>
        </w:rPr>
        <w:tab/>
        <w:t>one shall be appointed on the nomination of the body known as The Conservation Council of Western Australia (Incorporated);</w:t>
      </w:r>
    </w:p>
    <w:p>
      <w:pPr>
        <w:pStyle w:val="Indenta"/>
        <w:rPr>
          <w:snapToGrid w:val="0"/>
        </w:rPr>
      </w:pPr>
      <w:r>
        <w:rPr>
          <w:snapToGrid w:val="0"/>
        </w:rPr>
        <w:tab/>
        <w:t>(kc)</w:t>
      </w:r>
      <w:r>
        <w:rPr>
          <w:snapToGrid w:val="0"/>
        </w:rPr>
        <w:tab/>
        <w:t>one shall be appointed to represent the interests of persons as consumers;</w:t>
      </w:r>
    </w:p>
    <w:p>
      <w:pPr>
        <w:pStyle w:val="Indenta"/>
        <w:rPr>
          <w:snapToGrid w:val="0"/>
        </w:rPr>
      </w:pPr>
      <w:r>
        <w:rPr>
          <w:snapToGrid w:val="0"/>
        </w:rPr>
        <w:tab/>
        <w:t>(l)</w:t>
      </w:r>
      <w:r>
        <w:rPr>
          <w:snapToGrid w:val="0"/>
        </w:rPr>
        <w:tab/>
        <w:t>one shall be a person with special knowledge of or experience in either litter prevention or environmental matters, or both.</w:t>
      </w:r>
    </w:p>
    <w:p>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pPr>
        <w:pStyle w:val="Subsection"/>
      </w:pPr>
      <w:r>
        <w:tab/>
        <w:t>(6)</w:t>
      </w:r>
      <w:r>
        <w:tab/>
        <w:t>In this section —</w:t>
      </w:r>
    </w:p>
    <w:p>
      <w:pPr>
        <w:pStyle w:val="Defstart"/>
      </w:pPr>
      <w:r>
        <w:tab/>
      </w:r>
      <w:r>
        <w:rPr>
          <w:rStyle w:val="CharDefText"/>
        </w:rPr>
        <w:t>Chamber of Commerce and Industry</w:t>
      </w:r>
      <w:r>
        <w:t xml:space="preserve"> means the Chamber of Commerce and Industry of Western Australia (Inc).</w:t>
      </w:r>
    </w:p>
    <w:p>
      <w:pPr>
        <w:pStyle w:val="Footnotesection"/>
      </w:pPr>
      <w:r>
        <w:tab/>
        <w:t>[Section 9 amended by No. 18 of 1986 s. 5; No. 7 of 1988 s. 21; No. 22 of 1996 s. 16(7); No. 36 of 1999 s. 247; No. 49 of 2004 s. 13; No. 28 of 2006 s. 213; No. 8 of 2009 s. 86.]</w:t>
      </w:r>
    </w:p>
    <w:p>
      <w:pPr>
        <w:pStyle w:val="Heading5"/>
        <w:rPr>
          <w:snapToGrid w:val="0"/>
        </w:rPr>
      </w:pPr>
      <w:bookmarkStart w:id="81" w:name="_Toc89568341"/>
      <w:bookmarkStart w:id="82" w:name="_Toc103067272"/>
      <w:bookmarkStart w:id="83" w:name="_Toc272231191"/>
      <w:bookmarkStart w:id="84" w:name="_Toc241054053"/>
      <w:r>
        <w:rPr>
          <w:rStyle w:val="CharSectno"/>
        </w:rPr>
        <w:t>10</w:t>
      </w:r>
      <w:r>
        <w:rPr>
          <w:snapToGrid w:val="0"/>
        </w:rPr>
        <w:t>.</w:t>
      </w:r>
      <w:r>
        <w:rPr>
          <w:snapToGrid w:val="0"/>
        </w:rPr>
        <w:tab/>
        <w:t>Chairman of Council</w:t>
      </w:r>
      <w:bookmarkEnd w:id="81"/>
      <w:bookmarkEnd w:id="82"/>
      <w:bookmarkEnd w:id="83"/>
      <w:bookmarkEnd w:id="84"/>
    </w:p>
    <w:p>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pPr>
        <w:pStyle w:val="Subsection"/>
        <w:keepNext/>
        <w:rPr>
          <w:snapToGrid w:val="0"/>
        </w:rPr>
      </w:pPr>
      <w:r>
        <w:rPr>
          <w:snapToGrid w:val="0"/>
        </w:rPr>
        <w:tab/>
        <w:t>(2)</w:t>
      </w:r>
      <w:r>
        <w:rPr>
          <w:snapToGrid w:val="0"/>
        </w:rPr>
        <w:tab/>
        <w:t>The office of Chairman becomes vacant if —</w:t>
      </w:r>
    </w:p>
    <w:p>
      <w:pPr>
        <w:pStyle w:val="Indenta"/>
        <w:rPr>
          <w:snapToGrid w:val="0"/>
        </w:rPr>
      </w:pPr>
      <w:r>
        <w:rPr>
          <w:snapToGrid w:val="0"/>
        </w:rPr>
        <w:tab/>
        <w:t>(a)</w:t>
      </w:r>
      <w:r>
        <w:rPr>
          <w:snapToGrid w:val="0"/>
        </w:rPr>
        <w:tab/>
        <w:t>the person holding the office resigns the office by notice in writing to the Minister;</w:t>
      </w:r>
    </w:p>
    <w:p>
      <w:pPr>
        <w:pStyle w:val="Indenta"/>
        <w:rPr>
          <w:snapToGrid w:val="0"/>
        </w:rPr>
      </w:pPr>
      <w:r>
        <w:rPr>
          <w:snapToGrid w:val="0"/>
        </w:rPr>
        <w:tab/>
        <w:t>(b)</w:t>
      </w:r>
      <w:r>
        <w:rPr>
          <w:snapToGrid w:val="0"/>
        </w:rPr>
        <w:tab/>
        <w:t>the person holding the office ceases to be a member of the Council; or</w:t>
      </w:r>
    </w:p>
    <w:p>
      <w:pPr>
        <w:pStyle w:val="Indenta"/>
        <w:rPr>
          <w:snapToGrid w:val="0"/>
        </w:rPr>
      </w:pPr>
      <w:r>
        <w:rPr>
          <w:snapToGrid w:val="0"/>
        </w:rPr>
        <w:tab/>
        <w:t>(c)</w:t>
      </w:r>
      <w:r>
        <w:rPr>
          <w:snapToGrid w:val="0"/>
        </w:rPr>
        <w:tab/>
        <w:t>the Minister declares the office to be vacant.</w:t>
      </w:r>
    </w:p>
    <w:p>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pPr>
        <w:pStyle w:val="Footnotesection"/>
      </w:pPr>
      <w:r>
        <w:tab/>
        <w:t>[Section 10 amended by No. 49 of 1996 s. 64.]</w:t>
      </w:r>
    </w:p>
    <w:p>
      <w:pPr>
        <w:pStyle w:val="Heading5"/>
        <w:rPr>
          <w:snapToGrid w:val="0"/>
        </w:rPr>
      </w:pPr>
      <w:bookmarkStart w:id="85" w:name="_Toc89568342"/>
      <w:bookmarkStart w:id="86" w:name="_Toc103067273"/>
      <w:bookmarkStart w:id="87" w:name="_Toc272231192"/>
      <w:bookmarkStart w:id="88" w:name="_Toc241054054"/>
      <w:r>
        <w:rPr>
          <w:rStyle w:val="CharSectno"/>
        </w:rPr>
        <w:t>11</w:t>
      </w:r>
      <w:r>
        <w:rPr>
          <w:snapToGrid w:val="0"/>
        </w:rPr>
        <w:t>.</w:t>
      </w:r>
      <w:r>
        <w:rPr>
          <w:snapToGrid w:val="0"/>
        </w:rPr>
        <w:tab/>
        <w:t>Deputy Chairman</w:t>
      </w:r>
      <w:bookmarkEnd w:id="85"/>
      <w:bookmarkEnd w:id="86"/>
      <w:bookmarkEnd w:id="87"/>
      <w:bookmarkEnd w:id="88"/>
    </w:p>
    <w:p>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pPr>
        <w:pStyle w:val="Subsection"/>
        <w:keepNext/>
        <w:rPr>
          <w:snapToGrid w:val="0"/>
        </w:rPr>
      </w:pPr>
      <w:r>
        <w:rPr>
          <w:snapToGrid w:val="0"/>
        </w:rPr>
        <w:tab/>
        <w:t>(3)</w:t>
      </w:r>
      <w:r>
        <w:rPr>
          <w:snapToGrid w:val="0"/>
        </w:rPr>
        <w:tab/>
        <w:t>The office of Deputy Chairman of the Council becomes vacant if —</w:t>
      </w:r>
    </w:p>
    <w:p>
      <w:pPr>
        <w:pStyle w:val="Indenta"/>
        <w:rPr>
          <w:snapToGrid w:val="0"/>
        </w:rPr>
      </w:pPr>
      <w:r>
        <w:rPr>
          <w:snapToGrid w:val="0"/>
        </w:rPr>
        <w:tab/>
        <w:t>(a)</w:t>
      </w:r>
      <w:r>
        <w:rPr>
          <w:snapToGrid w:val="0"/>
        </w:rPr>
        <w:tab/>
        <w:t>the person holding the office resigns the office by notice in writing to the Chairman;</w:t>
      </w:r>
    </w:p>
    <w:p>
      <w:pPr>
        <w:pStyle w:val="Indenta"/>
        <w:rPr>
          <w:snapToGrid w:val="0"/>
        </w:rPr>
      </w:pPr>
      <w:r>
        <w:rPr>
          <w:snapToGrid w:val="0"/>
        </w:rPr>
        <w:tab/>
        <w:t>(b)</w:t>
      </w:r>
      <w:r>
        <w:rPr>
          <w:snapToGrid w:val="0"/>
        </w:rPr>
        <w:tab/>
        <w:t>the person holding the office ceases to be a member of the Council;</w:t>
      </w:r>
    </w:p>
    <w:p>
      <w:pPr>
        <w:pStyle w:val="Indenta"/>
        <w:rPr>
          <w:snapToGrid w:val="0"/>
        </w:rPr>
      </w:pPr>
      <w:r>
        <w:rPr>
          <w:snapToGrid w:val="0"/>
        </w:rPr>
        <w:tab/>
        <w:t>(c)</w:t>
      </w:r>
      <w:r>
        <w:rPr>
          <w:snapToGrid w:val="0"/>
        </w:rPr>
        <w:tab/>
        <w:t>the person holding the office is appointed to be the Chairman.</w:t>
      </w:r>
    </w:p>
    <w:p>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pPr>
        <w:pStyle w:val="Heading5"/>
        <w:rPr>
          <w:snapToGrid w:val="0"/>
        </w:rPr>
      </w:pPr>
      <w:bookmarkStart w:id="89" w:name="_Toc89568343"/>
      <w:bookmarkStart w:id="90" w:name="_Toc103067274"/>
      <w:bookmarkStart w:id="91" w:name="_Toc272231193"/>
      <w:bookmarkStart w:id="92" w:name="_Toc241054055"/>
      <w:r>
        <w:rPr>
          <w:rStyle w:val="CharSectno"/>
        </w:rPr>
        <w:t>12</w:t>
      </w:r>
      <w:r>
        <w:rPr>
          <w:snapToGrid w:val="0"/>
        </w:rPr>
        <w:t>.</w:t>
      </w:r>
      <w:r>
        <w:rPr>
          <w:snapToGrid w:val="0"/>
        </w:rPr>
        <w:tab/>
        <w:t>Effect of appointments</w:t>
      </w:r>
      <w:bookmarkEnd w:id="89"/>
      <w:bookmarkEnd w:id="90"/>
      <w:bookmarkEnd w:id="91"/>
      <w:bookmarkEnd w:id="92"/>
    </w:p>
    <w:p>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Footnotesection"/>
      </w:pPr>
      <w:r>
        <w:tab/>
        <w:t>[Section 12 amended by No. 32 of 1994 s. 19.]</w:t>
      </w:r>
    </w:p>
    <w:p>
      <w:pPr>
        <w:pStyle w:val="Heading5"/>
        <w:rPr>
          <w:snapToGrid w:val="0"/>
        </w:rPr>
      </w:pPr>
      <w:bookmarkStart w:id="93" w:name="_Toc89568344"/>
      <w:bookmarkStart w:id="94" w:name="_Toc103067275"/>
      <w:bookmarkStart w:id="95" w:name="_Toc272231194"/>
      <w:bookmarkStart w:id="96" w:name="_Toc241054056"/>
      <w:r>
        <w:rPr>
          <w:rStyle w:val="CharSectno"/>
        </w:rPr>
        <w:t>13</w:t>
      </w:r>
      <w:r>
        <w:rPr>
          <w:snapToGrid w:val="0"/>
        </w:rPr>
        <w:t>.</w:t>
      </w:r>
      <w:r>
        <w:rPr>
          <w:snapToGrid w:val="0"/>
        </w:rPr>
        <w:tab/>
        <w:t>Supporting members</w:t>
      </w:r>
      <w:bookmarkEnd w:id="93"/>
      <w:bookmarkEnd w:id="94"/>
      <w:bookmarkEnd w:id="95"/>
      <w:bookmarkEnd w:id="96"/>
    </w:p>
    <w:p>
      <w:pPr>
        <w:pStyle w:val="Subsection"/>
        <w:rPr>
          <w:snapToGrid w:val="0"/>
        </w:rPr>
      </w:pPr>
      <w:r>
        <w:rPr>
          <w:snapToGrid w:val="0"/>
        </w:rPr>
        <w:tab/>
        <w:t>(1)</w:t>
      </w:r>
      <w:r>
        <w:rPr>
          <w:snapToGrid w:val="0"/>
        </w:rPr>
        <w:tab/>
        <w:t>Any person, body or organization may become affiliated with the Council as a supporting member.</w:t>
      </w:r>
    </w:p>
    <w:p>
      <w:pPr>
        <w:pStyle w:val="Subsection"/>
        <w:keepNext/>
        <w:rPr>
          <w:snapToGrid w:val="0"/>
        </w:rPr>
      </w:pPr>
      <w:r>
        <w:rPr>
          <w:snapToGrid w:val="0"/>
        </w:rPr>
        <w:tab/>
        <w:t>(2)</w:t>
      </w:r>
      <w:r>
        <w:rPr>
          <w:snapToGrid w:val="0"/>
        </w:rPr>
        <w:tab/>
        <w:t>The Council shall make such arrangements as are necessary —</w:t>
      </w:r>
    </w:p>
    <w:p>
      <w:pPr>
        <w:pStyle w:val="Indenta"/>
        <w:rPr>
          <w:snapToGrid w:val="0"/>
        </w:rPr>
      </w:pPr>
      <w:r>
        <w:rPr>
          <w:snapToGrid w:val="0"/>
        </w:rPr>
        <w:tab/>
        <w:t>(a)</w:t>
      </w:r>
      <w:r>
        <w:rPr>
          <w:snapToGrid w:val="0"/>
        </w:rPr>
        <w:tab/>
        <w:t>to ensure that supporting members have the opportunity to participate in the work of the Council; and</w:t>
      </w:r>
    </w:p>
    <w:p>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pPr>
        <w:pStyle w:val="Heading5"/>
        <w:rPr>
          <w:snapToGrid w:val="0"/>
        </w:rPr>
      </w:pPr>
      <w:bookmarkStart w:id="97" w:name="_Toc89568345"/>
      <w:bookmarkStart w:id="98" w:name="_Toc103067276"/>
      <w:bookmarkStart w:id="99" w:name="_Toc272231195"/>
      <w:bookmarkStart w:id="100" w:name="_Toc241054057"/>
      <w:r>
        <w:rPr>
          <w:rStyle w:val="CharSectno"/>
        </w:rPr>
        <w:t>14</w:t>
      </w:r>
      <w:r>
        <w:rPr>
          <w:snapToGrid w:val="0"/>
        </w:rPr>
        <w:t>.</w:t>
      </w:r>
      <w:r>
        <w:rPr>
          <w:snapToGrid w:val="0"/>
        </w:rPr>
        <w:tab/>
        <w:t>Committees</w:t>
      </w:r>
      <w:bookmarkEnd w:id="97"/>
      <w:bookmarkEnd w:id="98"/>
      <w:bookmarkEnd w:id="99"/>
      <w:bookmarkEnd w:id="100"/>
    </w:p>
    <w:p>
      <w:pPr>
        <w:pStyle w:val="Subsection"/>
        <w:keepNext/>
        <w:rPr>
          <w:snapToGrid w:val="0"/>
        </w:rPr>
      </w:pPr>
      <w:r>
        <w:rPr>
          <w:snapToGrid w:val="0"/>
        </w:rPr>
        <w:tab/>
        <w:t>(1)</w:t>
      </w:r>
      <w:r>
        <w:rPr>
          <w:snapToGrid w:val="0"/>
        </w:rPr>
        <w:tab/>
        <w:t>The Council may from time to time —</w:t>
      </w:r>
    </w:p>
    <w:p>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pPr>
        <w:pStyle w:val="Indenta"/>
        <w:rPr>
          <w:snapToGrid w:val="0"/>
        </w:rPr>
      </w:pPr>
      <w:r>
        <w:rPr>
          <w:snapToGrid w:val="0"/>
        </w:rPr>
        <w:tab/>
        <w:t>(b)</w:t>
      </w:r>
      <w:r>
        <w:rPr>
          <w:snapToGrid w:val="0"/>
        </w:rPr>
        <w:tab/>
        <w:t>assign names to the Committees so constituted;</w:t>
      </w:r>
    </w:p>
    <w:p>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pPr>
        <w:pStyle w:val="Indenta"/>
        <w:rPr>
          <w:snapToGrid w:val="0"/>
        </w:rPr>
      </w:pPr>
      <w:r>
        <w:rPr>
          <w:snapToGrid w:val="0"/>
        </w:rPr>
        <w:tab/>
        <w:t>(d)</w:t>
      </w:r>
      <w:r>
        <w:rPr>
          <w:snapToGrid w:val="0"/>
        </w:rPr>
        <w:tab/>
        <w:t>dismiss any member of a Committee and appoint another person to the office of the dismissed member; and</w:t>
      </w:r>
    </w:p>
    <w:p>
      <w:pPr>
        <w:pStyle w:val="Indenta"/>
        <w:rPr>
          <w:snapToGrid w:val="0"/>
        </w:rPr>
      </w:pPr>
      <w:r>
        <w:rPr>
          <w:snapToGrid w:val="0"/>
        </w:rPr>
        <w:tab/>
        <w:t>(e)</w:t>
      </w:r>
      <w:r>
        <w:rPr>
          <w:snapToGrid w:val="0"/>
        </w:rPr>
        <w:tab/>
        <w:t>appoint additional members to any Committee.</w:t>
      </w:r>
    </w:p>
    <w:p>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pPr>
        <w:pStyle w:val="Indenta"/>
        <w:rPr>
          <w:snapToGrid w:val="0"/>
        </w:rPr>
      </w:pPr>
      <w:r>
        <w:rPr>
          <w:snapToGrid w:val="0"/>
        </w:rPr>
        <w:tab/>
        <w:t>(a)</w:t>
      </w:r>
      <w:r>
        <w:rPr>
          <w:snapToGrid w:val="0"/>
        </w:rPr>
        <w:tab/>
        <w:t>appoint at least one member of the Council to be a member of each Committee; and</w:t>
      </w:r>
    </w:p>
    <w:p>
      <w:pPr>
        <w:pStyle w:val="Indenta"/>
        <w:rPr>
          <w:snapToGrid w:val="0"/>
        </w:rPr>
      </w:pPr>
      <w:r>
        <w:rPr>
          <w:snapToGrid w:val="0"/>
        </w:rPr>
        <w:tab/>
        <w:t>(b)</w:t>
      </w:r>
      <w:r>
        <w:rPr>
          <w:snapToGrid w:val="0"/>
        </w:rPr>
        <w:tab/>
        <w:t>appoint as Chairman of a Committee, a member of the Council appointed to that Committee pursuant to paragraph (a).</w:t>
      </w:r>
    </w:p>
    <w:p>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pPr>
        <w:pStyle w:val="Heading5"/>
        <w:rPr>
          <w:snapToGrid w:val="0"/>
        </w:rPr>
      </w:pPr>
      <w:bookmarkStart w:id="101" w:name="_Toc89568346"/>
      <w:bookmarkStart w:id="102" w:name="_Toc103067277"/>
      <w:bookmarkStart w:id="103" w:name="_Toc272231196"/>
      <w:bookmarkStart w:id="104" w:name="_Toc241054058"/>
      <w:r>
        <w:rPr>
          <w:rStyle w:val="CharSectno"/>
        </w:rPr>
        <w:t>15</w:t>
      </w:r>
      <w:r>
        <w:rPr>
          <w:snapToGrid w:val="0"/>
        </w:rPr>
        <w:t>.</w:t>
      </w:r>
      <w:r>
        <w:rPr>
          <w:snapToGrid w:val="0"/>
        </w:rPr>
        <w:tab/>
        <w:t>Staff</w:t>
      </w:r>
      <w:bookmarkEnd w:id="101"/>
      <w:bookmarkEnd w:id="102"/>
      <w:bookmarkEnd w:id="103"/>
      <w:bookmarkEnd w:id="104"/>
    </w:p>
    <w:p>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pPr>
        <w:pStyle w:val="Subsection"/>
        <w:spacing w:before="100"/>
        <w:rPr>
          <w:snapToGrid w:val="0"/>
        </w:rPr>
      </w:pPr>
      <w:r>
        <w:rPr>
          <w:snapToGrid w:val="0"/>
        </w:rPr>
        <w:tab/>
        <w:t>(3)</w:t>
      </w:r>
      <w:r>
        <w:rPr>
          <w:snapToGrid w:val="0"/>
        </w:rPr>
        <w:tab/>
        <w:t>Subject to any relevant award or industrial agreement the terms and conditions of employment of persons appointed or engaged under subsection (1), including the salary or wages payable, are such terms and conditions as the Council, on the recommendation of the Minister for Public Sector Management and with the approval of the Minister, determines.</w:t>
      </w:r>
    </w:p>
    <w:p>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pPr>
        <w:pStyle w:val="Footnotesection"/>
      </w:pPr>
      <w:r>
        <w:tab/>
        <w:t>[Section 15 amended by No. 113 of 1987 s. 32; No. 32 of 1994 s. 19; No. 28 of 2006 s. 214.]</w:t>
      </w:r>
    </w:p>
    <w:p>
      <w:pPr>
        <w:pStyle w:val="Heading5"/>
        <w:spacing w:before="120"/>
        <w:rPr>
          <w:snapToGrid w:val="0"/>
        </w:rPr>
      </w:pPr>
      <w:bookmarkStart w:id="105" w:name="_Toc89568347"/>
      <w:bookmarkStart w:id="106" w:name="_Toc103067278"/>
      <w:bookmarkStart w:id="107" w:name="_Toc272231197"/>
      <w:bookmarkStart w:id="108" w:name="_Toc241054059"/>
      <w:r>
        <w:rPr>
          <w:rStyle w:val="CharSectno"/>
        </w:rPr>
        <w:t>16</w:t>
      </w:r>
      <w:r>
        <w:rPr>
          <w:snapToGrid w:val="0"/>
        </w:rPr>
        <w:t>.</w:t>
      </w:r>
      <w:r>
        <w:rPr>
          <w:snapToGrid w:val="0"/>
        </w:rPr>
        <w:tab/>
        <w:t>Secondment of public servants</w:t>
      </w:r>
      <w:bookmarkEnd w:id="105"/>
      <w:bookmarkEnd w:id="106"/>
      <w:bookmarkEnd w:id="107"/>
      <w:bookmarkEnd w:id="108"/>
    </w:p>
    <w:p>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pPr>
        <w:pStyle w:val="Indenta"/>
        <w:rPr>
          <w:snapToGrid w:val="0"/>
        </w:rPr>
      </w:pPr>
      <w:r>
        <w:rPr>
          <w:snapToGrid w:val="0"/>
        </w:rPr>
        <w:tab/>
        <w:t>(b)</w:t>
      </w:r>
      <w:r>
        <w:rPr>
          <w:snapToGrid w:val="0"/>
        </w:rPr>
        <w:tab/>
        <w:t>any facilities of a Department or of a State instrumentality.</w:t>
      </w:r>
    </w:p>
    <w:p>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pPr>
        <w:pStyle w:val="Footnotesection"/>
      </w:pPr>
      <w:r>
        <w:tab/>
        <w:t>[Section 16 amended by No. 28 of 2006 s. 214.]</w:t>
      </w:r>
    </w:p>
    <w:p>
      <w:pPr>
        <w:pStyle w:val="Heading5"/>
        <w:rPr>
          <w:snapToGrid w:val="0"/>
        </w:rPr>
      </w:pPr>
      <w:bookmarkStart w:id="109" w:name="_Toc89568348"/>
      <w:bookmarkStart w:id="110" w:name="_Toc103067279"/>
      <w:bookmarkStart w:id="111" w:name="_Toc272231198"/>
      <w:bookmarkStart w:id="112" w:name="_Toc241054060"/>
      <w:r>
        <w:rPr>
          <w:rStyle w:val="CharSectno"/>
        </w:rPr>
        <w:t>17</w:t>
      </w:r>
      <w:r>
        <w:rPr>
          <w:snapToGrid w:val="0"/>
        </w:rPr>
        <w:t>.</w:t>
      </w:r>
      <w:r>
        <w:rPr>
          <w:snapToGrid w:val="0"/>
        </w:rPr>
        <w:tab/>
        <w:t>Professional assistance</w:t>
      </w:r>
      <w:bookmarkEnd w:id="109"/>
      <w:bookmarkEnd w:id="110"/>
      <w:bookmarkEnd w:id="111"/>
      <w:bookmarkEnd w:id="112"/>
    </w:p>
    <w:p>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pPr>
        <w:pStyle w:val="Heading2"/>
      </w:pPr>
      <w:bookmarkStart w:id="113" w:name="_Toc89568349"/>
      <w:bookmarkStart w:id="114" w:name="_Toc89568660"/>
      <w:bookmarkStart w:id="115" w:name="_Toc89568725"/>
      <w:bookmarkStart w:id="116" w:name="_Toc92878027"/>
      <w:bookmarkStart w:id="117" w:name="_Toc97097106"/>
      <w:bookmarkStart w:id="118" w:name="_Toc100455887"/>
      <w:bookmarkStart w:id="119" w:name="_Toc100561779"/>
      <w:bookmarkStart w:id="120" w:name="_Toc100563939"/>
      <w:bookmarkStart w:id="121" w:name="_Toc102379742"/>
      <w:bookmarkStart w:id="122" w:name="_Toc103067280"/>
      <w:bookmarkStart w:id="123" w:name="_Toc139348711"/>
      <w:bookmarkStart w:id="124" w:name="_Toc139348775"/>
      <w:bookmarkStart w:id="125" w:name="_Toc139688714"/>
      <w:bookmarkStart w:id="126" w:name="_Toc139784767"/>
      <w:bookmarkStart w:id="127" w:name="_Toc139785352"/>
      <w:bookmarkStart w:id="128" w:name="_Toc141592737"/>
      <w:bookmarkStart w:id="129" w:name="_Toc141607365"/>
      <w:bookmarkStart w:id="130" w:name="_Toc143936900"/>
      <w:bookmarkStart w:id="131" w:name="_Toc145126403"/>
      <w:bookmarkStart w:id="132" w:name="_Toc157922130"/>
      <w:bookmarkStart w:id="133" w:name="_Toc241053994"/>
      <w:bookmarkStart w:id="134" w:name="_Toc241054061"/>
      <w:bookmarkStart w:id="135" w:name="_Toc268598316"/>
      <w:bookmarkStart w:id="136" w:name="_Toc272231199"/>
      <w:r>
        <w:rPr>
          <w:rStyle w:val="CharPartNo"/>
        </w:rPr>
        <w:t>Part III</w:t>
      </w:r>
      <w:r>
        <w:rPr>
          <w:rStyle w:val="CharDivNo"/>
        </w:rPr>
        <w:t> </w:t>
      </w:r>
      <w:r>
        <w:t>—</w:t>
      </w:r>
      <w:r>
        <w:rPr>
          <w:rStyle w:val="CharDivText"/>
        </w:rPr>
        <w:t> </w:t>
      </w:r>
      <w:r>
        <w:rPr>
          <w:rStyle w:val="CharPartText"/>
        </w:rPr>
        <w:t>Finance and accounts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89568350"/>
      <w:bookmarkStart w:id="138" w:name="_Toc103067281"/>
      <w:bookmarkStart w:id="139" w:name="_Toc272231200"/>
      <w:bookmarkStart w:id="140" w:name="_Toc241054062"/>
      <w:r>
        <w:rPr>
          <w:rStyle w:val="CharSectno"/>
        </w:rPr>
        <w:t>18</w:t>
      </w:r>
      <w:r>
        <w:rPr>
          <w:snapToGrid w:val="0"/>
        </w:rPr>
        <w:t>.</w:t>
      </w:r>
      <w:r>
        <w:rPr>
          <w:snapToGrid w:val="0"/>
        </w:rPr>
        <w:tab/>
        <w:t>Fund</w:t>
      </w:r>
      <w:bookmarkEnd w:id="137"/>
      <w:bookmarkEnd w:id="138"/>
      <w:bookmarkEnd w:id="139"/>
      <w:bookmarkEnd w:id="140"/>
    </w:p>
    <w:p>
      <w:pPr>
        <w:pStyle w:val="Subsection"/>
        <w:rPr>
          <w:snapToGrid w:val="0"/>
        </w:rPr>
      </w:pPr>
      <w:r>
        <w:rPr>
          <w:snapToGrid w:val="0"/>
        </w:rPr>
        <w:tab/>
        <w:t>(1)</w:t>
      </w:r>
      <w:r>
        <w:rPr>
          <w:snapToGrid w:val="0"/>
        </w:rPr>
        <w:tab/>
        <w:t>For the purposes of this Act there shall be established a fund to be called the “Keep Australia Beautiful Council (W.A.) Fund”.</w:t>
      </w:r>
    </w:p>
    <w:p>
      <w:pPr>
        <w:pStyle w:val="Subsection"/>
      </w:pPr>
      <w:r>
        <w:tab/>
        <w:t>(2)</w:t>
      </w:r>
      <w:r>
        <w:tab/>
        <w:t xml:space="preserve">An account called the </w:t>
      </w:r>
      <w:r>
        <w:rPr>
          <w:snapToGrid w:val="0"/>
        </w:rPr>
        <w:t>Keep Australia Beautiful Council (W.A.) Fund</w:t>
      </w:r>
      <w:r>
        <w:t xml:space="preserv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to which all monies from time to time belonging to the Fund are to be credited.</w:t>
      </w:r>
    </w:p>
    <w:p>
      <w:pPr>
        <w:pStyle w:val="Subsection"/>
        <w:keepNext/>
        <w:rPr>
          <w:snapToGrid w:val="0"/>
        </w:rPr>
      </w:pPr>
      <w:r>
        <w:rPr>
          <w:snapToGrid w:val="0"/>
        </w:rPr>
        <w:tab/>
        <w:t>(3)</w:t>
      </w:r>
      <w:r>
        <w:rPr>
          <w:snapToGrid w:val="0"/>
        </w:rPr>
        <w:tab/>
        <w:t>The Fund shall consist of —</w:t>
      </w:r>
    </w:p>
    <w:p>
      <w:pPr>
        <w:pStyle w:val="Indenta"/>
        <w:rPr>
          <w:snapToGrid w:val="0"/>
        </w:rPr>
      </w:pPr>
      <w:r>
        <w:rPr>
          <w:snapToGrid w:val="0"/>
        </w:rPr>
        <w:tab/>
        <w:t>(a)</w:t>
      </w:r>
      <w:r>
        <w:rPr>
          <w:snapToGrid w:val="0"/>
        </w:rPr>
        <w:tab/>
        <w:t>moneys from time to time appropriated by Parliament for the purposes of this Act;</w:t>
      </w:r>
    </w:p>
    <w:p>
      <w:pPr>
        <w:pStyle w:val="Indenta"/>
        <w:keepNext/>
        <w:rPr>
          <w:snapToGrid w:val="0"/>
        </w:rPr>
      </w:pPr>
      <w:r>
        <w:rPr>
          <w:snapToGrid w:val="0"/>
        </w:rPr>
        <w:tab/>
        <w:t>(b)</w:t>
      </w:r>
      <w:r>
        <w:rPr>
          <w:snapToGrid w:val="0"/>
        </w:rPr>
        <w:tab/>
        <w:t>voluntary contributions from manufacturers and distributors of products that —</w:t>
      </w:r>
    </w:p>
    <w:p>
      <w:pPr>
        <w:pStyle w:val="Indenti"/>
        <w:rPr>
          <w:snapToGrid w:val="0"/>
        </w:rPr>
      </w:pPr>
      <w:r>
        <w:rPr>
          <w:snapToGrid w:val="0"/>
        </w:rPr>
        <w:tab/>
        <w:t>(i)</w:t>
      </w:r>
      <w:r>
        <w:rPr>
          <w:snapToGrid w:val="0"/>
        </w:rPr>
        <w:tab/>
        <w:t>are capable of becoming litter; or</w:t>
      </w:r>
    </w:p>
    <w:p>
      <w:pPr>
        <w:pStyle w:val="Indenti"/>
        <w:rPr>
          <w:snapToGrid w:val="0"/>
        </w:rPr>
      </w:pPr>
      <w:r>
        <w:rPr>
          <w:snapToGrid w:val="0"/>
        </w:rPr>
        <w:tab/>
        <w:t>(ii)</w:t>
      </w:r>
      <w:r>
        <w:rPr>
          <w:snapToGrid w:val="0"/>
        </w:rPr>
        <w:tab/>
        <w:t>are distributed in packaging or containers capable of becoming litter,</w:t>
      </w:r>
    </w:p>
    <w:p>
      <w:pPr>
        <w:pStyle w:val="Indenta"/>
        <w:rPr>
          <w:snapToGrid w:val="0"/>
        </w:rPr>
      </w:pPr>
      <w:r>
        <w:rPr>
          <w:snapToGrid w:val="0"/>
        </w:rPr>
        <w:tab/>
      </w:r>
      <w:r>
        <w:rPr>
          <w:snapToGrid w:val="0"/>
        </w:rPr>
        <w:tab/>
        <w:t>or from agents of such manufacturers and distributors;</w:t>
      </w:r>
    </w:p>
    <w:p>
      <w:pPr>
        <w:pStyle w:val="Indenta"/>
        <w:rPr>
          <w:snapToGrid w:val="0"/>
        </w:rPr>
      </w:pPr>
      <w:r>
        <w:rPr>
          <w:snapToGrid w:val="0"/>
        </w:rPr>
        <w:tab/>
        <w:t>(c)</w:t>
      </w:r>
      <w:r>
        <w:rPr>
          <w:snapToGrid w:val="0"/>
        </w:rPr>
        <w:tab/>
        <w:t>gifts of money made for the purposes of this Act, and the proceeds of other gifts made for those purposes;</w:t>
      </w:r>
    </w:p>
    <w:p>
      <w:pPr>
        <w:pStyle w:val="Indenta"/>
        <w:rPr>
          <w:snapToGrid w:val="0"/>
        </w:rPr>
      </w:pPr>
      <w:r>
        <w:rPr>
          <w:snapToGrid w:val="0"/>
        </w:rPr>
        <w:tab/>
        <w:t>(d)</w:t>
      </w:r>
      <w:r>
        <w:rPr>
          <w:snapToGrid w:val="0"/>
        </w:rPr>
        <w:tab/>
        <w:t>the income derived from the investment of money forming part of the Fund;</w:t>
      </w:r>
    </w:p>
    <w:p>
      <w:pPr>
        <w:pStyle w:val="Indenta"/>
        <w:rPr>
          <w:snapToGrid w:val="0"/>
        </w:rPr>
      </w:pPr>
      <w:r>
        <w:rPr>
          <w:snapToGrid w:val="0"/>
        </w:rPr>
        <w:tab/>
        <w:t>(e)</w:t>
      </w:r>
      <w:r>
        <w:rPr>
          <w:snapToGrid w:val="0"/>
        </w:rPr>
        <w:tab/>
        <w:t>the proceeds of disposal of property;</w:t>
      </w:r>
    </w:p>
    <w:p>
      <w:pPr>
        <w:pStyle w:val="Indenta"/>
        <w:rPr>
          <w:snapToGrid w:val="0"/>
        </w:rPr>
      </w:pPr>
      <w:r>
        <w:rPr>
          <w:snapToGrid w:val="0"/>
        </w:rPr>
        <w:tab/>
        <w:t>(f)</w:t>
      </w:r>
      <w:r>
        <w:rPr>
          <w:snapToGrid w:val="0"/>
        </w:rPr>
        <w:tab/>
        <w:t>moneys from time to time derived by the Council from subscriptions and from penalties;</w:t>
      </w:r>
    </w:p>
    <w:p>
      <w:pPr>
        <w:pStyle w:val="Indenta"/>
        <w:rPr>
          <w:snapToGrid w:val="0"/>
        </w:rPr>
      </w:pPr>
      <w:r>
        <w:rPr>
          <w:snapToGrid w:val="0"/>
        </w:rPr>
        <w:tab/>
        <w:t>(g)</w:t>
      </w:r>
      <w:r>
        <w:rPr>
          <w:snapToGrid w:val="0"/>
        </w:rPr>
        <w:tab/>
        <w:t>any other moneys that may lawfully be received by the Council.</w:t>
      </w:r>
    </w:p>
    <w:p>
      <w:pPr>
        <w:pStyle w:val="Footnotesection"/>
        <w:ind w:left="890" w:hanging="890"/>
      </w:pPr>
      <w:r>
        <w:tab/>
        <w:t>[Section 18 amended by No. 49 of 1996 s. 57; No. 77 of 2006 s. 17.]</w:t>
      </w:r>
    </w:p>
    <w:p>
      <w:pPr>
        <w:pStyle w:val="Heading5"/>
        <w:spacing w:before="120"/>
        <w:rPr>
          <w:snapToGrid w:val="0"/>
        </w:rPr>
      </w:pPr>
      <w:bookmarkStart w:id="141" w:name="_Toc89568351"/>
      <w:bookmarkStart w:id="142" w:name="_Toc103067282"/>
      <w:bookmarkStart w:id="143" w:name="_Toc272231201"/>
      <w:bookmarkStart w:id="144" w:name="_Toc241054063"/>
      <w:r>
        <w:rPr>
          <w:rStyle w:val="CharSectno"/>
        </w:rPr>
        <w:t>19</w:t>
      </w:r>
      <w:r>
        <w:rPr>
          <w:snapToGrid w:val="0"/>
        </w:rPr>
        <w:t>.</w:t>
      </w:r>
      <w:r>
        <w:rPr>
          <w:snapToGrid w:val="0"/>
        </w:rPr>
        <w:tab/>
        <w:t>Council may invest money forming part of the Fund</w:t>
      </w:r>
      <w:bookmarkEnd w:id="141"/>
      <w:bookmarkEnd w:id="142"/>
      <w:bookmarkEnd w:id="143"/>
      <w:bookmarkEnd w:id="144"/>
    </w:p>
    <w:p>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pPr>
        <w:pStyle w:val="Footnotesection"/>
        <w:ind w:left="890" w:hanging="890"/>
      </w:pPr>
      <w:r>
        <w:tab/>
        <w:t>[Section 19 amended by No. 1 of 1997 s. 18.]</w:t>
      </w:r>
    </w:p>
    <w:p>
      <w:pPr>
        <w:pStyle w:val="Heading5"/>
        <w:spacing w:before="120"/>
        <w:rPr>
          <w:snapToGrid w:val="0"/>
        </w:rPr>
      </w:pPr>
      <w:bookmarkStart w:id="145" w:name="_Toc89568352"/>
      <w:bookmarkStart w:id="146" w:name="_Toc103067283"/>
      <w:bookmarkStart w:id="147" w:name="_Toc272231202"/>
      <w:bookmarkStart w:id="148" w:name="_Toc241054064"/>
      <w:r>
        <w:rPr>
          <w:rStyle w:val="CharSectno"/>
        </w:rPr>
        <w:t>20</w:t>
      </w:r>
      <w:r>
        <w:rPr>
          <w:snapToGrid w:val="0"/>
        </w:rPr>
        <w:t>.</w:t>
      </w:r>
      <w:r>
        <w:rPr>
          <w:snapToGrid w:val="0"/>
        </w:rPr>
        <w:tab/>
        <w:t>Application of money in the Fund</w:t>
      </w:r>
      <w:bookmarkEnd w:id="145"/>
      <w:bookmarkEnd w:id="146"/>
      <w:bookmarkEnd w:id="147"/>
      <w:bookmarkEnd w:id="148"/>
    </w:p>
    <w:p>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pPr>
        <w:pStyle w:val="Indenta"/>
        <w:rPr>
          <w:snapToGrid w:val="0"/>
        </w:rPr>
      </w:pPr>
      <w:r>
        <w:rPr>
          <w:snapToGrid w:val="0"/>
        </w:rPr>
        <w:tab/>
        <w:t>(a)</w:t>
      </w:r>
      <w:r>
        <w:rPr>
          <w:snapToGrid w:val="0"/>
        </w:rPr>
        <w:tab/>
        <w:t>the payment of the expenses of administering this Act;</w:t>
      </w:r>
    </w:p>
    <w:p>
      <w:pPr>
        <w:pStyle w:val="Indenta"/>
        <w:rPr>
          <w:snapToGrid w:val="0"/>
        </w:rPr>
      </w:pPr>
      <w:r>
        <w:rPr>
          <w:snapToGrid w:val="0"/>
        </w:rPr>
        <w:tab/>
        <w:t>(b)</w:t>
      </w:r>
      <w:r>
        <w:rPr>
          <w:snapToGrid w:val="0"/>
        </w:rPr>
        <w:tab/>
        <w:t>the payment of the general administrative expenses of the Council;</w:t>
      </w:r>
    </w:p>
    <w:p>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pPr>
        <w:pStyle w:val="Footnotesection"/>
        <w:spacing w:before="80"/>
        <w:ind w:left="890" w:hanging="890"/>
      </w:pPr>
      <w:r>
        <w:tab/>
        <w:t>[Section 20 amended by No. 98 of 1985 s. 3; No. 49 of 1996 s. 64.]</w:t>
      </w:r>
    </w:p>
    <w:p>
      <w:pPr>
        <w:pStyle w:val="Heading5"/>
        <w:rPr>
          <w:snapToGrid w:val="0"/>
        </w:rPr>
      </w:pPr>
      <w:bookmarkStart w:id="149" w:name="_Toc89568353"/>
      <w:bookmarkStart w:id="150" w:name="_Toc103067284"/>
      <w:bookmarkStart w:id="151" w:name="_Toc272231203"/>
      <w:bookmarkStart w:id="152" w:name="_Toc241054065"/>
      <w:r>
        <w:rPr>
          <w:rStyle w:val="CharSectno"/>
        </w:rPr>
        <w:t>21</w:t>
      </w:r>
      <w:r>
        <w:rPr>
          <w:snapToGrid w:val="0"/>
        </w:rPr>
        <w:t>.</w:t>
      </w:r>
      <w:r>
        <w:rPr>
          <w:snapToGrid w:val="0"/>
        </w:rPr>
        <w:tab/>
        <w:t xml:space="preserve">Application of </w:t>
      </w:r>
      <w:bookmarkEnd w:id="149"/>
      <w:bookmarkEnd w:id="150"/>
      <w:r>
        <w:rPr>
          <w:i/>
        </w:rPr>
        <w:t>Financial Management Act 2006</w:t>
      </w:r>
      <w:r>
        <w:t xml:space="preserve"> and </w:t>
      </w:r>
      <w:r>
        <w:rPr>
          <w:i/>
        </w:rPr>
        <w:t>Auditor General Act 2006</w:t>
      </w:r>
      <w:bookmarkEnd w:id="151"/>
      <w:bookmarkEnd w:id="15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21 inserted by No. 98 of 1985 s. 3; amended by No. 77 of 2006 s. 17.]</w:t>
      </w:r>
    </w:p>
    <w:p>
      <w:pPr>
        <w:pStyle w:val="Ednotesection"/>
      </w:pPr>
      <w:r>
        <w:t>[</w:t>
      </w:r>
      <w:r>
        <w:rPr>
          <w:b/>
        </w:rPr>
        <w:t>22.</w:t>
      </w:r>
      <w:r>
        <w:tab/>
        <w:t>Deleted by No. 98 of 1985 s. 3.]</w:t>
      </w:r>
    </w:p>
    <w:p>
      <w:pPr>
        <w:pStyle w:val="Heading2"/>
      </w:pPr>
      <w:bookmarkStart w:id="153" w:name="_Toc89568354"/>
      <w:bookmarkStart w:id="154" w:name="_Toc89568665"/>
      <w:bookmarkStart w:id="155" w:name="_Toc89568730"/>
      <w:bookmarkStart w:id="156" w:name="_Toc92878032"/>
      <w:bookmarkStart w:id="157" w:name="_Toc97097111"/>
      <w:bookmarkStart w:id="158" w:name="_Toc100455892"/>
      <w:bookmarkStart w:id="159" w:name="_Toc100561784"/>
      <w:bookmarkStart w:id="160" w:name="_Toc100563944"/>
      <w:bookmarkStart w:id="161" w:name="_Toc102379747"/>
      <w:bookmarkStart w:id="162" w:name="_Toc103067285"/>
      <w:bookmarkStart w:id="163" w:name="_Toc139348716"/>
      <w:bookmarkStart w:id="164" w:name="_Toc139348780"/>
      <w:bookmarkStart w:id="165" w:name="_Toc139688719"/>
      <w:bookmarkStart w:id="166" w:name="_Toc139784772"/>
      <w:bookmarkStart w:id="167" w:name="_Toc139785357"/>
      <w:bookmarkStart w:id="168" w:name="_Toc141592742"/>
      <w:bookmarkStart w:id="169" w:name="_Toc141607370"/>
      <w:bookmarkStart w:id="170" w:name="_Toc143936905"/>
      <w:bookmarkStart w:id="171" w:name="_Toc145126408"/>
      <w:bookmarkStart w:id="172" w:name="_Toc157922135"/>
      <w:bookmarkStart w:id="173" w:name="_Toc241053999"/>
      <w:bookmarkStart w:id="174" w:name="_Toc241054066"/>
      <w:bookmarkStart w:id="175" w:name="_Toc268598321"/>
      <w:bookmarkStart w:id="176" w:name="_Toc272231204"/>
      <w:r>
        <w:rPr>
          <w:rStyle w:val="CharPartNo"/>
        </w:rPr>
        <w:t>Part IV</w:t>
      </w:r>
      <w:r>
        <w:rPr>
          <w:rStyle w:val="CharDivNo"/>
        </w:rPr>
        <w:t> </w:t>
      </w:r>
      <w:r>
        <w:t>—</w:t>
      </w:r>
      <w:r>
        <w:rPr>
          <w:rStyle w:val="CharDivText"/>
        </w:rPr>
        <w:t> </w:t>
      </w:r>
      <w:r>
        <w:rPr>
          <w:rStyle w:val="CharPartText"/>
        </w:rPr>
        <w:t>Prevention of litter</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89568355"/>
      <w:bookmarkStart w:id="178" w:name="_Toc103067286"/>
      <w:bookmarkStart w:id="179" w:name="_Toc272231205"/>
      <w:bookmarkStart w:id="180" w:name="_Toc241054067"/>
      <w:r>
        <w:rPr>
          <w:rStyle w:val="CharSectno"/>
        </w:rPr>
        <w:t>23</w:t>
      </w:r>
      <w:r>
        <w:rPr>
          <w:snapToGrid w:val="0"/>
        </w:rPr>
        <w:t>.</w:t>
      </w:r>
      <w:r>
        <w:rPr>
          <w:snapToGrid w:val="0"/>
        </w:rPr>
        <w:tab/>
        <w:t>Littering</w:t>
      </w:r>
      <w:bookmarkEnd w:id="177"/>
      <w:bookmarkEnd w:id="178"/>
      <w:bookmarkEnd w:id="179"/>
      <w:bookmarkEnd w:id="180"/>
    </w:p>
    <w:p>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pPr>
        <w:pStyle w:val="Indenta"/>
        <w:rPr>
          <w:snapToGrid w:val="0"/>
        </w:rPr>
      </w:pPr>
      <w:r>
        <w:rPr>
          <w:snapToGrid w:val="0"/>
        </w:rPr>
        <w:tab/>
        <w:t>(a)</w:t>
      </w:r>
      <w:r>
        <w:rPr>
          <w:snapToGrid w:val="0"/>
        </w:rPr>
        <w:tab/>
        <w:t>on private land by consent;</w:t>
      </w:r>
    </w:p>
    <w:p>
      <w:pPr>
        <w:pStyle w:val="Indenta"/>
        <w:rPr>
          <w:snapToGrid w:val="0"/>
        </w:rPr>
      </w:pPr>
      <w:r>
        <w:rPr>
          <w:snapToGrid w:val="0"/>
        </w:rPr>
        <w:tab/>
        <w:t>(b)</w:t>
      </w:r>
      <w:r>
        <w:rPr>
          <w:snapToGrid w:val="0"/>
        </w:rPr>
        <w:tab/>
        <w:t>in an appointed area;</w:t>
      </w:r>
    </w:p>
    <w:p>
      <w:pPr>
        <w:pStyle w:val="Indenta"/>
        <w:rPr>
          <w:snapToGrid w:val="0"/>
        </w:rPr>
      </w:pPr>
      <w:r>
        <w:rPr>
          <w:snapToGrid w:val="0"/>
        </w:rPr>
        <w:tab/>
        <w:t>(c)</w:t>
      </w:r>
      <w:r>
        <w:rPr>
          <w:snapToGrid w:val="0"/>
        </w:rPr>
        <w:tab/>
        <w:t>in a place or receptacle set aside or provided for that purpose; or</w:t>
      </w:r>
    </w:p>
    <w:p>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pPr>
        <w:pStyle w:val="Penstart"/>
        <w:rPr>
          <w:snapToGrid w:val="0"/>
        </w:rPr>
      </w:pPr>
      <w:r>
        <w:rPr>
          <w:snapToGrid w:val="0"/>
        </w:rPr>
        <w:tab/>
        <w:t>Penalty: $1 000.</w:t>
      </w:r>
    </w:p>
    <w:p>
      <w:pPr>
        <w:pStyle w:val="Footnotesection"/>
      </w:pPr>
      <w:r>
        <w:tab/>
        <w:t>[Section 23 amended by No. 6 of 1996 s. 5.]</w:t>
      </w:r>
    </w:p>
    <w:p>
      <w:pPr>
        <w:pStyle w:val="Heading5"/>
        <w:rPr>
          <w:snapToGrid w:val="0"/>
        </w:rPr>
      </w:pPr>
      <w:bookmarkStart w:id="181" w:name="_Toc89568356"/>
      <w:bookmarkStart w:id="182" w:name="_Toc103067287"/>
      <w:bookmarkStart w:id="183" w:name="_Toc272231206"/>
      <w:bookmarkStart w:id="184" w:name="_Toc241054068"/>
      <w:r>
        <w:rPr>
          <w:rStyle w:val="CharSectno"/>
        </w:rPr>
        <w:t>24</w:t>
      </w:r>
      <w:r>
        <w:rPr>
          <w:snapToGrid w:val="0"/>
        </w:rPr>
        <w:t>.</w:t>
      </w:r>
      <w:r>
        <w:rPr>
          <w:snapToGrid w:val="0"/>
        </w:rPr>
        <w:tab/>
        <w:t>Breaking glass etc.</w:t>
      </w:r>
      <w:bookmarkEnd w:id="181"/>
      <w:bookmarkEnd w:id="182"/>
      <w:bookmarkEnd w:id="183"/>
      <w:bookmarkEnd w:id="184"/>
    </w:p>
    <w:p>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pPr>
        <w:pStyle w:val="Indenta"/>
        <w:rPr>
          <w:snapToGrid w:val="0"/>
        </w:rPr>
      </w:pPr>
      <w:r>
        <w:rPr>
          <w:snapToGrid w:val="0"/>
        </w:rPr>
        <w:tab/>
        <w:t>(a)</w:t>
      </w:r>
      <w:r>
        <w:rPr>
          <w:snapToGrid w:val="0"/>
        </w:rPr>
        <w:tab/>
        <w:t>on private land by consent; or</w:t>
      </w:r>
    </w:p>
    <w:p>
      <w:pPr>
        <w:pStyle w:val="Indenta"/>
        <w:rPr>
          <w:snapToGrid w:val="0"/>
        </w:rPr>
      </w:pPr>
      <w:r>
        <w:rPr>
          <w:snapToGrid w:val="0"/>
        </w:rPr>
        <w:tab/>
        <w:t>(b)</w:t>
      </w:r>
      <w:r>
        <w:rPr>
          <w:snapToGrid w:val="0"/>
        </w:rPr>
        <w:tab/>
        <w:t>in an appointed area with the consent of the public authority by which the area was set aside.</w:t>
      </w:r>
    </w:p>
    <w:p>
      <w:pPr>
        <w:pStyle w:val="Penstart"/>
        <w:rPr>
          <w:snapToGrid w:val="0"/>
        </w:rPr>
      </w:pPr>
      <w:r>
        <w:rPr>
          <w:snapToGrid w:val="0"/>
        </w:rPr>
        <w:tab/>
        <w:t>Penalty: $1 000.</w:t>
      </w:r>
    </w:p>
    <w:p>
      <w:pPr>
        <w:pStyle w:val="Footnotesection"/>
      </w:pPr>
      <w:r>
        <w:tab/>
        <w:t>[Section 24 amended by No. 6 of 1996 s. 6.]</w:t>
      </w:r>
    </w:p>
    <w:p>
      <w:pPr>
        <w:pStyle w:val="Heading5"/>
        <w:rPr>
          <w:snapToGrid w:val="0"/>
        </w:rPr>
      </w:pPr>
      <w:bookmarkStart w:id="185" w:name="_Toc89568357"/>
      <w:bookmarkStart w:id="186" w:name="_Toc103067288"/>
      <w:bookmarkStart w:id="187" w:name="_Toc272231207"/>
      <w:bookmarkStart w:id="188" w:name="_Toc241054069"/>
      <w:r>
        <w:rPr>
          <w:rStyle w:val="CharSectno"/>
        </w:rPr>
        <w:t>24A</w:t>
      </w:r>
      <w:r>
        <w:rPr>
          <w:snapToGrid w:val="0"/>
        </w:rPr>
        <w:t>.</w:t>
      </w:r>
      <w:r>
        <w:rPr>
          <w:snapToGrid w:val="0"/>
        </w:rPr>
        <w:tab/>
        <w:t>Bill posting</w:t>
      </w:r>
      <w:bookmarkEnd w:id="185"/>
      <w:bookmarkEnd w:id="186"/>
      <w:bookmarkEnd w:id="187"/>
      <w:bookmarkEnd w:id="188"/>
    </w:p>
    <w:p>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who leaves a bill in a letter box or similar receptacle for mail does not commit an offence under subsection (1).</w:t>
      </w:r>
    </w:p>
    <w:p>
      <w:pPr>
        <w:pStyle w:val="Footnotesection"/>
      </w:pPr>
      <w:r>
        <w:tab/>
        <w:t>[Section 24A inserted by No. 6 of 1996 s. 7.]</w:t>
      </w:r>
    </w:p>
    <w:p>
      <w:pPr>
        <w:pStyle w:val="Heading5"/>
        <w:rPr>
          <w:snapToGrid w:val="0"/>
        </w:rPr>
      </w:pPr>
      <w:bookmarkStart w:id="189" w:name="_Toc89568358"/>
      <w:bookmarkStart w:id="190" w:name="_Toc103067289"/>
      <w:bookmarkStart w:id="191" w:name="_Toc272231208"/>
      <w:bookmarkStart w:id="192" w:name="_Toc241054070"/>
      <w:r>
        <w:rPr>
          <w:rStyle w:val="CharSectno"/>
        </w:rPr>
        <w:t>24B</w:t>
      </w:r>
      <w:r>
        <w:rPr>
          <w:snapToGrid w:val="0"/>
        </w:rPr>
        <w:t>.</w:t>
      </w:r>
      <w:r>
        <w:rPr>
          <w:snapToGrid w:val="0"/>
        </w:rPr>
        <w:tab/>
        <w:t>Counselling or procuring bill posting</w:t>
      </w:r>
      <w:bookmarkEnd w:id="189"/>
      <w:bookmarkEnd w:id="190"/>
      <w:bookmarkEnd w:id="191"/>
      <w:bookmarkEnd w:id="192"/>
    </w:p>
    <w:p>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pPr>
        <w:pStyle w:val="Footnotesection"/>
      </w:pPr>
      <w:r>
        <w:tab/>
        <w:t>[Section 24B inserted by No. 6 of 1996 s. 7.]</w:t>
      </w:r>
    </w:p>
    <w:p>
      <w:pPr>
        <w:pStyle w:val="Heading5"/>
        <w:rPr>
          <w:snapToGrid w:val="0"/>
        </w:rPr>
      </w:pPr>
      <w:bookmarkStart w:id="193" w:name="_Toc89568359"/>
      <w:bookmarkStart w:id="194" w:name="_Toc103067290"/>
      <w:bookmarkStart w:id="195" w:name="_Toc272231209"/>
      <w:bookmarkStart w:id="196" w:name="_Toc241054071"/>
      <w:r>
        <w:rPr>
          <w:rStyle w:val="CharSectno"/>
        </w:rPr>
        <w:t>24C</w:t>
      </w:r>
      <w:r>
        <w:rPr>
          <w:snapToGrid w:val="0"/>
        </w:rPr>
        <w:t>.</w:t>
      </w:r>
      <w:r>
        <w:rPr>
          <w:snapToGrid w:val="0"/>
        </w:rPr>
        <w:tab/>
        <w:t>Offences by bodies corporate</w:t>
      </w:r>
      <w:bookmarkEnd w:id="193"/>
      <w:bookmarkEnd w:id="194"/>
      <w:bookmarkEnd w:id="195"/>
      <w:bookmarkEnd w:id="196"/>
    </w:p>
    <w:p>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pPr>
        <w:pStyle w:val="Footnotesection"/>
      </w:pPr>
      <w:r>
        <w:tab/>
        <w:t>[Section 24C inserted by No. 6 of 1996 s. 7.]</w:t>
      </w:r>
    </w:p>
    <w:p>
      <w:pPr>
        <w:pStyle w:val="Heading5"/>
        <w:rPr>
          <w:snapToGrid w:val="0"/>
        </w:rPr>
      </w:pPr>
      <w:bookmarkStart w:id="197" w:name="_Toc89568360"/>
      <w:bookmarkStart w:id="198" w:name="_Toc103067291"/>
      <w:bookmarkStart w:id="199" w:name="_Toc272231210"/>
      <w:bookmarkStart w:id="200" w:name="_Toc241054072"/>
      <w:r>
        <w:rPr>
          <w:rStyle w:val="CharSectno"/>
        </w:rPr>
        <w:t>25</w:t>
      </w:r>
      <w:r>
        <w:rPr>
          <w:snapToGrid w:val="0"/>
        </w:rPr>
        <w:t>.</w:t>
      </w:r>
      <w:r>
        <w:rPr>
          <w:snapToGrid w:val="0"/>
        </w:rPr>
        <w:tab/>
        <w:t>Provision of litter receptacles</w:t>
      </w:r>
      <w:bookmarkEnd w:id="197"/>
      <w:bookmarkEnd w:id="198"/>
      <w:bookmarkEnd w:id="199"/>
      <w:bookmarkEnd w:id="200"/>
    </w:p>
    <w:p>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pPr>
        <w:pStyle w:val="Subsection"/>
        <w:keepNext/>
        <w:rPr>
          <w:snapToGrid w:val="0"/>
        </w:rPr>
      </w:pPr>
      <w:r>
        <w:rPr>
          <w:snapToGrid w:val="0"/>
        </w:rPr>
        <w:tab/>
        <w:t>(4)</w:t>
      </w:r>
      <w:r>
        <w:rPr>
          <w:snapToGrid w:val="0"/>
        </w:rPr>
        <w:tab/>
        <w:t>A notice served under subsection (2) in respect of an area of land may be —</w:t>
      </w:r>
    </w:p>
    <w:p>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pPr>
        <w:pStyle w:val="Indenta"/>
        <w:rPr>
          <w:snapToGrid w:val="0"/>
        </w:rPr>
      </w:pPr>
      <w:r>
        <w:rPr>
          <w:snapToGrid w:val="0"/>
        </w:rPr>
        <w:tab/>
        <w:t>(b)</w:t>
      </w:r>
      <w:r>
        <w:rPr>
          <w:snapToGrid w:val="0"/>
        </w:rPr>
        <w:tab/>
        <w:t>rescinded by notice in writing served on the owner or person who has the control of that area.</w:t>
      </w:r>
    </w:p>
    <w:p>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pPr>
        <w:pStyle w:val="Ednotesubsection"/>
      </w:pPr>
      <w:r>
        <w:tab/>
        <w:t>[(7), (8)</w:t>
      </w:r>
      <w:r>
        <w:tab/>
        <w:t>deleted]</w:t>
      </w:r>
    </w:p>
    <w:p>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pPr>
        <w:pStyle w:val="Penstart"/>
        <w:rPr>
          <w:snapToGrid w:val="0"/>
        </w:rPr>
      </w:pPr>
      <w:r>
        <w:rPr>
          <w:snapToGrid w:val="0"/>
        </w:rPr>
        <w:tab/>
        <w:t>Penalty: $1 000 together with a daily penalty of $100 in respect of each day on which the offence continues.</w:t>
      </w:r>
    </w:p>
    <w:p>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pPr>
        <w:pStyle w:val="Footnotesection"/>
      </w:pPr>
      <w:r>
        <w:tab/>
        <w:t>[Section 25 amended by No. 6 of 1996 s. 8; No. 55 of 2004 s. 659.]</w:t>
      </w:r>
    </w:p>
    <w:p>
      <w:pPr>
        <w:pStyle w:val="Heading2"/>
      </w:pPr>
      <w:bookmarkStart w:id="201" w:name="_Toc89568361"/>
      <w:bookmarkStart w:id="202" w:name="_Toc89568672"/>
      <w:bookmarkStart w:id="203" w:name="_Toc89568737"/>
      <w:bookmarkStart w:id="204" w:name="_Toc92878039"/>
      <w:bookmarkStart w:id="205" w:name="_Toc97097118"/>
      <w:bookmarkStart w:id="206" w:name="_Toc100455899"/>
      <w:bookmarkStart w:id="207" w:name="_Toc100561791"/>
      <w:bookmarkStart w:id="208" w:name="_Toc100563951"/>
      <w:bookmarkStart w:id="209" w:name="_Toc102379754"/>
      <w:bookmarkStart w:id="210" w:name="_Toc103067292"/>
      <w:bookmarkStart w:id="211" w:name="_Toc139348723"/>
      <w:bookmarkStart w:id="212" w:name="_Toc139348787"/>
      <w:bookmarkStart w:id="213" w:name="_Toc139688726"/>
      <w:bookmarkStart w:id="214" w:name="_Toc139784779"/>
      <w:bookmarkStart w:id="215" w:name="_Toc139785364"/>
      <w:bookmarkStart w:id="216" w:name="_Toc141592749"/>
      <w:bookmarkStart w:id="217" w:name="_Toc141607377"/>
      <w:bookmarkStart w:id="218" w:name="_Toc143936912"/>
      <w:bookmarkStart w:id="219" w:name="_Toc145126415"/>
      <w:bookmarkStart w:id="220" w:name="_Toc157922142"/>
      <w:bookmarkStart w:id="221" w:name="_Toc241054006"/>
      <w:bookmarkStart w:id="222" w:name="_Toc241054073"/>
      <w:bookmarkStart w:id="223" w:name="_Toc268598328"/>
      <w:bookmarkStart w:id="224" w:name="_Toc272231211"/>
      <w:r>
        <w:rPr>
          <w:rStyle w:val="CharPartNo"/>
        </w:rPr>
        <w:t>Part V</w:t>
      </w:r>
      <w:r>
        <w:rPr>
          <w:rStyle w:val="CharDivNo"/>
        </w:rPr>
        <w:t> </w:t>
      </w:r>
      <w:r>
        <w:t>—</w:t>
      </w:r>
      <w:r>
        <w:rPr>
          <w:rStyle w:val="CharDivText"/>
        </w:rPr>
        <w:t> </w:t>
      </w:r>
      <w:r>
        <w:rPr>
          <w:rStyle w:val="CharPartText"/>
        </w:rPr>
        <w:t>Enforcement, proceedings and penalties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89568362"/>
      <w:bookmarkStart w:id="226" w:name="_Toc103067293"/>
      <w:bookmarkStart w:id="227" w:name="_Toc272231212"/>
      <w:bookmarkStart w:id="228" w:name="_Toc241054074"/>
      <w:r>
        <w:rPr>
          <w:rStyle w:val="CharSectno"/>
        </w:rPr>
        <w:t>26</w:t>
      </w:r>
      <w:r>
        <w:rPr>
          <w:snapToGrid w:val="0"/>
        </w:rPr>
        <w:t>.</w:t>
      </w:r>
      <w:r>
        <w:rPr>
          <w:snapToGrid w:val="0"/>
        </w:rPr>
        <w:tab/>
        <w:t>Authorised officers</w:t>
      </w:r>
      <w:bookmarkEnd w:id="225"/>
      <w:bookmarkEnd w:id="226"/>
      <w:bookmarkEnd w:id="227"/>
      <w:bookmarkEnd w:id="228"/>
    </w:p>
    <w:p>
      <w:pPr>
        <w:pStyle w:val="Subsection"/>
        <w:keepNext/>
        <w:rPr>
          <w:snapToGrid w:val="0"/>
        </w:rPr>
      </w:pPr>
      <w:r>
        <w:rPr>
          <w:snapToGrid w:val="0"/>
        </w:rPr>
        <w:tab/>
        <w:t>(1)</w:t>
      </w:r>
      <w:r>
        <w:rPr>
          <w:snapToGrid w:val="0"/>
        </w:rPr>
        <w:tab/>
        <w:t>For the purposes of this Act an authorised officer is —</w:t>
      </w:r>
    </w:p>
    <w:p>
      <w:pPr>
        <w:pStyle w:val="Indenta"/>
        <w:rPr>
          <w:snapToGrid w:val="0"/>
        </w:rPr>
      </w:pPr>
      <w:r>
        <w:rPr>
          <w:snapToGrid w:val="0"/>
        </w:rPr>
        <w:tab/>
        <w:t>(a)</w:t>
      </w:r>
      <w:r>
        <w:rPr>
          <w:snapToGrid w:val="0"/>
        </w:rPr>
        <w:tab/>
        <w:t>any member of the Police Force;</w:t>
      </w:r>
    </w:p>
    <w:p>
      <w:pPr>
        <w:pStyle w:val="Indenta"/>
        <w:rPr>
          <w:snapToGrid w:val="0"/>
        </w:rPr>
      </w:pPr>
      <w:r>
        <w:rPr>
          <w:snapToGrid w:val="0"/>
        </w:rPr>
        <w:tab/>
        <w:t>(b)</w:t>
      </w:r>
      <w:r>
        <w:rPr>
          <w:snapToGrid w:val="0"/>
        </w:rPr>
        <w:tab/>
        <w:t>any person appointed as such pursuant to subsection (2) within the area of jurisdiction entrusted to him by the appointment;</w:t>
      </w:r>
    </w:p>
    <w:p>
      <w:pPr>
        <w:pStyle w:val="Indenta"/>
        <w:keepNext/>
        <w:rPr>
          <w:snapToGrid w:val="0"/>
        </w:rPr>
      </w:pPr>
      <w:r>
        <w:rPr>
          <w:snapToGrid w:val="0"/>
        </w:rPr>
        <w:tab/>
        <w:t>(c)</w:t>
      </w:r>
      <w:r>
        <w:rPr>
          <w:snapToGrid w:val="0"/>
        </w:rPr>
        <w:tab/>
        <w:t>within the district of a local government, any person who is —</w:t>
      </w:r>
    </w:p>
    <w:p>
      <w:pPr>
        <w:pStyle w:val="Indenti"/>
        <w:rPr>
          <w:snapToGrid w:val="0"/>
        </w:rPr>
      </w:pPr>
      <w:r>
        <w:rPr>
          <w:snapToGrid w:val="0"/>
        </w:rPr>
        <w:tab/>
        <w:t>(i)</w:t>
      </w:r>
      <w:r>
        <w:rPr>
          <w:snapToGrid w:val="0"/>
        </w:rPr>
        <w:tab/>
        <w:t>a member of the council of the local government;</w:t>
      </w:r>
    </w:p>
    <w:p>
      <w:pPr>
        <w:pStyle w:val="Indenti"/>
        <w:rPr>
          <w:snapToGrid w:val="0"/>
        </w:rPr>
      </w:pPr>
      <w:r>
        <w:rPr>
          <w:snapToGrid w:val="0"/>
        </w:rPr>
        <w:tab/>
        <w:t>(ii)</w:t>
      </w:r>
      <w:r>
        <w:rPr>
          <w:snapToGrid w:val="0"/>
        </w:rPr>
        <w:tab/>
        <w:t>an employee of the local government; or</w:t>
      </w:r>
    </w:p>
    <w:p>
      <w:pPr>
        <w:pStyle w:val="Indenti"/>
        <w:rPr>
          <w:snapToGrid w:val="0"/>
        </w:rPr>
      </w:pPr>
      <w:r>
        <w:rPr>
          <w:snapToGrid w:val="0"/>
        </w:rPr>
        <w:tab/>
        <w:t>(iii)</w:t>
      </w:r>
      <w:r>
        <w:rPr>
          <w:snapToGrid w:val="0"/>
        </w:rPr>
        <w:tab/>
        <w:t>an honorary inspector appointed by the local government under section 27AA.</w:t>
      </w:r>
    </w:p>
    <w:p>
      <w:pPr>
        <w:pStyle w:val="Subsection"/>
        <w:keepNext/>
        <w:rPr>
          <w:snapToGrid w:val="0"/>
        </w:rPr>
      </w:pPr>
      <w:r>
        <w:rPr>
          <w:snapToGrid w:val="0"/>
        </w:rPr>
        <w:tab/>
        <w:t>(2)</w:t>
      </w:r>
      <w:r>
        <w:rPr>
          <w:snapToGrid w:val="0"/>
        </w:rPr>
        <w:tab/>
        <w:t>The Minister may appoint —</w:t>
      </w:r>
    </w:p>
    <w:p>
      <w:pPr>
        <w:pStyle w:val="Indenta"/>
        <w:rPr>
          <w:snapToGrid w:val="0"/>
        </w:rPr>
      </w:pPr>
      <w:r>
        <w:rPr>
          <w:snapToGrid w:val="0"/>
        </w:rPr>
        <w:tab/>
        <w:t>(a)</w:t>
      </w:r>
      <w:r>
        <w:rPr>
          <w:snapToGrid w:val="0"/>
        </w:rPr>
        <w:tab/>
        <w:t>any officer or employee of the Council appointed or engaged under section 15(1);</w:t>
      </w:r>
    </w:p>
    <w:p>
      <w:pPr>
        <w:pStyle w:val="Indenta"/>
        <w:rPr>
          <w:snapToGrid w:val="0"/>
        </w:rPr>
      </w:pPr>
      <w:r>
        <w:rPr>
          <w:snapToGrid w:val="0"/>
        </w:rPr>
        <w:tab/>
        <w:t>(b)</w:t>
      </w:r>
      <w:r>
        <w:rPr>
          <w:snapToGrid w:val="0"/>
        </w:rPr>
        <w:tab/>
        <w:t>any officer or employee whose services the Council makes use of by arrangement under section 16(1);</w:t>
      </w:r>
    </w:p>
    <w:p>
      <w:pPr>
        <w:pStyle w:val="Indenta"/>
        <w:keepNext/>
        <w:rPr>
          <w:snapToGrid w:val="0"/>
        </w:rPr>
      </w:pPr>
      <w:r>
        <w:rPr>
          <w:snapToGrid w:val="0"/>
        </w:rPr>
        <w:tab/>
        <w:t>(c)</w:t>
      </w:r>
      <w:r>
        <w:rPr>
          <w:snapToGrid w:val="0"/>
        </w:rPr>
        <w:tab/>
        <w:t>any person who is or acts in the office of —</w:t>
      </w:r>
    </w:p>
    <w:p>
      <w:pPr>
        <w:pStyle w:val="Indenti"/>
      </w:pPr>
      <w:r>
        <w:tab/>
        <w:t>(i)</w:t>
      </w:r>
      <w:r>
        <w:tab/>
        <w:t xml:space="preserve">an inspector, under the </w:t>
      </w:r>
      <w:r>
        <w:rPr>
          <w:i/>
        </w:rPr>
        <w:t>Environmental Protection Act 1986</w:t>
      </w:r>
      <w:r>
        <w:t>;</w:t>
      </w:r>
    </w:p>
    <w:p>
      <w:pPr>
        <w:pStyle w:val="Indenti"/>
      </w:pPr>
      <w:r>
        <w:tab/>
        <w:t>(ii)</w:t>
      </w:r>
      <w:r>
        <w:tab/>
        <w:t xml:space="preserve">a conservation and land management officer, forest officer, wildlife officer or ranger, under the </w:t>
      </w:r>
      <w:r>
        <w:rPr>
          <w:i/>
        </w:rPr>
        <w:t>Conservation and Land Management Act 1984</w:t>
      </w:r>
      <w:r>
        <w:t>;</w:t>
      </w:r>
    </w:p>
    <w:p>
      <w:pPr>
        <w:pStyle w:val="Ednotepara"/>
        <w:tabs>
          <w:tab w:val="clear" w:pos="1325"/>
          <w:tab w:val="clear" w:pos="1613"/>
          <w:tab w:val="right" w:pos="1985"/>
          <w:tab w:val="left" w:pos="2268"/>
        </w:tabs>
        <w:spacing w:before="80"/>
        <w:ind w:left="2268"/>
      </w:pPr>
      <w:r>
        <w:tab/>
        <w:t>[(iii), (iv)</w:t>
      </w:r>
      <w:r>
        <w:tab/>
        <w:t>deleted]</w:t>
      </w:r>
    </w:p>
    <w:p>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pPr>
        <w:pStyle w:val="Indenta"/>
        <w:spacing w:before="0"/>
        <w:rPr>
          <w:snapToGrid w:val="0"/>
        </w:rPr>
      </w:pPr>
      <w:r>
        <w:rPr>
          <w:snapToGrid w:val="0"/>
        </w:rPr>
        <w:tab/>
      </w:r>
      <w:r>
        <w:rPr>
          <w:snapToGrid w:val="0"/>
        </w:rPr>
        <w:tab/>
        <w:t>or</w:t>
      </w:r>
    </w:p>
    <w:p>
      <w:pPr>
        <w:pStyle w:val="Indenta"/>
        <w:rPr>
          <w:snapToGrid w:val="0"/>
        </w:rPr>
      </w:pPr>
      <w:r>
        <w:rPr>
          <w:snapToGrid w:val="0"/>
        </w:rPr>
        <w:tab/>
        <w:t>(d)</w:t>
      </w:r>
      <w:r>
        <w:rPr>
          <w:snapToGrid w:val="0"/>
        </w:rPr>
        <w:tab/>
        <w:t>any person who holds or acts in an office of a public authority being an office prescribed in the regulations,</w:t>
      </w:r>
    </w:p>
    <w:p>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pPr>
        <w:pStyle w:val="Subsection"/>
        <w:keepNext/>
        <w:rPr>
          <w:snapToGrid w:val="0"/>
        </w:rPr>
      </w:pPr>
      <w:r>
        <w:rPr>
          <w:snapToGrid w:val="0"/>
        </w:rPr>
        <w:tab/>
        <w:t>(3)</w:t>
      </w:r>
      <w:r>
        <w:rPr>
          <w:snapToGrid w:val="0"/>
        </w:rPr>
        <w:tab/>
        <w:t>A person holding office as an authorised officer by virtue of subsection (1)(c) —</w:t>
      </w:r>
    </w:p>
    <w:p>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pPr>
        <w:pStyle w:val="Subsection"/>
        <w:keepNext/>
        <w:rPr>
          <w:snapToGrid w:val="0"/>
        </w:rPr>
      </w:pPr>
      <w:r>
        <w:rPr>
          <w:snapToGrid w:val="0"/>
        </w:rPr>
        <w:tab/>
        <w:t>(4)</w:t>
      </w:r>
      <w:r>
        <w:rPr>
          <w:snapToGrid w:val="0"/>
        </w:rPr>
        <w:tab/>
        <w:t>A person who is appointed as an authorised officer pursuant to subsection (2) —</w:t>
      </w:r>
    </w:p>
    <w:p>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pPr>
        <w:pStyle w:val="Footnotesection"/>
      </w:pPr>
      <w:r>
        <w:tab/>
        <w:t>[Section 26 amended by No. 49 of 1981 s. 4; No. 53 of 1994 s. 264; No. 24 of 1995 s. 55; No. 14 of 1996 s. 4; No. 28 of 2006 s. 215.]</w:t>
      </w:r>
    </w:p>
    <w:p>
      <w:pPr>
        <w:pStyle w:val="Heading5"/>
        <w:rPr>
          <w:snapToGrid w:val="0"/>
        </w:rPr>
      </w:pPr>
      <w:bookmarkStart w:id="229" w:name="_Toc89568363"/>
      <w:bookmarkStart w:id="230" w:name="_Toc103067294"/>
      <w:bookmarkStart w:id="231" w:name="_Toc272231213"/>
      <w:bookmarkStart w:id="232" w:name="_Toc241054075"/>
      <w:r>
        <w:rPr>
          <w:rStyle w:val="CharSectno"/>
        </w:rPr>
        <w:t>27</w:t>
      </w:r>
      <w:r>
        <w:rPr>
          <w:snapToGrid w:val="0"/>
        </w:rPr>
        <w:t>.</w:t>
      </w:r>
      <w:r>
        <w:rPr>
          <w:snapToGrid w:val="0"/>
        </w:rPr>
        <w:tab/>
        <w:t>Powers of authorised officers</w:t>
      </w:r>
      <w:bookmarkEnd w:id="229"/>
      <w:bookmarkEnd w:id="230"/>
      <w:bookmarkEnd w:id="231"/>
      <w:bookmarkEnd w:id="232"/>
    </w:p>
    <w:p>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An authorised officer who finds a person contravening section 23, 24 or 24A may order that person —</w:t>
      </w:r>
    </w:p>
    <w:p>
      <w:pPr>
        <w:pStyle w:val="Indenta"/>
        <w:rPr>
          <w:snapToGrid w:val="0"/>
        </w:rPr>
      </w:pPr>
      <w:r>
        <w:rPr>
          <w:snapToGrid w:val="0"/>
        </w:rPr>
        <w:tab/>
        <w:t>(a)</w:t>
      </w:r>
      <w:r>
        <w:rPr>
          <w:snapToGrid w:val="0"/>
        </w:rPr>
        <w:tab/>
        <w:t>to remove the material the subject of the offence from the land or waters; or</w:t>
      </w:r>
    </w:p>
    <w:p>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pPr>
        <w:pStyle w:val="Subsection"/>
        <w:rPr>
          <w:snapToGrid w:val="0"/>
        </w:rPr>
      </w:pPr>
      <w:r>
        <w:rPr>
          <w:snapToGrid w:val="0"/>
        </w:rPr>
        <w:tab/>
      </w:r>
      <w:r>
        <w:rPr>
          <w:snapToGrid w:val="0"/>
        </w:rPr>
        <w:tab/>
        <w:t>within such time as the authorised officer may direct.</w:t>
      </w:r>
    </w:p>
    <w:p>
      <w:pPr>
        <w:pStyle w:val="Subsection"/>
        <w:keepNext/>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fail to comply with a requisition directed to him under subsection (1) or (2) by an authorised officer; or</w:t>
      </w:r>
    </w:p>
    <w:p>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pPr>
        <w:pStyle w:val="Penstart"/>
        <w:rPr>
          <w:snapToGrid w:val="0"/>
        </w:rPr>
      </w:pPr>
      <w:r>
        <w:rPr>
          <w:snapToGrid w:val="0"/>
        </w:rPr>
        <w:tab/>
        <w:t>Penalty: $1 000.</w:t>
      </w:r>
    </w:p>
    <w:p>
      <w:pPr>
        <w:pStyle w:val="Footnotesection"/>
      </w:pPr>
      <w:r>
        <w:tab/>
        <w:t>[Section 27 amended by No. 18 of 1986 s. 6; No. 6 of 1996 s. 9.]</w:t>
      </w:r>
    </w:p>
    <w:p>
      <w:pPr>
        <w:pStyle w:val="Heading5"/>
        <w:rPr>
          <w:snapToGrid w:val="0"/>
        </w:rPr>
      </w:pPr>
      <w:bookmarkStart w:id="233" w:name="_Toc89568364"/>
      <w:bookmarkStart w:id="234" w:name="_Toc103067295"/>
      <w:bookmarkStart w:id="235" w:name="_Toc272231214"/>
      <w:bookmarkStart w:id="236" w:name="_Toc241054076"/>
      <w:r>
        <w:rPr>
          <w:rStyle w:val="CharSectno"/>
        </w:rPr>
        <w:t>27A</w:t>
      </w:r>
      <w:r>
        <w:rPr>
          <w:snapToGrid w:val="0"/>
        </w:rPr>
        <w:t>.</w:t>
      </w:r>
      <w:r>
        <w:rPr>
          <w:snapToGrid w:val="0"/>
        </w:rPr>
        <w:tab/>
        <w:t>Offences involving vehicles</w:t>
      </w:r>
      <w:bookmarkEnd w:id="233"/>
      <w:bookmarkEnd w:id="234"/>
      <w:bookmarkEnd w:id="235"/>
      <w:bookmarkEnd w:id="236"/>
    </w:p>
    <w:p>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pPr>
        <w:pStyle w:val="Indenta"/>
        <w:rPr>
          <w:snapToGrid w:val="0"/>
        </w:rPr>
      </w:pPr>
      <w:r>
        <w:rPr>
          <w:snapToGrid w:val="0"/>
        </w:rPr>
        <w:tab/>
        <w:t>(a)</w:t>
      </w:r>
      <w:r>
        <w:rPr>
          <w:snapToGrid w:val="0"/>
        </w:rPr>
        <w:tab/>
        <w:t>supplying the name of that other person and the address at which that person can be located; or</w:t>
      </w:r>
    </w:p>
    <w:p>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pPr>
        <w:pStyle w:val="Footnotesection"/>
      </w:pPr>
      <w:r>
        <w:tab/>
        <w:t>[Section 27A inserted by No. 6 of 1996 s. 10; amended by No. 59 of 2004 s. 141; No. 84 of 2004 s. 78.]</w:t>
      </w:r>
    </w:p>
    <w:p>
      <w:pPr>
        <w:pStyle w:val="Heading5"/>
        <w:rPr>
          <w:snapToGrid w:val="0"/>
        </w:rPr>
      </w:pPr>
      <w:bookmarkStart w:id="237" w:name="_Toc89568365"/>
      <w:bookmarkStart w:id="238" w:name="_Toc103067296"/>
      <w:bookmarkStart w:id="239" w:name="_Toc272231215"/>
      <w:bookmarkStart w:id="240" w:name="_Toc241054077"/>
      <w:r>
        <w:rPr>
          <w:rStyle w:val="CharSectno"/>
        </w:rPr>
        <w:t>27AA</w:t>
      </w:r>
      <w:r>
        <w:rPr>
          <w:snapToGrid w:val="0"/>
        </w:rPr>
        <w:t>.</w:t>
      </w:r>
      <w:r>
        <w:rPr>
          <w:snapToGrid w:val="0"/>
        </w:rPr>
        <w:tab/>
        <w:t>Honorary inspectors</w:t>
      </w:r>
      <w:bookmarkEnd w:id="237"/>
      <w:bookmarkEnd w:id="238"/>
      <w:bookmarkEnd w:id="239"/>
      <w:bookmarkEnd w:id="240"/>
    </w:p>
    <w:p>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pPr>
        <w:pStyle w:val="Footnotesection"/>
      </w:pPr>
      <w:r>
        <w:tab/>
        <w:t>[Section 27AA inserted by No. 14 of 1996 s. 4; amended by No. 10 of 1998 s. 44.]</w:t>
      </w:r>
    </w:p>
    <w:p>
      <w:pPr>
        <w:pStyle w:val="Heading5"/>
        <w:rPr>
          <w:snapToGrid w:val="0"/>
        </w:rPr>
      </w:pPr>
      <w:bookmarkStart w:id="241" w:name="_Toc89568366"/>
      <w:bookmarkStart w:id="242" w:name="_Toc103067297"/>
      <w:bookmarkStart w:id="243" w:name="_Toc272231216"/>
      <w:bookmarkStart w:id="244" w:name="_Toc241054078"/>
      <w:r>
        <w:rPr>
          <w:rStyle w:val="CharSectno"/>
        </w:rPr>
        <w:t>28</w:t>
      </w:r>
      <w:r>
        <w:rPr>
          <w:snapToGrid w:val="0"/>
        </w:rPr>
        <w:t>.</w:t>
      </w:r>
      <w:r>
        <w:rPr>
          <w:snapToGrid w:val="0"/>
        </w:rPr>
        <w:tab/>
        <w:t>Court may order offender to remove litter etc.</w:t>
      </w:r>
      <w:bookmarkEnd w:id="241"/>
      <w:bookmarkEnd w:id="242"/>
      <w:bookmarkEnd w:id="243"/>
      <w:bookmarkEnd w:id="244"/>
    </w:p>
    <w:p>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pPr>
        <w:pStyle w:val="Subsection"/>
        <w:keepNext/>
        <w:rPr>
          <w:snapToGrid w:val="0"/>
        </w:rPr>
      </w:pPr>
      <w:r>
        <w:rPr>
          <w:snapToGrid w:val="0"/>
        </w:rPr>
        <w:tab/>
        <w:t>(4)</w:t>
      </w:r>
      <w:r>
        <w:rPr>
          <w:snapToGrid w:val="0"/>
        </w:rPr>
        <w:tab/>
        <w:t>Upon the hearing of a summons issued under subsection (3) the court —</w:t>
      </w:r>
    </w:p>
    <w:p>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pPr>
        <w:pStyle w:val="Indenta"/>
        <w:rPr>
          <w:snapToGrid w:val="0"/>
        </w:rPr>
      </w:pPr>
      <w:r>
        <w:rPr>
          <w:snapToGrid w:val="0"/>
        </w:rPr>
        <w:tab/>
        <w:t>(b)</w:t>
      </w:r>
      <w:r>
        <w:rPr>
          <w:snapToGrid w:val="0"/>
        </w:rPr>
        <w:tab/>
        <w:t>may make such order as it thinks fit.</w:t>
      </w:r>
    </w:p>
    <w:p>
      <w:pPr>
        <w:pStyle w:val="Footnotesection"/>
      </w:pPr>
      <w:r>
        <w:tab/>
        <w:t>[Section 28 amended by No. 6 of 1996 s. 11.]</w:t>
      </w:r>
    </w:p>
    <w:p>
      <w:pPr>
        <w:pStyle w:val="Heading5"/>
        <w:rPr>
          <w:snapToGrid w:val="0"/>
        </w:rPr>
      </w:pPr>
      <w:bookmarkStart w:id="245" w:name="_Toc89568367"/>
      <w:bookmarkStart w:id="246" w:name="_Toc103067298"/>
      <w:bookmarkStart w:id="247" w:name="_Toc272231217"/>
      <w:bookmarkStart w:id="248" w:name="_Toc241054079"/>
      <w:r>
        <w:rPr>
          <w:rStyle w:val="CharSectno"/>
        </w:rPr>
        <w:t>29</w:t>
      </w:r>
      <w:r>
        <w:rPr>
          <w:snapToGrid w:val="0"/>
        </w:rPr>
        <w:t>.</w:t>
      </w:r>
      <w:r>
        <w:rPr>
          <w:snapToGrid w:val="0"/>
        </w:rPr>
        <w:tab/>
        <w:t>Court may order offender to pay costs of removing litter etc.</w:t>
      </w:r>
      <w:bookmarkEnd w:id="245"/>
      <w:bookmarkEnd w:id="246"/>
      <w:bookmarkEnd w:id="247"/>
      <w:bookmarkEnd w:id="248"/>
    </w:p>
    <w:p>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pPr>
        <w:pStyle w:val="Footnotesection"/>
      </w:pPr>
      <w:r>
        <w:tab/>
        <w:t>[Section 29 amended by No. 92 of 1994 s. 23; No. 6 of 1996 s. 12.]</w:t>
      </w:r>
    </w:p>
    <w:p>
      <w:pPr>
        <w:pStyle w:val="Heading5"/>
        <w:rPr>
          <w:snapToGrid w:val="0"/>
        </w:rPr>
      </w:pPr>
      <w:bookmarkStart w:id="249" w:name="_Toc89568368"/>
      <w:bookmarkStart w:id="250" w:name="_Toc103067299"/>
      <w:bookmarkStart w:id="251" w:name="_Toc272231218"/>
      <w:bookmarkStart w:id="252" w:name="_Toc241054080"/>
      <w:r>
        <w:rPr>
          <w:rStyle w:val="CharSectno"/>
        </w:rPr>
        <w:t>30</w:t>
      </w:r>
      <w:r>
        <w:rPr>
          <w:snapToGrid w:val="0"/>
        </w:rPr>
        <w:t>.</w:t>
      </w:r>
      <w:r>
        <w:rPr>
          <w:snapToGrid w:val="0"/>
        </w:rPr>
        <w:tab/>
        <w:t>Infringement notices</w:t>
      </w:r>
      <w:bookmarkEnd w:id="249"/>
      <w:bookmarkEnd w:id="250"/>
      <w:bookmarkEnd w:id="251"/>
      <w:bookmarkEnd w:id="252"/>
    </w:p>
    <w:p>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Footnotesection"/>
      </w:pPr>
      <w:r>
        <w:tab/>
        <w:t>[Section 30 amended by No. 48 of 1981 s. 5; No. 18 of 1986 s. 7; No. 84 of 2004 s. 80.]</w:t>
      </w:r>
    </w:p>
    <w:p>
      <w:pPr>
        <w:pStyle w:val="Heading5"/>
        <w:keepLines w:val="0"/>
        <w:rPr>
          <w:snapToGrid w:val="0"/>
        </w:rPr>
      </w:pPr>
      <w:bookmarkStart w:id="253" w:name="_Toc89568369"/>
      <w:bookmarkStart w:id="254" w:name="_Toc103067300"/>
      <w:bookmarkStart w:id="255" w:name="_Toc272231219"/>
      <w:bookmarkStart w:id="256" w:name="_Toc241054081"/>
      <w:r>
        <w:rPr>
          <w:rStyle w:val="CharSectno"/>
        </w:rPr>
        <w:t>31</w:t>
      </w:r>
      <w:r>
        <w:rPr>
          <w:snapToGrid w:val="0"/>
        </w:rPr>
        <w:t>.</w:t>
      </w:r>
      <w:r>
        <w:rPr>
          <w:snapToGrid w:val="0"/>
        </w:rPr>
        <w:tab/>
        <w:t>Appropriation of penalties</w:t>
      </w:r>
      <w:bookmarkEnd w:id="253"/>
      <w:bookmarkEnd w:id="254"/>
      <w:bookmarkEnd w:id="255"/>
      <w:bookmarkEnd w:id="256"/>
    </w:p>
    <w:p>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pPr>
        <w:pStyle w:val="Footnotesection"/>
      </w:pPr>
      <w:r>
        <w:tab/>
        <w:t>[Section 31 amended by No. 49 of 1981 s. 6; No. 14 of 1996 s. 4; No. 49 of 1996 s. 64.]</w:t>
      </w:r>
    </w:p>
    <w:p>
      <w:pPr>
        <w:pStyle w:val="Heading5"/>
        <w:spacing w:before="120"/>
        <w:rPr>
          <w:snapToGrid w:val="0"/>
        </w:rPr>
      </w:pPr>
      <w:bookmarkStart w:id="257" w:name="_Toc89568370"/>
      <w:bookmarkStart w:id="258" w:name="_Toc103067301"/>
      <w:bookmarkStart w:id="259" w:name="_Toc272231220"/>
      <w:bookmarkStart w:id="260" w:name="_Toc241054082"/>
      <w:r>
        <w:rPr>
          <w:rStyle w:val="CharSectno"/>
        </w:rPr>
        <w:t>32</w:t>
      </w:r>
      <w:r>
        <w:rPr>
          <w:snapToGrid w:val="0"/>
        </w:rPr>
        <w:t>.</w:t>
      </w:r>
      <w:r>
        <w:rPr>
          <w:snapToGrid w:val="0"/>
        </w:rPr>
        <w:tab/>
        <w:t>Proof of consent</w:t>
      </w:r>
      <w:bookmarkEnd w:id="257"/>
      <w:bookmarkEnd w:id="258"/>
      <w:bookmarkEnd w:id="259"/>
      <w:bookmarkEnd w:id="260"/>
    </w:p>
    <w:p>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pPr>
        <w:pStyle w:val="Indenta"/>
        <w:keepNext/>
        <w:rPr>
          <w:snapToGrid w:val="0"/>
        </w:rPr>
      </w:pPr>
      <w:r>
        <w:rPr>
          <w:snapToGrid w:val="0"/>
        </w:rPr>
        <w:tab/>
        <w:t>(a)</w:t>
      </w:r>
      <w:r>
        <w:rPr>
          <w:snapToGrid w:val="0"/>
        </w:rPr>
        <w:tab/>
        <w:t>it is shown that the land in question was —</w:t>
      </w:r>
    </w:p>
    <w:p>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pPr>
        <w:pStyle w:val="Indenti"/>
        <w:rPr>
          <w:snapToGrid w:val="0"/>
        </w:rPr>
      </w:pPr>
      <w:r>
        <w:rPr>
          <w:snapToGrid w:val="0"/>
        </w:rPr>
        <w:tab/>
        <w:t>(ii)</w:t>
      </w:r>
      <w:r>
        <w:rPr>
          <w:snapToGrid w:val="0"/>
        </w:rPr>
        <w:tab/>
        <w:t>land the subject of any conditional purchase agreement or of any lease from the Crown;</w:t>
      </w:r>
    </w:p>
    <w:p>
      <w:pPr>
        <w:pStyle w:val="Indenti"/>
        <w:rPr>
          <w:snapToGrid w:val="0"/>
        </w:rPr>
      </w:pPr>
      <w:r>
        <w:rPr>
          <w:snapToGrid w:val="0"/>
        </w:rPr>
        <w:tab/>
        <w:t>(iii)</w:t>
      </w:r>
      <w:r>
        <w:rPr>
          <w:snapToGrid w:val="0"/>
        </w:rPr>
        <w:tab/>
        <w:t>land comprised in a reserve under any Act and leased for any purpose; or</w:t>
      </w:r>
    </w:p>
    <w:p>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pPr>
        <w:pStyle w:val="Footnotesection"/>
      </w:pPr>
      <w:r>
        <w:tab/>
        <w:t>[Section 32 amended by No. 31 of 1997 s. 64.]</w:t>
      </w:r>
    </w:p>
    <w:p>
      <w:pPr>
        <w:pStyle w:val="Heading2"/>
      </w:pPr>
      <w:bookmarkStart w:id="261" w:name="_Toc89568371"/>
      <w:bookmarkStart w:id="262" w:name="_Toc89568682"/>
      <w:bookmarkStart w:id="263" w:name="_Toc89568747"/>
      <w:bookmarkStart w:id="264" w:name="_Toc92878049"/>
      <w:bookmarkStart w:id="265" w:name="_Toc97097128"/>
      <w:bookmarkStart w:id="266" w:name="_Toc100455909"/>
      <w:bookmarkStart w:id="267" w:name="_Toc100561801"/>
      <w:bookmarkStart w:id="268" w:name="_Toc100563961"/>
      <w:bookmarkStart w:id="269" w:name="_Toc102379764"/>
      <w:bookmarkStart w:id="270" w:name="_Toc103067302"/>
      <w:bookmarkStart w:id="271" w:name="_Toc139348733"/>
      <w:bookmarkStart w:id="272" w:name="_Toc139348797"/>
      <w:bookmarkStart w:id="273" w:name="_Toc139688736"/>
      <w:bookmarkStart w:id="274" w:name="_Toc139784789"/>
      <w:bookmarkStart w:id="275" w:name="_Toc139785374"/>
      <w:bookmarkStart w:id="276" w:name="_Toc141592759"/>
      <w:bookmarkStart w:id="277" w:name="_Toc141607387"/>
      <w:bookmarkStart w:id="278" w:name="_Toc143936922"/>
      <w:bookmarkStart w:id="279" w:name="_Toc145126425"/>
      <w:bookmarkStart w:id="280" w:name="_Toc157922152"/>
      <w:bookmarkStart w:id="281" w:name="_Toc241054016"/>
      <w:bookmarkStart w:id="282" w:name="_Toc241054083"/>
      <w:bookmarkStart w:id="283" w:name="_Toc268598338"/>
      <w:bookmarkStart w:id="284" w:name="_Toc272231221"/>
      <w:r>
        <w:rPr>
          <w:rStyle w:val="CharPartNo"/>
        </w:rPr>
        <w:t>Part VI</w:t>
      </w:r>
      <w:r>
        <w:rPr>
          <w:rStyle w:val="CharDivNo"/>
        </w:rPr>
        <w:t> </w:t>
      </w:r>
      <w:r>
        <w:t>—</w:t>
      </w:r>
      <w:r>
        <w:rPr>
          <w:rStyle w:val="CharDivText"/>
        </w:rPr>
        <w:t> </w:t>
      </w:r>
      <w:r>
        <w:rPr>
          <w:rStyle w:val="CharPartText"/>
        </w:rPr>
        <w:t>Regulations and rules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89568372"/>
      <w:bookmarkStart w:id="286" w:name="_Toc103067303"/>
      <w:bookmarkStart w:id="287" w:name="_Toc272231222"/>
      <w:bookmarkStart w:id="288" w:name="_Toc241054084"/>
      <w:r>
        <w:rPr>
          <w:rStyle w:val="CharSectno"/>
        </w:rPr>
        <w:t>33</w:t>
      </w:r>
      <w:r>
        <w:rPr>
          <w:snapToGrid w:val="0"/>
        </w:rPr>
        <w:t>.</w:t>
      </w:r>
      <w:r>
        <w:rPr>
          <w:snapToGrid w:val="0"/>
        </w:rPr>
        <w:tab/>
        <w:t>Regulations</w:t>
      </w:r>
      <w:bookmarkEnd w:id="285"/>
      <w:bookmarkEnd w:id="286"/>
      <w:bookmarkEnd w:id="287"/>
      <w:bookmarkEnd w:id="288"/>
    </w:p>
    <w:p>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pPr>
        <w:pStyle w:val="Subsection"/>
        <w:keepNext/>
        <w:rPr>
          <w:snapToGrid w:val="0"/>
        </w:rPr>
      </w:pPr>
      <w:r>
        <w:rPr>
          <w:snapToGrid w:val="0"/>
        </w:rPr>
        <w:tab/>
        <w:t>(2)</w:t>
      </w:r>
      <w:r>
        <w:rPr>
          <w:snapToGrid w:val="0"/>
        </w:rPr>
        <w:tab/>
        <w:t>Without limiting the generality of subsection (1) regulations may be so made —</w:t>
      </w:r>
    </w:p>
    <w:p>
      <w:pPr>
        <w:pStyle w:val="Indenta"/>
        <w:rPr>
          <w:snapToGrid w:val="0"/>
        </w:rPr>
      </w:pPr>
      <w:r>
        <w:rPr>
          <w:snapToGrid w:val="0"/>
        </w:rPr>
        <w:tab/>
        <w:t>(a)</w:t>
      </w:r>
      <w:r>
        <w:rPr>
          <w:snapToGrid w:val="0"/>
        </w:rPr>
        <w:tab/>
        <w:t>for the protection of litter receptacles from damage or defacement;</w:t>
      </w:r>
    </w:p>
    <w:p>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pPr>
        <w:pStyle w:val="Indenta"/>
        <w:keepNext/>
        <w:rPr>
          <w:snapToGrid w:val="0"/>
        </w:rPr>
      </w:pPr>
      <w:r>
        <w:rPr>
          <w:snapToGrid w:val="0"/>
        </w:rPr>
        <w:tab/>
        <w:t>(c)</w:t>
      </w:r>
      <w:r>
        <w:rPr>
          <w:snapToGrid w:val="0"/>
        </w:rPr>
        <w:tab/>
        <w:t>regulating the disposal of —</w:t>
      </w:r>
    </w:p>
    <w:p>
      <w:pPr>
        <w:pStyle w:val="Indenti"/>
        <w:rPr>
          <w:snapToGrid w:val="0"/>
        </w:rPr>
      </w:pPr>
      <w:r>
        <w:rPr>
          <w:snapToGrid w:val="0"/>
        </w:rPr>
        <w:tab/>
        <w:t>(i)</w:t>
      </w:r>
      <w:r>
        <w:rPr>
          <w:snapToGrid w:val="0"/>
        </w:rPr>
        <w:tab/>
        <w:t>boxes, packets, bags, bottles, tins and other containers;</w:t>
      </w:r>
    </w:p>
    <w:p>
      <w:pPr>
        <w:pStyle w:val="Indenti"/>
        <w:rPr>
          <w:snapToGrid w:val="0"/>
        </w:rPr>
      </w:pPr>
      <w:r>
        <w:rPr>
          <w:snapToGrid w:val="0"/>
        </w:rPr>
        <w:tab/>
        <w:t>(ii)</w:t>
      </w:r>
      <w:r>
        <w:rPr>
          <w:snapToGrid w:val="0"/>
        </w:rPr>
        <w:tab/>
        <w:t>papers; and</w:t>
      </w:r>
    </w:p>
    <w:p>
      <w:pPr>
        <w:pStyle w:val="Indenti"/>
        <w:rPr>
          <w:snapToGrid w:val="0"/>
        </w:rPr>
      </w:pPr>
      <w:r>
        <w:rPr>
          <w:snapToGrid w:val="0"/>
        </w:rPr>
        <w:tab/>
        <w:t>(iii)</w:t>
      </w:r>
      <w:r>
        <w:rPr>
          <w:snapToGrid w:val="0"/>
        </w:rPr>
        <w:tab/>
        <w:t>things of no use or no further use to their possessor,</w:t>
      </w:r>
    </w:p>
    <w:p>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pPr>
        <w:pStyle w:val="Indenti"/>
        <w:rPr>
          <w:snapToGrid w:val="0"/>
        </w:rPr>
      </w:pPr>
      <w:r>
        <w:rPr>
          <w:snapToGrid w:val="0"/>
        </w:rPr>
        <w:tab/>
        <w:t>(i)</w:t>
      </w:r>
      <w:r>
        <w:rPr>
          <w:snapToGrid w:val="0"/>
        </w:rPr>
        <w:tab/>
        <w:t>the capacity, shape and design of such receptacles;</w:t>
      </w:r>
    </w:p>
    <w:p>
      <w:pPr>
        <w:pStyle w:val="Indenti"/>
        <w:rPr>
          <w:snapToGrid w:val="0"/>
        </w:rPr>
      </w:pPr>
      <w:r>
        <w:rPr>
          <w:snapToGrid w:val="0"/>
        </w:rPr>
        <w:tab/>
        <w:t>(ii)</w:t>
      </w:r>
      <w:r>
        <w:rPr>
          <w:snapToGrid w:val="0"/>
        </w:rPr>
        <w:tab/>
        <w:t>colours and distinguishing symbols or motifs for use on such receptacles;</w:t>
      </w:r>
    </w:p>
    <w:p>
      <w:pPr>
        <w:pStyle w:val="Indenti"/>
        <w:rPr>
          <w:snapToGrid w:val="0"/>
        </w:rPr>
      </w:pPr>
      <w:r>
        <w:rPr>
          <w:snapToGrid w:val="0"/>
        </w:rPr>
        <w:tab/>
        <w:t>(iii)</w:t>
      </w:r>
      <w:r>
        <w:rPr>
          <w:snapToGrid w:val="0"/>
        </w:rPr>
        <w:tab/>
        <w:t>materials for use in the construction or manufacture of such receptacles;</w:t>
      </w:r>
    </w:p>
    <w:p>
      <w:pPr>
        <w:pStyle w:val="Indenta"/>
        <w:rPr>
          <w:snapToGrid w:val="0"/>
        </w:rPr>
      </w:pPr>
      <w:r>
        <w:rPr>
          <w:snapToGrid w:val="0"/>
        </w:rPr>
        <w:tab/>
        <w:t>(e)</w:t>
      </w:r>
      <w:r>
        <w:rPr>
          <w:snapToGrid w:val="0"/>
        </w:rPr>
        <w:tab/>
        <w:t>prohibiting the deposit of litter of a specified class in litter receptacles of a specified class;</w:t>
      </w:r>
    </w:p>
    <w:p>
      <w:pPr>
        <w:pStyle w:val="Indenta"/>
        <w:rPr>
          <w:snapToGrid w:val="0"/>
          <w:spacing w:val="-4"/>
        </w:rPr>
      </w:pPr>
      <w:r>
        <w:rPr>
          <w:snapToGrid w:val="0"/>
          <w:spacing w:val="-4"/>
        </w:rPr>
        <w:tab/>
        <w:t>(f)</w:t>
      </w:r>
      <w:r>
        <w:rPr>
          <w:snapToGrid w:val="0"/>
          <w:spacing w:val="-4"/>
        </w:rPr>
        <w:tab/>
        <w:t>regulating the covering and securing of loads on vehicles;</w:t>
      </w:r>
    </w:p>
    <w:p>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pPr>
        <w:pStyle w:val="Indenti"/>
        <w:rPr>
          <w:snapToGrid w:val="0"/>
        </w:rPr>
      </w:pPr>
      <w:r>
        <w:rPr>
          <w:snapToGrid w:val="0"/>
        </w:rPr>
        <w:tab/>
        <w:t>(i)</w:t>
      </w:r>
      <w:r>
        <w:rPr>
          <w:snapToGrid w:val="0"/>
        </w:rPr>
        <w:tab/>
        <w:t>a penalty not exceeding $200; or</w:t>
      </w:r>
    </w:p>
    <w:p>
      <w:pPr>
        <w:pStyle w:val="Indenti"/>
        <w:rPr>
          <w:snapToGrid w:val="0"/>
        </w:rPr>
      </w:pPr>
      <w:r>
        <w:rPr>
          <w:snapToGrid w:val="0"/>
        </w:rPr>
        <w:tab/>
        <w:t>(ii)</w:t>
      </w:r>
      <w:r>
        <w:rPr>
          <w:snapToGrid w:val="0"/>
        </w:rPr>
        <w:tab/>
        <w:t>different penalties, none of which exceeds $200, according to the circumstances by which the offence is attended.</w:t>
      </w:r>
    </w:p>
    <w:p>
      <w:pPr>
        <w:pStyle w:val="Subsection"/>
        <w:rPr>
          <w:snapToGrid w:val="0"/>
        </w:rPr>
      </w:pPr>
      <w:r>
        <w:rPr>
          <w:snapToGrid w:val="0"/>
        </w:rPr>
        <w:tab/>
        <w:t>(3)</w:t>
      </w:r>
      <w:r>
        <w:rPr>
          <w:snapToGrid w:val="0"/>
        </w:rPr>
        <w:tab/>
        <w:t>The regulations may prescribe penalties, not exceeding a fine of $1 000 in respect of a breach of any of the regulations.</w:t>
      </w:r>
    </w:p>
    <w:p>
      <w:pPr>
        <w:pStyle w:val="Subsection"/>
        <w:rPr>
          <w:snapToGrid w:val="0"/>
        </w:rPr>
      </w:pPr>
      <w:r>
        <w:rPr>
          <w:snapToGrid w:val="0"/>
        </w:rPr>
        <w:tab/>
        <w:t>(4)</w:t>
      </w:r>
      <w:r>
        <w:rPr>
          <w:snapToGrid w:val="0"/>
        </w:rPr>
        <w:tab/>
        <w:t>Regulations may be made —</w:t>
      </w:r>
    </w:p>
    <w:p>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pPr>
        <w:pStyle w:val="Footnotesection"/>
      </w:pPr>
      <w:r>
        <w:tab/>
        <w:t>[Section 33 amended by No. 6 of 1996 s. 13; No. 54 of 2003 s. 68(4).]</w:t>
      </w:r>
    </w:p>
    <w:p>
      <w:pPr>
        <w:pStyle w:val="Heading5"/>
        <w:rPr>
          <w:snapToGrid w:val="0"/>
        </w:rPr>
      </w:pPr>
      <w:bookmarkStart w:id="289" w:name="_Toc89568373"/>
      <w:bookmarkStart w:id="290" w:name="_Toc103067304"/>
      <w:bookmarkStart w:id="291" w:name="_Toc272231223"/>
      <w:bookmarkStart w:id="292" w:name="_Toc241054085"/>
      <w:r>
        <w:rPr>
          <w:rStyle w:val="CharSectno"/>
        </w:rPr>
        <w:t>34</w:t>
      </w:r>
      <w:r>
        <w:rPr>
          <w:snapToGrid w:val="0"/>
        </w:rPr>
        <w:t>.</w:t>
      </w:r>
      <w:r>
        <w:rPr>
          <w:snapToGrid w:val="0"/>
        </w:rPr>
        <w:tab/>
        <w:t>Rules</w:t>
      </w:r>
      <w:bookmarkEnd w:id="289"/>
      <w:bookmarkEnd w:id="290"/>
      <w:bookmarkEnd w:id="291"/>
      <w:bookmarkEnd w:id="292"/>
    </w:p>
    <w:p>
      <w:pPr>
        <w:pStyle w:val="Subsection"/>
        <w:keepNext/>
        <w:rPr>
          <w:snapToGrid w:val="0"/>
        </w:rPr>
      </w:pPr>
      <w:r>
        <w:rPr>
          <w:snapToGrid w:val="0"/>
        </w:rPr>
        <w:tab/>
      </w:r>
      <w:r>
        <w:rPr>
          <w:snapToGrid w:val="0"/>
        </w:rPr>
        <w:tab/>
        <w:t>The Council may make rules not inconsistent with this Act or the regulations for or with respect to —</w:t>
      </w:r>
    </w:p>
    <w:p>
      <w:pPr>
        <w:pStyle w:val="Indenta"/>
        <w:rPr>
          <w:snapToGrid w:val="0"/>
        </w:rPr>
      </w:pPr>
      <w:r>
        <w:rPr>
          <w:snapToGrid w:val="0"/>
        </w:rPr>
        <w:tab/>
        <w:t>(a)</w:t>
      </w:r>
      <w:r>
        <w:rPr>
          <w:snapToGrid w:val="0"/>
        </w:rPr>
        <w:tab/>
        <w:t>regulating the affairs, business and management of the Council;</w:t>
      </w:r>
    </w:p>
    <w:p>
      <w:pPr>
        <w:pStyle w:val="Indenta"/>
        <w:rPr>
          <w:snapToGrid w:val="0"/>
        </w:rPr>
      </w:pPr>
      <w:r>
        <w:rPr>
          <w:snapToGrid w:val="0"/>
        </w:rPr>
        <w:tab/>
        <w:t>(b)</w:t>
      </w:r>
      <w:r>
        <w:rPr>
          <w:snapToGrid w:val="0"/>
        </w:rPr>
        <w:tab/>
        <w:t>the holding of meetings of supporting members and proceedings at the meeting;</w:t>
      </w:r>
    </w:p>
    <w:p>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pPr>
        <w:pStyle w:val="Heading2"/>
      </w:pPr>
      <w:bookmarkStart w:id="293" w:name="_Toc89568374"/>
      <w:bookmarkStart w:id="294" w:name="_Toc89568685"/>
      <w:bookmarkStart w:id="295" w:name="_Toc89568750"/>
      <w:bookmarkStart w:id="296" w:name="_Toc92878052"/>
      <w:bookmarkStart w:id="297" w:name="_Toc97097131"/>
      <w:bookmarkStart w:id="298" w:name="_Toc100455912"/>
      <w:bookmarkStart w:id="299" w:name="_Toc100561804"/>
      <w:bookmarkStart w:id="300" w:name="_Toc100563964"/>
      <w:bookmarkStart w:id="301" w:name="_Toc102379767"/>
      <w:bookmarkStart w:id="302" w:name="_Toc103067305"/>
      <w:bookmarkStart w:id="303" w:name="_Toc139348736"/>
      <w:bookmarkStart w:id="304" w:name="_Toc139348800"/>
      <w:bookmarkStart w:id="305" w:name="_Toc139688739"/>
      <w:bookmarkStart w:id="306" w:name="_Toc139784792"/>
      <w:bookmarkStart w:id="307" w:name="_Toc139785377"/>
      <w:bookmarkStart w:id="308" w:name="_Toc141592762"/>
      <w:bookmarkStart w:id="309" w:name="_Toc141607390"/>
      <w:bookmarkStart w:id="310" w:name="_Toc143936925"/>
      <w:bookmarkStart w:id="311" w:name="_Toc145126428"/>
      <w:bookmarkStart w:id="312" w:name="_Toc157922155"/>
      <w:bookmarkStart w:id="313" w:name="_Toc241054019"/>
      <w:bookmarkStart w:id="314" w:name="_Toc241054086"/>
      <w:bookmarkStart w:id="315" w:name="_Toc268598341"/>
      <w:bookmarkStart w:id="316" w:name="_Toc272231224"/>
      <w:r>
        <w:rPr>
          <w:rStyle w:val="CharPartNo"/>
        </w:rPr>
        <w:t>Part VII</w:t>
      </w:r>
      <w:r>
        <w:rPr>
          <w:rStyle w:val="CharDivNo"/>
        </w:rPr>
        <w:t> </w:t>
      </w:r>
      <w:r>
        <w:t>—</w:t>
      </w:r>
      <w:r>
        <w:rPr>
          <w:rStyle w:val="CharDivText"/>
        </w:rPr>
        <w:t> </w:t>
      </w:r>
      <w:r>
        <w:rPr>
          <w:rStyle w:val="CharPartText"/>
        </w:rPr>
        <w:t>Transitional</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pPr>
        <w:pStyle w:val="Heading5"/>
        <w:rPr>
          <w:snapToGrid w:val="0"/>
        </w:rPr>
      </w:pPr>
      <w:bookmarkStart w:id="317" w:name="_Toc89568375"/>
      <w:bookmarkStart w:id="318" w:name="_Toc103067306"/>
      <w:bookmarkStart w:id="319" w:name="_Toc272231225"/>
      <w:bookmarkStart w:id="320" w:name="_Toc241054087"/>
      <w:r>
        <w:rPr>
          <w:rStyle w:val="CharSectno"/>
        </w:rPr>
        <w:t>35</w:t>
      </w:r>
      <w:r>
        <w:rPr>
          <w:snapToGrid w:val="0"/>
        </w:rPr>
        <w:t>.</w:t>
      </w:r>
      <w:r>
        <w:rPr>
          <w:snapToGrid w:val="0"/>
        </w:rPr>
        <w:tab/>
        <w:t>Commencement and interpretation</w:t>
      </w:r>
      <w:bookmarkEnd w:id="317"/>
      <w:bookmarkEnd w:id="318"/>
      <w:bookmarkEnd w:id="319"/>
      <w:bookmarkEnd w:id="320"/>
    </w:p>
    <w:p>
      <w:pPr>
        <w:pStyle w:val="Subsection"/>
        <w:rPr>
          <w:snapToGrid w:val="0"/>
        </w:rPr>
      </w:pPr>
      <w:r>
        <w:rPr>
          <w:snapToGrid w:val="0"/>
        </w:rPr>
        <w:tab/>
        <w:t>(1)</w:t>
      </w:r>
      <w:r>
        <w:rPr>
          <w:snapToGrid w:val="0"/>
        </w:rPr>
        <w:tab/>
        <w:t>This Part shall come into operation on the date on which section 6 comes into operation.</w:t>
      </w:r>
    </w:p>
    <w:p>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pPr>
        <w:pStyle w:val="Heading5"/>
        <w:rPr>
          <w:snapToGrid w:val="0"/>
        </w:rPr>
      </w:pPr>
      <w:bookmarkStart w:id="321" w:name="_Toc89568376"/>
      <w:bookmarkStart w:id="322" w:name="_Toc103067307"/>
      <w:bookmarkStart w:id="323" w:name="_Toc272231226"/>
      <w:bookmarkStart w:id="324" w:name="_Toc241054088"/>
      <w:r>
        <w:rPr>
          <w:rStyle w:val="CharSectno"/>
        </w:rPr>
        <w:t>36</w:t>
      </w:r>
      <w:r>
        <w:rPr>
          <w:snapToGrid w:val="0"/>
        </w:rPr>
        <w:t>.</w:t>
      </w:r>
      <w:r>
        <w:rPr>
          <w:snapToGrid w:val="0"/>
        </w:rPr>
        <w:tab/>
        <w:t>Dissolution of former Association</w:t>
      </w:r>
      <w:bookmarkEnd w:id="321"/>
      <w:bookmarkEnd w:id="322"/>
      <w:bookmarkEnd w:id="323"/>
      <w:bookmarkEnd w:id="324"/>
    </w:p>
    <w:p>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pPr>
        <w:pStyle w:val="Subsection"/>
        <w:keepNext/>
        <w:rPr>
          <w:snapToGrid w:val="0"/>
        </w:rPr>
      </w:pPr>
      <w:r>
        <w:rPr>
          <w:snapToGrid w:val="0"/>
        </w:rPr>
        <w:tab/>
        <w:t>(3)</w:t>
      </w:r>
      <w:r>
        <w:rPr>
          <w:snapToGrid w:val="0"/>
        </w:rPr>
        <w:tab/>
        <w:t>A reference —</w:t>
      </w:r>
    </w:p>
    <w:p>
      <w:pPr>
        <w:pStyle w:val="Indenta"/>
        <w:rPr>
          <w:snapToGrid w:val="0"/>
        </w:rPr>
      </w:pPr>
      <w:r>
        <w:rPr>
          <w:snapToGrid w:val="0"/>
        </w:rPr>
        <w:tab/>
        <w:t>(a)</w:t>
      </w:r>
      <w:r>
        <w:rPr>
          <w:snapToGrid w:val="0"/>
        </w:rPr>
        <w:tab/>
        <w:t>in a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pPr>
        <w:pStyle w:val="Heading5"/>
        <w:rPr>
          <w:snapToGrid w:val="0"/>
        </w:rPr>
      </w:pPr>
      <w:bookmarkStart w:id="325" w:name="_Toc89568377"/>
      <w:bookmarkStart w:id="326" w:name="_Toc103067308"/>
      <w:bookmarkStart w:id="327" w:name="_Toc272231227"/>
      <w:bookmarkStart w:id="328" w:name="_Toc241054089"/>
      <w:r>
        <w:rPr>
          <w:rStyle w:val="CharSectno"/>
        </w:rPr>
        <w:t>37</w:t>
      </w:r>
      <w:r>
        <w:rPr>
          <w:snapToGrid w:val="0"/>
        </w:rPr>
        <w:t>.</w:t>
      </w:r>
      <w:r>
        <w:rPr>
          <w:snapToGrid w:val="0"/>
        </w:rPr>
        <w:tab/>
        <w:t>Property, proceedings, etc.</w:t>
      </w:r>
      <w:bookmarkEnd w:id="325"/>
      <w:bookmarkEnd w:id="326"/>
      <w:bookmarkEnd w:id="327"/>
      <w:bookmarkEnd w:id="328"/>
    </w:p>
    <w:p>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pPr>
        <w:pStyle w:val="Indenta"/>
        <w:rPr>
          <w:snapToGrid w:val="0"/>
        </w:rPr>
      </w:pPr>
      <w:r>
        <w:rPr>
          <w:snapToGrid w:val="0"/>
        </w:rPr>
        <w:tab/>
        <w:t>(a)</w:t>
      </w:r>
      <w:r>
        <w:rPr>
          <w:snapToGrid w:val="0"/>
        </w:rPr>
        <w:tab/>
        <w:t>shall vest in and belong to the Council for the purposes of this Act; and</w:t>
      </w:r>
    </w:p>
    <w:p>
      <w:pPr>
        <w:pStyle w:val="Indenta"/>
        <w:rPr>
          <w:snapToGrid w:val="0"/>
        </w:rPr>
      </w:pPr>
      <w:r>
        <w:rPr>
          <w:snapToGrid w:val="0"/>
        </w:rPr>
        <w:tab/>
        <w:t>(b)</w:t>
      </w:r>
      <w:r>
        <w:rPr>
          <w:snapToGrid w:val="0"/>
        </w:rPr>
        <w:tab/>
        <w:t>shall be held by it subject to the conditions or trusts on which it was held immediately before that date.</w:t>
      </w:r>
    </w:p>
    <w:p>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pPr>
        <w:pStyle w:val="Indenta"/>
        <w:rPr>
          <w:snapToGrid w:val="0"/>
        </w:rPr>
      </w:pPr>
      <w:r>
        <w:rPr>
          <w:snapToGrid w:val="0"/>
        </w:rPr>
        <w:tab/>
        <w:t>(a)</w:t>
      </w:r>
      <w:r>
        <w:rPr>
          <w:snapToGrid w:val="0"/>
        </w:rPr>
        <w:tab/>
        <w:t>are vested in the Council; and</w:t>
      </w:r>
    </w:p>
    <w:p>
      <w:pPr>
        <w:pStyle w:val="Indenta"/>
        <w:rPr>
          <w:snapToGrid w:val="0"/>
        </w:rPr>
      </w:pPr>
      <w:r>
        <w:rPr>
          <w:snapToGrid w:val="0"/>
        </w:rPr>
        <w:tab/>
        <w:t>(b)</w:t>
      </w:r>
      <w:r>
        <w:rPr>
          <w:snapToGrid w:val="0"/>
        </w:rPr>
        <w:tab/>
        <w:t>may be enforced against the Council.</w:t>
      </w:r>
    </w:p>
    <w:p>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pPr>
        <w:pStyle w:val="Heading5"/>
        <w:rPr>
          <w:snapToGrid w:val="0"/>
        </w:rPr>
      </w:pPr>
      <w:bookmarkStart w:id="329" w:name="_Toc89568378"/>
      <w:bookmarkStart w:id="330" w:name="_Toc103067309"/>
      <w:bookmarkStart w:id="331" w:name="_Toc272231228"/>
      <w:bookmarkStart w:id="332" w:name="_Toc241054090"/>
      <w:r>
        <w:rPr>
          <w:rStyle w:val="CharSectno"/>
        </w:rPr>
        <w:t>38</w:t>
      </w:r>
      <w:r>
        <w:rPr>
          <w:snapToGrid w:val="0"/>
        </w:rPr>
        <w:t>.</w:t>
      </w:r>
      <w:r>
        <w:rPr>
          <w:snapToGrid w:val="0"/>
        </w:rPr>
        <w:tab/>
        <w:t>Membership</w:t>
      </w:r>
      <w:bookmarkEnd w:id="329"/>
      <w:bookmarkEnd w:id="330"/>
      <w:bookmarkEnd w:id="331"/>
      <w:bookmarkEnd w:id="332"/>
    </w:p>
    <w:p>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pPr>
        <w:pStyle w:val="Subsection"/>
        <w:rPr>
          <w:snapToGrid w:val="0"/>
        </w:rPr>
      </w:pPr>
      <w:r>
        <w:rPr>
          <w:snapToGrid w:val="0"/>
        </w:rPr>
        <w:tab/>
        <w:t>(3)</w:t>
      </w:r>
      <w:r>
        <w:rPr>
          <w:snapToGrid w:val="0"/>
        </w:rPr>
        <w:tab/>
        <w:t>No subscriptions shall be payable by a supporting member who was a life member of the Association.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3" w:name="_Toc89568379"/>
      <w:bookmarkStart w:id="334" w:name="_Toc103067310"/>
      <w:bookmarkStart w:id="335" w:name="_Toc139348741"/>
      <w:bookmarkStart w:id="336" w:name="_Toc139348805"/>
      <w:bookmarkStart w:id="337" w:name="_Toc139688744"/>
      <w:bookmarkStart w:id="338" w:name="_Toc139784797"/>
      <w:bookmarkStart w:id="339" w:name="_Toc139785382"/>
      <w:bookmarkStart w:id="340" w:name="_Toc141592767"/>
      <w:bookmarkStart w:id="341" w:name="_Toc141607395"/>
      <w:bookmarkStart w:id="342" w:name="_Toc143936930"/>
      <w:bookmarkStart w:id="343" w:name="_Toc145126433"/>
      <w:bookmarkStart w:id="344" w:name="_Toc157922160"/>
      <w:bookmarkStart w:id="345" w:name="_Toc241054024"/>
      <w:bookmarkStart w:id="346" w:name="_Toc241054091"/>
      <w:bookmarkStart w:id="347" w:name="_Toc268598346"/>
      <w:bookmarkStart w:id="348" w:name="_Toc272231229"/>
      <w:r>
        <w:rPr>
          <w:rStyle w:val="CharSchNo"/>
        </w:rPr>
        <w:t>First Schedule</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ins w:id="349" w:author="svcMRProcess" w:date="2015-12-08T11:56:00Z">
        <w:r>
          <w:rPr>
            <w:rStyle w:val="CharSDivNo"/>
          </w:rPr>
          <w:t> </w:t>
        </w:r>
        <w:r>
          <w:t>—</w:t>
        </w:r>
        <w:r>
          <w:rPr>
            <w:rStyle w:val="CharSDivText"/>
          </w:rPr>
          <w:t> </w:t>
        </w:r>
        <w:r>
          <w:rPr>
            <w:rStyle w:val="CharSchText"/>
          </w:rPr>
          <w:t>Provisions relating to the constitution and proceedings of the Council</w:t>
        </w:r>
      </w:ins>
      <w:bookmarkEnd w:id="347"/>
      <w:bookmarkEnd w:id="348"/>
    </w:p>
    <w:p>
      <w:pPr>
        <w:pStyle w:val="yShoulderClause"/>
        <w:rPr>
          <w:snapToGrid w:val="0"/>
        </w:rPr>
      </w:pPr>
      <w:r>
        <w:rPr>
          <w:snapToGrid w:val="0"/>
        </w:rPr>
        <w:t>[</w:t>
      </w:r>
      <w:del w:id="350" w:author="svcMRProcess" w:date="2015-12-08T11:56:00Z">
        <w:r>
          <w:rPr>
            <w:snapToGrid w:val="0"/>
          </w:rPr>
          <w:delText>Section</w:delText>
        </w:r>
      </w:del>
      <w:ins w:id="351" w:author="svcMRProcess" w:date="2015-12-08T11:56:00Z">
        <w:r>
          <w:rPr>
            <w:snapToGrid w:val="0"/>
          </w:rPr>
          <w:t>s.</w:t>
        </w:r>
      </w:ins>
      <w:r>
        <w:rPr>
          <w:snapToGrid w:val="0"/>
        </w:rPr>
        <w:t> 6]</w:t>
      </w:r>
    </w:p>
    <w:p>
      <w:pPr>
        <w:pStyle w:val="yHeading2"/>
        <w:rPr>
          <w:del w:id="352" w:author="svcMRProcess" w:date="2015-12-08T11:56:00Z"/>
        </w:rPr>
      </w:pPr>
      <w:bookmarkStart w:id="353" w:name="_Toc139784798"/>
      <w:bookmarkStart w:id="354" w:name="_Toc139785383"/>
      <w:bookmarkStart w:id="355" w:name="_Toc141592768"/>
      <w:bookmarkStart w:id="356" w:name="_Toc141607396"/>
      <w:bookmarkStart w:id="357" w:name="_Toc143936931"/>
      <w:bookmarkStart w:id="358" w:name="_Toc145126434"/>
      <w:bookmarkStart w:id="359" w:name="_Toc157922161"/>
      <w:bookmarkStart w:id="360" w:name="_Toc241054025"/>
      <w:bookmarkStart w:id="361" w:name="_Toc241054092"/>
      <w:bookmarkStart w:id="362" w:name="_Toc103067311"/>
      <w:del w:id="363" w:author="svcMRProcess" w:date="2015-12-08T11:56:00Z">
        <w:r>
          <w:rPr>
            <w:rStyle w:val="CharSchText"/>
          </w:rPr>
          <w:delText>Provisions relating to the constitution and proceedings of the Council</w:delText>
        </w:r>
        <w:bookmarkEnd w:id="353"/>
        <w:bookmarkEnd w:id="354"/>
        <w:bookmarkEnd w:id="355"/>
        <w:bookmarkEnd w:id="356"/>
        <w:bookmarkEnd w:id="357"/>
        <w:bookmarkEnd w:id="358"/>
        <w:bookmarkEnd w:id="359"/>
        <w:bookmarkEnd w:id="360"/>
        <w:bookmarkEnd w:id="361"/>
      </w:del>
    </w:p>
    <w:p>
      <w:pPr>
        <w:pStyle w:val="yFootnoteheading"/>
        <w:rPr>
          <w:ins w:id="364" w:author="svcMRProcess" w:date="2015-12-08T11:56:00Z"/>
        </w:rPr>
      </w:pPr>
      <w:ins w:id="365" w:author="svcMRProcess" w:date="2015-12-08T11:56:00Z">
        <w:r>
          <w:tab/>
          <w:t>[Heading amended by No. 19 of 2010 s. 4.]</w:t>
        </w:r>
      </w:ins>
    </w:p>
    <w:p>
      <w:pPr>
        <w:pStyle w:val="yHeading5"/>
        <w:outlineLvl w:val="9"/>
        <w:rPr>
          <w:snapToGrid w:val="0"/>
        </w:rPr>
      </w:pPr>
      <w:bookmarkStart w:id="366" w:name="_Toc272231230"/>
      <w:bookmarkStart w:id="367" w:name="_Toc241054093"/>
      <w:r>
        <w:rPr>
          <w:rStyle w:val="CharSClsNo"/>
        </w:rPr>
        <w:t>1</w:t>
      </w:r>
      <w:r>
        <w:rPr>
          <w:snapToGrid w:val="0"/>
        </w:rPr>
        <w:t>.</w:t>
      </w:r>
      <w:r>
        <w:rPr>
          <w:snapToGrid w:val="0"/>
        </w:rPr>
        <w:tab/>
      </w:r>
      <w:r>
        <w:t>Casual</w:t>
      </w:r>
      <w:r>
        <w:rPr>
          <w:snapToGrid w:val="0"/>
        </w:rPr>
        <w:t xml:space="preserve"> vacancies</w:t>
      </w:r>
      <w:bookmarkEnd w:id="362"/>
      <w:bookmarkEnd w:id="366"/>
      <w:bookmarkEnd w:id="367"/>
    </w:p>
    <w:p>
      <w:pPr>
        <w:pStyle w:val="ySubsection"/>
        <w:rPr>
          <w:snapToGrid w:val="0"/>
        </w:rPr>
      </w:pPr>
      <w:r>
        <w:rPr>
          <w:snapToGrid w:val="0"/>
        </w:rPr>
        <w:tab/>
        <w:t>(1)</w:t>
      </w:r>
      <w:r>
        <w:rPr>
          <w:snapToGrid w:val="0"/>
        </w:rPr>
        <w:tab/>
        <w:t>A member of the Council may resign his office by notice in writing delivered to the Minister.</w:t>
      </w:r>
    </w:p>
    <w:p>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pPr>
        <w:pStyle w:val="ySubsection"/>
        <w:keepNext/>
        <w:rPr>
          <w:snapToGrid w:val="0"/>
        </w:rPr>
      </w:pPr>
      <w:r>
        <w:rPr>
          <w:snapToGrid w:val="0"/>
        </w:rPr>
        <w:tab/>
        <w:t>(3)</w:t>
      </w:r>
      <w:r>
        <w:rPr>
          <w:snapToGrid w:val="0"/>
        </w:rPr>
        <w:tab/>
        <w:t>If a member of the Council —</w:t>
      </w:r>
    </w:p>
    <w:p>
      <w:pPr>
        <w:pStyle w:val="yIndenta"/>
      </w:pPr>
      <w:r>
        <w:tab/>
        <w:t>(a)</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(b)</w:t>
      </w:r>
      <w:r>
        <w:rPr>
          <w:snapToGrid w:val="0"/>
        </w:rPr>
        <w:tab/>
        <w:t>becomes permanently incapable of performing the duties of his office; or</w:t>
      </w:r>
    </w:p>
    <w:p>
      <w:pPr>
        <w:pStyle w:val="yIndenta"/>
        <w:rPr>
          <w:snapToGrid w:val="0"/>
        </w:rPr>
      </w:pPr>
      <w:r>
        <w:rPr>
          <w:snapToGrid w:val="0"/>
        </w:rPr>
        <w:tab/>
        <w:t>(c)</w:t>
      </w:r>
      <w:r>
        <w:rPr>
          <w:snapToGrid w:val="0"/>
        </w:rPr>
        <w:tab/>
        <w:t>is removed from office by the Minister on the grounds of neglect of duty, misbehaviour or incompetence,</w:t>
      </w:r>
    </w:p>
    <w:p>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pPr>
        <w:pStyle w:val="yFootnotesection"/>
      </w:pPr>
      <w:r>
        <w:tab/>
        <w:t>[Clause 1 amended by No. 18 of 2009 s. 52.]</w:t>
      </w:r>
    </w:p>
    <w:p>
      <w:pPr>
        <w:pStyle w:val="yHeading5"/>
        <w:outlineLvl w:val="9"/>
        <w:rPr>
          <w:snapToGrid w:val="0"/>
        </w:rPr>
      </w:pPr>
      <w:bookmarkStart w:id="368" w:name="_Toc103067312"/>
      <w:bookmarkStart w:id="369" w:name="_Toc272231231"/>
      <w:bookmarkStart w:id="370" w:name="_Toc241054094"/>
      <w:r>
        <w:rPr>
          <w:rStyle w:val="CharSClsNo"/>
        </w:rPr>
        <w:t>2</w:t>
      </w:r>
      <w:r>
        <w:rPr>
          <w:snapToGrid w:val="0"/>
        </w:rPr>
        <w:t>.</w:t>
      </w:r>
      <w:r>
        <w:rPr>
          <w:snapToGrid w:val="0"/>
        </w:rPr>
        <w:tab/>
      </w:r>
      <w:r>
        <w:t>Deputies</w:t>
      </w:r>
      <w:bookmarkEnd w:id="368"/>
      <w:bookmarkEnd w:id="369"/>
      <w:bookmarkEnd w:id="370"/>
    </w:p>
    <w:p>
      <w:pPr>
        <w:pStyle w:val="ySubsection"/>
        <w:rPr>
          <w:snapToGrid w:val="0"/>
        </w:rPr>
      </w:pPr>
      <w:r>
        <w:rPr>
          <w:snapToGrid w:val="0"/>
        </w:rPr>
        <w:tab/>
        <w:t>(1)</w:t>
      </w:r>
      <w:r>
        <w:rPr>
          <w:snapToGrid w:val="0"/>
        </w:rPr>
        <w:tab/>
        <w:t>The Minister may appoint persons to be deputies of the several members of the Council.</w:t>
      </w:r>
    </w:p>
    <w:p>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pPr>
        <w:pStyle w:val="yHeading5"/>
        <w:outlineLvl w:val="9"/>
        <w:rPr>
          <w:snapToGrid w:val="0"/>
        </w:rPr>
      </w:pPr>
      <w:bookmarkStart w:id="371" w:name="_Toc103067313"/>
      <w:bookmarkStart w:id="372" w:name="_Toc272231232"/>
      <w:bookmarkStart w:id="373" w:name="_Toc241054095"/>
      <w:r>
        <w:rPr>
          <w:rStyle w:val="CharSClsNo"/>
        </w:rPr>
        <w:t>3</w:t>
      </w:r>
      <w:r>
        <w:rPr>
          <w:snapToGrid w:val="0"/>
        </w:rPr>
        <w:t>.</w:t>
      </w:r>
      <w:r>
        <w:rPr>
          <w:snapToGrid w:val="0"/>
        </w:rPr>
        <w:tab/>
      </w:r>
      <w:r>
        <w:t>Who</w:t>
      </w:r>
      <w:r>
        <w:rPr>
          <w:snapToGrid w:val="0"/>
        </w:rPr>
        <w:t xml:space="preserve"> to preside at meetings</w:t>
      </w:r>
      <w:bookmarkEnd w:id="371"/>
      <w:bookmarkEnd w:id="372"/>
      <w:bookmarkEnd w:id="373"/>
    </w:p>
    <w:p>
      <w:pPr>
        <w:pStyle w:val="ySubsection"/>
        <w:rPr>
          <w:snapToGrid w:val="0"/>
        </w:rPr>
      </w:pPr>
      <w:r>
        <w:rPr>
          <w:snapToGrid w:val="0"/>
        </w:rPr>
        <w:tab/>
        <w:t>(1)</w:t>
      </w:r>
      <w:r>
        <w:rPr>
          <w:snapToGrid w:val="0"/>
        </w:rPr>
        <w:tab/>
        <w:t>The Chairman shall preside at all meetings of the Council at which he is present.</w:t>
      </w:r>
    </w:p>
    <w:p>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pPr>
        <w:pStyle w:val="yHeading5"/>
        <w:outlineLvl w:val="9"/>
        <w:rPr>
          <w:snapToGrid w:val="0"/>
        </w:rPr>
      </w:pPr>
      <w:bookmarkStart w:id="374" w:name="_Toc103067314"/>
      <w:bookmarkStart w:id="375" w:name="_Toc272231233"/>
      <w:bookmarkStart w:id="376" w:name="_Toc241054096"/>
      <w:r>
        <w:rPr>
          <w:rStyle w:val="CharSClsNo"/>
        </w:rPr>
        <w:t>4</w:t>
      </w:r>
      <w:r>
        <w:rPr>
          <w:snapToGrid w:val="0"/>
        </w:rPr>
        <w:t>.</w:t>
      </w:r>
      <w:r>
        <w:rPr>
          <w:snapToGrid w:val="0"/>
        </w:rPr>
        <w:tab/>
      </w:r>
      <w:r>
        <w:t>Meetings</w:t>
      </w:r>
      <w:bookmarkEnd w:id="374"/>
      <w:bookmarkEnd w:id="375"/>
      <w:bookmarkEnd w:id="376"/>
    </w:p>
    <w:p>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pPr>
        <w:pStyle w:val="yHeading5"/>
        <w:outlineLvl w:val="9"/>
        <w:rPr>
          <w:snapToGrid w:val="0"/>
        </w:rPr>
      </w:pPr>
      <w:bookmarkStart w:id="377" w:name="_Toc103067315"/>
      <w:bookmarkStart w:id="378" w:name="_Toc272231234"/>
      <w:bookmarkStart w:id="379" w:name="_Toc241054097"/>
      <w:r>
        <w:rPr>
          <w:rStyle w:val="CharSClsNo"/>
        </w:rPr>
        <w:t>5</w:t>
      </w:r>
      <w:r>
        <w:rPr>
          <w:snapToGrid w:val="0"/>
        </w:rPr>
        <w:t>.</w:t>
      </w:r>
      <w:r>
        <w:rPr>
          <w:snapToGrid w:val="0"/>
        </w:rPr>
        <w:tab/>
      </w:r>
      <w:r>
        <w:t>Quorum</w:t>
      </w:r>
      <w:bookmarkEnd w:id="377"/>
      <w:bookmarkEnd w:id="378"/>
      <w:bookmarkEnd w:id="379"/>
    </w:p>
    <w:p>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pPr>
        <w:pStyle w:val="yHeading5"/>
        <w:outlineLvl w:val="9"/>
        <w:rPr>
          <w:snapToGrid w:val="0"/>
        </w:rPr>
      </w:pPr>
      <w:bookmarkStart w:id="380" w:name="_Toc103067316"/>
      <w:bookmarkStart w:id="381" w:name="_Toc272231235"/>
      <w:bookmarkStart w:id="382" w:name="_Toc241054098"/>
      <w:r>
        <w:rPr>
          <w:rStyle w:val="CharSClsNo"/>
        </w:rPr>
        <w:t>6</w:t>
      </w:r>
      <w:r>
        <w:rPr>
          <w:snapToGrid w:val="0"/>
        </w:rPr>
        <w:t>.</w:t>
      </w:r>
      <w:r>
        <w:rPr>
          <w:snapToGrid w:val="0"/>
        </w:rPr>
        <w:tab/>
      </w:r>
      <w:r>
        <w:t>Voting</w:t>
      </w:r>
      <w:bookmarkEnd w:id="380"/>
      <w:bookmarkEnd w:id="381"/>
      <w:bookmarkEnd w:id="382"/>
    </w:p>
    <w:p>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pPr>
        <w:pStyle w:val="yHeading5"/>
        <w:outlineLvl w:val="9"/>
        <w:rPr>
          <w:snapToGrid w:val="0"/>
        </w:rPr>
      </w:pPr>
      <w:bookmarkStart w:id="383" w:name="_Toc103067317"/>
      <w:bookmarkStart w:id="384" w:name="_Toc272231236"/>
      <w:bookmarkStart w:id="385" w:name="_Toc241054099"/>
      <w:r>
        <w:rPr>
          <w:rStyle w:val="CharSClsNo"/>
        </w:rPr>
        <w:t>7</w:t>
      </w:r>
      <w:r>
        <w:rPr>
          <w:snapToGrid w:val="0"/>
        </w:rPr>
        <w:t>.</w:t>
      </w:r>
      <w:r>
        <w:rPr>
          <w:snapToGrid w:val="0"/>
        </w:rPr>
        <w:tab/>
      </w:r>
      <w:r>
        <w:t>Minutes</w:t>
      </w:r>
      <w:bookmarkEnd w:id="383"/>
      <w:bookmarkEnd w:id="384"/>
      <w:bookmarkEnd w:id="385"/>
    </w:p>
    <w:p>
      <w:pPr>
        <w:pStyle w:val="ySubsection"/>
        <w:rPr>
          <w:snapToGrid w:val="0"/>
        </w:rPr>
      </w:pPr>
      <w:r>
        <w:rPr>
          <w:snapToGrid w:val="0"/>
        </w:rPr>
        <w:tab/>
      </w:r>
      <w:r>
        <w:rPr>
          <w:snapToGrid w:val="0"/>
        </w:rPr>
        <w:tab/>
        <w:t>The Council shall cause accurate minutes to be kept of its proceedings at its meetings.</w:t>
      </w:r>
    </w:p>
    <w:p>
      <w:pPr>
        <w:pStyle w:val="yHeading5"/>
        <w:outlineLvl w:val="9"/>
        <w:rPr>
          <w:snapToGrid w:val="0"/>
        </w:rPr>
      </w:pPr>
      <w:bookmarkStart w:id="386" w:name="_Toc103067318"/>
      <w:bookmarkStart w:id="387" w:name="_Toc272231237"/>
      <w:bookmarkStart w:id="388" w:name="_Toc241054100"/>
      <w:r>
        <w:rPr>
          <w:rStyle w:val="CharSClsNo"/>
        </w:rPr>
        <w:t>8</w:t>
      </w:r>
      <w:r>
        <w:rPr>
          <w:snapToGrid w:val="0"/>
        </w:rPr>
        <w:t>.</w:t>
      </w:r>
      <w:r>
        <w:rPr>
          <w:snapToGrid w:val="0"/>
        </w:rPr>
        <w:tab/>
      </w:r>
      <w:r>
        <w:t>Pecuniary</w:t>
      </w:r>
      <w:r>
        <w:rPr>
          <w:snapToGrid w:val="0"/>
        </w:rPr>
        <w:t xml:space="preserve"> interest</w:t>
      </w:r>
      <w:bookmarkEnd w:id="386"/>
      <w:bookmarkEnd w:id="387"/>
      <w:bookmarkEnd w:id="388"/>
    </w:p>
    <w:p>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pPr>
        <w:pStyle w:val="yHeading5"/>
        <w:outlineLvl w:val="9"/>
        <w:rPr>
          <w:snapToGrid w:val="0"/>
        </w:rPr>
      </w:pPr>
      <w:bookmarkStart w:id="389" w:name="_Toc103067319"/>
      <w:bookmarkStart w:id="390" w:name="_Toc272231238"/>
      <w:bookmarkStart w:id="391" w:name="_Toc241054101"/>
      <w:r>
        <w:rPr>
          <w:rStyle w:val="CharSClsNo"/>
        </w:rPr>
        <w:t>9</w:t>
      </w:r>
      <w:r>
        <w:rPr>
          <w:snapToGrid w:val="0"/>
        </w:rPr>
        <w:t>.</w:t>
      </w:r>
      <w:r>
        <w:rPr>
          <w:snapToGrid w:val="0"/>
        </w:rPr>
        <w:tab/>
      </w:r>
      <w:r>
        <w:t>Validity</w:t>
      </w:r>
      <w:r>
        <w:rPr>
          <w:snapToGrid w:val="0"/>
        </w:rPr>
        <w:t xml:space="preserve"> of acts</w:t>
      </w:r>
      <w:bookmarkEnd w:id="389"/>
      <w:bookmarkEnd w:id="390"/>
      <w:bookmarkEnd w:id="391"/>
    </w:p>
    <w:p>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pPr>
        <w:pStyle w:val="yHeading5"/>
        <w:outlineLvl w:val="9"/>
        <w:rPr>
          <w:snapToGrid w:val="0"/>
        </w:rPr>
      </w:pPr>
      <w:bookmarkStart w:id="392" w:name="_Toc103067320"/>
      <w:bookmarkStart w:id="393" w:name="_Toc272231239"/>
      <w:bookmarkStart w:id="394" w:name="_Toc241054102"/>
      <w:r>
        <w:rPr>
          <w:rStyle w:val="CharSClsNo"/>
        </w:rPr>
        <w:t>10</w:t>
      </w:r>
      <w:r>
        <w:rPr>
          <w:snapToGrid w:val="0"/>
        </w:rPr>
        <w:t>.</w:t>
      </w:r>
      <w:r>
        <w:rPr>
          <w:snapToGrid w:val="0"/>
        </w:rPr>
        <w:tab/>
      </w:r>
      <w:r>
        <w:t>Common</w:t>
      </w:r>
      <w:r>
        <w:rPr>
          <w:snapToGrid w:val="0"/>
        </w:rPr>
        <w:t xml:space="preserve"> seal</w:t>
      </w:r>
      <w:bookmarkEnd w:id="392"/>
      <w:bookmarkEnd w:id="393"/>
      <w:bookmarkEnd w:id="394"/>
    </w:p>
    <w:p>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pPr>
        <w:pStyle w:val="ySubsection"/>
        <w:rPr>
          <w:snapToGrid w:val="0"/>
        </w:rPr>
      </w:pPr>
      <w:r>
        <w:rPr>
          <w:snapToGrid w:val="0"/>
        </w:rPr>
        <w:tab/>
        <w:t>(2)</w:t>
      </w:r>
      <w:r>
        <w:rPr>
          <w:snapToGrid w:val="0"/>
        </w:rPr>
        <w:tab/>
        <w:t>The common seal shall not be used except upon the order of the Council.</w:t>
      </w:r>
    </w:p>
    <w:p>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pPr>
        <w:pStyle w:val="yHeading5"/>
        <w:outlineLvl w:val="9"/>
        <w:rPr>
          <w:snapToGrid w:val="0"/>
        </w:rPr>
      </w:pPr>
      <w:bookmarkStart w:id="395" w:name="_Toc103067321"/>
      <w:bookmarkStart w:id="396" w:name="_Toc272231240"/>
      <w:bookmarkStart w:id="397" w:name="_Toc241054103"/>
      <w:r>
        <w:rPr>
          <w:rStyle w:val="CharSClsNo"/>
        </w:rPr>
        <w:t>11</w:t>
      </w:r>
      <w:r>
        <w:rPr>
          <w:snapToGrid w:val="0"/>
        </w:rPr>
        <w:t>.</w:t>
      </w:r>
      <w:r>
        <w:rPr>
          <w:snapToGrid w:val="0"/>
        </w:rPr>
        <w:tab/>
      </w:r>
      <w:r>
        <w:t>Procedure</w:t>
      </w:r>
      <w:r>
        <w:rPr>
          <w:snapToGrid w:val="0"/>
        </w:rPr>
        <w:t xml:space="preserve"> where none prescribed</w:t>
      </w:r>
      <w:bookmarkEnd w:id="395"/>
      <w:bookmarkEnd w:id="396"/>
      <w:bookmarkEnd w:id="397"/>
    </w:p>
    <w:p>
      <w:pPr>
        <w:pStyle w:val="ySubsection"/>
        <w:rPr>
          <w:snapToGrid w:val="0"/>
        </w:rPr>
      </w:pPr>
      <w:r>
        <w:rPr>
          <w:snapToGrid w:val="0"/>
        </w:rPr>
        <w:tab/>
      </w:r>
      <w:r>
        <w:rPr>
          <w:snapToGrid w:val="0"/>
        </w:rPr>
        <w:tab/>
        <w:t>To the extent that it is not prescribed by this Act or rules made by the Council the Council shall determine its own procedure.</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398" w:name="_Toc89568380"/>
      <w:bookmarkStart w:id="399" w:name="_Toc103067322"/>
      <w:bookmarkStart w:id="400" w:name="_Toc139348753"/>
      <w:bookmarkStart w:id="401" w:name="_Toc139348817"/>
      <w:bookmarkStart w:id="402" w:name="_Toc139688756"/>
      <w:bookmarkStart w:id="403" w:name="_Toc139784810"/>
    </w:p>
    <w:p>
      <w:pPr>
        <w:pStyle w:val="yScheduleHeading"/>
      </w:pPr>
      <w:bookmarkStart w:id="404" w:name="_Toc139785395"/>
      <w:bookmarkStart w:id="405" w:name="_Toc141592780"/>
      <w:bookmarkStart w:id="406" w:name="_Toc141607408"/>
      <w:bookmarkStart w:id="407" w:name="_Toc143936943"/>
      <w:bookmarkStart w:id="408" w:name="_Toc145126446"/>
      <w:bookmarkStart w:id="409" w:name="_Toc157922173"/>
      <w:bookmarkStart w:id="410" w:name="_Toc241054037"/>
      <w:bookmarkStart w:id="411" w:name="_Toc241054104"/>
      <w:bookmarkStart w:id="412" w:name="_Toc268598358"/>
      <w:bookmarkStart w:id="413" w:name="_Toc272231241"/>
      <w:r>
        <w:rPr>
          <w:rStyle w:val="CharSchNo"/>
        </w:rPr>
        <w:t>Second Schedule</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ins w:id="414" w:author="svcMRProcess" w:date="2015-12-08T11:56:00Z">
        <w:r>
          <w:rPr>
            <w:rStyle w:val="CharSDivNo"/>
          </w:rPr>
          <w:t> </w:t>
        </w:r>
        <w:r>
          <w:t>—</w:t>
        </w:r>
        <w:r>
          <w:rPr>
            <w:rStyle w:val="CharSDivText"/>
          </w:rPr>
          <w:t> </w:t>
        </w:r>
        <w:r>
          <w:rPr>
            <w:rStyle w:val="CharSchText"/>
          </w:rPr>
          <w:t>Objects and functions of the Council</w:t>
        </w:r>
      </w:ins>
      <w:bookmarkEnd w:id="412"/>
      <w:bookmarkEnd w:id="413"/>
    </w:p>
    <w:p>
      <w:pPr>
        <w:pStyle w:val="yShoulderClause"/>
        <w:rPr>
          <w:snapToGrid w:val="0"/>
        </w:rPr>
      </w:pPr>
      <w:r>
        <w:rPr>
          <w:snapToGrid w:val="0"/>
        </w:rPr>
        <w:t>[</w:t>
      </w:r>
      <w:del w:id="415" w:author="svcMRProcess" w:date="2015-12-08T11:56:00Z">
        <w:r>
          <w:rPr>
            <w:snapToGrid w:val="0"/>
          </w:rPr>
          <w:delText>Section</w:delText>
        </w:r>
      </w:del>
      <w:ins w:id="416" w:author="svcMRProcess" w:date="2015-12-08T11:56:00Z">
        <w:r>
          <w:rPr>
            <w:snapToGrid w:val="0"/>
          </w:rPr>
          <w:t>s.</w:t>
        </w:r>
      </w:ins>
      <w:r>
        <w:rPr>
          <w:snapToGrid w:val="0"/>
        </w:rPr>
        <w:t> 7]</w:t>
      </w:r>
    </w:p>
    <w:p>
      <w:pPr>
        <w:pStyle w:val="yHeading2"/>
        <w:rPr>
          <w:del w:id="417" w:author="svcMRProcess" w:date="2015-12-08T11:56:00Z"/>
        </w:rPr>
      </w:pPr>
      <w:bookmarkStart w:id="418" w:name="_Toc139784811"/>
      <w:bookmarkStart w:id="419" w:name="_Toc139785396"/>
      <w:bookmarkStart w:id="420" w:name="_Toc141592781"/>
      <w:bookmarkStart w:id="421" w:name="_Toc141607409"/>
      <w:bookmarkStart w:id="422" w:name="_Toc143936944"/>
      <w:bookmarkStart w:id="423" w:name="_Toc145126447"/>
      <w:bookmarkStart w:id="424" w:name="_Toc157922174"/>
      <w:bookmarkStart w:id="425" w:name="_Toc241054038"/>
      <w:bookmarkStart w:id="426" w:name="_Toc241054105"/>
      <w:del w:id="427" w:author="svcMRProcess" w:date="2015-12-08T11:56:00Z">
        <w:r>
          <w:rPr>
            <w:rStyle w:val="CharSchText"/>
          </w:rPr>
          <w:delText>Objects and functions of the Council</w:delText>
        </w:r>
        <w:bookmarkEnd w:id="418"/>
        <w:bookmarkEnd w:id="419"/>
        <w:bookmarkEnd w:id="420"/>
        <w:bookmarkEnd w:id="421"/>
        <w:bookmarkEnd w:id="422"/>
        <w:bookmarkEnd w:id="423"/>
        <w:bookmarkEnd w:id="424"/>
        <w:bookmarkEnd w:id="425"/>
        <w:bookmarkEnd w:id="426"/>
      </w:del>
    </w:p>
    <w:p>
      <w:pPr>
        <w:pStyle w:val="yFootnoteheading"/>
        <w:rPr>
          <w:ins w:id="428" w:author="svcMRProcess" w:date="2015-12-08T11:56:00Z"/>
        </w:rPr>
      </w:pPr>
      <w:ins w:id="429" w:author="svcMRProcess" w:date="2015-12-08T11:56:00Z">
        <w:r>
          <w:tab/>
          <w:t>[Heading amended by No. 19 of 2010 s. 4.]</w:t>
        </w:r>
      </w:ins>
    </w:p>
    <w:p>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pPr>
        <w:pStyle w:val="yNumberedItem"/>
        <w:rPr>
          <w:snapToGrid w:val="0"/>
        </w:rPr>
      </w:pPr>
      <w:r>
        <w:rPr>
          <w:snapToGrid w:val="0"/>
        </w:rPr>
        <w:t>(c)</w:t>
      </w:r>
      <w:r>
        <w:rPr>
          <w:snapToGrid w:val="0"/>
        </w:rPr>
        <w:tab/>
        <w:t>To safeguard the character and beauty of the Australian landscape through the prevention of litter.</w:t>
      </w:r>
    </w:p>
    <w:p>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pPr>
        <w:pStyle w:val="yNumberedItem"/>
        <w:rPr>
          <w:snapToGrid w:val="0"/>
        </w:rPr>
      </w:pPr>
      <w:r>
        <w:rPr>
          <w:snapToGrid w:val="0"/>
        </w:rPr>
        <w:t>(g)</w:t>
      </w:r>
      <w:r>
        <w:rPr>
          <w:snapToGrid w:val="0"/>
        </w:rPr>
        <w:tab/>
        <w:t>To promote awareness of, and encouragement of, litter recycling.</w:t>
      </w:r>
    </w:p>
    <w:p>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pPr>
        <w:pStyle w:val="yNumberedItem"/>
        <w:rPr>
          <w:snapToGrid w:val="0"/>
        </w:rPr>
      </w:pPr>
      <w:r>
        <w:rPr>
          <w:snapToGrid w:val="0"/>
        </w:rPr>
        <w:t>(o)</w:t>
      </w:r>
      <w:r>
        <w:rPr>
          <w:snapToGrid w:val="0"/>
        </w:rPr>
        <w:tab/>
        <w:t>To take appropriate measures to bring the provisions of this Act to the attention of the public.</w:t>
      </w:r>
    </w:p>
    <w:p>
      <w:pPr>
        <w:pStyle w:val="yNumberedItem"/>
        <w:rPr>
          <w:snapToGrid w:val="0"/>
        </w:rPr>
      </w:pPr>
      <w:r>
        <w:rPr>
          <w:snapToGrid w:val="0"/>
        </w:rPr>
        <w:t>(p)</w:t>
      </w:r>
      <w:r>
        <w:rPr>
          <w:snapToGrid w:val="0"/>
        </w:rPr>
        <w:tab/>
        <w:t>To do such other acts and things as are conducive to the prevention and control of litter.</w:t>
      </w:r>
    </w:p>
    <w:p>
      <w:pPr>
        <w:pStyle w:val="yFootnotesection"/>
      </w:pPr>
      <w:r>
        <w:tab/>
        <w:t>[Second Schedule amended by No. 14 of 1996 s. 4.]</w:t>
      </w:r>
    </w:p>
    <w:p>
      <w:pPr>
        <w:pStyle w:val="yScheduleHeading"/>
      </w:pPr>
      <w:bookmarkStart w:id="430" w:name="_Toc89568381"/>
      <w:bookmarkStart w:id="431" w:name="_Toc103067323"/>
      <w:bookmarkStart w:id="432" w:name="_Toc139348754"/>
      <w:bookmarkStart w:id="433" w:name="_Toc139348818"/>
      <w:bookmarkStart w:id="434" w:name="_Toc139688757"/>
      <w:bookmarkStart w:id="435" w:name="_Toc139784812"/>
      <w:bookmarkStart w:id="436" w:name="_Toc139785397"/>
      <w:bookmarkStart w:id="437" w:name="_Toc141592782"/>
      <w:bookmarkStart w:id="438" w:name="_Toc141607410"/>
      <w:bookmarkStart w:id="439" w:name="_Toc143936945"/>
      <w:bookmarkStart w:id="440" w:name="_Toc145126448"/>
      <w:bookmarkStart w:id="441" w:name="_Toc157922175"/>
      <w:bookmarkStart w:id="442" w:name="_Toc241054039"/>
      <w:bookmarkStart w:id="443" w:name="_Toc241054106"/>
      <w:bookmarkStart w:id="444" w:name="_Toc268598359"/>
      <w:bookmarkStart w:id="445" w:name="_Toc272231242"/>
      <w:r>
        <w:rPr>
          <w:rStyle w:val="CharSchNo"/>
        </w:rPr>
        <w:t>Third Schedule</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ins w:id="446" w:author="svcMRProcess" w:date="2015-12-08T11:56:00Z">
        <w:r>
          <w:rPr>
            <w:rStyle w:val="CharSDivNo"/>
          </w:rPr>
          <w:t> </w:t>
        </w:r>
        <w:r>
          <w:t>—</w:t>
        </w:r>
        <w:r>
          <w:rPr>
            <w:rStyle w:val="CharSDivText"/>
          </w:rPr>
          <w:t> </w:t>
        </w:r>
        <w:r>
          <w:rPr>
            <w:rStyle w:val="CharSchText"/>
          </w:rPr>
          <w:t>Institutions of proceedings</w:t>
        </w:r>
      </w:ins>
      <w:bookmarkEnd w:id="444"/>
      <w:bookmarkEnd w:id="445"/>
    </w:p>
    <w:p>
      <w:pPr>
        <w:pStyle w:val="yShoulderClause"/>
        <w:rPr>
          <w:snapToGrid w:val="0"/>
        </w:rPr>
      </w:pPr>
      <w:r>
        <w:rPr>
          <w:snapToGrid w:val="0"/>
        </w:rPr>
        <w:t>[</w:t>
      </w:r>
      <w:del w:id="447" w:author="svcMRProcess" w:date="2015-12-08T11:56:00Z">
        <w:r>
          <w:rPr>
            <w:snapToGrid w:val="0"/>
          </w:rPr>
          <w:delText>Sections</w:delText>
        </w:r>
      </w:del>
      <w:ins w:id="448" w:author="svcMRProcess" w:date="2015-12-08T11:56:00Z">
        <w:r>
          <w:rPr>
            <w:snapToGrid w:val="0"/>
          </w:rPr>
          <w:t>s.</w:t>
        </w:r>
      </w:ins>
      <w:r>
        <w:rPr>
          <w:snapToGrid w:val="0"/>
        </w:rPr>
        <w:t> 30 and 31]</w:t>
      </w:r>
    </w:p>
    <w:p>
      <w:pPr>
        <w:pStyle w:val="yFootnoteheading"/>
        <w:rPr>
          <w:ins w:id="449" w:author="svcMRProcess" w:date="2015-12-08T11:56:00Z"/>
        </w:rPr>
      </w:pPr>
      <w:bookmarkStart w:id="450" w:name="_Toc141607411"/>
      <w:bookmarkStart w:id="451" w:name="_Toc143936946"/>
      <w:bookmarkStart w:id="452" w:name="_Toc145126449"/>
      <w:bookmarkStart w:id="453" w:name="_Toc157922176"/>
      <w:bookmarkStart w:id="454" w:name="_Toc241054040"/>
      <w:bookmarkStart w:id="455" w:name="_Toc241054107"/>
      <w:del w:id="456" w:author="svcMRProcess" w:date="2015-12-08T11:56:00Z">
        <w:r>
          <w:rPr>
            <w:rStyle w:val="CharSchText"/>
          </w:rPr>
          <w:delText>Institutions of proceedings</w:delText>
        </w:r>
      </w:del>
      <w:bookmarkEnd w:id="450"/>
      <w:bookmarkEnd w:id="451"/>
      <w:bookmarkEnd w:id="452"/>
      <w:bookmarkEnd w:id="453"/>
      <w:bookmarkEnd w:id="454"/>
      <w:bookmarkEnd w:id="455"/>
      <w:ins w:id="457" w:author="svcMRProcess" w:date="2015-12-08T11:56:00Z">
        <w:r>
          <w:tab/>
          <w:t>[Heading amended by No. 19 of 2010 s. 4.]</w:t>
        </w:r>
      </w:ins>
    </w:p>
    <w:p>
      <w:pPr>
        <w:pStyle w:val="yFootnoteheading"/>
      </w:pPr>
      <w:bookmarkStart w:id="458" w:name="UpToHere"/>
      <w:bookmarkEnd w:id="458"/>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nil"/>
            </w:tcBorders>
          </w:tcPr>
          <w:p>
            <w:pPr>
              <w:pStyle w:val="yTable"/>
              <w:jc w:val="center"/>
              <w:rPr>
                <w:b/>
              </w:rPr>
            </w:pPr>
            <w:r>
              <w:rPr>
                <w:b/>
              </w:rPr>
              <w:t>Column 1</w:t>
            </w:r>
          </w:p>
        </w:tc>
        <w:tc>
          <w:tcPr>
            <w:tcW w:w="2977" w:type="dxa"/>
            <w:tcBorders>
              <w:top w:val="single" w:sz="4" w:space="0" w:color="auto"/>
              <w:bottom w:val="nil"/>
            </w:tcBorders>
          </w:tcPr>
          <w:p>
            <w:pPr>
              <w:pStyle w:val="yTable"/>
              <w:jc w:val="center"/>
              <w:rPr>
                <w:b/>
              </w:rPr>
            </w:pPr>
            <w:r>
              <w:rPr>
                <w:b/>
              </w:rPr>
              <w:t>Column 2</w:t>
            </w:r>
          </w:p>
        </w:tc>
      </w:tr>
      <w:tr>
        <w:trPr>
          <w:tblHeader/>
        </w:trPr>
        <w:tc>
          <w:tcPr>
            <w:tcW w:w="4111" w:type="dxa"/>
            <w:tcBorders>
              <w:top w:val="single" w:sz="4" w:space="0" w:color="auto"/>
              <w:bottom w:val="single" w:sz="4" w:space="0" w:color="auto"/>
            </w:tcBorders>
          </w:tcPr>
          <w:p>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pPr>
              <w:pStyle w:val="yTable"/>
              <w:rPr>
                <w:b/>
              </w:rPr>
            </w:pPr>
            <w:r>
              <w:rPr>
                <w:b/>
              </w:rPr>
              <w:t>Public authority on behalf of which notice is served or proceedings instituted</w:t>
            </w:r>
          </w:p>
        </w:tc>
      </w:tr>
      <w:tr>
        <w:tc>
          <w:tcPr>
            <w:tcW w:w="4111" w:type="dxa"/>
            <w:tcBorders>
              <w:top w:val="nil"/>
            </w:tcBorders>
          </w:tcPr>
          <w:p>
            <w:pPr>
              <w:pStyle w:val="yTable"/>
            </w:pPr>
            <w:r>
              <w:t>Members of the Police Force</w:t>
            </w:r>
          </w:p>
        </w:tc>
        <w:tc>
          <w:tcPr>
            <w:tcW w:w="2977" w:type="dxa"/>
            <w:tcBorders>
              <w:top w:val="nil"/>
            </w:tcBorders>
          </w:tcPr>
          <w:p>
            <w:pPr>
              <w:pStyle w:val="yTable"/>
            </w:pPr>
            <w:r>
              <w:t>The Commissioner of Police</w:t>
            </w:r>
          </w:p>
        </w:tc>
      </w:tr>
      <w:tr>
        <w:tc>
          <w:tcPr>
            <w:tcW w:w="4111" w:type="dxa"/>
          </w:tcPr>
          <w:p>
            <w:pPr>
              <w:pStyle w:val="yTable"/>
            </w:pPr>
            <w:r>
              <w:t>Members of the council of, or employees or honorary inspectors of, a local government</w:t>
            </w:r>
          </w:p>
        </w:tc>
        <w:tc>
          <w:tcPr>
            <w:tcW w:w="2977" w:type="dxa"/>
          </w:tcPr>
          <w:p>
            <w:pPr>
              <w:pStyle w:val="yTable"/>
            </w:pPr>
            <w:r>
              <w:t>That local government</w:t>
            </w:r>
          </w:p>
        </w:tc>
      </w:tr>
      <w:tr>
        <w:tc>
          <w:tcPr>
            <w:tcW w:w="4111" w:type="dxa"/>
          </w:tcPr>
          <w:p>
            <w:pPr>
              <w:pStyle w:val="yTable"/>
            </w:pPr>
            <w:r>
              <w:t>Officers or employees of the Council or officers or employees whose services the Council makes use of</w:t>
            </w:r>
          </w:p>
        </w:tc>
        <w:tc>
          <w:tcPr>
            <w:tcW w:w="2977" w:type="dxa"/>
          </w:tcPr>
          <w:p>
            <w:pPr>
              <w:pStyle w:val="yTable"/>
            </w:pPr>
            <w:r>
              <w:t>The council</w:t>
            </w:r>
          </w:p>
        </w:tc>
      </w:tr>
      <w:tr>
        <w:tc>
          <w:tcPr>
            <w:tcW w:w="4111" w:type="dxa"/>
          </w:tcPr>
          <w:p>
            <w:pPr>
              <w:pStyle w:val="yTable"/>
              <w:rPr>
                <w:i/>
              </w:rPr>
            </w:pPr>
            <w:r>
              <w:t>Inspectors under the</w:t>
            </w:r>
            <w:r>
              <w:rPr>
                <w:i/>
              </w:rPr>
              <w:t xml:space="preserve"> Environmental Protection Act 1986</w:t>
            </w:r>
          </w:p>
        </w:tc>
        <w:tc>
          <w:tcPr>
            <w:tcW w:w="2977" w:type="dxa"/>
          </w:tcPr>
          <w:p>
            <w:pPr>
              <w:pStyle w:val="yTable"/>
            </w:pPr>
            <w:r>
              <w:t xml:space="preserve">The CEO as defined in section 3 of the </w:t>
            </w:r>
            <w:r>
              <w:rPr>
                <w:i/>
              </w:rPr>
              <w:t>Environmental Protection Act 1986</w:t>
            </w:r>
          </w:p>
        </w:tc>
      </w:tr>
      <w:tr>
        <w:tc>
          <w:tcPr>
            <w:tcW w:w="4111" w:type="dxa"/>
          </w:tcPr>
          <w:p>
            <w:pPr>
              <w:pStyle w:val="yTable"/>
            </w:pPr>
            <w:r>
              <w:t xml:space="preserve">Conservation and land management officers, forest officers, wildlife officers or rangers under the </w:t>
            </w:r>
            <w:r>
              <w:rPr>
                <w:i/>
              </w:rPr>
              <w:t>Conservation and Land Management Act 1984</w:t>
            </w:r>
          </w:p>
        </w:tc>
        <w:tc>
          <w:tcPr>
            <w:tcW w:w="2977" w:type="dxa"/>
          </w:tcPr>
          <w:p>
            <w:pPr>
              <w:pStyle w:val="yTable"/>
            </w:pPr>
            <w:r>
              <w:t xml:space="preserve">The CEO as defined in section 3 of the </w:t>
            </w:r>
            <w:r>
              <w:rPr>
                <w:i/>
              </w:rPr>
              <w:t>Conservation and Land Management Act 1984</w:t>
            </w:r>
          </w:p>
        </w:tc>
      </w:tr>
      <w:tr>
        <w:tc>
          <w:tcPr>
            <w:tcW w:w="4111" w:type="dxa"/>
          </w:tcPr>
          <w:p>
            <w:pPr>
              <w:pStyle w:val="yTable"/>
            </w:pPr>
            <w:r>
              <w:t>Members of the staff of The Western Australian Museum</w:t>
            </w:r>
          </w:p>
        </w:tc>
        <w:tc>
          <w:tcPr>
            <w:tcW w:w="2977" w:type="dxa"/>
          </w:tcPr>
          <w:p>
            <w:pPr>
              <w:pStyle w:val="yTable"/>
            </w:pPr>
            <w:r>
              <w:t>The Western Australian Museum</w:t>
            </w:r>
          </w:p>
        </w:tc>
      </w:tr>
      <w:tr>
        <w:tc>
          <w:tcPr>
            <w:tcW w:w="4111" w:type="dxa"/>
            <w:tcBorders>
              <w:bottom w:val="nil"/>
            </w:tcBorders>
          </w:tcPr>
          <w:p>
            <w:pPr>
              <w:pStyle w:val="yTable"/>
            </w:pPr>
            <w:r>
              <w:t xml:space="preserve">Inspectors or honorary wardens under the </w:t>
            </w:r>
            <w:r>
              <w:rPr>
                <w:i/>
              </w:rPr>
              <w:t>Waterways Conservation Act 1976</w:t>
            </w:r>
          </w:p>
        </w:tc>
        <w:tc>
          <w:tcPr>
            <w:tcW w:w="2977" w:type="dxa"/>
            <w:tcBorders>
              <w:bottom w:val="nil"/>
            </w:tcBorders>
          </w:tcPr>
          <w:p>
            <w:pPr>
              <w:pStyle w:val="yTable"/>
            </w:pPr>
            <w:r>
              <w:t>The Management Authority constituted under that Act in relation to the management area in respect of which the authorised officer is exercising his powers</w:t>
            </w:r>
          </w:p>
        </w:tc>
      </w:tr>
      <w:tr>
        <w:tc>
          <w:tcPr>
            <w:tcW w:w="4111" w:type="dxa"/>
            <w:tcBorders>
              <w:bottom w:val="nil"/>
            </w:tcBorders>
          </w:tcPr>
          <w:p>
            <w:pPr>
              <w:pStyle w:val="yTable"/>
            </w:pPr>
            <w:r>
              <w:t xml:space="preserve">Fisheries officers referred to in the </w:t>
            </w:r>
            <w:r>
              <w:rPr>
                <w:i/>
              </w:rPr>
              <w:t>Fish Resources Management Act 1994</w:t>
            </w:r>
          </w:p>
        </w:tc>
        <w:tc>
          <w:tcPr>
            <w:tcW w:w="2977" w:type="dxa"/>
            <w:tcBorders>
              <w:bottom w:val="nil"/>
            </w:tcBorders>
          </w:tcPr>
          <w:p>
            <w:pPr>
              <w:pStyle w:val="yTable"/>
              <w:rPr>
                <w:i/>
              </w:rPr>
            </w:pPr>
            <w:r>
              <w:t xml:space="preserve">The CEO as defined in section 4(1) of the </w:t>
            </w:r>
            <w:r>
              <w:rPr>
                <w:i/>
              </w:rPr>
              <w:t>Fish Resources Management Act 1994</w:t>
            </w:r>
          </w:p>
        </w:tc>
      </w:tr>
      <w:tr>
        <w:tc>
          <w:tcPr>
            <w:tcW w:w="4111" w:type="dxa"/>
            <w:tcBorders>
              <w:top w:val="nil"/>
            </w:tcBorders>
          </w:tcPr>
          <w:p>
            <w:pPr>
              <w:pStyle w:val="yTable"/>
              <w:keepNext/>
            </w:pPr>
            <w:r>
              <w:t xml:space="preserve">Bush fire liaison officers under the </w:t>
            </w:r>
            <w:r>
              <w:rPr>
                <w:i/>
              </w:rPr>
              <w:t>Bush Fires Act 1954</w:t>
            </w:r>
          </w:p>
        </w:tc>
        <w:tc>
          <w:tcPr>
            <w:tcW w:w="2977" w:type="dxa"/>
            <w:tcBorders>
              <w:top w:val="nil"/>
            </w:tcBorders>
          </w:tcPr>
          <w:p>
            <w:pPr>
              <w:pStyle w:val="yTable"/>
              <w:keepNext/>
            </w:pPr>
            <w:r>
              <w:t>Fire and Emergency Services Authority of Western Australia</w:t>
            </w:r>
          </w:p>
        </w:tc>
      </w:tr>
      <w:tr>
        <w:tc>
          <w:tcPr>
            <w:tcW w:w="4111" w:type="dxa"/>
          </w:tcPr>
          <w:p>
            <w:pPr>
              <w:pStyle w:val="yTable"/>
            </w:pPr>
            <w:r>
              <w:t xml:space="preserve">Inspectors under the </w:t>
            </w:r>
            <w:r>
              <w:rPr>
                <w:i/>
              </w:rPr>
              <w:t>Western Australian Marine Act 1982</w:t>
            </w:r>
          </w:p>
        </w:tc>
        <w:tc>
          <w:tcPr>
            <w:tcW w:w="2977" w:type="dxa"/>
          </w:tcPr>
          <w:p>
            <w:pPr>
              <w:pStyle w:val="yTable"/>
            </w:pPr>
            <w:r>
              <w:t xml:space="preserve">The chief executive officer as defined in section 3(1) of the </w:t>
            </w:r>
            <w:r>
              <w:rPr>
                <w:i/>
              </w:rPr>
              <w:t>Western Australian Marine Act 1982</w:t>
            </w:r>
          </w:p>
        </w:tc>
      </w:tr>
      <w:tr>
        <w:tc>
          <w:tcPr>
            <w:tcW w:w="4111" w:type="dxa"/>
          </w:tcPr>
          <w:p>
            <w:pPr>
              <w:pStyle w:val="yTable"/>
            </w:pPr>
            <w:r>
              <w:t>Persons holding or acting in a prescribed office of a public authority</w:t>
            </w:r>
          </w:p>
        </w:tc>
        <w:tc>
          <w:tcPr>
            <w:tcW w:w="2977" w:type="dxa"/>
          </w:tcPr>
          <w:p>
            <w:pPr>
              <w:pStyle w:val="yTable"/>
            </w:pPr>
            <w:r>
              <w:t>That public authority</w:t>
            </w:r>
          </w:p>
        </w:tc>
      </w:tr>
    </w:tbl>
    <w:p>
      <w:pPr>
        <w:pStyle w:val="yFootnotesection"/>
      </w:pPr>
      <w:r>
        <w:tab/>
        <w:t>[Third Schedule inserted by No. 49 of 1981 s. 7; amended by No. 53 of 1994 s. 264; No. 24 of 1995 s. 55; No. 14 of 1996 s. 4; No. 42 of 1998 s. 38; No. 28 of 2006 s. 216.]</w:t>
      </w:r>
    </w:p>
    <w:p>
      <w:pPr>
        <w:sectPr>
          <w:headerReference w:type="even" r:id="rId24"/>
          <w:headerReference w:type="default" r:id="rId25"/>
          <w:pgSz w:w="11906" w:h="16838" w:code="9"/>
          <w:pgMar w:top="2376" w:right="2404" w:bottom="3544" w:left="2404" w:header="720" w:footer="3380" w:gutter="0"/>
          <w:cols w:space="720"/>
          <w:noEndnote/>
          <w:docGrid w:linePitch="326"/>
        </w:sectPr>
      </w:pPr>
    </w:p>
    <w:p>
      <w:pPr>
        <w:pStyle w:val="nHeading2"/>
      </w:pPr>
      <w:bookmarkStart w:id="459" w:name="_Toc89568382"/>
      <w:bookmarkStart w:id="460" w:name="_Toc89568704"/>
      <w:bookmarkStart w:id="461" w:name="_Toc89568769"/>
      <w:bookmarkStart w:id="462" w:name="_Toc92878071"/>
      <w:bookmarkStart w:id="463" w:name="_Toc97097150"/>
      <w:bookmarkStart w:id="464" w:name="_Toc100455931"/>
      <w:bookmarkStart w:id="465" w:name="_Toc100561823"/>
      <w:bookmarkStart w:id="466" w:name="_Toc100563983"/>
      <w:bookmarkStart w:id="467" w:name="_Toc102379786"/>
      <w:bookmarkStart w:id="468" w:name="_Toc103067324"/>
      <w:bookmarkStart w:id="469" w:name="_Toc139348755"/>
      <w:bookmarkStart w:id="470" w:name="_Toc139348819"/>
      <w:bookmarkStart w:id="471" w:name="_Toc139688758"/>
      <w:bookmarkStart w:id="472" w:name="_Toc139784814"/>
      <w:bookmarkStart w:id="473" w:name="_Toc139785399"/>
      <w:bookmarkStart w:id="474" w:name="_Toc141592784"/>
      <w:bookmarkStart w:id="475" w:name="_Toc141607412"/>
      <w:bookmarkStart w:id="476" w:name="_Toc143936947"/>
      <w:bookmarkStart w:id="477" w:name="_Toc145126450"/>
      <w:bookmarkStart w:id="478" w:name="_Toc157922177"/>
      <w:bookmarkStart w:id="479" w:name="_Toc241054041"/>
      <w:bookmarkStart w:id="480" w:name="_Toc241054108"/>
      <w:bookmarkStart w:id="481" w:name="_Toc268598360"/>
      <w:bookmarkStart w:id="482" w:name="_Toc272231243"/>
      <w:r>
        <w:t>Notes</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w:t>
      </w:r>
      <w:del w:id="483" w:author="svcMRProcess" w:date="2015-12-08T11:56:00Z">
        <w:r>
          <w:rPr>
            <w:snapToGrid w:val="0"/>
            <w:vertAlign w:val="superscript"/>
          </w:rPr>
          <w:delText> 1a</w:delText>
        </w:r>
      </w:del>
      <w:r>
        <w:rPr>
          <w:snapToGrid w:val="0"/>
        </w:rPr>
        <w:t>.  The table also contains information about any reprint.</w:t>
      </w:r>
    </w:p>
    <w:p>
      <w:pPr>
        <w:pStyle w:val="nHeading3"/>
        <w:rPr>
          <w:snapToGrid w:val="0"/>
        </w:rPr>
      </w:pPr>
      <w:bookmarkStart w:id="484" w:name="_Toc272231244"/>
      <w:bookmarkStart w:id="485" w:name="_Toc241054109"/>
      <w:r>
        <w:rPr>
          <w:snapToGrid w:val="0"/>
        </w:rPr>
        <w:t>Compilation table</w:t>
      </w:r>
      <w:bookmarkEnd w:id="484"/>
      <w:bookmarkEnd w:id="485"/>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trPr>
          <w:gridAfter w:val="2"/>
          <w:wAfter w:w="62" w:type="dxa"/>
          <w:cantSplit/>
          <w:tblHeader/>
        </w:trPr>
        <w:tc>
          <w:tcPr>
            <w:tcW w:w="2282"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41"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62" w:type="dxa"/>
          <w:cantSplit/>
        </w:trPr>
        <w:tc>
          <w:tcPr>
            <w:tcW w:w="2282" w:type="dxa"/>
            <w:gridSpan w:val="2"/>
            <w:tcBorders>
              <w:top w:val="single" w:sz="8" w:space="0" w:color="auto"/>
            </w:tcBorders>
          </w:tcPr>
          <w:p>
            <w:pPr>
              <w:pStyle w:val="nTable"/>
              <w:spacing w:after="40"/>
              <w:rPr>
                <w:sz w:val="19"/>
              </w:rPr>
            </w:pPr>
            <w:r>
              <w:rPr>
                <w:i/>
                <w:sz w:val="19"/>
              </w:rPr>
              <w:t>Litter Act 1979</w:t>
            </w:r>
          </w:p>
        </w:tc>
        <w:tc>
          <w:tcPr>
            <w:tcW w:w="1141" w:type="dxa"/>
            <w:tcBorders>
              <w:top w:val="single" w:sz="8" w:space="0" w:color="auto"/>
            </w:tcBorders>
          </w:tcPr>
          <w:p>
            <w:pPr>
              <w:pStyle w:val="nTable"/>
              <w:spacing w:after="40"/>
              <w:rPr>
                <w:sz w:val="19"/>
              </w:rPr>
            </w:pPr>
            <w:r>
              <w:rPr>
                <w:sz w:val="19"/>
              </w:rPr>
              <w:t>81 of 1979</w:t>
            </w:r>
          </w:p>
        </w:tc>
        <w:tc>
          <w:tcPr>
            <w:tcW w:w="1136" w:type="dxa"/>
            <w:tcBorders>
              <w:top w:val="single" w:sz="8" w:space="0" w:color="auto"/>
            </w:tcBorders>
          </w:tcPr>
          <w:p>
            <w:pPr>
              <w:pStyle w:val="nTable"/>
              <w:spacing w:after="40"/>
              <w:rPr>
                <w:sz w:val="19"/>
              </w:rPr>
            </w:pPr>
            <w:r>
              <w:rPr>
                <w:sz w:val="19"/>
              </w:rPr>
              <w:t>11 Dec 1979</w:t>
            </w:r>
          </w:p>
        </w:tc>
        <w:tc>
          <w:tcPr>
            <w:tcW w:w="2553" w:type="dxa"/>
            <w:tcBorders>
              <w:top w:val="single" w:sz="8" w:space="0" w:color="auto"/>
            </w:tcBorders>
          </w:tcPr>
          <w:p>
            <w:pPr>
              <w:pStyle w:val="nTable"/>
              <w:spacing w:after="40"/>
              <w:rPr>
                <w:sz w:val="19"/>
              </w:rPr>
            </w:pPr>
            <w:r>
              <w:rPr>
                <w:sz w:val="19"/>
              </w:rPr>
              <w:t xml:space="preserve">9 May 1980 (see s. 2 and </w:t>
            </w:r>
            <w:r>
              <w:rPr>
                <w:i/>
                <w:sz w:val="19"/>
              </w:rPr>
              <w:t>Gazette</w:t>
            </w:r>
            <w:r>
              <w:rPr>
                <w:sz w:val="19"/>
              </w:rPr>
              <w:t xml:space="preserve"> 9 May 1980 p. 1446)</w:t>
            </w:r>
          </w:p>
        </w:tc>
      </w:tr>
      <w:tr>
        <w:trPr>
          <w:gridAfter w:val="2"/>
          <w:wAfter w:w="62" w:type="dxa"/>
          <w:cantSplit/>
        </w:trPr>
        <w:tc>
          <w:tcPr>
            <w:tcW w:w="2282" w:type="dxa"/>
            <w:gridSpan w:val="2"/>
          </w:tcPr>
          <w:p>
            <w:pPr>
              <w:pStyle w:val="nTable"/>
              <w:spacing w:after="40"/>
              <w:rPr>
                <w:sz w:val="19"/>
              </w:rPr>
            </w:pPr>
            <w:r>
              <w:rPr>
                <w:i/>
                <w:sz w:val="19"/>
              </w:rPr>
              <w:t>Litter Amendment Act 1981</w:t>
            </w:r>
          </w:p>
        </w:tc>
        <w:tc>
          <w:tcPr>
            <w:tcW w:w="1141" w:type="dxa"/>
          </w:tcPr>
          <w:p>
            <w:pPr>
              <w:pStyle w:val="nTable"/>
              <w:spacing w:after="40"/>
              <w:rPr>
                <w:sz w:val="19"/>
              </w:rPr>
            </w:pPr>
            <w:r>
              <w:rPr>
                <w:sz w:val="19"/>
              </w:rPr>
              <w:t>49 of 1981</w:t>
            </w:r>
          </w:p>
        </w:tc>
        <w:tc>
          <w:tcPr>
            <w:tcW w:w="1136" w:type="dxa"/>
          </w:tcPr>
          <w:p>
            <w:pPr>
              <w:pStyle w:val="nTable"/>
              <w:spacing w:after="40"/>
              <w:rPr>
                <w:sz w:val="19"/>
              </w:rPr>
            </w:pPr>
            <w:r>
              <w:rPr>
                <w:sz w:val="19"/>
              </w:rPr>
              <w:t>16 Sep 1981</w:t>
            </w:r>
          </w:p>
        </w:tc>
        <w:tc>
          <w:tcPr>
            <w:tcW w:w="2553" w:type="dxa"/>
          </w:tcPr>
          <w:p>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Acts Amendment (Financial Administration and Audit) Act 1985</w:t>
            </w:r>
            <w:r>
              <w:rPr>
                <w:sz w:val="19"/>
              </w:rPr>
              <w:t xml:space="preserve"> s. 3</w:t>
            </w:r>
          </w:p>
        </w:tc>
        <w:tc>
          <w:tcPr>
            <w:tcW w:w="1141"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62" w:type="dxa"/>
          <w:cantSplit/>
        </w:trPr>
        <w:tc>
          <w:tcPr>
            <w:tcW w:w="2282" w:type="dxa"/>
            <w:gridSpan w:val="2"/>
          </w:tcPr>
          <w:p>
            <w:pPr>
              <w:pStyle w:val="nTable"/>
              <w:spacing w:after="40"/>
              <w:rPr>
                <w:sz w:val="19"/>
              </w:rPr>
            </w:pPr>
            <w:r>
              <w:rPr>
                <w:i/>
                <w:sz w:val="19"/>
              </w:rPr>
              <w:t>Litter Amendment Act 1986</w:t>
            </w:r>
          </w:p>
        </w:tc>
        <w:tc>
          <w:tcPr>
            <w:tcW w:w="1141" w:type="dxa"/>
          </w:tcPr>
          <w:p>
            <w:pPr>
              <w:pStyle w:val="nTable"/>
              <w:spacing w:after="40"/>
              <w:rPr>
                <w:sz w:val="19"/>
              </w:rPr>
            </w:pPr>
            <w:r>
              <w:rPr>
                <w:sz w:val="19"/>
              </w:rPr>
              <w:t>18 of 1986</w:t>
            </w:r>
          </w:p>
        </w:tc>
        <w:tc>
          <w:tcPr>
            <w:tcW w:w="1136" w:type="dxa"/>
          </w:tcPr>
          <w:p>
            <w:pPr>
              <w:pStyle w:val="nTable"/>
              <w:spacing w:after="40"/>
              <w:rPr>
                <w:sz w:val="19"/>
              </w:rPr>
            </w:pPr>
            <w:r>
              <w:rPr>
                <w:sz w:val="19"/>
              </w:rPr>
              <w:t>25 Jul 1986</w:t>
            </w:r>
          </w:p>
        </w:tc>
        <w:tc>
          <w:tcPr>
            <w:tcW w:w="2553" w:type="dxa"/>
          </w:tcPr>
          <w:p>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trPr>
          <w:gridAfter w:val="2"/>
          <w:wAfter w:w="62" w:type="dxa"/>
          <w:cantSplit/>
        </w:trPr>
        <w:tc>
          <w:tcPr>
            <w:tcW w:w="2282" w:type="dxa"/>
            <w:gridSpan w:val="2"/>
          </w:tcPr>
          <w:p>
            <w:pPr>
              <w:pStyle w:val="nTable"/>
              <w:spacing w:after="40"/>
              <w:rPr>
                <w:sz w:val="19"/>
              </w:rPr>
            </w:pPr>
            <w:r>
              <w:rPr>
                <w:i/>
                <w:sz w:val="19"/>
              </w:rPr>
              <w:t>Acts Amendment (Public Service) Act 1987</w:t>
            </w:r>
            <w:r>
              <w:rPr>
                <w:sz w:val="19"/>
              </w:rPr>
              <w:t xml:space="preserve"> s. 32</w:t>
            </w:r>
          </w:p>
        </w:tc>
        <w:tc>
          <w:tcPr>
            <w:tcW w:w="1141" w:type="dxa"/>
          </w:tcPr>
          <w:p>
            <w:pPr>
              <w:pStyle w:val="nTable"/>
              <w:spacing w:after="40"/>
              <w:rPr>
                <w:sz w:val="19"/>
              </w:rPr>
            </w:pPr>
            <w:r>
              <w:rPr>
                <w:sz w:val="19"/>
              </w:rPr>
              <w:t>113 of 1987</w:t>
            </w:r>
          </w:p>
        </w:tc>
        <w:tc>
          <w:tcPr>
            <w:tcW w:w="1136" w:type="dxa"/>
          </w:tcPr>
          <w:p>
            <w:pPr>
              <w:pStyle w:val="nTable"/>
              <w:spacing w:after="40"/>
              <w:rPr>
                <w:sz w:val="19"/>
              </w:rPr>
            </w:pPr>
            <w:r>
              <w:rPr>
                <w:sz w:val="19"/>
              </w:rPr>
              <w:t>31 Dec 1987</w:t>
            </w:r>
          </w:p>
        </w:tc>
        <w:tc>
          <w:tcPr>
            <w:tcW w:w="2553"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gridAfter w:val="2"/>
          <w:wAfter w:w="62" w:type="dxa"/>
          <w:cantSplit/>
        </w:trPr>
        <w:tc>
          <w:tcPr>
            <w:tcW w:w="2282" w:type="dxa"/>
            <w:gridSpan w:val="2"/>
          </w:tcPr>
          <w:p>
            <w:pPr>
              <w:pStyle w:val="nTable"/>
              <w:spacing w:after="40"/>
              <w:rPr>
                <w:sz w:val="19"/>
              </w:rPr>
            </w:pPr>
            <w:r>
              <w:rPr>
                <w:i/>
                <w:sz w:val="19"/>
              </w:rPr>
              <w:t>Acts Amendment (Education) Act 1988</w:t>
            </w:r>
            <w:r>
              <w:rPr>
                <w:sz w:val="19"/>
              </w:rPr>
              <w:t xml:space="preserve"> Pt. 8</w:t>
            </w:r>
          </w:p>
        </w:tc>
        <w:tc>
          <w:tcPr>
            <w:tcW w:w="1141" w:type="dxa"/>
          </w:tcPr>
          <w:p>
            <w:pPr>
              <w:pStyle w:val="nTable"/>
              <w:spacing w:after="40"/>
              <w:rPr>
                <w:sz w:val="19"/>
              </w:rPr>
            </w:pPr>
            <w:r>
              <w:rPr>
                <w:sz w:val="19"/>
              </w:rPr>
              <w:t>7 of 1988</w:t>
            </w:r>
          </w:p>
        </w:tc>
        <w:tc>
          <w:tcPr>
            <w:tcW w:w="1136"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gridAfter w:val="2"/>
          <w:wAfter w:w="62" w:type="dxa"/>
          <w:cantSplit/>
        </w:trPr>
        <w:tc>
          <w:tcPr>
            <w:tcW w:w="2282" w:type="dxa"/>
            <w:gridSpan w:val="2"/>
          </w:tcPr>
          <w:p>
            <w:pPr>
              <w:pStyle w:val="nTable"/>
              <w:spacing w:after="40"/>
              <w:rPr>
                <w:sz w:val="19"/>
              </w:rPr>
            </w:pPr>
            <w:r>
              <w:rPr>
                <w:i/>
                <w:sz w:val="19"/>
              </w:rPr>
              <w:t>Acts Amendment (Public Sector Management) Act 1994</w:t>
            </w:r>
            <w:r>
              <w:rPr>
                <w:sz w:val="19"/>
              </w:rPr>
              <w:t xml:space="preserve"> s. 19</w:t>
            </w:r>
          </w:p>
        </w:tc>
        <w:tc>
          <w:tcPr>
            <w:tcW w:w="1141"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2"/>
          <w:wAfter w:w="62" w:type="dxa"/>
          <w:cantSplit/>
        </w:trPr>
        <w:tc>
          <w:tcPr>
            <w:tcW w:w="2282" w:type="dxa"/>
            <w:gridSpan w:val="2"/>
          </w:tcPr>
          <w:p>
            <w:pPr>
              <w:pStyle w:val="nTable"/>
              <w:spacing w:after="40"/>
              <w:rPr>
                <w:sz w:val="19"/>
              </w:rPr>
            </w:pPr>
            <w:r>
              <w:rPr>
                <w:i/>
                <w:sz w:val="19"/>
              </w:rPr>
              <w:t>Fish Resources Management Act 1994</w:t>
            </w:r>
            <w:r>
              <w:rPr>
                <w:sz w:val="19"/>
              </w:rPr>
              <w:t xml:space="preserve"> s. 264</w:t>
            </w:r>
          </w:p>
        </w:tc>
        <w:tc>
          <w:tcPr>
            <w:tcW w:w="1141" w:type="dxa"/>
          </w:tcPr>
          <w:p>
            <w:pPr>
              <w:pStyle w:val="nTable"/>
              <w:spacing w:after="40"/>
              <w:rPr>
                <w:sz w:val="19"/>
              </w:rPr>
            </w:pPr>
            <w:r>
              <w:rPr>
                <w:sz w:val="19"/>
              </w:rPr>
              <w:t>53 of 1994</w:t>
            </w:r>
          </w:p>
        </w:tc>
        <w:tc>
          <w:tcPr>
            <w:tcW w:w="1136" w:type="dxa"/>
          </w:tcPr>
          <w:p>
            <w:pPr>
              <w:pStyle w:val="nTable"/>
              <w:spacing w:after="40"/>
              <w:rPr>
                <w:sz w:val="19"/>
              </w:rPr>
            </w:pPr>
            <w:r>
              <w:rPr>
                <w:sz w:val="19"/>
              </w:rPr>
              <w:t>2 Nov 1994</w:t>
            </w:r>
          </w:p>
        </w:tc>
        <w:tc>
          <w:tcPr>
            <w:tcW w:w="2553" w:type="dxa"/>
          </w:tcPr>
          <w:p>
            <w:pPr>
              <w:pStyle w:val="nTable"/>
              <w:spacing w:after="40"/>
              <w:rPr>
                <w:sz w:val="19"/>
              </w:rPr>
            </w:pPr>
            <w:r>
              <w:rPr>
                <w:sz w:val="19"/>
              </w:rPr>
              <w:t xml:space="preserve">1 Oct 1995 (see s. 2 and </w:t>
            </w:r>
            <w:r>
              <w:rPr>
                <w:i/>
                <w:sz w:val="19"/>
              </w:rPr>
              <w:t>Gazette</w:t>
            </w:r>
            <w:r>
              <w:rPr>
                <w:sz w:val="19"/>
              </w:rPr>
              <w:t xml:space="preserve"> 29 Sep 1995 p. 4649)</w:t>
            </w:r>
          </w:p>
        </w:tc>
      </w:tr>
      <w:tr>
        <w:trPr>
          <w:gridAfter w:val="2"/>
          <w:wAfter w:w="62" w:type="dxa"/>
          <w:cantSplit/>
        </w:trPr>
        <w:tc>
          <w:tcPr>
            <w:tcW w:w="2282" w:type="dxa"/>
            <w:gridSpan w:val="2"/>
          </w:tcPr>
          <w:p>
            <w:pPr>
              <w:pStyle w:val="nTable"/>
              <w:spacing w:after="40"/>
              <w:rPr>
                <w:sz w:val="19"/>
              </w:rPr>
            </w:pPr>
            <w:r>
              <w:rPr>
                <w:i/>
                <w:sz w:val="19"/>
              </w:rPr>
              <w:t>Acts Amendment (Fines, Penalties and Infringement Notices) Act 1994</w:t>
            </w:r>
            <w:r>
              <w:rPr>
                <w:sz w:val="19"/>
              </w:rPr>
              <w:t xml:space="preserve"> Pt. 12</w:t>
            </w:r>
          </w:p>
        </w:tc>
        <w:tc>
          <w:tcPr>
            <w:tcW w:w="1141"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53"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2"/>
          <w:wAfter w:w="62" w:type="dxa"/>
          <w:cantSplit/>
        </w:trPr>
        <w:tc>
          <w:tcPr>
            <w:tcW w:w="2282" w:type="dxa"/>
            <w:gridSpan w:val="2"/>
          </w:tcPr>
          <w:p>
            <w:pPr>
              <w:pStyle w:val="nTable"/>
              <w:spacing w:after="40"/>
              <w:rPr>
                <w:sz w:val="19"/>
              </w:rPr>
            </w:pPr>
            <w:r>
              <w:rPr>
                <w:i/>
                <w:sz w:val="19"/>
              </w:rPr>
              <w:t>Aboriginal Heritage Amendment Act 1995</w:t>
            </w:r>
            <w:r>
              <w:rPr>
                <w:sz w:val="19"/>
              </w:rPr>
              <w:t xml:space="preserve"> s. 55</w:t>
            </w:r>
          </w:p>
        </w:tc>
        <w:tc>
          <w:tcPr>
            <w:tcW w:w="1141" w:type="dxa"/>
          </w:tcPr>
          <w:p>
            <w:pPr>
              <w:pStyle w:val="nTable"/>
              <w:spacing w:after="40"/>
              <w:rPr>
                <w:sz w:val="19"/>
              </w:rPr>
            </w:pPr>
            <w:r>
              <w:rPr>
                <w:sz w:val="19"/>
              </w:rPr>
              <w:t>24 of 1995</w:t>
            </w:r>
          </w:p>
        </w:tc>
        <w:tc>
          <w:tcPr>
            <w:tcW w:w="1136" w:type="dxa"/>
          </w:tcPr>
          <w:p>
            <w:pPr>
              <w:pStyle w:val="nTable"/>
              <w:spacing w:after="40"/>
              <w:rPr>
                <w:sz w:val="19"/>
              </w:rPr>
            </w:pPr>
            <w:r>
              <w:rPr>
                <w:sz w:val="19"/>
              </w:rPr>
              <w:t>30 Jun 1995</w:t>
            </w:r>
          </w:p>
        </w:tc>
        <w:tc>
          <w:tcPr>
            <w:tcW w:w="2553" w:type="dxa"/>
          </w:tcPr>
          <w:p>
            <w:pPr>
              <w:pStyle w:val="nTable"/>
              <w:spacing w:after="40"/>
              <w:rPr>
                <w:sz w:val="19"/>
              </w:rPr>
            </w:pPr>
            <w:r>
              <w:rPr>
                <w:sz w:val="19"/>
              </w:rPr>
              <w:t xml:space="preserve">1 Jul 1995 (see s. 2 and </w:t>
            </w:r>
            <w:r>
              <w:rPr>
                <w:i/>
                <w:sz w:val="19"/>
              </w:rPr>
              <w:t>Gazette</w:t>
            </w:r>
            <w:r>
              <w:rPr>
                <w:sz w:val="19"/>
              </w:rPr>
              <w:t xml:space="preserve"> 30 Jun 1995 p. 2781)</w:t>
            </w:r>
          </w:p>
        </w:tc>
      </w:tr>
      <w:tr>
        <w:trPr>
          <w:gridAfter w:val="2"/>
          <w:wAfter w:w="62" w:type="dxa"/>
          <w:cantSplit/>
        </w:trPr>
        <w:tc>
          <w:tcPr>
            <w:tcW w:w="2282" w:type="dxa"/>
            <w:gridSpan w:val="2"/>
          </w:tcPr>
          <w:p>
            <w:pPr>
              <w:pStyle w:val="nTable"/>
              <w:spacing w:after="40"/>
              <w:rPr>
                <w:sz w:val="19"/>
              </w:rPr>
            </w:pPr>
            <w:r>
              <w:rPr>
                <w:i/>
                <w:sz w:val="19"/>
              </w:rPr>
              <w:t>Sentencing (Consequential Provisions) Act 1995</w:t>
            </w:r>
            <w:r>
              <w:rPr>
                <w:sz w:val="19"/>
              </w:rPr>
              <w:t xml:space="preserve"> Pt. 48</w:t>
            </w:r>
          </w:p>
        </w:tc>
        <w:tc>
          <w:tcPr>
            <w:tcW w:w="1141"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2"/>
          <w:wAfter w:w="62" w:type="dxa"/>
          <w:cantSplit/>
        </w:trPr>
        <w:tc>
          <w:tcPr>
            <w:tcW w:w="2282" w:type="dxa"/>
            <w:gridSpan w:val="2"/>
          </w:tcPr>
          <w:p>
            <w:pPr>
              <w:pStyle w:val="nTable"/>
              <w:spacing w:after="40"/>
              <w:rPr>
                <w:sz w:val="19"/>
              </w:rPr>
            </w:pPr>
            <w:r>
              <w:rPr>
                <w:i/>
                <w:sz w:val="19"/>
              </w:rPr>
              <w:t>Litter Amendment Act 1996</w:t>
            </w:r>
          </w:p>
        </w:tc>
        <w:tc>
          <w:tcPr>
            <w:tcW w:w="1141" w:type="dxa"/>
          </w:tcPr>
          <w:p>
            <w:pPr>
              <w:pStyle w:val="nTable"/>
              <w:spacing w:after="40"/>
              <w:rPr>
                <w:sz w:val="19"/>
              </w:rPr>
            </w:pPr>
            <w:r>
              <w:rPr>
                <w:sz w:val="19"/>
              </w:rPr>
              <w:t>6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20 Jul 1996 (see s. 3 and </w:t>
            </w:r>
            <w:r>
              <w:rPr>
                <w:i/>
                <w:sz w:val="19"/>
              </w:rPr>
              <w:t>Gazette</w:t>
            </w:r>
            <w:r>
              <w:rPr>
                <w:sz w:val="19"/>
              </w:rPr>
              <w:t xml:space="preserve"> 19 Jul 1996 p. 3455)</w:t>
            </w:r>
          </w:p>
        </w:tc>
      </w:tr>
      <w:tr>
        <w:trPr>
          <w:gridAfter w:val="2"/>
          <w:wAfter w:w="62" w:type="dxa"/>
          <w:cantSplit/>
        </w:trPr>
        <w:tc>
          <w:tcPr>
            <w:tcW w:w="2282" w:type="dxa"/>
            <w:gridSpan w:val="2"/>
          </w:tcPr>
          <w:p>
            <w:pPr>
              <w:pStyle w:val="nTable"/>
              <w:spacing w:after="40"/>
              <w:rPr>
                <w:sz w:val="19"/>
              </w:rPr>
            </w:pPr>
            <w:r>
              <w:rPr>
                <w:i/>
                <w:sz w:val="19"/>
              </w:rPr>
              <w:t>Local Government (Consequential Amendments) Act 1996</w:t>
            </w:r>
            <w:r>
              <w:rPr>
                <w:sz w:val="19"/>
              </w:rPr>
              <w:t xml:space="preserve"> s. 4</w:t>
            </w:r>
          </w:p>
        </w:tc>
        <w:tc>
          <w:tcPr>
            <w:tcW w:w="1141"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gridAfter w:val="2"/>
          <w:wAfter w:w="62" w:type="dxa"/>
          <w:cantSplit/>
        </w:trPr>
        <w:tc>
          <w:tcPr>
            <w:tcW w:w="2282" w:type="dxa"/>
            <w:gridSpan w:val="2"/>
          </w:tcPr>
          <w:p>
            <w:pPr>
              <w:pStyle w:val="nTable"/>
              <w:spacing w:after="40"/>
              <w:rPr>
                <w:sz w:val="19"/>
              </w:rPr>
            </w:pPr>
            <w:r>
              <w:rPr>
                <w:i/>
                <w:sz w:val="19"/>
              </w:rPr>
              <w:t>Education Amendment Act 1996</w:t>
            </w:r>
            <w:r>
              <w:rPr>
                <w:sz w:val="19"/>
              </w:rPr>
              <w:t xml:space="preserve"> s. 16(7)</w:t>
            </w:r>
          </w:p>
        </w:tc>
        <w:tc>
          <w:tcPr>
            <w:tcW w:w="1141" w:type="dxa"/>
          </w:tcPr>
          <w:p>
            <w:pPr>
              <w:pStyle w:val="nTable"/>
              <w:spacing w:after="40"/>
              <w:rPr>
                <w:sz w:val="19"/>
              </w:rPr>
            </w:pPr>
            <w:r>
              <w:rPr>
                <w:sz w:val="19"/>
              </w:rPr>
              <w:t>22 of 1996</w:t>
            </w:r>
          </w:p>
        </w:tc>
        <w:tc>
          <w:tcPr>
            <w:tcW w:w="1136"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gridAfter w:val="2"/>
          <w:wAfter w:w="62" w:type="dxa"/>
          <w:cantSplit/>
        </w:trPr>
        <w:tc>
          <w:tcPr>
            <w:tcW w:w="2282" w:type="dxa"/>
            <w:gridSpan w:val="2"/>
          </w:tcPr>
          <w:p>
            <w:pPr>
              <w:pStyle w:val="nTable"/>
              <w:spacing w:after="40"/>
              <w:rPr>
                <w:sz w:val="19"/>
              </w:rPr>
            </w:pPr>
            <w:r>
              <w:rPr>
                <w:i/>
                <w:sz w:val="19"/>
              </w:rPr>
              <w:t>Financial Legislation Amendment Act 1996</w:t>
            </w:r>
            <w:r>
              <w:rPr>
                <w:sz w:val="19"/>
              </w:rPr>
              <w:t xml:space="preserve"> s. 57 and 64</w:t>
            </w:r>
          </w:p>
        </w:tc>
        <w:tc>
          <w:tcPr>
            <w:tcW w:w="1141"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Trustees Amendment Act 1997</w:t>
            </w:r>
            <w:r>
              <w:rPr>
                <w:sz w:val="19"/>
              </w:rPr>
              <w:t xml:space="preserve"> s. 18</w:t>
            </w:r>
          </w:p>
        </w:tc>
        <w:tc>
          <w:tcPr>
            <w:tcW w:w="1141"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gridAfter w:val="2"/>
          <w:wAfter w:w="62" w:type="dxa"/>
          <w:cantSplit/>
        </w:trPr>
        <w:tc>
          <w:tcPr>
            <w:tcW w:w="2282" w:type="dxa"/>
            <w:gridSpan w:val="2"/>
          </w:tcPr>
          <w:p>
            <w:pPr>
              <w:pStyle w:val="nTable"/>
              <w:spacing w:after="40"/>
              <w:rPr>
                <w:sz w:val="19"/>
              </w:rPr>
            </w:pPr>
            <w:r>
              <w:rPr>
                <w:i/>
                <w:sz w:val="19"/>
              </w:rPr>
              <w:t>Acts Amendment (Land Administration) Act 1997</w:t>
            </w:r>
            <w:r>
              <w:rPr>
                <w:sz w:val="19"/>
              </w:rPr>
              <w:t xml:space="preserve"> Pt. 39</w:t>
            </w:r>
          </w:p>
        </w:tc>
        <w:tc>
          <w:tcPr>
            <w:tcW w:w="1141"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2"/>
          <w:wAfter w:w="62" w:type="dxa"/>
          <w:cantSplit/>
        </w:trPr>
        <w:tc>
          <w:tcPr>
            <w:tcW w:w="2282" w:type="dxa"/>
            <w:gridSpan w:val="2"/>
          </w:tcPr>
          <w:p>
            <w:pPr>
              <w:pStyle w:val="nTable"/>
              <w:spacing w:after="40"/>
              <w:rPr>
                <w:sz w:val="19"/>
              </w:rPr>
            </w:pPr>
            <w:r>
              <w:rPr>
                <w:i/>
                <w:sz w:val="19"/>
              </w:rPr>
              <w:t>Statutes (Repeals and Minor Amendments) Act (No. 2) 1998</w:t>
            </w:r>
            <w:r>
              <w:rPr>
                <w:sz w:val="19"/>
              </w:rPr>
              <w:t xml:space="preserve"> s. 44</w:t>
            </w:r>
          </w:p>
        </w:tc>
        <w:tc>
          <w:tcPr>
            <w:tcW w:w="1141"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gridAfter w:val="2"/>
          <w:wAfter w:w="62" w:type="dxa"/>
          <w:cantSplit/>
        </w:trPr>
        <w:tc>
          <w:tcPr>
            <w:tcW w:w="2282"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41" w:type="dxa"/>
          </w:tcPr>
          <w:p>
            <w:pPr>
              <w:pStyle w:val="nTable"/>
              <w:spacing w:after="40"/>
              <w:rPr>
                <w:sz w:val="19"/>
              </w:rPr>
            </w:pPr>
            <w:r>
              <w:rPr>
                <w:sz w:val="19"/>
              </w:rPr>
              <w:t>42 of 1998</w:t>
            </w:r>
          </w:p>
        </w:tc>
        <w:tc>
          <w:tcPr>
            <w:tcW w:w="1136" w:type="dxa"/>
          </w:tcPr>
          <w:p>
            <w:pPr>
              <w:pStyle w:val="nTable"/>
              <w:spacing w:after="40"/>
              <w:rPr>
                <w:sz w:val="19"/>
              </w:rPr>
            </w:pPr>
            <w:r>
              <w:rPr>
                <w:sz w:val="19"/>
              </w:rPr>
              <w:t>4 Nov 1998</w:t>
            </w:r>
          </w:p>
        </w:tc>
        <w:tc>
          <w:tcPr>
            <w:tcW w:w="2553" w:type="dxa"/>
          </w:tcPr>
          <w:p>
            <w:pPr>
              <w:pStyle w:val="nTable"/>
              <w:spacing w:after="40"/>
              <w:rPr>
                <w:sz w:val="19"/>
              </w:rPr>
            </w:pPr>
            <w:r>
              <w:rPr>
                <w:sz w:val="19"/>
              </w:rPr>
              <w:t>1 Jan 1999 (see s. 2 and </w:t>
            </w:r>
            <w:r>
              <w:rPr>
                <w:i/>
                <w:sz w:val="19"/>
              </w:rPr>
              <w:t>Gazette</w:t>
            </w:r>
            <w:r>
              <w:rPr>
                <w:sz w:val="19"/>
              </w:rPr>
              <w:t xml:space="preserve"> 22 Dec 1998 p. 6833)</w:t>
            </w:r>
          </w:p>
        </w:tc>
      </w:tr>
      <w:tr>
        <w:trPr>
          <w:gridAfter w:val="2"/>
          <w:wAfter w:w="62" w:type="dxa"/>
          <w:cantSplit/>
        </w:trPr>
        <w:tc>
          <w:tcPr>
            <w:tcW w:w="7112" w:type="dxa"/>
            <w:gridSpan w:val="5"/>
          </w:tcPr>
          <w:p>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trPr>
          <w:gridAfter w:val="2"/>
          <w:wAfter w:w="62" w:type="dxa"/>
          <w:cantSplit/>
        </w:trPr>
        <w:tc>
          <w:tcPr>
            <w:tcW w:w="2282" w:type="dxa"/>
            <w:gridSpan w:val="2"/>
          </w:tcPr>
          <w:p>
            <w:pPr>
              <w:pStyle w:val="nTable"/>
              <w:spacing w:after="40"/>
              <w:rPr>
                <w:sz w:val="19"/>
              </w:rPr>
            </w:pPr>
            <w:r>
              <w:rPr>
                <w:i/>
                <w:sz w:val="19"/>
              </w:rPr>
              <w:t xml:space="preserve">School Education Act 1999 </w:t>
            </w:r>
            <w:r>
              <w:rPr>
                <w:sz w:val="19"/>
              </w:rPr>
              <w:t>s. 247</w:t>
            </w:r>
          </w:p>
        </w:tc>
        <w:tc>
          <w:tcPr>
            <w:tcW w:w="1141"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62" w:type="dxa"/>
          <w:cantSplit/>
        </w:trPr>
        <w:tc>
          <w:tcPr>
            <w:tcW w:w="2282" w:type="dxa"/>
            <w:gridSpan w:val="2"/>
          </w:tcPr>
          <w:p>
            <w:pPr>
              <w:pStyle w:val="nTable"/>
              <w:spacing w:after="40"/>
              <w:rPr>
                <w:i/>
                <w:sz w:val="19"/>
              </w:rPr>
            </w:pPr>
            <w:r>
              <w:rPr>
                <w:i/>
                <w:sz w:val="19"/>
              </w:rPr>
              <w:t xml:space="preserve">Environmental Protection Amendment Act 2003 </w:t>
            </w:r>
            <w:r>
              <w:rPr>
                <w:sz w:val="19"/>
              </w:rPr>
              <w:t>s. 68(4)</w:t>
            </w:r>
          </w:p>
        </w:tc>
        <w:tc>
          <w:tcPr>
            <w:tcW w:w="1141" w:type="dxa"/>
          </w:tcPr>
          <w:p>
            <w:pPr>
              <w:pStyle w:val="nTable"/>
              <w:spacing w:after="40"/>
              <w:rPr>
                <w:sz w:val="19"/>
              </w:rPr>
            </w:pPr>
            <w:r>
              <w:rPr>
                <w:sz w:val="19"/>
              </w:rPr>
              <w:t>54 of 2003</w:t>
            </w:r>
          </w:p>
        </w:tc>
        <w:tc>
          <w:tcPr>
            <w:tcW w:w="1136"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2"/>
          <w:wAfter w:w="62" w:type="dxa"/>
          <w:cantSplit/>
        </w:trPr>
        <w:tc>
          <w:tcPr>
            <w:tcW w:w="2282" w:type="dxa"/>
            <w:gridSpan w:val="2"/>
          </w:tcPr>
          <w:p>
            <w:pPr>
              <w:pStyle w:val="nTable"/>
              <w:spacing w:after="40"/>
              <w:rPr>
                <w:i/>
                <w:sz w:val="19"/>
              </w:rPr>
            </w:pPr>
            <w:r>
              <w:rPr>
                <w:i/>
                <w:sz w:val="19"/>
              </w:rPr>
              <w:t xml:space="preserve">Local Government Amendment Act 2004 </w:t>
            </w:r>
            <w:r>
              <w:rPr>
                <w:sz w:val="19"/>
              </w:rPr>
              <w:t>s. 13</w:t>
            </w:r>
          </w:p>
        </w:tc>
        <w:tc>
          <w:tcPr>
            <w:tcW w:w="1141" w:type="dxa"/>
          </w:tcPr>
          <w:p>
            <w:pPr>
              <w:pStyle w:val="nTable"/>
              <w:spacing w:after="40"/>
              <w:rPr>
                <w:sz w:val="19"/>
              </w:rPr>
            </w:pPr>
            <w:r>
              <w:rPr>
                <w:snapToGrid w:val="0"/>
                <w:sz w:val="19"/>
              </w:rPr>
              <w:t>49 of 2004</w:t>
            </w:r>
          </w:p>
        </w:tc>
        <w:tc>
          <w:tcPr>
            <w:tcW w:w="1136"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sz w:val="19"/>
              </w:rPr>
              <w:t>Gazette</w:t>
            </w:r>
            <w:r>
              <w:rPr>
                <w:sz w:val="19"/>
              </w:rPr>
              <w:t xml:space="preserve"> 31 Mar 2005 p. 1029)</w:t>
            </w:r>
          </w:p>
        </w:tc>
      </w:tr>
      <w:tr>
        <w:trPr>
          <w:gridAfter w:val="2"/>
          <w:wAfter w:w="62" w:type="dxa"/>
          <w:cantSplit/>
        </w:trPr>
        <w:tc>
          <w:tcPr>
            <w:tcW w:w="2282"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pPr>
              <w:pStyle w:val="nTable"/>
              <w:spacing w:after="40"/>
              <w:rPr>
                <w:snapToGrid w:val="0"/>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53"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62" w:type="dxa"/>
          <w:cantSplit/>
        </w:trPr>
        <w:tc>
          <w:tcPr>
            <w:tcW w:w="2282" w:type="dxa"/>
            <w:gridSpan w:val="2"/>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12" w:type="dxa"/>
        </w:trPr>
        <w:tc>
          <w:tcPr>
            <w:tcW w:w="2270"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615"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615" w:type="dxa"/>
            <w:gridSpan w:val="3"/>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12" w:type="dxa"/>
          <w:cantSplit/>
        </w:trPr>
        <w:tc>
          <w:tcPr>
            <w:tcW w:w="7162" w:type="dxa"/>
            <w:gridSpan w:val="6"/>
          </w:tcPr>
          <w:p>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trPr>
          <w:gridBefore w:val="1"/>
          <w:wBefore w:w="12" w:type="dxa"/>
          <w:cantSplit/>
        </w:trPr>
        <w:tc>
          <w:tcPr>
            <w:tcW w:w="2270" w:type="dxa"/>
          </w:tcPr>
          <w:p>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615" w:type="dxa"/>
            <w:gridSpan w:val="3"/>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gridBefore w:val="1"/>
          <w:wBefore w:w="12" w:type="dxa"/>
          <w:cantSplit/>
        </w:trPr>
        <w:tc>
          <w:tcPr>
            <w:tcW w:w="2270" w:type="dxa"/>
          </w:tcPr>
          <w:p>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5" w:type="dxa"/>
            <w:gridSpan w:val="3"/>
          </w:tcPr>
          <w:p>
            <w:pPr>
              <w:pStyle w:val="nTable"/>
              <w:spacing w:after="40"/>
              <w:rPr>
                <w:sz w:val="19"/>
              </w:rPr>
            </w:pPr>
            <w:r>
              <w:rPr>
                <w:sz w:val="19"/>
              </w:rPr>
              <w:t>22 May 2009 (see s. 2(b))</w:t>
            </w:r>
          </w:p>
        </w:tc>
      </w:tr>
      <w:tr>
        <w:trPr>
          <w:gridAfter w:val="1"/>
          <w:wAfter w:w="14" w:type="dxa"/>
          <w:cantSplit/>
        </w:trPr>
        <w:tc>
          <w:tcPr>
            <w:tcW w:w="2282"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601" w:type="dxa"/>
            <w:gridSpan w:val="2"/>
          </w:tcPr>
          <w:p>
            <w:pPr>
              <w:pStyle w:val="nTable"/>
              <w:spacing w:after="40"/>
              <w:rPr>
                <w:sz w:val="19"/>
              </w:rPr>
            </w:pPr>
            <w:r>
              <w:rPr>
                <w:sz w:val="19"/>
              </w:rPr>
              <w:t>17 Sep 2009 (see s. 2(b))</w:t>
            </w:r>
          </w:p>
        </w:tc>
      </w:tr>
    </w:tbl>
    <w:p>
      <w:pPr>
        <w:pStyle w:val="nSubsection"/>
        <w:ind w:left="0" w:firstLine="0"/>
        <w:rPr>
          <w:del w:id="486" w:author="svcMRProcess" w:date="2015-12-08T11:56:00Z"/>
          <w:snapToGrid w:val="0"/>
          <w:vertAlign w:val="superscript"/>
        </w:rPr>
      </w:pPr>
    </w:p>
    <w:p>
      <w:pPr>
        <w:pStyle w:val="nSubsection"/>
        <w:tabs>
          <w:tab w:val="clear" w:pos="454"/>
          <w:tab w:val="left" w:pos="567"/>
        </w:tabs>
        <w:spacing w:before="120"/>
        <w:ind w:left="567" w:hanging="567"/>
        <w:rPr>
          <w:del w:id="487" w:author="svcMRProcess" w:date="2015-12-08T11:56:00Z"/>
          <w:snapToGrid w:val="0"/>
        </w:rPr>
      </w:pPr>
      <w:del w:id="488" w:author="svcMRProcess" w:date="2015-12-08T11:5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89" w:author="svcMRProcess" w:date="2015-12-08T11:56:00Z"/>
        </w:rPr>
      </w:pPr>
      <w:bookmarkStart w:id="490" w:name="_Toc7405065"/>
      <w:del w:id="491" w:author="svcMRProcess" w:date="2015-12-08T11:56:00Z">
        <w:r>
          <w:delText>Provisions that have not come into operation</w:delText>
        </w:r>
        <w:bookmarkEnd w:id="490"/>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48"/>
        <w:gridCol w:w="1125"/>
        <w:gridCol w:w="1120"/>
        <w:gridCol w:w="2562"/>
      </w:tblGrid>
      <w:tr>
        <w:trPr>
          <w:del w:id="492" w:author="svcMRProcess" w:date="2015-12-08T11:56:00Z"/>
        </w:trPr>
        <w:tc>
          <w:tcPr>
            <w:tcW w:w="2266" w:type="dxa"/>
          </w:tcPr>
          <w:p>
            <w:pPr>
              <w:pStyle w:val="nTable"/>
              <w:spacing w:after="40"/>
              <w:rPr>
                <w:del w:id="493" w:author="svcMRProcess" w:date="2015-12-08T11:56:00Z"/>
                <w:b/>
                <w:snapToGrid w:val="0"/>
                <w:sz w:val="19"/>
                <w:lang w:val="en-US"/>
              </w:rPr>
            </w:pPr>
            <w:del w:id="494" w:author="svcMRProcess" w:date="2015-12-08T11:56:00Z">
              <w:r>
                <w:rPr>
                  <w:b/>
                  <w:snapToGrid w:val="0"/>
                  <w:sz w:val="19"/>
                  <w:lang w:val="en-US"/>
                </w:rPr>
                <w:delText>Short title</w:delText>
              </w:r>
            </w:del>
          </w:p>
        </w:tc>
        <w:tc>
          <w:tcPr>
            <w:tcW w:w="1120" w:type="dxa"/>
          </w:tcPr>
          <w:p>
            <w:pPr>
              <w:pStyle w:val="nTable"/>
              <w:spacing w:after="40"/>
              <w:rPr>
                <w:del w:id="495" w:author="svcMRProcess" w:date="2015-12-08T11:56:00Z"/>
                <w:b/>
                <w:snapToGrid w:val="0"/>
                <w:sz w:val="19"/>
                <w:lang w:val="en-US"/>
              </w:rPr>
            </w:pPr>
            <w:del w:id="496" w:author="svcMRProcess" w:date="2015-12-08T11:56:00Z">
              <w:r>
                <w:rPr>
                  <w:b/>
                  <w:snapToGrid w:val="0"/>
                  <w:sz w:val="19"/>
                  <w:lang w:val="en-US"/>
                </w:rPr>
                <w:delText>Number and year</w:delText>
              </w:r>
            </w:del>
          </w:p>
        </w:tc>
        <w:tc>
          <w:tcPr>
            <w:tcW w:w="1135" w:type="dxa"/>
          </w:tcPr>
          <w:p>
            <w:pPr>
              <w:pStyle w:val="nTable"/>
              <w:spacing w:after="40"/>
              <w:rPr>
                <w:del w:id="497" w:author="svcMRProcess" w:date="2015-12-08T11:56:00Z"/>
                <w:b/>
                <w:snapToGrid w:val="0"/>
                <w:sz w:val="19"/>
                <w:lang w:val="en-US"/>
              </w:rPr>
            </w:pPr>
            <w:del w:id="498" w:author="svcMRProcess" w:date="2015-12-08T11:56:00Z">
              <w:r>
                <w:rPr>
                  <w:b/>
                  <w:snapToGrid w:val="0"/>
                  <w:sz w:val="19"/>
                  <w:lang w:val="en-US"/>
                </w:rPr>
                <w:delText>Assent</w:delText>
              </w:r>
            </w:del>
          </w:p>
        </w:tc>
        <w:tc>
          <w:tcPr>
            <w:tcW w:w="2534" w:type="dxa"/>
          </w:tcPr>
          <w:p>
            <w:pPr>
              <w:pStyle w:val="nTable"/>
              <w:spacing w:after="40"/>
              <w:rPr>
                <w:del w:id="499" w:author="svcMRProcess" w:date="2015-12-08T11:56:00Z"/>
                <w:b/>
                <w:snapToGrid w:val="0"/>
                <w:sz w:val="19"/>
                <w:lang w:val="en-US"/>
              </w:rPr>
            </w:pPr>
            <w:del w:id="500" w:author="svcMRProcess" w:date="2015-12-08T11:56: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82"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w:t>
            </w:r>
            <w:del w:id="501" w:author="svcMRProcess" w:date="2015-12-08T11:56:00Z">
              <w:r>
                <w:rPr>
                  <w:iCs/>
                  <w:snapToGrid w:val="0"/>
                  <w:sz w:val="19"/>
                  <w:lang w:val="en-US"/>
                </w:rPr>
                <w:delText>4</w:delText>
              </w:r>
              <w:r>
                <w:rPr>
                  <w:iCs/>
                  <w:snapToGrid w:val="0"/>
                  <w:sz w:val="19"/>
                  <w:vertAlign w:val="superscript"/>
                  <w:lang w:val="en-US"/>
                </w:rPr>
                <w:delText> </w:delText>
              </w:r>
            </w:del>
            <w:r>
              <w:rPr>
                <w:iCs/>
                <w:snapToGrid w:val="0"/>
                <w:sz w:val="19"/>
                <w:lang w:val="en-US"/>
              </w:rPr>
              <w:t>4</w:t>
            </w:r>
          </w:p>
        </w:tc>
        <w:tc>
          <w:tcPr>
            <w:tcW w:w="1141"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01" w:type="dxa"/>
            <w:tcBorders>
              <w:bottom w:val="single" w:sz="4" w:space="0" w:color="auto"/>
            </w:tcBorders>
          </w:tcPr>
          <w:p>
            <w:pPr>
              <w:pStyle w:val="nTable"/>
              <w:spacing w:after="40"/>
              <w:rPr>
                <w:snapToGrid w:val="0"/>
                <w:sz w:val="19"/>
                <w:lang w:val="en-US"/>
              </w:rPr>
            </w:pPr>
            <w:del w:id="502" w:author="svcMRProcess" w:date="2015-12-08T11:56:00Z">
              <w:r>
                <w:rPr>
                  <w:snapToGrid w:val="0"/>
                  <w:sz w:val="19"/>
                  <w:lang w:val="en-US"/>
                </w:rPr>
                <w:delText>To be proclaimed</w:delText>
              </w:r>
            </w:del>
            <w:ins w:id="503" w:author="svcMRProcess" w:date="2015-12-08T11:56:00Z">
              <w:r>
                <w:rPr>
                  <w:snapToGrid w:val="0"/>
                  <w:sz w:val="19"/>
                  <w:lang w:val="en-US"/>
                </w:rPr>
                <w:t>11 Sep 2010</w:t>
              </w:r>
            </w:ins>
            <w:r>
              <w:rPr>
                <w:snapToGrid w:val="0"/>
                <w:sz w:val="19"/>
                <w:lang w:val="en-US"/>
              </w:rPr>
              <w:t xml:space="preserve"> (see s. 2(b</w:t>
            </w:r>
            <w:del w:id="504" w:author="svcMRProcess" w:date="2015-12-08T11:56:00Z">
              <w:r>
                <w:rPr>
                  <w:snapToGrid w:val="0"/>
                  <w:sz w:val="19"/>
                  <w:lang w:val="en-US"/>
                </w:rPr>
                <w:delText>))</w:delText>
              </w:r>
            </w:del>
            <w:ins w:id="505" w:author="svcMRProcess" w:date="2015-12-08T11:56: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ind w:left="0" w:firstLine="0"/>
        <w:rPr>
          <w:del w:id="506" w:author="svcMRProcess" w:date="2015-12-08T11:56:00Z"/>
          <w:snapToGrid w:val="0"/>
          <w:vertAlign w:val="superscript"/>
        </w:rPr>
      </w:pPr>
    </w:p>
    <w:p>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tabs>
          <w:tab w:val="clear" w:pos="454"/>
          <w:tab w:val="left" w:pos="567"/>
        </w:tabs>
        <w:spacing w:before="120"/>
        <w:ind w:left="567" w:hanging="567"/>
        <w:rPr>
          <w:del w:id="507" w:author="svcMRProcess" w:date="2015-12-08T11:56:00Z"/>
          <w:snapToGrid w:val="0"/>
        </w:rPr>
      </w:pPr>
      <w:del w:id="508" w:author="svcMRProcess" w:date="2015-12-08T11:56: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509" w:author="svcMRProcess" w:date="2015-12-08T11:56:00Z"/>
        </w:rPr>
      </w:pPr>
    </w:p>
    <w:p>
      <w:pPr>
        <w:pStyle w:val="nzHeading5"/>
        <w:rPr>
          <w:del w:id="510" w:author="svcMRProcess" w:date="2015-12-08T11:56:00Z"/>
          <w:rFonts w:eastAsia="MS Mincho"/>
        </w:rPr>
      </w:pPr>
      <w:bookmarkStart w:id="511" w:name="_Toc233107675"/>
      <w:bookmarkStart w:id="512" w:name="_Toc255473698"/>
      <w:bookmarkStart w:id="513" w:name="_Toc265583753"/>
      <w:del w:id="514" w:author="svcMRProcess" w:date="2015-12-08T11:56:00Z">
        <w:r>
          <w:rPr>
            <w:rStyle w:val="CharSectno"/>
            <w:rFonts w:eastAsia="MS Mincho"/>
          </w:rPr>
          <w:delText>4</w:delText>
        </w:r>
        <w:r>
          <w:rPr>
            <w:rFonts w:eastAsia="MS Mincho"/>
          </w:rPr>
          <w:delText>.</w:delText>
        </w:r>
        <w:r>
          <w:rPr>
            <w:rFonts w:eastAsia="MS Mincho"/>
          </w:rPr>
          <w:tab/>
          <w:delText>Schedule headings reformatted</w:delText>
        </w:r>
        <w:bookmarkEnd w:id="511"/>
        <w:bookmarkEnd w:id="512"/>
        <w:bookmarkEnd w:id="513"/>
      </w:del>
    </w:p>
    <w:p>
      <w:pPr>
        <w:pStyle w:val="nzSubsection"/>
        <w:rPr>
          <w:del w:id="515" w:author="svcMRProcess" w:date="2015-12-08T11:56:00Z"/>
          <w:rFonts w:eastAsia="MS Mincho"/>
        </w:rPr>
      </w:pPr>
      <w:del w:id="516" w:author="svcMRProcess" w:date="2015-12-08T11:56:00Z">
        <w:r>
          <w:rPr>
            <w:rFonts w:eastAsia="MS Mincho"/>
          </w:rPr>
          <w:tab/>
          <w:delText>(1)</w:delText>
        </w:r>
        <w:r>
          <w:rPr>
            <w:rFonts w:eastAsia="MS Mincho"/>
          </w:rPr>
          <w:tab/>
          <w:delText>This section amends the Acts listed in the Table.</w:delText>
        </w:r>
      </w:del>
    </w:p>
    <w:p>
      <w:pPr>
        <w:pStyle w:val="nzSubsection"/>
        <w:rPr>
          <w:del w:id="517" w:author="svcMRProcess" w:date="2015-12-08T11:56:00Z"/>
        </w:rPr>
      </w:pPr>
      <w:del w:id="518" w:author="svcMRProcess" w:date="2015-12-08T11:56:00Z">
        <w:r>
          <w:rPr>
            <w:rFonts w:eastAsia="MS Mincho"/>
          </w:rPr>
          <w:tab/>
          <w:delText>(2)</w:delText>
        </w:r>
        <w:r>
          <w:rPr>
            <w:rFonts w:eastAsia="MS Mincho"/>
          </w:rPr>
          <w:tab/>
          <w:delText>In each Schedule listed in the Table:</w:delText>
        </w:r>
      </w:del>
    </w:p>
    <w:p>
      <w:pPr>
        <w:pStyle w:val="nzIndenta"/>
        <w:rPr>
          <w:del w:id="519" w:author="svcMRProcess" w:date="2015-12-08T11:56:00Z"/>
        </w:rPr>
      </w:pPr>
      <w:del w:id="520" w:author="svcMRProcess" w:date="2015-12-08T11:56:00Z">
        <w:r>
          <w:tab/>
          <w:delText>(a)</w:delText>
        </w:r>
        <w:r>
          <w:tab/>
          <w:delText>if there is a title set out in the Table for the Schedule — after the identifier for the Schedule insert that title;</w:delText>
        </w:r>
      </w:del>
    </w:p>
    <w:p>
      <w:pPr>
        <w:pStyle w:val="nzIndenta"/>
        <w:rPr>
          <w:del w:id="521" w:author="svcMRProcess" w:date="2015-12-08T11:56:00Z"/>
        </w:rPr>
      </w:pPr>
      <w:del w:id="522" w:author="svcMRProcess" w:date="2015-12-08T11:56:00Z">
        <w:r>
          <w:tab/>
          <w:delText>(b)</w:delText>
        </w:r>
        <w:r>
          <w:tab/>
          <w:delText>if there is a shoulder note set out in the Table for the Schedule — at the end of the heading to the Schedule insert that shoulder note;</w:delText>
        </w:r>
      </w:del>
    </w:p>
    <w:p>
      <w:pPr>
        <w:pStyle w:val="nzIndenta"/>
        <w:rPr>
          <w:del w:id="523" w:author="svcMRProcess" w:date="2015-12-08T11:56:00Z"/>
        </w:rPr>
      </w:pPr>
      <w:del w:id="524" w:author="svcMRProcess" w:date="2015-12-08T11:56: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525" w:author="svcMRProcess" w:date="2015-12-08T11:56: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26" w:author="svcMRProcess" w:date="2015-12-08T11:56:00Z"/>
                <w:rFonts w:eastAsia="MS Mincho"/>
                <w:b/>
                <w:bCs/>
                <w:sz w:val="18"/>
              </w:rPr>
            </w:pPr>
            <w:del w:id="527" w:author="svcMRProcess" w:date="2015-12-08T11:56: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528" w:author="svcMRProcess" w:date="2015-12-08T11:56:00Z"/>
                <w:b/>
                <w:bCs/>
                <w:sz w:val="18"/>
              </w:rPr>
            </w:pPr>
            <w:del w:id="529" w:author="svcMRProcess" w:date="2015-12-08T11:56: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530" w:author="svcMRProcess" w:date="2015-12-08T11:56:00Z"/>
                <w:b/>
                <w:bCs/>
                <w:sz w:val="18"/>
              </w:rPr>
            </w:pPr>
            <w:del w:id="531" w:author="svcMRProcess" w:date="2015-12-08T11:56: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532" w:author="svcMRProcess" w:date="2015-12-08T11:56:00Z"/>
                <w:b/>
                <w:bCs/>
                <w:sz w:val="18"/>
              </w:rPr>
            </w:pPr>
            <w:del w:id="533" w:author="svcMRProcess" w:date="2015-12-08T11:56:00Z">
              <w:r>
                <w:rPr>
                  <w:b/>
                  <w:bCs/>
                  <w:sz w:val="18"/>
                </w:rPr>
                <w:delText>Shoulder note</w:delText>
              </w:r>
            </w:del>
          </w:p>
        </w:tc>
      </w:tr>
      <w:tr>
        <w:trPr>
          <w:cantSplit/>
          <w:del w:id="534" w:author="svcMRProcess" w:date="2015-12-08T11:56: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535" w:author="svcMRProcess" w:date="2015-12-08T11:56:00Z"/>
                <w:rFonts w:eastAsia="MS Mincho"/>
                <w:i/>
                <w:iCs/>
                <w:sz w:val="18"/>
              </w:rPr>
            </w:pPr>
            <w:del w:id="536" w:author="svcMRProcess" w:date="2015-12-08T11:56:00Z">
              <w:r>
                <w:rPr>
                  <w:rFonts w:eastAsia="MS Mincho"/>
                  <w:i/>
                  <w:iCs/>
                  <w:sz w:val="18"/>
                </w:rPr>
                <w:delText>Litter Act 1979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37" w:author="svcMRProcess" w:date="2015-12-08T11:56:00Z"/>
                <w:rFonts w:eastAsia="MS Mincho"/>
                <w:sz w:val="18"/>
              </w:rPr>
            </w:pPr>
            <w:del w:id="538" w:author="svcMRProcess" w:date="2015-12-08T11:56:00Z">
              <w:r>
                <w:rPr>
                  <w:rFonts w:eastAsia="MS Mincho"/>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39" w:author="svcMRProcess" w:date="2015-12-08T11:5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40" w:author="svcMRProcess" w:date="2015-12-08T11:56:00Z"/>
                <w:rFonts w:eastAsia="MS Mincho"/>
                <w:sz w:val="18"/>
              </w:rPr>
            </w:pPr>
          </w:p>
        </w:tc>
      </w:tr>
      <w:tr>
        <w:trPr>
          <w:cantSplit/>
          <w:del w:id="541" w:author="svcMRProcess" w:date="2015-12-08T11:5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42" w:author="svcMRProcess" w:date="2015-12-08T11:5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43" w:author="svcMRProcess" w:date="2015-12-08T11:56:00Z"/>
                <w:rFonts w:eastAsia="MS Mincho"/>
                <w:sz w:val="18"/>
              </w:rPr>
            </w:pPr>
            <w:del w:id="544" w:author="svcMRProcess" w:date="2015-12-08T11:56:00Z">
              <w:r>
                <w:rPr>
                  <w:rFonts w:eastAsia="MS Mincho"/>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45" w:author="svcMRProcess" w:date="2015-12-08T11:5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46" w:author="svcMRProcess" w:date="2015-12-08T11:56:00Z"/>
                <w:rFonts w:eastAsia="MS Mincho"/>
                <w:sz w:val="18"/>
              </w:rPr>
            </w:pPr>
          </w:p>
        </w:tc>
      </w:tr>
      <w:tr>
        <w:trPr>
          <w:cantSplit/>
          <w:del w:id="547" w:author="svcMRProcess" w:date="2015-12-08T11:56: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548" w:author="svcMRProcess" w:date="2015-12-08T11:56: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549" w:author="svcMRProcess" w:date="2015-12-08T11:56:00Z"/>
                <w:rFonts w:eastAsia="MS Mincho"/>
                <w:sz w:val="18"/>
              </w:rPr>
            </w:pPr>
            <w:del w:id="550" w:author="svcMRProcess" w:date="2015-12-08T11:56:00Z">
              <w:r>
                <w:rPr>
                  <w:rFonts w:eastAsia="MS Mincho"/>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551" w:author="svcMRProcess" w:date="2015-12-08T11:56: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552" w:author="svcMRProcess" w:date="2015-12-08T11:56:00Z"/>
                <w:rFonts w:eastAsia="MS Mincho"/>
                <w:sz w:val="18"/>
              </w:rPr>
            </w:pPr>
          </w:p>
        </w:tc>
      </w:tr>
    </w:tbl>
    <w:p>
      <w:pPr>
        <w:pStyle w:val="BlankClose"/>
        <w:rPr>
          <w:del w:id="553" w:author="svcMRProcess" w:date="2015-12-08T11:5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915" w:type="dxa"/>
        </w:tcPr>
        <w:p>
          <w:pPr>
            <w:pStyle w:val="HeaderNumberLeft"/>
            <w:rPr>
              <w:b w:val="0"/>
            </w:rPr>
          </w:pPr>
          <w:fldSimple w:instr=" styleref CharSchno ">
            <w:r>
              <w:rPr>
                <w:noProof/>
              </w:rPr>
              <w:t>First Schedule</w:t>
            </w:r>
          </w:fldSimple>
        </w:p>
      </w:tc>
      <w:tc>
        <w:tcPr>
          <w:tcW w:w="5348" w:type="dxa"/>
        </w:tcPr>
        <w:p>
          <w:pPr>
            <w:pStyle w:val="HeaderTextLeft"/>
          </w:pPr>
          <w:fldSimple w:instr=" styleref CharSchText ">
            <w:r>
              <w:rPr>
                <w:noProof/>
              </w:rPr>
              <w:t>Provisions relating to the constitution and proceedings of the Council</w:t>
            </w:r>
          </w:fldSimple>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317" w:type="dxa"/>
          <w:vAlign w:val="bottom"/>
        </w:tcPr>
        <w:p>
          <w:pPr>
            <w:pStyle w:val="HeaderTextRight"/>
          </w:pPr>
          <w:fldSimple w:instr=" styleref CharSchText ">
            <w:r>
              <w:rPr>
                <w:noProof/>
              </w:rPr>
              <w:t>Provisions relating to the constitution and proceedings of the Council</w:t>
            </w:r>
          </w:fldSimple>
        </w:p>
      </w:tc>
      <w:tc>
        <w:tcPr>
          <w:tcW w:w="1946" w:type="dxa"/>
        </w:tcPr>
        <w:p>
          <w:pPr>
            <w:pStyle w:val="HeaderNumberRight"/>
            <w:ind w:right="17"/>
          </w:pPr>
          <w:fldSimple w:instr=" styleref CharSchno ">
            <w:r>
              <w:rPr>
                <w:noProof/>
              </w:rPr>
              <w:t>First Schedule</w:t>
            </w:r>
          </w:fldSimple>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Litter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Litter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Litter Act 1979</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Litter Act 1979</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Litter Act 1979</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Litter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Litter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1532"/>
    <w:docVar w:name="WAFER_20151207141532" w:val="RemoveTrackChanges"/>
    <w:docVar w:name="WAFER_20151207141532_GUID" w:val="b396c4dc-163a-4778-8871-f2c233cdea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11404</Words>
  <Characters>52687</Characters>
  <Application>Microsoft Office Word</Application>
  <DocSecurity>0</DocSecurity>
  <Lines>1505</Lines>
  <Paragraphs>745</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
  <LinksUpToDate>false</LinksUpToDate>
  <CharactersWithSpaces>63346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04-e0-01 - 04-f0-02</dc:title>
  <dc:subject/>
  <dc:creator/>
  <cp:keywords/>
  <dc:description/>
  <cp:lastModifiedBy>svcMRProcess</cp:lastModifiedBy>
  <cp:revision>2</cp:revision>
  <cp:lastPrinted>2006-08-29T01:57:00Z</cp:lastPrinted>
  <dcterms:created xsi:type="dcterms:W3CDTF">2015-12-08T03:56:00Z</dcterms:created>
  <dcterms:modified xsi:type="dcterms:W3CDTF">2015-12-08T03:56:00Z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463</vt:i4>
  </property>
  <property fmtid="{D5CDD505-2E9C-101B-9397-08002B2CF9AE}" pid="6" name="FromSuffix">
    <vt:lpwstr>04-e0-01</vt:lpwstr>
  </property>
  <property fmtid="{D5CDD505-2E9C-101B-9397-08002B2CF9AE}" pid="7" name="FromAsAtDate">
    <vt:lpwstr>28 Jun 2010</vt:lpwstr>
  </property>
  <property fmtid="{D5CDD505-2E9C-101B-9397-08002B2CF9AE}" pid="8" name="ToSuffix">
    <vt:lpwstr>04-f0-02</vt:lpwstr>
  </property>
  <property fmtid="{D5CDD505-2E9C-101B-9397-08002B2CF9AE}" pid="9" name="ToAsAtDate">
    <vt:lpwstr>11 Sep 2010</vt:lpwstr>
  </property>
</Properties>
</file>