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 Kambalda Railway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West Kambalda Railway Act 1972 </w:t>
      </w:r>
    </w:p>
    <w:p>
      <w:pPr>
        <w:pStyle w:val="LongTitle"/>
        <w:rPr>
          <w:snapToGrid w:val="0"/>
        </w:rPr>
      </w:pPr>
      <w:r>
        <w:rPr>
          <w:snapToGrid w:val="0"/>
        </w:rPr>
        <w:t>A</w:t>
      </w:r>
      <w:bookmarkStart w:id="1" w:name="_GoBack"/>
      <w:bookmarkEnd w:id="1"/>
      <w:r>
        <w:rPr>
          <w:snapToGrid w:val="0"/>
        </w:rPr>
        <w:t>n Act to authorise the construction of a spur railway from the West Kalgoorlie</w:t>
      </w:r>
      <w:r>
        <w:rPr>
          <w:snapToGrid w:val="0"/>
        </w:rPr>
        <w:noBreakHyphen/>
        <w:t xml:space="preserve">Lake Lefroy Railway to the Western Mining Corporation Limited mine site at West Kambalda. </w:t>
      </w:r>
    </w:p>
    <w:p>
      <w:pPr>
        <w:pStyle w:val="Heading5"/>
        <w:rPr>
          <w:snapToGrid w:val="0"/>
        </w:rPr>
      </w:pPr>
      <w:bookmarkStart w:id="2" w:name="_Toc379277895"/>
      <w:bookmarkStart w:id="3" w:name="_Toc424568071"/>
      <w:bookmarkStart w:id="4" w:name="_Toc101066540"/>
      <w:bookmarkStart w:id="5" w:name="_Toc267923069"/>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 Kambalda Railway Act 1972 </w:t>
      </w:r>
      <w:r>
        <w:rPr>
          <w:snapToGrid w:val="0"/>
          <w:vertAlign w:val="superscript"/>
        </w:rPr>
        <w:t>1</w:t>
      </w:r>
      <w:r>
        <w:rPr>
          <w:snapToGrid w:val="0"/>
        </w:rPr>
        <w:t>.</w:t>
      </w:r>
    </w:p>
    <w:p>
      <w:pPr>
        <w:pStyle w:val="Heading5"/>
        <w:rPr>
          <w:snapToGrid w:val="0"/>
        </w:rPr>
      </w:pPr>
      <w:bookmarkStart w:id="6" w:name="_Toc379277896"/>
      <w:bookmarkStart w:id="7" w:name="_Toc424568072"/>
      <w:bookmarkStart w:id="8" w:name="_Toc101066541"/>
      <w:bookmarkStart w:id="9" w:name="_Toc267923070"/>
      <w:r>
        <w:rPr>
          <w:rStyle w:val="CharSectno"/>
        </w:rPr>
        <w:t>2</w:t>
      </w:r>
      <w:r>
        <w:rPr>
          <w:snapToGrid w:val="0"/>
        </w:rPr>
        <w:t>.</w:t>
      </w:r>
      <w:r>
        <w:rPr>
          <w:snapToGrid w:val="0"/>
        </w:rPr>
        <w:tab/>
        <w:t>Authority to construct railway</w:t>
      </w:r>
      <w:bookmarkEnd w:id="6"/>
      <w:bookmarkEnd w:id="7"/>
      <w:bookmarkEnd w:id="8"/>
      <w:bookmarkEnd w:id="9"/>
      <w:r>
        <w:rPr>
          <w:snapToGrid w:val="0"/>
        </w:rPr>
        <w:t xml:space="preserve"> </w:t>
      </w:r>
    </w:p>
    <w:p>
      <w:pPr>
        <w:pStyle w:val="Subsection"/>
        <w:rPr>
          <w:snapToGrid w:val="0"/>
        </w:rPr>
      </w:pPr>
      <w:r>
        <w:rPr>
          <w:snapToGrid w:val="0"/>
        </w:rPr>
        <w:tab/>
      </w:r>
      <w:r>
        <w:rPr>
          <w:snapToGrid w:val="0"/>
        </w:rPr>
        <w:tab/>
        <w:t>It shall be lawful to construct and maintain the railway, with all necessary, proper and usual works and conveniences in connection therewith, along the line described in the Schedule.</w:t>
      </w:r>
    </w:p>
    <w:p>
      <w:pPr>
        <w:pStyle w:val="Heading5"/>
        <w:rPr>
          <w:snapToGrid w:val="0"/>
        </w:rPr>
      </w:pPr>
      <w:bookmarkStart w:id="10" w:name="_Toc379277897"/>
      <w:bookmarkStart w:id="11" w:name="_Toc424568073"/>
      <w:bookmarkStart w:id="12" w:name="_Toc101066542"/>
      <w:bookmarkStart w:id="13" w:name="_Toc267923071"/>
      <w:r>
        <w:rPr>
          <w:rStyle w:val="CharSectno"/>
        </w:rPr>
        <w:t>3</w:t>
      </w:r>
      <w:r>
        <w:rPr>
          <w:snapToGrid w:val="0"/>
        </w:rPr>
        <w:t>.</w:t>
      </w:r>
      <w:r>
        <w:rPr>
          <w:snapToGrid w:val="0"/>
        </w:rPr>
        <w:tab/>
        <w:t>Authority to deviate</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Notwithstanding anything contained in the </w:t>
      </w:r>
      <w:r>
        <w:rPr>
          <w:i/>
          <w:snapToGrid w:val="0"/>
        </w:rPr>
        <w:t>Public Works Act 1902 </w:t>
      </w:r>
      <w:r>
        <w:rPr>
          <w:snapToGrid w:val="0"/>
        </w:rPr>
        <w:t>it shall be lawful to deviate from the line as described in the Schedule to the extent of 2 miles on either side thereof.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4" w:name="_Toc101066543"/>
      <w:bookmarkStart w:id="15" w:name="_Toc267918338"/>
      <w:bookmarkStart w:id="16" w:name="_Toc267918447"/>
      <w:bookmarkStart w:id="17" w:name="_Toc267923072"/>
      <w:bookmarkStart w:id="18" w:name="_Toc379277898"/>
      <w:bookmarkStart w:id="19" w:name="_Toc424568074"/>
      <w:r>
        <w:rPr>
          <w:rStyle w:val="CharSchNo"/>
        </w:rPr>
        <w:lastRenderedPageBreak/>
        <w:t>Schedule</w:t>
      </w:r>
      <w:bookmarkEnd w:id="14"/>
      <w:bookmarkEnd w:id="15"/>
      <w:bookmarkEnd w:id="16"/>
      <w:bookmarkEnd w:id="17"/>
      <w:ins w:id="20" w:author="svcMRProcess" w:date="2019-01-25T13:01:00Z">
        <w:r>
          <w:t xml:space="preserve"> — </w:t>
        </w:r>
        <w:r>
          <w:rPr>
            <w:rStyle w:val="CharSchText"/>
            <w:rFonts w:eastAsia="MS Mincho"/>
          </w:rPr>
          <w:t>Line of West Kambalda Spur Railway</w:t>
        </w:r>
      </w:ins>
      <w:bookmarkEnd w:id="18"/>
      <w:bookmarkEnd w:id="19"/>
      <w:r>
        <w:t xml:space="preserve"> </w:t>
      </w:r>
    </w:p>
    <w:p>
      <w:pPr>
        <w:pStyle w:val="MiscellaneousHeading"/>
        <w:rPr>
          <w:del w:id="21" w:author="svcMRProcess" w:date="2019-01-25T13:01:00Z"/>
          <w:snapToGrid w:val="0"/>
          <w:sz w:val="22"/>
        </w:rPr>
      </w:pPr>
      <w:del w:id="22" w:author="svcMRProcess" w:date="2019-01-25T13:01:00Z">
        <w:r>
          <w:rPr>
            <w:snapToGrid w:val="0"/>
            <w:sz w:val="22"/>
          </w:rPr>
          <w:delText>West Kambalda Spur Railway</w:delText>
        </w:r>
      </w:del>
    </w:p>
    <w:p>
      <w:pPr>
        <w:pStyle w:val="MiscellaneousHeading"/>
        <w:rPr>
          <w:del w:id="23" w:author="svcMRProcess" w:date="2019-01-25T13:01:00Z"/>
          <w:snapToGrid w:val="0"/>
          <w:sz w:val="22"/>
        </w:rPr>
      </w:pPr>
      <w:del w:id="24" w:author="svcMRProcess" w:date="2019-01-25T13:01:00Z">
        <w:r>
          <w:rPr>
            <w:snapToGrid w:val="0"/>
            <w:sz w:val="22"/>
          </w:rPr>
          <w:delText>Description of line of Railway</w:delText>
        </w:r>
      </w:del>
    </w:p>
    <w:p>
      <w:pPr>
        <w:pStyle w:val="yShoulderClause"/>
        <w:rPr>
          <w:ins w:id="25" w:author="svcMRProcess" w:date="2019-01-25T13:01:00Z"/>
          <w:snapToGrid w:val="0"/>
        </w:rPr>
      </w:pPr>
      <w:ins w:id="26" w:author="svcMRProcess" w:date="2019-01-25T13:01:00Z">
        <w:r>
          <w:rPr>
            <w:snapToGrid w:val="0"/>
          </w:rPr>
          <w:t>[s. 2]</w:t>
        </w:r>
      </w:ins>
    </w:p>
    <w:p>
      <w:pPr>
        <w:pStyle w:val="yFootnoteheading"/>
        <w:rPr>
          <w:ins w:id="27" w:author="svcMRProcess" w:date="2019-01-25T13:01:00Z"/>
        </w:rPr>
      </w:pPr>
      <w:ins w:id="28" w:author="svcMRProcess" w:date="2019-01-25T13:01:00Z">
        <w:r>
          <w:tab/>
          <w:t>[Heading inserted: No. 19 of 2010 s. 5.]</w:t>
        </w:r>
      </w:ins>
    </w:p>
    <w:p>
      <w:pPr>
        <w:pStyle w:val="yMiscellaneousBody"/>
        <w:rPr>
          <w:snapToGrid w:val="0"/>
        </w:rPr>
      </w:pPr>
      <w:r>
        <w:rPr>
          <w:snapToGrid w:val="0"/>
        </w:rPr>
        <w:t>Commencing at a point 438 miles 10 chains or thereabouts, from Perth on the line of the West Kalgoorlie</w:t>
      </w:r>
      <w:r>
        <w:rPr>
          <w:snapToGrid w:val="0"/>
        </w:rPr>
        <w:noBreakHyphen/>
        <w:t>Lake Lefroy railway as described in the Schedule to Act No. 110 of 1970</w:t>
      </w:r>
      <w:r>
        <w:rPr>
          <w:snapToGrid w:val="0"/>
          <w:vertAlign w:val="superscript"/>
        </w:rPr>
        <w:t> 2</w:t>
      </w:r>
      <w:r>
        <w:rPr>
          <w:snapToGrid w:val="0"/>
        </w:rPr>
        <w:t xml:space="preserve">, and proceeding thence in a southeasterly direction for a distance of 73 chains, or thereabouts, thence in an easterly direction for a distance of 49 chains, or thereabouts, thence in a northeasterly direction for a distance of 44 chains, or thereabouts, thence in an easterly direction for a distance of 63 chains, or thereabouts, thence in a northeasterly direction for a distance of 49 chains, or thereabouts, thence in a southeasterly direction for a distance of 62 chains, or thereabouts, thence in a southwesterly direction for a distance of 29 chains, or thereabouts and thence in a northwesterly direction for a distance of 66 chains, or thereabouts, to the terminus of the Western Mining Corporation Limited siding, as more particularly set out and delineated in red on the map marked C.E. 64711, deposited pursuant to section 96 of the </w:t>
      </w:r>
      <w:r>
        <w:rPr>
          <w:i/>
          <w:snapToGrid w:val="0"/>
        </w:rPr>
        <w:t>Public Works Act 1902</w:t>
      </w:r>
      <w:r>
        <w:rPr>
          <w:snapToGrid w:val="0"/>
        </w:rPr>
        <w:t>, and being a total length of 5 miles 35 chains, or thereabouts.</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30" w:name="_Toc379277899"/>
      <w:bookmarkStart w:id="31" w:name="_Toc424568075"/>
      <w:bookmarkStart w:id="32" w:name="_Toc95807144"/>
      <w:bookmarkStart w:id="33" w:name="_Toc98563262"/>
      <w:bookmarkStart w:id="34" w:name="_Toc99245486"/>
      <w:bookmarkStart w:id="35" w:name="_Toc99258594"/>
      <w:bookmarkStart w:id="36" w:name="_Toc101066544"/>
      <w:bookmarkStart w:id="37" w:name="_Toc267918339"/>
      <w:bookmarkStart w:id="38" w:name="_Toc267918448"/>
      <w:bookmarkStart w:id="39" w:name="_Toc267923073"/>
      <w:r>
        <w:t>Notes</w:t>
      </w:r>
      <w:bookmarkEnd w:id="30"/>
      <w:bookmarkEnd w:id="31"/>
      <w:bookmarkEnd w:id="32"/>
      <w:bookmarkEnd w:id="33"/>
      <w:bookmarkEnd w:id="34"/>
      <w:bookmarkEnd w:id="35"/>
      <w:bookmarkEnd w:id="36"/>
      <w:bookmarkEnd w:id="37"/>
      <w:bookmarkEnd w:id="38"/>
      <w:bookmarkEnd w:id="39"/>
    </w:p>
    <w:p>
      <w:pPr>
        <w:pStyle w:val="nSubsection"/>
        <w:rPr>
          <w:snapToGrid w:val="0"/>
        </w:rPr>
      </w:pPr>
      <w:r>
        <w:rPr>
          <w:snapToGrid w:val="0"/>
          <w:vertAlign w:val="superscript"/>
        </w:rPr>
        <w:t>1</w:t>
      </w:r>
      <w:r>
        <w:rPr>
          <w:snapToGrid w:val="0"/>
        </w:rPr>
        <w:tab/>
        <w:t xml:space="preserve">This is a compilation of the </w:t>
      </w:r>
      <w:r>
        <w:rPr>
          <w:i/>
          <w:noProof/>
          <w:snapToGrid w:val="0"/>
        </w:rPr>
        <w:t>West Kambalda Railway Act 1972</w:t>
      </w:r>
      <w:del w:id="40" w:author="svcMRProcess" w:date="2019-01-25T13:01:00Z">
        <w:r>
          <w:rPr>
            <w:snapToGrid w:val="0"/>
          </w:rPr>
          <w:delText xml:space="preserve">.  The </w:delText>
        </w:r>
      </w:del>
      <w:ins w:id="41" w:author="svcMRProcess" w:date="2019-01-25T13:01:00Z">
        <w:r>
          <w:rPr>
            <w:snapToGrid w:val="0"/>
          </w:rPr>
          <w:t xml:space="preserve"> and includes the amendments made by the other written laws referred to in the </w:t>
        </w:r>
      </w:ins>
      <w:r>
        <w:rPr>
          <w:snapToGrid w:val="0"/>
        </w:rPr>
        <w:t>following table</w:t>
      </w:r>
      <w:ins w:id="42" w:author="svcMRProcess" w:date="2019-01-25T13:01:00Z">
        <w:r>
          <w:rPr>
            <w:snapToGrid w:val="0"/>
          </w:rPr>
          <w:t>.  The table also</w:t>
        </w:r>
      </w:ins>
      <w:r>
        <w:rPr>
          <w:snapToGrid w:val="0"/>
        </w:rPr>
        <w:t xml:space="preserve"> contains information about </w:t>
      </w:r>
      <w:del w:id="43" w:author="svcMRProcess" w:date="2019-01-25T13:01:00Z">
        <w:r>
          <w:rPr>
            <w:snapToGrid w:val="0"/>
          </w:rPr>
          <w:delText xml:space="preserve">that Act and </w:delText>
        </w:r>
      </w:del>
      <w:r>
        <w:rPr>
          <w:snapToGrid w:val="0"/>
        </w:rPr>
        <w:t>any reprint</w:t>
      </w:r>
      <w:del w:id="44" w:author="svcMRProcess" w:date="2019-01-25T13:01:00Z">
        <w:r>
          <w:rPr>
            <w:snapToGrid w:val="0"/>
          </w:rPr>
          <w:delText> </w:delText>
        </w:r>
        <w:r>
          <w:rPr>
            <w:snapToGrid w:val="0"/>
            <w:vertAlign w:val="superscript"/>
          </w:rPr>
          <w:delText>1a</w:delText>
        </w:r>
        <w:r>
          <w:rPr>
            <w:snapToGrid w:val="0"/>
          </w:rPr>
          <w:delText xml:space="preserve">. </w:delText>
        </w:r>
      </w:del>
      <w:ins w:id="45" w:author="svcMRProcess" w:date="2019-01-25T13:01:00Z">
        <w:r>
          <w:rPr>
            <w:snapToGrid w:val="0"/>
          </w:rPr>
          <w:t>.</w:t>
        </w:r>
      </w:ins>
    </w:p>
    <w:p>
      <w:pPr>
        <w:pStyle w:val="nHeading3"/>
        <w:rPr>
          <w:snapToGrid w:val="0"/>
        </w:rPr>
      </w:pPr>
      <w:bookmarkStart w:id="46" w:name="_Toc379277900"/>
      <w:bookmarkStart w:id="47" w:name="_Toc424568076"/>
      <w:bookmarkStart w:id="48" w:name="_Toc101066545"/>
      <w:bookmarkStart w:id="49" w:name="_Toc267923074"/>
      <w:r>
        <w:rPr>
          <w:snapToGrid w:val="0"/>
        </w:rPr>
        <w:t>Compilation table</w:t>
      </w:r>
      <w:bookmarkEnd w:id="46"/>
      <w:bookmarkEnd w:id="47"/>
      <w:bookmarkEnd w:id="48"/>
      <w:bookmarkEnd w:id="49"/>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pPr>
            <w:r>
              <w:rPr>
                <w:i/>
              </w:rPr>
              <w:t>West Kambalda Railway Act 1972</w:t>
            </w:r>
          </w:p>
        </w:tc>
        <w:tc>
          <w:tcPr>
            <w:tcW w:w="1134" w:type="dxa"/>
            <w:tcBorders>
              <w:top w:val="single" w:sz="8" w:space="0" w:color="auto"/>
              <w:bottom w:val="nil"/>
            </w:tcBorders>
          </w:tcPr>
          <w:p>
            <w:pPr>
              <w:pStyle w:val="nTable"/>
              <w:spacing w:after="40"/>
            </w:pPr>
            <w:r>
              <w:t>26 of 1972</w:t>
            </w:r>
          </w:p>
        </w:tc>
        <w:tc>
          <w:tcPr>
            <w:tcW w:w="1134" w:type="dxa"/>
            <w:tcBorders>
              <w:top w:val="single" w:sz="8" w:space="0" w:color="auto"/>
              <w:bottom w:val="nil"/>
            </w:tcBorders>
          </w:tcPr>
          <w:p>
            <w:pPr>
              <w:pStyle w:val="nTable"/>
              <w:spacing w:after="40"/>
            </w:pPr>
            <w:r>
              <w:t>9 Jun 1972</w:t>
            </w:r>
          </w:p>
        </w:tc>
        <w:tc>
          <w:tcPr>
            <w:tcW w:w="2551" w:type="dxa"/>
            <w:tcBorders>
              <w:top w:val="single" w:sz="8" w:space="0" w:color="auto"/>
              <w:bottom w:val="nil"/>
            </w:tcBorders>
          </w:tcPr>
          <w:p>
            <w:pPr>
              <w:pStyle w:val="nTable"/>
              <w:spacing w:after="40"/>
            </w:pPr>
            <w:r>
              <w:t>9 Jun 1972</w:t>
            </w:r>
          </w:p>
        </w:tc>
      </w:tr>
      <w:tr>
        <w:trPr>
          <w:cantSplit/>
        </w:trPr>
        <w:tc>
          <w:tcPr>
            <w:tcW w:w="7087" w:type="dxa"/>
            <w:gridSpan w:val="4"/>
            <w:tcBorders>
              <w:top w:val="nil"/>
              <w:bottom w:val="nil"/>
            </w:tcBorders>
          </w:tcPr>
          <w:p>
            <w:pPr>
              <w:pStyle w:val="nTable"/>
              <w:spacing w:after="40"/>
            </w:pPr>
            <w:r>
              <w:rPr>
                <w:b/>
                <w:bCs/>
              </w:rPr>
              <w:t xml:space="preserve">Reprint 1: The </w:t>
            </w:r>
            <w:r>
              <w:rPr>
                <w:b/>
                <w:bCs/>
                <w:i/>
              </w:rPr>
              <w:t>West Kambalda Railway Act 1972</w:t>
            </w:r>
            <w:r>
              <w:rPr>
                <w:b/>
                <w:bCs/>
              </w:rPr>
              <w:t xml:space="preserve"> as at 18 Mar 2005</w:t>
            </w:r>
          </w:p>
        </w:tc>
      </w:tr>
    </w:tbl>
    <w:p>
      <w:pPr>
        <w:pStyle w:val="nSubsection"/>
        <w:tabs>
          <w:tab w:val="clear" w:pos="454"/>
          <w:tab w:val="left" w:pos="567"/>
        </w:tabs>
        <w:spacing w:before="120"/>
        <w:ind w:left="567" w:hanging="567"/>
        <w:rPr>
          <w:del w:id="50" w:author="svcMRProcess" w:date="2019-01-25T13:01:00Z"/>
          <w:snapToGrid w:val="0"/>
        </w:rPr>
      </w:pPr>
      <w:del w:id="51" w:author="svcMRProcess" w:date="2019-01-25T13:0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2" w:author="svcMRProcess" w:date="2019-01-25T13:01:00Z"/>
        </w:rPr>
      </w:pPr>
      <w:bookmarkStart w:id="53" w:name="_Toc7405065"/>
      <w:bookmarkStart w:id="54" w:name="_Toc267923075"/>
      <w:del w:id="55" w:author="svcMRProcess" w:date="2019-01-25T13:01:00Z">
        <w:r>
          <w:delText>Provisions that have not come into operation</w:delText>
        </w:r>
        <w:bookmarkEnd w:id="53"/>
        <w:bookmarkEnd w:id="54"/>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1"/>
        <w:gridCol w:w="1131"/>
        <w:gridCol w:w="1128"/>
        <w:gridCol w:w="2535"/>
      </w:tblGrid>
      <w:tr>
        <w:trPr>
          <w:del w:id="56" w:author="svcMRProcess" w:date="2019-01-25T13:01:00Z"/>
        </w:trPr>
        <w:tc>
          <w:tcPr>
            <w:tcW w:w="2266" w:type="dxa"/>
          </w:tcPr>
          <w:p>
            <w:pPr>
              <w:pStyle w:val="nTable"/>
              <w:spacing w:after="40"/>
              <w:rPr>
                <w:del w:id="57" w:author="svcMRProcess" w:date="2019-01-25T13:01:00Z"/>
                <w:b/>
                <w:snapToGrid w:val="0"/>
                <w:lang w:val="en-US"/>
              </w:rPr>
            </w:pPr>
            <w:del w:id="58" w:author="svcMRProcess" w:date="2019-01-25T13:01:00Z">
              <w:r>
                <w:rPr>
                  <w:b/>
                  <w:snapToGrid w:val="0"/>
                  <w:lang w:val="en-US"/>
                </w:rPr>
                <w:delText>Short title</w:delText>
              </w:r>
            </w:del>
          </w:p>
        </w:tc>
        <w:tc>
          <w:tcPr>
            <w:tcW w:w="1120" w:type="dxa"/>
          </w:tcPr>
          <w:p>
            <w:pPr>
              <w:pStyle w:val="nTable"/>
              <w:spacing w:after="40"/>
              <w:rPr>
                <w:del w:id="59" w:author="svcMRProcess" w:date="2019-01-25T13:01:00Z"/>
                <w:b/>
                <w:snapToGrid w:val="0"/>
                <w:lang w:val="en-US"/>
              </w:rPr>
            </w:pPr>
            <w:del w:id="60" w:author="svcMRProcess" w:date="2019-01-25T13:01:00Z">
              <w:r>
                <w:rPr>
                  <w:b/>
                  <w:snapToGrid w:val="0"/>
                  <w:lang w:val="en-US"/>
                </w:rPr>
                <w:delText>Number and year</w:delText>
              </w:r>
            </w:del>
          </w:p>
        </w:tc>
        <w:tc>
          <w:tcPr>
            <w:tcW w:w="1135" w:type="dxa"/>
          </w:tcPr>
          <w:p>
            <w:pPr>
              <w:pStyle w:val="nTable"/>
              <w:spacing w:after="40"/>
              <w:rPr>
                <w:del w:id="61" w:author="svcMRProcess" w:date="2019-01-25T13:01:00Z"/>
                <w:b/>
                <w:snapToGrid w:val="0"/>
                <w:lang w:val="en-US"/>
              </w:rPr>
            </w:pPr>
            <w:del w:id="62" w:author="svcMRProcess" w:date="2019-01-25T13:01:00Z">
              <w:r>
                <w:rPr>
                  <w:b/>
                  <w:snapToGrid w:val="0"/>
                  <w:lang w:val="en-US"/>
                </w:rPr>
                <w:delText>Assent</w:delText>
              </w:r>
            </w:del>
          </w:p>
        </w:tc>
        <w:tc>
          <w:tcPr>
            <w:tcW w:w="2534" w:type="dxa"/>
          </w:tcPr>
          <w:p>
            <w:pPr>
              <w:pStyle w:val="nTable"/>
              <w:spacing w:after="40"/>
              <w:rPr>
                <w:del w:id="63" w:author="svcMRProcess" w:date="2019-01-25T13:01:00Z"/>
                <w:b/>
                <w:snapToGrid w:val="0"/>
                <w:lang w:val="en-US"/>
              </w:rPr>
            </w:pPr>
            <w:del w:id="64" w:author="svcMRProcess" w:date="2019-01-25T13:01: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5</w:t>
            </w:r>
            <w:del w:id="65" w:author="svcMRProcess" w:date="2019-01-25T13:01:00Z">
              <w:r>
                <w:rPr>
                  <w:iCs/>
                  <w:snapToGrid w:val="0"/>
                  <w:lang w:val="en-US"/>
                </w:rPr>
                <w:delText xml:space="preserve"> </w:delText>
              </w:r>
              <w:r>
                <w:rPr>
                  <w:iCs/>
                  <w:snapToGrid w:val="0"/>
                  <w:vertAlign w:val="superscript"/>
                  <w:lang w:val="en-US"/>
                </w:rPr>
                <w:delText>3</w:delText>
              </w:r>
            </w:del>
          </w:p>
        </w:tc>
        <w:tc>
          <w:tcPr>
            <w:tcW w:w="1139" w:type="dxa"/>
            <w:tcBorders>
              <w:bottom w:val="single" w:sz="4" w:space="0" w:color="auto"/>
            </w:tcBorders>
          </w:tcPr>
          <w:p>
            <w:pPr>
              <w:pStyle w:val="nTable"/>
              <w:spacing w:after="40"/>
              <w:rPr>
                <w:snapToGrid w:val="0"/>
              </w:rPr>
            </w:pPr>
            <w:r>
              <w:rPr>
                <w:snapToGrid w:val="0"/>
              </w:rPr>
              <w:t>19 of 2010</w:t>
            </w:r>
          </w:p>
        </w:tc>
        <w:tc>
          <w:tcPr>
            <w:tcW w:w="1136" w:type="dxa"/>
            <w:tcBorders>
              <w:bottom w:val="single" w:sz="4" w:space="0" w:color="auto"/>
            </w:tcBorders>
          </w:tcPr>
          <w:p>
            <w:pPr>
              <w:pStyle w:val="nTable"/>
              <w:spacing w:after="40"/>
              <w:rPr>
                <w:snapToGrid w:val="0"/>
              </w:rPr>
            </w:pPr>
            <w:r>
              <w:rPr>
                <w:snapToGrid w:val="0"/>
              </w:rPr>
              <w:t>28 Jun 2010</w:t>
            </w:r>
          </w:p>
        </w:tc>
        <w:tc>
          <w:tcPr>
            <w:tcW w:w="2554" w:type="dxa"/>
            <w:tcBorders>
              <w:bottom w:val="single" w:sz="4" w:space="0" w:color="auto"/>
            </w:tcBorders>
          </w:tcPr>
          <w:p>
            <w:pPr>
              <w:pStyle w:val="nTable"/>
              <w:spacing w:after="40"/>
              <w:rPr>
                <w:snapToGrid w:val="0"/>
              </w:rPr>
            </w:pPr>
            <w:del w:id="66" w:author="svcMRProcess" w:date="2019-01-25T13:01:00Z">
              <w:r>
                <w:rPr>
                  <w:snapToGrid w:val="0"/>
                  <w:lang w:val="en-US"/>
                </w:rPr>
                <w:delText>To be proclaimed</w:delText>
              </w:r>
            </w:del>
            <w:ins w:id="67" w:author="svcMRProcess" w:date="2019-01-25T13:01:00Z">
              <w:r>
                <w:rPr>
                  <w:snapToGrid w:val="0"/>
                </w:rPr>
                <w:t>11 Sep 2010</w:t>
              </w:r>
            </w:ins>
            <w:r>
              <w:rPr>
                <w:snapToGrid w:val="0"/>
              </w:rPr>
              <w:t xml:space="preserve"> (see s. 2(b</w:t>
            </w:r>
            <w:del w:id="68" w:author="svcMRProcess" w:date="2019-01-25T13:01:00Z">
              <w:r>
                <w:rPr>
                  <w:snapToGrid w:val="0"/>
                  <w:lang w:val="en-US"/>
                </w:rPr>
                <w:delText>))</w:delText>
              </w:r>
            </w:del>
            <w:ins w:id="69" w:author="svcMRProcess" w:date="2019-01-25T13:01:00Z">
              <w:r>
                <w:rPr>
                  <w:snapToGrid w:val="0"/>
                </w:rPr>
                <w:t xml:space="preserve">) and </w:t>
              </w:r>
              <w:r>
                <w:rPr>
                  <w:i/>
                  <w:iCs/>
                  <w:snapToGrid w:val="0"/>
                </w:rPr>
                <w:t>Gazette</w:t>
              </w:r>
              <w:r>
                <w:rPr>
                  <w:snapToGrid w:val="0"/>
                </w:rPr>
                <w:t xml:space="preserve"> 10 Sep 2010 p. 4341)</w:t>
              </w:r>
            </w:ins>
          </w:p>
        </w:tc>
      </w:tr>
    </w:tbl>
    <w:p>
      <w:pPr>
        <w:pStyle w:val="nSubsection"/>
        <w:spacing w:before="120"/>
        <w:rPr>
          <w:ins w:id="70" w:author="svcMRProcess" w:date="2019-01-25T13:01:00Z"/>
          <w:vertAlign w:val="superscript"/>
        </w:rPr>
      </w:pPr>
    </w:p>
    <w:p>
      <w:pPr>
        <w:pStyle w:val="nSubsection"/>
        <w:spacing w:before="120"/>
      </w:pPr>
      <w:r>
        <w:rPr>
          <w:vertAlign w:val="superscript"/>
        </w:rPr>
        <w:t>2</w:t>
      </w:r>
      <w:r>
        <w:tab/>
        <w:t xml:space="preserve">Refers to the </w:t>
      </w:r>
      <w:r>
        <w:rPr>
          <w:i/>
          <w:iCs/>
        </w:rPr>
        <w:t>West Kalgoorlie-Lake Lefroy Railway Act 1970.</w:t>
      </w:r>
    </w:p>
    <w:p>
      <w:pPr>
        <w:pStyle w:val="nSubsection"/>
        <w:keepNext/>
        <w:keepLines/>
        <w:rPr>
          <w:del w:id="71" w:author="svcMRProcess" w:date="2019-01-25T13:01:00Z"/>
          <w:snapToGrid w:val="0"/>
        </w:rPr>
      </w:pPr>
      <w:del w:id="72" w:author="svcMRProcess" w:date="2019-01-25T13:01: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5 had not come into operation.  It reads as follows:</w:delText>
        </w:r>
      </w:del>
    </w:p>
    <w:p>
      <w:pPr>
        <w:pStyle w:val="BlankOpen"/>
        <w:rPr>
          <w:del w:id="73" w:author="svcMRProcess" w:date="2019-01-25T13:01:00Z"/>
          <w:snapToGrid w:val="0"/>
        </w:rPr>
      </w:pPr>
    </w:p>
    <w:p>
      <w:pPr>
        <w:pStyle w:val="nzHeading5"/>
        <w:rPr>
          <w:del w:id="74" w:author="svcMRProcess" w:date="2019-01-25T13:01:00Z"/>
        </w:rPr>
      </w:pPr>
      <w:del w:id="75" w:author="svcMRProcess" w:date="2019-01-25T13:01:00Z">
        <w:r>
          <w:rPr>
            <w:rStyle w:val="CharSectno"/>
          </w:rPr>
          <w:delText>5</w:delText>
        </w:r>
        <w:r>
          <w:delText>.</w:delText>
        </w:r>
        <w:r>
          <w:tab/>
          <w:delText>Schedule headings in railway Acts replaced</w:delText>
        </w:r>
      </w:del>
    </w:p>
    <w:p>
      <w:pPr>
        <w:pStyle w:val="nzSubsection"/>
        <w:rPr>
          <w:del w:id="76" w:author="svcMRProcess" w:date="2019-01-25T13:01:00Z"/>
          <w:rFonts w:eastAsia="MS Mincho"/>
        </w:rPr>
      </w:pPr>
      <w:del w:id="77" w:author="svcMRProcess" w:date="2019-01-25T13:01:00Z">
        <w:r>
          <w:rPr>
            <w:rFonts w:eastAsia="MS Mincho"/>
          </w:rPr>
          <w:tab/>
          <w:delText>(1)</w:delText>
        </w:r>
        <w:r>
          <w:rPr>
            <w:rFonts w:eastAsia="MS Mincho"/>
          </w:rPr>
          <w:tab/>
          <w:delText>This section amends the Acts listed in the Table.</w:delText>
        </w:r>
      </w:del>
    </w:p>
    <w:p>
      <w:pPr>
        <w:pStyle w:val="nzSubsection"/>
        <w:rPr>
          <w:del w:id="78" w:author="svcMRProcess" w:date="2019-01-25T13:01:00Z"/>
          <w:rFonts w:eastAsia="MS Mincho"/>
        </w:rPr>
      </w:pPr>
      <w:del w:id="79" w:author="svcMRProcess" w:date="2019-01-25T13:01:00Z">
        <w:r>
          <w:rPr>
            <w:rFonts w:eastAsia="MS Mincho"/>
          </w:rPr>
          <w:tab/>
          <w:delText>(2)</w:delText>
        </w:r>
        <w:r>
          <w:rPr>
            <w:rFonts w:eastAsia="MS Mincho"/>
          </w:rPr>
          <w:tab/>
          <w:delText xml:space="preserve">In each Schedule listed in the Table </w:delText>
        </w:r>
        <w:r>
          <w:delText xml:space="preserve">delete all of the Schedule </w:delText>
        </w:r>
        <w:r>
          <w:rPr>
            <w:rFonts w:eastAsia="MS Mincho"/>
          </w:rPr>
          <w:delText xml:space="preserve">before “Commencing at” and insert the identifier, title and shoulder note set out in the Table as a heading to the Schedule </w:delText>
        </w:r>
        <w:r>
          <w:delText>in the current format</w:delText>
        </w:r>
        <w:r>
          <w:rPr>
            <w:rFonts w:eastAsia="MS Mincho"/>
          </w:rPr>
          <w:delText>.</w:delText>
        </w:r>
      </w:del>
    </w:p>
    <w:p>
      <w:pPr>
        <w:pStyle w:val="nzMiscellaneousHeading"/>
        <w:rPr>
          <w:del w:id="80" w:author="svcMRProcess" w:date="2019-01-25T13:01:00Z"/>
        </w:rPr>
      </w:pPr>
      <w:del w:id="81" w:author="svcMRProcess" w:date="2019-01-25T13:01:00Z">
        <w:r>
          <w:rPr>
            <w:b/>
            <w:bCs/>
          </w:rPr>
          <w:delText>Table</w:delText>
        </w:r>
      </w:del>
    </w:p>
    <w:tbl>
      <w:tblPr>
        <w:tblW w:w="6804" w:type="dxa"/>
        <w:tblInd w:w="199" w:type="dxa"/>
        <w:tblBorders>
          <w:top w:val="dotted" w:sz="4" w:space="0" w:color="auto"/>
          <w:bottom w:val="dotted" w:sz="4" w:space="0" w:color="auto"/>
          <w:insideH w:val="dotted" w:sz="4" w:space="0" w:color="auto"/>
        </w:tblBorders>
        <w:tblLayout w:type="fixed"/>
        <w:tblCellMar>
          <w:top w:w="57" w:type="dxa"/>
          <w:left w:w="57" w:type="dxa"/>
          <w:right w:w="57" w:type="dxa"/>
        </w:tblCellMar>
        <w:tblLook w:val="0000" w:firstRow="0" w:lastRow="0" w:firstColumn="0" w:lastColumn="0" w:noHBand="0" w:noVBand="0"/>
      </w:tblPr>
      <w:tblGrid>
        <w:gridCol w:w="2268"/>
        <w:gridCol w:w="1134"/>
        <w:gridCol w:w="2552"/>
        <w:gridCol w:w="850"/>
      </w:tblGrid>
      <w:tr>
        <w:trPr>
          <w:tblHeader/>
          <w:del w:id="82" w:author="svcMRProcess" w:date="2019-01-25T13:01:00Z"/>
        </w:trPr>
        <w:tc>
          <w:tcPr>
            <w:tcW w:w="2268" w:type="dxa"/>
            <w:tcBorders>
              <w:top w:val="single" w:sz="4" w:space="0" w:color="auto"/>
              <w:left w:val="single" w:sz="4" w:space="0" w:color="auto"/>
              <w:bottom w:val="single" w:sz="4" w:space="0" w:color="auto"/>
              <w:right w:val="single" w:sz="4" w:space="0" w:color="auto"/>
            </w:tcBorders>
          </w:tcPr>
          <w:p>
            <w:pPr>
              <w:pStyle w:val="TableAm"/>
              <w:spacing w:before="0"/>
              <w:jc w:val="center"/>
              <w:rPr>
                <w:del w:id="83" w:author="svcMRProcess" w:date="2019-01-25T13:01:00Z"/>
                <w:rFonts w:eastAsia="MS Mincho"/>
                <w:b/>
                <w:bCs/>
                <w:sz w:val="18"/>
              </w:rPr>
            </w:pPr>
            <w:del w:id="84" w:author="svcMRProcess" w:date="2019-01-25T13:01:00Z">
              <w:r>
                <w:rPr>
                  <w:rFonts w:eastAsia="MS Mincho"/>
                  <w:b/>
                  <w:bCs/>
                  <w:sz w:val="18"/>
                </w:rPr>
                <w:delText>Act</w:delText>
              </w:r>
            </w:del>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jc w:val="center"/>
              <w:rPr>
                <w:del w:id="85" w:author="svcMRProcess" w:date="2019-01-25T13:01:00Z"/>
                <w:b/>
                <w:bCs/>
                <w:sz w:val="18"/>
              </w:rPr>
            </w:pPr>
            <w:del w:id="86" w:author="svcMRProcess" w:date="2019-01-25T13:01: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87" w:author="svcMRProcess" w:date="2019-01-25T13:01:00Z"/>
                <w:b/>
                <w:bCs/>
                <w:sz w:val="18"/>
              </w:rPr>
            </w:pPr>
            <w:del w:id="88" w:author="svcMRProcess" w:date="2019-01-25T13:01:00Z">
              <w:r>
                <w:rPr>
                  <w:b/>
                  <w:bCs/>
                  <w:sz w:val="18"/>
                </w:rPr>
                <w:delText>Title</w:delText>
              </w:r>
            </w:del>
          </w:p>
          <w:p>
            <w:pPr>
              <w:pStyle w:val="TableAm"/>
              <w:spacing w:before="0"/>
              <w:jc w:val="center"/>
              <w:rPr>
                <w:del w:id="89" w:author="svcMRProcess" w:date="2019-01-25T13:01:00Z"/>
                <w:b/>
                <w:bCs/>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pPr>
              <w:pStyle w:val="TableAm"/>
              <w:spacing w:before="0"/>
              <w:jc w:val="center"/>
              <w:rPr>
                <w:del w:id="90" w:author="svcMRProcess" w:date="2019-01-25T13:01:00Z"/>
                <w:b/>
                <w:bCs/>
                <w:sz w:val="18"/>
              </w:rPr>
            </w:pPr>
            <w:del w:id="91" w:author="svcMRProcess" w:date="2019-01-25T13:01:00Z">
              <w:r>
                <w:rPr>
                  <w:b/>
                  <w:bCs/>
                  <w:sz w:val="18"/>
                </w:rPr>
                <w:delText>Shoulder note</w:delText>
              </w:r>
            </w:del>
          </w:p>
        </w:tc>
      </w:tr>
      <w:tr>
        <w:trPr>
          <w:del w:id="92" w:author="svcMRProcess" w:date="2019-01-25T13:01:00Z"/>
        </w:trPr>
        <w:tc>
          <w:tcPr>
            <w:tcW w:w="2268" w:type="dxa"/>
            <w:tcBorders>
              <w:top w:val="single" w:sz="4" w:space="0" w:color="auto"/>
              <w:left w:val="single" w:sz="4" w:space="0" w:color="auto"/>
              <w:bottom w:val="single" w:sz="4" w:space="0" w:color="auto"/>
              <w:right w:val="single" w:sz="4" w:space="0" w:color="auto"/>
            </w:tcBorders>
          </w:tcPr>
          <w:p>
            <w:pPr>
              <w:pStyle w:val="TableAm"/>
              <w:spacing w:before="0"/>
              <w:rPr>
                <w:del w:id="93" w:author="svcMRProcess" w:date="2019-01-25T13:01:00Z"/>
                <w:sz w:val="18"/>
              </w:rPr>
            </w:pPr>
            <w:del w:id="94" w:author="svcMRProcess" w:date="2019-01-25T13:01:00Z">
              <w:r>
                <w:rPr>
                  <w:rFonts w:eastAsia="MS Mincho"/>
                  <w:i/>
                  <w:iCs/>
                  <w:sz w:val="18"/>
                </w:rPr>
                <w:delText>West Kambalda Railway Act 1972</w:delText>
              </w:r>
            </w:del>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rPr>
                <w:del w:id="95" w:author="svcMRProcess" w:date="2019-01-25T13:01:00Z"/>
                <w:sz w:val="18"/>
              </w:rPr>
            </w:pPr>
            <w:del w:id="96" w:author="svcMRProcess" w:date="2019-01-25T13:01:00Z">
              <w:r>
                <w:rPr>
                  <w:sz w:val="18"/>
                </w:rPr>
                <w:delText>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97" w:author="svcMRProcess" w:date="2019-01-25T13:01:00Z"/>
                <w:sz w:val="18"/>
              </w:rPr>
            </w:pPr>
            <w:del w:id="98" w:author="svcMRProcess" w:date="2019-01-25T13:01:00Z">
              <w:r>
                <w:rPr>
                  <w:rFonts w:eastAsia="MS Mincho"/>
                  <w:sz w:val="18"/>
                </w:rPr>
                <w:delText>Line of West Kambalda Spur Railway</w:delText>
              </w:r>
            </w:del>
          </w:p>
        </w:tc>
        <w:tc>
          <w:tcPr>
            <w:tcW w:w="850"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99" w:author="svcMRProcess" w:date="2019-01-25T13:01:00Z"/>
                <w:sz w:val="18"/>
              </w:rPr>
            </w:pPr>
            <w:del w:id="100" w:author="svcMRProcess" w:date="2019-01-25T13:01:00Z">
              <w:r>
                <w:rPr>
                  <w:sz w:val="18"/>
                </w:rPr>
                <w:delText>[s. 2]</w:delText>
              </w:r>
            </w:del>
          </w:p>
        </w:tc>
      </w:tr>
    </w:tbl>
    <w:p>
      <w:pPr>
        <w:pStyle w:val="BlankClose"/>
        <w:rPr>
          <w:del w:id="101" w:author="svcMRProcess" w:date="2019-01-25T13:01:00Z"/>
        </w:rPr>
      </w:pPr>
    </w:p>
    <w:p>
      <w:bookmarkStart w:id="102" w:name="UpToHere"/>
      <w:bookmarkEnd w:id="102"/>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 Kambalda Railway Act 1972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 Kambalda Railway Act 1972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3" w:name="Compilation"/>
    <w:bookmarkEnd w:id="10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4" w:name="Coversheet"/>
    <w:bookmarkEnd w:id="10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 Kambalda Railway Act 1972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 Kambalda Railway Act 1972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 Kambalda Railway Act 1972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styleref CharSchText</w:instrText>
          </w:r>
          <w:r>
            <w:fldChar w:fldCharType="separate"/>
          </w:r>
          <w:r>
            <w:t>Line of West Kambalda Spur Railway</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West Kambalda Railway Act 1972</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Schedule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29" w:name="Schedule"/>
    <w:bookmarkEnd w:id="2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04219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00AFE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04F4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98DCA5DC"/>
    <w:lvl w:ilvl="0">
      <w:start w:val="1"/>
      <w:numFmt w:val="decimal"/>
      <w:pStyle w:val="ListNumber2"/>
      <w:lvlText w:val="%1."/>
      <w:lvlJc w:val="left"/>
      <w:pPr>
        <w:tabs>
          <w:tab w:val="num" w:pos="643"/>
        </w:tabs>
        <w:ind w:left="643" w:hanging="360"/>
      </w:pPr>
    </w:lvl>
  </w:abstractNum>
  <w:abstractNum w:abstractNumId="4">
    <w:nsid w:val="FFFFFF80"/>
    <w:multiLevelType w:val="singleLevel"/>
    <w:tmpl w:val="D33C62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860B1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DAC8C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F04D2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656BA54"/>
    <w:lvl w:ilvl="0">
      <w:start w:val="1"/>
      <w:numFmt w:val="decimal"/>
      <w:pStyle w:val="ListNumber"/>
      <w:lvlText w:val="%1."/>
      <w:lvlJc w:val="left"/>
      <w:pPr>
        <w:tabs>
          <w:tab w:val="num" w:pos="360"/>
        </w:tabs>
        <w:ind w:left="360" w:hanging="360"/>
      </w:pPr>
    </w:lvl>
  </w:abstractNum>
  <w:abstractNum w:abstractNumId="9">
    <w:nsid w:val="FFFFFF89"/>
    <w:multiLevelType w:val="singleLevel"/>
    <w:tmpl w:val="8BC81D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ECEE8B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8"/>
  </w:num>
  <w:num w:numId="14">
    <w:abstractNumId w:val="15"/>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15831"/>
    <w:docVar w:name="WAFER_20140204112852" w:val="RemoveTocBookmarks,RemoveUnusedBookmarks,RemoveLanguageTags,UsedStyles,ResetPageSize,UpdateArrangement"/>
    <w:docVar w:name="WAFER_20140204112852_GUID" w:val="70157fac-bf1c-437c-86d2-655085a8b066"/>
    <w:docVar w:name="WAFER_20140204114537" w:val="RemoveTocBookmarks,RunningHeaders"/>
    <w:docVar w:name="WAFER_20140204114537_GUID" w:val="8860a118-f825-4a03-bfb4-a646367771de"/>
    <w:docVar w:name="WAFER_20150713160215" w:val="ResetPageSize,UpdateArrangement,UpdateNTable"/>
    <w:docVar w:name="WAFER_20150713160215_GUID" w:val="cdcb9661-ea52-40eb-87e7-5dcefe7c11c6"/>
    <w:docVar w:name="WAFER_20151110115831" w:val="UpdateStyles,UsedStyles"/>
    <w:docVar w:name="WAFER_20151110115831_GUID" w:val="80262857-27c0-474b-80d8-e8a84b4b27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667</Words>
  <Characters>3210</Characters>
  <Application>Microsoft Office Word</Application>
  <DocSecurity>0</DocSecurity>
  <Lines>118</Lines>
  <Paragraphs>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3822</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Kambalda Railway Act 1972 01-b0-01 - 01-c0-05</dc:title>
  <dc:subject/>
  <dc:creator/>
  <cp:keywords/>
  <dc:description/>
  <cp:lastModifiedBy>svcMRProcess</cp:lastModifiedBy>
  <cp:revision>2</cp:revision>
  <cp:lastPrinted>2005-03-22T04:42:00Z</cp:lastPrinted>
  <dcterms:created xsi:type="dcterms:W3CDTF">2019-01-25T05:01:00Z</dcterms:created>
  <dcterms:modified xsi:type="dcterms:W3CDTF">2019-01-25T05:01:00Z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1972</vt:lpwstr>
  </property>
  <property fmtid="{D5CDD505-2E9C-101B-9397-08002B2CF9AE}" pid="3" name="CommencementDate">
    <vt:lpwstr>20100911</vt:lpwstr>
  </property>
  <property fmtid="{D5CDD505-2E9C-101B-9397-08002B2CF9AE}" pid="4" name="ReprintNo">
    <vt:lpwstr>1</vt:lpwstr>
  </property>
  <property fmtid="{D5CDD505-2E9C-101B-9397-08002B2CF9AE}" pid="5" name="DocumentType">
    <vt:lpwstr>Act</vt:lpwstr>
  </property>
  <property fmtid="{D5CDD505-2E9C-101B-9397-08002B2CF9AE}" pid="6" name="OwlsUID">
    <vt:i4>878</vt:i4>
  </property>
  <property fmtid="{D5CDD505-2E9C-101B-9397-08002B2CF9AE}" pid="7" name="FromSuffix">
    <vt:lpwstr>01-b0-01</vt:lpwstr>
  </property>
  <property fmtid="{D5CDD505-2E9C-101B-9397-08002B2CF9AE}" pid="8" name="FromAsAtDate">
    <vt:lpwstr>28 Jun 2010</vt:lpwstr>
  </property>
  <property fmtid="{D5CDD505-2E9C-101B-9397-08002B2CF9AE}" pid="9" name="ToSuffix">
    <vt:lpwstr>01-c0-05</vt:lpwstr>
  </property>
  <property fmtid="{D5CDD505-2E9C-101B-9397-08002B2CF9AE}" pid="10" name="ToAsAtDate">
    <vt:lpwstr>11 Sep 2010</vt:lpwstr>
  </property>
</Properties>
</file>