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Junction-Welshpool Railway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Midland Junction</w:t>
      </w:r>
      <w:r>
        <w:noBreakHyphen/>
        <w:t>Welshpool Railway Act 1957</w:t>
      </w:r>
    </w:p>
    <w:p>
      <w:pPr>
        <w:pStyle w:val="LongTitle"/>
        <w:rPr>
          <w:snapToGrid w:val="0"/>
        </w:rPr>
      </w:pPr>
      <w:r>
        <w:rPr>
          <w:snapToGrid w:val="0"/>
        </w:rPr>
        <w:t>A</w:t>
      </w:r>
      <w:bookmarkStart w:id="0" w:name="_GoBack"/>
      <w:bookmarkEnd w:id="0"/>
      <w:r>
        <w:rPr>
          <w:snapToGrid w:val="0"/>
        </w:rPr>
        <w:t>n Act to authorise the construction of a railway from Midland Junction to Welshpool.</w:t>
      </w:r>
    </w:p>
    <w:p>
      <w:pPr>
        <w:pStyle w:val="Heading5"/>
        <w:rPr>
          <w:snapToGrid w:val="0"/>
        </w:rPr>
      </w:pPr>
      <w:bookmarkStart w:id="1" w:name="_Toc378001443"/>
      <w:bookmarkStart w:id="2" w:name="_Toc418920754"/>
      <w:bookmarkStart w:id="3" w:name="_Toc267916007"/>
      <w:r>
        <w:rPr>
          <w:rStyle w:val="CharSectno"/>
        </w:rPr>
        <w:t>1</w:t>
      </w:r>
      <w:r>
        <w:rPr>
          <w:snapToGrid w:val="0"/>
        </w:rPr>
        <w:t>.</w:t>
      </w:r>
      <w:r>
        <w:rPr>
          <w:snapToGrid w:val="0"/>
        </w:rPr>
        <w:tab/>
        <w:t>Short title</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Midland Junction</w:t>
      </w:r>
      <w:r>
        <w:rPr>
          <w:i/>
          <w:snapToGrid w:val="0"/>
        </w:rPr>
        <w:noBreakHyphen/>
        <w:t>Welshpool Railway Act 1957</w:t>
      </w:r>
      <w:r>
        <w:rPr>
          <w:rFonts w:ascii="Times" w:hAnsi="Times"/>
          <w:iCs/>
          <w:snapToGrid w:val="0"/>
          <w:vertAlign w:val="superscript"/>
        </w:rPr>
        <w:t> 1</w:t>
      </w:r>
      <w:r>
        <w:rPr>
          <w:snapToGrid w:val="0"/>
        </w:rPr>
        <w:t>.</w:t>
      </w:r>
    </w:p>
    <w:p>
      <w:pPr>
        <w:pStyle w:val="Heading5"/>
        <w:rPr>
          <w:snapToGrid w:val="0"/>
        </w:rPr>
      </w:pPr>
      <w:bookmarkStart w:id="4" w:name="_Toc378001444"/>
      <w:bookmarkStart w:id="5" w:name="_Toc418920755"/>
      <w:bookmarkStart w:id="6" w:name="_Toc267916008"/>
      <w:r>
        <w:rPr>
          <w:rStyle w:val="CharSectno"/>
        </w:rPr>
        <w:t>2</w:t>
      </w:r>
      <w:r>
        <w:rPr>
          <w:snapToGrid w:val="0"/>
        </w:rPr>
        <w:t>.</w:t>
      </w:r>
      <w:r>
        <w:rPr>
          <w:snapToGrid w:val="0"/>
        </w:rPr>
        <w:tab/>
        <w:t>Authority to construct</w:t>
      </w:r>
      <w:bookmarkEnd w:id="4"/>
      <w:bookmarkEnd w:id="5"/>
      <w:bookmarkEnd w:id="6"/>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including, without prejudice to the generality of the foregoing, marshalling yards at Welshpool, along the line described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 w:name="_Toc161543531"/>
      <w:bookmarkStart w:id="8" w:name="_Toc164047600"/>
      <w:bookmarkStart w:id="9" w:name="_Toc164047868"/>
      <w:bookmarkStart w:id="10" w:name="_Toc167599633"/>
      <w:bookmarkStart w:id="11" w:name="_Toc171831254"/>
      <w:bookmarkStart w:id="12" w:name="_Toc267916009"/>
      <w:bookmarkStart w:id="13" w:name="_Toc378001445"/>
      <w:r>
        <w:rPr>
          <w:rStyle w:val="CharSchNo"/>
        </w:rPr>
        <w:t>Schedule</w:t>
      </w:r>
      <w:bookmarkEnd w:id="7"/>
      <w:bookmarkEnd w:id="8"/>
      <w:bookmarkEnd w:id="9"/>
      <w:bookmarkEnd w:id="10"/>
      <w:bookmarkEnd w:id="11"/>
      <w:bookmarkEnd w:id="12"/>
      <w:ins w:id="14" w:author="svcMRProcess" w:date="2015-11-01T23:27:00Z">
        <w:r>
          <w:rPr>
            <w:rStyle w:val="CharSDivNo"/>
          </w:rPr>
          <w:t> </w:t>
        </w:r>
        <w:r>
          <w:t>—</w:t>
        </w:r>
        <w:r>
          <w:rPr>
            <w:rStyle w:val="CharSDivText"/>
          </w:rPr>
          <w:t> </w:t>
        </w:r>
        <w:r>
          <w:rPr>
            <w:rStyle w:val="CharSchText"/>
            <w:rFonts w:eastAsia="MS Mincho"/>
          </w:rPr>
          <w:t xml:space="preserve">Line of Midland Junction </w:t>
        </w:r>
        <w:r>
          <w:rPr>
            <w:rStyle w:val="CharSchText"/>
            <w:rFonts w:eastAsia="MS Mincho"/>
          </w:rPr>
          <w:noBreakHyphen/>
          <w:t xml:space="preserve"> Welshpool Railway</w:t>
        </w:r>
      </w:ins>
      <w:bookmarkEnd w:id="13"/>
    </w:p>
    <w:p>
      <w:pPr>
        <w:pStyle w:val="yShoulderClause"/>
        <w:rPr>
          <w:ins w:id="15" w:author="svcMRProcess" w:date="2015-11-01T23:27:00Z"/>
          <w:snapToGrid w:val="0"/>
        </w:rPr>
      </w:pPr>
      <w:r>
        <w:rPr>
          <w:snapToGrid w:val="0"/>
        </w:rPr>
        <w:t>[s. 2</w:t>
      </w:r>
      <w:ins w:id="16" w:author="svcMRProcess" w:date="2015-11-01T23:27:00Z">
        <w:r>
          <w:rPr>
            <w:snapToGrid w:val="0"/>
          </w:rPr>
          <w:t>]</w:t>
        </w:r>
      </w:ins>
    </w:p>
    <w:p>
      <w:pPr>
        <w:pStyle w:val="yFootnoteheading"/>
      </w:pPr>
      <w:ins w:id="17" w:author="svcMRProcess" w:date="2015-11-01T23:27:00Z">
        <w:r>
          <w:tab/>
          <w:t>[Heading inserted by No. 19 of 2010 s. 5</w:t>
        </w:r>
      </w:ins>
      <w:r>
        <w:t>.]</w:t>
      </w:r>
    </w:p>
    <w:p>
      <w:pPr>
        <w:pStyle w:val="yMiscellaneousBody"/>
        <w:rPr>
          <w:snapToGrid w:val="0"/>
        </w:rPr>
      </w:pPr>
      <w:r>
        <w:rPr>
          <w:snapToGrid w:val="0"/>
        </w:rPr>
        <w:t>Commencing at a point opposite 10 miles 15 chains on the Perth</w:t>
      </w:r>
      <w:r>
        <w:rPr>
          <w:snapToGrid w:val="0"/>
        </w:rPr>
        <w:noBreakHyphen/>
        <w:t>Midland Junction Railway in the Midland Junction Station Yard and proceeding thence in a westerly direction for 50 chains parallel and adjacent to the existing Perth</w:t>
      </w:r>
      <w:r>
        <w:rPr>
          <w:snapToGrid w:val="0"/>
        </w:rPr>
        <w:noBreakHyphen/>
        <w:t>Midland Junction Railway, and thence in a south</w:t>
      </w:r>
      <w:r>
        <w:rPr>
          <w:snapToGrid w:val="0"/>
        </w:rPr>
        <w:noBreakHyphen/>
        <w:t>westerly direction for 20 chains, and thence in a southerly direction for 50 chains, and thence in a south</w:t>
      </w:r>
      <w:r>
        <w:rPr>
          <w:snapToGrid w:val="0"/>
        </w:rPr>
        <w:noBreakHyphen/>
        <w:t>south</w:t>
      </w:r>
      <w:r>
        <w:rPr>
          <w:snapToGrid w:val="0"/>
        </w:rPr>
        <w:noBreakHyphen/>
        <w:t>easterly direction for 1 mile 55 chains, and thence in a south</w:t>
      </w:r>
      <w:r>
        <w:rPr>
          <w:snapToGrid w:val="0"/>
        </w:rPr>
        <w:noBreakHyphen/>
        <w:t>south</w:t>
      </w:r>
      <w:r>
        <w:rPr>
          <w:snapToGrid w:val="0"/>
        </w:rPr>
        <w:noBreakHyphen/>
        <w:t>westerly direction for 4 miles 10 chains, and thence in a westerly direction for 2 miles 15 chains, and thence in a south</w:t>
      </w:r>
      <w:r>
        <w:rPr>
          <w:snapToGrid w:val="0"/>
        </w:rPr>
        <w:noBreakHyphen/>
        <w:t>westerly direction for 35 chains, and thence in a southerly direction for 70 chains, and thence in a south</w:t>
      </w:r>
      <w:r>
        <w:rPr>
          <w:snapToGrid w:val="0"/>
        </w:rPr>
        <w:noBreakHyphen/>
        <w:t>westerly direction for 25 chains, and thence in a north</w:t>
      </w:r>
      <w:r>
        <w:rPr>
          <w:snapToGrid w:val="0"/>
        </w:rPr>
        <w:noBreakHyphen/>
        <w:t>westerly direction for 40 chains, terminating at a point in Welshpool Station Yard opposite about 6 miles 00 chains on the East Perth</w:t>
      </w:r>
      <w:r>
        <w:rPr>
          <w:snapToGrid w:val="0"/>
        </w:rPr>
        <w:noBreakHyphen/>
        <w:t>Armadale Railway.</w:t>
      </w:r>
    </w:p>
    <w:p>
      <w:pPr>
        <w:pStyle w:val="yMiscellaneousBody"/>
        <w:rPr>
          <w:snapToGrid w:val="0"/>
        </w:rPr>
      </w:pPr>
      <w:r>
        <w:rPr>
          <w:snapToGrid w:val="0"/>
        </w:rPr>
        <w:t>Commencing at a point opposite 7 miles 75 chains on the East Perth</w:t>
      </w:r>
      <w:r>
        <w:rPr>
          <w:snapToGrid w:val="0"/>
        </w:rPr>
        <w:noBreakHyphen/>
        <w:t>Armadale Railway in the Cannington Station Yard and proceeding thence in a north</w:t>
      </w:r>
      <w:r>
        <w:rPr>
          <w:snapToGrid w:val="0"/>
        </w:rPr>
        <w:noBreakHyphen/>
        <w:t>westerly direction for 15 chains, and thence in a northerly direction for 25 chains, and thence in an easterly direction for 70 chains, and thence in a north</w:t>
      </w:r>
      <w:r>
        <w:rPr>
          <w:snapToGrid w:val="0"/>
        </w:rPr>
        <w:noBreakHyphen/>
        <w:t>easterly direction for 1 mile, and thence in a north</w:t>
      </w:r>
      <w:r>
        <w:rPr>
          <w:snapToGrid w:val="0"/>
        </w:rPr>
        <w:noBreakHyphen/>
        <w:t>north</w:t>
      </w:r>
      <w:r>
        <w:rPr>
          <w:snapToGrid w:val="0"/>
        </w:rPr>
        <w:noBreakHyphen/>
        <w:t>easterly direction for 75 chains, and thence in a north</w:t>
      </w:r>
      <w:r>
        <w:rPr>
          <w:snapToGrid w:val="0"/>
        </w:rPr>
        <w:noBreakHyphen/>
        <w:t xml:space="preserve">westerly direction for 15 chains to junction with the railway from Midland Junction to Welshpool at a point just west of MacDowell Street in Canning Location 292 as more particularly set out and delineated in red on map marked C.E. Plan 47013, deposited pursuant to section 96 of the </w:t>
      </w:r>
      <w:r>
        <w:rPr>
          <w:i/>
          <w:iCs/>
          <w:snapToGrid w:val="0"/>
        </w:rPr>
        <w:t>Public Works Act 1902</w:t>
      </w:r>
      <w:r>
        <w:rPr>
          <w:snapToGrid w:val="0"/>
        </w:rPr>
        <w:t>.</w:t>
      </w:r>
    </w:p>
    <w:p>
      <w:pPr>
        <w:pStyle w:val="yMiscellaneousBody"/>
        <w:rPr>
          <w:snapToGrid w:val="0"/>
        </w:rPr>
      </w:pPr>
      <w:r>
        <w:rPr>
          <w:snapToGrid w:val="0"/>
        </w:rPr>
        <w:t>Total length about 15 miles 10 chains.</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 w:name="_Toc378001446"/>
      <w:bookmarkStart w:id="19" w:name="_Toc161543532"/>
      <w:bookmarkStart w:id="20" w:name="_Toc164047601"/>
      <w:bookmarkStart w:id="21" w:name="_Toc164047869"/>
      <w:bookmarkStart w:id="22" w:name="_Toc167599634"/>
      <w:bookmarkStart w:id="23" w:name="_Toc171831255"/>
      <w:bookmarkStart w:id="24" w:name="_Toc267916010"/>
      <w:r>
        <w:t>Notes</w:t>
      </w:r>
      <w:bookmarkEnd w:id="18"/>
      <w:bookmarkEnd w:id="19"/>
      <w:bookmarkEnd w:id="20"/>
      <w:bookmarkEnd w:id="21"/>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Midland Junction-Welshpool Railway Act 1957</w:t>
      </w:r>
      <w:del w:id="25" w:author="svcMRProcess" w:date="2015-11-01T23:27:00Z">
        <w:r>
          <w:rPr>
            <w:snapToGrid w:val="0"/>
          </w:rPr>
          <w:delText xml:space="preserve">.  The </w:delText>
        </w:r>
      </w:del>
      <w:ins w:id="26" w:author="svcMRProcess" w:date="2015-11-01T23:27:00Z">
        <w:r>
          <w:rPr>
            <w:snapToGrid w:val="0"/>
          </w:rPr>
          <w:t xml:space="preserve"> and includes the amendments made by the other written laws referred to in the </w:t>
        </w:r>
      </w:ins>
      <w:r>
        <w:rPr>
          <w:snapToGrid w:val="0"/>
        </w:rPr>
        <w:t>following table</w:t>
      </w:r>
      <w:ins w:id="27" w:author="svcMRProcess" w:date="2015-11-01T23:27:00Z">
        <w:r>
          <w:rPr>
            <w:snapToGrid w:val="0"/>
          </w:rPr>
          <w:t>.  The table also</w:t>
        </w:r>
      </w:ins>
      <w:r>
        <w:rPr>
          <w:snapToGrid w:val="0"/>
        </w:rPr>
        <w:t xml:space="preserve"> contains information about </w:t>
      </w:r>
      <w:del w:id="28" w:author="svcMRProcess" w:date="2015-11-01T23:27:00Z">
        <w:r>
          <w:rPr>
            <w:snapToGrid w:val="0"/>
          </w:rPr>
          <w:delText xml:space="preserve">that Act and </w:delText>
        </w:r>
      </w:del>
      <w:r>
        <w:rPr>
          <w:snapToGrid w:val="0"/>
        </w:rPr>
        <w:t>any reprint</w:t>
      </w:r>
      <w:del w:id="29" w:author="svcMRProcess" w:date="2015-11-01T23:27:00Z">
        <w:r>
          <w:rPr>
            <w:snapToGrid w:val="0"/>
          </w:rPr>
          <w:delText xml:space="preserve"> </w:delText>
        </w:r>
        <w:r>
          <w:rPr>
            <w:snapToGrid w:val="0"/>
            <w:vertAlign w:val="superscript"/>
          </w:rPr>
          <w:delText>1a</w:delText>
        </w:r>
        <w:r>
          <w:rPr>
            <w:snapToGrid w:val="0"/>
          </w:rPr>
          <w:delText xml:space="preserve">. </w:delText>
        </w:r>
      </w:del>
      <w:ins w:id="30" w:author="svcMRProcess" w:date="2015-11-01T23:27:00Z">
        <w:r>
          <w:rPr>
            <w:snapToGrid w:val="0"/>
          </w:rPr>
          <w:t>.</w:t>
        </w:r>
      </w:ins>
    </w:p>
    <w:p>
      <w:pPr>
        <w:pStyle w:val="nHeading3"/>
        <w:rPr>
          <w:snapToGrid w:val="0"/>
        </w:rPr>
      </w:pPr>
      <w:bookmarkStart w:id="31" w:name="_Toc378001447"/>
      <w:bookmarkStart w:id="32" w:name="_Toc267916011"/>
      <w:r>
        <w:rPr>
          <w:snapToGrid w:val="0"/>
        </w:rPr>
        <w:t>Compilation table</w:t>
      </w:r>
      <w:bookmarkEnd w:id="31"/>
      <w:bookmarkEnd w:id="3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Midland Junction</w:t>
            </w:r>
            <w:r>
              <w:rPr>
                <w:i/>
                <w:sz w:val="19"/>
              </w:rPr>
              <w:noBreakHyphen/>
              <w:t>Welshpool Railway Act 1957</w:t>
            </w:r>
          </w:p>
        </w:tc>
        <w:tc>
          <w:tcPr>
            <w:tcW w:w="1134" w:type="dxa"/>
            <w:tcBorders>
              <w:top w:val="single" w:sz="8" w:space="0" w:color="auto"/>
            </w:tcBorders>
          </w:tcPr>
          <w:p>
            <w:pPr>
              <w:pStyle w:val="nTable"/>
              <w:spacing w:after="40"/>
              <w:rPr>
                <w:sz w:val="19"/>
              </w:rPr>
            </w:pPr>
            <w:r>
              <w:rPr>
                <w:sz w:val="19"/>
              </w:rPr>
              <w:t>62 of 1957</w:t>
            </w:r>
            <w:r>
              <w:rPr>
                <w:sz w:val="19"/>
              </w:rPr>
              <w:br/>
              <w:t>(6 Eliz. II No. 62)</w:t>
            </w:r>
          </w:p>
        </w:tc>
        <w:tc>
          <w:tcPr>
            <w:tcW w:w="1134" w:type="dxa"/>
            <w:tcBorders>
              <w:top w:val="single" w:sz="8" w:space="0" w:color="auto"/>
            </w:tcBorders>
          </w:tcPr>
          <w:p>
            <w:pPr>
              <w:pStyle w:val="nTable"/>
              <w:spacing w:after="40"/>
              <w:rPr>
                <w:sz w:val="19"/>
              </w:rPr>
            </w:pPr>
            <w:r>
              <w:rPr>
                <w:sz w:val="19"/>
              </w:rPr>
              <w:t>6 Dec 1957</w:t>
            </w:r>
          </w:p>
        </w:tc>
        <w:tc>
          <w:tcPr>
            <w:tcW w:w="2551" w:type="dxa"/>
            <w:tcBorders>
              <w:top w:val="single" w:sz="8" w:space="0" w:color="auto"/>
            </w:tcBorders>
          </w:tcPr>
          <w:p>
            <w:pPr>
              <w:pStyle w:val="nTable"/>
              <w:spacing w:after="40"/>
              <w:rPr>
                <w:sz w:val="19"/>
              </w:rPr>
            </w:pPr>
            <w:r>
              <w:rPr>
                <w:sz w:val="19"/>
              </w:rPr>
              <w:t>6 Dec 1957</w:t>
            </w:r>
          </w:p>
        </w:tc>
      </w:tr>
      <w:tr>
        <w:trPr>
          <w:cantSplit/>
        </w:trPr>
        <w:tc>
          <w:tcPr>
            <w:tcW w:w="7087" w:type="dxa"/>
            <w:gridSpan w:val="4"/>
          </w:tcPr>
          <w:p>
            <w:pPr>
              <w:pStyle w:val="nTable"/>
              <w:spacing w:after="40"/>
              <w:rPr>
                <w:b/>
                <w:bCs/>
                <w:sz w:val="19"/>
              </w:rPr>
            </w:pPr>
            <w:r>
              <w:rPr>
                <w:b/>
                <w:bCs/>
                <w:sz w:val="19"/>
              </w:rPr>
              <w:t xml:space="preserve">Reprint 1: The </w:t>
            </w:r>
            <w:r>
              <w:rPr>
                <w:b/>
                <w:bCs/>
                <w:i/>
                <w:sz w:val="19"/>
              </w:rPr>
              <w:t>Midland Junction</w:t>
            </w:r>
            <w:r>
              <w:rPr>
                <w:b/>
                <w:bCs/>
                <w:i/>
                <w:sz w:val="19"/>
              </w:rPr>
              <w:noBreakHyphen/>
              <w:t>Welshpool Railway Act 1957</w:t>
            </w:r>
            <w:r>
              <w:rPr>
                <w:b/>
                <w:bCs/>
                <w:sz w:val="19"/>
              </w:rPr>
              <w:t xml:space="preserve"> as at 1 Jun 2007</w:t>
            </w:r>
          </w:p>
        </w:tc>
      </w:tr>
    </w:tbl>
    <w:p>
      <w:pPr>
        <w:pStyle w:val="nSubsection"/>
        <w:tabs>
          <w:tab w:val="clear" w:pos="454"/>
          <w:tab w:val="left" w:pos="567"/>
        </w:tabs>
        <w:spacing w:before="120"/>
        <w:ind w:left="567" w:hanging="567"/>
        <w:rPr>
          <w:del w:id="33" w:author="svcMRProcess" w:date="2015-11-01T23:27:00Z"/>
          <w:snapToGrid w:val="0"/>
        </w:rPr>
      </w:pPr>
      <w:del w:id="34" w:author="svcMRProcess" w:date="2015-11-01T23: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 w:author="svcMRProcess" w:date="2015-11-01T23:27:00Z"/>
        </w:rPr>
      </w:pPr>
      <w:bookmarkStart w:id="36" w:name="_Toc7405065"/>
      <w:del w:id="37" w:author="svcMRProcess" w:date="2015-11-01T23:27:00Z">
        <w:r>
          <w:delText>Provisions that have not come into operation</w:delText>
        </w:r>
        <w:bookmarkEnd w:id="36"/>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38" w:author="svcMRProcess" w:date="2015-11-01T23:27:00Z"/>
        </w:trPr>
        <w:tc>
          <w:tcPr>
            <w:tcW w:w="2266" w:type="dxa"/>
          </w:tcPr>
          <w:p>
            <w:pPr>
              <w:pStyle w:val="nTable"/>
              <w:spacing w:after="40"/>
              <w:rPr>
                <w:del w:id="39" w:author="svcMRProcess" w:date="2015-11-01T23:27:00Z"/>
                <w:b/>
                <w:snapToGrid w:val="0"/>
                <w:sz w:val="19"/>
                <w:lang w:val="en-US"/>
              </w:rPr>
            </w:pPr>
            <w:del w:id="40" w:author="svcMRProcess" w:date="2015-11-01T23:27:00Z">
              <w:r>
                <w:rPr>
                  <w:b/>
                  <w:snapToGrid w:val="0"/>
                  <w:sz w:val="19"/>
                  <w:lang w:val="en-US"/>
                </w:rPr>
                <w:delText>Short title</w:delText>
              </w:r>
            </w:del>
          </w:p>
        </w:tc>
        <w:tc>
          <w:tcPr>
            <w:tcW w:w="1120" w:type="dxa"/>
          </w:tcPr>
          <w:p>
            <w:pPr>
              <w:pStyle w:val="nTable"/>
              <w:spacing w:after="40"/>
              <w:rPr>
                <w:del w:id="41" w:author="svcMRProcess" w:date="2015-11-01T23:27:00Z"/>
                <w:b/>
                <w:snapToGrid w:val="0"/>
                <w:sz w:val="19"/>
                <w:lang w:val="en-US"/>
              </w:rPr>
            </w:pPr>
            <w:del w:id="42" w:author="svcMRProcess" w:date="2015-11-01T23:27:00Z">
              <w:r>
                <w:rPr>
                  <w:b/>
                  <w:snapToGrid w:val="0"/>
                  <w:sz w:val="19"/>
                  <w:lang w:val="en-US"/>
                </w:rPr>
                <w:delText>Number and year</w:delText>
              </w:r>
            </w:del>
          </w:p>
        </w:tc>
        <w:tc>
          <w:tcPr>
            <w:tcW w:w="1135" w:type="dxa"/>
          </w:tcPr>
          <w:p>
            <w:pPr>
              <w:pStyle w:val="nTable"/>
              <w:spacing w:after="40"/>
              <w:rPr>
                <w:del w:id="43" w:author="svcMRProcess" w:date="2015-11-01T23:27:00Z"/>
                <w:b/>
                <w:snapToGrid w:val="0"/>
                <w:sz w:val="19"/>
                <w:lang w:val="en-US"/>
              </w:rPr>
            </w:pPr>
            <w:del w:id="44" w:author="svcMRProcess" w:date="2015-11-01T23:27:00Z">
              <w:r>
                <w:rPr>
                  <w:b/>
                  <w:snapToGrid w:val="0"/>
                  <w:sz w:val="19"/>
                  <w:lang w:val="en-US"/>
                </w:rPr>
                <w:delText>Assent</w:delText>
              </w:r>
            </w:del>
          </w:p>
        </w:tc>
        <w:tc>
          <w:tcPr>
            <w:tcW w:w="2534" w:type="dxa"/>
          </w:tcPr>
          <w:p>
            <w:pPr>
              <w:pStyle w:val="nTable"/>
              <w:spacing w:after="40"/>
              <w:rPr>
                <w:del w:id="45" w:author="svcMRProcess" w:date="2015-11-01T23:27:00Z"/>
                <w:b/>
                <w:snapToGrid w:val="0"/>
                <w:sz w:val="19"/>
                <w:lang w:val="en-US"/>
              </w:rPr>
            </w:pPr>
            <w:del w:id="46" w:author="svcMRProcess" w:date="2015-11-01T23:2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5</w:t>
            </w:r>
            <w:del w:id="47" w:author="svcMRProcess" w:date="2015-11-01T23:27:00Z">
              <w:r>
                <w:rPr>
                  <w:iCs/>
                  <w:snapToGrid w:val="0"/>
                  <w:sz w:val="19"/>
                  <w:lang w:val="en-US"/>
                </w:rPr>
                <w:delText xml:space="preserve"> </w:delText>
              </w:r>
              <w:r>
                <w:rPr>
                  <w:iCs/>
                  <w:snapToGrid w:val="0"/>
                  <w:sz w:val="19"/>
                  <w:vertAlign w:val="superscript"/>
                  <w:lang w:val="en-US"/>
                </w:rPr>
                <w:delText>2</w:delText>
              </w:r>
            </w:del>
          </w:p>
        </w:tc>
        <w:tc>
          <w:tcPr>
            <w:tcW w:w="1139" w:type="dxa"/>
            <w:tcBorders>
              <w:bottom w:val="single" w:sz="4" w:space="0" w:color="auto"/>
            </w:tcBorders>
          </w:tcPr>
          <w:p>
            <w:pPr>
              <w:pStyle w:val="nTable"/>
              <w:spacing w:after="40"/>
              <w:rPr>
                <w:snapToGrid w:val="0"/>
                <w:sz w:val="19"/>
              </w:rPr>
            </w:pPr>
            <w:r>
              <w:rPr>
                <w:snapToGrid w:val="0"/>
                <w:sz w:val="19"/>
              </w:rPr>
              <w:t>19 of 2010</w:t>
            </w:r>
          </w:p>
        </w:tc>
        <w:tc>
          <w:tcPr>
            <w:tcW w:w="1136" w:type="dxa"/>
            <w:tcBorders>
              <w:bottom w:val="single" w:sz="4" w:space="0" w:color="auto"/>
            </w:tcBorders>
          </w:tcPr>
          <w:p>
            <w:pPr>
              <w:pStyle w:val="nTable"/>
              <w:spacing w:after="40"/>
              <w:rPr>
                <w:snapToGrid w:val="0"/>
                <w:sz w:val="19"/>
              </w:rPr>
            </w:pPr>
            <w:r>
              <w:rPr>
                <w:snapToGrid w:val="0"/>
                <w:sz w:val="19"/>
              </w:rPr>
              <w:t>28 Jun 2010</w:t>
            </w:r>
          </w:p>
        </w:tc>
        <w:tc>
          <w:tcPr>
            <w:tcW w:w="2554" w:type="dxa"/>
            <w:tcBorders>
              <w:bottom w:val="single" w:sz="4" w:space="0" w:color="auto"/>
            </w:tcBorders>
          </w:tcPr>
          <w:p>
            <w:pPr>
              <w:pStyle w:val="nTable"/>
              <w:spacing w:after="40"/>
              <w:rPr>
                <w:snapToGrid w:val="0"/>
                <w:sz w:val="19"/>
              </w:rPr>
            </w:pPr>
            <w:del w:id="48" w:author="svcMRProcess" w:date="2015-11-01T23:27:00Z">
              <w:r>
                <w:rPr>
                  <w:snapToGrid w:val="0"/>
                  <w:sz w:val="19"/>
                  <w:lang w:val="en-US"/>
                </w:rPr>
                <w:delText>To be proclaimed</w:delText>
              </w:r>
            </w:del>
            <w:ins w:id="49" w:author="svcMRProcess" w:date="2015-11-01T23:27:00Z">
              <w:r>
                <w:rPr>
                  <w:snapToGrid w:val="0"/>
                  <w:sz w:val="19"/>
                </w:rPr>
                <w:t>11 Sep 2010</w:t>
              </w:r>
            </w:ins>
            <w:r>
              <w:rPr>
                <w:snapToGrid w:val="0"/>
                <w:sz w:val="19"/>
              </w:rPr>
              <w:t xml:space="preserve"> (see s. 2(b</w:t>
            </w:r>
            <w:del w:id="50" w:author="svcMRProcess" w:date="2015-11-01T23:27:00Z">
              <w:r>
                <w:rPr>
                  <w:snapToGrid w:val="0"/>
                  <w:sz w:val="19"/>
                  <w:lang w:val="en-US"/>
                </w:rPr>
                <w:delText>))</w:delText>
              </w:r>
            </w:del>
            <w:ins w:id="51" w:author="svcMRProcess" w:date="2015-11-01T23:27:00Z">
              <w:r>
                <w:rPr>
                  <w:snapToGrid w:val="0"/>
                  <w:sz w:val="19"/>
                </w:rPr>
                <w:t xml:space="preserve">) and </w:t>
              </w:r>
              <w:r>
                <w:rPr>
                  <w:i/>
                  <w:iCs/>
                  <w:snapToGrid w:val="0"/>
                  <w:sz w:val="19"/>
                </w:rPr>
                <w:t>Gazette</w:t>
              </w:r>
              <w:r>
                <w:rPr>
                  <w:snapToGrid w:val="0"/>
                  <w:sz w:val="19"/>
                </w:rPr>
                <w:t xml:space="preserve"> 10 Sep 2010 p. 4341)</w:t>
              </w:r>
            </w:ins>
          </w:p>
        </w:tc>
      </w:tr>
    </w:tbl>
    <w:p>
      <w:pPr>
        <w:pStyle w:val="nSubsection"/>
        <w:keepNext/>
        <w:keepLines/>
        <w:rPr>
          <w:del w:id="52" w:author="svcMRProcess" w:date="2015-11-01T23:27:00Z"/>
          <w:snapToGrid w:val="0"/>
        </w:rPr>
      </w:pPr>
      <w:del w:id="53" w:author="svcMRProcess" w:date="2015-11-01T23:2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 had not come into operation.  It reads as follows:</w:delText>
        </w:r>
      </w:del>
    </w:p>
    <w:p>
      <w:pPr>
        <w:pStyle w:val="BlankOpen"/>
        <w:rPr>
          <w:del w:id="54" w:author="svcMRProcess" w:date="2015-11-01T23:27:00Z"/>
          <w:snapToGrid w:val="0"/>
        </w:rPr>
      </w:pPr>
    </w:p>
    <w:p>
      <w:pPr>
        <w:pStyle w:val="nzHeading5"/>
        <w:rPr>
          <w:del w:id="55" w:author="svcMRProcess" w:date="2015-11-01T23:27:00Z"/>
        </w:rPr>
      </w:pPr>
      <w:del w:id="56" w:author="svcMRProcess" w:date="2015-11-01T23:27:00Z">
        <w:r>
          <w:rPr>
            <w:rStyle w:val="CharSectno"/>
          </w:rPr>
          <w:delText>5</w:delText>
        </w:r>
        <w:r>
          <w:delText>.</w:delText>
        </w:r>
        <w:r>
          <w:tab/>
          <w:delText>Schedule headings in railway Acts replaced</w:delText>
        </w:r>
      </w:del>
    </w:p>
    <w:p>
      <w:pPr>
        <w:pStyle w:val="nzSubsection"/>
        <w:rPr>
          <w:del w:id="57" w:author="svcMRProcess" w:date="2015-11-01T23:27:00Z"/>
          <w:rFonts w:eastAsia="MS Mincho"/>
        </w:rPr>
      </w:pPr>
      <w:del w:id="58" w:author="svcMRProcess" w:date="2015-11-01T23:27:00Z">
        <w:r>
          <w:rPr>
            <w:rFonts w:eastAsia="MS Mincho"/>
          </w:rPr>
          <w:tab/>
          <w:delText>(1)</w:delText>
        </w:r>
        <w:r>
          <w:rPr>
            <w:rFonts w:eastAsia="MS Mincho"/>
          </w:rPr>
          <w:tab/>
          <w:delText>This section amends the Acts listed in the Table.</w:delText>
        </w:r>
      </w:del>
    </w:p>
    <w:p>
      <w:pPr>
        <w:pStyle w:val="nzSubsection"/>
        <w:rPr>
          <w:del w:id="59" w:author="svcMRProcess" w:date="2015-11-01T23:27:00Z"/>
          <w:rFonts w:eastAsia="MS Mincho"/>
        </w:rPr>
      </w:pPr>
      <w:del w:id="60" w:author="svcMRProcess" w:date="2015-11-01T23:27:00Z">
        <w:r>
          <w:rPr>
            <w:rFonts w:eastAsia="MS Mincho"/>
          </w:rPr>
          <w:tab/>
          <w:delText>(2)</w:delText>
        </w:r>
        <w:r>
          <w:rPr>
            <w:rFonts w:eastAsia="MS Mincho"/>
          </w:rPr>
          <w:tab/>
          <w:delText xml:space="preserve">In each Schedule listed in the Table </w:delText>
        </w:r>
        <w:r>
          <w:delText xml:space="preserve">delete all of the Schedule </w:delText>
        </w:r>
        <w:r>
          <w:rPr>
            <w:rFonts w:eastAsia="MS Mincho"/>
          </w:rPr>
          <w:delText xml:space="preserve">before “Commencing at” and insert the identifier, title and shoulder note set out in the Table as a heading to the Schedule </w:delText>
        </w:r>
        <w:r>
          <w:delText>in the current format</w:delText>
        </w:r>
        <w:r>
          <w:rPr>
            <w:rFonts w:eastAsia="MS Mincho"/>
          </w:rPr>
          <w:delText>.</w:delText>
        </w:r>
      </w:del>
    </w:p>
    <w:p>
      <w:pPr>
        <w:pStyle w:val="nzMiscellaneousHeading"/>
        <w:rPr>
          <w:del w:id="61" w:author="svcMRProcess" w:date="2015-11-01T23:27:00Z"/>
        </w:rPr>
      </w:pPr>
      <w:del w:id="62" w:author="svcMRProcess" w:date="2015-11-01T23:27:00Z">
        <w:r>
          <w:rPr>
            <w:b/>
            <w:bCs/>
          </w:rPr>
          <w:delText>Table</w:delText>
        </w:r>
      </w:del>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del w:id="63" w:author="svcMRProcess" w:date="2015-11-01T23:27: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del w:id="64" w:author="svcMRProcess" w:date="2015-11-01T23:27:00Z"/>
                <w:rFonts w:eastAsia="MS Mincho"/>
                <w:b/>
                <w:bCs/>
                <w:sz w:val="18"/>
              </w:rPr>
            </w:pPr>
            <w:del w:id="65" w:author="svcMRProcess" w:date="2015-11-01T23:27:00Z">
              <w:r>
                <w:rPr>
                  <w:rFonts w:eastAsia="MS Mincho"/>
                  <w:b/>
                  <w:bCs/>
                  <w:sz w:val="18"/>
                </w:rPr>
                <w:delText>Act</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del w:id="66" w:author="svcMRProcess" w:date="2015-11-01T23:27:00Z"/>
                <w:b/>
                <w:bCs/>
                <w:sz w:val="18"/>
              </w:rPr>
            </w:pPr>
            <w:del w:id="67" w:author="svcMRProcess" w:date="2015-11-01T23:2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68" w:author="svcMRProcess" w:date="2015-11-01T23:27:00Z"/>
                <w:b/>
                <w:bCs/>
                <w:sz w:val="18"/>
              </w:rPr>
            </w:pPr>
            <w:del w:id="69" w:author="svcMRProcess" w:date="2015-11-01T23:27:00Z">
              <w:r>
                <w:rPr>
                  <w:b/>
                  <w:bCs/>
                  <w:sz w:val="18"/>
                </w:rPr>
                <w:delText>Title</w:delText>
              </w:r>
            </w:del>
          </w:p>
          <w:p>
            <w:pPr>
              <w:pStyle w:val="TableAm"/>
              <w:spacing w:before="0"/>
              <w:jc w:val="center"/>
              <w:rPr>
                <w:del w:id="70" w:author="svcMRProcess" w:date="2015-11-01T23:27: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del w:id="71" w:author="svcMRProcess" w:date="2015-11-01T23:27:00Z"/>
                <w:b/>
                <w:bCs/>
                <w:sz w:val="18"/>
              </w:rPr>
            </w:pPr>
            <w:del w:id="72" w:author="svcMRProcess" w:date="2015-11-01T23:27:00Z">
              <w:r>
                <w:rPr>
                  <w:b/>
                  <w:bCs/>
                  <w:sz w:val="18"/>
                </w:rPr>
                <w:delText>Shoulder note</w:delText>
              </w:r>
            </w:del>
          </w:p>
        </w:tc>
      </w:tr>
      <w:tr>
        <w:trPr>
          <w:del w:id="73" w:author="svcMRProcess" w:date="2015-11-01T23:27: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del w:id="74" w:author="svcMRProcess" w:date="2015-11-01T23:27:00Z"/>
                <w:sz w:val="18"/>
              </w:rPr>
            </w:pPr>
            <w:del w:id="75" w:author="svcMRProcess" w:date="2015-11-01T23:27:00Z">
              <w:r>
                <w:rPr>
                  <w:rFonts w:eastAsia="MS Mincho"/>
                  <w:i/>
                  <w:iCs/>
                  <w:sz w:val="18"/>
                </w:rPr>
                <w:delText>Midland Junction</w:delText>
              </w:r>
              <w:r>
                <w:rPr>
                  <w:rFonts w:eastAsia="MS Mincho"/>
                  <w:i/>
                  <w:iCs/>
                  <w:sz w:val="18"/>
                </w:rPr>
                <w:noBreakHyphen/>
                <w:delText>Welshpool Railway Act 1957</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76" w:author="svcMRProcess" w:date="2015-11-01T23:27:00Z"/>
                <w:sz w:val="18"/>
              </w:rPr>
            </w:pPr>
            <w:del w:id="77" w:author="svcMRProcess" w:date="2015-11-01T23:27: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78" w:author="svcMRProcess" w:date="2015-11-01T23:27:00Z"/>
                <w:sz w:val="18"/>
              </w:rPr>
            </w:pPr>
            <w:del w:id="79" w:author="svcMRProcess" w:date="2015-11-01T23:27:00Z">
              <w:r>
                <w:rPr>
                  <w:rFonts w:eastAsia="MS Mincho"/>
                  <w:sz w:val="18"/>
                </w:rPr>
                <w:delText xml:space="preserve">Line of Midland Junction </w:delText>
              </w:r>
              <w:r>
                <w:rPr>
                  <w:rFonts w:eastAsia="MS Mincho"/>
                  <w:sz w:val="18"/>
                </w:rPr>
                <w:noBreakHyphen/>
                <w:delText xml:space="preserve"> Welshpool Railway</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80" w:author="svcMRProcess" w:date="2015-11-01T23:27:00Z"/>
                <w:sz w:val="18"/>
              </w:rPr>
            </w:pPr>
            <w:del w:id="81" w:author="svcMRProcess" w:date="2015-11-01T23:27:00Z">
              <w:r>
                <w:rPr>
                  <w:sz w:val="18"/>
                </w:rPr>
                <w:delText>[s. 2]</w:delText>
              </w:r>
            </w:del>
          </w:p>
        </w:tc>
      </w:tr>
    </w:tb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Midland Junction-Welshpool Railway Act 1957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Junction-Welshpool Railway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Midland Junction-Welshpool Railway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Midland Junction-Welshpool Railway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Midland Junction-Welshpool Railway Act 1957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Midland Junction-Welshpool Railway Act 1957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Midland Junction-Welshpool Railway Act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Junction-Welshpool Railway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D83C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12802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B943C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20CE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292CC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28EF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8EA4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B84C0BE"/>
    <w:lvl w:ilvl="0">
      <w:start w:val="1"/>
      <w:numFmt w:val="decimal"/>
      <w:pStyle w:val="ListNumber"/>
      <w:lvlText w:val="%1."/>
      <w:lvlJc w:val="left"/>
      <w:pPr>
        <w:tabs>
          <w:tab w:val="num" w:pos="360"/>
        </w:tabs>
        <w:ind w:left="360" w:hanging="360"/>
      </w:pPr>
    </w:lvl>
  </w:abstractNum>
  <w:abstractNum w:abstractNumId="9">
    <w:nsid w:val="FFFFFF89"/>
    <w:multiLevelType w:val="singleLevel"/>
    <w:tmpl w:val="D6F4E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A2489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0171301"/>
    <w:docVar w:name="WAFER_20140120164750" w:val="RemoveTocBookmarks,RemoveUnusedBookmarks,RemoveLanguageTags,UsedStyles,ResetPageSize,UpdateArrangement"/>
    <w:docVar w:name="WAFER_20140120164750_GUID" w:val="9af0d651-3247-4aa3-9b77-187eee95ce56"/>
    <w:docVar w:name="WAFER_20140120171301" w:val="RemoveTocBookmarks,RunningHeaders"/>
    <w:docVar w:name="WAFER_20140120171301_GUID" w:val="25161b7b-34a6-4b2d-82f7-6c356d97a7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3528</Characters>
  <Application>Microsoft Office Word</Application>
  <DocSecurity>0</DocSecurity>
  <Lines>121</Lines>
  <Paragraphs>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4176</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Junction-Welshpool Railway Act 1957 01-b0-01 - 01-c0-03</dc:title>
  <dc:subject/>
  <dc:creator/>
  <cp:keywords/>
  <dc:description/>
  <cp:lastModifiedBy>svcMRProcess</cp:lastModifiedBy>
  <cp:revision>2</cp:revision>
  <cp:lastPrinted>2007-05-22T06:10:00Z</cp:lastPrinted>
  <dcterms:created xsi:type="dcterms:W3CDTF">2015-11-01T15:27:00Z</dcterms:created>
  <dcterms:modified xsi:type="dcterms:W3CDTF">2015-11-01T15:27:00Z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2007-05-31T16:00:00Z</vt:filetime>
  </property>
  <property fmtid="{D5CDD505-2E9C-101B-9397-08002B2CF9AE}" pid="6" name="ReprintNo">
    <vt:lpwstr>1</vt:lpwstr>
  </property>
  <property fmtid="{D5CDD505-2E9C-101B-9397-08002B2CF9AE}" pid="7" name="OwlsUID">
    <vt:i4>503</vt:i4>
  </property>
  <property fmtid="{D5CDD505-2E9C-101B-9397-08002B2CF9AE}" pid="8" name="FromSuffix">
    <vt:lpwstr>01-b0-01</vt:lpwstr>
  </property>
  <property fmtid="{D5CDD505-2E9C-101B-9397-08002B2CF9AE}" pid="9" name="FromAsAtDate">
    <vt:lpwstr>28 Jun 2010</vt:lpwstr>
  </property>
  <property fmtid="{D5CDD505-2E9C-101B-9397-08002B2CF9AE}" pid="10" name="ToSuffix">
    <vt:lpwstr>01-c0-03</vt:lpwstr>
  </property>
  <property fmtid="{D5CDD505-2E9C-101B-9397-08002B2CF9AE}" pid="11" name="ToAsAtDate">
    <vt:lpwstr>11 Sep 2010</vt:lpwstr>
  </property>
</Properties>
</file>