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0" w:name="_GoBack"/>
      <w:bookmarkEnd w:id="0"/>
      <w:r>
        <w:rPr>
          <w:snapToGrid w:val="0"/>
        </w:rPr>
        <w:t xml:space="preserve">n Act to amend the law relating to the warehousing of goods. </w:t>
      </w:r>
    </w:p>
    <w:p>
      <w:pPr>
        <w:pStyle w:val="Heading5"/>
        <w:rPr>
          <w:snapToGrid w:val="0"/>
        </w:rPr>
      </w:pPr>
      <w:bookmarkStart w:id="1" w:name="_Toc411830590"/>
      <w:bookmarkStart w:id="2" w:name="_Toc10969197"/>
      <w:bookmarkStart w:id="3" w:name="_Toc16396091"/>
      <w:bookmarkStart w:id="4" w:name="_Toc102450222"/>
      <w:bookmarkStart w:id="5" w:name="_Toc268269198"/>
      <w:bookmarkStart w:id="6" w:name="_Toc26790463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7" w:name="_Toc411830591"/>
      <w:bookmarkStart w:id="8" w:name="_Toc10969198"/>
      <w:bookmarkStart w:id="9" w:name="_Toc16396092"/>
      <w:bookmarkStart w:id="10" w:name="_Toc102450223"/>
      <w:bookmarkStart w:id="11" w:name="_Toc268269199"/>
      <w:bookmarkStart w:id="12" w:name="_Toc267904638"/>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3" w:name="_Toc411830592"/>
      <w:bookmarkStart w:id="14" w:name="_Toc10969199"/>
      <w:bookmarkStart w:id="15" w:name="_Toc16396093"/>
      <w:bookmarkStart w:id="16" w:name="_Toc102450224"/>
      <w:bookmarkStart w:id="17" w:name="_Toc268269200"/>
      <w:bookmarkStart w:id="18" w:name="_Toc267904639"/>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19" w:name="_Toc411830593"/>
      <w:bookmarkStart w:id="20" w:name="_Toc10969200"/>
      <w:bookmarkStart w:id="21" w:name="_Toc16396094"/>
      <w:bookmarkStart w:id="22" w:name="_Toc102450225"/>
      <w:bookmarkStart w:id="23" w:name="_Toc268269201"/>
      <w:bookmarkStart w:id="24" w:name="_Toc267904640"/>
      <w:r>
        <w:rPr>
          <w:rStyle w:val="CharSectno"/>
        </w:rPr>
        <w:t>4</w:t>
      </w:r>
      <w:r>
        <w:rPr>
          <w:snapToGrid w:val="0"/>
        </w:rPr>
        <w:t>.</w:t>
      </w:r>
      <w:r>
        <w:rPr>
          <w:snapToGrid w:val="0"/>
        </w:rPr>
        <w:tab/>
        <w:t>Declaration of warehouseman’s lien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Subject to the provisions of section 6, a warehouseman shall have a lien on goods deposited with him for storage.</w:t>
      </w:r>
    </w:p>
    <w:p>
      <w:pPr>
        <w:pStyle w:val="Heading5"/>
        <w:rPr>
          <w:snapToGrid w:val="0"/>
        </w:rPr>
      </w:pPr>
      <w:bookmarkStart w:id="25" w:name="_Toc411830594"/>
      <w:bookmarkStart w:id="26" w:name="_Toc10969201"/>
      <w:bookmarkStart w:id="27" w:name="_Toc16396095"/>
      <w:bookmarkStart w:id="28" w:name="_Toc102450226"/>
      <w:bookmarkStart w:id="29" w:name="_Toc268269202"/>
      <w:bookmarkStart w:id="30" w:name="_Toc267904641"/>
      <w:r>
        <w:rPr>
          <w:rStyle w:val="CharSectno"/>
        </w:rPr>
        <w:t>5</w:t>
      </w:r>
      <w:r>
        <w:rPr>
          <w:snapToGrid w:val="0"/>
        </w:rPr>
        <w:t>.</w:t>
      </w:r>
      <w:r>
        <w:rPr>
          <w:snapToGrid w:val="0"/>
        </w:rPr>
        <w:tab/>
        <w:t>Charges covered by lien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31" w:name="_Toc411830595"/>
      <w:bookmarkStart w:id="32" w:name="_Toc10969202"/>
      <w:bookmarkStart w:id="33" w:name="_Toc16396096"/>
      <w:bookmarkStart w:id="34" w:name="_Toc102450227"/>
      <w:bookmarkStart w:id="35" w:name="_Toc268269203"/>
      <w:bookmarkStart w:id="36" w:name="_Toc267904642"/>
      <w:r>
        <w:rPr>
          <w:rStyle w:val="CharSectno"/>
        </w:rPr>
        <w:t>6</w:t>
      </w:r>
      <w:r>
        <w:rPr>
          <w:snapToGrid w:val="0"/>
        </w:rPr>
        <w:t>.</w:t>
      </w:r>
      <w:r>
        <w:rPr>
          <w:snapToGrid w:val="0"/>
        </w:rPr>
        <w:tab/>
        <w:t>Necessity of notice by warehouseman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warehouseman shall within 3 months after the date of the deposit of the goods give notice of the lien — </w:t>
      </w:r>
    </w:p>
    <w:p>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w:t>
      </w:r>
    </w:p>
    <w:p>
      <w:pPr>
        <w:pStyle w:val="Indenta"/>
        <w:rPr>
          <w:snapToGrid w:val="0"/>
        </w:rPr>
      </w:pPr>
      <w:r>
        <w:rPr>
          <w:snapToGrid w:val="0"/>
        </w:rPr>
        <w:tab/>
        <w:t>(b)</w:t>
      </w:r>
      <w:r>
        <w:rPr>
          <w:snapToGrid w:val="0"/>
        </w:rPr>
        <w:tab/>
        <w:t>to the grantee of a bill of sale — </w:t>
      </w:r>
    </w:p>
    <w:p>
      <w:pPr>
        <w:pStyle w:val="Indenti"/>
        <w:rPr>
          <w:snapToGrid w:val="0"/>
        </w:rPr>
      </w:pPr>
      <w:r>
        <w:rPr>
          <w:snapToGrid w:val="0"/>
        </w:rPr>
        <w:tab/>
        <w:t>(i)</w:t>
      </w:r>
      <w:r>
        <w:rPr>
          <w:snapToGrid w:val="0"/>
        </w:rPr>
        <w:tab/>
        <w:t>which relates to the goods;</w:t>
      </w:r>
    </w:p>
    <w:p>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w:t>
      </w:r>
    </w:p>
    <w:p>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pPr>
        <w:pStyle w:val="Indenti"/>
        <w:rPr>
          <w:snapToGrid w:val="0"/>
        </w:rPr>
      </w:pPr>
      <w:r>
        <w:rPr>
          <w:snapToGrid w:val="0"/>
        </w:rPr>
        <w:tab/>
        <w:t>(iv)</w:t>
      </w:r>
      <w:r>
        <w:rPr>
          <w:snapToGrid w:val="0"/>
        </w:rPr>
        <w:tab/>
        <w:t xml:space="preserve">which has not become null and void or in respect of which a satisfaction has not been registered;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pPr>
        <w:pStyle w:val="Subsection"/>
        <w:keepNext/>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Heading5"/>
        <w:rPr>
          <w:snapToGrid w:val="0"/>
        </w:rPr>
      </w:pPr>
      <w:bookmarkStart w:id="37" w:name="_Toc411830596"/>
      <w:bookmarkStart w:id="38" w:name="_Toc10969203"/>
      <w:bookmarkStart w:id="39" w:name="_Toc16396097"/>
      <w:bookmarkStart w:id="40" w:name="_Toc102450228"/>
      <w:bookmarkStart w:id="41" w:name="_Toc268269204"/>
      <w:bookmarkStart w:id="42" w:name="_Toc267904643"/>
      <w:r>
        <w:rPr>
          <w:rStyle w:val="CharSectno"/>
        </w:rPr>
        <w:t>7</w:t>
      </w:r>
      <w:r>
        <w:rPr>
          <w:snapToGrid w:val="0"/>
        </w:rPr>
        <w:t>.</w:t>
      </w:r>
      <w:r>
        <w:rPr>
          <w:snapToGrid w:val="0"/>
        </w:rPr>
        <w:tab/>
        <w:t>Power to sell goods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w:t>
      </w:r>
    </w:p>
    <w:p>
      <w:pPr>
        <w:pStyle w:val="Indenta"/>
        <w:rPr>
          <w:snapToGrid w:val="0"/>
        </w:rPr>
      </w:pPr>
      <w:r>
        <w:rPr>
          <w:snapToGrid w:val="0"/>
        </w:rPr>
        <w:tab/>
        <w:t>(c)</w:t>
      </w:r>
      <w:r>
        <w:rPr>
          <w:snapToGrid w:val="0"/>
        </w:rPr>
        <w:tab/>
        <w:t>to the grantee of a bill of sale mentioned in section 6(1)(b); and</w:t>
      </w:r>
    </w:p>
    <w:p>
      <w:pPr>
        <w:pStyle w:val="Indenta"/>
        <w:rPr>
          <w:snapToGrid w:val="0"/>
        </w:rPr>
      </w:pPr>
      <w:r>
        <w:rPr>
          <w:snapToGrid w:val="0"/>
        </w:rPr>
        <w:tab/>
        <w:t>(d)</w:t>
      </w:r>
      <w:r>
        <w:rPr>
          <w:snapToGrid w:val="0"/>
        </w:rPr>
        <w:tab/>
        <w:t>to any other person of whose interest in the goods the warehouseman has knowledge.</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w:t>
      </w:r>
    </w:p>
    <w:p>
      <w:pPr>
        <w:pStyle w:val="Indenta"/>
        <w:rPr>
          <w:snapToGrid w:val="0"/>
        </w:rPr>
      </w:pPr>
      <w:r>
        <w:rPr>
          <w:snapToGrid w:val="0"/>
        </w:rPr>
        <w:tab/>
        <w:t>(c)</w:t>
      </w:r>
      <w:r>
        <w:rPr>
          <w:snapToGrid w:val="0"/>
        </w:rPr>
        <w:tab/>
        <w:t>an itemized statement of the warehouseman’s charges showing the sum due at the time of the notice;</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rPr>
          <w:del w:id="43" w:author="svcMRProcess" w:date="2015-11-12T21:57:00Z"/>
          <w:snapToGrid w:val="0"/>
        </w:rPr>
      </w:pPr>
      <w:r>
        <w:rPr>
          <w:snapToGrid w:val="0"/>
        </w:rPr>
        <w:tab/>
        <w:t>(</w:t>
      </w:r>
      <w:del w:id="44" w:author="svcMRProcess" w:date="2015-11-12T21:57:00Z">
        <w:r>
          <w:rPr>
            <w:snapToGrid w:val="0"/>
          </w:rPr>
          <w:delText>5)(a</w:delText>
        </w:r>
      </w:del>
      <w:ins w:id="45" w:author="svcMRProcess" w:date="2015-11-12T21:57:00Z">
        <w:r>
          <w:rPr>
            <w:snapToGrid w:val="0"/>
          </w:rPr>
          <w:t>5A</w:t>
        </w:r>
      </w:ins>
      <w:r>
        <w:rPr>
          <w:snapToGrid w:val="0"/>
        </w:rPr>
        <w:t>)</w:t>
      </w:r>
      <w:r>
        <w:rPr>
          <w:snapToGrid w:val="0"/>
        </w:rPr>
        <w:tab/>
        <w:t>Where the charges are not paid on or before the day mentioned in the notice, an advertisement of the sale, describing the goods to be sold, and stating the time and place of the sale, shall be published</w:t>
      </w:r>
      <w:del w:id="46" w:author="svcMRProcess" w:date="2015-11-12T21:57:00Z">
        <w:r>
          <w:rPr>
            <w:snapToGrid w:val="0"/>
          </w:rPr>
          <w:delText> —</w:delText>
        </w:r>
      </w:del>
    </w:p>
    <w:p>
      <w:pPr>
        <w:pStyle w:val="Indenta"/>
        <w:rPr>
          <w:del w:id="47" w:author="svcMRProcess" w:date="2015-11-12T21:57:00Z"/>
          <w:snapToGrid w:val="0"/>
        </w:rPr>
      </w:pPr>
      <w:del w:id="48" w:author="svcMRProcess" w:date="2015-11-12T21:57:00Z">
        <w:r>
          <w:rPr>
            <w:snapToGrid w:val="0"/>
          </w:rPr>
          <w:tab/>
        </w:r>
        <w:r>
          <w:rPr>
            <w:snapToGrid w:val="0"/>
          </w:rPr>
          <w:tab/>
        </w:r>
      </w:del>
      <w:ins w:id="49" w:author="svcMRProcess" w:date="2015-11-12T21:57:00Z">
        <w:r>
          <w:rPr>
            <w:snapToGrid w:val="0"/>
          </w:rPr>
          <w:t xml:space="preserve"> </w:t>
        </w:r>
      </w:ins>
      <w:r>
        <w:rPr>
          <w:snapToGrid w:val="0"/>
        </w:rPr>
        <w:t>at least twice</w:t>
      </w:r>
      <w:ins w:id="50" w:author="svcMRProcess" w:date="2015-11-12T21:57:00Z">
        <w:r>
          <w:rPr>
            <w:snapToGrid w:val="0"/>
          </w:rPr>
          <w:t>,</w:t>
        </w:r>
      </w:ins>
      <w:r>
        <w:rPr>
          <w:snapToGrid w:val="0"/>
        </w:rPr>
        <w:t xml:space="preserve"> with an interval between the advertisements of at least 7 days</w:t>
      </w:r>
      <w:del w:id="51" w:author="svcMRProcess" w:date="2015-11-12T21:57:00Z">
        <w:r>
          <w:rPr>
            <w:snapToGrid w:val="0"/>
          </w:rPr>
          <w:delText> — </w:delText>
        </w:r>
      </w:del>
    </w:p>
    <w:p>
      <w:pPr>
        <w:pStyle w:val="Subsection"/>
        <w:rPr>
          <w:snapToGrid w:val="0"/>
        </w:rPr>
      </w:pPr>
      <w:del w:id="52" w:author="svcMRProcess" w:date="2015-11-12T21:57:00Z">
        <w:r>
          <w:rPr>
            <w:snapToGrid w:val="0"/>
          </w:rPr>
          <w:tab/>
        </w:r>
        <w:r>
          <w:rPr>
            <w:snapToGrid w:val="0"/>
          </w:rPr>
          <w:tab/>
        </w:r>
      </w:del>
      <w:ins w:id="53" w:author="svcMRProcess" w:date="2015-11-12T21:57:00Z">
        <w:r>
          <w:rPr>
            <w:snapToGrid w:val="0"/>
          </w:rPr>
          <w:t xml:space="preserve">, </w:t>
        </w:r>
      </w:ins>
      <w:r>
        <w:rPr>
          <w:snapToGrid w:val="0"/>
        </w:rPr>
        <w:t>in a newspaper circulating in the locality where the sale is to be held, and, if the newspaper is not a daily newspaper, in a daily newspaper circulating in the local government district of Perth.</w:t>
      </w:r>
    </w:p>
    <w:p>
      <w:pPr>
        <w:pStyle w:val="Subsection"/>
        <w:rPr>
          <w:snapToGrid w:val="0"/>
        </w:rPr>
      </w:pPr>
      <w:r>
        <w:rPr>
          <w:snapToGrid w:val="0"/>
        </w:rPr>
        <w:tab/>
        <w:t>(</w:t>
      </w:r>
      <w:del w:id="54" w:author="svcMRProcess" w:date="2015-11-12T21:57:00Z">
        <w:r>
          <w:rPr>
            <w:snapToGrid w:val="0"/>
          </w:rPr>
          <w:delText>b</w:delText>
        </w:r>
      </w:del>
      <w:ins w:id="55" w:author="svcMRProcess" w:date="2015-11-12T21:57:00Z">
        <w:r>
          <w:rPr>
            <w:snapToGrid w:val="0"/>
          </w:rPr>
          <w:t>5B</w:t>
        </w:r>
      </w:ins>
      <w:r>
        <w:rPr>
          <w:snapToGrid w:val="0"/>
        </w:rPr>
        <w:t>)</w:t>
      </w:r>
      <w:r>
        <w:rPr>
          <w:snapToGrid w:val="0"/>
        </w:rPr>
        <w:tab/>
        <w:t>The sale shall, subject to the provisions of section 8, be held not less than 14 days from the date of the first publication of the advertisement.</w:t>
      </w:r>
    </w:p>
    <w:p>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rPr>
          <w:snapToGrid w:val="0"/>
        </w:rPr>
      </w:pPr>
      <w:r>
        <w:rPr>
          <w:snapToGrid w:val="0"/>
        </w:rPr>
        <w:tab/>
        <w:t>(</w:t>
      </w:r>
      <w:del w:id="56" w:author="svcMRProcess" w:date="2015-11-12T21:57:00Z">
        <w:r>
          <w:rPr>
            <w:snapToGrid w:val="0"/>
          </w:rPr>
          <w:delText>7)(a</w:delText>
        </w:r>
      </w:del>
      <w:ins w:id="57" w:author="svcMRProcess" w:date="2015-11-12T21:57:00Z">
        <w:r>
          <w:rPr>
            <w:snapToGrid w:val="0"/>
          </w:rPr>
          <w:t>7A</w:t>
        </w:r>
      </w:ins>
      <w:r>
        <w:rPr>
          <w:snapToGrid w:val="0"/>
        </w:rPr>
        <w:t>)</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rPr>
          <w:snapToGrid w:val="0"/>
        </w:rPr>
      </w:pPr>
      <w:r>
        <w:rPr>
          <w:snapToGrid w:val="0"/>
        </w:rPr>
        <w:tab/>
        <w:t>(</w:t>
      </w:r>
      <w:del w:id="58" w:author="svcMRProcess" w:date="2015-11-12T21:57:00Z">
        <w:r>
          <w:rPr>
            <w:snapToGrid w:val="0"/>
          </w:rPr>
          <w:delText>b</w:delText>
        </w:r>
      </w:del>
      <w:ins w:id="59" w:author="svcMRProcess" w:date="2015-11-12T21:57:00Z">
        <w:r>
          <w:rPr>
            <w:snapToGrid w:val="0"/>
          </w:rPr>
          <w:t>7B</w:t>
        </w:r>
      </w:ins>
      <w:r>
        <w:rPr>
          <w:snapToGrid w:val="0"/>
        </w:rPr>
        <w:t>)</w:t>
      </w:r>
      <w:r>
        <w:rPr>
          <w:snapToGrid w:val="0"/>
        </w:rPr>
        <w:tab/>
        <w:t xml:space="preserve">The Magistrates Court may exercise the power conferred by </w:t>
      </w:r>
      <w:del w:id="60" w:author="svcMRProcess" w:date="2015-11-12T21:57:00Z">
        <w:r>
          <w:rPr>
            <w:snapToGrid w:val="0"/>
          </w:rPr>
          <w:delText xml:space="preserve">this </w:delText>
        </w:r>
      </w:del>
      <w:r>
        <w:rPr>
          <w:snapToGrid w:val="0"/>
        </w:rPr>
        <w:t>subsection</w:t>
      </w:r>
      <w:del w:id="61" w:author="svcMRProcess" w:date="2015-11-12T21:57:00Z">
        <w:r>
          <w:rPr>
            <w:snapToGrid w:val="0"/>
          </w:rPr>
          <w:delText>,</w:delText>
        </w:r>
      </w:del>
      <w:ins w:id="62" w:author="svcMRProcess" w:date="2015-11-12T21:57:00Z">
        <w:r>
          <w:rPr>
            <w:snapToGrid w:val="0"/>
          </w:rPr>
          <w:t> (7A),</w:t>
        </w:r>
      </w:ins>
      <w:r>
        <w:rPr>
          <w:snapToGrid w:val="0"/>
        </w:rPr>
        <w:t xml:space="preserve"> whatever the value of the goods or the interest may be.</w:t>
      </w:r>
    </w:p>
    <w:p>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[Section 7 amended by No. 15 of 1954 s. 2; No. 14 of 1996 s. 4; No. 59 of 2004 s. 141</w:t>
      </w:r>
      <w:ins w:id="63" w:author="svcMRProcess" w:date="2015-11-12T21:57:00Z">
        <w:r>
          <w:t>; No. 19 of 2010 s. 51</w:t>
        </w:r>
      </w:ins>
      <w:r>
        <w:t xml:space="preserve">.] </w:t>
      </w:r>
    </w:p>
    <w:p>
      <w:pPr>
        <w:pStyle w:val="Heading5"/>
        <w:rPr>
          <w:snapToGrid w:val="0"/>
        </w:rPr>
      </w:pPr>
      <w:bookmarkStart w:id="64" w:name="_Toc411830597"/>
      <w:bookmarkStart w:id="65" w:name="_Toc10969204"/>
      <w:bookmarkStart w:id="66" w:name="_Toc16396098"/>
      <w:bookmarkStart w:id="67" w:name="_Toc102450229"/>
      <w:bookmarkStart w:id="68" w:name="_Toc268269205"/>
      <w:bookmarkStart w:id="69" w:name="_Toc267904644"/>
      <w:r>
        <w:rPr>
          <w:rStyle w:val="CharSectno"/>
        </w:rPr>
        <w:t>8</w:t>
      </w:r>
      <w:r>
        <w:rPr>
          <w:snapToGrid w:val="0"/>
        </w:rPr>
        <w:t>.</w:t>
      </w:r>
      <w:r>
        <w:rPr>
          <w:snapToGrid w:val="0"/>
        </w:rPr>
        <w:tab/>
        <w:t>Provision for payment of charges before sale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w:t>
      </w:r>
      <w:del w:id="70" w:author="svcMRProcess" w:date="2015-11-12T21:57:00Z">
        <w:r>
          <w:rPr>
            <w:snapToGrid w:val="0"/>
          </w:rPr>
          <w:delText>1)(a</w:delText>
        </w:r>
      </w:del>
      <w:ins w:id="71" w:author="svcMRProcess" w:date="2015-11-12T21:57:00Z">
        <w:r>
          <w:rPr>
            <w:snapToGrid w:val="0"/>
          </w:rPr>
          <w:t>1A</w:t>
        </w:r>
      </w:ins>
      <w:r>
        <w:rPr>
          <w:snapToGrid w:val="0"/>
        </w:rPr>
        <w:t>)</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w:t>
      </w:r>
      <w:del w:id="72" w:author="svcMRProcess" w:date="2015-11-12T21:57:00Z">
        <w:r>
          <w:rPr>
            <w:snapToGrid w:val="0"/>
          </w:rPr>
          <w:delText>b</w:delText>
        </w:r>
      </w:del>
      <w:ins w:id="73" w:author="svcMRProcess" w:date="2015-11-12T21:57:00Z">
        <w:r>
          <w:rPr>
            <w:snapToGrid w:val="0"/>
          </w:rPr>
          <w:t>1B</w:t>
        </w:r>
      </w:ins>
      <w:r>
        <w:rPr>
          <w:snapToGrid w:val="0"/>
        </w:rPr>
        <w:t>)</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w:t>
      </w:r>
      <w:del w:id="74" w:author="svcMRProcess" w:date="2015-11-12T21:57:00Z">
        <w:r>
          <w:delText>8(1).]</w:delText>
        </w:r>
      </w:del>
      <w:ins w:id="75" w:author="svcMRProcess" w:date="2015-11-12T21:57:00Z">
        <w:r>
          <w:t>8(1); No. 19 of 2010 s. 51.]</w:t>
        </w:r>
      </w:ins>
    </w:p>
    <w:p>
      <w:pPr>
        <w:pStyle w:val="Heading5"/>
        <w:rPr>
          <w:snapToGrid w:val="0"/>
        </w:rPr>
      </w:pPr>
      <w:bookmarkStart w:id="76" w:name="_Toc411830598"/>
      <w:bookmarkStart w:id="77" w:name="_Toc10969205"/>
      <w:bookmarkStart w:id="78" w:name="_Toc16396099"/>
      <w:bookmarkStart w:id="79" w:name="_Toc102450230"/>
      <w:bookmarkStart w:id="80" w:name="_Toc268269206"/>
      <w:bookmarkStart w:id="81" w:name="_Toc267904645"/>
      <w:r>
        <w:rPr>
          <w:rStyle w:val="CharSectno"/>
        </w:rPr>
        <w:t>9</w:t>
      </w:r>
      <w:r>
        <w:rPr>
          <w:snapToGrid w:val="0"/>
        </w:rPr>
        <w:t>.</w:t>
      </w:r>
      <w:r>
        <w:rPr>
          <w:snapToGrid w:val="0"/>
        </w:rPr>
        <w:tab/>
        <w:t>Notices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keepNext/>
        <w:keepLines/>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rPr>
          <w:snapToGrid w:val="0"/>
        </w:rPr>
      </w:pPr>
      <w:r>
        <w:rPr>
          <w:snapToGrid w:val="0"/>
        </w:rPr>
        <w:tab/>
        <w:t>(</w:t>
      </w:r>
      <w:del w:id="82" w:author="svcMRProcess" w:date="2015-11-12T21:57:00Z">
        <w:r>
          <w:rPr>
            <w:snapToGrid w:val="0"/>
          </w:rPr>
          <w:delText>3)(a</w:delText>
        </w:r>
      </w:del>
      <w:ins w:id="83" w:author="svcMRProcess" w:date="2015-11-12T21:57:00Z">
        <w:r>
          <w:rPr>
            <w:snapToGrid w:val="0"/>
          </w:rPr>
          <w:t>3A</w:t>
        </w:r>
      </w:ins>
      <w:r>
        <w:rPr>
          <w:snapToGrid w:val="0"/>
        </w:rPr>
        <w:t>)</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rPr>
          <w:snapToGrid w:val="0"/>
        </w:rPr>
      </w:pPr>
      <w:r>
        <w:rPr>
          <w:snapToGrid w:val="0"/>
        </w:rPr>
        <w:tab/>
        <w:t>(</w:t>
      </w:r>
      <w:del w:id="84" w:author="svcMRProcess" w:date="2015-11-12T21:57:00Z">
        <w:r>
          <w:rPr>
            <w:snapToGrid w:val="0"/>
          </w:rPr>
          <w:delText>b</w:delText>
        </w:r>
      </w:del>
      <w:ins w:id="85" w:author="svcMRProcess" w:date="2015-11-12T21:57:00Z">
        <w:r>
          <w:rPr>
            <w:snapToGrid w:val="0"/>
          </w:rPr>
          <w:t>3B</w:t>
        </w:r>
      </w:ins>
      <w:r>
        <w:rPr>
          <w:snapToGrid w:val="0"/>
        </w:rPr>
        <w:t>)</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rPr>
          <w:ins w:id="86" w:author="svcMRProcess" w:date="2015-11-12T21:57:00Z"/>
        </w:rPr>
      </w:pPr>
      <w:ins w:id="87" w:author="svcMRProcess" w:date="2015-11-12T21:57:00Z">
        <w:r>
          <w:tab/>
          <w:t xml:space="preserve">[Section 9 amended by No. 19 of 2010 s. 51.] </w:t>
        </w:r>
      </w:ins>
    </w:p>
    <w:p>
      <w:pPr>
        <w:pStyle w:val="Heading5"/>
        <w:rPr>
          <w:snapToGrid w:val="0"/>
        </w:rPr>
      </w:pPr>
      <w:bookmarkStart w:id="88" w:name="_Toc411830599"/>
      <w:bookmarkStart w:id="89" w:name="_Toc10969206"/>
      <w:bookmarkStart w:id="90" w:name="_Toc16396100"/>
      <w:bookmarkStart w:id="91" w:name="_Toc102450231"/>
      <w:bookmarkStart w:id="92" w:name="_Toc268269207"/>
      <w:bookmarkStart w:id="93" w:name="_Toc267904646"/>
      <w:r>
        <w:rPr>
          <w:rStyle w:val="CharSectno"/>
        </w:rPr>
        <w:t>10</w:t>
      </w:r>
      <w:r>
        <w:rPr>
          <w:snapToGrid w:val="0"/>
        </w:rPr>
        <w:t>.</w:t>
      </w:r>
      <w:r>
        <w:rPr>
          <w:snapToGrid w:val="0"/>
        </w:rPr>
        <w:tab/>
        <w:t>Disposition of proceeds of sale</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w:t>
      </w:r>
      <w:del w:id="94" w:author="svcMRProcess" w:date="2015-11-12T21:57:00Z">
        <w:r>
          <w:rPr>
            <w:snapToGrid w:val="0"/>
          </w:rPr>
          <w:delText>1)(a</w:delText>
        </w:r>
      </w:del>
      <w:ins w:id="95" w:author="svcMRProcess" w:date="2015-11-12T21:57:00Z">
        <w:r>
          <w:rPr>
            <w:snapToGrid w:val="0"/>
          </w:rPr>
          <w:t>1A</w:t>
        </w:r>
      </w:ins>
      <w:r>
        <w:rPr>
          <w:snapToGrid w:val="0"/>
        </w:rPr>
        <w:t>)</w:t>
      </w:r>
      <w:r>
        <w:rPr>
          <w:snapToGrid w:val="0"/>
        </w:rPr>
        <w:tab/>
        <w:t>From the proceeds of the sale the warehouseman shall satisfy his lien, and, subject to the provisions of subsections (</w:t>
      </w:r>
      <w:del w:id="96" w:author="svcMRProcess" w:date="2015-11-12T21:57:00Z">
        <w:r>
          <w:rPr>
            <w:snapToGrid w:val="0"/>
          </w:rPr>
          <w:delText>2</w:delText>
        </w:r>
      </w:del>
      <w:ins w:id="97" w:author="svcMRProcess" w:date="2015-11-12T21:57:00Z">
        <w:r>
          <w:rPr>
            <w:snapToGrid w:val="0"/>
          </w:rPr>
          <w:t>2A), (2B</w:t>
        </w:r>
      </w:ins>
      <w:r>
        <w:rPr>
          <w:snapToGrid w:val="0"/>
        </w:rPr>
        <w:t>) and (3), shall, not less than 10 nor more than 14 days after the sale, pay the surplus, if any, to the person or persons entitled to it.</w:t>
      </w:r>
    </w:p>
    <w:p>
      <w:pPr>
        <w:pStyle w:val="Subsection"/>
        <w:rPr>
          <w:snapToGrid w:val="0"/>
        </w:rPr>
      </w:pPr>
      <w:r>
        <w:rPr>
          <w:snapToGrid w:val="0"/>
        </w:rPr>
        <w:tab/>
        <w:t>(</w:t>
      </w:r>
      <w:del w:id="98" w:author="svcMRProcess" w:date="2015-11-12T21:57:00Z">
        <w:r>
          <w:rPr>
            <w:snapToGrid w:val="0"/>
          </w:rPr>
          <w:delText>b</w:delText>
        </w:r>
      </w:del>
      <w:ins w:id="99" w:author="svcMRProcess" w:date="2015-11-12T21:57:00Z">
        <w:r>
          <w:rPr>
            <w:snapToGrid w:val="0"/>
          </w:rPr>
          <w:t>1B</w:t>
        </w:r>
      </w:ins>
      <w:r>
        <w:rPr>
          <w:snapToGrid w:val="0"/>
        </w:rPr>
        <w:t>)</w:t>
      </w:r>
      <w:r>
        <w:rPr>
          <w:snapToGrid w:val="0"/>
        </w:rPr>
        <w:tab/>
        <w:t>The warehouseman shall when so paying the surplus deliver to the person or persons to whom he pays the surplus or any part of it a statement of account showing how the amount has been computed.</w:t>
      </w:r>
    </w:p>
    <w:p>
      <w:pPr>
        <w:pStyle w:val="Subsection"/>
        <w:rPr>
          <w:snapToGrid w:val="0"/>
        </w:rPr>
      </w:pPr>
      <w:r>
        <w:rPr>
          <w:snapToGrid w:val="0"/>
        </w:rPr>
        <w:tab/>
        <w:t>(</w:t>
      </w:r>
      <w:del w:id="100" w:author="svcMRProcess" w:date="2015-11-12T21:57:00Z">
        <w:r>
          <w:rPr>
            <w:snapToGrid w:val="0"/>
          </w:rPr>
          <w:delText>2)(a</w:delText>
        </w:r>
      </w:del>
      <w:ins w:id="101" w:author="svcMRProcess" w:date="2015-11-12T21:57:00Z">
        <w:r>
          <w:rPr>
            <w:snapToGrid w:val="0"/>
          </w:rPr>
          <w:t>2A</w:t>
        </w:r>
      </w:ins>
      <w:r>
        <w:rPr>
          <w:snapToGrid w:val="0"/>
        </w:rPr>
        <w:t>)</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pPr>
        <w:pStyle w:val="Subsection"/>
        <w:rPr>
          <w:snapToGrid w:val="0"/>
        </w:rPr>
      </w:pPr>
      <w:r>
        <w:rPr>
          <w:snapToGrid w:val="0"/>
        </w:rPr>
        <w:tab/>
        <w:t>(</w:t>
      </w:r>
      <w:del w:id="102" w:author="svcMRProcess" w:date="2015-11-12T21:57:00Z">
        <w:r>
          <w:rPr>
            <w:snapToGrid w:val="0"/>
          </w:rPr>
          <w:delText>b</w:delText>
        </w:r>
      </w:del>
      <w:ins w:id="103" w:author="svcMRProcess" w:date="2015-11-12T21:57:00Z">
        <w:r>
          <w:rPr>
            <w:snapToGrid w:val="0"/>
          </w:rPr>
          <w:t>2B</w:t>
        </w:r>
      </w:ins>
      <w:r>
        <w:rPr>
          <w:snapToGrid w:val="0"/>
        </w:rPr>
        <w:t>)</w:t>
      </w:r>
      <w:r>
        <w:rPr>
          <w:snapToGrid w:val="0"/>
        </w:rPr>
        <w:tab/>
        <w:t>Money so paid into the court may, upon the order of the court made in open court or in chambers, be applied as the court thinks fit.</w:t>
      </w:r>
    </w:p>
    <w:p>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rPr>
          <w:snapToGrid w:val="0"/>
        </w:rPr>
      </w:pPr>
      <w:r>
        <w:rPr>
          <w:snapToGrid w:val="0"/>
        </w:rPr>
        <w:tab/>
        <w:t>(</w:t>
      </w:r>
      <w:del w:id="104" w:author="svcMRProcess" w:date="2015-11-12T21:57:00Z">
        <w:r>
          <w:rPr>
            <w:snapToGrid w:val="0"/>
          </w:rPr>
          <w:delText>5)(a</w:delText>
        </w:r>
      </w:del>
      <w:ins w:id="105" w:author="svcMRProcess" w:date="2015-11-12T21:57:00Z">
        <w:r>
          <w:rPr>
            <w:snapToGrid w:val="0"/>
          </w:rPr>
          <w:t>5A</w:t>
        </w:r>
      </w:ins>
      <w:r>
        <w:rPr>
          <w:snapToGrid w:val="0"/>
        </w:rPr>
        <w:t>)</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rPr>
          <w:snapToGrid w:val="0"/>
        </w:rPr>
      </w:pPr>
      <w:r>
        <w:rPr>
          <w:snapToGrid w:val="0"/>
        </w:rPr>
        <w:tab/>
        <w:t>(</w:t>
      </w:r>
      <w:del w:id="106" w:author="svcMRProcess" w:date="2015-11-12T21:57:00Z">
        <w:r>
          <w:rPr>
            <w:snapToGrid w:val="0"/>
          </w:rPr>
          <w:delText>b)</w:delText>
        </w:r>
        <w:r>
          <w:rPr>
            <w:snapToGrid w:val="0"/>
          </w:rPr>
          <w:tab/>
          <w:delText>The</w:delText>
        </w:r>
      </w:del>
      <w:ins w:id="107" w:author="svcMRProcess" w:date="2015-11-12T21:57:00Z">
        <w:r>
          <w:rPr>
            <w:snapToGrid w:val="0"/>
          </w:rPr>
          <w:t>5B)</w:t>
        </w:r>
        <w:r>
          <w:rPr>
            <w:snapToGrid w:val="0"/>
          </w:rPr>
          <w:tab/>
        </w:r>
        <w:r>
          <w:t>A</w:t>
        </w:r>
      </w:ins>
      <w:r>
        <w:t xml:space="preserve"> payment</w:t>
      </w:r>
      <w:ins w:id="108" w:author="svcMRProcess" w:date="2015-11-12T21:57:00Z">
        <w:r>
          <w:t xml:space="preserve"> under subsection (5A)</w:t>
        </w:r>
      </w:ins>
      <w:r>
        <w:t xml:space="preserve"> </w:t>
      </w:r>
      <w:r>
        <w:rPr>
          <w:snapToGrid w:val="0"/>
        </w:rPr>
        <w:t>shall, without any further appropriation than this Act, be charged to the Consolidated Account.</w:t>
      </w:r>
    </w:p>
    <w:p>
      <w:pPr>
        <w:pStyle w:val="Subsection"/>
        <w:rPr>
          <w:snapToGrid w:val="0"/>
        </w:rPr>
      </w:pPr>
      <w:r>
        <w:rPr>
          <w:snapToGrid w:val="0"/>
        </w:rPr>
        <w:tab/>
        <w:t>(</w:t>
      </w:r>
      <w:del w:id="109" w:author="svcMRProcess" w:date="2015-11-12T21:57:00Z">
        <w:r>
          <w:rPr>
            <w:snapToGrid w:val="0"/>
          </w:rPr>
          <w:delText>c</w:delText>
        </w:r>
      </w:del>
      <w:ins w:id="110" w:author="svcMRProcess" w:date="2015-11-12T21:57:00Z">
        <w:r>
          <w:rPr>
            <w:snapToGrid w:val="0"/>
          </w:rPr>
          <w:t>5C</w:t>
        </w:r>
      </w:ins>
      <w:r>
        <w:rPr>
          <w:snapToGrid w:val="0"/>
        </w:rPr>
        <w:t>)</w:t>
      </w:r>
      <w:r>
        <w:rPr>
          <w:snapToGrid w:val="0"/>
        </w:rPr>
        <w:tab/>
      </w:r>
      <w:r>
        <w:t xml:space="preserve">Where money </w:t>
      </w:r>
      <w:del w:id="111" w:author="svcMRProcess" w:date="2015-11-12T21:57:00Z">
        <w:r>
          <w:rPr>
            <w:snapToGrid w:val="0"/>
          </w:rPr>
          <w:delText xml:space="preserve">so </w:delText>
        </w:r>
      </w:del>
      <w:r>
        <w:t>paid to a claimant</w:t>
      </w:r>
      <w:ins w:id="112" w:author="svcMRProcess" w:date="2015-11-12T21:57:00Z">
        <w:r>
          <w:t xml:space="preserve"> under subsection (5A)</w:t>
        </w:r>
      </w:ins>
      <w:r>
        <w:t xml:space="preserve"> </w:t>
      </w:r>
      <w:r>
        <w:rPr>
          <w:snapToGrid w:val="0"/>
        </w:rPr>
        <w:t>is afterwards claimed by another person, the Treasurer shall not be responsible for the payment, but that person may have recourse against the claimant to whom the money was paid by the Treasurer.</w:t>
      </w:r>
    </w:p>
    <w:p>
      <w:pPr>
        <w:pStyle w:val="Subsection"/>
        <w:rPr>
          <w:snapToGrid w:val="0"/>
        </w:rPr>
      </w:pPr>
      <w:r>
        <w:rPr>
          <w:snapToGrid w:val="0"/>
        </w:rPr>
        <w:tab/>
        <w:t>(6)</w:t>
      </w:r>
      <w:r>
        <w:rPr>
          <w:snapToGrid w:val="0"/>
        </w:rPr>
        <w:tab/>
        <w:t>A warehouseman who fails to pay money into the Magistrates Court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pPr>
      <w:r>
        <w:tab/>
        <w:t>[Section 10 amended by No. 113 of 1965 s. 8(1); No. 6 of 1993 s. 16(1); No. 49 of 1996 s. 64; No. 59 of 2004 s. 141; No. 77 of 2006 s. </w:t>
      </w:r>
      <w:del w:id="113" w:author="svcMRProcess" w:date="2015-11-12T21:57:00Z">
        <w:r>
          <w:delText>4</w:delText>
        </w:r>
      </w:del>
      <w:ins w:id="114" w:author="svcMRProcess" w:date="2015-11-12T21:57:00Z">
        <w:r>
          <w:t>4; No. 19 of 2010 s. 51</w:t>
        </w:r>
      </w:ins>
      <w:r>
        <w:t xml:space="preserve">.] </w:t>
      </w:r>
    </w:p>
    <w:p>
      <w:pPr>
        <w:pStyle w:val="Heading5"/>
        <w:rPr>
          <w:snapToGrid w:val="0"/>
        </w:rPr>
      </w:pPr>
      <w:bookmarkStart w:id="115" w:name="_Toc411830600"/>
      <w:bookmarkStart w:id="116" w:name="_Toc10969207"/>
      <w:bookmarkStart w:id="117" w:name="_Toc16396101"/>
      <w:bookmarkStart w:id="118" w:name="_Toc102450232"/>
      <w:bookmarkStart w:id="119" w:name="_Toc268269208"/>
      <w:bookmarkStart w:id="120" w:name="_Toc267904647"/>
      <w:r>
        <w:rPr>
          <w:rStyle w:val="CharSectno"/>
        </w:rPr>
        <w:t>11</w:t>
      </w:r>
      <w:r>
        <w:rPr>
          <w:snapToGrid w:val="0"/>
        </w:rPr>
        <w:t>.</w:t>
      </w:r>
      <w:r>
        <w:rPr>
          <w:snapToGrid w:val="0"/>
        </w:rPr>
        <w:tab/>
        <w:t>Application of Act</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121" w:name="_Toc411830601"/>
      <w:bookmarkStart w:id="122" w:name="_Toc10969208"/>
      <w:bookmarkStart w:id="123" w:name="_Toc16396102"/>
      <w:bookmarkStart w:id="124" w:name="_Toc102450233"/>
      <w:bookmarkStart w:id="125" w:name="_Toc268269209"/>
      <w:bookmarkStart w:id="126" w:name="_Toc267904648"/>
      <w:r>
        <w:rPr>
          <w:rStyle w:val="CharSectno"/>
        </w:rPr>
        <w:t>12</w:t>
      </w:r>
      <w:r>
        <w:rPr>
          <w:snapToGrid w:val="0"/>
        </w:rPr>
        <w:t>.</w:t>
      </w:r>
      <w:r>
        <w:rPr>
          <w:snapToGrid w:val="0"/>
        </w:rPr>
        <w:tab/>
        <w:t>Regulations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w:t>
      </w:r>
    </w:p>
    <w:p>
      <w:pPr>
        <w:pStyle w:val="Indenta"/>
        <w:rPr>
          <w:snapToGrid w:val="0"/>
        </w:rPr>
      </w:pPr>
      <w:r>
        <w:rPr>
          <w:snapToGrid w:val="0"/>
        </w:rPr>
        <w:tab/>
        <w:t>(c)</w:t>
      </w:r>
      <w:r>
        <w:rPr>
          <w:snapToGrid w:val="0"/>
        </w:rPr>
        <w:tab/>
        <w:t>prescribing the form of and the particulars to be contained in notices given by the warehouseman under section 6;</w:t>
      </w:r>
    </w:p>
    <w:p>
      <w:pPr>
        <w:pStyle w:val="Indenta"/>
        <w:rPr>
          <w:snapToGrid w:val="0"/>
        </w:rPr>
      </w:pPr>
      <w:r>
        <w:rPr>
          <w:snapToGrid w:val="0"/>
        </w:rPr>
        <w:tab/>
        <w:t>(d)</w:t>
      </w:r>
      <w:r>
        <w:rPr>
          <w:snapToGrid w:val="0"/>
        </w:rPr>
        <w:tab/>
        <w:t>prescribing a mode of sale under section 7, other than sale by public auction, in the case of goods of any particular kind;</w:t>
      </w:r>
    </w:p>
    <w:p>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w:t>
      </w:r>
    </w:p>
    <w:p>
      <w:pPr>
        <w:pStyle w:val="Indenta"/>
        <w:rPr>
          <w:snapToGrid w:val="0"/>
        </w:rPr>
      </w:pPr>
      <w:r>
        <w:rPr>
          <w:snapToGrid w:val="0"/>
        </w:rPr>
        <w:tab/>
        <w:t>(f)</w:t>
      </w:r>
      <w:r>
        <w:rPr>
          <w:snapToGrid w:val="0"/>
        </w:rPr>
        <w:tab/>
        <w:t>prescribing penalties, not exceeding $20, for breaches of the regulations; and</w:t>
      </w:r>
    </w:p>
    <w:p>
      <w:pPr>
        <w:pStyle w:val="Indenta"/>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127" w:name="_Toc411830602"/>
      <w:bookmarkStart w:id="128" w:name="_Toc10969209"/>
      <w:bookmarkStart w:id="129" w:name="_Toc16396103"/>
      <w:bookmarkStart w:id="130" w:name="_Toc102450234"/>
      <w:bookmarkStart w:id="131" w:name="_Toc268269210"/>
      <w:bookmarkStart w:id="132" w:name="_Toc267904649"/>
      <w:r>
        <w:rPr>
          <w:rStyle w:val="CharSectno"/>
        </w:rPr>
        <w:t>13</w:t>
      </w:r>
      <w:r>
        <w:rPr>
          <w:snapToGrid w:val="0"/>
        </w:rPr>
        <w:t>.</w:t>
      </w:r>
      <w:r>
        <w:rPr>
          <w:snapToGrid w:val="0"/>
        </w:rPr>
        <w:tab/>
        <w:t>Rules of Court</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pPr>
        <w:pStyle w:val="Footnotesection"/>
      </w:pPr>
      <w:bookmarkStart w:id="133" w:name="_Toc411830603"/>
      <w:bookmarkStart w:id="134" w:name="_Toc10969210"/>
      <w:bookmarkStart w:id="135" w:name="_Toc16396104"/>
      <w:r>
        <w:tab/>
        <w:t>[Section 13 amended by No. 59 of 2004 s. 141.]</w:t>
      </w:r>
    </w:p>
    <w:p>
      <w:pPr>
        <w:pStyle w:val="Heading5"/>
        <w:rPr>
          <w:snapToGrid w:val="0"/>
        </w:rPr>
      </w:pPr>
      <w:bookmarkStart w:id="136" w:name="_Toc102450235"/>
      <w:bookmarkStart w:id="137" w:name="_Toc268269211"/>
      <w:bookmarkStart w:id="138" w:name="_Toc267904650"/>
      <w:r>
        <w:rPr>
          <w:rStyle w:val="CharSectno"/>
        </w:rPr>
        <w:t>14</w:t>
      </w:r>
      <w:r>
        <w:rPr>
          <w:snapToGrid w:val="0"/>
        </w:rPr>
        <w:t>.</w:t>
      </w:r>
      <w:r>
        <w:rPr>
          <w:snapToGrid w:val="0"/>
        </w:rPr>
        <w:tab/>
        <w:t>Certain liens, rights, etc., not to be affected by Act</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39" w:name="_Toc89767963"/>
      <w:bookmarkStart w:id="140" w:name="_Toc89768077"/>
      <w:bookmarkStart w:id="141" w:name="_Toc102450236"/>
      <w:bookmarkStart w:id="142" w:name="_Toc156971818"/>
      <w:bookmarkStart w:id="143" w:name="_Toc158087999"/>
      <w:bookmarkStart w:id="144" w:name="_Toc268269212"/>
      <w:bookmarkStart w:id="145" w:name="_Toc267563016"/>
      <w:bookmarkStart w:id="146" w:name="_Toc267904651"/>
      <w:r>
        <w:t>Notes</w:t>
      </w:r>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Warehousemen’s Liens Act 1952</w:t>
      </w:r>
      <w:r>
        <w:rPr>
          <w:snapToGrid w:val="0"/>
        </w:rPr>
        <w:t xml:space="preserve"> and includes the amendments made by the other written laws referred to in the following table </w:t>
      </w:r>
      <w:del w:id="147" w:author="svcMRProcess" w:date="2015-11-12T21:57: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rPr>
          <w:snapToGrid w:val="0"/>
        </w:rPr>
      </w:pPr>
      <w:bookmarkStart w:id="148" w:name="_Toc16396105"/>
      <w:bookmarkStart w:id="149" w:name="_Toc102450237"/>
      <w:bookmarkStart w:id="150" w:name="_Toc268269213"/>
      <w:bookmarkStart w:id="151" w:name="_Toc267904652"/>
      <w:r>
        <w:rPr>
          <w:snapToGrid w:val="0"/>
        </w:rPr>
        <w:t>Compilation table</w:t>
      </w:r>
      <w:bookmarkEnd w:id="148"/>
      <w:bookmarkEnd w:id="149"/>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Warehousemen’s Liens Act 1952</w:t>
            </w:r>
          </w:p>
        </w:tc>
        <w:tc>
          <w:tcPr>
            <w:tcW w:w="1134" w:type="dxa"/>
          </w:tcPr>
          <w:p>
            <w:pPr>
              <w:pStyle w:val="nTable"/>
              <w:spacing w:before="120"/>
              <w:rPr>
                <w:sz w:val="19"/>
              </w:rPr>
            </w:pPr>
            <w:r>
              <w:rPr>
                <w:sz w:val="19"/>
              </w:rPr>
              <w:t>26 of 1952</w:t>
            </w:r>
          </w:p>
        </w:tc>
        <w:tc>
          <w:tcPr>
            <w:tcW w:w="1134" w:type="dxa"/>
          </w:tcPr>
          <w:p>
            <w:pPr>
              <w:pStyle w:val="nTable"/>
              <w:spacing w:before="120"/>
              <w:rPr>
                <w:sz w:val="19"/>
              </w:rPr>
            </w:pPr>
            <w:r>
              <w:rPr>
                <w:sz w:val="19"/>
              </w:rPr>
              <w:t>28 Nov 1952</w:t>
            </w:r>
          </w:p>
        </w:tc>
        <w:tc>
          <w:tcPr>
            <w:tcW w:w="2552" w:type="dxa"/>
          </w:tcPr>
          <w:p>
            <w:pPr>
              <w:pStyle w:val="nTable"/>
              <w:spacing w:before="12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before="120"/>
              <w:ind w:right="113"/>
              <w:rPr>
                <w:sz w:val="19"/>
              </w:rPr>
            </w:pPr>
            <w:r>
              <w:rPr>
                <w:i/>
                <w:sz w:val="19"/>
              </w:rPr>
              <w:t>Warehousemen’s Liens Act Amendment Act 1954</w:t>
            </w:r>
          </w:p>
        </w:tc>
        <w:tc>
          <w:tcPr>
            <w:tcW w:w="1134" w:type="dxa"/>
          </w:tcPr>
          <w:p>
            <w:pPr>
              <w:pStyle w:val="nTable"/>
              <w:spacing w:before="120"/>
              <w:rPr>
                <w:sz w:val="19"/>
              </w:rPr>
            </w:pPr>
            <w:r>
              <w:rPr>
                <w:sz w:val="19"/>
              </w:rPr>
              <w:t>15 of 1954</w:t>
            </w:r>
          </w:p>
        </w:tc>
        <w:tc>
          <w:tcPr>
            <w:tcW w:w="1134" w:type="dxa"/>
          </w:tcPr>
          <w:p>
            <w:pPr>
              <w:pStyle w:val="nTable"/>
              <w:spacing w:before="120"/>
              <w:rPr>
                <w:sz w:val="19"/>
              </w:rPr>
            </w:pPr>
            <w:r>
              <w:rPr>
                <w:sz w:val="19"/>
              </w:rPr>
              <w:t>22 Sep 1954</w:t>
            </w:r>
          </w:p>
        </w:tc>
        <w:tc>
          <w:tcPr>
            <w:tcW w:w="2552" w:type="dxa"/>
          </w:tcPr>
          <w:p>
            <w:pPr>
              <w:pStyle w:val="nTable"/>
              <w:spacing w:before="120"/>
              <w:rPr>
                <w:sz w:val="19"/>
              </w:rPr>
            </w:pPr>
            <w:r>
              <w:rPr>
                <w:sz w:val="19"/>
              </w:rPr>
              <w:t>22 Sep 1954</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16(1)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z w:val="19"/>
              </w:rPr>
              <w:t>Financial Legislation Amendment and Repeal Act 2006</w:t>
            </w:r>
            <w:r>
              <w:rPr>
                <w:iCs/>
                <w:sz w:val="19"/>
              </w:rPr>
              <w:t xml:space="preserve"> s. 4</w:t>
            </w:r>
          </w:p>
        </w:tc>
        <w:tc>
          <w:tcPr>
            <w:tcW w:w="1134" w:type="dxa"/>
          </w:tcPr>
          <w:p>
            <w:pPr>
              <w:pStyle w:val="nTable"/>
              <w:spacing w:before="120"/>
              <w:rPr>
                <w:snapToGrid w:val="0"/>
                <w:sz w:val="19"/>
                <w:lang w:val="en-US"/>
              </w:rPr>
            </w:pPr>
            <w:r>
              <w:rPr>
                <w:sz w:val="19"/>
              </w:rPr>
              <w:t>77 of 2006</w:t>
            </w:r>
          </w:p>
        </w:tc>
        <w:tc>
          <w:tcPr>
            <w:tcW w:w="1134" w:type="dxa"/>
          </w:tcPr>
          <w:p>
            <w:pPr>
              <w:pStyle w:val="nTable"/>
              <w:spacing w:before="120"/>
              <w:rPr>
                <w:sz w:val="19"/>
              </w:rPr>
            </w:pPr>
            <w:r>
              <w:rPr>
                <w:sz w:val="19"/>
              </w:rPr>
              <w:t>21 Dec 2006</w:t>
            </w:r>
          </w:p>
        </w:tc>
        <w:tc>
          <w:tcPr>
            <w:tcW w:w="2552" w:type="dxa"/>
          </w:tcPr>
          <w:p>
            <w:pPr>
              <w:pStyle w:val="nTable"/>
              <w:spacing w:before="120"/>
              <w:rPr>
                <w:snapToGrid w:val="0"/>
                <w:sz w:val="19"/>
                <w:lang w:val="en-US"/>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del w:id="152" w:author="svcMRProcess" w:date="2015-11-12T21:57:00Z"/>
          <w:snapToGrid w:val="0"/>
        </w:rPr>
      </w:pPr>
      <w:del w:id="153" w:author="svcMRProcess" w:date="2015-11-12T21: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4" w:author="svcMRProcess" w:date="2015-11-12T21:57:00Z"/>
        </w:rPr>
      </w:pPr>
      <w:bookmarkStart w:id="155" w:name="_Toc7405065"/>
      <w:bookmarkStart w:id="156" w:name="_Toc267904653"/>
      <w:del w:id="157" w:author="svcMRProcess" w:date="2015-11-12T21:57:00Z">
        <w:r>
          <w:delText>Provisions that have not come into operation</w:delText>
        </w:r>
        <w:bookmarkEnd w:id="155"/>
        <w:bookmarkEnd w:id="15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158" w:author="svcMRProcess" w:date="2015-11-12T21:57:00Z"/>
        </w:trPr>
        <w:tc>
          <w:tcPr>
            <w:tcW w:w="2268" w:type="dxa"/>
          </w:tcPr>
          <w:p>
            <w:pPr>
              <w:pStyle w:val="nTable"/>
              <w:spacing w:after="40"/>
              <w:rPr>
                <w:del w:id="159" w:author="svcMRProcess" w:date="2015-11-12T21:57:00Z"/>
                <w:b/>
                <w:snapToGrid w:val="0"/>
                <w:sz w:val="19"/>
                <w:lang w:val="en-US"/>
              </w:rPr>
            </w:pPr>
            <w:del w:id="160" w:author="svcMRProcess" w:date="2015-11-12T21:57:00Z">
              <w:r>
                <w:rPr>
                  <w:b/>
                  <w:snapToGrid w:val="0"/>
                  <w:sz w:val="19"/>
                  <w:lang w:val="en-US"/>
                </w:rPr>
                <w:delText>Short title</w:delText>
              </w:r>
            </w:del>
          </w:p>
        </w:tc>
        <w:tc>
          <w:tcPr>
            <w:tcW w:w="1118" w:type="dxa"/>
          </w:tcPr>
          <w:p>
            <w:pPr>
              <w:pStyle w:val="nTable"/>
              <w:spacing w:after="40"/>
              <w:rPr>
                <w:del w:id="161" w:author="svcMRProcess" w:date="2015-11-12T21:57:00Z"/>
                <w:b/>
                <w:snapToGrid w:val="0"/>
                <w:sz w:val="19"/>
                <w:lang w:val="en-US"/>
              </w:rPr>
            </w:pPr>
            <w:del w:id="162" w:author="svcMRProcess" w:date="2015-11-12T21:57:00Z">
              <w:r>
                <w:rPr>
                  <w:b/>
                  <w:snapToGrid w:val="0"/>
                  <w:sz w:val="19"/>
                  <w:lang w:val="en-US"/>
                </w:rPr>
                <w:delText>Number and year</w:delText>
              </w:r>
            </w:del>
          </w:p>
        </w:tc>
        <w:tc>
          <w:tcPr>
            <w:tcW w:w="1134" w:type="dxa"/>
          </w:tcPr>
          <w:p>
            <w:pPr>
              <w:pStyle w:val="nTable"/>
              <w:spacing w:after="40"/>
              <w:rPr>
                <w:del w:id="163" w:author="svcMRProcess" w:date="2015-11-12T21:57:00Z"/>
                <w:b/>
                <w:snapToGrid w:val="0"/>
                <w:sz w:val="19"/>
                <w:lang w:val="en-US"/>
              </w:rPr>
            </w:pPr>
            <w:del w:id="164" w:author="svcMRProcess" w:date="2015-11-12T21:57:00Z">
              <w:r>
                <w:rPr>
                  <w:b/>
                  <w:snapToGrid w:val="0"/>
                  <w:sz w:val="19"/>
                  <w:lang w:val="en-US"/>
                </w:rPr>
                <w:delText>Assent</w:delText>
              </w:r>
            </w:del>
          </w:p>
        </w:tc>
        <w:tc>
          <w:tcPr>
            <w:tcW w:w="2552" w:type="dxa"/>
          </w:tcPr>
          <w:p>
            <w:pPr>
              <w:pStyle w:val="nTable"/>
              <w:spacing w:after="40"/>
              <w:rPr>
                <w:del w:id="165" w:author="svcMRProcess" w:date="2015-11-12T21:57:00Z"/>
                <w:b/>
                <w:snapToGrid w:val="0"/>
                <w:sz w:val="19"/>
                <w:lang w:val="en-US"/>
              </w:rPr>
            </w:pPr>
            <w:del w:id="166" w:author="svcMRProcess" w:date="2015-11-12T21:5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del w:id="167" w:author="svcMRProcess" w:date="2015-11-12T21:57:00Z">
              <w:r>
                <w:rPr>
                  <w:iCs/>
                  <w:snapToGrid w:val="0"/>
                  <w:sz w:val="19"/>
                  <w:lang w:val="en-US"/>
                </w:rPr>
                <w:delText> </w:delText>
              </w:r>
              <w:r>
                <w:rPr>
                  <w:iCs/>
                  <w:snapToGrid w:val="0"/>
                  <w:sz w:val="19"/>
                  <w:vertAlign w:val="superscript"/>
                  <w:lang w:val="en-US"/>
                </w:rPr>
                <w:delText>3</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168" w:author="svcMRProcess" w:date="2015-11-12T21:57:00Z">
              <w:r>
                <w:rPr>
                  <w:snapToGrid w:val="0"/>
                  <w:sz w:val="19"/>
                  <w:lang w:val="en-US"/>
                </w:rPr>
                <w:delText>To be proclaimed</w:delText>
              </w:r>
            </w:del>
            <w:ins w:id="169" w:author="svcMRProcess" w:date="2015-11-12T21:57:00Z">
              <w:r>
                <w:rPr>
                  <w:snapToGrid w:val="0"/>
                  <w:sz w:val="19"/>
                  <w:lang w:val="en-US"/>
                </w:rPr>
                <w:t>11 Sep 2010</w:t>
              </w:r>
            </w:ins>
            <w:r>
              <w:rPr>
                <w:snapToGrid w:val="0"/>
                <w:sz w:val="19"/>
                <w:lang w:val="en-US"/>
              </w:rPr>
              <w:t xml:space="preserve"> (see s. 2(b</w:t>
            </w:r>
            <w:del w:id="170" w:author="svcMRProcess" w:date="2015-11-12T21:57:00Z">
              <w:r>
                <w:rPr>
                  <w:snapToGrid w:val="0"/>
                  <w:sz w:val="19"/>
                  <w:lang w:val="en-US"/>
                </w:rPr>
                <w:delText>))</w:delText>
              </w:r>
            </w:del>
            <w:ins w:id="171" w:author="svcMRProcess" w:date="2015-11-12T21:5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ins w:id="172" w:author="svcMRProcess" w:date="2015-11-12T21:57:00Z"/>
          <w:vertAlign w:val="superscript"/>
        </w:rPr>
      </w:pPr>
    </w:p>
    <w:p>
      <w:pPr>
        <w:pStyle w:val="nSubsection"/>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pPr>
        <w:pStyle w:val="nSubsection"/>
        <w:rPr>
          <w:del w:id="173" w:author="svcMRProcess" w:date="2015-11-12T21:57:00Z"/>
          <w:snapToGrid w:val="0"/>
        </w:rPr>
      </w:pPr>
      <w:del w:id="174" w:author="svcMRProcess" w:date="2015-11-12T21:5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75" w:author="svcMRProcess" w:date="2015-11-12T21:57:00Z"/>
        </w:rPr>
      </w:pPr>
    </w:p>
    <w:p>
      <w:pPr>
        <w:pStyle w:val="nzHeading5"/>
        <w:rPr>
          <w:del w:id="176" w:author="svcMRProcess" w:date="2015-11-12T21:57:00Z"/>
        </w:rPr>
      </w:pPr>
      <w:bookmarkStart w:id="177" w:name="_Toc233107854"/>
      <w:bookmarkStart w:id="178" w:name="_Toc255473747"/>
      <w:bookmarkStart w:id="179" w:name="_Toc265583802"/>
      <w:del w:id="180" w:author="svcMRProcess" w:date="2015-11-12T21:57:00Z">
        <w:r>
          <w:rPr>
            <w:rStyle w:val="CharSectno"/>
          </w:rPr>
          <w:delText>51</w:delText>
        </w:r>
        <w:r>
          <w:delText>.</w:delText>
        </w:r>
        <w:r>
          <w:tab/>
          <w:delText>Various written laws amended</w:delText>
        </w:r>
        <w:bookmarkEnd w:id="177"/>
        <w:bookmarkEnd w:id="178"/>
        <w:bookmarkEnd w:id="179"/>
      </w:del>
    </w:p>
    <w:p>
      <w:pPr>
        <w:pStyle w:val="nzSubsection"/>
        <w:rPr>
          <w:del w:id="181" w:author="svcMRProcess" w:date="2015-11-12T21:57:00Z"/>
        </w:rPr>
      </w:pPr>
      <w:del w:id="182" w:author="svcMRProcess" w:date="2015-11-12T21:57:00Z">
        <w:r>
          <w:tab/>
          <w:delText>(1)</w:delText>
        </w:r>
        <w:r>
          <w:tab/>
          <w:delText>This section amends the written laws listed in the Table.</w:delText>
        </w:r>
      </w:del>
    </w:p>
    <w:p>
      <w:pPr>
        <w:pStyle w:val="nzSubsection"/>
        <w:spacing w:after="80"/>
        <w:rPr>
          <w:del w:id="183" w:author="svcMRProcess" w:date="2015-11-12T21:57:00Z"/>
        </w:rPr>
      </w:pPr>
      <w:del w:id="184" w:author="svcMRProcess" w:date="2015-11-12T21:5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85" w:author="svcMRProcess" w:date="2015-11-12T21:57:00Z"/>
        </w:trPr>
        <w:tc>
          <w:tcPr>
            <w:tcW w:w="6804" w:type="dxa"/>
            <w:gridSpan w:val="3"/>
          </w:tcPr>
          <w:p>
            <w:pPr>
              <w:pStyle w:val="TableAm"/>
              <w:keepNext/>
              <w:ind w:left="567" w:hanging="567"/>
              <w:rPr>
                <w:del w:id="186" w:author="svcMRProcess" w:date="2015-11-12T21:57:00Z"/>
                <w:b/>
                <w:bCs/>
                <w:iCs/>
              </w:rPr>
            </w:pPr>
            <w:del w:id="187" w:author="svcMRProcess" w:date="2015-11-12T21:57:00Z">
              <w:r>
                <w:rPr>
                  <w:b/>
                  <w:bCs/>
                </w:rPr>
                <w:delText>93.</w:delText>
              </w:r>
              <w:r>
                <w:rPr>
                  <w:b/>
                  <w:bCs/>
                </w:rPr>
                <w:tab/>
              </w:r>
              <w:r>
                <w:rPr>
                  <w:b/>
                  <w:bCs/>
                  <w:i/>
                  <w:iCs/>
                </w:rPr>
                <w:delText>Warehousemen’s Liens Act 1952</w:delText>
              </w:r>
            </w:del>
          </w:p>
        </w:tc>
      </w:tr>
      <w:tr>
        <w:trPr>
          <w:jc w:val="center"/>
          <w:del w:id="188" w:author="svcMRProcess" w:date="2015-11-12T21:57:00Z"/>
        </w:trPr>
        <w:tc>
          <w:tcPr>
            <w:tcW w:w="1702" w:type="dxa"/>
          </w:tcPr>
          <w:p>
            <w:pPr>
              <w:pStyle w:val="TableAm"/>
              <w:rPr>
                <w:del w:id="189" w:author="svcMRProcess" w:date="2015-11-12T21:57:00Z"/>
              </w:rPr>
            </w:pPr>
            <w:del w:id="190" w:author="svcMRProcess" w:date="2015-11-12T21:57:00Z">
              <w:r>
                <w:delText>s. 7(5)</w:delText>
              </w:r>
            </w:del>
          </w:p>
        </w:tc>
        <w:tc>
          <w:tcPr>
            <w:tcW w:w="2551" w:type="dxa"/>
          </w:tcPr>
          <w:p>
            <w:pPr>
              <w:pStyle w:val="TableAm"/>
              <w:rPr>
                <w:del w:id="191" w:author="svcMRProcess" w:date="2015-11-12T21:57:00Z"/>
                <w:snapToGrid w:val="0"/>
              </w:rPr>
            </w:pPr>
            <w:del w:id="192" w:author="svcMRProcess" w:date="2015-11-12T21:57:00Z">
              <w:r>
                <w:rPr>
                  <w:snapToGrid w:val="0"/>
                </w:rPr>
                <w:delText>(5)(a)</w:delText>
              </w:r>
              <w:r>
                <w:rPr>
                  <w:snapToGrid w:val="0"/>
                </w:rPr>
                <w:tab/>
                <w:delText>Where</w:delText>
              </w:r>
            </w:del>
          </w:p>
          <w:p>
            <w:pPr>
              <w:pStyle w:val="TableAm"/>
              <w:rPr>
                <w:del w:id="193" w:author="svcMRProcess" w:date="2015-11-12T21:57:00Z"/>
                <w:snapToGrid w:val="0"/>
              </w:rPr>
            </w:pPr>
            <w:del w:id="194" w:author="svcMRProcess" w:date="2015-11-12T21:57:00Z">
              <w:r>
                <w:rPr>
                  <w:snapToGrid w:val="0"/>
                </w:rPr>
                <w:delText>published —</w:delText>
              </w:r>
            </w:del>
          </w:p>
          <w:p>
            <w:pPr>
              <w:pStyle w:val="TableAm"/>
              <w:spacing w:before="0"/>
              <w:ind w:left="368"/>
              <w:rPr>
                <w:del w:id="195" w:author="svcMRProcess" w:date="2015-11-12T21:57:00Z"/>
                <w:snapToGrid w:val="0"/>
              </w:rPr>
            </w:pPr>
            <w:del w:id="196" w:author="svcMRProcess" w:date="2015-11-12T21:57:00Z">
              <w:r>
                <w:rPr>
                  <w:snapToGrid w:val="0"/>
                </w:rPr>
                <w:delText>at least twice with an interval between the advertisements of at least 7 days —</w:delText>
              </w:r>
            </w:del>
          </w:p>
          <w:p>
            <w:pPr>
              <w:pStyle w:val="TableAm"/>
              <w:spacing w:before="0"/>
              <w:rPr>
                <w:del w:id="197" w:author="svcMRProcess" w:date="2015-11-12T21:57:00Z"/>
                <w:snapToGrid w:val="0"/>
              </w:rPr>
            </w:pPr>
            <w:del w:id="198" w:author="svcMRProcess" w:date="2015-11-12T21:57:00Z">
              <w:r>
                <w:rPr>
                  <w:snapToGrid w:val="0"/>
                </w:rPr>
                <w:delText>in a newspaper</w:delText>
              </w:r>
            </w:del>
          </w:p>
          <w:p>
            <w:pPr>
              <w:pStyle w:val="TableAm"/>
              <w:rPr>
                <w:del w:id="199" w:author="svcMRProcess" w:date="2015-11-12T21:57:00Z"/>
              </w:rPr>
            </w:pPr>
            <w:del w:id="200" w:author="svcMRProcess" w:date="2015-11-12T21:57:00Z">
              <w:r>
                <w:rPr>
                  <w:snapToGrid w:val="0"/>
                </w:rPr>
                <w:delText>(b)</w:delText>
              </w:r>
              <w:r>
                <w:rPr>
                  <w:snapToGrid w:val="0"/>
                </w:rPr>
                <w:tab/>
                <w:delText>The sale</w:delText>
              </w:r>
            </w:del>
          </w:p>
        </w:tc>
        <w:tc>
          <w:tcPr>
            <w:tcW w:w="2551" w:type="dxa"/>
          </w:tcPr>
          <w:p>
            <w:pPr>
              <w:pStyle w:val="TableAm"/>
              <w:rPr>
                <w:del w:id="201" w:author="svcMRProcess" w:date="2015-11-12T21:57:00Z"/>
                <w:snapToGrid w:val="0"/>
              </w:rPr>
            </w:pPr>
            <w:del w:id="202" w:author="svcMRProcess" w:date="2015-11-12T21:57:00Z">
              <w:r>
                <w:rPr>
                  <w:snapToGrid w:val="0"/>
                </w:rPr>
                <w:delText>(5A)</w:delText>
              </w:r>
              <w:r>
                <w:rPr>
                  <w:snapToGrid w:val="0"/>
                </w:rPr>
                <w:tab/>
                <w:delText>Where</w:delText>
              </w:r>
            </w:del>
          </w:p>
          <w:p>
            <w:pPr>
              <w:pStyle w:val="TableAm"/>
              <w:rPr>
                <w:del w:id="203" w:author="svcMRProcess" w:date="2015-11-12T21:57:00Z"/>
                <w:snapToGrid w:val="0"/>
              </w:rPr>
            </w:pPr>
            <w:del w:id="204" w:author="svcMRProcess" w:date="2015-11-12T21:57:00Z">
              <w:r>
                <w:rPr>
                  <w:snapToGrid w:val="0"/>
                </w:rPr>
                <w:delText>published at least twice, with an interval between the advertisements of at least 7 days, in a newspaper</w:delText>
              </w:r>
              <w:r>
                <w:rPr>
                  <w:snapToGrid w:val="0"/>
                </w:rPr>
                <w:br/>
              </w:r>
            </w:del>
          </w:p>
          <w:p>
            <w:pPr>
              <w:pStyle w:val="TableAm"/>
              <w:rPr>
                <w:del w:id="205" w:author="svcMRProcess" w:date="2015-11-12T21:57:00Z"/>
              </w:rPr>
            </w:pPr>
            <w:del w:id="206" w:author="svcMRProcess" w:date="2015-11-12T21:57:00Z">
              <w:r>
                <w:rPr>
                  <w:snapToGrid w:val="0"/>
                </w:rPr>
                <w:delText>(5B)</w:delText>
              </w:r>
              <w:r>
                <w:rPr>
                  <w:snapToGrid w:val="0"/>
                </w:rPr>
                <w:tab/>
                <w:delText>The sale</w:delText>
              </w:r>
            </w:del>
          </w:p>
        </w:tc>
      </w:tr>
      <w:tr>
        <w:trPr>
          <w:jc w:val="center"/>
          <w:del w:id="207" w:author="svcMRProcess" w:date="2015-11-12T21:57:00Z"/>
        </w:trPr>
        <w:tc>
          <w:tcPr>
            <w:tcW w:w="1702" w:type="dxa"/>
          </w:tcPr>
          <w:p>
            <w:pPr>
              <w:pStyle w:val="TableAm"/>
              <w:rPr>
                <w:del w:id="208" w:author="svcMRProcess" w:date="2015-11-12T21:57:00Z"/>
              </w:rPr>
            </w:pPr>
            <w:del w:id="209" w:author="svcMRProcess" w:date="2015-11-12T21:57:00Z">
              <w:r>
                <w:delText>s. 7(7)</w:delText>
              </w:r>
            </w:del>
          </w:p>
        </w:tc>
        <w:tc>
          <w:tcPr>
            <w:tcW w:w="2551" w:type="dxa"/>
          </w:tcPr>
          <w:p>
            <w:pPr>
              <w:pStyle w:val="TableAm"/>
              <w:rPr>
                <w:del w:id="210" w:author="svcMRProcess" w:date="2015-11-12T21:57:00Z"/>
                <w:snapToGrid w:val="0"/>
              </w:rPr>
            </w:pPr>
            <w:del w:id="211" w:author="svcMRProcess" w:date="2015-11-12T21:57:00Z">
              <w:r>
                <w:rPr>
                  <w:snapToGrid w:val="0"/>
                </w:rPr>
                <w:delText>(7)(a)</w:delText>
              </w:r>
              <w:r>
                <w:rPr>
                  <w:snapToGrid w:val="0"/>
                </w:rPr>
                <w:tab/>
                <w:delText>The Magistrates</w:delText>
              </w:r>
            </w:del>
          </w:p>
          <w:p>
            <w:pPr>
              <w:pStyle w:val="TableAm"/>
              <w:rPr>
                <w:del w:id="212" w:author="svcMRProcess" w:date="2015-11-12T21:57:00Z"/>
                <w:snapToGrid w:val="0"/>
              </w:rPr>
            </w:pPr>
            <w:del w:id="213" w:author="svcMRProcess" w:date="2015-11-12T21:57:00Z">
              <w:r>
                <w:rPr>
                  <w:snapToGrid w:val="0"/>
                </w:rPr>
                <w:delText>(b)</w:delText>
              </w:r>
              <w:r>
                <w:rPr>
                  <w:snapToGrid w:val="0"/>
                </w:rPr>
                <w:tab/>
                <w:delText>The Magistrates</w:delText>
              </w:r>
            </w:del>
          </w:p>
          <w:p>
            <w:pPr>
              <w:pStyle w:val="TableAm"/>
              <w:rPr>
                <w:del w:id="214" w:author="svcMRProcess" w:date="2015-11-12T21:57:00Z"/>
              </w:rPr>
            </w:pPr>
            <w:del w:id="215" w:author="svcMRProcess" w:date="2015-11-12T21:57:00Z">
              <w:r>
                <w:rPr>
                  <w:snapToGrid w:val="0"/>
                </w:rPr>
                <w:delText>this subsection,</w:delText>
              </w:r>
            </w:del>
          </w:p>
        </w:tc>
        <w:tc>
          <w:tcPr>
            <w:tcW w:w="2551" w:type="dxa"/>
          </w:tcPr>
          <w:p>
            <w:pPr>
              <w:pStyle w:val="TableAm"/>
              <w:rPr>
                <w:del w:id="216" w:author="svcMRProcess" w:date="2015-11-12T21:57:00Z"/>
                <w:snapToGrid w:val="0"/>
              </w:rPr>
            </w:pPr>
            <w:del w:id="217" w:author="svcMRProcess" w:date="2015-11-12T21:57:00Z">
              <w:r>
                <w:rPr>
                  <w:snapToGrid w:val="0"/>
                </w:rPr>
                <w:delText>(7A)</w:delText>
              </w:r>
              <w:r>
                <w:rPr>
                  <w:snapToGrid w:val="0"/>
                </w:rPr>
                <w:tab/>
                <w:delText>The Magistrates</w:delText>
              </w:r>
            </w:del>
          </w:p>
          <w:p>
            <w:pPr>
              <w:pStyle w:val="TableAm"/>
              <w:rPr>
                <w:del w:id="218" w:author="svcMRProcess" w:date="2015-11-12T21:57:00Z"/>
                <w:snapToGrid w:val="0"/>
              </w:rPr>
            </w:pPr>
            <w:del w:id="219" w:author="svcMRProcess" w:date="2015-11-12T21:57:00Z">
              <w:r>
                <w:rPr>
                  <w:snapToGrid w:val="0"/>
                </w:rPr>
                <w:delText>(7B)</w:delText>
              </w:r>
              <w:r>
                <w:rPr>
                  <w:snapToGrid w:val="0"/>
                </w:rPr>
                <w:tab/>
                <w:delText>The Magistrates</w:delText>
              </w:r>
            </w:del>
          </w:p>
          <w:p>
            <w:pPr>
              <w:pStyle w:val="TableAm"/>
              <w:rPr>
                <w:del w:id="220" w:author="svcMRProcess" w:date="2015-11-12T21:57:00Z"/>
              </w:rPr>
            </w:pPr>
            <w:del w:id="221" w:author="svcMRProcess" w:date="2015-11-12T21:57:00Z">
              <w:r>
                <w:rPr>
                  <w:snapToGrid w:val="0"/>
                </w:rPr>
                <w:delText>subsection (7A),</w:delText>
              </w:r>
            </w:del>
          </w:p>
        </w:tc>
      </w:tr>
      <w:tr>
        <w:trPr>
          <w:jc w:val="center"/>
          <w:del w:id="222" w:author="svcMRProcess" w:date="2015-11-12T21:57:00Z"/>
        </w:trPr>
        <w:tc>
          <w:tcPr>
            <w:tcW w:w="1702" w:type="dxa"/>
          </w:tcPr>
          <w:p>
            <w:pPr>
              <w:pStyle w:val="TableAm"/>
              <w:rPr>
                <w:del w:id="223" w:author="svcMRProcess" w:date="2015-11-12T21:57:00Z"/>
              </w:rPr>
            </w:pPr>
            <w:del w:id="224" w:author="svcMRProcess" w:date="2015-11-12T21:57:00Z">
              <w:r>
                <w:delText>s. 8(1)</w:delText>
              </w:r>
            </w:del>
          </w:p>
        </w:tc>
        <w:tc>
          <w:tcPr>
            <w:tcW w:w="2551" w:type="dxa"/>
          </w:tcPr>
          <w:p>
            <w:pPr>
              <w:pStyle w:val="TableAm"/>
              <w:rPr>
                <w:del w:id="225" w:author="svcMRProcess" w:date="2015-11-12T21:57:00Z"/>
                <w:snapToGrid w:val="0"/>
              </w:rPr>
            </w:pPr>
            <w:del w:id="226" w:author="svcMRProcess" w:date="2015-11-12T21:57:00Z">
              <w:r>
                <w:rPr>
                  <w:snapToGrid w:val="0"/>
                </w:rPr>
                <w:delText>(1)(a)</w:delText>
              </w:r>
              <w:r>
                <w:rPr>
                  <w:snapToGrid w:val="0"/>
                </w:rPr>
                <w:tab/>
                <w:delText>If at any</w:delText>
              </w:r>
            </w:del>
          </w:p>
          <w:p>
            <w:pPr>
              <w:pStyle w:val="TableAm"/>
              <w:rPr>
                <w:del w:id="227" w:author="svcMRProcess" w:date="2015-11-12T21:57:00Z"/>
              </w:rPr>
            </w:pPr>
            <w:del w:id="228" w:author="svcMRProcess" w:date="2015-11-12T21:57:00Z">
              <w:r>
                <w:rPr>
                  <w:snapToGrid w:val="0"/>
                </w:rPr>
                <w:delText>(b)</w:delText>
              </w:r>
              <w:r>
                <w:rPr>
                  <w:snapToGrid w:val="0"/>
                </w:rPr>
                <w:tab/>
                <w:delText>If the person</w:delText>
              </w:r>
            </w:del>
          </w:p>
        </w:tc>
        <w:tc>
          <w:tcPr>
            <w:tcW w:w="2551" w:type="dxa"/>
          </w:tcPr>
          <w:p>
            <w:pPr>
              <w:pStyle w:val="TableAm"/>
              <w:rPr>
                <w:del w:id="229" w:author="svcMRProcess" w:date="2015-11-12T21:57:00Z"/>
                <w:snapToGrid w:val="0"/>
              </w:rPr>
            </w:pPr>
            <w:del w:id="230" w:author="svcMRProcess" w:date="2015-11-12T21:57:00Z">
              <w:r>
                <w:rPr>
                  <w:snapToGrid w:val="0"/>
                </w:rPr>
                <w:delText>(1A)</w:delText>
              </w:r>
              <w:r>
                <w:rPr>
                  <w:snapToGrid w:val="0"/>
                </w:rPr>
                <w:tab/>
                <w:delText>If at any</w:delText>
              </w:r>
            </w:del>
          </w:p>
          <w:p>
            <w:pPr>
              <w:pStyle w:val="TableAm"/>
              <w:rPr>
                <w:del w:id="231" w:author="svcMRProcess" w:date="2015-11-12T21:57:00Z"/>
              </w:rPr>
            </w:pPr>
            <w:del w:id="232" w:author="svcMRProcess" w:date="2015-11-12T21:57:00Z">
              <w:r>
                <w:rPr>
                  <w:snapToGrid w:val="0"/>
                </w:rPr>
                <w:delText>(1B)</w:delText>
              </w:r>
              <w:r>
                <w:rPr>
                  <w:snapToGrid w:val="0"/>
                </w:rPr>
                <w:tab/>
                <w:delText>If the person</w:delText>
              </w:r>
            </w:del>
          </w:p>
        </w:tc>
      </w:tr>
      <w:tr>
        <w:trPr>
          <w:jc w:val="center"/>
          <w:del w:id="233" w:author="svcMRProcess" w:date="2015-11-12T21:57:00Z"/>
        </w:trPr>
        <w:tc>
          <w:tcPr>
            <w:tcW w:w="1702" w:type="dxa"/>
          </w:tcPr>
          <w:p>
            <w:pPr>
              <w:pStyle w:val="TableAm"/>
              <w:rPr>
                <w:del w:id="234" w:author="svcMRProcess" w:date="2015-11-12T21:57:00Z"/>
              </w:rPr>
            </w:pPr>
            <w:del w:id="235" w:author="svcMRProcess" w:date="2015-11-12T21:57:00Z">
              <w:r>
                <w:delText>s. 9(3)</w:delText>
              </w:r>
            </w:del>
          </w:p>
        </w:tc>
        <w:tc>
          <w:tcPr>
            <w:tcW w:w="2551" w:type="dxa"/>
          </w:tcPr>
          <w:p>
            <w:pPr>
              <w:pStyle w:val="TableAm"/>
              <w:rPr>
                <w:del w:id="236" w:author="svcMRProcess" w:date="2015-11-12T21:57:00Z"/>
                <w:snapToGrid w:val="0"/>
              </w:rPr>
            </w:pPr>
            <w:del w:id="237" w:author="svcMRProcess" w:date="2015-11-12T21:57:00Z">
              <w:r>
                <w:rPr>
                  <w:snapToGrid w:val="0"/>
                </w:rPr>
                <w:delText>(3)(a)</w:delText>
              </w:r>
              <w:r>
                <w:rPr>
                  <w:snapToGrid w:val="0"/>
                </w:rPr>
                <w:tab/>
                <w:delText>Regulations</w:delText>
              </w:r>
            </w:del>
          </w:p>
          <w:p>
            <w:pPr>
              <w:pStyle w:val="TableAm"/>
              <w:rPr>
                <w:del w:id="238" w:author="svcMRProcess" w:date="2015-11-12T21:57:00Z"/>
              </w:rPr>
            </w:pPr>
            <w:del w:id="239" w:author="svcMRProcess" w:date="2015-11-12T21:57:00Z">
              <w:r>
                <w:rPr>
                  <w:snapToGrid w:val="0"/>
                </w:rPr>
                <w:delText>(b)</w:delText>
              </w:r>
              <w:r>
                <w:rPr>
                  <w:snapToGrid w:val="0"/>
                </w:rPr>
                <w:tab/>
                <w:delText>A notice</w:delText>
              </w:r>
            </w:del>
          </w:p>
        </w:tc>
        <w:tc>
          <w:tcPr>
            <w:tcW w:w="2551" w:type="dxa"/>
          </w:tcPr>
          <w:p>
            <w:pPr>
              <w:pStyle w:val="TableAm"/>
              <w:rPr>
                <w:del w:id="240" w:author="svcMRProcess" w:date="2015-11-12T21:57:00Z"/>
                <w:snapToGrid w:val="0"/>
              </w:rPr>
            </w:pPr>
            <w:del w:id="241" w:author="svcMRProcess" w:date="2015-11-12T21:57:00Z">
              <w:r>
                <w:rPr>
                  <w:snapToGrid w:val="0"/>
                </w:rPr>
                <w:delText>(3A)</w:delText>
              </w:r>
              <w:r>
                <w:rPr>
                  <w:snapToGrid w:val="0"/>
                </w:rPr>
                <w:tab/>
                <w:delText>Regulations</w:delText>
              </w:r>
            </w:del>
          </w:p>
          <w:p>
            <w:pPr>
              <w:pStyle w:val="TableAm"/>
              <w:rPr>
                <w:del w:id="242" w:author="svcMRProcess" w:date="2015-11-12T21:57:00Z"/>
              </w:rPr>
            </w:pPr>
            <w:del w:id="243" w:author="svcMRProcess" w:date="2015-11-12T21:57:00Z">
              <w:r>
                <w:rPr>
                  <w:snapToGrid w:val="0"/>
                </w:rPr>
                <w:delText>(3B)</w:delText>
              </w:r>
              <w:r>
                <w:rPr>
                  <w:snapToGrid w:val="0"/>
                </w:rPr>
                <w:tab/>
                <w:delText>A notice</w:delText>
              </w:r>
            </w:del>
          </w:p>
        </w:tc>
      </w:tr>
      <w:tr>
        <w:trPr>
          <w:jc w:val="center"/>
          <w:del w:id="244" w:author="svcMRProcess" w:date="2015-11-12T21:57:00Z"/>
        </w:trPr>
        <w:tc>
          <w:tcPr>
            <w:tcW w:w="1702" w:type="dxa"/>
          </w:tcPr>
          <w:p>
            <w:pPr>
              <w:pStyle w:val="TableAm"/>
              <w:rPr>
                <w:del w:id="245" w:author="svcMRProcess" w:date="2015-11-12T21:57:00Z"/>
              </w:rPr>
            </w:pPr>
            <w:del w:id="246" w:author="svcMRProcess" w:date="2015-11-12T21:57:00Z">
              <w:r>
                <w:delText>s. 10(1)</w:delText>
              </w:r>
            </w:del>
          </w:p>
        </w:tc>
        <w:tc>
          <w:tcPr>
            <w:tcW w:w="2551" w:type="dxa"/>
          </w:tcPr>
          <w:p>
            <w:pPr>
              <w:pStyle w:val="TableAm"/>
              <w:rPr>
                <w:del w:id="247" w:author="svcMRProcess" w:date="2015-11-12T21:57:00Z"/>
                <w:snapToGrid w:val="0"/>
              </w:rPr>
            </w:pPr>
            <w:del w:id="248" w:author="svcMRProcess" w:date="2015-11-12T21:57:00Z">
              <w:r>
                <w:rPr>
                  <w:snapToGrid w:val="0"/>
                </w:rPr>
                <w:delText>(1)(a)</w:delText>
              </w:r>
              <w:r>
                <w:rPr>
                  <w:snapToGrid w:val="0"/>
                </w:rPr>
                <w:tab/>
                <w:delText>From the</w:delText>
              </w:r>
            </w:del>
          </w:p>
          <w:p>
            <w:pPr>
              <w:pStyle w:val="TableAm"/>
              <w:rPr>
                <w:del w:id="249" w:author="svcMRProcess" w:date="2015-11-12T21:57:00Z"/>
                <w:snapToGrid w:val="0"/>
              </w:rPr>
            </w:pPr>
            <w:del w:id="250" w:author="svcMRProcess" w:date="2015-11-12T21:57:00Z">
              <w:r>
                <w:rPr>
                  <w:snapToGrid w:val="0"/>
                </w:rPr>
                <w:delText>subsections (2) and (3),</w:delText>
              </w:r>
              <w:r>
                <w:rPr>
                  <w:snapToGrid w:val="0"/>
                </w:rPr>
                <w:br/>
              </w:r>
            </w:del>
          </w:p>
          <w:p>
            <w:pPr>
              <w:pStyle w:val="TableAm"/>
              <w:ind w:left="567" w:hanging="567"/>
              <w:rPr>
                <w:del w:id="251" w:author="svcMRProcess" w:date="2015-11-12T21:57:00Z"/>
              </w:rPr>
            </w:pPr>
            <w:del w:id="252" w:author="svcMRProcess" w:date="2015-11-12T21:57:00Z">
              <w:r>
                <w:rPr>
                  <w:snapToGrid w:val="0"/>
                </w:rPr>
                <w:delText>(b)</w:delText>
              </w:r>
              <w:r>
                <w:rPr>
                  <w:snapToGrid w:val="0"/>
                </w:rPr>
                <w:tab/>
                <w:delText>The warehouseman</w:delText>
              </w:r>
            </w:del>
          </w:p>
        </w:tc>
        <w:tc>
          <w:tcPr>
            <w:tcW w:w="2551" w:type="dxa"/>
          </w:tcPr>
          <w:p>
            <w:pPr>
              <w:pStyle w:val="TableAm"/>
              <w:rPr>
                <w:del w:id="253" w:author="svcMRProcess" w:date="2015-11-12T21:57:00Z"/>
                <w:snapToGrid w:val="0"/>
              </w:rPr>
            </w:pPr>
            <w:del w:id="254" w:author="svcMRProcess" w:date="2015-11-12T21:57:00Z">
              <w:r>
                <w:rPr>
                  <w:snapToGrid w:val="0"/>
                </w:rPr>
                <w:delText>(1A)</w:delText>
              </w:r>
              <w:r>
                <w:rPr>
                  <w:snapToGrid w:val="0"/>
                </w:rPr>
                <w:tab/>
                <w:delText>From the</w:delText>
              </w:r>
            </w:del>
          </w:p>
          <w:p>
            <w:pPr>
              <w:pStyle w:val="TableAm"/>
              <w:rPr>
                <w:del w:id="255" w:author="svcMRProcess" w:date="2015-11-12T21:57:00Z"/>
                <w:snapToGrid w:val="0"/>
              </w:rPr>
            </w:pPr>
            <w:del w:id="256" w:author="svcMRProcess" w:date="2015-11-12T21:57:00Z">
              <w:r>
                <w:rPr>
                  <w:snapToGrid w:val="0"/>
                </w:rPr>
                <w:delText>subsections (2A), (2B) and (3),</w:delText>
              </w:r>
            </w:del>
          </w:p>
          <w:p>
            <w:pPr>
              <w:pStyle w:val="TableAm"/>
              <w:ind w:left="567" w:hanging="567"/>
              <w:rPr>
                <w:del w:id="257" w:author="svcMRProcess" w:date="2015-11-12T21:57:00Z"/>
              </w:rPr>
            </w:pPr>
            <w:del w:id="258" w:author="svcMRProcess" w:date="2015-11-12T21:57:00Z">
              <w:r>
                <w:rPr>
                  <w:snapToGrid w:val="0"/>
                </w:rPr>
                <w:delText>(1B)</w:delText>
              </w:r>
              <w:r>
                <w:rPr>
                  <w:snapToGrid w:val="0"/>
                </w:rPr>
                <w:tab/>
                <w:delText>The warehouseman</w:delText>
              </w:r>
            </w:del>
          </w:p>
        </w:tc>
      </w:tr>
      <w:tr>
        <w:trPr>
          <w:jc w:val="center"/>
          <w:del w:id="259" w:author="svcMRProcess" w:date="2015-11-12T21:57:00Z"/>
        </w:trPr>
        <w:tc>
          <w:tcPr>
            <w:tcW w:w="1702" w:type="dxa"/>
          </w:tcPr>
          <w:p>
            <w:pPr>
              <w:pStyle w:val="TableAm"/>
              <w:rPr>
                <w:del w:id="260" w:author="svcMRProcess" w:date="2015-11-12T21:57:00Z"/>
              </w:rPr>
            </w:pPr>
            <w:del w:id="261" w:author="svcMRProcess" w:date="2015-11-12T21:57:00Z">
              <w:r>
                <w:delText>s. 10(2)</w:delText>
              </w:r>
            </w:del>
          </w:p>
        </w:tc>
        <w:tc>
          <w:tcPr>
            <w:tcW w:w="2551" w:type="dxa"/>
          </w:tcPr>
          <w:p>
            <w:pPr>
              <w:pStyle w:val="TableAm"/>
              <w:rPr>
                <w:del w:id="262" w:author="svcMRProcess" w:date="2015-11-12T21:57:00Z"/>
                <w:snapToGrid w:val="0"/>
              </w:rPr>
            </w:pPr>
            <w:del w:id="263" w:author="svcMRProcess" w:date="2015-11-12T21:57:00Z">
              <w:r>
                <w:rPr>
                  <w:snapToGrid w:val="0"/>
                </w:rPr>
                <w:delText>(2)(a)</w:delText>
              </w:r>
              <w:r>
                <w:rPr>
                  <w:snapToGrid w:val="0"/>
                </w:rPr>
                <w:tab/>
                <w:delText>Where</w:delText>
              </w:r>
            </w:del>
          </w:p>
          <w:p>
            <w:pPr>
              <w:pStyle w:val="TableAm"/>
              <w:rPr>
                <w:del w:id="264" w:author="svcMRProcess" w:date="2015-11-12T21:57:00Z"/>
              </w:rPr>
            </w:pPr>
            <w:del w:id="265" w:author="svcMRProcess" w:date="2015-11-12T21:57:00Z">
              <w:r>
                <w:rPr>
                  <w:snapToGrid w:val="0"/>
                </w:rPr>
                <w:delText>(b)</w:delText>
              </w:r>
              <w:r>
                <w:rPr>
                  <w:snapToGrid w:val="0"/>
                </w:rPr>
                <w:tab/>
                <w:delText>Money</w:delText>
              </w:r>
            </w:del>
          </w:p>
        </w:tc>
        <w:tc>
          <w:tcPr>
            <w:tcW w:w="2551" w:type="dxa"/>
          </w:tcPr>
          <w:p>
            <w:pPr>
              <w:pStyle w:val="TableAm"/>
              <w:rPr>
                <w:del w:id="266" w:author="svcMRProcess" w:date="2015-11-12T21:57:00Z"/>
                <w:snapToGrid w:val="0"/>
              </w:rPr>
            </w:pPr>
            <w:del w:id="267" w:author="svcMRProcess" w:date="2015-11-12T21:57:00Z">
              <w:r>
                <w:rPr>
                  <w:snapToGrid w:val="0"/>
                </w:rPr>
                <w:delText>(2A)</w:delText>
              </w:r>
              <w:r>
                <w:rPr>
                  <w:snapToGrid w:val="0"/>
                </w:rPr>
                <w:tab/>
                <w:delText>Where</w:delText>
              </w:r>
            </w:del>
          </w:p>
          <w:p>
            <w:pPr>
              <w:pStyle w:val="TableAm"/>
              <w:rPr>
                <w:del w:id="268" w:author="svcMRProcess" w:date="2015-11-12T21:57:00Z"/>
              </w:rPr>
            </w:pPr>
            <w:del w:id="269" w:author="svcMRProcess" w:date="2015-11-12T21:57:00Z">
              <w:r>
                <w:rPr>
                  <w:snapToGrid w:val="0"/>
                </w:rPr>
                <w:delText>(2B)</w:delText>
              </w:r>
              <w:r>
                <w:rPr>
                  <w:snapToGrid w:val="0"/>
                </w:rPr>
                <w:tab/>
                <w:delText>Money</w:delText>
              </w:r>
            </w:del>
          </w:p>
        </w:tc>
      </w:tr>
      <w:tr>
        <w:trPr>
          <w:jc w:val="center"/>
          <w:del w:id="270" w:author="svcMRProcess" w:date="2015-11-12T21:57:00Z"/>
        </w:trPr>
        <w:tc>
          <w:tcPr>
            <w:tcW w:w="1702" w:type="dxa"/>
          </w:tcPr>
          <w:p>
            <w:pPr>
              <w:pStyle w:val="TableAm"/>
              <w:rPr>
                <w:del w:id="271" w:author="svcMRProcess" w:date="2015-11-12T21:57:00Z"/>
              </w:rPr>
            </w:pPr>
            <w:del w:id="272" w:author="svcMRProcess" w:date="2015-11-12T21:57:00Z">
              <w:r>
                <w:delText>s. 10(5)</w:delText>
              </w:r>
            </w:del>
          </w:p>
        </w:tc>
        <w:tc>
          <w:tcPr>
            <w:tcW w:w="2551" w:type="dxa"/>
          </w:tcPr>
          <w:p>
            <w:pPr>
              <w:pStyle w:val="TableAm"/>
              <w:rPr>
                <w:del w:id="273" w:author="svcMRProcess" w:date="2015-11-12T21:57:00Z"/>
                <w:snapToGrid w:val="0"/>
              </w:rPr>
            </w:pPr>
            <w:del w:id="274" w:author="svcMRProcess" w:date="2015-11-12T21:57:00Z">
              <w:r>
                <w:rPr>
                  <w:snapToGrid w:val="0"/>
                </w:rPr>
                <w:delText>(5)(a)</w:delText>
              </w:r>
              <w:r>
                <w:rPr>
                  <w:snapToGrid w:val="0"/>
                </w:rPr>
                <w:tab/>
                <w:delText>If within</w:delText>
              </w:r>
            </w:del>
          </w:p>
          <w:p>
            <w:pPr>
              <w:pStyle w:val="TableAm"/>
              <w:rPr>
                <w:del w:id="275" w:author="svcMRProcess" w:date="2015-11-12T21:57:00Z"/>
                <w:snapToGrid w:val="0"/>
              </w:rPr>
            </w:pPr>
            <w:del w:id="276" w:author="svcMRProcess" w:date="2015-11-12T21:57:00Z">
              <w:r>
                <w:rPr>
                  <w:snapToGrid w:val="0"/>
                </w:rPr>
                <w:delText>(b)</w:delText>
              </w:r>
              <w:r>
                <w:rPr>
                  <w:snapToGrid w:val="0"/>
                </w:rPr>
                <w:tab/>
                <w:delText>The payment</w:delText>
              </w:r>
              <w:r>
                <w:rPr>
                  <w:snapToGrid w:val="0"/>
                </w:rPr>
                <w:br/>
              </w:r>
            </w:del>
          </w:p>
          <w:p>
            <w:pPr>
              <w:pStyle w:val="TableAm"/>
              <w:ind w:left="567" w:hanging="567"/>
              <w:rPr>
                <w:del w:id="277" w:author="svcMRProcess" w:date="2015-11-12T21:57:00Z"/>
              </w:rPr>
            </w:pPr>
            <w:del w:id="278" w:author="svcMRProcess" w:date="2015-11-12T21:57:00Z">
              <w:r>
                <w:rPr>
                  <w:snapToGrid w:val="0"/>
                </w:rPr>
                <w:delText>(c)</w:delText>
              </w:r>
              <w:r>
                <w:rPr>
                  <w:snapToGrid w:val="0"/>
                </w:rPr>
                <w:tab/>
                <w:delText>Where money so paid to a claimant</w:delText>
              </w:r>
            </w:del>
          </w:p>
        </w:tc>
        <w:tc>
          <w:tcPr>
            <w:tcW w:w="2551" w:type="dxa"/>
          </w:tcPr>
          <w:p>
            <w:pPr>
              <w:pStyle w:val="TableAm"/>
              <w:rPr>
                <w:del w:id="279" w:author="svcMRProcess" w:date="2015-11-12T21:57:00Z"/>
                <w:snapToGrid w:val="0"/>
              </w:rPr>
            </w:pPr>
            <w:del w:id="280" w:author="svcMRProcess" w:date="2015-11-12T21:57:00Z">
              <w:r>
                <w:rPr>
                  <w:snapToGrid w:val="0"/>
                </w:rPr>
                <w:delText>(5A)</w:delText>
              </w:r>
              <w:r>
                <w:rPr>
                  <w:snapToGrid w:val="0"/>
                </w:rPr>
                <w:tab/>
                <w:delText>If within</w:delText>
              </w:r>
            </w:del>
          </w:p>
          <w:p>
            <w:pPr>
              <w:pStyle w:val="TableAm"/>
              <w:ind w:left="567" w:hanging="567"/>
              <w:rPr>
                <w:del w:id="281" w:author="svcMRProcess" w:date="2015-11-12T21:57:00Z"/>
              </w:rPr>
            </w:pPr>
            <w:del w:id="282" w:author="svcMRProcess" w:date="2015-11-12T21:57:00Z">
              <w:r>
                <w:rPr>
                  <w:snapToGrid w:val="0"/>
                </w:rPr>
                <w:delText>(5B)</w:delText>
              </w:r>
              <w:r>
                <w:rPr>
                  <w:snapToGrid w:val="0"/>
                </w:rPr>
                <w:tab/>
              </w:r>
              <w:r>
                <w:delText>A payment under subsection (5A)</w:delText>
              </w:r>
            </w:del>
          </w:p>
          <w:p>
            <w:pPr>
              <w:pStyle w:val="TableAm"/>
              <w:ind w:left="567" w:hanging="567"/>
              <w:rPr>
                <w:del w:id="283" w:author="svcMRProcess" w:date="2015-11-12T21:57:00Z"/>
              </w:rPr>
            </w:pPr>
            <w:del w:id="284" w:author="svcMRProcess" w:date="2015-11-12T21:57:00Z">
              <w:r>
                <w:delText>(5C)</w:delText>
              </w:r>
              <w:r>
                <w:tab/>
                <w:delText>Where money paid to a claimant under subsection (5A)</w:delText>
              </w:r>
            </w:del>
          </w:p>
        </w:tc>
      </w:tr>
    </w:tbl>
    <w:p>
      <w:pPr>
        <w:pStyle w:val="BlankClose"/>
        <w:rPr>
          <w:del w:id="285" w:author="svcMRProcess" w:date="2015-11-12T21:57: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3367</Words>
  <Characters>15055</Characters>
  <Application>Microsoft Office Word</Application>
  <DocSecurity>0</DocSecurity>
  <Lines>456</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01-d0-01 - 01-e0-01</dc:title>
  <dc:subject/>
  <dc:creator/>
  <cp:keywords/>
  <dc:description/>
  <cp:lastModifiedBy>svcMRProcess</cp:lastModifiedBy>
  <cp:revision>2</cp:revision>
  <cp:lastPrinted>2002-08-09T06:52:00Z</cp:lastPrinted>
  <dcterms:created xsi:type="dcterms:W3CDTF">2015-11-12T13:57:00Z</dcterms:created>
  <dcterms:modified xsi:type="dcterms:W3CDTF">2015-11-12T13:57:00Z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862</vt:i4>
  </property>
  <property fmtid="{D5CDD505-2E9C-101B-9397-08002B2CF9AE}" pid="6" name="FromSuffix">
    <vt:lpwstr>01-d0-01</vt:lpwstr>
  </property>
  <property fmtid="{D5CDD505-2E9C-101B-9397-08002B2CF9AE}" pid="7" name="FromAsAtDate">
    <vt:lpwstr>28 Jun 2010</vt:lpwstr>
  </property>
  <property fmtid="{D5CDD505-2E9C-101B-9397-08002B2CF9AE}" pid="8" name="ToSuffix">
    <vt:lpwstr>01-e0-01</vt:lpwstr>
  </property>
  <property fmtid="{D5CDD505-2E9C-101B-9397-08002B2CF9AE}" pid="9" name="ToAsAtDate">
    <vt:lpwstr>11 Sep 2010</vt:lpwstr>
  </property>
</Properties>
</file>