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Coroners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02-g0-01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80" w:after="1200"/>
      </w:pPr>
      <w:r>
        <w:t>Coroners Act 1996</w:t>
      </w:r>
    </w:p>
    <w:p>
      <w:pPr>
        <w:pStyle w:val="LongTitle"/>
        <w:rPr>
          <w:snapToGrid w:val="0"/>
        </w:rPr>
      </w:pPr>
      <w:r>
        <w:rPr>
          <w:snapToGrid w:val="0"/>
        </w:rPr>
        <w:t>A</w:t>
      </w:r>
      <w:bookmarkStart w:id="0" w:name="_GoBack"/>
      <w:bookmarkEnd w:id="0"/>
      <w:r>
        <w:rPr>
          <w:snapToGrid w:val="0"/>
        </w:rPr>
        <w:t xml:space="preserve">n Act to establish the office of State Coroner, to provide for a State coronial system to inquire into Western Australian deaths, to repeal the </w:t>
      </w:r>
      <w:r>
        <w:rPr>
          <w:i/>
          <w:snapToGrid w:val="0"/>
        </w:rPr>
        <w:t>Coroners Act 1920</w:t>
      </w:r>
      <w:r>
        <w:rPr>
          <w:b w:val="0"/>
          <w:snapToGrid w:val="0"/>
          <w:vertAlign w:val="superscript"/>
        </w:rPr>
        <w:t> 2</w:t>
      </w:r>
      <w:r>
        <w:rPr>
          <w:snapToGrid w:val="0"/>
        </w:rPr>
        <w:t xml:space="preserve">, to amend certain other Acts and for related purposes. </w:t>
      </w:r>
    </w:p>
    <w:p/>
    <w:p>
      <w:pPr>
        <w:pStyle w:val="Heading2"/>
      </w:pPr>
      <w:bookmarkStart w:id="1" w:name="_Toc72892581"/>
      <w:bookmarkStart w:id="2" w:name="_Toc84823304"/>
      <w:bookmarkStart w:id="3" w:name="_Toc84823439"/>
      <w:bookmarkStart w:id="4" w:name="_Toc84823520"/>
      <w:bookmarkStart w:id="5" w:name="_Toc84823601"/>
      <w:bookmarkStart w:id="6" w:name="_Toc89507911"/>
      <w:bookmarkStart w:id="7" w:name="_Toc101346665"/>
      <w:bookmarkStart w:id="8" w:name="_Toc101346818"/>
      <w:bookmarkStart w:id="9" w:name="_Toc103588759"/>
      <w:bookmarkStart w:id="10" w:name="_Toc104196993"/>
      <w:bookmarkStart w:id="11" w:name="_Toc104197614"/>
      <w:bookmarkStart w:id="12" w:name="_Toc104784908"/>
      <w:bookmarkStart w:id="13" w:name="_Toc104869472"/>
      <w:bookmarkStart w:id="14" w:name="_Toc107287637"/>
      <w:bookmarkStart w:id="15" w:name="_Toc128390181"/>
      <w:bookmarkStart w:id="16" w:name="_Toc129058329"/>
      <w:bookmarkStart w:id="17" w:name="_Toc199670447"/>
      <w:bookmarkStart w:id="18" w:name="_Toc215478027"/>
      <w:bookmarkStart w:id="19" w:name="_Toc223842737"/>
      <w:bookmarkStart w:id="20" w:name="_Toc27118872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507474185"/>
      <w:bookmarkStart w:id="22" w:name="_Toc513604033"/>
      <w:bookmarkStart w:id="23" w:name="_Toc84823305"/>
      <w:bookmarkStart w:id="24" w:name="_Toc129058330"/>
      <w:bookmarkStart w:id="25" w:name="_Toc271188726"/>
      <w:r>
        <w:rPr>
          <w:rStyle w:val="CharSectno"/>
        </w:rPr>
        <w:t>1</w:t>
      </w:r>
      <w:r>
        <w:rPr>
          <w:snapToGrid w:val="0"/>
        </w:rPr>
        <w:t>.</w:t>
      </w:r>
      <w:r>
        <w:rPr>
          <w:snapToGrid w:val="0"/>
        </w:rPr>
        <w:tab/>
        <w:t>Short title</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Coroners Act 1996</w:t>
      </w:r>
      <w:r>
        <w:rPr>
          <w:snapToGrid w:val="0"/>
          <w:vertAlign w:val="superscript"/>
        </w:rPr>
        <w:t> 1</w:t>
      </w:r>
      <w:r>
        <w:rPr>
          <w:snapToGrid w:val="0"/>
        </w:rPr>
        <w:t>.</w:t>
      </w:r>
    </w:p>
    <w:p>
      <w:pPr>
        <w:pStyle w:val="Heading5"/>
        <w:rPr>
          <w:snapToGrid w:val="0"/>
        </w:rPr>
      </w:pPr>
      <w:bookmarkStart w:id="26" w:name="_Toc507474186"/>
      <w:bookmarkStart w:id="27" w:name="_Toc513604034"/>
      <w:bookmarkStart w:id="28" w:name="_Toc84823306"/>
      <w:bookmarkStart w:id="29" w:name="_Toc129058331"/>
      <w:bookmarkStart w:id="30" w:name="_Toc271188727"/>
      <w:r>
        <w:rPr>
          <w:rStyle w:val="CharSectno"/>
        </w:rPr>
        <w:t>2</w:t>
      </w:r>
      <w:r>
        <w:rPr>
          <w:snapToGrid w:val="0"/>
        </w:rPr>
        <w:t>.</w:t>
      </w:r>
      <w:r>
        <w:rPr>
          <w:snapToGrid w:val="0"/>
        </w:rPr>
        <w:tab/>
        <w:t>Commencement</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31" w:name="_Toc507474187"/>
      <w:bookmarkStart w:id="32" w:name="_Toc513604035"/>
      <w:bookmarkStart w:id="33" w:name="_Toc84823307"/>
      <w:bookmarkStart w:id="34" w:name="_Toc129058332"/>
      <w:bookmarkStart w:id="35" w:name="_Toc271188728"/>
      <w:r>
        <w:rPr>
          <w:rStyle w:val="CharSectno"/>
        </w:rPr>
        <w:t>3</w:t>
      </w:r>
      <w:r>
        <w:rPr>
          <w:snapToGrid w:val="0"/>
        </w:rPr>
        <w:t>.</w:t>
      </w:r>
      <w:r>
        <w:rPr>
          <w:snapToGrid w:val="0"/>
        </w:rPr>
        <w:tab/>
        <w:t>Interpretation</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agency</w:t>
      </w:r>
      <w:r>
        <w:t xml:space="preserve"> has the same meaning as it has for the purposes of the </w:t>
      </w:r>
      <w:r>
        <w:rPr>
          <w:i/>
        </w:rPr>
        <w:t>Public Sector Management Act 1994</w:t>
      </w:r>
      <w:r>
        <w:t>;</w:t>
      </w:r>
    </w:p>
    <w:p>
      <w:pPr>
        <w:pStyle w:val="Defstart"/>
      </w:pPr>
      <w:r>
        <w:rPr>
          <w:b/>
        </w:rPr>
        <w:tab/>
      </w:r>
      <w:r>
        <w:rPr>
          <w:rStyle w:val="CharDefText"/>
        </w:rPr>
        <w:t>coroner</w:t>
      </w:r>
      <w:r>
        <w:t xml:space="preserve"> includes the State Coroner and the Deputy State Coroner; </w:t>
      </w:r>
    </w:p>
    <w:p>
      <w:pPr>
        <w:pStyle w:val="Defstart"/>
      </w:pPr>
      <w:r>
        <w:rPr>
          <w:b/>
        </w:rPr>
        <w:tab/>
      </w:r>
      <w:r>
        <w:rPr>
          <w:rStyle w:val="CharDefText"/>
        </w:rPr>
        <w:t>coroner’s investigator</w:t>
      </w:r>
      <w:r>
        <w:t xml:space="preserve"> means a person referred to in section 14;</w:t>
      </w:r>
    </w:p>
    <w:p>
      <w:pPr>
        <w:pStyle w:val="Defstart"/>
        <w:rPr>
          <w:b/>
        </w:rPr>
      </w:pPr>
      <w:r>
        <w:rPr>
          <w:b/>
        </w:rPr>
        <w:tab/>
      </w:r>
      <w:r>
        <w:rPr>
          <w:rStyle w:val="CharDefText"/>
        </w:rPr>
        <w:t>coroner’s registrar</w:t>
      </w:r>
      <w:r>
        <w:t xml:space="preserve"> means a person referred to in section 12;</w:t>
      </w:r>
    </w:p>
    <w:p>
      <w:pPr>
        <w:pStyle w:val="Defstart"/>
      </w:pPr>
      <w:r>
        <w:rPr>
          <w:b/>
        </w:rPr>
        <w:tab/>
      </w:r>
      <w:r>
        <w:rPr>
          <w:rStyle w:val="CharDefText"/>
        </w:rPr>
        <w:t>court</w:t>
      </w:r>
      <w:r>
        <w:t xml:space="preserve"> means the Coroner’s Court of Western Australia established under section 5;</w:t>
      </w:r>
    </w:p>
    <w:p>
      <w:pPr>
        <w:pStyle w:val="Defstart"/>
      </w:pPr>
      <w:r>
        <w:rPr>
          <w:b/>
        </w:rPr>
        <w:tab/>
      </w:r>
      <w:r>
        <w:rPr>
          <w:rStyle w:val="CharDefText"/>
        </w:rPr>
        <w:t>death</w:t>
      </w:r>
      <w:r>
        <w:t xml:space="preserve"> includes suspected death; </w:t>
      </w:r>
    </w:p>
    <w:p>
      <w:pPr>
        <w:pStyle w:val="Defstart"/>
      </w:pPr>
      <w:r>
        <w:rPr>
          <w:b/>
        </w:rPr>
        <w:tab/>
      </w:r>
      <w:r>
        <w:rPr>
          <w:rStyle w:val="CharDefText"/>
        </w:rPr>
        <w:t>Deputy State Coroner</w:t>
      </w:r>
      <w:r>
        <w:t xml:space="preserve"> means the person appointed under section 7;</w:t>
      </w:r>
    </w:p>
    <w:p>
      <w:pPr>
        <w:pStyle w:val="Defstart"/>
      </w:pPr>
      <w:r>
        <w:rPr>
          <w:b/>
        </w:rPr>
        <w:tab/>
      </w:r>
      <w:r>
        <w:rPr>
          <w:rStyle w:val="CharDefText"/>
        </w:rPr>
        <w:t>Director of Public Prosecutions</w:t>
      </w:r>
      <w:r>
        <w:t xml:space="preserve"> means the Director of Public Prosecutions appointed under the </w:t>
      </w:r>
      <w:r>
        <w:rPr>
          <w:i/>
        </w:rPr>
        <w:t>Director of Public Prosecutions Act 1991</w:t>
      </w:r>
      <w:r>
        <w:t>;</w:t>
      </w:r>
    </w:p>
    <w:p>
      <w:pPr>
        <w:pStyle w:val="Defstart"/>
      </w:pPr>
      <w:r>
        <w:rPr>
          <w:b/>
        </w:rPr>
        <w:tab/>
      </w:r>
      <w:r>
        <w:rPr>
          <w:rStyle w:val="CharDefText"/>
        </w:rPr>
        <w:t>doctor</w:t>
      </w:r>
      <w:r>
        <w:t xml:space="preserve"> has the meaning given to “medical practitioner” in the </w:t>
      </w:r>
      <w:r>
        <w:rPr>
          <w:i/>
        </w:rPr>
        <w:t>Medical Practitioners Act 2008</w:t>
      </w:r>
      <w:r>
        <w:t xml:space="preserve"> section 4;</w:t>
      </w:r>
    </w:p>
    <w:p>
      <w:pPr>
        <w:pStyle w:val="Defstart"/>
      </w:pPr>
      <w:r>
        <w:rPr>
          <w:b/>
        </w:rPr>
        <w:tab/>
      </w:r>
      <w:r>
        <w:rPr>
          <w:rStyle w:val="CharDefText"/>
        </w:rPr>
        <w:t>guidelines</w:t>
      </w:r>
      <w:r>
        <w:t xml:space="preserve"> means guidelines issued under section 58;</w:t>
      </w:r>
    </w:p>
    <w:p>
      <w:pPr>
        <w:pStyle w:val="Defstart"/>
      </w:pPr>
      <w:r>
        <w:rPr>
          <w:b/>
        </w:rPr>
        <w:tab/>
      </w:r>
      <w:r>
        <w:rPr>
          <w:rStyle w:val="CharDefText"/>
        </w:rPr>
        <w:t>inquest</w:t>
      </w:r>
      <w:r>
        <w:t xml:space="preserve"> means a formal hearing by the court;</w:t>
      </w:r>
    </w:p>
    <w:p>
      <w:pPr>
        <w:pStyle w:val="Defstart"/>
      </w:pPr>
      <w:r>
        <w:rPr>
          <w:b/>
        </w:rPr>
        <w:tab/>
      </w:r>
      <w:r>
        <w:rPr>
          <w:rStyle w:val="CharDefText"/>
        </w:rPr>
        <w:t>investigation</w:t>
      </w:r>
      <w:r>
        <w:t xml:space="preserve"> includes an inquest;</w:t>
      </w:r>
    </w:p>
    <w:p>
      <w:pPr>
        <w:pStyle w:val="Defstart"/>
      </w:pPr>
      <w:r>
        <w:rPr>
          <w:b/>
        </w:rPr>
        <w:tab/>
      </w:r>
      <w:r>
        <w:rPr>
          <w:rStyle w:val="CharDefText"/>
        </w:rPr>
        <w:t>pathologist</w:t>
      </w:r>
      <w:r>
        <w:t xml:space="preserve"> means a doctor with a prescribed qualification in pathology, or a doctor recognized by a prescribed professional body as a pathologist;</w:t>
      </w:r>
    </w:p>
    <w:p>
      <w:pPr>
        <w:pStyle w:val="Defstart"/>
      </w:pPr>
      <w:r>
        <w:rPr>
          <w:b/>
        </w:rPr>
        <w:tab/>
      </w:r>
      <w:r>
        <w:rPr>
          <w:rStyle w:val="CharDefText"/>
        </w:rPr>
        <w:t>person held in care</w:t>
      </w:r>
      <w:r>
        <w:t xml:space="preserve"> means — </w:t>
      </w:r>
    </w:p>
    <w:p>
      <w:pPr>
        <w:pStyle w:val="Defpara"/>
      </w:pPr>
      <w:r>
        <w:tab/>
        <w:t>(a)</w:t>
      </w:r>
      <w:r>
        <w:tab/>
        <w:t>a person under, or escaping from, the control, care or custody of — </w:t>
      </w:r>
    </w:p>
    <w:p>
      <w:pPr>
        <w:pStyle w:val="Defsubpara"/>
      </w:pPr>
      <w:r>
        <w:tab/>
        <w:t>(i)</w:t>
      </w:r>
      <w:r>
        <w:tab/>
        <w:t xml:space="preserve">the CEO as defined in section 3 of the </w:t>
      </w:r>
      <w:r>
        <w:rPr>
          <w:i/>
        </w:rPr>
        <w:t>Children and Community Services Act 2004</w:t>
      </w:r>
      <w:r>
        <w:t>;</w:t>
      </w:r>
    </w:p>
    <w:p>
      <w:pPr>
        <w:pStyle w:val="Defsubpara"/>
        <w:rPr>
          <w:snapToGrid w:val="0"/>
        </w:rPr>
      </w:pPr>
      <w:r>
        <w:rPr>
          <w:snapToGrid w:val="0"/>
        </w:rPr>
        <w:tab/>
        <w:t>(ii)</w:t>
      </w:r>
      <w:r>
        <w:rPr>
          <w:snapToGrid w:val="0"/>
        </w:rPr>
        <w:tab/>
        <w:t xml:space="preserve">the Chief Executive Officer of the department of the Public Service principally assisting the Minister administering the </w:t>
      </w:r>
      <w:r>
        <w:rPr>
          <w:i/>
          <w:snapToGrid w:val="0"/>
        </w:rPr>
        <w:t>Prisons Act 1981</w:t>
      </w:r>
      <w:r>
        <w:rPr>
          <w:snapToGrid w:val="0"/>
        </w:rPr>
        <w:t xml:space="preserve"> in its administration; or</w:t>
      </w:r>
    </w:p>
    <w:p>
      <w:pPr>
        <w:pStyle w:val="Defsubpara"/>
        <w:rPr>
          <w:snapToGrid w:val="0"/>
        </w:rPr>
      </w:pPr>
      <w:r>
        <w:rPr>
          <w:snapToGrid w:val="0"/>
        </w:rPr>
        <w:tab/>
        <w:t>(iii)</w:t>
      </w:r>
      <w:r>
        <w:rPr>
          <w:snapToGrid w:val="0"/>
        </w:rPr>
        <w:tab/>
        <w:t>a member of the Police Force;</w:t>
      </w:r>
    </w:p>
    <w:p>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w:t>
      </w:r>
    </w:p>
    <w:p>
      <w:pPr>
        <w:pStyle w:val="Defpara"/>
      </w:pPr>
      <w:r>
        <w:tab/>
        <w:t>(b)</w:t>
      </w:r>
      <w:r>
        <w:tab/>
        <w:t xml:space="preserve">a person admitted to a centre under the </w:t>
      </w:r>
      <w:r>
        <w:rPr>
          <w:i/>
        </w:rPr>
        <w:t>Alcohol and Drug Authority Act 1974</w:t>
      </w:r>
      <w:r>
        <w:t xml:space="preserve">; </w:t>
      </w:r>
    </w:p>
    <w:p>
      <w:pPr>
        <w:pStyle w:val="Defpara"/>
      </w:pPr>
      <w:r>
        <w:tab/>
        <w:t>(c)</w:t>
      </w:r>
      <w:r>
        <w:tab/>
        <w:t xml:space="preserve">a person who is an involuntary patient within the meaning of the </w:t>
      </w:r>
      <w:r>
        <w:rPr>
          <w:i/>
        </w:rPr>
        <w:t>Mental Health Act 1996</w:t>
      </w:r>
      <w:r>
        <w:t>,</w:t>
      </w:r>
      <w:r>
        <w:rPr>
          <w:i/>
        </w:rPr>
        <w:t xml:space="preserve"> </w:t>
      </w:r>
      <w:r>
        <w:t>or who is apprehended or detained under Part 3 of that Act; or</w:t>
      </w:r>
    </w:p>
    <w:p>
      <w:pPr>
        <w:pStyle w:val="Defpara"/>
      </w:pPr>
      <w:r>
        <w:tab/>
        <w:t>(d)</w:t>
      </w:r>
      <w:r>
        <w:tab/>
        <w:t xml:space="preserve">a person detained under the </w:t>
      </w:r>
      <w:r>
        <w:rPr>
          <w:i/>
        </w:rPr>
        <w:t>Young Offenders Act 1994</w:t>
      </w:r>
      <w:r>
        <w:t>;</w:t>
      </w:r>
    </w:p>
    <w:p>
      <w:pPr>
        <w:pStyle w:val="Defstart"/>
      </w:pPr>
      <w:r>
        <w:rPr>
          <w:b/>
        </w:rPr>
        <w:tab/>
      </w:r>
      <w:r>
        <w:rPr>
          <w:rStyle w:val="CharDefText"/>
        </w:rPr>
        <w:t>post mortem examination</w:t>
      </w:r>
      <w:r>
        <w:t xml:space="preserve"> means an examination of the body of a person who has died, for the purpose of investigating the death;</w:t>
      </w:r>
    </w:p>
    <w:p>
      <w:pPr>
        <w:pStyle w:val="Defstart"/>
      </w:pPr>
      <w:r>
        <w:rPr>
          <w:b/>
        </w:rPr>
        <w:tab/>
      </w:r>
      <w:r>
        <w:rPr>
          <w:rStyle w:val="CharDefText"/>
        </w:rPr>
        <w:t>prescribed</w:t>
      </w:r>
      <w:r>
        <w:t xml:space="preserve"> means prescribed by regulation;</w:t>
      </w:r>
    </w:p>
    <w:p>
      <w:pPr>
        <w:pStyle w:val="Defstart"/>
        <w:keepNext/>
      </w:pPr>
      <w:r>
        <w:rPr>
          <w:b/>
        </w:rPr>
        <w:tab/>
      </w:r>
      <w:r>
        <w:rPr>
          <w:rStyle w:val="CharDefText"/>
        </w:rPr>
        <w:t>reportable death</w:t>
      </w:r>
      <w:r>
        <w:t xml:space="preserve"> means a Western Australian death — </w:t>
      </w:r>
    </w:p>
    <w:p>
      <w:pPr>
        <w:pStyle w:val="Defpara"/>
      </w:pPr>
      <w:r>
        <w:tab/>
        <w:t>(a)</w:t>
      </w:r>
      <w:r>
        <w:tab/>
        <w:t>that appears to have been unexpected, unnatural or violent or to have resulted, directly or indirectly, from injury;</w:t>
      </w:r>
    </w:p>
    <w:p>
      <w:pPr>
        <w:pStyle w:val="Defpara"/>
      </w:pPr>
      <w:r>
        <w:tab/>
        <w:t>(b)</w:t>
      </w:r>
      <w:r>
        <w:tab/>
        <w:t>that occurs during an anaesthetic;</w:t>
      </w:r>
    </w:p>
    <w:p>
      <w:pPr>
        <w:pStyle w:val="Defpara"/>
      </w:pPr>
      <w:r>
        <w:tab/>
        <w:t>(c)</w:t>
      </w:r>
      <w:r>
        <w:tab/>
        <w:t>that occurs as a result of an anaesthetic and is not due to natural causes;</w:t>
      </w:r>
    </w:p>
    <w:p>
      <w:pPr>
        <w:pStyle w:val="Defpara"/>
      </w:pPr>
      <w:r>
        <w:tab/>
        <w:t>(d)</w:t>
      </w:r>
      <w:r>
        <w:tab/>
        <w:t>that occurs in prescribed circumstances;</w:t>
      </w:r>
    </w:p>
    <w:p>
      <w:pPr>
        <w:pStyle w:val="Defpara"/>
      </w:pPr>
      <w:r>
        <w:tab/>
        <w:t>(e)</w:t>
      </w:r>
      <w:r>
        <w:tab/>
        <w:t>of a person who immediately before death was a person held in care;</w:t>
      </w:r>
    </w:p>
    <w:p>
      <w:pPr>
        <w:pStyle w:val="Defpara"/>
      </w:pPr>
      <w:r>
        <w:tab/>
        <w:t>(f)</w:t>
      </w:r>
      <w:r>
        <w:tab/>
        <w:t>that appears to have been caused or contributed to while the person was held in care;</w:t>
      </w:r>
    </w:p>
    <w:p>
      <w:pPr>
        <w:pStyle w:val="Defpara"/>
      </w:pPr>
      <w:r>
        <w:tab/>
        <w:t>(g)</w:t>
      </w:r>
      <w:r>
        <w:tab/>
        <w:t>that appears to have been caused or contributed to by any action of a member of the Police Force;</w:t>
      </w:r>
    </w:p>
    <w:p>
      <w:pPr>
        <w:pStyle w:val="Defpara"/>
      </w:pPr>
      <w:r>
        <w:tab/>
        <w:t>(h)</w:t>
      </w:r>
      <w:r>
        <w:tab/>
        <w:t>of a person whose identity is unknown;</w:t>
      </w:r>
    </w:p>
    <w:p>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pPr>
        <w:pStyle w:val="Defpara"/>
      </w:pPr>
      <w:r>
        <w:tab/>
        <w:t>(j)</w:t>
      </w:r>
      <w:r>
        <w:tab/>
        <w:t>that occurred outside Western Australia where the cause of death is not certified to by a person who, under the law in force in that place, is a legally qualified medical practitioner;</w:t>
      </w:r>
    </w:p>
    <w:p>
      <w:pPr>
        <w:pStyle w:val="Defstart"/>
      </w:pPr>
      <w:r>
        <w:rPr>
          <w:b/>
        </w:rPr>
        <w:tab/>
      </w:r>
      <w:r>
        <w:rPr>
          <w:rStyle w:val="CharDefText"/>
        </w:rPr>
        <w:t>senior next of kin</w:t>
      </w:r>
      <w:r>
        <w:t xml:space="preserve"> has the meaning given under section 37(5);</w:t>
      </w:r>
    </w:p>
    <w:p>
      <w:pPr>
        <w:pStyle w:val="Defstart"/>
      </w:pPr>
      <w:r>
        <w:rPr>
          <w:b/>
        </w:rPr>
        <w:tab/>
      </w:r>
      <w:r>
        <w:rPr>
          <w:rStyle w:val="CharDefText"/>
        </w:rPr>
        <w:t>State Coroner</w:t>
      </w:r>
      <w:r>
        <w:t xml:space="preserve"> means the person appointed under section 6;</w:t>
      </w:r>
    </w:p>
    <w:p>
      <w:pPr>
        <w:pStyle w:val="Defstart"/>
      </w:pPr>
      <w:r>
        <w:rPr>
          <w:b/>
        </w:rPr>
        <w:tab/>
      </w:r>
      <w:r>
        <w:rPr>
          <w:rStyle w:val="CharDefText"/>
        </w:rPr>
        <w:t>tissue</w:t>
      </w:r>
      <w:r>
        <w:t xml:space="preserve"> includes an organ or part of the human body or a substance extracted from, or from a part of, the human body;</w:t>
      </w:r>
    </w:p>
    <w:p>
      <w:pPr>
        <w:pStyle w:val="Defstart"/>
      </w:pPr>
      <w:r>
        <w:tab/>
      </w:r>
      <w:r>
        <w:rPr>
          <w:rStyle w:val="CharDefText"/>
        </w:rPr>
        <w:t>Western Australian death</w:t>
      </w:r>
      <w:r>
        <w:t xml:space="preserve"> means a death — </w:t>
      </w:r>
    </w:p>
    <w:p>
      <w:pPr>
        <w:pStyle w:val="Defpara"/>
      </w:pPr>
      <w:r>
        <w:tab/>
        <w:t>(a)</w:t>
      </w:r>
      <w:r>
        <w:tab/>
        <w:t>that occurred in Western Australia;</w:t>
      </w:r>
    </w:p>
    <w:p>
      <w:pPr>
        <w:pStyle w:val="Defpara"/>
      </w:pPr>
      <w:r>
        <w:tab/>
        <w:t>(b)</w:t>
      </w:r>
      <w:r>
        <w:tab/>
        <w:t>where the body is in Western Australia;</w:t>
      </w:r>
    </w:p>
    <w:p>
      <w:pPr>
        <w:pStyle w:val="Defpara"/>
      </w:pPr>
      <w:r>
        <w:tab/>
        <w:t>(c)</w:t>
      </w:r>
      <w:r>
        <w:tab/>
        <w:t>the cause of which occurred in Western Australia;</w:t>
      </w:r>
    </w:p>
    <w:p>
      <w:pPr>
        <w:pStyle w:val="Defpara"/>
      </w:pPr>
      <w:r>
        <w:tab/>
        <w:t>(d)</w:t>
      </w:r>
      <w:r>
        <w:tab/>
        <w:t>of a person who was ordinarily residing in Western Australia at the time of death; or</w:t>
      </w:r>
    </w:p>
    <w:p>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pPr>
        <w:pStyle w:val="Footnotesection"/>
      </w:pPr>
      <w:r>
        <w:tab/>
        <w:t xml:space="preserve">[Section 3 amended by No. 40 of 1998 s. 8(2); No. 47 of 1999 s. 9; No. 8 of 2000 s. 3; No. 15 of 2003 s. 4; </w:t>
      </w:r>
      <w:r>
        <w:rPr>
          <w:spacing w:val="-6"/>
        </w:rPr>
        <w:t>No. 34 of 2004 s. </w:t>
      </w:r>
      <w:r>
        <w:t>251; No. 59 of 2004 s. 76; No. 22 of 2008 s. 162.]</w:t>
      </w:r>
    </w:p>
    <w:p>
      <w:pPr>
        <w:pStyle w:val="Heading5"/>
        <w:rPr>
          <w:snapToGrid w:val="0"/>
        </w:rPr>
      </w:pPr>
      <w:bookmarkStart w:id="36" w:name="_Toc507474188"/>
      <w:bookmarkStart w:id="37" w:name="_Toc513604036"/>
      <w:bookmarkStart w:id="38" w:name="_Toc84823308"/>
      <w:bookmarkStart w:id="39" w:name="_Toc129058333"/>
      <w:bookmarkStart w:id="40" w:name="_Toc271188729"/>
      <w:r>
        <w:rPr>
          <w:rStyle w:val="CharSectno"/>
        </w:rPr>
        <w:t>4</w:t>
      </w:r>
      <w:r>
        <w:rPr>
          <w:snapToGrid w:val="0"/>
        </w:rPr>
        <w:t>.</w:t>
      </w:r>
      <w:r>
        <w:rPr>
          <w:snapToGrid w:val="0"/>
        </w:rPr>
        <w:tab/>
        <w:t>Common law rules to cease to have effect</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pPr>
        <w:pStyle w:val="Heading2"/>
      </w:pPr>
      <w:bookmarkStart w:id="41" w:name="_Toc72892586"/>
      <w:bookmarkStart w:id="42" w:name="_Toc84823309"/>
      <w:bookmarkStart w:id="43" w:name="_Toc84823444"/>
      <w:bookmarkStart w:id="44" w:name="_Toc84823525"/>
      <w:bookmarkStart w:id="45" w:name="_Toc84823606"/>
      <w:bookmarkStart w:id="46" w:name="_Toc89507916"/>
      <w:bookmarkStart w:id="47" w:name="_Toc101346670"/>
      <w:bookmarkStart w:id="48" w:name="_Toc101346823"/>
      <w:bookmarkStart w:id="49" w:name="_Toc103588764"/>
      <w:bookmarkStart w:id="50" w:name="_Toc104196998"/>
      <w:bookmarkStart w:id="51" w:name="_Toc104197619"/>
      <w:bookmarkStart w:id="52" w:name="_Toc104784913"/>
      <w:bookmarkStart w:id="53" w:name="_Toc104869477"/>
      <w:bookmarkStart w:id="54" w:name="_Toc107287642"/>
      <w:bookmarkStart w:id="55" w:name="_Toc128390186"/>
      <w:bookmarkStart w:id="56" w:name="_Toc129058334"/>
      <w:bookmarkStart w:id="57" w:name="_Toc199670452"/>
      <w:bookmarkStart w:id="58" w:name="_Toc215478032"/>
      <w:bookmarkStart w:id="59" w:name="_Toc223842742"/>
      <w:bookmarkStart w:id="60" w:name="_Toc271188730"/>
      <w:r>
        <w:rPr>
          <w:rStyle w:val="CharPartNo"/>
        </w:rPr>
        <w:t>Part 2</w:t>
      </w:r>
      <w:r>
        <w:t> — </w:t>
      </w:r>
      <w:r>
        <w:rPr>
          <w:rStyle w:val="CharPartText"/>
        </w:rPr>
        <w:t>Coroners and Coroner’s court</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3"/>
        <w:rPr>
          <w:snapToGrid w:val="0"/>
        </w:rPr>
      </w:pPr>
      <w:bookmarkStart w:id="61" w:name="_Toc72892587"/>
      <w:bookmarkStart w:id="62" w:name="_Toc84823310"/>
      <w:bookmarkStart w:id="63" w:name="_Toc84823445"/>
      <w:bookmarkStart w:id="64" w:name="_Toc84823526"/>
      <w:bookmarkStart w:id="65" w:name="_Toc84823607"/>
      <w:bookmarkStart w:id="66" w:name="_Toc89507917"/>
      <w:bookmarkStart w:id="67" w:name="_Toc101346671"/>
      <w:bookmarkStart w:id="68" w:name="_Toc101346824"/>
      <w:bookmarkStart w:id="69" w:name="_Toc103588765"/>
      <w:bookmarkStart w:id="70" w:name="_Toc104196999"/>
      <w:bookmarkStart w:id="71" w:name="_Toc104197620"/>
      <w:bookmarkStart w:id="72" w:name="_Toc104784914"/>
      <w:bookmarkStart w:id="73" w:name="_Toc104869478"/>
      <w:bookmarkStart w:id="74" w:name="_Toc107287643"/>
      <w:bookmarkStart w:id="75" w:name="_Toc128390187"/>
      <w:bookmarkStart w:id="76" w:name="_Toc129058335"/>
      <w:bookmarkStart w:id="77" w:name="_Toc199670453"/>
      <w:bookmarkStart w:id="78" w:name="_Toc215478033"/>
      <w:bookmarkStart w:id="79" w:name="_Toc223842743"/>
      <w:bookmarkStart w:id="80" w:name="_Toc271188731"/>
      <w:r>
        <w:rPr>
          <w:rStyle w:val="CharDivNo"/>
        </w:rPr>
        <w:t>Division 1</w:t>
      </w:r>
      <w:r>
        <w:rPr>
          <w:snapToGrid w:val="0"/>
        </w:rPr>
        <w:t> — </w:t>
      </w:r>
      <w:r>
        <w:rPr>
          <w:rStyle w:val="CharDivText"/>
        </w:rPr>
        <w:t>Coroner’s court</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DivText"/>
        </w:rPr>
        <w:t xml:space="preserve"> </w:t>
      </w:r>
    </w:p>
    <w:p>
      <w:pPr>
        <w:pStyle w:val="Heading5"/>
        <w:rPr>
          <w:snapToGrid w:val="0"/>
        </w:rPr>
      </w:pPr>
      <w:bookmarkStart w:id="81" w:name="_Toc507474189"/>
      <w:bookmarkStart w:id="82" w:name="_Toc513604037"/>
      <w:bookmarkStart w:id="83" w:name="_Toc84823311"/>
      <w:bookmarkStart w:id="84" w:name="_Toc129058336"/>
      <w:bookmarkStart w:id="85" w:name="_Toc271188732"/>
      <w:r>
        <w:rPr>
          <w:rStyle w:val="CharSectno"/>
        </w:rPr>
        <w:t>5</w:t>
      </w:r>
      <w:r>
        <w:rPr>
          <w:snapToGrid w:val="0"/>
        </w:rPr>
        <w:t>.</w:t>
      </w:r>
      <w:r>
        <w:rPr>
          <w:snapToGrid w:val="0"/>
        </w:rPr>
        <w:tab/>
        <w:t>Establishment of court</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A court to be known as the Coroner’s Court of Western Australia is established.</w:t>
      </w:r>
    </w:p>
    <w:p>
      <w:pPr>
        <w:pStyle w:val="Subsection"/>
        <w:rPr>
          <w:snapToGrid w:val="0"/>
        </w:rPr>
      </w:pPr>
      <w:r>
        <w:rPr>
          <w:snapToGrid w:val="0"/>
        </w:rPr>
        <w:tab/>
        <w:t>(2)</w:t>
      </w:r>
      <w:r>
        <w:rPr>
          <w:snapToGrid w:val="0"/>
        </w:rPr>
        <w:tab/>
        <w:t>The court is to be constituted by a coroner and has exclusive jurisdiction to hold all inquests under this Act.</w:t>
      </w:r>
    </w:p>
    <w:p>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pPr>
        <w:pStyle w:val="Subsection"/>
        <w:rPr>
          <w:snapToGrid w:val="0"/>
        </w:rPr>
      </w:pPr>
      <w:r>
        <w:rPr>
          <w:snapToGrid w:val="0"/>
        </w:rPr>
        <w:tab/>
        <w:t>(4)</w:t>
      </w:r>
      <w:r>
        <w:rPr>
          <w:snapToGrid w:val="0"/>
        </w:rPr>
        <w:tab/>
        <w:t>The court is a court of record and is to have an official seal of which judicial notice must be taken.</w:t>
      </w:r>
    </w:p>
    <w:p>
      <w:pPr>
        <w:pStyle w:val="Heading3"/>
        <w:rPr>
          <w:snapToGrid w:val="0"/>
        </w:rPr>
      </w:pPr>
      <w:bookmarkStart w:id="86" w:name="_Toc72892589"/>
      <w:bookmarkStart w:id="87" w:name="_Toc84823312"/>
      <w:bookmarkStart w:id="88" w:name="_Toc84823447"/>
      <w:bookmarkStart w:id="89" w:name="_Toc84823528"/>
      <w:bookmarkStart w:id="90" w:name="_Toc84823609"/>
      <w:bookmarkStart w:id="91" w:name="_Toc89507919"/>
      <w:bookmarkStart w:id="92" w:name="_Toc101346673"/>
      <w:bookmarkStart w:id="93" w:name="_Toc101346826"/>
      <w:bookmarkStart w:id="94" w:name="_Toc103588767"/>
      <w:bookmarkStart w:id="95" w:name="_Toc104197001"/>
      <w:bookmarkStart w:id="96" w:name="_Toc104197622"/>
      <w:bookmarkStart w:id="97" w:name="_Toc104784916"/>
      <w:bookmarkStart w:id="98" w:name="_Toc104869480"/>
      <w:bookmarkStart w:id="99" w:name="_Toc107287645"/>
      <w:bookmarkStart w:id="100" w:name="_Toc128390189"/>
      <w:bookmarkStart w:id="101" w:name="_Toc129058337"/>
      <w:bookmarkStart w:id="102" w:name="_Toc199670455"/>
      <w:bookmarkStart w:id="103" w:name="_Toc215478035"/>
      <w:bookmarkStart w:id="104" w:name="_Toc223842745"/>
      <w:bookmarkStart w:id="105" w:name="_Toc271188733"/>
      <w:r>
        <w:rPr>
          <w:rStyle w:val="CharDivNo"/>
        </w:rPr>
        <w:t>Division 2</w:t>
      </w:r>
      <w:r>
        <w:rPr>
          <w:snapToGrid w:val="0"/>
        </w:rPr>
        <w:t> — </w:t>
      </w:r>
      <w:r>
        <w:rPr>
          <w:rStyle w:val="CharDivText"/>
        </w:rPr>
        <w:t>State Coroner and other coroners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rPr>
          <w:snapToGrid w:val="0"/>
        </w:rPr>
      </w:pPr>
      <w:bookmarkStart w:id="106" w:name="_Toc507474190"/>
      <w:bookmarkStart w:id="107" w:name="_Toc513604038"/>
      <w:bookmarkStart w:id="108" w:name="_Toc84823313"/>
      <w:bookmarkStart w:id="109" w:name="_Toc129058338"/>
      <w:bookmarkStart w:id="110" w:name="_Toc271188734"/>
      <w:r>
        <w:rPr>
          <w:rStyle w:val="CharSectno"/>
        </w:rPr>
        <w:t>6</w:t>
      </w:r>
      <w:r>
        <w:rPr>
          <w:snapToGrid w:val="0"/>
        </w:rPr>
        <w:t>.</w:t>
      </w:r>
      <w:r>
        <w:rPr>
          <w:snapToGrid w:val="0"/>
        </w:rPr>
        <w:tab/>
        <w:t>State Coroner</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A State Coroner is to be appointed by the Governor on the recommendation of the Attorney General.</w:t>
      </w:r>
    </w:p>
    <w:p>
      <w:pPr>
        <w:pStyle w:val="Subsection"/>
        <w:rPr>
          <w:snapToGrid w:val="0"/>
        </w:rPr>
      </w:pPr>
      <w:r>
        <w:rPr>
          <w:snapToGrid w:val="0"/>
        </w:rPr>
        <w:tab/>
        <w:t>(2)</w:t>
      </w:r>
      <w:r>
        <w:rPr>
          <w:snapToGrid w:val="0"/>
        </w:rPr>
        <w:tab/>
        <w:t>A person is not eligible for appointment as State Coroner unless that person is eligible to be appointed as a magistrate.</w:t>
      </w:r>
    </w:p>
    <w:p>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pPr>
        <w:pStyle w:val="Subsection"/>
        <w:rPr>
          <w:snapToGrid w:val="0"/>
        </w:rPr>
      </w:pPr>
      <w:r>
        <w:rPr>
          <w:snapToGrid w:val="0"/>
        </w:rPr>
        <w:tab/>
        <w:t>(4)</w:t>
      </w:r>
      <w:r>
        <w:rPr>
          <w:snapToGrid w:val="0"/>
        </w:rPr>
        <w:tab/>
        <w:t>Subject to subsection (3), the State Coroner is entitled to hold office on the same terms as a magistrate.</w:t>
      </w:r>
    </w:p>
    <w:p>
      <w:pPr>
        <w:pStyle w:val="Subsection"/>
        <w:keepLines/>
        <w:rPr>
          <w:snapToGrid w:val="0"/>
        </w:rPr>
      </w:pPr>
      <w:r>
        <w:rPr>
          <w:snapToGrid w:val="0"/>
        </w:rPr>
        <w:tab/>
        <w:t>(5)</w:t>
      </w:r>
      <w:r>
        <w:rPr>
          <w:snapToGrid w:val="0"/>
        </w:rPr>
        <w:tab/>
        <w:t xml:space="preserve">If a person was a contributor within the meaning of the </w:t>
      </w:r>
      <w:r>
        <w:rPr>
          <w:i/>
          <w:snapToGrid w:val="0"/>
        </w:rPr>
        <w:t>Superannuation and Family Benefits Act 1938</w:t>
      </w:r>
      <w:r>
        <w:rPr>
          <w:snapToGrid w:val="0"/>
          <w:vertAlign w:val="superscript"/>
        </w:rPr>
        <w:t> 3</w:t>
      </w:r>
      <w:r>
        <w:rPr>
          <w:snapToGrid w:val="0"/>
        </w:rPr>
        <w:t xml:space="preserve"> immediately before appointment as State Coroner then that person may continue to be a contributor, or member, under that Act while holding office as State Coroner </w:t>
      </w:r>
      <w:r>
        <w:rPr>
          <w:snapToGrid w:val="0"/>
          <w:vertAlign w:val="superscript"/>
        </w:rPr>
        <w:t>4</w:t>
      </w:r>
      <w:r>
        <w:rPr>
          <w:snapToGrid w:val="0"/>
        </w:rPr>
        <w:t>.</w:t>
      </w:r>
    </w:p>
    <w:p>
      <w:pPr>
        <w:pStyle w:val="Subsection"/>
        <w:rPr>
          <w:snapToGrid w:val="0"/>
        </w:rPr>
      </w:pPr>
      <w:r>
        <w:rPr>
          <w:snapToGrid w:val="0"/>
        </w:rPr>
        <w:tab/>
        <w:t>(6)</w:t>
      </w:r>
      <w:r>
        <w:rPr>
          <w:snapToGrid w:val="0"/>
        </w:rPr>
        <w:tab/>
        <w:t xml:space="preserve">The State Coroner may not practise as </w:t>
      </w:r>
      <w:r>
        <w:t xml:space="preserve">an Australian legal practitioner (within the meaning of that term in the </w:t>
      </w:r>
      <w:r>
        <w:rPr>
          <w:i/>
          <w:iCs/>
        </w:rPr>
        <w:t>Legal Profession Act 2008</w:t>
      </w:r>
      <w:r>
        <w:t xml:space="preserve"> section 3) </w:t>
      </w:r>
      <w:r>
        <w:rPr>
          <w:snapToGrid w:val="0"/>
        </w:rPr>
        <w:t>or be directly or indirectly concerned in such practice.</w:t>
      </w:r>
    </w:p>
    <w:p>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pPr>
        <w:pStyle w:val="Subsection"/>
        <w:rPr>
          <w:snapToGrid w:val="0"/>
        </w:rPr>
      </w:pPr>
      <w:r>
        <w:rPr>
          <w:snapToGrid w:val="0"/>
        </w:rPr>
        <w:tab/>
        <w:t>(8)</w:t>
      </w:r>
      <w:r>
        <w:rPr>
          <w:snapToGrid w:val="0"/>
        </w:rPr>
        <w:tab/>
        <w:t>The State Coroner may at any time, by written notice addressed to the Governor, resign from office.</w:t>
      </w:r>
    </w:p>
    <w:p>
      <w:pPr>
        <w:pStyle w:val="Footnotesection"/>
      </w:pPr>
      <w:r>
        <w:tab/>
        <w:t>[Section 6 amended by No. 43 of 2000 s. 36(1); No. 65 of 2003 s. 25; No. 59 of 2004 s. 76; No. 21 of 2008 s. 652(2).]</w:t>
      </w:r>
    </w:p>
    <w:p>
      <w:pPr>
        <w:pStyle w:val="Heading5"/>
      </w:pPr>
      <w:bookmarkStart w:id="111" w:name="_Toc507474191"/>
      <w:bookmarkStart w:id="112" w:name="_Toc513604039"/>
      <w:bookmarkStart w:id="113" w:name="_Toc84823314"/>
      <w:bookmarkStart w:id="114" w:name="_Toc129058339"/>
      <w:bookmarkStart w:id="115" w:name="_Toc271188735"/>
      <w:r>
        <w:rPr>
          <w:rStyle w:val="CharSectno"/>
        </w:rPr>
        <w:t>7</w:t>
      </w:r>
      <w:r>
        <w:t>.</w:t>
      </w:r>
      <w:r>
        <w:tab/>
        <w:t>Deputy State Coroner</w:t>
      </w:r>
      <w:bookmarkEnd w:id="111"/>
      <w:bookmarkEnd w:id="112"/>
      <w:bookmarkEnd w:id="113"/>
      <w:bookmarkEnd w:id="114"/>
      <w:bookmarkEnd w:id="115"/>
    </w:p>
    <w:p>
      <w:pPr>
        <w:pStyle w:val="Subsection"/>
      </w:pPr>
      <w:r>
        <w:tab/>
        <w:t>(1)</w:t>
      </w:r>
      <w:r>
        <w:tab/>
        <w:t>The Attorney General, on the recommendation of the State Coroner, is to appoint a coroner to be Deputy State Coroner for such period as is specified in the instrument of appointment.</w:t>
      </w:r>
    </w:p>
    <w:p>
      <w:pPr>
        <w:pStyle w:val="Subsection"/>
      </w:pPr>
      <w:r>
        <w:tab/>
        <w:t>(2)</w:t>
      </w:r>
      <w:r>
        <w:tab/>
        <w:t>A person appointed under subsection (1) is to perform such functions of the State Coroner as are assigned by the State Coroner.</w:t>
      </w:r>
    </w:p>
    <w:p>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pPr>
        <w:pStyle w:val="Subsection"/>
      </w:pPr>
      <w:r>
        <w:tab/>
        <w:t>(4)</w:t>
      </w:r>
      <w:r>
        <w:tab/>
        <w:t xml:space="preserve">The Deputy State Coroner may not practise as an Australian legal practitioner (within the meaning of that term in the </w:t>
      </w:r>
      <w:r>
        <w:rPr>
          <w:i/>
          <w:iCs/>
        </w:rPr>
        <w:t>Legal Profession Act 2008</w:t>
      </w:r>
      <w:r>
        <w:t xml:space="preserve"> section 3) or be directly or indirectly concerned in such practice.</w:t>
      </w:r>
    </w:p>
    <w:p>
      <w:pPr>
        <w:pStyle w:val="Subsection"/>
      </w:pPr>
      <w:r>
        <w:tab/>
        <w:t>(5)</w:t>
      </w:r>
      <w:r>
        <w:tab/>
        <w:t>In the exercise of that office the Deputy State Coroner has the same protection and immunity as a Judge has in respect of proceedings in the Supreme Court.</w:t>
      </w:r>
    </w:p>
    <w:p>
      <w:pPr>
        <w:pStyle w:val="Subsection"/>
      </w:pPr>
      <w:r>
        <w:tab/>
        <w:t>(6)</w:t>
      </w:r>
      <w:r>
        <w:tab/>
        <w:t>The Deputy State Coroner may at any time, by written notice addressed to the Attorney General, resign as Deputy State Coroner.</w:t>
      </w:r>
    </w:p>
    <w:p>
      <w:pPr>
        <w:pStyle w:val="Footnotesection"/>
      </w:pPr>
      <w:r>
        <w:tab/>
        <w:t>[Section 7 inserted by No. 8 of 2000 s. 4; amended by No. 65 of 2003 s. 25(2); No. 21 of 2008 s. 652(3).]</w:t>
      </w:r>
    </w:p>
    <w:p>
      <w:pPr>
        <w:pStyle w:val="Heading5"/>
      </w:pPr>
      <w:bookmarkStart w:id="116" w:name="_Toc507474192"/>
      <w:bookmarkStart w:id="117" w:name="_Toc513604040"/>
      <w:bookmarkStart w:id="118" w:name="_Toc84823315"/>
      <w:bookmarkStart w:id="119" w:name="_Toc129058340"/>
      <w:bookmarkStart w:id="120" w:name="_Toc271188736"/>
      <w:r>
        <w:rPr>
          <w:rStyle w:val="CharSectno"/>
        </w:rPr>
        <w:t>7A</w:t>
      </w:r>
      <w:r>
        <w:t>.</w:t>
      </w:r>
      <w:r>
        <w:tab/>
        <w:t>Acting Deputy State Coroner</w:t>
      </w:r>
      <w:bookmarkEnd w:id="116"/>
      <w:bookmarkEnd w:id="117"/>
      <w:bookmarkEnd w:id="118"/>
      <w:bookmarkEnd w:id="119"/>
      <w:bookmarkEnd w:id="120"/>
    </w:p>
    <w:p>
      <w:pPr>
        <w:pStyle w:val="Subsection"/>
      </w:pPr>
      <w:r>
        <w:tab/>
        <w:t>(1)</w:t>
      </w:r>
      <w:r>
        <w:tab/>
        <w:t>The Attorney General, on the recommendation of the State Coroner, may appoint a coroner to act in the office of Deputy State Coroner for such period as is specified in the instrument of appointment.</w:t>
      </w:r>
    </w:p>
    <w:p>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pPr>
        <w:pStyle w:val="Subsection"/>
      </w:pPr>
      <w:r>
        <w:tab/>
        <w:t>(3)</w:t>
      </w:r>
      <w:r>
        <w:tab/>
        <w:t>The person appointed as acting Deputy State Coroner may at any time, by written notice addressed to the Attorney General, resign from that office.</w:t>
      </w:r>
    </w:p>
    <w:p>
      <w:pPr>
        <w:pStyle w:val="Footnotesection"/>
      </w:pPr>
      <w:r>
        <w:tab/>
        <w:t>[Section 7A inserted by No. 8 of 2000 s. 4.]</w:t>
      </w:r>
    </w:p>
    <w:p>
      <w:pPr>
        <w:pStyle w:val="Heading5"/>
        <w:rPr>
          <w:snapToGrid w:val="0"/>
        </w:rPr>
      </w:pPr>
      <w:bookmarkStart w:id="121" w:name="_Toc507474193"/>
      <w:bookmarkStart w:id="122" w:name="_Toc513604041"/>
      <w:bookmarkStart w:id="123" w:name="_Toc84823316"/>
      <w:bookmarkStart w:id="124" w:name="_Toc129058341"/>
      <w:bookmarkStart w:id="125" w:name="_Toc271188737"/>
      <w:r>
        <w:rPr>
          <w:rStyle w:val="CharSectno"/>
        </w:rPr>
        <w:t>8</w:t>
      </w:r>
      <w:r>
        <w:rPr>
          <w:snapToGrid w:val="0"/>
        </w:rPr>
        <w:t>.</w:t>
      </w:r>
      <w:r>
        <w:rPr>
          <w:snapToGrid w:val="0"/>
        </w:rPr>
        <w:tab/>
        <w:t>Functions of State Coroner</w:t>
      </w:r>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The functions of the State Coroner are — </w:t>
      </w:r>
    </w:p>
    <w:p>
      <w:pPr>
        <w:pStyle w:val="Indenta"/>
        <w:rPr>
          <w:snapToGrid w:val="0"/>
        </w:rPr>
      </w:pPr>
      <w:r>
        <w:rPr>
          <w:snapToGrid w:val="0"/>
        </w:rPr>
        <w:tab/>
        <w:t>(a)</w:t>
      </w:r>
      <w:r>
        <w:rPr>
          <w:snapToGrid w:val="0"/>
        </w:rPr>
        <w:tab/>
        <w:t>to ensure that a State coronial system is administered and operates efficiently;</w:t>
      </w:r>
    </w:p>
    <w:p>
      <w:pPr>
        <w:pStyle w:val="Indenta"/>
        <w:rPr>
          <w:snapToGrid w:val="0"/>
        </w:rPr>
      </w:pPr>
      <w:r>
        <w:rPr>
          <w:snapToGrid w:val="0"/>
        </w:rPr>
        <w:tab/>
        <w:t>(b)</w:t>
      </w:r>
      <w:r>
        <w:rPr>
          <w:snapToGrid w:val="0"/>
        </w:rPr>
        <w:tab/>
        <w:t>to oversee and co</w:t>
      </w:r>
      <w:r>
        <w:rPr>
          <w:snapToGrid w:val="0"/>
        </w:rPr>
        <w:softHyphen/>
        <w:t>ordinate coronial services;</w:t>
      </w:r>
    </w:p>
    <w:p>
      <w:pPr>
        <w:pStyle w:val="Indenta"/>
        <w:rPr>
          <w:snapToGrid w:val="0"/>
        </w:rPr>
      </w:pPr>
      <w:r>
        <w:rPr>
          <w:snapToGrid w:val="0"/>
        </w:rPr>
        <w:tab/>
        <w:t>(c)</w:t>
      </w:r>
      <w:r>
        <w:rPr>
          <w:snapToGrid w:val="0"/>
        </w:rPr>
        <w:tab/>
        <w:t>to ensure that all reportable deaths reported to a coroner are investigated;</w:t>
      </w:r>
    </w:p>
    <w:p>
      <w:pPr>
        <w:pStyle w:val="Indenta"/>
        <w:rPr>
          <w:snapToGrid w:val="0"/>
        </w:rPr>
      </w:pPr>
      <w:r>
        <w:rPr>
          <w:snapToGrid w:val="0"/>
        </w:rPr>
        <w:tab/>
        <w:t>(d)</w:t>
      </w:r>
      <w:r>
        <w:rPr>
          <w:snapToGrid w:val="0"/>
        </w:rPr>
        <w:tab/>
        <w:t>to ensure that an inquest is held whenever there is a duty to do so under this Act or whenever it is desirable that an inquest be held;</w:t>
      </w:r>
    </w:p>
    <w:p>
      <w:pPr>
        <w:pStyle w:val="Indenta"/>
        <w:keepNext/>
        <w:rPr>
          <w:snapToGrid w:val="0"/>
        </w:rPr>
      </w:pPr>
      <w:r>
        <w:rPr>
          <w:snapToGrid w:val="0"/>
        </w:rPr>
        <w:tab/>
        <w:t>(e)</w:t>
      </w:r>
      <w:r>
        <w:rPr>
          <w:snapToGrid w:val="0"/>
        </w:rPr>
        <w:tab/>
        <w:t xml:space="preserve">to issue guidelines in accordance with this Act; </w:t>
      </w:r>
    </w:p>
    <w:p>
      <w:pPr>
        <w:pStyle w:val="Indenta"/>
        <w:rPr>
          <w:snapToGrid w:val="0"/>
        </w:rPr>
      </w:pPr>
      <w:r>
        <w:rPr>
          <w:snapToGrid w:val="0"/>
        </w:rPr>
        <w:tab/>
        <w:t>(f)</w:t>
      </w:r>
      <w:r>
        <w:rPr>
          <w:snapToGrid w:val="0"/>
        </w:rPr>
        <w:tab/>
        <w:t>such other functions as are conferred or imposed on the State Coroner under this Act.</w:t>
      </w:r>
    </w:p>
    <w:p>
      <w:pPr>
        <w:pStyle w:val="Heading5"/>
        <w:rPr>
          <w:snapToGrid w:val="0"/>
        </w:rPr>
      </w:pPr>
      <w:bookmarkStart w:id="126" w:name="_Toc507474194"/>
      <w:bookmarkStart w:id="127" w:name="_Toc513604042"/>
      <w:bookmarkStart w:id="128" w:name="_Toc84823317"/>
      <w:bookmarkStart w:id="129" w:name="_Toc129058342"/>
      <w:bookmarkStart w:id="130" w:name="_Toc271188738"/>
      <w:r>
        <w:rPr>
          <w:rStyle w:val="CharSectno"/>
        </w:rPr>
        <w:t>9</w:t>
      </w:r>
      <w:r>
        <w:rPr>
          <w:snapToGrid w:val="0"/>
        </w:rPr>
        <w:t>.</w:t>
      </w:r>
      <w:r>
        <w:rPr>
          <w:snapToGrid w:val="0"/>
        </w:rPr>
        <w:tab/>
        <w:t>Oath of office</w:t>
      </w:r>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pPr>
        <w:pStyle w:val="Heading5"/>
        <w:rPr>
          <w:snapToGrid w:val="0"/>
        </w:rPr>
      </w:pPr>
      <w:bookmarkStart w:id="131" w:name="_Toc507474195"/>
      <w:bookmarkStart w:id="132" w:name="_Toc513604043"/>
      <w:bookmarkStart w:id="133" w:name="_Toc84823318"/>
      <w:bookmarkStart w:id="134" w:name="_Toc129058343"/>
      <w:bookmarkStart w:id="135" w:name="_Toc271188739"/>
      <w:r>
        <w:rPr>
          <w:rStyle w:val="CharSectno"/>
        </w:rPr>
        <w:t>10</w:t>
      </w:r>
      <w:r>
        <w:rPr>
          <w:snapToGrid w:val="0"/>
        </w:rPr>
        <w:t>.</w:t>
      </w:r>
      <w:r>
        <w:rPr>
          <w:snapToGrid w:val="0"/>
        </w:rPr>
        <w:tab/>
        <w:t>Delegation</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pPr>
        <w:pStyle w:val="Footnotesection"/>
      </w:pPr>
      <w:r>
        <w:tab/>
        <w:t>[Section 10 amended by No. 59 of 2004 s. 76.]</w:t>
      </w:r>
    </w:p>
    <w:p>
      <w:pPr>
        <w:pStyle w:val="Heading5"/>
        <w:rPr>
          <w:snapToGrid w:val="0"/>
        </w:rPr>
      </w:pPr>
      <w:bookmarkStart w:id="136" w:name="_Toc507474196"/>
      <w:bookmarkStart w:id="137" w:name="_Toc513604044"/>
      <w:bookmarkStart w:id="138" w:name="_Toc84823319"/>
      <w:bookmarkStart w:id="139" w:name="_Toc129058344"/>
      <w:bookmarkStart w:id="140" w:name="_Toc271188740"/>
      <w:r>
        <w:rPr>
          <w:rStyle w:val="CharSectno"/>
        </w:rPr>
        <w:t>11</w:t>
      </w:r>
      <w:r>
        <w:rPr>
          <w:snapToGrid w:val="0"/>
        </w:rPr>
        <w:t>.</w:t>
      </w:r>
      <w:r>
        <w:rPr>
          <w:snapToGrid w:val="0"/>
        </w:rPr>
        <w:tab/>
        <w:t>Coroners</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Every magistrate is contemporaneously a coroner.</w:t>
      </w:r>
    </w:p>
    <w:p>
      <w:pPr>
        <w:pStyle w:val="Subsection"/>
      </w:pPr>
      <w:r>
        <w:tab/>
        <w:t>(2)</w:t>
      </w:r>
      <w:r>
        <w:tab/>
        <w:t>The Attorney General, on the recommendation of the State Coroner, may appoint a person to be a coroner for such period and on such terms as is specified in the instrument of appointment.</w:t>
      </w:r>
    </w:p>
    <w:p>
      <w:pPr>
        <w:pStyle w:val="Subsection"/>
      </w:pPr>
      <w:r>
        <w:tab/>
        <w:t>(3)</w:t>
      </w:r>
      <w:r>
        <w:tab/>
        <w:t>A person is not eligible for appointment as a coroner unless that person is eligible to be appointed as a magistrate.</w:t>
      </w:r>
    </w:p>
    <w:p>
      <w:pPr>
        <w:pStyle w:val="Subsection"/>
      </w:pPr>
      <w:r>
        <w:tab/>
        <w:t>(4)</w:t>
      </w:r>
      <w:r>
        <w:tab/>
        <w:t>In the exercise of that office, a coroner has the same protection and immunity as a Judge has in respect of proceedings in the Supreme Court.</w:t>
      </w:r>
    </w:p>
    <w:p>
      <w:pPr>
        <w:pStyle w:val="Footnotesection"/>
      </w:pPr>
      <w:r>
        <w:tab/>
        <w:t>[Section 11 amended by No. 15 of 2003 s. 5.]</w:t>
      </w:r>
    </w:p>
    <w:p>
      <w:pPr>
        <w:pStyle w:val="Heading3"/>
        <w:rPr>
          <w:snapToGrid w:val="0"/>
        </w:rPr>
      </w:pPr>
      <w:bookmarkStart w:id="141" w:name="_Toc72892597"/>
      <w:bookmarkStart w:id="142" w:name="_Toc84823320"/>
      <w:bookmarkStart w:id="143" w:name="_Toc84823455"/>
      <w:bookmarkStart w:id="144" w:name="_Toc84823536"/>
      <w:bookmarkStart w:id="145" w:name="_Toc84823617"/>
      <w:bookmarkStart w:id="146" w:name="_Toc89507927"/>
      <w:bookmarkStart w:id="147" w:name="_Toc101346681"/>
      <w:bookmarkStart w:id="148" w:name="_Toc101346834"/>
      <w:bookmarkStart w:id="149" w:name="_Toc103588775"/>
      <w:bookmarkStart w:id="150" w:name="_Toc104197009"/>
      <w:bookmarkStart w:id="151" w:name="_Toc104197630"/>
      <w:bookmarkStart w:id="152" w:name="_Toc104784924"/>
      <w:bookmarkStart w:id="153" w:name="_Toc104869488"/>
      <w:bookmarkStart w:id="154" w:name="_Toc107287653"/>
      <w:bookmarkStart w:id="155" w:name="_Toc128390197"/>
      <w:bookmarkStart w:id="156" w:name="_Toc129058345"/>
      <w:bookmarkStart w:id="157" w:name="_Toc199670463"/>
      <w:bookmarkStart w:id="158" w:name="_Toc215478043"/>
      <w:bookmarkStart w:id="159" w:name="_Toc223842753"/>
      <w:bookmarkStart w:id="160" w:name="_Toc271188741"/>
      <w:r>
        <w:rPr>
          <w:rStyle w:val="CharDivNo"/>
        </w:rPr>
        <w:t>Division 3</w:t>
      </w:r>
      <w:r>
        <w:rPr>
          <w:snapToGrid w:val="0"/>
        </w:rPr>
        <w:t> — </w:t>
      </w:r>
      <w:r>
        <w:rPr>
          <w:rStyle w:val="CharDivText"/>
        </w:rPr>
        <w:t>Coroner’s registrars and investigators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DivText"/>
        </w:rPr>
        <w:t xml:space="preserve"> </w:t>
      </w:r>
    </w:p>
    <w:p>
      <w:pPr>
        <w:pStyle w:val="Footnoteheading"/>
      </w:pPr>
      <w:r>
        <w:tab/>
        <w:t>[Heading amended by No. 59 of 2004 s. 76.]</w:t>
      </w:r>
    </w:p>
    <w:p>
      <w:pPr>
        <w:pStyle w:val="Heading5"/>
      </w:pPr>
      <w:bookmarkStart w:id="161" w:name="_Toc129058346"/>
      <w:bookmarkStart w:id="162" w:name="_Toc271188742"/>
      <w:bookmarkStart w:id="163" w:name="_Toc507474198"/>
      <w:bookmarkStart w:id="164" w:name="_Toc513604046"/>
      <w:bookmarkStart w:id="165" w:name="_Toc84823322"/>
      <w:r>
        <w:rPr>
          <w:rStyle w:val="CharSectno"/>
        </w:rPr>
        <w:t>12</w:t>
      </w:r>
      <w:r>
        <w:t>.</w:t>
      </w:r>
      <w:r>
        <w:tab/>
        <w:t>Coroner’s registrars</w:t>
      </w:r>
      <w:bookmarkEnd w:id="161"/>
      <w:bookmarkEnd w:id="162"/>
    </w:p>
    <w:p>
      <w:pPr>
        <w:pStyle w:val="Subsection"/>
      </w:pPr>
      <w:r>
        <w:tab/>
        <w:t>(1)</w:t>
      </w:r>
      <w:r>
        <w:tab/>
        <w:t xml:space="preserve">Coroner’s registrars are to be appointed under Part 3 of the </w:t>
      </w:r>
      <w:r>
        <w:rPr>
          <w:i/>
        </w:rPr>
        <w:t>Public Sector Management Act 1994</w:t>
      </w:r>
      <w:r>
        <w:t>.</w:t>
      </w:r>
    </w:p>
    <w:p>
      <w:pPr>
        <w:pStyle w:val="Subsection"/>
      </w:pPr>
      <w:r>
        <w:tab/>
        <w:t>(2)</w:t>
      </w:r>
      <w:r>
        <w:tab/>
        <w:t>A registrar of the Magistrates Court may act as a coroner’s registrar if an investigation is held at a court house where the Magistrates Court sits.</w:t>
      </w:r>
    </w:p>
    <w:p>
      <w:pPr>
        <w:pStyle w:val="Footnotesection"/>
      </w:pPr>
      <w:r>
        <w:tab/>
        <w:t>[Section 12 inserted by No. 59 of 2004 s. 75(1).]</w:t>
      </w:r>
    </w:p>
    <w:p>
      <w:pPr>
        <w:pStyle w:val="Heading5"/>
        <w:rPr>
          <w:snapToGrid w:val="0"/>
        </w:rPr>
      </w:pPr>
      <w:bookmarkStart w:id="166" w:name="_Toc129058347"/>
      <w:bookmarkStart w:id="167" w:name="_Toc271188743"/>
      <w:r>
        <w:rPr>
          <w:rStyle w:val="CharSectno"/>
        </w:rPr>
        <w:t>13</w:t>
      </w:r>
      <w:r>
        <w:rPr>
          <w:snapToGrid w:val="0"/>
        </w:rPr>
        <w:t>.</w:t>
      </w:r>
      <w:r>
        <w:rPr>
          <w:snapToGrid w:val="0"/>
        </w:rPr>
        <w:tab/>
        <w:t xml:space="preserve">Functions of coroner’s </w:t>
      </w:r>
      <w:bookmarkEnd w:id="163"/>
      <w:bookmarkEnd w:id="164"/>
      <w:bookmarkEnd w:id="165"/>
      <w:r>
        <w:t>registrars</w:t>
      </w:r>
      <w:bookmarkEnd w:id="166"/>
      <w:bookmarkEnd w:id="167"/>
    </w:p>
    <w:p>
      <w:pPr>
        <w:pStyle w:val="Subsection"/>
        <w:rPr>
          <w:snapToGrid w:val="0"/>
        </w:rPr>
      </w:pPr>
      <w:r>
        <w:rPr>
          <w:snapToGrid w:val="0"/>
        </w:rPr>
        <w:tab/>
      </w:r>
      <w:r>
        <w:rPr>
          <w:snapToGrid w:val="0"/>
        </w:rPr>
        <w:tab/>
        <w:t xml:space="preserve">A coroner’s </w:t>
      </w:r>
      <w:r>
        <w:t>registrar</w:t>
      </w:r>
      <w:r>
        <w:rPr>
          <w:snapToGrid w:val="0"/>
        </w:rPr>
        <w:t xml:space="preserve"> may — </w:t>
      </w:r>
    </w:p>
    <w:p>
      <w:pPr>
        <w:pStyle w:val="Indenta"/>
        <w:rPr>
          <w:snapToGrid w:val="0"/>
        </w:rPr>
      </w:pPr>
      <w:r>
        <w:rPr>
          <w:snapToGrid w:val="0"/>
        </w:rPr>
        <w:tab/>
        <w:t>(a)</w:t>
      </w:r>
      <w:r>
        <w:rPr>
          <w:snapToGrid w:val="0"/>
        </w:rPr>
        <w:tab/>
        <w:t>on behalf of a coroner, receive information about a death which a coroner is investigating otherwise than at an inquest;</w:t>
      </w:r>
    </w:p>
    <w:p>
      <w:pPr>
        <w:pStyle w:val="Indenta"/>
        <w:rPr>
          <w:snapToGrid w:val="0"/>
        </w:rPr>
      </w:pPr>
      <w:r>
        <w:rPr>
          <w:snapToGrid w:val="0"/>
        </w:rPr>
        <w:tab/>
        <w:t>(b)</w:t>
      </w:r>
      <w:r>
        <w:rPr>
          <w:snapToGrid w:val="0"/>
        </w:rPr>
        <w:tab/>
        <w:t xml:space="preserve">issue a summons requiring a witness to attend an inquest to give oral evidence or to produce documents; and </w:t>
      </w:r>
    </w:p>
    <w:p>
      <w:pPr>
        <w:pStyle w:val="Indenta"/>
        <w:rPr>
          <w:snapToGrid w:val="0"/>
        </w:rPr>
      </w:pPr>
      <w:r>
        <w:rPr>
          <w:snapToGrid w:val="0"/>
        </w:rPr>
        <w:tab/>
        <w:t>(c)</w:t>
      </w:r>
      <w:r>
        <w:rPr>
          <w:snapToGrid w:val="0"/>
        </w:rPr>
        <w:tab/>
        <w:t>carry out any other function authorised under this Act.</w:t>
      </w:r>
    </w:p>
    <w:p>
      <w:pPr>
        <w:pStyle w:val="Footnotesection"/>
      </w:pPr>
      <w:r>
        <w:tab/>
        <w:t>[Section 13 amended by No. 59 of 2004 s. 76.]</w:t>
      </w:r>
    </w:p>
    <w:p>
      <w:pPr>
        <w:pStyle w:val="Heading5"/>
        <w:rPr>
          <w:snapToGrid w:val="0"/>
        </w:rPr>
      </w:pPr>
      <w:bookmarkStart w:id="168" w:name="_Toc507474199"/>
      <w:bookmarkStart w:id="169" w:name="_Toc513604047"/>
      <w:bookmarkStart w:id="170" w:name="_Toc84823323"/>
      <w:bookmarkStart w:id="171" w:name="_Toc129058348"/>
      <w:bookmarkStart w:id="172" w:name="_Toc271188744"/>
      <w:r>
        <w:rPr>
          <w:rStyle w:val="CharSectno"/>
        </w:rPr>
        <w:t>14</w:t>
      </w:r>
      <w:r>
        <w:rPr>
          <w:snapToGrid w:val="0"/>
        </w:rPr>
        <w:t>.</w:t>
      </w:r>
      <w:r>
        <w:rPr>
          <w:snapToGrid w:val="0"/>
        </w:rPr>
        <w:tab/>
        <w:t>Appointment of coroner’s investigators</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pPr>
        <w:pStyle w:val="Subsection"/>
        <w:rPr>
          <w:snapToGrid w:val="0"/>
        </w:rPr>
      </w:pPr>
      <w:r>
        <w:rPr>
          <w:snapToGrid w:val="0"/>
        </w:rPr>
        <w:tab/>
        <w:t>(2)</w:t>
      </w:r>
      <w:r>
        <w:rPr>
          <w:snapToGrid w:val="0"/>
        </w:rPr>
        <w:tab/>
        <w:t>Every member of the Police Force of the State is contemporaneously a coroner’s investigator.</w:t>
      </w:r>
    </w:p>
    <w:p>
      <w:pPr>
        <w:pStyle w:val="Subsection"/>
        <w:rPr>
          <w:snapToGrid w:val="0"/>
        </w:rPr>
      </w:pPr>
      <w:r>
        <w:rPr>
          <w:snapToGrid w:val="0"/>
        </w:rPr>
        <w:tab/>
        <w:t>(3)</w:t>
      </w:r>
      <w:r>
        <w:rPr>
          <w:snapToGrid w:val="0"/>
        </w:rPr>
        <w:tab/>
        <w:t>A coroner’s investigator must — </w:t>
      </w:r>
    </w:p>
    <w:p>
      <w:pPr>
        <w:pStyle w:val="Indenta"/>
        <w:rPr>
          <w:snapToGrid w:val="0"/>
        </w:rPr>
      </w:pPr>
      <w:r>
        <w:rPr>
          <w:snapToGrid w:val="0"/>
        </w:rPr>
        <w:tab/>
        <w:t>(a)</w:t>
      </w:r>
      <w:r>
        <w:rPr>
          <w:snapToGrid w:val="0"/>
        </w:rPr>
        <w:tab/>
        <w:t>assist a coroner in carrying out his or her duties under this Act;</w:t>
      </w:r>
    </w:p>
    <w:p>
      <w:pPr>
        <w:pStyle w:val="Indenta"/>
        <w:rPr>
          <w:snapToGrid w:val="0"/>
        </w:rPr>
      </w:pPr>
      <w:r>
        <w:rPr>
          <w:snapToGrid w:val="0"/>
        </w:rPr>
        <w:tab/>
        <w:t>(b)</w:t>
      </w:r>
      <w:r>
        <w:rPr>
          <w:snapToGrid w:val="0"/>
        </w:rPr>
        <w:tab/>
        <w:t>carry out all reasonable directions of a coroner.</w:t>
      </w:r>
    </w:p>
    <w:p>
      <w:pPr>
        <w:pStyle w:val="Subsection"/>
        <w:rPr>
          <w:snapToGrid w:val="0"/>
        </w:rPr>
      </w:pPr>
      <w:r>
        <w:rPr>
          <w:snapToGrid w:val="0"/>
        </w:rPr>
        <w:tab/>
        <w:t>(4)</w:t>
      </w:r>
      <w:r>
        <w:rPr>
          <w:snapToGrid w:val="0"/>
        </w:rPr>
        <w:tab/>
        <w:t>Subsection (3) does not require or authorise a member of the Police Force to carry out a direction of a coroner if that direction is inconsistent with a direction of the Commissioner of Police.</w:t>
      </w:r>
    </w:p>
    <w:p>
      <w:pPr>
        <w:pStyle w:val="Subsection"/>
      </w:pPr>
      <w:r>
        <w:tab/>
        <w:t>(5)</w:t>
      </w:r>
      <w:r>
        <w:tab/>
        <w:t>The State Coroner is to cause to be issued to a coroner’s investigator, who is not a member of the Police Force of the State, an identity card.</w:t>
      </w:r>
    </w:p>
    <w:p>
      <w:pPr>
        <w:pStyle w:val="Subsection"/>
      </w:pPr>
      <w:r>
        <w:tab/>
        <w:t>(6)</w:t>
      </w:r>
      <w:r>
        <w:tab/>
        <w:t>Where a person in possession of an identity card ceases to be a coroner’s investigator, that person is to return the card as soon as is practicable to the State Coroner.</w:t>
      </w:r>
    </w:p>
    <w:p>
      <w:pPr>
        <w:pStyle w:val="Penstart"/>
      </w:pPr>
      <w:r>
        <w:tab/>
        <w:t>Penalty: $1 000.</w:t>
      </w:r>
    </w:p>
    <w:p>
      <w:pPr>
        <w:pStyle w:val="Footnotesection"/>
      </w:pPr>
      <w:r>
        <w:tab/>
        <w:t>[Section 14 amended by No. 15 of 2003 s. 6.]</w:t>
      </w:r>
    </w:p>
    <w:p>
      <w:pPr>
        <w:pStyle w:val="Heading5"/>
        <w:rPr>
          <w:snapToGrid w:val="0"/>
        </w:rPr>
      </w:pPr>
      <w:bookmarkStart w:id="173" w:name="_Toc507474200"/>
      <w:bookmarkStart w:id="174" w:name="_Toc513604048"/>
      <w:bookmarkStart w:id="175" w:name="_Toc84823324"/>
      <w:bookmarkStart w:id="176" w:name="_Toc129058349"/>
      <w:bookmarkStart w:id="177" w:name="_Toc271188745"/>
      <w:r>
        <w:rPr>
          <w:rStyle w:val="CharSectno"/>
        </w:rPr>
        <w:t>15</w:t>
      </w:r>
      <w:r>
        <w:rPr>
          <w:snapToGrid w:val="0"/>
        </w:rPr>
        <w:t>.</w:t>
      </w:r>
      <w:r>
        <w:rPr>
          <w:snapToGrid w:val="0"/>
        </w:rPr>
        <w:tab/>
        <w:t>Affidavits</w:t>
      </w:r>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pPr>
        <w:pStyle w:val="Footnotesection"/>
      </w:pPr>
      <w:r>
        <w:tab/>
        <w:t>[Section 15 amended by No. 59 of 2004 s. 76.]</w:t>
      </w:r>
    </w:p>
    <w:p>
      <w:pPr>
        <w:pStyle w:val="Heading3"/>
        <w:rPr>
          <w:snapToGrid w:val="0"/>
        </w:rPr>
      </w:pPr>
      <w:bookmarkStart w:id="178" w:name="_Toc72892602"/>
      <w:bookmarkStart w:id="179" w:name="_Toc84823325"/>
      <w:bookmarkStart w:id="180" w:name="_Toc84823460"/>
      <w:bookmarkStart w:id="181" w:name="_Toc84823541"/>
      <w:bookmarkStart w:id="182" w:name="_Toc84823622"/>
      <w:bookmarkStart w:id="183" w:name="_Toc89507932"/>
      <w:bookmarkStart w:id="184" w:name="_Toc101346687"/>
      <w:bookmarkStart w:id="185" w:name="_Toc101346840"/>
      <w:bookmarkStart w:id="186" w:name="_Toc103588780"/>
      <w:bookmarkStart w:id="187" w:name="_Toc104197014"/>
      <w:bookmarkStart w:id="188" w:name="_Toc104197635"/>
      <w:bookmarkStart w:id="189" w:name="_Toc104784929"/>
      <w:bookmarkStart w:id="190" w:name="_Toc104869493"/>
      <w:bookmarkStart w:id="191" w:name="_Toc107287658"/>
      <w:bookmarkStart w:id="192" w:name="_Toc128390202"/>
      <w:bookmarkStart w:id="193" w:name="_Toc129058350"/>
      <w:bookmarkStart w:id="194" w:name="_Toc199670468"/>
      <w:bookmarkStart w:id="195" w:name="_Toc215478048"/>
      <w:bookmarkStart w:id="196" w:name="_Toc223842758"/>
      <w:bookmarkStart w:id="197" w:name="_Toc271188746"/>
      <w:r>
        <w:rPr>
          <w:rStyle w:val="CharDivNo"/>
        </w:rPr>
        <w:t>Division 4</w:t>
      </w:r>
      <w:r>
        <w:rPr>
          <w:snapToGrid w:val="0"/>
        </w:rPr>
        <w:t> — </w:t>
      </w:r>
      <w:r>
        <w:rPr>
          <w:rStyle w:val="CharDivText"/>
        </w:rPr>
        <w:t>Counselling</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DivText"/>
        </w:rPr>
        <w:t xml:space="preserve"> </w:t>
      </w:r>
    </w:p>
    <w:p>
      <w:pPr>
        <w:pStyle w:val="Heading5"/>
        <w:rPr>
          <w:snapToGrid w:val="0"/>
        </w:rPr>
      </w:pPr>
      <w:bookmarkStart w:id="198" w:name="_Toc507474201"/>
      <w:bookmarkStart w:id="199" w:name="_Toc513604049"/>
      <w:bookmarkStart w:id="200" w:name="_Toc84823326"/>
      <w:bookmarkStart w:id="201" w:name="_Toc129058351"/>
      <w:bookmarkStart w:id="202" w:name="_Toc271188747"/>
      <w:r>
        <w:rPr>
          <w:rStyle w:val="CharSectno"/>
        </w:rPr>
        <w:t>16</w:t>
      </w:r>
      <w:r>
        <w:rPr>
          <w:snapToGrid w:val="0"/>
        </w:rPr>
        <w:t>.</w:t>
      </w:r>
      <w:r>
        <w:rPr>
          <w:snapToGrid w:val="0"/>
        </w:rPr>
        <w:tab/>
        <w:t>Counselling</w:t>
      </w:r>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The State Coroner is to ensure that a counselling service is attached to the court.</w:t>
      </w:r>
    </w:p>
    <w:p>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pPr>
        <w:pStyle w:val="Heading2"/>
      </w:pPr>
      <w:bookmarkStart w:id="203" w:name="_Toc72892604"/>
      <w:bookmarkStart w:id="204" w:name="_Toc84823327"/>
      <w:bookmarkStart w:id="205" w:name="_Toc84823462"/>
      <w:bookmarkStart w:id="206" w:name="_Toc84823543"/>
      <w:bookmarkStart w:id="207" w:name="_Toc84823624"/>
      <w:bookmarkStart w:id="208" w:name="_Toc89507934"/>
      <w:bookmarkStart w:id="209" w:name="_Toc101346689"/>
      <w:bookmarkStart w:id="210" w:name="_Toc101346842"/>
      <w:bookmarkStart w:id="211" w:name="_Toc103588782"/>
      <w:bookmarkStart w:id="212" w:name="_Toc104197016"/>
      <w:bookmarkStart w:id="213" w:name="_Toc104197637"/>
      <w:bookmarkStart w:id="214" w:name="_Toc104784931"/>
      <w:bookmarkStart w:id="215" w:name="_Toc104869495"/>
      <w:bookmarkStart w:id="216" w:name="_Toc107287660"/>
      <w:bookmarkStart w:id="217" w:name="_Toc128390204"/>
      <w:bookmarkStart w:id="218" w:name="_Toc129058352"/>
      <w:bookmarkStart w:id="219" w:name="_Toc199670470"/>
      <w:bookmarkStart w:id="220" w:name="_Toc215478050"/>
      <w:bookmarkStart w:id="221" w:name="_Toc223842760"/>
      <w:bookmarkStart w:id="222" w:name="_Toc271188748"/>
      <w:r>
        <w:rPr>
          <w:rStyle w:val="CharPartNo"/>
        </w:rPr>
        <w:t>Part 3</w:t>
      </w:r>
      <w:r>
        <w:rPr>
          <w:rStyle w:val="CharDivNo"/>
        </w:rPr>
        <w:t> </w:t>
      </w:r>
      <w:r>
        <w:t>—</w:t>
      </w:r>
      <w:r>
        <w:rPr>
          <w:rStyle w:val="CharDivText"/>
        </w:rPr>
        <w:t> </w:t>
      </w:r>
      <w:r>
        <w:rPr>
          <w:rStyle w:val="CharPartText"/>
        </w:rPr>
        <w:t>Reporting of deaths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rPr>
          <w:snapToGrid w:val="0"/>
        </w:rPr>
      </w:pPr>
      <w:bookmarkStart w:id="223" w:name="_Toc507474202"/>
      <w:bookmarkStart w:id="224" w:name="_Toc513604050"/>
      <w:bookmarkStart w:id="225" w:name="_Toc84823328"/>
      <w:bookmarkStart w:id="226" w:name="_Toc129058353"/>
      <w:bookmarkStart w:id="227" w:name="_Toc271188749"/>
      <w:r>
        <w:rPr>
          <w:rStyle w:val="CharSectno"/>
        </w:rPr>
        <w:t>17</w:t>
      </w:r>
      <w:r>
        <w:rPr>
          <w:snapToGrid w:val="0"/>
        </w:rPr>
        <w:t>.</w:t>
      </w:r>
      <w:r>
        <w:rPr>
          <w:snapToGrid w:val="0"/>
        </w:rPr>
        <w:tab/>
        <w:t>Obligation to report death</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pPr>
        <w:pStyle w:val="Subsection"/>
        <w:rPr>
          <w:snapToGrid w:val="0"/>
        </w:rPr>
      </w:pPr>
      <w:r>
        <w:rPr>
          <w:snapToGrid w:val="0"/>
        </w:rPr>
        <w:tab/>
        <w:t>(3)</w:t>
      </w:r>
      <w:r>
        <w:rPr>
          <w:snapToGrid w:val="0"/>
        </w:rPr>
        <w:tab/>
        <w:t>A doctor who is present at or soon after the death of a person must report the death immediately to a coroner if — </w:t>
      </w:r>
    </w:p>
    <w:p>
      <w:pPr>
        <w:pStyle w:val="Indenta"/>
        <w:rPr>
          <w:snapToGrid w:val="0"/>
        </w:rPr>
      </w:pPr>
      <w:r>
        <w:rPr>
          <w:snapToGrid w:val="0"/>
        </w:rPr>
        <w:tab/>
        <w:t>(a)</w:t>
      </w:r>
      <w:r>
        <w:rPr>
          <w:snapToGrid w:val="0"/>
        </w:rPr>
        <w:tab/>
        <w:t>the death is or may be a reportable death;</w:t>
      </w:r>
    </w:p>
    <w:p>
      <w:pPr>
        <w:pStyle w:val="Indenta"/>
        <w:rPr>
          <w:snapToGrid w:val="0"/>
        </w:rPr>
      </w:pPr>
      <w:r>
        <w:rPr>
          <w:snapToGrid w:val="0"/>
        </w:rPr>
        <w:tab/>
        <w:t>(b)</w:t>
      </w:r>
      <w:r>
        <w:rPr>
          <w:snapToGrid w:val="0"/>
        </w:rPr>
        <w:tab/>
        <w:t>the doctor is unable to determine the cause of death; or</w:t>
      </w:r>
    </w:p>
    <w:p>
      <w:pPr>
        <w:pStyle w:val="Indenta"/>
        <w:rPr>
          <w:snapToGrid w:val="0"/>
        </w:rPr>
      </w:pPr>
      <w:r>
        <w:rPr>
          <w:snapToGrid w:val="0"/>
        </w:rPr>
        <w:tab/>
        <w:t>(c)</w:t>
      </w:r>
      <w:r>
        <w:rPr>
          <w:snapToGrid w:val="0"/>
        </w:rPr>
        <w:tab/>
        <w:t>in the opinion of the doctor, the death has occurred under any suspicious circumstances.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pPr>
        <w:pStyle w:val="Penstart"/>
        <w:rPr>
          <w:snapToGrid w:val="0"/>
        </w:rPr>
      </w:pPr>
      <w:r>
        <w:rPr>
          <w:snapToGrid w:val="0"/>
        </w:rPr>
        <w:tab/>
        <w:t>Penalty: $1 000.</w:t>
      </w:r>
    </w:p>
    <w:p>
      <w:pPr>
        <w:pStyle w:val="Footnotesection"/>
      </w:pPr>
      <w:r>
        <w:tab/>
        <w:t>[Section 17 amended by No. 40 of 1998 s. 8(3).]</w:t>
      </w:r>
    </w:p>
    <w:p>
      <w:pPr>
        <w:pStyle w:val="Heading5"/>
        <w:rPr>
          <w:snapToGrid w:val="0"/>
        </w:rPr>
      </w:pPr>
      <w:bookmarkStart w:id="228" w:name="_Toc507474203"/>
      <w:bookmarkStart w:id="229" w:name="_Toc513604051"/>
      <w:bookmarkStart w:id="230" w:name="_Toc84823329"/>
      <w:bookmarkStart w:id="231" w:name="_Toc129058354"/>
      <w:bookmarkStart w:id="232" w:name="_Toc271188750"/>
      <w:r>
        <w:rPr>
          <w:rStyle w:val="CharSectno"/>
        </w:rPr>
        <w:t>18</w:t>
      </w:r>
      <w:r>
        <w:rPr>
          <w:snapToGrid w:val="0"/>
        </w:rPr>
        <w:t>.</w:t>
      </w:r>
      <w:r>
        <w:rPr>
          <w:snapToGrid w:val="0"/>
        </w:rPr>
        <w:tab/>
        <w:t>Information to the coroner</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pPr>
        <w:pStyle w:val="Penstart"/>
        <w:rPr>
          <w:snapToGrid w:val="0"/>
        </w:rPr>
      </w:pPr>
      <w:r>
        <w:rPr>
          <w:snapToGrid w:val="0"/>
        </w:rPr>
        <w:tab/>
        <w:t>Penalty: $1 000.</w:t>
      </w:r>
    </w:p>
    <w:p>
      <w:pPr>
        <w:pStyle w:val="Heading2"/>
      </w:pPr>
      <w:bookmarkStart w:id="233" w:name="_Toc72892607"/>
      <w:bookmarkStart w:id="234" w:name="_Toc84823330"/>
      <w:bookmarkStart w:id="235" w:name="_Toc84823465"/>
      <w:bookmarkStart w:id="236" w:name="_Toc84823546"/>
      <w:bookmarkStart w:id="237" w:name="_Toc84823627"/>
      <w:bookmarkStart w:id="238" w:name="_Toc89507937"/>
      <w:bookmarkStart w:id="239" w:name="_Toc101346692"/>
      <w:bookmarkStart w:id="240" w:name="_Toc101346845"/>
      <w:bookmarkStart w:id="241" w:name="_Toc103588785"/>
      <w:bookmarkStart w:id="242" w:name="_Toc104197019"/>
      <w:bookmarkStart w:id="243" w:name="_Toc104197640"/>
      <w:bookmarkStart w:id="244" w:name="_Toc104784934"/>
      <w:bookmarkStart w:id="245" w:name="_Toc104869498"/>
      <w:bookmarkStart w:id="246" w:name="_Toc107287663"/>
      <w:bookmarkStart w:id="247" w:name="_Toc128390207"/>
      <w:bookmarkStart w:id="248" w:name="_Toc129058355"/>
      <w:bookmarkStart w:id="249" w:name="_Toc199670473"/>
      <w:bookmarkStart w:id="250" w:name="_Toc215478053"/>
      <w:bookmarkStart w:id="251" w:name="_Toc223842763"/>
      <w:bookmarkStart w:id="252" w:name="_Toc271188751"/>
      <w:r>
        <w:rPr>
          <w:rStyle w:val="CharPartNo"/>
        </w:rPr>
        <w:t>Part 4</w:t>
      </w:r>
      <w:r>
        <w:t> — </w:t>
      </w:r>
      <w:r>
        <w:rPr>
          <w:rStyle w:val="CharPartText"/>
        </w:rPr>
        <w:t>Investigation of deaths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3"/>
        <w:rPr>
          <w:snapToGrid w:val="0"/>
        </w:rPr>
      </w:pPr>
      <w:bookmarkStart w:id="253" w:name="_Toc72892608"/>
      <w:bookmarkStart w:id="254" w:name="_Toc84823331"/>
      <w:bookmarkStart w:id="255" w:name="_Toc84823466"/>
      <w:bookmarkStart w:id="256" w:name="_Toc84823547"/>
      <w:bookmarkStart w:id="257" w:name="_Toc84823628"/>
      <w:bookmarkStart w:id="258" w:name="_Toc89507938"/>
      <w:bookmarkStart w:id="259" w:name="_Toc101346693"/>
      <w:bookmarkStart w:id="260" w:name="_Toc101346846"/>
      <w:bookmarkStart w:id="261" w:name="_Toc103588786"/>
      <w:bookmarkStart w:id="262" w:name="_Toc104197020"/>
      <w:bookmarkStart w:id="263" w:name="_Toc104197641"/>
      <w:bookmarkStart w:id="264" w:name="_Toc104784935"/>
      <w:bookmarkStart w:id="265" w:name="_Toc104869499"/>
      <w:bookmarkStart w:id="266" w:name="_Toc107287664"/>
      <w:bookmarkStart w:id="267" w:name="_Toc128390208"/>
      <w:bookmarkStart w:id="268" w:name="_Toc129058356"/>
      <w:bookmarkStart w:id="269" w:name="_Toc199670474"/>
      <w:bookmarkStart w:id="270" w:name="_Toc215478054"/>
      <w:bookmarkStart w:id="271" w:name="_Toc223842764"/>
      <w:bookmarkStart w:id="272" w:name="_Toc271188752"/>
      <w:r>
        <w:rPr>
          <w:rStyle w:val="CharDivNo"/>
        </w:rPr>
        <w:t>Division 1</w:t>
      </w:r>
      <w:r>
        <w:rPr>
          <w:snapToGrid w:val="0"/>
        </w:rPr>
        <w:t> — </w:t>
      </w:r>
      <w:r>
        <w:rPr>
          <w:rStyle w:val="CharDivText"/>
        </w:rPr>
        <w:t>General powers and duties of coroners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Heading5"/>
        <w:rPr>
          <w:snapToGrid w:val="0"/>
        </w:rPr>
      </w:pPr>
      <w:bookmarkStart w:id="273" w:name="_Toc507474204"/>
      <w:bookmarkStart w:id="274" w:name="_Toc513604052"/>
      <w:bookmarkStart w:id="275" w:name="_Toc84823332"/>
      <w:bookmarkStart w:id="276" w:name="_Toc129058357"/>
      <w:bookmarkStart w:id="277" w:name="_Toc271188753"/>
      <w:r>
        <w:rPr>
          <w:rStyle w:val="CharSectno"/>
        </w:rPr>
        <w:t>19</w:t>
      </w:r>
      <w:r>
        <w:rPr>
          <w:snapToGrid w:val="0"/>
        </w:rPr>
        <w:t>.</w:t>
      </w:r>
      <w:r>
        <w:rPr>
          <w:snapToGrid w:val="0"/>
        </w:rPr>
        <w:tab/>
        <w:t>Jurisdiction of coroner to investigate a death</w:t>
      </w:r>
      <w:bookmarkEnd w:id="273"/>
      <w:bookmarkEnd w:id="274"/>
      <w:bookmarkEnd w:id="275"/>
      <w:bookmarkEnd w:id="276"/>
      <w:bookmarkEnd w:id="277"/>
      <w:r>
        <w:rPr>
          <w:snapToGrid w:val="0"/>
        </w:rPr>
        <w:t xml:space="preserve"> </w:t>
      </w:r>
    </w:p>
    <w:p>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pPr>
        <w:pStyle w:val="Heading5"/>
        <w:rPr>
          <w:snapToGrid w:val="0"/>
        </w:rPr>
      </w:pPr>
      <w:bookmarkStart w:id="278" w:name="_Toc507474205"/>
      <w:bookmarkStart w:id="279" w:name="_Toc513604053"/>
      <w:bookmarkStart w:id="280" w:name="_Toc84823333"/>
      <w:bookmarkStart w:id="281" w:name="_Toc129058358"/>
      <w:bookmarkStart w:id="282" w:name="_Toc271188754"/>
      <w:r>
        <w:rPr>
          <w:rStyle w:val="CharSectno"/>
        </w:rPr>
        <w:t>20</w:t>
      </w:r>
      <w:r>
        <w:rPr>
          <w:snapToGrid w:val="0"/>
        </w:rPr>
        <w:t>.</w:t>
      </w:r>
      <w:r>
        <w:rPr>
          <w:snapToGrid w:val="0"/>
        </w:rPr>
        <w:tab/>
        <w:t>Information to be provided to next of kin</w:t>
      </w:r>
      <w:bookmarkEnd w:id="278"/>
      <w:bookmarkEnd w:id="279"/>
      <w:bookmarkEnd w:id="280"/>
      <w:bookmarkEnd w:id="281"/>
      <w:bookmarkEnd w:id="282"/>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pPr>
        <w:pStyle w:val="Indenta"/>
        <w:rPr>
          <w:snapToGrid w:val="0"/>
        </w:rPr>
      </w:pPr>
      <w:r>
        <w:rPr>
          <w:snapToGrid w:val="0"/>
        </w:rPr>
        <w:tab/>
        <w:t>(a)</w:t>
      </w:r>
      <w:r>
        <w:rPr>
          <w:snapToGrid w:val="0"/>
        </w:rPr>
        <w:tab/>
        <w:t>that the body is under the control of the coroner investigating the death;</w:t>
      </w:r>
    </w:p>
    <w:p>
      <w:pPr>
        <w:pStyle w:val="Indenta"/>
        <w:rPr>
          <w:snapToGrid w:val="0"/>
        </w:rPr>
      </w:pPr>
      <w:r>
        <w:rPr>
          <w:snapToGrid w:val="0"/>
        </w:rPr>
        <w:tab/>
        <w:t>(b)</w:t>
      </w:r>
      <w:r>
        <w:rPr>
          <w:snapToGrid w:val="0"/>
        </w:rPr>
        <w:tab/>
        <w:t>that a post mortem examination is likely to be performed on the body under section 34;</w:t>
      </w:r>
    </w:p>
    <w:p>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w:t>
      </w:r>
    </w:p>
    <w:p>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w:t>
      </w:r>
    </w:p>
    <w:p>
      <w:pPr>
        <w:pStyle w:val="Indenta"/>
        <w:rPr>
          <w:snapToGrid w:val="0"/>
        </w:rPr>
      </w:pPr>
      <w:r>
        <w:rPr>
          <w:snapToGrid w:val="0"/>
        </w:rPr>
        <w:tab/>
        <w:t>(e)</w:t>
      </w:r>
      <w:r>
        <w:rPr>
          <w:snapToGrid w:val="0"/>
        </w:rPr>
        <w:tab/>
        <w:t>that if tissue is to be removed from the body under section 34(3)(b), then there is a right to view the written permission of the deceased;</w:t>
      </w:r>
    </w:p>
    <w:p>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w:t>
      </w:r>
    </w:p>
    <w:p>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w:t>
      </w:r>
    </w:p>
    <w:p>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w:t>
      </w:r>
    </w:p>
    <w:p>
      <w:pPr>
        <w:pStyle w:val="Indenta"/>
        <w:rPr>
          <w:snapToGrid w:val="0"/>
        </w:rPr>
      </w:pPr>
      <w:r>
        <w:rPr>
          <w:snapToGrid w:val="0"/>
        </w:rPr>
        <w:tab/>
        <w:t>(i)</w:t>
      </w:r>
      <w:r>
        <w:rPr>
          <w:snapToGrid w:val="0"/>
        </w:rPr>
        <w:tab/>
        <w:t>a brief summary stating the manner in which objection under section 37 may be made; and</w:t>
      </w:r>
    </w:p>
    <w:p>
      <w:pPr>
        <w:pStyle w:val="Indenta"/>
        <w:rPr>
          <w:snapToGrid w:val="0"/>
        </w:rPr>
      </w:pPr>
      <w:r>
        <w:rPr>
          <w:snapToGrid w:val="0"/>
        </w:rPr>
        <w:tab/>
        <w:t>(j)</w:t>
      </w:r>
      <w:r>
        <w:rPr>
          <w:snapToGrid w:val="0"/>
        </w:rPr>
        <w:tab/>
        <w:t>that a counselling service is available.</w:t>
      </w:r>
    </w:p>
    <w:p>
      <w:pPr>
        <w:pStyle w:val="Subsection"/>
        <w:spacing w:before="120"/>
        <w:rPr>
          <w:snapToGrid w:val="0"/>
        </w:rPr>
      </w:pPr>
      <w:r>
        <w:rPr>
          <w:snapToGrid w:val="0"/>
        </w:rPr>
        <w:tab/>
        <w:t>(2)</w:t>
      </w:r>
      <w:r>
        <w:rPr>
          <w:snapToGrid w:val="0"/>
        </w:rPr>
        <w:tab/>
        <w:t>The information provided under subsection (1) must be in writing, where practicable, and in a language and form likely to be understood by the person to whom it is provided.</w:t>
      </w:r>
    </w:p>
    <w:p>
      <w:pPr>
        <w:pStyle w:val="Heading5"/>
        <w:spacing w:before="180"/>
        <w:rPr>
          <w:snapToGrid w:val="0"/>
        </w:rPr>
      </w:pPr>
      <w:bookmarkStart w:id="283" w:name="_Toc507474206"/>
      <w:bookmarkStart w:id="284" w:name="_Toc513604054"/>
      <w:bookmarkStart w:id="285" w:name="_Toc84823334"/>
      <w:bookmarkStart w:id="286" w:name="_Toc129058359"/>
      <w:bookmarkStart w:id="287" w:name="_Toc271188755"/>
      <w:r>
        <w:rPr>
          <w:rStyle w:val="CharSectno"/>
        </w:rPr>
        <w:t>21</w:t>
      </w:r>
      <w:r>
        <w:rPr>
          <w:snapToGrid w:val="0"/>
        </w:rPr>
        <w:t>.</w:t>
      </w:r>
      <w:r>
        <w:rPr>
          <w:snapToGrid w:val="0"/>
        </w:rPr>
        <w:tab/>
        <w:t>Directions by State Coroner</w:t>
      </w:r>
      <w:bookmarkEnd w:id="283"/>
      <w:bookmarkEnd w:id="284"/>
      <w:bookmarkEnd w:id="285"/>
      <w:bookmarkEnd w:id="286"/>
      <w:bookmarkEnd w:id="287"/>
      <w:r>
        <w:rPr>
          <w:snapToGrid w:val="0"/>
        </w:rPr>
        <w:t xml:space="preserve"> </w:t>
      </w:r>
    </w:p>
    <w:p>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pPr>
        <w:pStyle w:val="Footnotesection"/>
      </w:pPr>
      <w:r>
        <w:tab/>
        <w:t>[Section 21 amended by No. 8 of 2000 s. 5; No. 59 of 2004 s. 76.]</w:t>
      </w:r>
    </w:p>
    <w:p>
      <w:pPr>
        <w:pStyle w:val="Heading5"/>
        <w:spacing w:before="180"/>
        <w:rPr>
          <w:snapToGrid w:val="0"/>
        </w:rPr>
      </w:pPr>
      <w:bookmarkStart w:id="288" w:name="_Toc507474207"/>
      <w:bookmarkStart w:id="289" w:name="_Toc513604055"/>
      <w:bookmarkStart w:id="290" w:name="_Toc84823335"/>
      <w:bookmarkStart w:id="291" w:name="_Toc129058360"/>
      <w:bookmarkStart w:id="292" w:name="_Toc271188756"/>
      <w:r>
        <w:rPr>
          <w:rStyle w:val="CharSectno"/>
        </w:rPr>
        <w:t>22</w:t>
      </w:r>
      <w:r>
        <w:rPr>
          <w:snapToGrid w:val="0"/>
        </w:rPr>
        <w:t>.</w:t>
      </w:r>
      <w:r>
        <w:rPr>
          <w:snapToGrid w:val="0"/>
        </w:rPr>
        <w:tab/>
        <w:t>Jurisdiction of coroner to hold inquest into a death</w:t>
      </w:r>
      <w:bookmarkEnd w:id="288"/>
      <w:bookmarkEnd w:id="289"/>
      <w:bookmarkEnd w:id="290"/>
      <w:bookmarkEnd w:id="291"/>
      <w:bookmarkEnd w:id="292"/>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pPr>
        <w:pStyle w:val="Indenta"/>
        <w:rPr>
          <w:snapToGrid w:val="0"/>
        </w:rPr>
      </w:pPr>
      <w:r>
        <w:rPr>
          <w:snapToGrid w:val="0"/>
        </w:rPr>
        <w:tab/>
        <w:t>(a)</w:t>
      </w:r>
      <w:r>
        <w:rPr>
          <w:snapToGrid w:val="0"/>
        </w:rPr>
        <w:tab/>
        <w:t>the deceased was immediately before death a person held in care;</w:t>
      </w:r>
    </w:p>
    <w:p>
      <w:pPr>
        <w:pStyle w:val="Indenta"/>
        <w:rPr>
          <w:snapToGrid w:val="0"/>
        </w:rPr>
      </w:pPr>
      <w:r>
        <w:rPr>
          <w:snapToGrid w:val="0"/>
        </w:rPr>
        <w:tab/>
        <w:t>(b)</w:t>
      </w:r>
      <w:r>
        <w:rPr>
          <w:snapToGrid w:val="0"/>
        </w:rPr>
        <w:tab/>
        <w:t>it appears that the death was caused, or contributed to, by any action of a member of the Police Force;</w:t>
      </w:r>
    </w:p>
    <w:p>
      <w:pPr>
        <w:pStyle w:val="Indenta"/>
        <w:rPr>
          <w:snapToGrid w:val="0"/>
        </w:rPr>
      </w:pPr>
      <w:r>
        <w:rPr>
          <w:snapToGrid w:val="0"/>
        </w:rPr>
        <w:tab/>
        <w:t>(c)</w:t>
      </w:r>
      <w:r>
        <w:rPr>
          <w:snapToGrid w:val="0"/>
        </w:rPr>
        <w:tab/>
        <w:t>it appears that the death was caused, or contributed to, while the deceased was a person held in care;</w:t>
      </w:r>
    </w:p>
    <w:p>
      <w:pPr>
        <w:pStyle w:val="Indenta"/>
        <w:rPr>
          <w:snapToGrid w:val="0"/>
        </w:rPr>
      </w:pPr>
      <w:r>
        <w:rPr>
          <w:snapToGrid w:val="0"/>
        </w:rPr>
        <w:tab/>
        <w:t>(d)</w:t>
      </w:r>
      <w:r>
        <w:rPr>
          <w:snapToGrid w:val="0"/>
        </w:rPr>
        <w:tab/>
        <w:t xml:space="preserve">the Attorney General so directs; </w:t>
      </w:r>
    </w:p>
    <w:p>
      <w:pPr>
        <w:pStyle w:val="Indenta"/>
        <w:rPr>
          <w:snapToGrid w:val="0"/>
        </w:rPr>
      </w:pPr>
      <w:r>
        <w:rPr>
          <w:snapToGrid w:val="0"/>
        </w:rPr>
        <w:tab/>
        <w:t>(e)</w:t>
      </w:r>
      <w:r>
        <w:rPr>
          <w:snapToGrid w:val="0"/>
        </w:rPr>
        <w:tab/>
        <w:t>the State Coroner so directs; or</w:t>
      </w:r>
    </w:p>
    <w:p>
      <w:pPr>
        <w:pStyle w:val="Indenta"/>
        <w:rPr>
          <w:snapToGrid w:val="0"/>
        </w:rPr>
      </w:pPr>
      <w:r>
        <w:rPr>
          <w:snapToGrid w:val="0"/>
        </w:rPr>
        <w:tab/>
        <w:t>(f)</w:t>
      </w:r>
      <w:r>
        <w:rPr>
          <w:snapToGrid w:val="0"/>
        </w:rPr>
        <w:tab/>
        <w:t>the death occurred in prescribed circumstances.</w:t>
      </w:r>
    </w:p>
    <w:p>
      <w:pPr>
        <w:pStyle w:val="Subsection"/>
        <w:rPr>
          <w:snapToGrid w:val="0"/>
        </w:rPr>
      </w:pPr>
      <w:r>
        <w:rPr>
          <w:snapToGrid w:val="0"/>
        </w:rPr>
        <w:tab/>
        <w:t>(2)</w:t>
      </w:r>
      <w:r>
        <w:rPr>
          <w:snapToGrid w:val="0"/>
        </w:rPr>
        <w:tab/>
        <w:t>A coroner who has jurisdiction to investigate a death may hold an inquest if the coroner believes it is desirable.</w:t>
      </w:r>
    </w:p>
    <w:p>
      <w:pPr>
        <w:pStyle w:val="Heading5"/>
        <w:rPr>
          <w:snapToGrid w:val="0"/>
        </w:rPr>
      </w:pPr>
      <w:bookmarkStart w:id="293" w:name="_Toc507474208"/>
      <w:bookmarkStart w:id="294" w:name="_Toc513604056"/>
      <w:bookmarkStart w:id="295" w:name="_Toc84823336"/>
      <w:bookmarkStart w:id="296" w:name="_Toc129058361"/>
      <w:bookmarkStart w:id="297" w:name="_Toc271188757"/>
      <w:r>
        <w:rPr>
          <w:rStyle w:val="CharSectno"/>
        </w:rPr>
        <w:t>23</w:t>
      </w:r>
      <w:r>
        <w:rPr>
          <w:snapToGrid w:val="0"/>
        </w:rPr>
        <w:t>.</w:t>
      </w:r>
      <w:r>
        <w:rPr>
          <w:snapToGrid w:val="0"/>
        </w:rPr>
        <w:tab/>
        <w:t>Investigation of suspected deaths</w:t>
      </w:r>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pPr>
        <w:pStyle w:val="Heading5"/>
        <w:rPr>
          <w:snapToGrid w:val="0"/>
        </w:rPr>
      </w:pPr>
      <w:bookmarkStart w:id="298" w:name="_Toc507474209"/>
      <w:bookmarkStart w:id="299" w:name="_Toc513604057"/>
      <w:bookmarkStart w:id="300" w:name="_Toc84823337"/>
      <w:bookmarkStart w:id="301" w:name="_Toc129058362"/>
      <w:bookmarkStart w:id="302" w:name="_Toc271188758"/>
      <w:r>
        <w:rPr>
          <w:rStyle w:val="CharSectno"/>
        </w:rPr>
        <w:t>24</w:t>
      </w:r>
      <w:r>
        <w:rPr>
          <w:snapToGrid w:val="0"/>
        </w:rPr>
        <w:t>.</w:t>
      </w:r>
      <w:r>
        <w:rPr>
          <w:snapToGrid w:val="0"/>
        </w:rPr>
        <w:tab/>
        <w:t>Application for inquest into death</w:t>
      </w:r>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pPr>
        <w:pStyle w:val="Indenta"/>
        <w:rPr>
          <w:snapToGrid w:val="0"/>
        </w:rPr>
      </w:pPr>
      <w:r>
        <w:rPr>
          <w:snapToGrid w:val="0"/>
        </w:rPr>
        <w:tab/>
        <w:t>(a)</w:t>
      </w:r>
      <w:r>
        <w:rPr>
          <w:snapToGrid w:val="0"/>
        </w:rPr>
        <w:tab/>
        <w:t>hold an inquest or ask another coroner to do so; or</w:t>
      </w:r>
    </w:p>
    <w:p>
      <w:pPr>
        <w:pStyle w:val="Indenta"/>
        <w:rPr>
          <w:snapToGrid w:val="0"/>
        </w:rPr>
      </w:pPr>
      <w:r>
        <w:rPr>
          <w:snapToGrid w:val="0"/>
        </w:rPr>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pPr>
        <w:pStyle w:val="Subsection"/>
      </w:pPr>
      <w:r>
        <w:tab/>
        <w:t>(1a)</w:t>
      </w:r>
      <w:r>
        <w:tab/>
        <w:t xml:space="preserve">A request under subsection (1) is to — </w:t>
      </w:r>
    </w:p>
    <w:p>
      <w:pPr>
        <w:pStyle w:val="Indenta"/>
      </w:pPr>
      <w:r>
        <w:tab/>
        <w:t>(a)</w:t>
      </w:r>
      <w:r>
        <w:tab/>
        <w:t xml:space="preserve">be made in writing; and </w:t>
      </w:r>
    </w:p>
    <w:p>
      <w:pPr>
        <w:pStyle w:val="Indenta"/>
      </w:pPr>
      <w:r>
        <w:tab/>
        <w:t>(b)</w:t>
      </w:r>
      <w:r>
        <w:tab/>
        <w:t>contain reasons for the request.</w:t>
      </w:r>
    </w:p>
    <w:p>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pPr>
        <w:pStyle w:val="Footnotesection"/>
      </w:pPr>
      <w:r>
        <w:tab/>
        <w:t>[Section 24 amended by No. 15 of 2003 s. 7.]</w:t>
      </w:r>
    </w:p>
    <w:p>
      <w:pPr>
        <w:pStyle w:val="Heading5"/>
        <w:rPr>
          <w:snapToGrid w:val="0"/>
        </w:rPr>
      </w:pPr>
      <w:bookmarkStart w:id="303" w:name="_Toc507474210"/>
      <w:bookmarkStart w:id="304" w:name="_Toc513604058"/>
      <w:bookmarkStart w:id="305" w:name="_Toc84823338"/>
      <w:bookmarkStart w:id="306" w:name="_Toc129058363"/>
      <w:bookmarkStart w:id="307" w:name="_Toc271188759"/>
      <w:r>
        <w:rPr>
          <w:rStyle w:val="CharSectno"/>
        </w:rPr>
        <w:t>25</w:t>
      </w:r>
      <w:r>
        <w:rPr>
          <w:snapToGrid w:val="0"/>
        </w:rPr>
        <w:t>.</w:t>
      </w:r>
      <w:r>
        <w:rPr>
          <w:snapToGrid w:val="0"/>
        </w:rPr>
        <w:tab/>
        <w:t>Findings and comments of coroner</w:t>
      </w:r>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A coroner investigating a death must find if possible — </w:t>
      </w:r>
    </w:p>
    <w:p>
      <w:pPr>
        <w:pStyle w:val="Indenta"/>
        <w:rPr>
          <w:snapToGrid w:val="0"/>
        </w:rPr>
      </w:pPr>
      <w:r>
        <w:rPr>
          <w:snapToGrid w:val="0"/>
        </w:rPr>
        <w:tab/>
        <w:t>(a)</w:t>
      </w:r>
      <w:r>
        <w:rPr>
          <w:snapToGrid w:val="0"/>
        </w:rPr>
        <w:tab/>
        <w:t xml:space="preserve">the identity of the deceased; </w:t>
      </w:r>
    </w:p>
    <w:p>
      <w:pPr>
        <w:pStyle w:val="Indenta"/>
        <w:rPr>
          <w:snapToGrid w:val="0"/>
        </w:rPr>
      </w:pPr>
      <w:r>
        <w:rPr>
          <w:snapToGrid w:val="0"/>
        </w:rPr>
        <w:tab/>
        <w:t>(b)</w:t>
      </w:r>
      <w:r>
        <w:rPr>
          <w:snapToGrid w:val="0"/>
        </w:rPr>
        <w:tab/>
        <w:t xml:space="preserve">how death occurred; </w:t>
      </w:r>
    </w:p>
    <w:p>
      <w:pPr>
        <w:pStyle w:val="Indenta"/>
        <w:rPr>
          <w:snapToGrid w:val="0"/>
        </w:rPr>
      </w:pPr>
      <w:r>
        <w:rPr>
          <w:snapToGrid w:val="0"/>
        </w:rPr>
        <w:tab/>
        <w:t>(c)</w:t>
      </w:r>
      <w:r>
        <w:rPr>
          <w:snapToGrid w:val="0"/>
        </w:rPr>
        <w:tab/>
        <w:t>the cause of death; and</w:t>
      </w:r>
    </w:p>
    <w:p>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pPr>
        <w:pStyle w:val="Subsection"/>
        <w:rPr>
          <w:snapToGrid w:val="0"/>
        </w:rPr>
      </w:pPr>
      <w:r>
        <w:rPr>
          <w:snapToGrid w:val="0"/>
        </w:rPr>
        <w:tab/>
        <w:t>(2)</w:t>
      </w:r>
      <w:r>
        <w:rPr>
          <w:snapToGrid w:val="0"/>
        </w:rPr>
        <w:tab/>
        <w:t>A coroner may comment on any matter connected with the death including public health or safety or the administration of justice.</w:t>
      </w:r>
    </w:p>
    <w:p>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pPr>
        <w:pStyle w:val="Subsection"/>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pPr>
        <w:pStyle w:val="Footnotesection"/>
      </w:pPr>
      <w:r>
        <w:tab/>
        <w:t>[Section 25 amended by No. 40 of 1998 s. 8(4).]</w:t>
      </w:r>
    </w:p>
    <w:p>
      <w:pPr>
        <w:pStyle w:val="Heading5"/>
        <w:rPr>
          <w:snapToGrid w:val="0"/>
        </w:rPr>
      </w:pPr>
      <w:bookmarkStart w:id="308" w:name="_Toc507474211"/>
      <w:bookmarkStart w:id="309" w:name="_Toc513604059"/>
      <w:bookmarkStart w:id="310" w:name="_Toc84823339"/>
      <w:bookmarkStart w:id="311" w:name="_Toc129058364"/>
      <w:bookmarkStart w:id="312" w:name="_Toc271188760"/>
      <w:r>
        <w:rPr>
          <w:rStyle w:val="CharSectno"/>
        </w:rPr>
        <w:t>26</w:t>
      </w:r>
      <w:r>
        <w:rPr>
          <w:snapToGrid w:val="0"/>
        </w:rPr>
        <w:t>.</w:t>
      </w:r>
      <w:r>
        <w:rPr>
          <w:snapToGrid w:val="0"/>
        </w:rPr>
        <w:tab/>
        <w:t>Record of findings and comments</w:t>
      </w:r>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pPr>
        <w:pStyle w:val="Subsection"/>
        <w:rPr>
          <w:snapToGrid w:val="0"/>
        </w:rPr>
      </w:pPr>
      <w:r>
        <w:rPr>
          <w:snapToGrid w:val="0"/>
        </w:rPr>
        <w:tab/>
        <w:t>(2)</w:t>
      </w:r>
      <w:r>
        <w:rPr>
          <w:snapToGrid w:val="0"/>
        </w:rPr>
        <w:tab/>
        <w:t>A record is not evidence in any court of any fact asserted to in it.</w:t>
      </w:r>
    </w:p>
    <w:p>
      <w:pPr>
        <w:pStyle w:val="Footnotesection"/>
      </w:pPr>
      <w:r>
        <w:tab/>
        <w:t>[Section 26 amended by No. 15 of 2003 s. 8; No. 59 of 2004 s. 76.]</w:t>
      </w:r>
    </w:p>
    <w:p>
      <w:pPr>
        <w:pStyle w:val="Heading5"/>
      </w:pPr>
      <w:bookmarkStart w:id="313" w:name="_Toc84823340"/>
      <w:bookmarkStart w:id="314" w:name="_Toc129058365"/>
      <w:bookmarkStart w:id="315" w:name="_Toc271188761"/>
      <w:bookmarkStart w:id="316" w:name="_Toc507474212"/>
      <w:bookmarkStart w:id="317" w:name="_Toc513604060"/>
      <w:r>
        <w:rPr>
          <w:rStyle w:val="CharSectno"/>
        </w:rPr>
        <w:t>26A</w:t>
      </w:r>
      <w:r>
        <w:t>.</w:t>
      </w:r>
      <w:r>
        <w:tab/>
        <w:t>Access to evidence</w:t>
      </w:r>
      <w:bookmarkEnd w:id="313"/>
      <w:bookmarkEnd w:id="314"/>
      <w:bookmarkEnd w:id="315"/>
    </w:p>
    <w:p>
      <w:pPr>
        <w:pStyle w:val="Subsection"/>
      </w:pPr>
      <w:r>
        <w:tab/>
      </w:r>
      <w:r>
        <w:tab/>
        <w:t>If the senior next of kin of a deceased person asks a coroner for access to evidence obtained for the purpose of investigating the death, the coroner is to give that person access to that evidence, unless the coroner believes it is not desirable or practicable to do so.</w:t>
      </w:r>
    </w:p>
    <w:p>
      <w:pPr>
        <w:pStyle w:val="Footnotesection"/>
      </w:pPr>
      <w:r>
        <w:tab/>
        <w:t>[Section 26A inserted by No. 15 of 2003 s. 9.]</w:t>
      </w:r>
    </w:p>
    <w:p>
      <w:pPr>
        <w:pStyle w:val="Heading5"/>
        <w:rPr>
          <w:snapToGrid w:val="0"/>
        </w:rPr>
      </w:pPr>
      <w:bookmarkStart w:id="318" w:name="_Toc84823341"/>
      <w:bookmarkStart w:id="319" w:name="_Toc129058366"/>
      <w:bookmarkStart w:id="320" w:name="_Toc271188762"/>
      <w:r>
        <w:rPr>
          <w:rStyle w:val="CharSectno"/>
        </w:rPr>
        <w:t>27</w:t>
      </w:r>
      <w:r>
        <w:rPr>
          <w:snapToGrid w:val="0"/>
        </w:rPr>
        <w:t>.</w:t>
      </w:r>
      <w:r>
        <w:rPr>
          <w:snapToGrid w:val="0"/>
        </w:rPr>
        <w:tab/>
        <w:t>Reports</w:t>
      </w:r>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pPr>
        <w:pStyle w:val="Subsection"/>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pPr>
        <w:pStyle w:val="Subsection"/>
        <w:rPr>
          <w:snapToGrid w:val="0"/>
        </w:rPr>
      </w:pPr>
      <w:r>
        <w:rPr>
          <w:snapToGrid w:val="0"/>
        </w:rPr>
        <w:tab/>
        <w:t>(4)</w:t>
      </w:r>
      <w:r>
        <w:rPr>
          <w:snapToGrid w:val="0"/>
        </w:rPr>
        <w:tab/>
        <w:t>Where a recommendation made under subsection (3) regarding a death of a person held in care is relevant to the operation of an agency, the State Coroner must inform that agency in writing of the recommendation.</w:t>
      </w:r>
    </w:p>
    <w:p>
      <w:pPr>
        <w:pStyle w:val="Subsection"/>
        <w:rPr>
          <w:snapToGrid w:val="0"/>
        </w:rPr>
      </w:pPr>
      <w:r>
        <w:rPr>
          <w:snapToGrid w:val="0"/>
        </w:rPr>
        <w:tab/>
        <w:t>(5)</w:t>
      </w:r>
      <w:r>
        <w:rPr>
          <w:snapToGrid w:val="0"/>
        </w:rPr>
        <w:tab/>
        <w:t>A coroner may report to — </w:t>
      </w:r>
    </w:p>
    <w:p>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pPr>
        <w:pStyle w:val="Footnotesection"/>
      </w:pPr>
      <w:r>
        <w:tab/>
        <w:t>[Section 27 amended by No. 15 of 2003 s. 10.]</w:t>
      </w:r>
    </w:p>
    <w:p>
      <w:pPr>
        <w:pStyle w:val="Heading5"/>
        <w:rPr>
          <w:snapToGrid w:val="0"/>
        </w:rPr>
      </w:pPr>
      <w:bookmarkStart w:id="321" w:name="_Toc507474213"/>
      <w:bookmarkStart w:id="322" w:name="_Toc513604061"/>
      <w:bookmarkStart w:id="323" w:name="_Toc84823342"/>
      <w:bookmarkStart w:id="324" w:name="_Toc129058367"/>
      <w:bookmarkStart w:id="325" w:name="_Toc271188763"/>
      <w:r>
        <w:rPr>
          <w:rStyle w:val="CharSectno"/>
        </w:rPr>
        <w:t>28</w:t>
      </w:r>
      <w:r>
        <w:rPr>
          <w:snapToGrid w:val="0"/>
        </w:rPr>
        <w:t>.</w:t>
      </w:r>
      <w:r>
        <w:rPr>
          <w:snapToGrid w:val="0"/>
        </w:rPr>
        <w:tab/>
        <w:t xml:space="preserve">Notification of reported deaths to the Registrar </w:t>
      </w:r>
      <w:bookmarkEnd w:id="321"/>
      <w:bookmarkEnd w:id="322"/>
      <w:r>
        <w:rPr>
          <w:snapToGrid w:val="0"/>
        </w:rPr>
        <w:t>of Births, Deaths and Marriages</w:t>
      </w:r>
      <w:bookmarkEnd w:id="323"/>
      <w:bookmarkEnd w:id="324"/>
      <w:bookmarkEnd w:id="325"/>
    </w:p>
    <w:p>
      <w:pPr>
        <w:pStyle w:val="Subsection"/>
        <w:rPr>
          <w:snapToGrid w:val="0"/>
        </w:rPr>
      </w:pPr>
      <w:r>
        <w:rPr>
          <w:snapToGrid w:val="0"/>
        </w:rPr>
        <w:tab/>
        <w:t>(1)</w:t>
      </w:r>
      <w:r>
        <w:rPr>
          <w:snapToGrid w:val="0"/>
        </w:rPr>
        <w:tab/>
        <w:t>A coroner investigating a death must notify the Registrar of Births, Deaths and Marriages as soon as possible of the particulars found by the coroner which are needed to register the death.</w:t>
      </w:r>
    </w:p>
    <w:p>
      <w:pPr>
        <w:pStyle w:val="Subsection"/>
        <w:rPr>
          <w:snapToGrid w:val="0"/>
        </w:rPr>
      </w:pPr>
      <w:r>
        <w:rPr>
          <w:snapToGrid w:val="0"/>
        </w:rPr>
        <w:tab/>
        <w:t>(2)</w:t>
      </w:r>
      <w:r>
        <w:rPr>
          <w:snapToGrid w:val="0"/>
        </w:rPr>
        <w:tab/>
        <w:t>If a coroner believes — </w:t>
      </w:r>
    </w:p>
    <w:p>
      <w:pPr>
        <w:pStyle w:val="Indenta"/>
        <w:rPr>
          <w:snapToGrid w:val="0"/>
        </w:rPr>
      </w:pPr>
      <w:r>
        <w:rPr>
          <w:snapToGrid w:val="0"/>
        </w:rPr>
        <w:tab/>
        <w:t>(a)</w:t>
      </w:r>
      <w:r>
        <w:rPr>
          <w:snapToGrid w:val="0"/>
        </w:rPr>
        <w:tab/>
        <w:t>that there will be a delay in concluding an investigation; and</w:t>
      </w:r>
    </w:p>
    <w:p>
      <w:pPr>
        <w:pStyle w:val="Indenta"/>
        <w:rPr>
          <w:snapToGrid w:val="0"/>
        </w:rPr>
      </w:pPr>
      <w:r>
        <w:rPr>
          <w:snapToGrid w:val="0"/>
        </w:rPr>
        <w:tab/>
        <w:t>(b)</w:t>
      </w:r>
      <w:r>
        <w:rPr>
          <w:snapToGrid w:val="0"/>
        </w:rPr>
        <w:tab/>
        <w:t>that there is sufficient evidence to determine the identity of the deceased and the date, place and cause of death,</w:t>
      </w:r>
    </w:p>
    <w:p>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pPr>
        <w:pStyle w:val="Footnotesection"/>
      </w:pPr>
      <w:r>
        <w:tab/>
        <w:t>[Section 28 amended by No. 40 of 1998 s. 8(5) and (6).]</w:t>
      </w:r>
    </w:p>
    <w:p>
      <w:pPr>
        <w:pStyle w:val="Heading5"/>
        <w:rPr>
          <w:snapToGrid w:val="0"/>
        </w:rPr>
      </w:pPr>
      <w:bookmarkStart w:id="326" w:name="_Toc507474214"/>
      <w:bookmarkStart w:id="327" w:name="_Toc513604062"/>
      <w:bookmarkStart w:id="328" w:name="_Toc84823343"/>
      <w:bookmarkStart w:id="329" w:name="_Toc129058368"/>
      <w:bookmarkStart w:id="330" w:name="_Toc271188764"/>
      <w:r>
        <w:rPr>
          <w:rStyle w:val="CharSectno"/>
        </w:rPr>
        <w:t>29</w:t>
      </w:r>
      <w:r>
        <w:rPr>
          <w:snapToGrid w:val="0"/>
        </w:rPr>
        <w:t>.</w:t>
      </w:r>
      <w:r>
        <w:rPr>
          <w:snapToGrid w:val="0"/>
        </w:rPr>
        <w:tab/>
        <w:t>Certificate of disposal of body</w:t>
      </w:r>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pPr>
        <w:pStyle w:val="Subsection"/>
        <w:keepNext/>
      </w:pPr>
      <w:r>
        <w:rPr>
          <w:snapToGrid w:val="0"/>
        </w:rPr>
        <w:tab/>
        <w:t>(2)</w:t>
      </w:r>
      <w:r>
        <w:rPr>
          <w:snapToGrid w:val="0"/>
        </w:rPr>
        <w:tab/>
        <w:t>A certificate under subsection (1) must not be issued until</w:t>
      </w:r>
      <w:r>
        <w:t> —</w:t>
      </w:r>
    </w:p>
    <w:p>
      <w:pPr>
        <w:pStyle w:val="Indenta"/>
      </w:pPr>
      <w:r>
        <w:tab/>
        <w:t>(a)</w:t>
      </w:r>
      <w:r>
        <w:tab/>
        <w:t>an application made under section 36(3) is disposed of;</w:t>
      </w:r>
    </w:p>
    <w:p>
      <w:pPr>
        <w:pStyle w:val="Indenta"/>
      </w:pPr>
      <w:r>
        <w:tab/>
        <w:t>(b)</w:t>
      </w:r>
      <w:r>
        <w:tab/>
        <w:t>the time specified in section 36(3) for making an application has expired; or</w:t>
      </w:r>
    </w:p>
    <w:p>
      <w:pPr>
        <w:pStyle w:val="Indenta"/>
      </w:pPr>
      <w:r>
        <w:tab/>
        <w:t>(c)</w:t>
      </w:r>
      <w:r>
        <w:tab/>
        <w:t>if the coroner investigating the death has notice that an application has been made under section 36(3a) for an extension of time, the application is disposed of or any extension of time granted under section 36(3a) has expired.</w:t>
      </w:r>
    </w:p>
    <w:p>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pPr>
        <w:pStyle w:val="Footnotesection"/>
      </w:pPr>
      <w:r>
        <w:tab/>
        <w:t>[Section 29 amended by No. 8 of 2000 s. 6.]</w:t>
      </w:r>
    </w:p>
    <w:p>
      <w:pPr>
        <w:pStyle w:val="Heading5"/>
        <w:rPr>
          <w:snapToGrid w:val="0"/>
        </w:rPr>
      </w:pPr>
      <w:bookmarkStart w:id="331" w:name="_Toc507474215"/>
      <w:bookmarkStart w:id="332" w:name="_Toc513604063"/>
      <w:bookmarkStart w:id="333" w:name="_Toc84823344"/>
      <w:bookmarkStart w:id="334" w:name="_Toc129058369"/>
      <w:bookmarkStart w:id="335" w:name="_Toc271188765"/>
      <w:r>
        <w:rPr>
          <w:rStyle w:val="CharSectno"/>
        </w:rPr>
        <w:t>30</w:t>
      </w:r>
      <w:r>
        <w:rPr>
          <w:snapToGrid w:val="0"/>
        </w:rPr>
        <w:t>.</w:t>
      </w:r>
      <w:r>
        <w:rPr>
          <w:snapToGrid w:val="0"/>
        </w:rPr>
        <w:tab/>
        <w:t>Control of body</w:t>
      </w:r>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pPr>
        <w:pStyle w:val="Heading5"/>
        <w:rPr>
          <w:snapToGrid w:val="0"/>
        </w:rPr>
      </w:pPr>
      <w:bookmarkStart w:id="336" w:name="_Toc507474216"/>
      <w:bookmarkStart w:id="337" w:name="_Toc513604064"/>
      <w:bookmarkStart w:id="338" w:name="_Toc84823345"/>
      <w:bookmarkStart w:id="339" w:name="_Toc129058370"/>
      <w:bookmarkStart w:id="340" w:name="_Toc271188766"/>
      <w:r>
        <w:rPr>
          <w:rStyle w:val="CharSectno"/>
        </w:rPr>
        <w:t>31</w:t>
      </w:r>
      <w:r>
        <w:rPr>
          <w:snapToGrid w:val="0"/>
        </w:rPr>
        <w:t>.</w:t>
      </w:r>
      <w:r>
        <w:rPr>
          <w:snapToGrid w:val="0"/>
        </w:rPr>
        <w:tab/>
        <w:t>Aid to coroners in other places</w:t>
      </w:r>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pPr>
        <w:pStyle w:val="Subsection"/>
        <w:rPr>
          <w:snapToGrid w:val="0"/>
        </w:rPr>
      </w:pPr>
      <w:r>
        <w:rPr>
          <w:snapToGrid w:val="0"/>
        </w:rPr>
        <w:tab/>
        <w:t>(2)</w:t>
      </w:r>
      <w:r>
        <w:rPr>
          <w:snapToGrid w:val="0"/>
        </w:rPr>
        <w:tab/>
        <w:t>If the Attorney General so directs, the State Coroner must use any of the powers of a coroner under this Act to help a coroner of another State or a Territory to investigate a death.</w:t>
      </w:r>
    </w:p>
    <w:p>
      <w:pPr>
        <w:pStyle w:val="Heading3"/>
        <w:rPr>
          <w:snapToGrid w:val="0"/>
        </w:rPr>
      </w:pPr>
      <w:bookmarkStart w:id="341" w:name="_Toc72892623"/>
      <w:bookmarkStart w:id="342" w:name="_Toc84823346"/>
      <w:bookmarkStart w:id="343" w:name="_Toc84823481"/>
      <w:bookmarkStart w:id="344" w:name="_Toc84823562"/>
      <w:bookmarkStart w:id="345" w:name="_Toc84823643"/>
      <w:bookmarkStart w:id="346" w:name="_Toc89507953"/>
      <w:bookmarkStart w:id="347" w:name="_Toc101346708"/>
      <w:bookmarkStart w:id="348" w:name="_Toc101346861"/>
      <w:bookmarkStart w:id="349" w:name="_Toc103588801"/>
      <w:bookmarkStart w:id="350" w:name="_Toc104197035"/>
      <w:bookmarkStart w:id="351" w:name="_Toc104197656"/>
      <w:bookmarkStart w:id="352" w:name="_Toc104784950"/>
      <w:bookmarkStart w:id="353" w:name="_Toc104869514"/>
      <w:bookmarkStart w:id="354" w:name="_Toc107287679"/>
      <w:bookmarkStart w:id="355" w:name="_Toc128390223"/>
      <w:bookmarkStart w:id="356" w:name="_Toc129058371"/>
      <w:bookmarkStart w:id="357" w:name="_Toc199670489"/>
      <w:bookmarkStart w:id="358" w:name="_Toc215478069"/>
      <w:bookmarkStart w:id="359" w:name="_Toc223842779"/>
      <w:bookmarkStart w:id="360" w:name="_Toc271188767"/>
      <w:r>
        <w:rPr>
          <w:rStyle w:val="CharDivNo"/>
        </w:rPr>
        <w:t>Division 2</w:t>
      </w:r>
      <w:r>
        <w:rPr>
          <w:snapToGrid w:val="0"/>
        </w:rPr>
        <w:t> — </w:t>
      </w:r>
      <w:r>
        <w:rPr>
          <w:rStyle w:val="CharDivText"/>
        </w:rPr>
        <w:t>Powers of investigation</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DivText"/>
        </w:rPr>
        <w:t xml:space="preserve"> </w:t>
      </w:r>
    </w:p>
    <w:p>
      <w:pPr>
        <w:pStyle w:val="Heading5"/>
        <w:rPr>
          <w:snapToGrid w:val="0"/>
        </w:rPr>
      </w:pPr>
      <w:bookmarkStart w:id="361" w:name="_Toc507474217"/>
      <w:bookmarkStart w:id="362" w:name="_Toc513604065"/>
      <w:bookmarkStart w:id="363" w:name="_Toc84823347"/>
      <w:bookmarkStart w:id="364" w:name="_Toc129058372"/>
      <w:bookmarkStart w:id="365" w:name="_Toc271188768"/>
      <w:r>
        <w:rPr>
          <w:rStyle w:val="CharSectno"/>
        </w:rPr>
        <w:t>32</w:t>
      </w:r>
      <w:r>
        <w:rPr>
          <w:snapToGrid w:val="0"/>
        </w:rPr>
        <w:t>.</w:t>
      </w:r>
      <w:r>
        <w:rPr>
          <w:snapToGrid w:val="0"/>
        </w:rPr>
        <w:tab/>
        <w:t>Restriction of access to area</w:t>
      </w:r>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A coroner, or coroner’s investigator, investigating a death may take reasonable steps to restrict access to the place where the death occurred, or the place where the event which caused or contributed to the death occurred.</w:t>
      </w:r>
    </w:p>
    <w:p>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pPr>
        <w:pStyle w:val="Subsection"/>
        <w:rPr>
          <w:snapToGrid w:val="0"/>
        </w:rPr>
      </w:pPr>
      <w:r>
        <w:rPr>
          <w:snapToGrid w:val="0"/>
        </w:rPr>
        <w:tab/>
        <w:t>(4)</w:t>
      </w:r>
      <w:r>
        <w:rPr>
          <w:snapToGrid w:val="0"/>
        </w:rPr>
        <w:tab/>
        <w:t>A prescribed notice may be put up at the place to which access is to be restricted.</w:t>
      </w:r>
    </w:p>
    <w:p>
      <w:pPr>
        <w:pStyle w:val="Subsection"/>
        <w:rPr>
          <w:snapToGrid w:val="0"/>
        </w:rPr>
      </w:pPr>
      <w:r>
        <w:rPr>
          <w:snapToGrid w:val="0"/>
        </w:rPr>
        <w:tab/>
        <w:t>(5)</w:t>
      </w:r>
      <w:r>
        <w:rPr>
          <w:snapToGrid w:val="0"/>
        </w:rPr>
        <w:tab/>
        <w:t>A person must not without good cause enter or interfere with an area to which access is restricted under this section.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coroner is to ensure that access to an area is not restricted for any longer than necessary.</w:t>
      </w:r>
    </w:p>
    <w:p>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pPr>
        <w:pStyle w:val="Heading5"/>
        <w:rPr>
          <w:snapToGrid w:val="0"/>
        </w:rPr>
      </w:pPr>
      <w:bookmarkStart w:id="366" w:name="_Toc507474218"/>
      <w:bookmarkStart w:id="367" w:name="_Toc513604066"/>
      <w:bookmarkStart w:id="368" w:name="_Toc84823348"/>
      <w:bookmarkStart w:id="369" w:name="_Toc129058373"/>
      <w:bookmarkStart w:id="370" w:name="_Toc271188769"/>
      <w:r>
        <w:rPr>
          <w:rStyle w:val="CharSectno"/>
        </w:rPr>
        <w:t>33</w:t>
      </w:r>
      <w:r>
        <w:rPr>
          <w:snapToGrid w:val="0"/>
        </w:rPr>
        <w:t>.</w:t>
      </w:r>
      <w:r>
        <w:rPr>
          <w:snapToGrid w:val="0"/>
        </w:rPr>
        <w:tab/>
        <w:t>Powers of entry, inspection and possession</w:t>
      </w:r>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A coroner who has jurisdiction to investigate a death may, with any help thought fit — </w:t>
      </w:r>
    </w:p>
    <w:p>
      <w:pPr>
        <w:pStyle w:val="Indenta"/>
        <w:rPr>
          <w:snapToGrid w:val="0"/>
        </w:rPr>
      </w:pPr>
      <w:r>
        <w:rPr>
          <w:snapToGrid w:val="0"/>
        </w:rPr>
        <w:tab/>
        <w:t>(a)</w:t>
      </w:r>
      <w:r>
        <w:rPr>
          <w:snapToGrid w:val="0"/>
        </w:rPr>
        <w:tab/>
        <w:t>enter and inspect any place and anything in it;</w:t>
      </w:r>
    </w:p>
    <w:p>
      <w:pPr>
        <w:pStyle w:val="Indenta"/>
        <w:rPr>
          <w:snapToGrid w:val="0"/>
        </w:rPr>
      </w:pPr>
      <w:r>
        <w:rPr>
          <w:snapToGrid w:val="0"/>
        </w:rPr>
        <w:tab/>
        <w:t>(b)</w:t>
      </w:r>
      <w:r>
        <w:rPr>
          <w:snapToGrid w:val="0"/>
        </w:rPr>
        <w:tab/>
        <w:t>take a copy of any document relevant to the investigation; and</w:t>
      </w:r>
    </w:p>
    <w:p>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pPr>
        <w:pStyle w:val="Subsection"/>
      </w:pPr>
      <w:r>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pPr>
        <w:pStyle w:val="Indenta"/>
      </w:pPr>
      <w:r>
        <w:tab/>
        <w:t>(a)</w:t>
      </w:r>
      <w:r>
        <w:tab/>
        <w:t>enter the place where the body is or where, in the opinion of the coroner’s investigator, the death, or the event which caused or contributed to the death, occurred;</w:t>
      </w:r>
    </w:p>
    <w:p>
      <w:pPr>
        <w:pStyle w:val="Indenta"/>
      </w:pPr>
      <w:r>
        <w:tab/>
        <w:t>(b)</w:t>
      </w:r>
      <w:r>
        <w:tab/>
        <w:t>inspect the place where the body is or where, in the opinion of the coroner’s investigator, the death, or the event which caused or contributed to the death, occurred; and</w:t>
      </w:r>
    </w:p>
    <w:p>
      <w:pPr>
        <w:pStyle w:val="Indenta"/>
      </w:pPr>
      <w:r>
        <w:tab/>
        <w:t>(c)</w:t>
      </w:r>
      <w:r>
        <w:tab/>
        <w:t>take possession of anything which the coroner’s investigator reasonably believes is directly relevant to an investigation of the death.</w:t>
      </w:r>
    </w:p>
    <w:p>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pPr>
        <w:pStyle w:val="Subsection"/>
        <w:spacing w:before="200"/>
      </w:pPr>
      <w:r>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other person at the place, produce for inspection by that person — </w:t>
      </w:r>
    </w:p>
    <w:p>
      <w:pPr>
        <w:pStyle w:val="Indenta"/>
      </w:pPr>
      <w:r>
        <w:tab/>
        <w:t>(a)</w:t>
      </w:r>
      <w:r>
        <w:tab/>
        <w:t>in the case of a member of the Police Force, written evidence of the fact that he or she is a member of the Police Force; or</w:t>
      </w:r>
    </w:p>
    <w:p>
      <w:pPr>
        <w:pStyle w:val="Indenta"/>
      </w:pPr>
      <w:r>
        <w:tab/>
        <w:t>(b)</w:t>
      </w:r>
      <w:r>
        <w:tab/>
        <w:t>in any other case, his or her identity card.</w:t>
      </w:r>
    </w:p>
    <w:p>
      <w:pPr>
        <w:pStyle w:val="Subsection"/>
        <w:rPr>
          <w:snapToGrid w:val="0"/>
        </w:rPr>
      </w:pPr>
      <w:r>
        <w:rPr>
          <w:snapToGrid w:val="0"/>
        </w:rPr>
        <w:tab/>
        <w:t>(3)</w:t>
      </w:r>
      <w:r>
        <w:rPr>
          <w:snapToGrid w:val="0"/>
        </w:rPr>
        <w:tab/>
        <w:t>A coroner may, if the coroner reasonably believes it is necessary for the investigation, in writing authorise a coroner’s investigator at or between specified times during a specified period (not exceeding one month after the authority is given) — </w:t>
      </w:r>
    </w:p>
    <w:p>
      <w:pPr>
        <w:pStyle w:val="Indenta"/>
        <w:rPr>
          <w:snapToGrid w:val="0"/>
        </w:rPr>
      </w:pPr>
      <w:r>
        <w:rPr>
          <w:snapToGrid w:val="0"/>
        </w:rPr>
        <w:tab/>
        <w:t>(a)</w:t>
      </w:r>
      <w:r>
        <w:rPr>
          <w:snapToGrid w:val="0"/>
        </w:rPr>
        <w:tab/>
        <w:t>to enter a specified place;</w:t>
      </w:r>
    </w:p>
    <w:p>
      <w:pPr>
        <w:pStyle w:val="Indenta"/>
        <w:rPr>
          <w:snapToGrid w:val="0"/>
        </w:rPr>
      </w:pPr>
      <w:r>
        <w:rPr>
          <w:snapToGrid w:val="0"/>
        </w:rPr>
        <w:tab/>
        <w:t>(b)</w:t>
      </w:r>
      <w:r>
        <w:rPr>
          <w:snapToGrid w:val="0"/>
        </w:rPr>
        <w:tab/>
        <w:t>to inspect a specified place and anything in it;</w:t>
      </w:r>
    </w:p>
    <w:p>
      <w:pPr>
        <w:pStyle w:val="Indenta"/>
        <w:rPr>
          <w:snapToGrid w:val="0"/>
        </w:rPr>
      </w:pPr>
      <w:r>
        <w:rPr>
          <w:snapToGrid w:val="0"/>
        </w:rPr>
        <w:tab/>
        <w:t>(c)</w:t>
      </w:r>
      <w:r>
        <w:rPr>
          <w:snapToGrid w:val="0"/>
        </w:rPr>
        <w:tab/>
        <w:t>to take a copy of specified documents or classes of documents; and</w:t>
      </w:r>
    </w:p>
    <w:p>
      <w:pPr>
        <w:pStyle w:val="Indenta"/>
        <w:rPr>
          <w:snapToGrid w:val="0"/>
        </w:rPr>
      </w:pPr>
      <w:r>
        <w:rPr>
          <w:snapToGrid w:val="0"/>
        </w:rPr>
        <w:tab/>
        <w:t>(d)</w:t>
      </w:r>
      <w:r>
        <w:rPr>
          <w:snapToGrid w:val="0"/>
        </w:rPr>
        <w:tab/>
        <w:t>to take possession of specified things or classes of things.</w:t>
      </w:r>
    </w:p>
    <w:p>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pPr>
        <w:pStyle w:val="Subsection"/>
        <w:rPr>
          <w:snapToGrid w:val="0"/>
        </w:rPr>
      </w:pPr>
      <w:r>
        <w:rPr>
          <w:snapToGrid w:val="0"/>
        </w:rPr>
        <w:tab/>
        <w:t>(6)</w:t>
      </w:r>
      <w:r>
        <w:rPr>
          <w:snapToGrid w:val="0"/>
        </w:rPr>
        <w:tab/>
        <w:t>A person must comply with an undertaking concerning release.</w:t>
      </w:r>
    </w:p>
    <w:p>
      <w:pPr>
        <w:pStyle w:val="Penstart"/>
        <w:rPr>
          <w:snapToGrid w:val="0"/>
        </w:rPr>
      </w:pPr>
      <w:r>
        <w:rPr>
          <w:snapToGrid w:val="0"/>
        </w:rPr>
        <w:tab/>
        <w:t xml:space="preserve">Penalty for an offence against this subsection: $2 000. </w:t>
      </w:r>
    </w:p>
    <w:p>
      <w:pPr>
        <w:pStyle w:val="Subsection"/>
      </w:pPr>
      <w:r>
        <w:tab/>
        <w:t>(7)</w:t>
      </w:r>
      <w:r>
        <w:tab/>
        <w:t>A person must not delay, obstruct or otherwise hinder a coroner or a coroner’s investigator exercising a power under this section.</w:t>
      </w:r>
    </w:p>
    <w:p>
      <w:pPr>
        <w:pStyle w:val="Penstart"/>
      </w:pPr>
      <w:r>
        <w:tab/>
        <w:t>Penalty: $2 000.</w:t>
      </w:r>
    </w:p>
    <w:p>
      <w:pPr>
        <w:pStyle w:val="Subsection"/>
      </w:pPr>
      <w:r>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pPr>
        <w:pStyle w:val="Footnotesection"/>
      </w:pPr>
      <w:r>
        <w:tab/>
        <w:t>[Section 33 amended by No. 15 of 2003 s. 11.]</w:t>
      </w:r>
    </w:p>
    <w:p>
      <w:pPr>
        <w:pStyle w:val="Heading5"/>
        <w:rPr>
          <w:snapToGrid w:val="0"/>
        </w:rPr>
      </w:pPr>
      <w:bookmarkStart w:id="371" w:name="_Toc507474219"/>
      <w:bookmarkStart w:id="372" w:name="_Toc513604067"/>
      <w:bookmarkStart w:id="373" w:name="_Toc84823349"/>
      <w:bookmarkStart w:id="374" w:name="_Toc129058374"/>
      <w:bookmarkStart w:id="375" w:name="_Toc271188770"/>
      <w:r>
        <w:rPr>
          <w:rStyle w:val="CharSectno"/>
        </w:rPr>
        <w:t>34</w:t>
      </w:r>
      <w:r>
        <w:rPr>
          <w:snapToGrid w:val="0"/>
        </w:rPr>
        <w:t>.</w:t>
      </w:r>
      <w:r>
        <w:rPr>
          <w:snapToGrid w:val="0"/>
        </w:rPr>
        <w:tab/>
        <w:t>Post mortem examinations</w:t>
      </w:r>
      <w:bookmarkEnd w:id="371"/>
      <w:bookmarkEnd w:id="372"/>
      <w:bookmarkEnd w:id="373"/>
      <w:bookmarkEnd w:id="374"/>
      <w:bookmarkEnd w:id="375"/>
    </w:p>
    <w:p>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pPr>
        <w:pStyle w:val="Subsection"/>
        <w:rPr>
          <w:snapToGrid w:val="0"/>
        </w:rPr>
      </w:pPr>
      <w:r>
        <w:rPr>
          <w:snapToGrid w:val="0"/>
        </w:rPr>
        <w:tab/>
        <w:t>(3)</w:t>
      </w:r>
      <w:r>
        <w:rPr>
          <w:snapToGrid w:val="0"/>
        </w:rPr>
        <w:tab/>
        <w:t>The pathologist or doctor performing the post mortem examination may cause tissue to be removed from the body — </w:t>
      </w:r>
    </w:p>
    <w:p>
      <w:pPr>
        <w:pStyle w:val="Indenta"/>
        <w:rPr>
          <w:snapToGrid w:val="0"/>
        </w:rPr>
      </w:pPr>
      <w:r>
        <w:rPr>
          <w:snapToGrid w:val="0"/>
        </w:rPr>
        <w:tab/>
        <w:t>(a)</w:t>
      </w:r>
      <w:r>
        <w:rPr>
          <w:snapToGrid w:val="0"/>
        </w:rPr>
        <w:tab/>
        <w:t>in accordance with a direction under subsection (2);</w:t>
      </w:r>
    </w:p>
    <w:p>
      <w:pPr>
        <w:pStyle w:val="Indenta"/>
        <w:rPr>
          <w:snapToGrid w:val="0"/>
        </w:rPr>
      </w:pPr>
      <w:r>
        <w:rPr>
          <w:snapToGrid w:val="0"/>
        </w:rPr>
        <w:tab/>
        <w:t>(b)</w:t>
      </w:r>
      <w:r>
        <w:rPr>
          <w:snapToGrid w:val="0"/>
        </w:rPr>
        <w:tab/>
        <w:t>in accordance with the written permission of the deceased; or</w:t>
      </w:r>
    </w:p>
    <w:p>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pPr>
        <w:pStyle w:val="Subsection"/>
        <w:rPr>
          <w:snapToGrid w:val="0"/>
        </w:rPr>
      </w:pPr>
      <w:r>
        <w:rPr>
          <w:snapToGrid w:val="0"/>
        </w:rPr>
        <w:tab/>
        <w:t>(4)</w:t>
      </w:r>
      <w:r>
        <w:rPr>
          <w:snapToGrid w:val="0"/>
        </w:rPr>
        <w:tab/>
        <w:t>The coroner may direct the pathologist or doctor performing the post mortem examination not to cause tissue to be removed as authorised under subsection (3)(c) if the coroner is satisfied that the removal would be contrary to or inconsistent with wishes expressed in writing by the deceased.</w:t>
      </w:r>
    </w:p>
    <w:p>
      <w:pPr>
        <w:pStyle w:val="Subsection"/>
        <w:keepNext/>
        <w:rPr>
          <w:snapToGrid w:val="0"/>
        </w:rPr>
      </w:pPr>
      <w:r>
        <w:rPr>
          <w:snapToGrid w:val="0"/>
        </w:rPr>
        <w:tab/>
        <w:t>(5)</w:t>
      </w:r>
      <w:r>
        <w:rPr>
          <w:snapToGrid w:val="0"/>
        </w:rPr>
        <w:tab/>
        <w:t>Where a post mortem examination is performed under this Act a person who causes tissue to be removed from the body — </w:t>
      </w:r>
    </w:p>
    <w:p>
      <w:pPr>
        <w:pStyle w:val="Indenta"/>
        <w:rPr>
          <w:snapToGrid w:val="0"/>
        </w:rPr>
      </w:pPr>
      <w:r>
        <w:rPr>
          <w:snapToGrid w:val="0"/>
        </w:rPr>
        <w:tab/>
        <w:t>(a)</w:t>
      </w:r>
      <w:r>
        <w:rPr>
          <w:snapToGrid w:val="0"/>
        </w:rPr>
        <w:tab/>
        <w:t>otherwise than as authorised under subsection (3); or</w:t>
      </w:r>
    </w:p>
    <w:p>
      <w:pPr>
        <w:pStyle w:val="Indenta"/>
        <w:rPr>
          <w:snapToGrid w:val="0"/>
        </w:rPr>
      </w:pPr>
      <w:r>
        <w:rPr>
          <w:snapToGrid w:val="0"/>
        </w:rPr>
        <w:tab/>
        <w:t>(b)</w:t>
      </w:r>
      <w:r>
        <w:rPr>
          <w:snapToGrid w:val="0"/>
        </w:rPr>
        <w:tab/>
        <w:t>contrary to a direction of a coroner under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(6)</w:t>
      </w:r>
      <w:r>
        <w:rPr>
          <w:snapToGrid w:val="0"/>
        </w:rPr>
        <w:tab/>
        <w:t>Tissue removed under subsection (2) is to be dealt with in accordance with the coroner’s directions and any relevant guidelines.</w:t>
      </w:r>
    </w:p>
    <w:p>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pPr>
        <w:pStyle w:val="Heading5"/>
        <w:rPr>
          <w:snapToGrid w:val="0"/>
        </w:rPr>
      </w:pPr>
      <w:bookmarkStart w:id="376" w:name="_Toc507474220"/>
      <w:bookmarkStart w:id="377" w:name="_Toc513604068"/>
      <w:bookmarkStart w:id="378" w:name="_Toc84823350"/>
      <w:bookmarkStart w:id="379" w:name="_Toc129058375"/>
      <w:bookmarkStart w:id="380" w:name="_Toc271188771"/>
      <w:r>
        <w:rPr>
          <w:rStyle w:val="CharSectno"/>
        </w:rPr>
        <w:t>35</w:t>
      </w:r>
      <w:r>
        <w:rPr>
          <w:snapToGrid w:val="0"/>
        </w:rPr>
        <w:t>.</w:t>
      </w:r>
      <w:r>
        <w:rPr>
          <w:snapToGrid w:val="0"/>
        </w:rPr>
        <w:tab/>
        <w:t>Independent doctor at post mortem examination</w:t>
      </w:r>
      <w:bookmarkEnd w:id="376"/>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pPr>
        <w:pStyle w:val="Heading5"/>
        <w:rPr>
          <w:snapToGrid w:val="0"/>
        </w:rPr>
      </w:pPr>
      <w:bookmarkStart w:id="381" w:name="_Toc507474221"/>
      <w:bookmarkStart w:id="382" w:name="_Toc513604069"/>
      <w:bookmarkStart w:id="383" w:name="_Toc84823351"/>
      <w:bookmarkStart w:id="384" w:name="_Toc129058376"/>
      <w:bookmarkStart w:id="385" w:name="_Toc271188772"/>
      <w:r>
        <w:rPr>
          <w:rStyle w:val="CharSectno"/>
        </w:rPr>
        <w:t>36</w:t>
      </w:r>
      <w:r>
        <w:rPr>
          <w:snapToGrid w:val="0"/>
        </w:rPr>
        <w:t>.</w:t>
      </w:r>
      <w:r>
        <w:rPr>
          <w:snapToGrid w:val="0"/>
        </w:rPr>
        <w:tab/>
        <w:t>Application for post mortem examination</w:t>
      </w:r>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pPr>
        <w:pStyle w:val="Subsection"/>
        <w:rPr>
          <w:snapToGrid w:val="0"/>
        </w:rPr>
      </w:pPr>
      <w:r>
        <w:rPr>
          <w:snapToGrid w:val="0"/>
        </w:rPr>
        <w:tab/>
        <w:t>(2)</w:t>
      </w:r>
      <w:r>
        <w:rPr>
          <w:snapToGrid w:val="0"/>
        </w:rPr>
        <w:tab/>
        <w:t>If the coroner refuses the person’s request, the coroner must immediately give to the person and to the State Coroner, reasons for the refusal.</w:t>
      </w:r>
    </w:p>
    <w:p>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Supreme Court, </w:t>
      </w:r>
      <w:r>
        <w:rPr>
          <w:snapToGrid w:val="0"/>
        </w:rPr>
        <w:t>the person may apply to the Supreme Court for an order that a post mortem examination be performed.</w:t>
      </w:r>
    </w:p>
    <w:p>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If the Supreme Court is satisfied that it is desirable in all the circumstances, it may make an order — </w:t>
      </w:r>
    </w:p>
    <w:p>
      <w:pPr>
        <w:pStyle w:val="Indenta"/>
        <w:rPr>
          <w:snapToGrid w:val="0"/>
        </w:rPr>
      </w:pPr>
      <w:r>
        <w:rPr>
          <w:snapToGrid w:val="0"/>
        </w:rPr>
        <w:tab/>
        <w:t>(a)</w:t>
      </w:r>
      <w:r>
        <w:rPr>
          <w:snapToGrid w:val="0"/>
        </w:rPr>
        <w:tab/>
        <w:t>directing the State Coroner to require a pathologist or a doctor to perform a post mortem examination; and</w:t>
      </w:r>
    </w:p>
    <w:p>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pPr>
        <w:pStyle w:val="Footnotesection"/>
      </w:pPr>
      <w:r>
        <w:tab/>
        <w:t>[Section 36 amended by No. 8 of 2000 s. 7.]</w:t>
      </w:r>
    </w:p>
    <w:p>
      <w:pPr>
        <w:pStyle w:val="Heading5"/>
        <w:rPr>
          <w:snapToGrid w:val="0"/>
        </w:rPr>
      </w:pPr>
      <w:bookmarkStart w:id="386" w:name="_Toc507474222"/>
      <w:bookmarkStart w:id="387" w:name="_Toc513604070"/>
      <w:bookmarkStart w:id="388" w:name="_Toc84823352"/>
      <w:bookmarkStart w:id="389" w:name="_Toc129058377"/>
      <w:bookmarkStart w:id="390" w:name="_Toc271188773"/>
      <w:r>
        <w:rPr>
          <w:rStyle w:val="CharSectno"/>
        </w:rPr>
        <w:t>37</w:t>
      </w:r>
      <w:r>
        <w:rPr>
          <w:snapToGrid w:val="0"/>
        </w:rPr>
        <w:t>.</w:t>
      </w:r>
      <w:r>
        <w:rPr>
          <w:snapToGrid w:val="0"/>
        </w:rPr>
        <w:tab/>
        <w:t>Objections to post mortem examinations</w:t>
      </w:r>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of the decision</w:t>
      </w:r>
      <w:r>
        <w:t xml:space="preserve"> or until after the end of any extension of time granted by the Supreme Court under subsection (3a)</w:t>
      </w:r>
      <w:r>
        <w:rPr>
          <w:snapToGrid w:val="0"/>
        </w:rPr>
        <w:t>.</w:t>
      </w:r>
    </w:p>
    <w:p>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pPr>
        <w:pStyle w:val="Subsection"/>
        <w:rPr>
          <w:snapToGrid w:val="0"/>
        </w:rPr>
      </w:pPr>
      <w:r>
        <w:rPr>
          <w:snapToGrid w:val="0"/>
        </w:rPr>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pPr>
        <w:pStyle w:val="Subsection"/>
        <w:rPr>
          <w:snapToGrid w:val="0"/>
        </w:rPr>
      </w:pPr>
      <w:r>
        <w:tab/>
        <w:t>(3a)</w:t>
      </w:r>
      <w:r>
        <w:tab/>
        <w:t>On the application of the senior next of kin, the Supreme Court may grant an extension of time within which the senior next of kin may apply to the Court for an order that no post mortem be performed if the post mortem examination has not been performed and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pPr>
        <w:pStyle w:val="Subsection"/>
      </w:pPr>
      <w:r>
        <w:tab/>
        <w:t>(5)</w:t>
      </w:r>
      <w:r>
        <w:tab/>
        <w:t xml:space="preserve">In this section, unless otherwise prescribed, </w:t>
      </w:r>
      <w:r>
        <w:rPr>
          <w:rStyle w:val="CharDefText"/>
        </w:rPr>
        <w:t>senior next of kin</w:t>
      </w:r>
      <w:r>
        <w:t xml:space="preserve"> in relation to the deceased person means the first person who is available from the following persons in the order of priority listed — </w:t>
      </w:r>
    </w:p>
    <w:p>
      <w:pPr>
        <w:pStyle w:val="Indenta"/>
      </w:pPr>
      <w:r>
        <w:tab/>
        <w:t>(a)</w:t>
      </w:r>
      <w:r>
        <w:tab/>
        <w:t xml:space="preserve">a person who, immediately before death, was living with the person and was either — </w:t>
      </w:r>
    </w:p>
    <w:p>
      <w:pPr>
        <w:pStyle w:val="Indenti"/>
      </w:pPr>
      <w:r>
        <w:tab/>
        <w:t>(i)</w:t>
      </w:r>
      <w:r>
        <w:tab/>
        <w:t xml:space="preserve">legally married to the person; or </w:t>
      </w:r>
    </w:p>
    <w:p>
      <w:pPr>
        <w:pStyle w:val="Indenti"/>
      </w:pPr>
      <w:r>
        <w:tab/>
        <w:t>(ii)</w:t>
      </w:r>
      <w:r>
        <w:tab/>
        <w:t>of or over the age of 18 years and in a marriage</w:t>
      </w:r>
      <w:r>
        <w:noBreakHyphen/>
        <w:t>like relationship (whether the persons are different sexes or the same sex) with the person;</w:t>
      </w:r>
    </w:p>
    <w:p>
      <w:pPr>
        <w:pStyle w:val="Indenta"/>
      </w:pPr>
      <w:r>
        <w:tab/>
        <w:t>(b)</w:t>
      </w:r>
      <w:r>
        <w:tab/>
        <w:t>a person who, immediately before death, was legally married to the person;</w:t>
      </w:r>
    </w:p>
    <w:p>
      <w:pPr>
        <w:pStyle w:val="Indenta"/>
      </w:pPr>
      <w:r>
        <w:tab/>
        <w:t>(c)</w:t>
      </w:r>
      <w:r>
        <w:tab/>
        <w:t>a son or daughter, who is of or over the age of 18 years, of the person;</w:t>
      </w:r>
    </w:p>
    <w:p>
      <w:pPr>
        <w:pStyle w:val="Indenta"/>
      </w:pPr>
      <w:r>
        <w:tab/>
        <w:t>(d)</w:t>
      </w:r>
      <w:r>
        <w:tab/>
        <w:t>a parent of the person;</w:t>
      </w:r>
    </w:p>
    <w:p>
      <w:pPr>
        <w:pStyle w:val="Indenta"/>
      </w:pPr>
      <w:r>
        <w:tab/>
        <w:t>(e)</w:t>
      </w:r>
      <w:r>
        <w:tab/>
        <w:t>a brother or sister, who is of or over the age of 18 years, of the person;</w:t>
      </w:r>
    </w:p>
    <w:p>
      <w:pPr>
        <w:pStyle w:val="Indenta"/>
      </w:pPr>
      <w:r>
        <w:tab/>
        <w:t>(f)</w:t>
      </w:r>
      <w:r>
        <w:tab/>
        <w:t>an executor named in the will of the person or a person who, immediately before the death, was a personal representative of the person; or</w:t>
      </w:r>
    </w:p>
    <w:p>
      <w:pPr>
        <w:pStyle w:val="Indenta"/>
      </w:pPr>
      <w:r>
        <w:tab/>
        <w:t>(g)</w:t>
      </w:r>
      <w:r>
        <w:tab/>
        <w:t>any person nominated by the person to be contacted in an emergency.</w:t>
      </w:r>
    </w:p>
    <w:p>
      <w:pPr>
        <w:pStyle w:val="Footnotesection"/>
      </w:pPr>
      <w:r>
        <w:tab/>
        <w:t>[Section 37 amended by No. 8 of 2000 s. 8; No. 15 of 2003 s. 12; No. 28 of 2003 s. 27.]</w:t>
      </w:r>
    </w:p>
    <w:p>
      <w:pPr>
        <w:pStyle w:val="Heading5"/>
        <w:rPr>
          <w:snapToGrid w:val="0"/>
        </w:rPr>
      </w:pPr>
      <w:bookmarkStart w:id="391" w:name="_Toc507474223"/>
      <w:bookmarkStart w:id="392" w:name="_Toc513604071"/>
      <w:bookmarkStart w:id="393" w:name="_Toc84823353"/>
      <w:bookmarkStart w:id="394" w:name="_Toc129058378"/>
      <w:bookmarkStart w:id="395" w:name="_Toc271188774"/>
      <w:r>
        <w:rPr>
          <w:rStyle w:val="CharSectno"/>
        </w:rPr>
        <w:t>38</w:t>
      </w:r>
      <w:r>
        <w:rPr>
          <w:snapToGrid w:val="0"/>
        </w:rPr>
        <w:t>.</w:t>
      </w:r>
      <w:r>
        <w:rPr>
          <w:snapToGrid w:val="0"/>
        </w:rPr>
        <w:tab/>
        <w:t>Exhumation</w:t>
      </w:r>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pPr>
        <w:pStyle w:val="Subsection"/>
        <w:rPr>
          <w:snapToGrid w:val="0"/>
        </w:rPr>
      </w:pPr>
      <w:r>
        <w:rPr>
          <w:snapToGrid w:val="0"/>
        </w:rPr>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pPr>
        <w:pStyle w:val="Subsection"/>
        <w:keepNext/>
      </w:pPr>
      <w:r>
        <w:rPr>
          <w:snapToGrid w:val="0"/>
        </w:rPr>
        <w:tab/>
        <w:t>(6)</w:t>
      </w:r>
      <w:r>
        <w:rPr>
          <w:snapToGrid w:val="0"/>
        </w:rPr>
        <w:tab/>
        <w:t xml:space="preserve">Where notice is given under subsection (5), the exhumation of the body must </w:t>
      </w:r>
      <w:r>
        <w:t>not take place —</w:t>
      </w:r>
    </w:p>
    <w:p>
      <w:pPr>
        <w:pStyle w:val="Indenta"/>
      </w:pPr>
      <w:r>
        <w:tab/>
        <w:t>(a)</w:t>
      </w:r>
      <w:r>
        <w:tab/>
        <w:t>until 2 clear working days after that notice is received by the senior next of kin; or</w:t>
      </w:r>
    </w:p>
    <w:p>
      <w:pPr>
        <w:pStyle w:val="Indenta"/>
        <w:rPr>
          <w:snapToGrid w:val="0"/>
        </w:rPr>
      </w:pPr>
      <w:r>
        <w:tab/>
        <w:t>(b)</w:t>
      </w:r>
      <w:r>
        <w:tab/>
        <w:t>if an application for an extension of time has been made, until the application is refused or the application for an order that the body not be exhumed is dealt with.</w:t>
      </w:r>
    </w:p>
    <w:p>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pPr>
        <w:pStyle w:val="Subsection"/>
        <w:rPr>
          <w:snapToGrid w:val="0"/>
        </w:rPr>
      </w:pPr>
      <w:r>
        <w:tab/>
        <w:t>(9)</w:t>
      </w:r>
      <w:r>
        <w:tab/>
        <w:t>This section does not apply if the Supreme Court by order under section 36(4)(b) directs that a body be exhumed.</w:t>
      </w:r>
    </w:p>
    <w:p>
      <w:pPr>
        <w:pStyle w:val="Footnotesection"/>
      </w:pPr>
      <w:r>
        <w:tab/>
        <w:t xml:space="preserve">[Section 38 amended by No. 14 of 1996 s. 4; No. 8 of 2000 s. 9; No. 15 of 2003 s. 13.] </w:t>
      </w:r>
    </w:p>
    <w:p>
      <w:pPr>
        <w:pStyle w:val="Heading2"/>
      </w:pPr>
      <w:bookmarkStart w:id="396" w:name="_Toc72892631"/>
      <w:bookmarkStart w:id="397" w:name="_Toc84823354"/>
      <w:bookmarkStart w:id="398" w:name="_Toc84823489"/>
      <w:bookmarkStart w:id="399" w:name="_Toc84823570"/>
      <w:bookmarkStart w:id="400" w:name="_Toc84823651"/>
      <w:bookmarkStart w:id="401" w:name="_Toc89507961"/>
      <w:bookmarkStart w:id="402" w:name="_Toc101346716"/>
      <w:bookmarkStart w:id="403" w:name="_Toc101346869"/>
      <w:bookmarkStart w:id="404" w:name="_Toc103588809"/>
      <w:bookmarkStart w:id="405" w:name="_Toc104197043"/>
      <w:bookmarkStart w:id="406" w:name="_Toc104197664"/>
      <w:bookmarkStart w:id="407" w:name="_Toc104784958"/>
      <w:bookmarkStart w:id="408" w:name="_Toc104869522"/>
      <w:bookmarkStart w:id="409" w:name="_Toc107287687"/>
      <w:bookmarkStart w:id="410" w:name="_Toc128390231"/>
      <w:bookmarkStart w:id="411" w:name="_Toc129058379"/>
      <w:bookmarkStart w:id="412" w:name="_Toc199670497"/>
      <w:bookmarkStart w:id="413" w:name="_Toc215478077"/>
      <w:bookmarkStart w:id="414" w:name="_Toc223842787"/>
      <w:bookmarkStart w:id="415" w:name="_Toc271188775"/>
      <w:r>
        <w:rPr>
          <w:rStyle w:val="CharPartNo"/>
        </w:rPr>
        <w:t>Part 5</w:t>
      </w:r>
      <w:r>
        <w:rPr>
          <w:rStyle w:val="CharDivNo"/>
        </w:rPr>
        <w:t> </w:t>
      </w:r>
      <w:r>
        <w:t>—</w:t>
      </w:r>
      <w:r>
        <w:rPr>
          <w:rStyle w:val="CharDivText"/>
        </w:rPr>
        <w:t> </w:t>
      </w:r>
      <w:r>
        <w:rPr>
          <w:rStyle w:val="CharPartText"/>
        </w:rPr>
        <w:t>Inquests into deaths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Pr>
          <w:rStyle w:val="CharPartText"/>
        </w:rPr>
        <w:t xml:space="preserve"> </w:t>
      </w:r>
    </w:p>
    <w:p>
      <w:pPr>
        <w:pStyle w:val="Heading5"/>
        <w:rPr>
          <w:snapToGrid w:val="0"/>
        </w:rPr>
      </w:pPr>
      <w:bookmarkStart w:id="416" w:name="_Toc507474224"/>
      <w:bookmarkStart w:id="417" w:name="_Toc513604072"/>
      <w:bookmarkStart w:id="418" w:name="_Toc84823355"/>
      <w:bookmarkStart w:id="419" w:name="_Toc129058380"/>
      <w:bookmarkStart w:id="420" w:name="_Toc271188776"/>
      <w:r>
        <w:rPr>
          <w:rStyle w:val="CharSectno"/>
        </w:rPr>
        <w:t>39</w:t>
      </w:r>
      <w:r>
        <w:rPr>
          <w:snapToGrid w:val="0"/>
        </w:rPr>
        <w:t>.</w:t>
      </w:r>
      <w:r>
        <w:rPr>
          <w:snapToGrid w:val="0"/>
        </w:rPr>
        <w:tab/>
        <w:t>Advertisement of an inquest</w:t>
      </w:r>
      <w:bookmarkEnd w:id="416"/>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pPr>
        <w:pStyle w:val="Heading5"/>
        <w:rPr>
          <w:snapToGrid w:val="0"/>
        </w:rPr>
      </w:pPr>
      <w:bookmarkStart w:id="421" w:name="_Toc507474225"/>
      <w:bookmarkStart w:id="422" w:name="_Toc513604073"/>
      <w:bookmarkStart w:id="423" w:name="_Toc84823356"/>
      <w:bookmarkStart w:id="424" w:name="_Toc129058381"/>
      <w:bookmarkStart w:id="425" w:name="_Toc271188777"/>
      <w:r>
        <w:rPr>
          <w:rStyle w:val="CharSectno"/>
        </w:rPr>
        <w:t>40</w:t>
      </w:r>
      <w:r>
        <w:rPr>
          <w:snapToGrid w:val="0"/>
        </w:rPr>
        <w:t>.</w:t>
      </w:r>
      <w:r>
        <w:rPr>
          <w:snapToGrid w:val="0"/>
        </w:rPr>
        <w:tab/>
        <w:t>Two or more deaths</w:t>
      </w:r>
      <w:bookmarkEnd w:id="421"/>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The State Coroner may direct that more than one death be investigated at one inquest.</w:t>
      </w:r>
    </w:p>
    <w:p>
      <w:pPr>
        <w:pStyle w:val="Heading5"/>
        <w:rPr>
          <w:snapToGrid w:val="0"/>
        </w:rPr>
      </w:pPr>
      <w:bookmarkStart w:id="426" w:name="_Toc507474226"/>
      <w:bookmarkStart w:id="427" w:name="_Toc513604074"/>
      <w:bookmarkStart w:id="428" w:name="_Toc84823357"/>
      <w:bookmarkStart w:id="429" w:name="_Toc129058382"/>
      <w:bookmarkStart w:id="430" w:name="_Toc271188778"/>
      <w:r>
        <w:rPr>
          <w:rStyle w:val="CharSectno"/>
        </w:rPr>
        <w:t>41</w:t>
      </w:r>
      <w:r>
        <w:rPr>
          <w:snapToGrid w:val="0"/>
        </w:rPr>
        <w:t>.</w:t>
      </w:r>
      <w:r>
        <w:rPr>
          <w:snapToGrid w:val="0"/>
        </w:rPr>
        <w:tab/>
        <w:t>Rules of evidence not to apply</w:t>
      </w:r>
      <w:bookmarkEnd w:id="426"/>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pPr>
        <w:pStyle w:val="Heading5"/>
        <w:rPr>
          <w:snapToGrid w:val="0"/>
        </w:rPr>
      </w:pPr>
      <w:bookmarkStart w:id="431" w:name="_Toc507474227"/>
      <w:bookmarkStart w:id="432" w:name="_Toc513604075"/>
      <w:bookmarkStart w:id="433" w:name="_Toc84823358"/>
      <w:bookmarkStart w:id="434" w:name="_Toc129058383"/>
      <w:bookmarkStart w:id="435" w:name="_Toc271188779"/>
      <w:r>
        <w:rPr>
          <w:rStyle w:val="CharSectno"/>
        </w:rPr>
        <w:t>42</w:t>
      </w:r>
      <w:r>
        <w:rPr>
          <w:snapToGrid w:val="0"/>
        </w:rPr>
        <w:t>.</w:t>
      </w:r>
      <w:r>
        <w:rPr>
          <w:snapToGrid w:val="0"/>
        </w:rPr>
        <w:tab/>
        <w:t>Rights of interested persons</w:t>
      </w:r>
      <w:bookmarkEnd w:id="431"/>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A coroner may make available any statements that the coroner intends to consider to any person with a sufficient interest.</w:t>
      </w:r>
    </w:p>
    <w:p>
      <w:pPr>
        <w:pStyle w:val="Heading5"/>
        <w:rPr>
          <w:snapToGrid w:val="0"/>
        </w:rPr>
      </w:pPr>
      <w:bookmarkStart w:id="436" w:name="_Toc507474228"/>
      <w:bookmarkStart w:id="437" w:name="_Toc513604076"/>
      <w:bookmarkStart w:id="438" w:name="_Toc84823359"/>
      <w:bookmarkStart w:id="439" w:name="_Toc129058384"/>
      <w:bookmarkStart w:id="440" w:name="_Toc271188780"/>
      <w:r>
        <w:rPr>
          <w:rStyle w:val="CharSectno"/>
        </w:rPr>
        <w:t>43</w:t>
      </w:r>
      <w:r>
        <w:rPr>
          <w:snapToGrid w:val="0"/>
        </w:rPr>
        <w:t>.</w:t>
      </w:r>
      <w:r>
        <w:rPr>
          <w:snapToGrid w:val="0"/>
        </w:rPr>
        <w:tab/>
        <w:t>Attorney General may appear at inquest</w:t>
      </w:r>
      <w:bookmarkEnd w:id="436"/>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pPr>
        <w:pStyle w:val="Heading5"/>
        <w:rPr>
          <w:snapToGrid w:val="0"/>
        </w:rPr>
      </w:pPr>
      <w:bookmarkStart w:id="441" w:name="_Toc507474229"/>
      <w:bookmarkStart w:id="442" w:name="_Toc513604077"/>
      <w:bookmarkStart w:id="443" w:name="_Toc84823360"/>
      <w:bookmarkStart w:id="444" w:name="_Toc129058385"/>
      <w:bookmarkStart w:id="445" w:name="_Toc271188781"/>
      <w:r>
        <w:rPr>
          <w:rStyle w:val="CharSectno"/>
        </w:rPr>
        <w:t>44</w:t>
      </w:r>
      <w:r>
        <w:rPr>
          <w:snapToGrid w:val="0"/>
        </w:rPr>
        <w:t>.</w:t>
      </w:r>
      <w:r>
        <w:rPr>
          <w:snapToGrid w:val="0"/>
        </w:rPr>
        <w:tab/>
        <w:t>Other persons may appear at inquest</w:t>
      </w:r>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An interested person may appear, or be represented by</w:t>
      </w:r>
      <w:r>
        <w:t xml:space="preserve"> an Australian legal practitioner (within the meaning of that term in the </w:t>
      </w:r>
      <w:r>
        <w:rPr>
          <w:i/>
          <w:iCs/>
        </w:rPr>
        <w:t>Legal Profession Act 2008</w:t>
      </w:r>
      <w:r>
        <w:t xml:space="preserve"> section 3)</w:t>
      </w:r>
      <w:r>
        <w:rPr>
          <w:snapToGrid w:val="0"/>
        </w:rPr>
        <w:t>, at an inquest and examine or cross</w:t>
      </w:r>
      <w:r>
        <w:rPr>
          <w:snapToGrid w:val="0"/>
        </w:rPr>
        <w:noBreakHyphen/>
        <w:t xml:space="preserve">examine witnesses. </w:t>
      </w:r>
    </w:p>
    <w:p>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pPr>
        <w:pStyle w:val="Subsection"/>
        <w:rPr>
          <w:snapToGrid w:val="0"/>
        </w:rPr>
      </w:pPr>
      <w:r>
        <w:rPr>
          <w:snapToGrid w:val="0"/>
        </w:rPr>
        <w:tab/>
        <w:t>(3)</w:t>
      </w:r>
      <w:r>
        <w:rPr>
          <w:snapToGrid w:val="0"/>
        </w:rPr>
        <w:tab/>
        <w:t>There may be prescribed a list of persons who are interested persons for the purpose of this section, but such a list is not a conclusive list of interested persons.</w:t>
      </w:r>
    </w:p>
    <w:p>
      <w:pPr>
        <w:pStyle w:val="Subsection"/>
        <w:rPr>
          <w:snapToGrid w:val="0"/>
        </w:rPr>
      </w:pPr>
      <w:r>
        <w:rPr>
          <w:snapToGrid w:val="0"/>
        </w:rPr>
        <w:tab/>
        <w:t>(4)</w:t>
      </w:r>
      <w:r>
        <w:rPr>
          <w:snapToGrid w:val="0"/>
        </w:rPr>
        <w:tab/>
        <w:t>A coroner may disallow any question which in the coroner’s opinion is not relevant or otherwise not a proper question.</w:t>
      </w:r>
    </w:p>
    <w:p>
      <w:pPr>
        <w:pStyle w:val="Footnotesection"/>
      </w:pPr>
      <w:r>
        <w:tab/>
        <w:t>[Section 44 amended by No. 21 of 2008 s. 652(4).]</w:t>
      </w:r>
    </w:p>
    <w:p>
      <w:pPr>
        <w:pStyle w:val="Heading5"/>
        <w:rPr>
          <w:snapToGrid w:val="0"/>
        </w:rPr>
      </w:pPr>
      <w:bookmarkStart w:id="446" w:name="_Toc507474230"/>
      <w:bookmarkStart w:id="447" w:name="_Toc513604078"/>
      <w:bookmarkStart w:id="448" w:name="_Toc84823361"/>
      <w:bookmarkStart w:id="449" w:name="_Toc129058386"/>
      <w:bookmarkStart w:id="450" w:name="_Toc271188782"/>
      <w:r>
        <w:rPr>
          <w:rStyle w:val="CharSectno"/>
        </w:rPr>
        <w:t>45</w:t>
      </w:r>
      <w:r>
        <w:rPr>
          <w:snapToGrid w:val="0"/>
        </w:rPr>
        <w:t>.</w:t>
      </w:r>
      <w:r>
        <w:rPr>
          <w:snapToGrid w:val="0"/>
        </w:rPr>
        <w:tab/>
        <w:t>Exclusion from an inquest</w:t>
      </w:r>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pPr>
        <w:pStyle w:val="Subsection"/>
        <w:rPr>
          <w:snapToGrid w:val="0"/>
        </w:rPr>
      </w:pPr>
      <w:r>
        <w:rPr>
          <w:snapToGrid w:val="0"/>
        </w:rPr>
        <w:tab/>
        <w:t>(3)</w:t>
      </w:r>
      <w:r>
        <w:rPr>
          <w:snapToGrid w:val="0"/>
        </w:rPr>
        <w:tab/>
        <w:t>A coroner may order — </w:t>
      </w:r>
    </w:p>
    <w:p>
      <w:pPr>
        <w:pStyle w:val="Indenta"/>
        <w:rPr>
          <w:snapToGrid w:val="0"/>
        </w:rPr>
      </w:pPr>
      <w:r>
        <w:rPr>
          <w:snapToGrid w:val="0"/>
        </w:rPr>
        <w:tab/>
        <w:t>(a)</w:t>
      </w:r>
      <w:r>
        <w:rPr>
          <w:snapToGrid w:val="0"/>
        </w:rPr>
        <w:tab/>
        <w:t xml:space="preserve">the removal from an inquest of a person who disobeys an exclusion order; and </w:t>
      </w:r>
    </w:p>
    <w:p>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pPr>
        <w:pStyle w:val="Footnotesection"/>
      </w:pPr>
      <w:r>
        <w:tab/>
        <w:t>[Section 45 amended by No. 59 of 2004 s. 76.]</w:t>
      </w:r>
    </w:p>
    <w:p>
      <w:pPr>
        <w:pStyle w:val="Heading5"/>
        <w:rPr>
          <w:snapToGrid w:val="0"/>
        </w:rPr>
      </w:pPr>
      <w:bookmarkStart w:id="451" w:name="_Toc507474231"/>
      <w:bookmarkStart w:id="452" w:name="_Toc513604079"/>
      <w:bookmarkStart w:id="453" w:name="_Toc84823362"/>
      <w:bookmarkStart w:id="454" w:name="_Toc129058387"/>
      <w:bookmarkStart w:id="455" w:name="_Toc271188783"/>
      <w:r>
        <w:rPr>
          <w:rStyle w:val="CharSectno"/>
        </w:rPr>
        <w:t>46</w:t>
      </w:r>
      <w:r>
        <w:rPr>
          <w:snapToGrid w:val="0"/>
        </w:rPr>
        <w:t>.</w:t>
      </w:r>
      <w:r>
        <w:rPr>
          <w:snapToGrid w:val="0"/>
        </w:rPr>
        <w:tab/>
        <w:t>Powers of coroners at inquests</w:t>
      </w:r>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If a coroner reasonably believes it is necessary for the purpose of an inquest, the coroner may — </w:t>
      </w:r>
    </w:p>
    <w:p>
      <w:pPr>
        <w:pStyle w:val="Indenta"/>
        <w:rPr>
          <w:snapToGrid w:val="0"/>
        </w:rPr>
      </w:pPr>
      <w:r>
        <w:rPr>
          <w:snapToGrid w:val="0"/>
        </w:rPr>
        <w:tab/>
        <w:t>(a)</w:t>
      </w:r>
      <w:r>
        <w:rPr>
          <w:snapToGrid w:val="0"/>
        </w:rPr>
        <w:tab/>
        <w:t>summon a person to attend as a witness or to produce any document or other materials;</w:t>
      </w:r>
    </w:p>
    <w:p>
      <w:pPr>
        <w:pStyle w:val="Indenta"/>
        <w:rPr>
          <w:snapToGrid w:val="0"/>
        </w:rPr>
      </w:pPr>
      <w:r>
        <w:rPr>
          <w:snapToGrid w:val="0"/>
        </w:rPr>
        <w:tab/>
        <w:t>(b)</w:t>
      </w:r>
      <w:r>
        <w:rPr>
          <w:snapToGrid w:val="0"/>
        </w:rPr>
        <w:tab/>
        <w:t>inspect, copy and keep for a reasonable period any thing produced at the inquest;</w:t>
      </w:r>
    </w:p>
    <w:p>
      <w:pPr>
        <w:pStyle w:val="Indenta"/>
        <w:rPr>
          <w:snapToGrid w:val="0"/>
        </w:rPr>
      </w:pPr>
      <w:r>
        <w:rPr>
          <w:snapToGrid w:val="0"/>
        </w:rPr>
        <w:tab/>
        <w:t>(c)</w:t>
      </w:r>
      <w:r>
        <w:rPr>
          <w:snapToGrid w:val="0"/>
        </w:rPr>
        <w:tab/>
        <w:t>order a witness to answer questions;</w:t>
      </w:r>
    </w:p>
    <w:p>
      <w:pPr>
        <w:pStyle w:val="Indenta"/>
        <w:rPr>
          <w:snapToGrid w:val="0"/>
        </w:rPr>
      </w:pPr>
      <w:r>
        <w:rPr>
          <w:snapToGrid w:val="0"/>
        </w:rPr>
        <w:tab/>
        <w:t>(d)</w:t>
      </w:r>
      <w:r>
        <w:rPr>
          <w:snapToGrid w:val="0"/>
        </w:rPr>
        <w:tab/>
        <w:t>order a witness to take an oath or affirmation to answer questions; and</w:t>
      </w:r>
    </w:p>
    <w:p>
      <w:pPr>
        <w:pStyle w:val="Indenta"/>
        <w:rPr>
          <w:snapToGrid w:val="0"/>
        </w:rPr>
      </w:pPr>
      <w:r>
        <w:rPr>
          <w:snapToGrid w:val="0"/>
        </w:rPr>
        <w:tab/>
        <w:t>(e)</w:t>
      </w:r>
      <w:r>
        <w:rPr>
          <w:snapToGrid w:val="0"/>
        </w:rPr>
        <w:tab/>
        <w:t>give any other directions and do anything else the coroner believes necessary.</w:t>
      </w:r>
    </w:p>
    <w:p>
      <w:pPr>
        <w:pStyle w:val="Subsection"/>
        <w:spacing w:before="120"/>
        <w:rPr>
          <w:snapToGrid w:val="0"/>
        </w:rPr>
      </w:pPr>
      <w:r>
        <w:rPr>
          <w:snapToGrid w:val="0"/>
        </w:rPr>
        <w:tab/>
        <w:t>(2)</w:t>
      </w:r>
      <w:r>
        <w:rPr>
          <w:snapToGrid w:val="0"/>
        </w:rPr>
        <w:tab/>
        <w:t>A coroner may be assisted by counsel, or by any other person that the coroner believes will be of assistance.</w:t>
      </w:r>
    </w:p>
    <w:p>
      <w:pPr>
        <w:pStyle w:val="Ednotesubsection"/>
      </w:pPr>
      <w:r>
        <w:tab/>
        <w:t>[(3)</w:t>
      </w:r>
      <w:r>
        <w:tab/>
        <w:t>deleted]</w:t>
      </w:r>
    </w:p>
    <w:p>
      <w:pPr>
        <w:pStyle w:val="Subsection"/>
        <w:spacing w:before="12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pPr>
        <w:pStyle w:val="Subsection"/>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pPr>
        <w:pStyle w:val="Footnotesection"/>
      </w:pPr>
      <w:r>
        <w:tab/>
        <w:t>[Section 46 amended by No. 35 of 2001 s. 3(1); No. 59 of 2004 s. 76.]</w:t>
      </w:r>
    </w:p>
    <w:p>
      <w:pPr>
        <w:pStyle w:val="Heading5"/>
      </w:pPr>
      <w:bookmarkStart w:id="456" w:name="_Toc84823363"/>
      <w:bookmarkStart w:id="457" w:name="_Toc129058388"/>
      <w:bookmarkStart w:id="458" w:name="_Toc271188784"/>
      <w:bookmarkStart w:id="459" w:name="_Toc507474232"/>
      <w:bookmarkStart w:id="460" w:name="_Toc513604080"/>
      <w:r>
        <w:rPr>
          <w:rStyle w:val="CharSectno"/>
        </w:rPr>
        <w:t>46A</w:t>
      </w:r>
      <w:r>
        <w:t>.</w:t>
      </w:r>
      <w:r>
        <w:tab/>
        <w:t>Disobeying coroner</w:t>
      </w:r>
      <w:bookmarkEnd w:id="456"/>
      <w:bookmarkEnd w:id="457"/>
      <w:bookmarkEnd w:id="458"/>
    </w:p>
    <w:p>
      <w:pPr>
        <w:pStyle w:val="Subsection"/>
      </w:pPr>
      <w:r>
        <w:tab/>
      </w:r>
      <w:r>
        <w:tab/>
        <w:t>A person who does not obey a summons, order, or direction of a coroner issued or given under section 46(1) is guilty of a crime and is liable to imprisonment for 5 years and to a fine of $100 000.</w:t>
      </w:r>
    </w:p>
    <w:p>
      <w:pPr>
        <w:pStyle w:val="Penstart"/>
      </w:pPr>
      <w:r>
        <w:tab/>
        <w:t>Summary conviction penalty: imprisonment for 2 years and a fine of $40 000.</w:t>
      </w:r>
    </w:p>
    <w:p>
      <w:pPr>
        <w:pStyle w:val="Footnotesection"/>
      </w:pPr>
      <w:r>
        <w:tab/>
        <w:t>[Section 46A inserted by No. 4 of 2004 s. 58.]</w:t>
      </w:r>
    </w:p>
    <w:p>
      <w:pPr>
        <w:pStyle w:val="Heading5"/>
        <w:rPr>
          <w:snapToGrid w:val="0"/>
        </w:rPr>
      </w:pPr>
      <w:bookmarkStart w:id="461" w:name="_Toc84823364"/>
      <w:bookmarkStart w:id="462" w:name="_Toc129058389"/>
      <w:bookmarkStart w:id="463" w:name="_Toc271188785"/>
      <w:r>
        <w:rPr>
          <w:rStyle w:val="CharSectno"/>
        </w:rPr>
        <w:t>47</w:t>
      </w:r>
      <w:r>
        <w:rPr>
          <w:snapToGrid w:val="0"/>
        </w:rPr>
        <w:t>.</w:t>
      </w:r>
      <w:r>
        <w:rPr>
          <w:snapToGrid w:val="0"/>
        </w:rPr>
        <w:tab/>
        <w:t>Statements made by witness</w:t>
      </w:r>
      <w:bookmarkEnd w:id="459"/>
      <w:bookmarkEnd w:id="460"/>
      <w:bookmarkEnd w:id="461"/>
      <w:bookmarkEnd w:id="462"/>
      <w:bookmarkEnd w:id="463"/>
      <w:r>
        <w:rPr>
          <w:snapToGrid w:val="0"/>
        </w:rPr>
        <w:t xml:space="preserve"> </w:t>
      </w:r>
    </w:p>
    <w:p>
      <w:pPr>
        <w:pStyle w:val="Subsection"/>
        <w:spacing w:before="120"/>
        <w:rPr>
          <w:snapToGrid w:val="0"/>
        </w:rPr>
      </w:pPr>
      <w:r>
        <w:rPr>
          <w:snapToGrid w:val="0"/>
        </w:rPr>
        <w:tab/>
        <w:t>(1)</w:t>
      </w:r>
      <w:r>
        <w:rPr>
          <w:snapToGrid w:val="0"/>
        </w:rPr>
        <w:tab/>
        <w:t>If a person called as a witness at an inquest declines to answer any question on the ground that his or her answer will criminate or tend to criminate him or her, the coroner may, if it appears to the coroner expedient for the ends of justice that the person be compelled to answer the question, tell the person that if the person answers the question and other questions that may be put to him or her, the coroner will grant the person a certificate under this section.</w:t>
      </w:r>
    </w:p>
    <w:p>
      <w:pPr>
        <w:pStyle w:val="Subsection"/>
        <w:spacing w:before="120"/>
        <w:rPr>
          <w:snapToGrid w:val="0"/>
        </w:rPr>
      </w:pPr>
      <w:r>
        <w:rPr>
          <w:snapToGrid w:val="0"/>
        </w:rPr>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pPr>
        <w:pStyle w:val="Subsection"/>
        <w:spacing w:before="12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pPr>
        <w:pStyle w:val="Heading5"/>
        <w:rPr>
          <w:snapToGrid w:val="0"/>
        </w:rPr>
      </w:pPr>
      <w:bookmarkStart w:id="464" w:name="_Toc507474233"/>
      <w:bookmarkStart w:id="465" w:name="_Toc513604081"/>
      <w:bookmarkStart w:id="466" w:name="_Toc84823365"/>
      <w:bookmarkStart w:id="467" w:name="_Toc129058390"/>
      <w:bookmarkStart w:id="468" w:name="_Toc271188786"/>
      <w:r>
        <w:rPr>
          <w:rStyle w:val="CharSectno"/>
        </w:rPr>
        <w:t>48</w:t>
      </w:r>
      <w:r>
        <w:rPr>
          <w:snapToGrid w:val="0"/>
        </w:rPr>
        <w:t>.</w:t>
      </w:r>
      <w:r>
        <w:rPr>
          <w:snapToGrid w:val="0"/>
        </w:rPr>
        <w:tab/>
        <w:t>Record of evidence</w:t>
      </w:r>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The coroner must ensure that evidence given at an inquest is — </w:t>
      </w:r>
    </w:p>
    <w:p>
      <w:pPr>
        <w:pStyle w:val="Indenta"/>
        <w:rPr>
          <w:snapToGrid w:val="0"/>
        </w:rPr>
      </w:pPr>
      <w:r>
        <w:rPr>
          <w:snapToGrid w:val="0"/>
        </w:rPr>
        <w:tab/>
        <w:t>(a)</w:t>
      </w:r>
      <w:r>
        <w:rPr>
          <w:snapToGrid w:val="0"/>
        </w:rPr>
        <w:tab/>
        <w:t>recorded in writing; or</w:t>
      </w:r>
    </w:p>
    <w:p>
      <w:pPr>
        <w:pStyle w:val="Indenta"/>
        <w:rPr>
          <w:snapToGrid w:val="0"/>
        </w:rPr>
      </w:pPr>
      <w:r>
        <w:rPr>
          <w:snapToGrid w:val="0"/>
        </w:rPr>
        <w:tab/>
        <w:t>(b)</w:t>
      </w:r>
      <w:r>
        <w:rPr>
          <w:snapToGrid w:val="0"/>
        </w:rPr>
        <w:tab/>
        <w:t>recorded by sound recording apparatus.</w:t>
      </w:r>
    </w:p>
    <w:p>
      <w:pPr>
        <w:pStyle w:val="Subsection"/>
        <w:rPr>
          <w:snapToGrid w:val="0"/>
        </w:rPr>
      </w:pPr>
      <w:r>
        <w:rPr>
          <w:snapToGrid w:val="0"/>
        </w:rPr>
        <w:tab/>
        <w:t>(2)</w:t>
      </w:r>
      <w:r>
        <w:rPr>
          <w:snapToGrid w:val="0"/>
        </w:rPr>
        <w:tab/>
        <w:t>If the evidence is recorded in writing, the record must be read and signed by the witness and the coroner.</w:t>
      </w:r>
    </w:p>
    <w:p>
      <w:pPr>
        <w:pStyle w:val="Subsection"/>
        <w:rPr>
          <w:snapToGrid w:val="0"/>
        </w:rPr>
      </w:pPr>
      <w:r>
        <w:rPr>
          <w:snapToGrid w:val="0"/>
        </w:rPr>
        <w:tab/>
        <w:t>(3)</w:t>
      </w:r>
      <w:r>
        <w:rPr>
          <w:snapToGrid w:val="0"/>
        </w:rPr>
        <w:tab/>
        <w:t>If the evidence is recorded by sound recording apparatus and is transcribed, it must be certified as a correct transcript of that recording by — </w:t>
      </w:r>
    </w:p>
    <w:p>
      <w:pPr>
        <w:pStyle w:val="Indenta"/>
        <w:rPr>
          <w:snapToGrid w:val="0"/>
        </w:rPr>
      </w:pPr>
      <w:r>
        <w:rPr>
          <w:snapToGrid w:val="0"/>
        </w:rPr>
        <w:tab/>
        <w:t>(a)</w:t>
      </w:r>
      <w:r>
        <w:rPr>
          <w:snapToGrid w:val="0"/>
        </w:rPr>
        <w:tab/>
        <w:t>the person who prepared the transcript; or</w:t>
      </w:r>
    </w:p>
    <w:p>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certify that a transcript is a correct transcript unless authorised to do so under subsection (3); or</w:t>
      </w:r>
    </w:p>
    <w:p>
      <w:pPr>
        <w:pStyle w:val="Indenta"/>
        <w:rPr>
          <w:snapToGrid w:val="0"/>
        </w:rPr>
      </w:pPr>
      <w:r>
        <w:rPr>
          <w:snapToGrid w:val="0"/>
        </w:rPr>
        <w:tab/>
        <w:t>(b)</w:t>
      </w:r>
      <w:r>
        <w:rPr>
          <w:snapToGrid w:val="0"/>
        </w:rPr>
        <w:tab/>
        <w:t>provide a certificate in respect of any transcript which that person knows to be false in any material particular.</w:t>
      </w:r>
    </w:p>
    <w:p>
      <w:pPr>
        <w:pStyle w:val="Penstart"/>
        <w:rPr>
          <w:snapToGrid w:val="0"/>
        </w:rPr>
      </w:pPr>
      <w:r>
        <w:rPr>
          <w:snapToGrid w:val="0"/>
        </w:rPr>
        <w:tab/>
        <w:t>Penalty: $2 000.</w:t>
      </w:r>
    </w:p>
    <w:p>
      <w:pPr>
        <w:pStyle w:val="Subsection"/>
        <w:rPr>
          <w:snapToGrid w:val="0"/>
          <w:spacing w:val="-4"/>
        </w:rPr>
      </w:pPr>
      <w:r>
        <w:rPr>
          <w:snapToGrid w:val="0"/>
          <w:spacing w:val="-4"/>
        </w:rPr>
        <w:tab/>
        <w:t>(5)</w:t>
      </w:r>
      <w:r>
        <w:rPr>
          <w:snapToGrid w:val="0"/>
          <w:spacing w:val="-4"/>
        </w:rPr>
        <w:tab/>
        <w:t>A record is not evidence in any court of any fact asserted to in it.</w:t>
      </w:r>
    </w:p>
    <w:p>
      <w:pPr>
        <w:pStyle w:val="Heading5"/>
        <w:rPr>
          <w:snapToGrid w:val="0"/>
        </w:rPr>
      </w:pPr>
      <w:bookmarkStart w:id="469" w:name="_Toc507474234"/>
      <w:bookmarkStart w:id="470" w:name="_Toc513604082"/>
      <w:bookmarkStart w:id="471" w:name="_Toc84823366"/>
      <w:bookmarkStart w:id="472" w:name="_Toc129058391"/>
      <w:bookmarkStart w:id="473" w:name="_Toc271188787"/>
      <w:r>
        <w:rPr>
          <w:rStyle w:val="CharSectno"/>
        </w:rPr>
        <w:t>49</w:t>
      </w:r>
      <w:r>
        <w:rPr>
          <w:snapToGrid w:val="0"/>
        </w:rPr>
        <w:t>.</w:t>
      </w:r>
      <w:r>
        <w:rPr>
          <w:snapToGrid w:val="0"/>
        </w:rPr>
        <w:tab/>
        <w:t>Restriction on publication of reports</w:t>
      </w:r>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pPr>
        <w:pStyle w:val="Indenta"/>
        <w:rPr>
          <w:snapToGrid w:val="0"/>
        </w:rPr>
      </w:pPr>
      <w:r>
        <w:rPr>
          <w:snapToGrid w:val="0"/>
        </w:rPr>
        <w:tab/>
        <w:t>(a)</w:t>
      </w:r>
      <w:r>
        <w:rPr>
          <w:snapToGrid w:val="0"/>
        </w:rPr>
        <w:tab/>
        <w:t>be likely to prejudice the fair trial of a person; or</w:t>
      </w:r>
    </w:p>
    <w:p>
      <w:pPr>
        <w:pStyle w:val="Indenta"/>
        <w:rPr>
          <w:snapToGrid w:val="0"/>
        </w:rPr>
      </w:pPr>
      <w:r>
        <w:rPr>
          <w:snapToGrid w:val="0"/>
        </w:rPr>
        <w:tab/>
        <w:t>(b)</w:t>
      </w:r>
      <w:r>
        <w:rPr>
          <w:snapToGrid w:val="0"/>
        </w:rPr>
        <w:tab/>
        <w:t>be contrary to the public interest.</w:t>
      </w:r>
    </w:p>
    <w:p>
      <w:pPr>
        <w:pStyle w:val="Subsection"/>
        <w:rPr>
          <w:snapToGrid w:val="0"/>
        </w:rPr>
      </w:pPr>
      <w:r>
        <w:rPr>
          <w:snapToGrid w:val="0"/>
        </w:rPr>
        <w:tab/>
        <w:t>(2)</w:t>
      </w:r>
      <w:r>
        <w:rPr>
          <w:snapToGrid w:val="0"/>
        </w:rPr>
        <w:tab/>
        <w:t>A person must not contravene an order made under subsection (1).</w:t>
      </w:r>
    </w:p>
    <w:p>
      <w:pPr>
        <w:pStyle w:val="Penstart"/>
        <w:rPr>
          <w:snapToGrid w:val="0"/>
        </w:rPr>
      </w:pPr>
      <w:r>
        <w:rPr>
          <w:snapToGrid w:val="0"/>
        </w:rPr>
        <w:tab/>
        <w:t>Penalty: $5 000.</w:t>
      </w:r>
    </w:p>
    <w:p>
      <w:pPr>
        <w:pStyle w:val="Heading5"/>
        <w:rPr>
          <w:snapToGrid w:val="0"/>
        </w:rPr>
      </w:pPr>
      <w:bookmarkStart w:id="474" w:name="_Toc507474235"/>
      <w:bookmarkStart w:id="475" w:name="_Toc513604083"/>
      <w:bookmarkStart w:id="476" w:name="_Toc84823367"/>
      <w:bookmarkStart w:id="477" w:name="_Toc129058392"/>
      <w:bookmarkStart w:id="478" w:name="_Toc271188788"/>
      <w:r>
        <w:rPr>
          <w:rStyle w:val="CharSectno"/>
        </w:rPr>
        <w:t>50</w:t>
      </w:r>
      <w:r>
        <w:rPr>
          <w:snapToGrid w:val="0"/>
        </w:rPr>
        <w:t>.</w:t>
      </w:r>
      <w:r>
        <w:rPr>
          <w:snapToGrid w:val="0"/>
        </w:rPr>
        <w:tab/>
        <w:t>Reference to a disciplinary body</w:t>
      </w:r>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pPr>
        <w:pStyle w:val="Indenta"/>
        <w:rPr>
          <w:snapToGrid w:val="0"/>
        </w:rPr>
      </w:pPr>
      <w:r>
        <w:rPr>
          <w:snapToGrid w:val="0"/>
        </w:rPr>
        <w:tab/>
        <w:t>(a)</w:t>
      </w:r>
      <w:r>
        <w:rPr>
          <w:snapToGrid w:val="0"/>
        </w:rPr>
        <w:tab/>
        <w:t>touches on the conduct of that person in relation to that trade or profession; and</w:t>
      </w:r>
    </w:p>
    <w:p>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pPr>
        <w:pStyle w:val="Subsection"/>
        <w:rPr>
          <w:snapToGrid w:val="0"/>
        </w:rPr>
      </w:pPr>
      <w:r>
        <w:rPr>
          <w:snapToGrid w:val="0"/>
        </w:rPr>
        <w:tab/>
        <w:t>(2)</w:t>
      </w:r>
      <w:r>
        <w:rPr>
          <w:snapToGrid w:val="0"/>
        </w:rPr>
        <w:tab/>
        <w:t xml:space="preserve">In subsection (1) </w:t>
      </w:r>
      <w:r>
        <w:rPr>
          <w:rStyle w:val="CharDefText"/>
        </w:rPr>
        <w:t>a body having jurisdiction over a person carrying on a trade or profession</w:t>
      </w:r>
      <w:r>
        <w:rPr>
          <w:snapToGrid w:val="0"/>
        </w:rPr>
        <w:t xml:space="preserve"> means a body empowered under a written law to — </w:t>
      </w:r>
    </w:p>
    <w:p>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pPr>
        <w:pStyle w:val="Heading5"/>
        <w:rPr>
          <w:snapToGrid w:val="0"/>
        </w:rPr>
      </w:pPr>
      <w:bookmarkStart w:id="479" w:name="_Toc507474236"/>
      <w:bookmarkStart w:id="480" w:name="_Toc513604084"/>
      <w:bookmarkStart w:id="481" w:name="_Toc84823368"/>
      <w:bookmarkStart w:id="482" w:name="_Toc129058393"/>
      <w:bookmarkStart w:id="483" w:name="_Toc271188789"/>
      <w:r>
        <w:rPr>
          <w:rStyle w:val="CharSectno"/>
        </w:rPr>
        <w:t>51</w:t>
      </w:r>
      <w:r>
        <w:rPr>
          <w:snapToGrid w:val="0"/>
        </w:rPr>
        <w:t>.</w:t>
      </w:r>
      <w:r>
        <w:rPr>
          <w:snapToGrid w:val="0"/>
        </w:rPr>
        <w:tab/>
        <w:t>Interruption of an inquest</w:t>
      </w:r>
      <w:bookmarkEnd w:id="479"/>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A person must not interrupt an inquest.</w:t>
      </w:r>
    </w:p>
    <w:p>
      <w:pPr>
        <w:pStyle w:val="Penstart"/>
        <w:rPr>
          <w:snapToGrid w:val="0"/>
        </w:rPr>
      </w:pPr>
      <w:r>
        <w:rPr>
          <w:snapToGrid w:val="0"/>
        </w:rPr>
        <w:tab/>
        <w:t>Penalty: $5 000.</w:t>
      </w:r>
    </w:p>
    <w:p>
      <w:pPr>
        <w:pStyle w:val="Heading5"/>
        <w:rPr>
          <w:snapToGrid w:val="0"/>
        </w:rPr>
      </w:pPr>
      <w:bookmarkStart w:id="484" w:name="_Toc507474237"/>
      <w:bookmarkStart w:id="485" w:name="_Toc513604085"/>
      <w:bookmarkStart w:id="486" w:name="_Toc84823369"/>
      <w:bookmarkStart w:id="487" w:name="_Toc129058394"/>
      <w:bookmarkStart w:id="488" w:name="_Toc271188790"/>
      <w:r>
        <w:rPr>
          <w:rStyle w:val="CharSectno"/>
        </w:rPr>
        <w:t>52</w:t>
      </w:r>
      <w:r>
        <w:rPr>
          <w:snapToGrid w:val="0"/>
        </w:rPr>
        <w:t>.</w:t>
      </w:r>
      <w:r>
        <w:rPr>
          <w:snapToGrid w:val="0"/>
        </w:rPr>
        <w:tab/>
        <w:t>New inquests and re</w:t>
      </w:r>
      <w:r>
        <w:rPr>
          <w:snapToGrid w:val="0"/>
        </w:rPr>
        <w:noBreakHyphen/>
        <w:t>opening of inquests</w:t>
      </w:r>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Any person may apply to the Supreme Court for an order that some or all of the findings of an inquest are void.</w:t>
      </w:r>
    </w:p>
    <w:p>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pPr>
        <w:pStyle w:val="Indenta"/>
        <w:rPr>
          <w:snapToGrid w:val="0"/>
        </w:rPr>
      </w:pPr>
      <w:r>
        <w:rPr>
          <w:snapToGrid w:val="0"/>
        </w:rPr>
        <w:tab/>
        <w:t>(a)</w:t>
      </w:r>
      <w:r>
        <w:rPr>
          <w:snapToGrid w:val="0"/>
        </w:rPr>
        <w:tab/>
        <w:t>to hold a new inquest, or direct any coroner, other than the coroner who held the first inquest, to hold a new inquest; or</w:t>
      </w:r>
    </w:p>
    <w:p>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pPr>
        <w:pStyle w:val="Subsection"/>
        <w:rPr>
          <w:snapToGrid w:val="0"/>
        </w:rPr>
      </w:pPr>
      <w:r>
        <w:rPr>
          <w:snapToGrid w:val="0"/>
        </w:rPr>
        <w:tab/>
        <w:t>(3)</w:t>
      </w:r>
      <w:r>
        <w:rPr>
          <w:snapToGrid w:val="0"/>
        </w:rPr>
        <w:tab/>
        <w:t>The Supreme Court may only make an order if it is satisfied that — </w:t>
      </w:r>
    </w:p>
    <w:p>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w:t>
      </w:r>
    </w:p>
    <w:p>
      <w:pPr>
        <w:pStyle w:val="Indenta"/>
        <w:rPr>
          <w:snapToGrid w:val="0"/>
        </w:rPr>
      </w:pPr>
      <w:r>
        <w:rPr>
          <w:snapToGrid w:val="0"/>
        </w:rPr>
        <w:tab/>
        <w:t>(b)</w:t>
      </w:r>
      <w:r>
        <w:rPr>
          <w:snapToGrid w:val="0"/>
        </w:rPr>
        <w:tab/>
        <w:t>there is a mistake in the record of the findings;</w:t>
      </w:r>
    </w:p>
    <w:p>
      <w:pPr>
        <w:pStyle w:val="Indenta"/>
        <w:rPr>
          <w:snapToGrid w:val="0"/>
        </w:rPr>
      </w:pPr>
      <w:r>
        <w:rPr>
          <w:snapToGrid w:val="0"/>
        </w:rPr>
        <w:tab/>
        <w:t>(c)</w:t>
      </w:r>
      <w:r>
        <w:rPr>
          <w:snapToGrid w:val="0"/>
        </w:rPr>
        <w:tab/>
        <w:t>it is desirable because of new facts or evidence; or</w:t>
      </w:r>
    </w:p>
    <w:p>
      <w:pPr>
        <w:pStyle w:val="Indenta"/>
        <w:rPr>
          <w:snapToGrid w:val="0"/>
        </w:rPr>
      </w:pPr>
      <w:r>
        <w:rPr>
          <w:snapToGrid w:val="0"/>
        </w:rPr>
        <w:tab/>
        <w:t>(d)</w:t>
      </w:r>
      <w:r>
        <w:rPr>
          <w:snapToGrid w:val="0"/>
        </w:rPr>
        <w:tab/>
        <w:t>the findings are against the evidence or the weight of the evidence.</w:t>
      </w:r>
    </w:p>
    <w:p>
      <w:pPr>
        <w:pStyle w:val="Heading5"/>
        <w:rPr>
          <w:snapToGrid w:val="0"/>
        </w:rPr>
      </w:pPr>
      <w:bookmarkStart w:id="489" w:name="_Toc507474238"/>
      <w:bookmarkStart w:id="490" w:name="_Toc513604086"/>
      <w:bookmarkStart w:id="491" w:name="_Toc84823370"/>
      <w:bookmarkStart w:id="492" w:name="_Toc129058395"/>
      <w:bookmarkStart w:id="493" w:name="_Toc271188791"/>
      <w:r>
        <w:rPr>
          <w:rStyle w:val="CharSectno"/>
        </w:rPr>
        <w:t>53</w:t>
      </w:r>
      <w:r>
        <w:rPr>
          <w:snapToGrid w:val="0"/>
        </w:rPr>
        <w:t>.</w:t>
      </w:r>
      <w:r>
        <w:rPr>
          <w:snapToGrid w:val="0"/>
        </w:rPr>
        <w:tab/>
        <w:t>Inquest not to proceed where criminal proceedings instituted</w:t>
      </w:r>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pPr>
        <w:pStyle w:val="Indenta"/>
        <w:rPr>
          <w:snapToGrid w:val="0"/>
        </w:rPr>
      </w:pPr>
      <w:r>
        <w:rPr>
          <w:snapToGrid w:val="0"/>
        </w:rPr>
        <w:tab/>
        <w:t>(b)</w:t>
      </w:r>
      <w:r>
        <w:rPr>
          <w:snapToGrid w:val="0"/>
        </w:rPr>
        <w:tab/>
        <w:t>if the coroner has already commenced an inquest into the death, the coroner must adjourn the inquest until the proceedings in respect of the offence have been concluded.</w:t>
      </w:r>
    </w:p>
    <w:p>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pPr>
        <w:pStyle w:val="Heading2"/>
      </w:pPr>
      <w:bookmarkStart w:id="494" w:name="_Toc72892648"/>
      <w:bookmarkStart w:id="495" w:name="_Toc84823371"/>
      <w:bookmarkStart w:id="496" w:name="_Toc84823506"/>
      <w:bookmarkStart w:id="497" w:name="_Toc84823587"/>
      <w:bookmarkStart w:id="498" w:name="_Toc84823668"/>
      <w:bookmarkStart w:id="499" w:name="_Toc89507978"/>
      <w:bookmarkStart w:id="500" w:name="_Toc101346733"/>
      <w:bookmarkStart w:id="501" w:name="_Toc101346886"/>
      <w:bookmarkStart w:id="502" w:name="_Toc103588826"/>
      <w:bookmarkStart w:id="503" w:name="_Toc104197060"/>
      <w:bookmarkStart w:id="504" w:name="_Toc104197681"/>
      <w:bookmarkStart w:id="505" w:name="_Toc104784975"/>
      <w:bookmarkStart w:id="506" w:name="_Toc104869539"/>
      <w:bookmarkStart w:id="507" w:name="_Toc107287704"/>
      <w:bookmarkStart w:id="508" w:name="_Toc128390248"/>
      <w:bookmarkStart w:id="509" w:name="_Toc129058396"/>
      <w:bookmarkStart w:id="510" w:name="_Toc199670514"/>
      <w:bookmarkStart w:id="511" w:name="_Toc215478094"/>
      <w:bookmarkStart w:id="512" w:name="_Toc223842804"/>
      <w:bookmarkStart w:id="513" w:name="_Toc271188792"/>
      <w:r>
        <w:rPr>
          <w:rStyle w:val="CharPartNo"/>
        </w:rPr>
        <w:t>Part 6</w:t>
      </w:r>
      <w:r>
        <w:rPr>
          <w:rStyle w:val="CharDivNo"/>
        </w:rPr>
        <w:t> </w:t>
      </w:r>
      <w:r>
        <w:t>—</w:t>
      </w:r>
      <w:r>
        <w:rPr>
          <w:rStyle w:val="CharDivText"/>
        </w:rPr>
        <w:t> </w:t>
      </w:r>
      <w:r>
        <w:rPr>
          <w:rStyle w:val="CharPartText"/>
        </w:rPr>
        <w:t>Miscellaneous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Pr>
          <w:rStyle w:val="CharPartText"/>
        </w:rPr>
        <w:t xml:space="preserve"> </w:t>
      </w:r>
    </w:p>
    <w:p>
      <w:pPr>
        <w:pStyle w:val="Heading5"/>
      </w:pPr>
      <w:bookmarkStart w:id="514" w:name="_Toc84823372"/>
      <w:bookmarkStart w:id="515" w:name="_Toc129058397"/>
      <w:bookmarkStart w:id="516" w:name="_Toc271188793"/>
      <w:bookmarkStart w:id="517" w:name="_Toc507474239"/>
      <w:bookmarkStart w:id="518" w:name="_Toc513604087"/>
      <w:r>
        <w:rPr>
          <w:rStyle w:val="CharSectno"/>
        </w:rPr>
        <w:t>53A</w:t>
      </w:r>
      <w:r>
        <w:t>.</w:t>
      </w:r>
      <w:r>
        <w:tab/>
        <w:t>State Coroner may provide information about deaths to human tissue donation agencies</w:t>
      </w:r>
      <w:bookmarkEnd w:id="514"/>
      <w:bookmarkEnd w:id="515"/>
      <w:bookmarkEnd w:id="516"/>
    </w:p>
    <w:p>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pPr>
        <w:pStyle w:val="Indenta"/>
      </w:pPr>
      <w:r>
        <w:tab/>
        <w:t>(a)</w:t>
      </w:r>
      <w:r>
        <w:tab/>
        <w:t>the deceased person’s name;</w:t>
      </w:r>
    </w:p>
    <w:p>
      <w:pPr>
        <w:pStyle w:val="Indenta"/>
      </w:pPr>
      <w:r>
        <w:tab/>
        <w:t>(b)</w:t>
      </w:r>
      <w:r>
        <w:tab/>
        <w:t>the deceased person’s age;</w:t>
      </w:r>
    </w:p>
    <w:p>
      <w:pPr>
        <w:pStyle w:val="Indenta"/>
      </w:pPr>
      <w:r>
        <w:tab/>
        <w:t>(c)</w:t>
      </w:r>
      <w:r>
        <w:tab/>
        <w:t>a brief description of the circumstances of death;</w:t>
      </w:r>
    </w:p>
    <w:p>
      <w:pPr>
        <w:pStyle w:val="Indenta"/>
      </w:pPr>
      <w:r>
        <w:tab/>
        <w:t>(d)</w:t>
      </w:r>
      <w:r>
        <w:tab/>
        <w:t>the name of the deceased person’s senior next of kin, or if that is not known, the name of any of the person’s next of kin under section 37(5); and</w:t>
      </w:r>
    </w:p>
    <w:p>
      <w:pPr>
        <w:pStyle w:val="Indenta"/>
      </w:pPr>
      <w:r>
        <w:tab/>
        <w:t>(e)</w:t>
      </w:r>
      <w:r>
        <w:tab/>
        <w:t>an address, telephone number or other contact details for the person whose name is provided under paragraph (d).</w:t>
      </w:r>
    </w:p>
    <w:p>
      <w:pPr>
        <w:pStyle w:val="Subsection"/>
      </w:pPr>
      <w:r>
        <w:tab/>
        <w:t>(2)</w:t>
      </w:r>
      <w:r>
        <w:tab/>
        <w:t>If information is provided under subsection (1) in a document, then the human tissue donation agency to which it was provided is to ensure that the document is destroyed within 2 days of it being so provided.</w:t>
      </w:r>
    </w:p>
    <w:p>
      <w:pPr>
        <w:pStyle w:val="Subsection"/>
      </w:pPr>
      <w:r>
        <w:tab/>
        <w:t>(3)</w:t>
      </w:r>
      <w:r>
        <w:tab/>
        <w:t xml:space="preserve">In this section — </w:t>
      </w:r>
    </w:p>
    <w:p>
      <w:pPr>
        <w:pStyle w:val="Defstart"/>
      </w:pPr>
      <w:r>
        <w:rPr>
          <w:b/>
        </w:rPr>
        <w:tab/>
      </w:r>
      <w:r>
        <w:rPr>
          <w:rStyle w:val="CharDefText"/>
        </w:rPr>
        <w:t>human tissue donation agency</w:t>
      </w:r>
      <w:r>
        <w:t xml:space="preserve"> means an office or organisational unit which — </w:t>
      </w:r>
    </w:p>
    <w:p>
      <w:pPr>
        <w:pStyle w:val="Defpara"/>
      </w:pPr>
      <w:r>
        <w:tab/>
        <w:t>(a)</w:t>
      </w:r>
      <w:r>
        <w:tab/>
        <w:t xml:space="preserve">coordinates or encourages the donation of human tissue for transplantation in accordance with the </w:t>
      </w:r>
      <w:r>
        <w:rPr>
          <w:i/>
        </w:rPr>
        <w:t>Human Tissue and Transplant Act 1982</w:t>
      </w:r>
      <w:r>
        <w:t>; and</w:t>
      </w:r>
    </w:p>
    <w:p>
      <w:pPr>
        <w:pStyle w:val="Defpara"/>
      </w:pPr>
      <w:r>
        <w:tab/>
        <w:t>(b)</w:t>
      </w:r>
      <w:r>
        <w:tab/>
        <w:t>is within the department of the Public Service principally assisting the Minister administering that Act.</w:t>
      </w:r>
    </w:p>
    <w:p>
      <w:pPr>
        <w:pStyle w:val="Footnotesection"/>
      </w:pPr>
      <w:r>
        <w:tab/>
        <w:t>[Section 53A inserted by No. 22 of 2004 s. 3.]</w:t>
      </w:r>
    </w:p>
    <w:p>
      <w:pPr>
        <w:pStyle w:val="Heading5"/>
        <w:spacing w:before="180"/>
        <w:rPr>
          <w:snapToGrid w:val="0"/>
        </w:rPr>
      </w:pPr>
      <w:bookmarkStart w:id="519" w:name="_Toc84823373"/>
      <w:bookmarkStart w:id="520" w:name="_Toc129058398"/>
      <w:bookmarkStart w:id="521" w:name="_Toc271188794"/>
      <w:r>
        <w:rPr>
          <w:rStyle w:val="CharSectno"/>
        </w:rPr>
        <w:t>54</w:t>
      </w:r>
      <w:r>
        <w:rPr>
          <w:snapToGrid w:val="0"/>
        </w:rPr>
        <w:t>.</w:t>
      </w:r>
      <w:r>
        <w:rPr>
          <w:snapToGrid w:val="0"/>
        </w:rPr>
        <w:tab/>
        <w:t>Obstruction</w:t>
      </w:r>
      <w:bookmarkEnd w:id="517"/>
      <w:bookmarkEnd w:id="518"/>
      <w:bookmarkEnd w:id="519"/>
      <w:bookmarkEnd w:id="520"/>
      <w:bookmarkEnd w:id="521"/>
      <w:r>
        <w:rPr>
          <w:snapToGrid w:val="0"/>
        </w:rPr>
        <w:t xml:space="preserve"> </w:t>
      </w:r>
    </w:p>
    <w:p>
      <w:pPr>
        <w:pStyle w:val="Subsection"/>
        <w:spacing w:before="120"/>
        <w:rPr>
          <w:snapToGrid w:val="0"/>
        </w:rPr>
      </w:pPr>
      <w:r>
        <w:rPr>
          <w:snapToGrid w:val="0"/>
        </w:rPr>
        <w:tab/>
      </w:r>
      <w:r>
        <w:rPr>
          <w:snapToGrid w:val="0"/>
        </w:rPr>
        <w:tab/>
        <w:t>A person must not hinder or obstruct a coroner or a person acting under a coroner’s authority in exercising powers under this Act.</w:t>
      </w:r>
    </w:p>
    <w:p>
      <w:pPr>
        <w:pStyle w:val="Penstart"/>
        <w:rPr>
          <w:snapToGrid w:val="0"/>
        </w:rPr>
      </w:pPr>
      <w:r>
        <w:rPr>
          <w:snapToGrid w:val="0"/>
        </w:rPr>
        <w:tab/>
        <w:t>Penalty: $5 000.</w:t>
      </w:r>
    </w:p>
    <w:p>
      <w:pPr>
        <w:pStyle w:val="Heading5"/>
        <w:spacing w:before="180"/>
        <w:rPr>
          <w:snapToGrid w:val="0"/>
        </w:rPr>
      </w:pPr>
      <w:bookmarkStart w:id="522" w:name="_Toc507474240"/>
      <w:bookmarkStart w:id="523" w:name="_Toc513604088"/>
      <w:bookmarkStart w:id="524" w:name="_Toc84823374"/>
      <w:bookmarkStart w:id="525" w:name="_Toc129058399"/>
      <w:bookmarkStart w:id="526" w:name="_Toc271188795"/>
      <w:r>
        <w:rPr>
          <w:rStyle w:val="CharSectno"/>
        </w:rPr>
        <w:t>55</w:t>
      </w:r>
      <w:r>
        <w:rPr>
          <w:snapToGrid w:val="0"/>
        </w:rPr>
        <w:t>.</w:t>
      </w:r>
      <w:r>
        <w:rPr>
          <w:snapToGrid w:val="0"/>
        </w:rPr>
        <w:tab/>
        <w:t>Protection from legal proceedings</w:t>
      </w:r>
      <w:bookmarkEnd w:id="522"/>
      <w:bookmarkEnd w:id="523"/>
      <w:bookmarkEnd w:id="524"/>
      <w:bookmarkEnd w:id="525"/>
      <w:bookmarkEnd w:id="526"/>
      <w:r>
        <w:rPr>
          <w:snapToGrid w:val="0"/>
        </w:rPr>
        <w:t xml:space="preserve"> </w:t>
      </w:r>
    </w:p>
    <w:p>
      <w:pPr>
        <w:pStyle w:val="Subsection"/>
        <w:spacing w:before="120"/>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pPr>
        <w:pStyle w:val="Subsection"/>
        <w:spacing w:before="120"/>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pPr>
        <w:pStyle w:val="Subsection"/>
        <w:spacing w:before="120"/>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pPr>
        <w:pStyle w:val="Heading5"/>
        <w:spacing w:before="180"/>
        <w:rPr>
          <w:snapToGrid w:val="0"/>
        </w:rPr>
      </w:pPr>
      <w:bookmarkStart w:id="527" w:name="_Toc507474241"/>
      <w:bookmarkStart w:id="528" w:name="_Toc513604089"/>
      <w:bookmarkStart w:id="529" w:name="_Toc84823375"/>
      <w:bookmarkStart w:id="530" w:name="_Toc129058400"/>
      <w:bookmarkStart w:id="531" w:name="_Toc271188796"/>
      <w:r>
        <w:rPr>
          <w:rStyle w:val="CharSectno"/>
        </w:rPr>
        <w:t>56</w:t>
      </w:r>
      <w:r>
        <w:rPr>
          <w:snapToGrid w:val="0"/>
        </w:rPr>
        <w:t>.</w:t>
      </w:r>
      <w:r>
        <w:rPr>
          <w:snapToGrid w:val="0"/>
        </w:rPr>
        <w:tab/>
        <w:t>Coroner not to be called as witness</w:t>
      </w:r>
      <w:bookmarkEnd w:id="527"/>
      <w:bookmarkEnd w:id="528"/>
      <w:bookmarkEnd w:id="529"/>
      <w:bookmarkEnd w:id="530"/>
      <w:bookmarkEnd w:id="531"/>
      <w:r>
        <w:rPr>
          <w:snapToGrid w:val="0"/>
        </w:rPr>
        <w:t xml:space="preserve"> </w:t>
      </w:r>
    </w:p>
    <w:p>
      <w:pPr>
        <w:pStyle w:val="Subsection"/>
        <w:spacing w:before="120"/>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pPr>
        <w:pStyle w:val="Subsection"/>
        <w:spacing w:before="120"/>
        <w:rPr>
          <w:snapToGrid w:val="0"/>
        </w:rPr>
      </w:pPr>
      <w:r>
        <w:rPr>
          <w:snapToGrid w:val="0"/>
        </w:rPr>
        <w:tab/>
        <w:t>(2)</w:t>
      </w:r>
      <w:r>
        <w:rPr>
          <w:snapToGrid w:val="0"/>
        </w:rPr>
        <w:tab/>
        <w:t>Subsection (1) does not apply in relation to proceedings against a coroner for anything done in bad faith.</w:t>
      </w:r>
    </w:p>
    <w:p>
      <w:pPr>
        <w:pStyle w:val="Heading5"/>
        <w:spacing w:before="180"/>
        <w:rPr>
          <w:snapToGrid w:val="0"/>
        </w:rPr>
      </w:pPr>
      <w:bookmarkStart w:id="532" w:name="_Toc507474242"/>
      <w:bookmarkStart w:id="533" w:name="_Toc513604090"/>
      <w:bookmarkStart w:id="534" w:name="_Toc84823376"/>
      <w:bookmarkStart w:id="535" w:name="_Toc129058401"/>
      <w:bookmarkStart w:id="536" w:name="_Toc271188797"/>
      <w:r>
        <w:rPr>
          <w:rStyle w:val="CharSectno"/>
        </w:rPr>
        <w:t>57</w:t>
      </w:r>
      <w:r>
        <w:rPr>
          <w:snapToGrid w:val="0"/>
        </w:rPr>
        <w:t>.</w:t>
      </w:r>
      <w:r>
        <w:rPr>
          <w:snapToGrid w:val="0"/>
        </w:rPr>
        <w:tab/>
        <w:t>Review of Act</w:t>
      </w:r>
      <w:bookmarkEnd w:id="532"/>
      <w:bookmarkEnd w:id="533"/>
      <w:bookmarkEnd w:id="534"/>
      <w:bookmarkEnd w:id="535"/>
      <w:bookmarkEnd w:id="536"/>
      <w:r>
        <w:rPr>
          <w:snapToGrid w:val="0"/>
        </w:rPr>
        <w:t> </w:t>
      </w:r>
    </w:p>
    <w:p>
      <w:pPr>
        <w:pStyle w:val="Subsection"/>
        <w:spacing w:before="120"/>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 of the court;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pPr>
        <w:pStyle w:val="Heading5"/>
        <w:rPr>
          <w:snapToGrid w:val="0"/>
        </w:rPr>
      </w:pPr>
      <w:bookmarkStart w:id="537" w:name="_Toc507474243"/>
      <w:bookmarkStart w:id="538" w:name="_Toc513604091"/>
      <w:bookmarkStart w:id="539" w:name="_Toc84823377"/>
      <w:bookmarkStart w:id="540" w:name="_Toc129058402"/>
      <w:bookmarkStart w:id="541" w:name="_Toc271188798"/>
      <w:r>
        <w:rPr>
          <w:rStyle w:val="CharSectno"/>
        </w:rPr>
        <w:t>58</w:t>
      </w:r>
      <w:r>
        <w:rPr>
          <w:snapToGrid w:val="0"/>
        </w:rPr>
        <w:t>.</w:t>
      </w:r>
      <w:r>
        <w:rPr>
          <w:snapToGrid w:val="0"/>
        </w:rPr>
        <w:tab/>
        <w:t>Guidelines</w:t>
      </w:r>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pPr>
        <w:pStyle w:val="Subsection"/>
        <w:rPr>
          <w:snapToGrid w:val="0"/>
        </w:rPr>
      </w:pPr>
      <w:r>
        <w:rPr>
          <w:snapToGrid w:val="0"/>
        </w:rPr>
        <w:tab/>
        <w:t>(2)</w:t>
      </w:r>
      <w:r>
        <w:rPr>
          <w:snapToGrid w:val="0"/>
        </w:rPr>
        <w:tab/>
        <w:t>Without limiting the generality of subsection (1), the State Coroner may issue guidelines relating to — </w:t>
      </w:r>
    </w:p>
    <w:p>
      <w:pPr>
        <w:pStyle w:val="Indenta"/>
        <w:rPr>
          <w:snapToGrid w:val="0"/>
        </w:rPr>
      </w:pPr>
      <w:r>
        <w:rPr>
          <w:snapToGrid w:val="0"/>
        </w:rPr>
        <w:tab/>
        <w:t>(a)</w:t>
      </w:r>
      <w:r>
        <w:rPr>
          <w:snapToGrid w:val="0"/>
        </w:rPr>
        <w:tab/>
        <w:t xml:space="preserve">the administration of the State coronial system; </w:t>
      </w:r>
    </w:p>
    <w:p>
      <w:pPr>
        <w:pStyle w:val="Indenta"/>
        <w:rPr>
          <w:snapToGrid w:val="0"/>
        </w:rPr>
      </w:pPr>
      <w:r>
        <w:rPr>
          <w:snapToGrid w:val="0"/>
        </w:rPr>
        <w:tab/>
        <w:t>(b)</w:t>
      </w:r>
      <w:r>
        <w:rPr>
          <w:snapToGrid w:val="0"/>
        </w:rPr>
        <w:tab/>
        <w:t>forms that are to be used and the circumstances when a particular form is appropriate;</w:t>
      </w:r>
    </w:p>
    <w:p>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pPr>
        <w:pStyle w:val="Indenta"/>
        <w:rPr>
          <w:snapToGrid w:val="0"/>
        </w:rPr>
      </w:pPr>
      <w:r>
        <w:rPr>
          <w:snapToGrid w:val="0"/>
        </w:rPr>
        <w:tab/>
        <w:t>(d)</w:t>
      </w:r>
      <w:r>
        <w:rPr>
          <w:snapToGrid w:val="0"/>
        </w:rPr>
        <w:tab/>
        <w:t>the establishment and functions of an advisory ethics committee;</w:t>
      </w:r>
    </w:p>
    <w:p>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pPr>
        <w:pStyle w:val="Indenta"/>
        <w:rPr>
          <w:snapToGrid w:val="0"/>
        </w:rPr>
      </w:pPr>
      <w:r>
        <w:rPr>
          <w:snapToGrid w:val="0"/>
        </w:rPr>
        <w:tab/>
        <w:t>(f)</w:t>
      </w:r>
      <w:r>
        <w:rPr>
          <w:snapToGrid w:val="0"/>
        </w:rPr>
        <w:tab/>
        <w:t>tissue removed under section 34(2).</w:t>
      </w:r>
    </w:p>
    <w:p>
      <w:pPr>
        <w:pStyle w:val="Heading5"/>
        <w:rPr>
          <w:snapToGrid w:val="0"/>
        </w:rPr>
      </w:pPr>
      <w:bookmarkStart w:id="542" w:name="_Toc507474244"/>
      <w:bookmarkStart w:id="543" w:name="_Toc513604092"/>
      <w:bookmarkStart w:id="544" w:name="_Toc84823378"/>
      <w:bookmarkStart w:id="545" w:name="_Toc129058403"/>
      <w:bookmarkStart w:id="546" w:name="_Toc271188799"/>
      <w:r>
        <w:rPr>
          <w:rStyle w:val="CharSectno"/>
        </w:rPr>
        <w:t>59</w:t>
      </w:r>
      <w:r>
        <w:rPr>
          <w:snapToGrid w:val="0"/>
        </w:rPr>
        <w:t>.</w:t>
      </w:r>
      <w:r>
        <w:rPr>
          <w:snapToGrid w:val="0"/>
        </w:rPr>
        <w:tab/>
        <w:t>Regulations</w:t>
      </w:r>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giving effect to the purposes of this Act. </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specify the matters to be taken into account when considering whether or not a post mortem examination should be performed;</w:t>
      </w:r>
    </w:p>
    <w:p>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snapToGrid w:val="0"/>
        </w:rPr>
        <w:t xml:space="preserve"> in prescribed circumstances or in relation to a prescribed group or class of persons;</w:t>
      </w:r>
    </w:p>
    <w:p>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pPr>
        <w:pStyle w:val="Heading2"/>
        <w:ind w:left="720"/>
      </w:pPr>
      <w:bookmarkStart w:id="547" w:name="_Toc72892655"/>
      <w:bookmarkStart w:id="548" w:name="_Toc84823379"/>
      <w:bookmarkStart w:id="549" w:name="_Toc84823514"/>
      <w:bookmarkStart w:id="550" w:name="_Toc84823595"/>
      <w:bookmarkStart w:id="551" w:name="_Toc84823676"/>
      <w:bookmarkStart w:id="552" w:name="_Toc89507986"/>
      <w:bookmarkStart w:id="553" w:name="_Toc101346741"/>
      <w:bookmarkStart w:id="554" w:name="_Toc101346894"/>
      <w:bookmarkStart w:id="555" w:name="_Toc103588834"/>
      <w:bookmarkStart w:id="556" w:name="_Toc104197068"/>
      <w:bookmarkStart w:id="557" w:name="_Toc104197689"/>
      <w:bookmarkStart w:id="558" w:name="_Toc104784983"/>
      <w:bookmarkStart w:id="559" w:name="_Toc104869547"/>
      <w:bookmarkStart w:id="560" w:name="_Toc107287712"/>
      <w:bookmarkStart w:id="561" w:name="_Toc128390256"/>
      <w:bookmarkStart w:id="562" w:name="_Toc129058404"/>
      <w:bookmarkStart w:id="563" w:name="_Toc199670522"/>
      <w:bookmarkStart w:id="564" w:name="_Toc215478102"/>
      <w:bookmarkStart w:id="565" w:name="_Toc223842812"/>
      <w:bookmarkStart w:id="566" w:name="_Toc271188800"/>
      <w:r>
        <w:rPr>
          <w:rStyle w:val="CharPartNo"/>
        </w:rPr>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Ednotesection"/>
        <w:ind w:left="0" w:firstLine="0"/>
      </w:pPr>
      <w:r>
        <w:t>[</w:t>
      </w:r>
      <w:r>
        <w:rPr>
          <w:b/>
        </w:rPr>
        <w:t>60.</w:t>
      </w:r>
      <w:r>
        <w:rPr>
          <w:b/>
        </w:rPr>
        <w:tab/>
      </w:r>
      <w:r>
        <w:t>Omitted under the Reprints Act 1984 s. 7(4)(f).]</w:t>
      </w:r>
    </w:p>
    <w:p>
      <w:pPr>
        <w:pStyle w:val="Ednotesection"/>
      </w:pPr>
      <w:r>
        <w:t>[</w:t>
      </w:r>
      <w:r>
        <w:rPr>
          <w:b/>
        </w:rPr>
        <w:t>61.</w:t>
      </w:r>
      <w:r>
        <w:rPr>
          <w:b/>
        </w:rPr>
        <w:tab/>
      </w:r>
      <w:r>
        <w:t>Omitted under the Reprints Act 1984 s. 7(4)(e).]</w:t>
      </w:r>
    </w:p>
    <w:p>
      <w:pPr>
        <w:pStyle w:val="Heading5"/>
      </w:pPr>
      <w:bookmarkStart w:id="567" w:name="_Toc84823381"/>
      <w:bookmarkStart w:id="568" w:name="_Toc129058405"/>
      <w:bookmarkStart w:id="569" w:name="_Toc271188801"/>
      <w:r>
        <w:rPr>
          <w:rStyle w:val="CharSectno"/>
        </w:rPr>
        <w:t>62</w:t>
      </w:r>
      <w:r>
        <w:t>.</w:t>
      </w:r>
      <w:r>
        <w:tab/>
        <w:t>Application of Act to deaths which occurred before Act came into operation</w:t>
      </w:r>
      <w:bookmarkEnd w:id="567"/>
      <w:bookmarkEnd w:id="568"/>
      <w:bookmarkEnd w:id="569"/>
    </w:p>
    <w:p>
      <w:pPr>
        <w:pStyle w:val="Subsection"/>
      </w:pPr>
      <w:r>
        <w:tab/>
      </w:r>
      <w:r>
        <w:tab/>
        <w:t>This Act applies to and in respect of deaths which occurred before this Act came into operation.</w:t>
      </w:r>
    </w:p>
    <w:p>
      <w:pPr>
        <w:pStyle w:val="Footnotesection"/>
        <w:keepLines w:val="0"/>
      </w:pPr>
      <w:r>
        <w:tab/>
        <w:t>[Section 62 inserted by No. 15 of 2003 s. 14(1).]</w:t>
      </w:r>
    </w:p>
    <w:p>
      <w:pPr>
        <w:pStyle w:val="yEdnoteschedule"/>
      </w:pPr>
      <w:r>
        <w:t>[Schedule 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570" w:name="_Toc72892658"/>
      <w:bookmarkStart w:id="571" w:name="_Toc84823382"/>
      <w:bookmarkStart w:id="572" w:name="_Toc84823517"/>
      <w:bookmarkStart w:id="573" w:name="_Toc84823598"/>
      <w:bookmarkStart w:id="574" w:name="_Toc84823679"/>
      <w:bookmarkStart w:id="575" w:name="_Toc89507989"/>
      <w:bookmarkStart w:id="576" w:name="_Toc101346744"/>
      <w:bookmarkStart w:id="577" w:name="_Toc101346897"/>
      <w:bookmarkStart w:id="578" w:name="_Toc103588837"/>
      <w:bookmarkStart w:id="579" w:name="_Toc104197071"/>
      <w:bookmarkStart w:id="580" w:name="_Toc104197692"/>
      <w:bookmarkStart w:id="581" w:name="_Toc104784985"/>
      <w:bookmarkStart w:id="582" w:name="_Toc104869549"/>
      <w:bookmarkStart w:id="583" w:name="_Toc107287714"/>
      <w:bookmarkStart w:id="584" w:name="_Toc128390258"/>
      <w:bookmarkStart w:id="585" w:name="_Toc129058406"/>
      <w:bookmarkStart w:id="586" w:name="_Toc199670524"/>
      <w:bookmarkStart w:id="587" w:name="_Toc215478104"/>
      <w:bookmarkStart w:id="588" w:name="_Toc223842814"/>
      <w:bookmarkStart w:id="589" w:name="_Toc271188802"/>
      <w:r>
        <w:t>Notes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590" w:name="_Toc271188803"/>
      <w:r>
        <w:t>Compilation table</w:t>
      </w:r>
      <w:bookmarkEnd w:id="590"/>
    </w:p>
    <w:tbl>
      <w:tblPr>
        <w:tblW w:w="7087" w:type="dxa"/>
        <w:tblInd w:w="32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Coroners Act 1996</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i/>
                <w:sz w:val="19"/>
              </w:rPr>
            </w:pPr>
            <w:r>
              <w:rPr>
                <w:i/>
                <w:sz w:val="19"/>
              </w:rPr>
              <w:t xml:space="preserve">Acts Repeal and Amendment (Births, Deaths and Marriages Registration) Act 1998 </w:t>
            </w:r>
            <w:r>
              <w:rPr>
                <w:sz w:val="19"/>
              </w:rPr>
              <w:t>s. 8</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4</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ind w:right="113"/>
              <w:rPr>
                <w:i/>
                <w:sz w:val="19"/>
              </w:rPr>
            </w:pPr>
            <w:r>
              <w:rPr>
                <w:i/>
                <w:sz w:val="19"/>
              </w:rPr>
              <w:t>Coroners Amendment Act 2000</w:t>
            </w:r>
          </w:p>
        </w:tc>
        <w:tc>
          <w:tcPr>
            <w:tcW w:w="1134" w:type="dxa"/>
          </w:tcPr>
          <w:p>
            <w:pPr>
              <w:pStyle w:val="nTable"/>
              <w:spacing w:after="40"/>
              <w:rPr>
                <w:sz w:val="19"/>
              </w:rPr>
            </w:pPr>
            <w:r>
              <w:rPr>
                <w:sz w:val="19"/>
              </w:rPr>
              <w:t>8 of 2000</w:t>
            </w:r>
          </w:p>
        </w:tc>
        <w:tc>
          <w:tcPr>
            <w:tcW w:w="1134" w:type="dxa"/>
          </w:tcPr>
          <w:p>
            <w:pPr>
              <w:pStyle w:val="nTable"/>
              <w:spacing w:after="40"/>
              <w:rPr>
                <w:sz w:val="19"/>
              </w:rPr>
            </w:pPr>
            <w:r>
              <w:rPr>
                <w:sz w:val="19"/>
              </w:rPr>
              <w:t>12 May 2000</w:t>
            </w:r>
          </w:p>
        </w:tc>
        <w:tc>
          <w:tcPr>
            <w:tcW w:w="2551" w:type="dxa"/>
          </w:tcPr>
          <w:p>
            <w:pPr>
              <w:pStyle w:val="nTable"/>
              <w:spacing w:after="40"/>
              <w:rPr>
                <w:sz w:val="19"/>
              </w:rPr>
            </w:pPr>
            <w:r>
              <w:rPr>
                <w:sz w:val="19"/>
              </w:rPr>
              <w:t>9 Jun 2000</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36(1)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7087" w:type="dxa"/>
            <w:gridSpan w:val="4"/>
          </w:tcPr>
          <w:p>
            <w:pPr>
              <w:pStyle w:val="nTable"/>
              <w:spacing w:after="40"/>
              <w:rPr>
                <w:sz w:val="19"/>
              </w:rPr>
            </w:pPr>
            <w:r>
              <w:rPr>
                <w:b/>
                <w:sz w:val="19"/>
              </w:rPr>
              <w:t xml:space="preserve">Reprint of the </w:t>
            </w:r>
            <w:r>
              <w:rPr>
                <w:b/>
                <w:i/>
                <w:sz w:val="19"/>
              </w:rPr>
              <w:t>Coroners Act 1996</w:t>
            </w:r>
            <w:r>
              <w:rPr>
                <w:b/>
                <w:sz w:val="19"/>
              </w:rPr>
              <w:t xml:space="preserve"> as at 3 Aug 2001 </w:t>
            </w:r>
            <w:r>
              <w:rPr>
                <w:sz w:val="19"/>
              </w:rPr>
              <w:t>(includes amendments listed above)</w:t>
            </w:r>
          </w:p>
        </w:tc>
      </w:tr>
      <w:tr>
        <w:trPr>
          <w:cantSplit/>
        </w:trPr>
        <w:tc>
          <w:tcPr>
            <w:tcW w:w="2268" w:type="dxa"/>
          </w:tcPr>
          <w:p>
            <w:pPr>
              <w:pStyle w:val="nTable"/>
              <w:spacing w:after="40"/>
              <w:ind w:right="113"/>
              <w:rPr>
                <w:i/>
                <w:sz w:val="19"/>
              </w:rPr>
            </w:pPr>
            <w:r>
              <w:rPr>
                <w:i/>
                <w:sz w:val="19"/>
              </w:rPr>
              <w:t xml:space="preserve">Acts Amendment (Criminal Investigation) Act 2001 </w:t>
            </w:r>
            <w:r>
              <w:rPr>
                <w:sz w:val="19"/>
              </w:rPr>
              <w:t>s. 3</w:t>
            </w:r>
          </w:p>
        </w:tc>
        <w:tc>
          <w:tcPr>
            <w:tcW w:w="1134" w:type="dxa"/>
          </w:tcPr>
          <w:p>
            <w:pPr>
              <w:pStyle w:val="nTable"/>
              <w:spacing w:after="40"/>
              <w:rPr>
                <w:sz w:val="19"/>
              </w:rPr>
            </w:pPr>
            <w:r>
              <w:rPr>
                <w:sz w:val="19"/>
              </w:rPr>
              <w:t>35 of 2001</w:t>
            </w:r>
          </w:p>
        </w:tc>
        <w:tc>
          <w:tcPr>
            <w:tcW w:w="1134" w:type="dxa"/>
          </w:tcPr>
          <w:p>
            <w:pPr>
              <w:pStyle w:val="nTable"/>
              <w:spacing w:after="40"/>
              <w:rPr>
                <w:sz w:val="19"/>
              </w:rPr>
            </w:pPr>
            <w:r>
              <w:rPr>
                <w:sz w:val="19"/>
              </w:rPr>
              <w:t>7 Jan 2002</w:t>
            </w:r>
          </w:p>
        </w:tc>
        <w:tc>
          <w:tcPr>
            <w:tcW w:w="2551" w:type="dxa"/>
          </w:tcPr>
          <w:p>
            <w:pPr>
              <w:pStyle w:val="nTable"/>
              <w:spacing w:after="40"/>
              <w:rPr>
                <w:sz w:val="19"/>
              </w:rPr>
            </w:pPr>
            <w:r>
              <w:rPr>
                <w:sz w:val="19"/>
              </w:rPr>
              <w:t>14 Jan 2002 (see s. 2)</w:t>
            </w:r>
          </w:p>
        </w:tc>
      </w:tr>
      <w:tr>
        <w:trPr>
          <w:cantSplit/>
        </w:trPr>
        <w:tc>
          <w:tcPr>
            <w:tcW w:w="2268" w:type="dxa"/>
          </w:tcPr>
          <w:p>
            <w:pPr>
              <w:pStyle w:val="nTable"/>
              <w:spacing w:after="40"/>
              <w:ind w:right="113"/>
              <w:rPr>
                <w:i/>
                <w:sz w:val="19"/>
              </w:rPr>
            </w:pPr>
            <w:r>
              <w:rPr>
                <w:i/>
                <w:sz w:val="19"/>
              </w:rPr>
              <w:t>Coroners Amendment Act 2003</w:t>
            </w:r>
            <w:r>
              <w:rPr>
                <w:sz w:val="19"/>
                <w:vertAlign w:val="superscript"/>
              </w:rPr>
              <w:t> 5</w:t>
            </w:r>
          </w:p>
        </w:tc>
        <w:tc>
          <w:tcPr>
            <w:tcW w:w="1134" w:type="dxa"/>
          </w:tcPr>
          <w:p>
            <w:pPr>
              <w:pStyle w:val="nTable"/>
              <w:spacing w:after="40"/>
              <w:rPr>
                <w:sz w:val="19"/>
              </w:rPr>
            </w:pPr>
            <w:r>
              <w:rPr>
                <w:sz w:val="19"/>
              </w:rPr>
              <w:t>15 of 2003</w:t>
            </w:r>
          </w:p>
        </w:tc>
        <w:tc>
          <w:tcPr>
            <w:tcW w:w="1134" w:type="dxa"/>
          </w:tcPr>
          <w:p>
            <w:pPr>
              <w:pStyle w:val="nTable"/>
              <w:spacing w:after="40"/>
              <w:rPr>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2268" w:type="dxa"/>
          </w:tcPr>
          <w:p>
            <w:pPr>
              <w:pStyle w:val="nTable"/>
              <w:spacing w:after="40"/>
              <w:ind w:right="113"/>
              <w:rPr>
                <w:sz w:val="19"/>
                <w:vertAlign w:val="superscript"/>
              </w:rPr>
            </w:pPr>
            <w:r>
              <w:rPr>
                <w:i/>
                <w:sz w:val="19"/>
              </w:rPr>
              <w:t>Acts Amendment (Equality of Status) Act 2003</w:t>
            </w:r>
            <w:r>
              <w:rPr>
                <w:sz w:val="19"/>
              </w:rPr>
              <w:t xml:space="preserve"> Pt. 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25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sz w:val="19"/>
              </w:rPr>
            </w:pPr>
            <w:r>
              <w:rPr>
                <w:i/>
                <w:sz w:val="19"/>
              </w:rPr>
              <w:t>Coroners Amendment Act 2004</w:t>
            </w:r>
            <w:r>
              <w:rPr>
                <w:sz w:val="19"/>
              </w:rPr>
              <w:t xml:space="preserve"> </w:t>
            </w:r>
          </w:p>
        </w:tc>
        <w:tc>
          <w:tcPr>
            <w:tcW w:w="1134" w:type="dxa"/>
          </w:tcPr>
          <w:p>
            <w:pPr>
              <w:pStyle w:val="nTable"/>
              <w:spacing w:after="40"/>
              <w:rPr>
                <w:sz w:val="19"/>
              </w:rPr>
            </w:pPr>
            <w:r>
              <w:rPr>
                <w:sz w:val="19"/>
              </w:rPr>
              <w:t>22 of 2004</w:t>
            </w:r>
          </w:p>
        </w:tc>
        <w:tc>
          <w:tcPr>
            <w:tcW w:w="1134" w:type="dxa"/>
          </w:tcPr>
          <w:p>
            <w:pPr>
              <w:pStyle w:val="nTable"/>
              <w:spacing w:after="40"/>
              <w:rPr>
                <w:sz w:val="19"/>
              </w:rPr>
            </w:pPr>
            <w:r>
              <w:rPr>
                <w:sz w:val="19"/>
              </w:rPr>
              <w:t>8 Sep 2004</w:t>
            </w:r>
          </w:p>
        </w:tc>
        <w:tc>
          <w:tcPr>
            <w:tcW w:w="2551" w:type="dxa"/>
          </w:tcPr>
          <w:p>
            <w:pPr>
              <w:pStyle w:val="nTable"/>
              <w:spacing w:after="40"/>
              <w:rPr>
                <w:sz w:val="19"/>
              </w:rPr>
            </w:pPr>
            <w:r>
              <w:rPr>
                <w:sz w:val="19"/>
              </w:rPr>
              <w:t>6 Oct 2004</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Pt. 8</w:t>
            </w:r>
            <w:r>
              <w:rPr>
                <w:snapToGrid w:val="0"/>
                <w:sz w:val="19"/>
                <w:vertAlign w:val="superscript"/>
                <w:lang w:val="en-US"/>
              </w:rPr>
              <w:t> 6</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7087" w:type="dxa"/>
            <w:gridSpan w:val="4"/>
          </w:tcPr>
          <w:p>
            <w:pPr>
              <w:pStyle w:val="nTable"/>
              <w:spacing w:after="40"/>
              <w:rPr>
                <w:sz w:val="19"/>
              </w:rPr>
            </w:pPr>
            <w:r>
              <w:rPr>
                <w:b/>
                <w:sz w:val="19"/>
              </w:rPr>
              <w:t xml:space="preserve">Reprint 2: The </w:t>
            </w:r>
            <w:r>
              <w:rPr>
                <w:b/>
                <w:i/>
                <w:sz w:val="19"/>
              </w:rPr>
              <w:t>Coroners Act 1996</w:t>
            </w:r>
            <w:r>
              <w:rPr>
                <w:b/>
                <w:sz w:val="19"/>
              </w:rPr>
              <w:t xml:space="preserve"> as at 10 Jun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652 </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1"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8" w:type="dxa"/>
            <w:tcBorders>
              <w:bottom w:val="single" w:sz="4" w:space="0" w:color="auto"/>
            </w:tcBorders>
          </w:tcPr>
          <w:p>
            <w:pPr>
              <w:pStyle w:val="nTable"/>
              <w:spacing w:after="40"/>
              <w:ind w:right="113"/>
              <w:rPr>
                <w:iCs/>
                <w:sz w:val="19"/>
              </w:rPr>
            </w:pPr>
            <w:r>
              <w:rPr>
                <w:i/>
                <w:snapToGrid w:val="0"/>
                <w:sz w:val="19"/>
                <w:lang w:val="en-US"/>
              </w:rPr>
              <w:t>Medical Practitioners Act 2008</w:t>
            </w:r>
            <w:r>
              <w:rPr>
                <w:iCs/>
                <w:snapToGrid w:val="0"/>
                <w:sz w:val="19"/>
                <w:lang w:val="en-US"/>
              </w:rPr>
              <w:t xml:space="preserve"> s. 162</w:t>
            </w:r>
          </w:p>
        </w:tc>
        <w:tc>
          <w:tcPr>
            <w:tcW w:w="1134" w:type="dxa"/>
            <w:tcBorders>
              <w:bottom w:val="single" w:sz="4" w:space="0" w:color="auto"/>
            </w:tcBorders>
          </w:tcPr>
          <w:p>
            <w:pPr>
              <w:pStyle w:val="nTable"/>
              <w:spacing w:after="40"/>
              <w:rPr>
                <w:sz w:val="19"/>
              </w:rPr>
            </w:pPr>
            <w:r>
              <w:rPr>
                <w:snapToGrid w:val="0"/>
                <w:sz w:val="19"/>
                <w:lang w:val="en-US"/>
              </w:rPr>
              <w:t>22 of 2008</w:t>
            </w:r>
          </w:p>
        </w:tc>
        <w:tc>
          <w:tcPr>
            <w:tcW w:w="1134" w:type="dxa"/>
            <w:tcBorders>
              <w:bottom w:val="single" w:sz="4" w:space="0" w:color="auto"/>
            </w:tcBorders>
          </w:tcPr>
          <w:p>
            <w:pPr>
              <w:pStyle w:val="nTable"/>
              <w:spacing w:after="40"/>
              <w:rPr>
                <w:sz w:val="19"/>
              </w:rPr>
            </w:pPr>
            <w:r>
              <w:rPr>
                <w:sz w:val="19"/>
              </w:rPr>
              <w:t>27 May 2008</w:t>
            </w:r>
          </w:p>
        </w:tc>
        <w:tc>
          <w:tcPr>
            <w:tcW w:w="2551" w:type="dxa"/>
            <w:tcBorders>
              <w:bottom w:val="single" w:sz="4" w:space="0" w:color="auto"/>
            </w:tcBorders>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spacing w:before="180"/>
        <w:ind w:left="482" w:hanging="482"/>
      </w:pPr>
      <w:r>
        <w:rPr>
          <w:vertAlign w:val="superscript"/>
        </w:rPr>
        <w:t>1a</w:t>
      </w:r>
      <w:r>
        <w:tab/>
        <w:t>On the date as at which thi</w:t>
      </w:r>
      <w:bookmarkStart w:id="591" w:name="_Hlt507390729"/>
      <w:bookmarkEnd w:id="591"/>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200"/>
      </w:pPr>
      <w:bookmarkStart w:id="592" w:name="_Toc511027268"/>
      <w:bookmarkStart w:id="593" w:name="_Toc84823384"/>
      <w:bookmarkStart w:id="594" w:name="_Toc129058408"/>
      <w:bookmarkStart w:id="595" w:name="_Toc271188804"/>
      <w:r>
        <w:t>Provisions that have not come into operation</w:t>
      </w:r>
      <w:bookmarkEnd w:id="592"/>
      <w:bookmarkEnd w:id="593"/>
      <w:bookmarkEnd w:id="594"/>
      <w:bookmarkEnd w:id="59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5"/>
        <w:gridCol w:w="2552"/>
        <w:gridCol w:w="93"/>
      </w:tblGrid>
      <w:tr>
        <w:trPr>
          <w:gridAfter w:val="1"/>
          <w:wAfter w:w="93" w:type="dxa"/>
          <w:cantSplit/>
          <w:tblHeader/>
        </w:trPr>
        <w:tc>
          <w:tcPr>
            <w:tcW w:w="2268" w:type="dxa"/>
            <w:tcBorders>
              <w:top w:val="single" w:sz="8" w:space="0" w:color="auto"/>
              <w:bottom w:val="single" w:sz="4"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4"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4" w:space="0" w:color="auto"/>
            </w:tcBorders>
          </w:tcPr>
          <w:p>
            <w:pPr>
              <w:pStyle w:val="nTable"/>
              <w:spacing w:before="60" w:after="60"/>
              <w:rPr>
                <w:b/>
                <w:sz w:val="19"/>
              </w:rPr>
            </w:pPr>
            <w:r>
              <w:rPr>
                <w:b/>
                <w:sz w:val="19"/>
              </w:rPr>
              <w:t>Assent</w:t>
            </w:r>
          </w:p>
        </w:tc>
        <w:tc>
          <w:tcPr>
            <w:tcW w:w="2552" w:type="dxa"/>
            <w:tcBorders>
              <w:top w:val="single" w:sz="8" w:space="0" w:color="auto"/>
              <w:bottom w:val="single" w:sz="4" w:space="0" w:color="auto"/>
            </w:tcBorders>
          </w:tcPr>
          <w:p>
            <w:pPr>
              <w:pStyle w:val="nTable"/>
              <w:spacing w:before="60" w:after="60"/>
              <w:rPr>
                <w:b/>
                <w:sz w:val="19"/>
              </w:rPr>
            </w:pPr>
            <w:r>
              <w:rPr>
                <w:b/>
                <w:sz w:val="19"/>
              </w:rPr>
              <w:t>Commencement</w:t>
            </w:r>
          </w:p>
        </w:tc>
      </w:tr>
      <w:tr>
        <w:trPr>
          <w:gridAfter w:val="1"/>
          <w:wAfter w:w="93" w:type="dxa"/>
          <w:cantSplit/>
        </w:trPr>
        <w:tc>
          <w:tcPr>
            <w:tcW w:w="2268" w:type="dxa"/>
            <w:tcBorders>
              <w:top w:val="single" w:sz="4" w:space="0" w:color="auto"/>
            </w:tcBorders>
          </w:tcPr>
          <w:p>
            <w:pPr>
              <w:pStyle w:val="nTable"/>
              <w:spacing w:after="40"/>
              <w:rPr>
                <w:i/>
                <w:sz w:val="19"/>
              </w:rPr>
            </w:pPr>
            <w:r>
              <w:rPr>
                <w:i/>
                <w:sz w:val="19"/>
              </w:rPr>
              <w:t>State Superannuation (Transitional and Consequential Provisions) Act 2000</w:t>
            </w:r>
            <w:r>
              <w:rPr>
                <w:sz w:val="19"/>
              </w:rPr>
              <w:t xml:space="preserve"> s. 36(2) </w:t>
            </w:r>
            <w:r>
              <w:rPr>
                <w:sz w:val="19"/>
                <w:vertAlign w:val="superscript"/>
              </w:rPr>
              <w:t>4</w:t>
            </w:r>
          </w:p>
        </w:tc>
        <w:tc>
          <w:tcPr>
            <w:tcW w:w="1134" w:type="dxa"/>
            <w:tcBorders>
              <w:top w:val="single" w:sz="4" w:space="0" w:color="auto"/>
            </w:tcBorders>
          </w:tcPr>
          <w:p>
            <w:pPr>
              <w:pStyle w:val="nTable"/>
              <w:spacing w:after="40"/>
              <w:rPr>
                <w:sz w:val="19"/>
              </w:rPr>
            </w:pPr>
            <w:r>
              <w:rPr>
                <w:sz w:val="19"/>
              </w:rPr>
              <w:t>43 of 2000</w:t>
            </w:r>
          </w:p>
        </w:tc>
        <w:tc>
          <w:tcPr>
            <w:tcW w:w="1134" w:type="dxa"/>
            <w:tcBorders>
              <w:top w:val="single" w:sz="4" w:space="0" w:color="auto"/>
            </w:tcBorders>
          </w:tcPr>
          <w:p>
            <w:pPr>
              <w:pStyle w:val="nTable"/>
              <w:spacing w:after="40"/>
              <w:rPr>
                <w:sz w:val="19"/>
              </w:rPr>
            </w:pPr>
            <w:r>
              <w:rPr>
                <w:sz w:val="19"/>
              </w:rPr>
              <w:t>2 Nov 2000</w:t>
            </w:r>
          </w:p>
        </w:tc>
        <w:tc>
          <w:tcPr>
            <w:tcW w:w="2552" w:type="dxa"/>
            <w:tcBorders>
              <w:top w:val="single" w:sz="4" w:space="0" w:color="auto"/>
            </w:tcBorders>
          </w:tcPr>
          <w:p>
            <w:pPr>
              <w:pStyle w:val="nTable"/>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11 </w:t>
            </w:r>
            <w:r>
              <w:rPr>
                <w:iCs/>
                <w:snapToGrid w:val="0"/>
                <w:sz w:val="19"/>
                <w:vertAlign w:val="superscript"/>
              </w:rPr>
              <w:t>7</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gridSpan w:val="2"/>
            <w:tcBorders>
              <w:top w:val="nil"/>
            </w:tcBorders>
          </w:tcPr>
          <w:p>
            <w:pPr>
              <w:pStyle w:val="nTable"/>
              <w:spacing w:after="40"/>
              <w:rPr>
                <w:snapToGrid w:val="0"/>
                <w:sz w:val="19"/>
                <w:lang w:val="en-US"/>
              </w:rPr>
            </w:pPr>
            <w:del w:id="596" w:author="svcMRProcess" w:date="2018-08-22T11:33:00Z">
              <w:r>
                <w:rPr>
                  <w:snapToGrid w:val="0"/>
                  <w:sz w:val="19"/>
                  <w:lang w:val="en-US"/>
                </w:rPr>
                <w:delText>To be proclaimed</w:delText>
              </w:r>
            </w:del>
            <w:ins w:id="597" w:author="svcMRProcess" w:date="2018-08-22T11:33:00Z">
              <w:r>
                <w:rPr>
                  <w:snapToGrid w:val="0"/>
                  <w:sz w:val="19"/>
                  <w:lang w:val="en-US"/>
                </w:rPr>
                <w:t>18 Oct 2010</w:t>
              </w:r>
            </w:ins>
            <w:r>
              <w:rPr>
                <w:snapToGrid w:val="0"/>
                <w:sz w:val="19"/>
                <w:lang w:val="en-US"/>
              </w:rPr>
              <w:t xml:space="preserve"> (see s. 2(b</w:t>
            </w:r>
            <w:del w:id="598" w:author="svcMRProcess" w:date="2018-08-22T11:33:00Z">
              <w:r>
                <w:rPr>
                  <w:snapToGrid w:val="0"/>
                  <w:sz w:val="19"/>
                  <w:lang w:val="en-US"/>
                </w:rPr>
                <w:delText>))</w:delText>
              </w:r>
            </w:del>
            <w:ins w:id="599" w:author="svcMRProcess" w:date="2018-08-22T11:33:00Z">
              <w:r>
                <w:rPr>
                  <w:snapToGrid w:val="0"/>
                  <w:sz w:val="19"/>
                  <w:lang w:val="en-US"/>
                </w:rPr>
                <w:t xml:space="preserve">) and </w:t>
              </w:r>
              <w:r>
                <w:rPr>
                  <w:i/>
                  <w:snapToGrid w:val="0"/>
                  <w:sz w:val="19"/>
                  <w:lang w:val="en-US"/>
                </w:rPr>
                <w:t xml:space="preserve">Gazette </w:t>
              </w:r>
              <w:r>
                <w:rPr>
                  <w:iCs/>
                  <w:snapToGrid w:val="0"/>
                  <w:sz w:val="19"/>
                  <w:lang w:val="en-US"/>
                </w:rPr>
                <w:t>1 Oct 2010 p. 5075-6</w:t>
              </w:r>
              <w:r>
                <w:rPr>
                  <w:snapToGrid w:val="0"/>
                  <w:sz w:val="19"/>
                  <w:lang w:val="en-US"/>
                </w:rPr>
                <w:t>)</w:t>
              </w:r>
            </w:ins>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t xml:space="preserve">The provision of this Act repealing that Act has been omitted under s. 7(4)(f) of the </w:t>
      </w:r>
      <w:r>
        <w:rPr>
          <w:i/>
          <w:snapToGrid w:val="0"/>
        </w:rPr>
        <w:t>Reprints Act 1984</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36(2) had not come into operation. It reads as follows:</w:t>
      </w:r>
    </w:p>
    <w:p>
      <w:pPr>
        <w:pStyle w:val="MiscOpen"/>
        <w:spacing w:before="0"/>
        <w:rPr>
          <w:snapToGrid w:val="0"/>
          <w:highlight w:val="cyan"/>
        </w:rPr>
      </w:pPr>
      <w:r>
        <w:rPr>
          <w:snapToGrid w:val="0"/>
        </w:rPr>
        <w:t>“</w:t>
      </w:r>
    </w:p>
    <w:p>
      <w:pPr>
        <w:pStyle w:val="nzSubsection"/>
        <w:spacing w:before="0"/>
      </w:pPr>
      <w:r>
        <w:tab/>
        <w:t>(2)</w:t>
      </w:r>
      <w:r>
        <w:tab/>
        <w:t xml:space="preserve">Section 6(5) of the </w:t>
      </w:r>
      <w:r>
        <w:rPr>
          <w:i/>
        </w:rPr>
        <w:t>Coroners Act 1996</w:t>
      </w:r>
      <w:r>
        <w:t xml:space="preserve"> is repealed.</w:t>
      </w:r>
    </w:p>
    <w:p>
      <w:pPr>
        <w:pStyle w:val="MiscClose"/>
        <w:keepLines w:val="0"/>
      </w:pPr>
      <w:r>
        <w:t>”.</w:t>
      </w:r>
    </w:p>
    <w:p>
      <w:pPr>
        <w:pStyle w:val="nSubsection"/>
        <w:keepNext/>
        <w:rPr>
          <w:snapToGrid w:val="0"/>
        </w:rPr>
      </w:pPr>
      <w:r>
        <w:rPr>
          <w:snapToGrid w:val="0"/>
          <w:vertAlign w:val="superscript"/>
        </w:rPr>
        <w:t>5</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pPr>
        <w:pStyle w:val="MiscOpen"/>
      </w:pPr>
      <w:r>
        <w:t>“</w:t>
      </w:r>
    </w:p>
    <w:p>
      <w:pPr>
        <w:pStyle w:val="nzSubsection"/>
      </w:pPr>
      <w:bookmarkStart w:id="600" w:name="_Hlt525544355"/>
      <w:bookmarkEnd w:id="600"/>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pPr>
        <w:pStyle w:val="nzSubsection"/>
      </w:pPr>
      <w:r>
        <w:tab/>
        <w:t>(3)</w:t>
      </w:r>
      <w:r>
        <w:tab/>
        <w:t xml:space="preserve">In subsection (2) — </w:t>
      </w:r>
    </w:p>
    <w:p>
      <w:pPr>
        <w:pStyle w:val="nzDefstart"/>
      </w:pPr>
      <w:r>
        <w:tab/>
      </w:r>
      <w:r>
        <w:rPr>
          <w:rStyle w:val="CharDefText"/>
        </w:rPr>
        <w:t>inquest part heard under that Act</w:t>
      </w:r>
      <w:r>
        <w:rPr>
          <w:b/>
        </w:rPr>
        <w:t xml:space="preserve"> </w:t>
      </w:r>
      <w:r>
        <w:t xml:space="preserve">means an inquest which, immediately before the commencement of this provision — </w:t>
      </w:r>
    </w:p>
    <w:p>
      <w:pPr>
        <w:pStyle w:val="nzDefpara"/>
      </w:pPr>
      <w:r>
        <w:tab/>
        <w:t>(a)</w:t>
      </w:r>
      <w:r>
        <w:tab/>
        <w:t>had commenced but had not concluded; and</w:t>
      </w:r>
    </w:p>
    <w:p>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pPr>
        <w:pStyle w:val="MiscClose"/>
        <w:rPr>
          <w:snapToGrid w:val="0"/>
        </w:rPr>
      </w:pPr>
      <w:r>
        <w:rPr>
          <w:snapToGrid w:val="0"/>
        </w:rPr>
        <w:t>”.</w:t>
      </w:r>
    </w:p>
    <w:p>
      <w:pPr>
        <w:pStyle w:val="nSubsection"/>
        <w:rPr>
          <w:snapToGrid w:val="0"/>
        </w:rPr>
      </w:pPr>
      <w:r>
        <w:rPr>
          <w:vertAlign w:val="superscript"/>
        </w:rPr>
        <w:t>6</w:t>
      </w:r>
      <w:r>
        <w:tab/>
      </w:r>
      <w:r>
        <w:rPr>
          <w:snapToGrid w:val="0"/>
        </w:rPr>
        <w:t xml:space="preserve">The </w:t>
      </w:r>
      <w:r>
        <w:rPr>
          <w:i/>
          <w:snapToGrid w:val="0"/>
          <w:lang w:val="en-US"/>
        </w:rPr>
        <w:t>Courts Legislation Amendment and Repeal Act 2004</w:t>
      </w:r>
      <w:r>
        <w:rPr>
          <w:snapToGrid w:val="0"/>
          <w:lang w:val="en-US"/>
        </w:rPr>
        <w:t xml:space="preserve"> s. 75(2) </w:t>
      </w:r>
      <w:r>
        <w:rPr>
          <w:snapToGrid w:val="0"/>
        </w:rPr>
        <w:t>reads as follows:</w:t>
      </w:r>
    </w:p>
    <w:p>
      <w:pPr>
        <w:pStyle w:val="MiscOpen"/>
        <w:rPr>
          <w:snapToGrid w:val="0"/>
        </w:rPr>
      </w:pPr>
      <w:r>
        <w:rPr>
          <w:snapToGrid w:val="0"/>
        </w:rPr>
        <w:t>“</w:t>
      </w:r>
    </w:p>
    <w:p>
      <w:pPr>
        <w:pStyle w:val="nzSubsection"/>
      </w:pPr>
      <w:r>
        <w:tab/>
        <w:t>(2)</w:t>
      </w:r>
      <w:r>
        <w:tab/>
        <w:t>If immediately before the commencement of this section a person holds office as a Coroner’s clerk, then on the commencement the person is to be taken to have been appointed as a Coroner’s registrar.</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11</w:t>
      </w:r>
      <w:r>
        <w:rPr>
          <w:snapToGrid w:val="0"/>
        </w:rPr>
        <w:t xml:space="preserve"> had not come into operation.  It reads as follows:</w:t>
      </w:r>
    </w:p>
    <w:p>
      <w:pPr>
        <w:pStyle w:val="BlankOpen"/>
      </w:pPr>
    </w:p>
    <w:p>
      <w:pPr>
        <w:pStyle w:val="nzHeading3"/>
      </w:pPr>
      <w:bookmarkStart w:id="601" w:name="_Toc262066626"/>
      <w:bookmarkStart w:id="602" w:name="_Toc270079175"/>
      <w:bookmarkStart w:id="603" w:name="_Toc270349095"/>
      <w:r>
        <w:rPr>
          <w:rStyle w:val="CharDivNo"/>
        </w:rPr>
        <w:t>Division 11</w:t>
      </w:r>
      <w:r>
        <w:t> — </w:t>
      </w:r>
      <w:r>
        <w:rPr>
          <w:rStyle w:val="CharDivText"/>
          <w:i/>
          <w:iCs/>
        </w:rPr>
        <w:t>Coroners Act 1996</w:t>
      </w:r>
      <w:r>
        <w:rPr>
          <w:rStyle w:val="CharDivText"/>
        </w:rPr>
        <w:t xml:space="preserve"> amended</w:t>
      </w:r>
      <w:bookmarkEnd w:id="601"/>
      <w:bookmarkEnd w:id="602"/>
      <w:bookmarkEnd w:id="603"/>
    </w:p>
    <w:p>
      <w:pPr>
        <w:pStyle w:val="nzHeading5"/>
      </w:pPr>
      <w:bookmarkStart w:id="604" w:name="_Toc270349096"/>
      <w:r>
        <w:rPr>
          <w:rStyle w:val="CharSectno"/>
        </w:rPr>
        <w:t>45</w:t>
      </w:r>
      <w:r>
        <w:t>.</w:t>
      </w:r>
      <w:r>
        <w:tab/>
        <w:t>Act amended</w:t>
      </w:r>
      <w:bookmarkEnd w:id="604"/>
    </w:p>
    <w:p>
      <w:pPr>
        <w:pStyle w:val="nzSubsection"/>
      </w:pPr>
      <w:r>
        <w:tab/>
      </w:r>
      <w:r>
        <w:tab/>
        <w:t xml:space="preserve">This Division amends the </w:t>
      </w:r>
      <w:r>
        <w:rPr>
          <w:i/>
          <w:iCs/>
        </w:rPr>
        <w:t>Coroners Act 1996</w:t>
      </w:r>
      <w:r>
        <w:t>.</w:t>
      </w:r>
    </w:p>
    <w:p>
      <w:pPr>
        <w:pStyle w:val="nzHeading5"/>
      </w:pPr>
      <w:bookmarkStart w:id="605" w:name="_Toc270349097"/>
      <w:r>
        <w:rPr>
          <w:rStyle w:val="CharSectno"/>
        </w:rPr>
        <w:t>46</w:t>
      </w:r>
      <w:r>
        <w:t>.</w:t>
      </w:r>
      <w:r>
        <w:tab/>
        <w:t>Section 3 amended</w:t>
      </w:r>
      <w:bookmarkEnd w:id="605"/>
    </w:p>
    <w:p>
      <w:pPr>
        <w:pStyle w:val="nzSubsection"/>
      </w:pPr>
      <w:r>
        <w:tab/>
      </w:r>
      <w:r>
        <w:tab/>
        <w:t xml:space="preserve">In section 3 delete the definition of </w:t>
      </w:r>
      <w:r>
        <w:rPr>
          <w:b/>
          <w:bCs/>
          <w:i/>
          <w:iCs/>
        </w:rPr>
        <w:t>doctor</w:t>
      </w:r>
      <w:r>
        <w:t xml:space="preserve"> and insert:</w:t>
      </w:r>
    </w:p>
    <w:p>
      <w:pPr>
        <w:pStyle w:val="BlankOpen"/>
      </w:pPr>
    </w:p>
    <w:p>
      <w:pPr>
        <w:pStyle w:val="nz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BlankClose"/>
      </w:pPr>
    </w:p>
    <w:p>
      <w:pPr>
        <w:pStyle w:val="BlankOpen"/>
      </w:pPr>
    </w:p>
    <w:p>
      <w:bookmarkStart w:id="606" w:name="UpToHere"/>
      <w:bookmarkEnd w:id="606"/>
    </w:p>
    <w:p>
      <w:pPr>
        <w:spacing w:after="40"/>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Coroners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Coroners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Coroners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Coroners Act 1996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Coroners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Coroners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AD1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D3242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1C20B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E04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928E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D883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00AD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FB0C1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A0EA3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C4AD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E70D4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27064B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10671</Words>
  <Characters>49304</Characters>
  <Application>Microsoft Office Word</Application>
  <DocSecurity>0</DocSecurity>
  <Lines>1332</Lines>
  <Paragraphs>740</Paragraphs>
  <ScaleCrop>false</ScaleCrop>
  <HeadingPairs>
    <vt:vector size="2" baseType="variant">
      <vt:variant>
        <vt:lpstr>Title</vt:lpstr>
      </vt:variant>
      <vt:variant>
        <vt:i4>1</vt:i4>
      </vt:variant>
    </vt:vector>
  </HeadingPairs>
  <TitlesOfParts>
    <vt:vector size="1" baseType="lpstr">
      <vt:lpstr>Coroners Act 1996</vt:lpstr>
    </vt:vector>
  </TitlesOfParts>
  <Manager/>
  <Company/>
  <LinksUpToDate>false</LinksUpToDate>
  <CharactersWithSpaces>59235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02-f0-01 - 02-g0-01</dc:title>
  <dc:subject/>
  <dc:creator/>
  <cp:keywords/>
  <dc:description/>
  <cp:lastModifiedBy>svcMRProcess</cp:lastModifiedBy>
  <cp:revision>2</cp:revision>
  <cp:lastPrinted>2005-06-20T07:27:00Z</cp:lastPrinted>
  <dcterms:created xsi:type="dcterms:W3CDTF">2018-08-22T03:33:00Z</dcterms:created>
  <dcterms:modified xsi:type="dcterms:W3CDTF">2018-08-22T03:33:00Z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185</vt:i4>
  </property>
  <property fmtid="{D5CDD505-2E9C-101B-9397-08002B2CF9AE}" pid="6" name="ReprintNo">
    <vt:lpwstr>2</vt:lpwstr>
  </property>
  <property fmtid="{D5CDD505-2E9C-101B-9397-08002B2CF9AE}" pid="7" name="FromSuffix">
    <vt:lpwstr>02-f0-01</vt:lpwstr>
  </property>
  <property fmtid="{D5CDD505-2E9C-101B-9397-08002B2CF9AE}" pid="8" name="FromAsAtDate">
    <vt:lpwstr>30 Aug 2010</vt:lpwstr>
  </property>
  <property fmtid="{D5CDD505-2E9C-101B-9397-08002B2CF9AE}" pid="9" name="ToSuffix">
    <vt:lpwstr>02-g0-01</vt:lpwstr>
  </property>
  <property fmtid="{D5CDD505-2E9C-101B-9397-08002B2CF9AE}" pid="10" name="ToAsAtDate">
    <vt:lpwstr>01 Oct 2010</vt:lpwstr>
  </property>
</Properties>
</file>