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Tribunal of Western Australia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200"/>
      </w:pPr>
      <w:r>
        <w:t>Coal Industry Tribunal of Western Australia Act 1992</w:t>
      </w:r>
    </w:p>
    <w:p>
      <w:pPr>
        <w:pStyle w:val="LongTitle"/>
        <w:rPr>
          <w:snapToGrid w:val="0"/>
        </w:rPr>
      </w:pPr>
      <w:r>
        <w:rPr>
          <w:snapToGrid w:val="0"/>
        </w:rPr>
        <w:t>A</w:t>
      </w:r>
      <w:bookmarkStart w:id="0" w:name="_GoBack"/>
      <w:bookmarkEnd w:id="0"/>
      <w:r>
        <w:rPr>
          <w:snapToGrid w:val="0"/>
        </w:rPr>
        <w:t>n Act to provide for the regulation of the coal industry, to constitute the Coal Industry Tribunal of Western Australia and for related purposes.</w:t>
      </w:r>
    </w:p>
    <w:p>
      <w:pPr>
        <w:pStyle w:val="Heading2"/>
      </w:pPr>
      <w:bookmarkStart w:id="1" w:name="_Toc89489760"/>
      <w:bookmarkStart w:id="2" w:name="_Toc97098570"/>
      <w:bookmarkStart w:id="3" w:name="_Toc101936615"/>
      <w:bookmarkStart w:id="4" w:name="_Toc103056611"/>
      <w:bookmarkStart w:id="5" w:name="_Toc199668605"/>
      <w:bookmarkStart w:id="6" w:name="_Toc199668685"/>
      <w:bookmarkStart w:id="7" w:name="_Toc199752001"/>
      <w:bookmarkStart w:id="8" w:name="_Toc223838976"/>
      <w:bookmarkStart w:id="9" w:name="_Toc226173135"/>
      <w:bookmarkStart w:id="10" w:name="_Toc226176152"/>
      <w:bookmarkStart w:id="11" w:name="_Toc228243685"/>
      <w:bookmarkStart w:id="12" w:name="_Toc228243736"/>
      <w:bookmarkStart w:id="13" w:name="_Toc232394519"/>
      <w:bookmarkStart w:id="14" w:name="_Toc241049170"/>
      <w:bookmarkStart w:id="15" w:name="_Toc241049595"/>
      <w:bookmarkStart w:id="16" w:name="_Toc2742022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11916250"/>
      <w:bookmarkStart w:id="18" w:name="_Toc103056612"/>
      <w:bookmarkStart w:id="19" w:name="_Toc274202272"/>
      <w:bookmarkStart w:id="20" w:name="_Toc241049596"/>
      <w:r>
        <w:rPr>
          <w:rStyle w:val="CharSectno"/>
        </w:rPr>
        <w:t>1</w:t>
      </w:r>
      <w:r>
        <w:rPr>
          <w:snapToGrid w:val="0"/>
        </w:rPr>
        <w:t>.</w:t>
      </w:r>
      <w:r>
        <w:rPr>
          <w:snapToGrid w:val="0"/>
        </w:rPr>
        <w:tab/>
        <w:t>Short title</w:t>
      </w:r>
      <w:bookmarkEnd w:id="17"/>
      <w:bookmarkEnd w:id="18"/>
      <w:bookmarkEnd w:id="19"/>
      <w:bookmarkEnd w:id="20"/>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21" w:name="_Toc411916251"/>
      <w:bookmarkStart w:id="22" w:name="_Toc103056613"/>
      <w:bookmarkStart w:id="23" w:name="_Toc274202273"/>
      <w:bookmarkStart w:id="24" w:name="_Toc241049597"/>
      <w:r>
        <w:rPr>
          <w:rStyle w:val="CharSectno"/>
        </w:rPr>
        <w:t>2</w:t>
      </w:r>
      <w:r>
        <w:rPr>
          <w:snapToGrid w:val="0"/>
        </w:rPr>
        <w:t>.</w:t>
      </w:r>
      <w:r>
        <w:rPr>
          <w:snapToGrid w:val="0"/>
        </w:rPr>
        <w:tab/>
        <w:t>Commencement</w:t>
      </w:r>
      <w:bookmarkEnd w:id="21"/>
      <w:bookmarkEnd w:id="22"/>
      <w:bookmarkEnd w:id="23"/>
      <w:bookmarkEnd w:id="24"/>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25" w:name="_Toc411916252"/>
      <w:bookmarkStart w:id="26" w:name="_Toc103056614"/>
      <w:bookmarkStart w:id="27" w:name="_Toc274202274"/>
      <w:bookmarkStart w:id="28" w:name="_Toc241049598"/>
      <w:r>
        <w:rPr>
          <w:rStyle w:val="CharSectno"/>
        </w:rPr>
        <w:t>3</w:t>
      </w:r>
      <w:r>
        <w:rPr>
          <w:snapToGrid w:val="0"/>
        </w:rPr>
        <w:t>.</w:t>
      </w:r>
      <w:r>
        <w:rPr>
          <w:snapToGrid w:val="0"/>
        </w:rPr>
        <w:tab/>
      </w:r>
      <w:bookmarkEnd w:id="25"/>
      <w:bookmarkEnd w:id="26"/>
      <w:r>
        <w:rPr>
          <w:snapToGrid w:val="0"/>
        </w:rPr>
        <w:t>Terms used</w:t>
      </w:r>
      <w:bookmarkEnd w:id="27"/>
      <w:bookmarkEnd w:id="28"/>
    </w:p>
    <w:p>
      <w:pPr>
        <w:pStyle w:val="Subsection"/>
        <w:spacing w:before="140"/>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p>
    <w:p>
      <w:pPr>
        <w:pStyle w:val="Defpara"/>
        <w:spacing w:before="60"/>
      </w:pPr>
      <w:r>
        <w:tab/>
        <w:t>(a)</w:t>
      </w:r>
      <w:r>
        <w:tab/>
        <w:t>a person employed in the coal mining industry of Western Australia by an employer to do work for hire or reward including an apprentice;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Footnotesection"/>
      </w:pPr>
      <w:r>
        <w:tab/>
        <w:t>[Section 3 amended by No. 44 of 2008 s. 51.]</w:t>
      </w:r>
    </w:p>
    <w:p>
      <w:pPr>
        <w:pStyle w:val="Ednotesection"/>
      </w:pPr>
      <w:r>
        <w:t>[</w:t>
      </w:r>
      <w:r>
        <w:rPr>
          <w:b/>
        </w:rPr>
        <w:t>3A-3C.</w:t>
      </w:r>
      <w:r>
        <w:tab/>
        <w:t>Deleted by No. 20 of 2002 s. 108.]</w:t>
      </w:r>
    </w:p>
    <w:p>
      <w:pPr>
        <w:pStyle w:val="Heading2"/>
      </w:pPr>
      <w:bookmarkStart w:id="29" w:name="_Toc89489764"/>
      <w:bookmarkStart w:id="30" w:name="_Toc97098574"/>
      <w:bookmarkStart w:id="31" w:name="_Toc101936619"/>
      <w:bookmarkStart w:id="32" w:name="_Toc103056615"/>
      <w:bookmarkStart w:id="33" w:name="_Toc199668609"/>
      <w:bookmarkStart w:id="34" w:name="_Toc199668689"/>
      <w:bookmarkStart w:id="35" w:name="_Toc199752005"/>
      <w:bookmarkStart w:id="36" w:name="_Toc223838980"/>
      <w:bookmarkStart w:id="37" w:name="_Toc226173139"/>
      <w:bookmarkStart w:id="38" w:name="_Toc226176156"/>
      <w:bookmarkStart w:id="39" w:name="_Toc228243689"/>
      <w:bookmarkStart w:id="40" w:name="_Toc228243740"/>
      <w:bookmarkStart w:id="41" w:name="_Toc232394523"/>
      <w:bookmarkStart w:id="42" w:name="_Toc241049174"/>
      <w:bookmarkStart w:id="43" w:name="_Toc241049599"/>
      <w:bookmarkStart w:id="44" w:name="_Toc274202275"/>
      <w:r>
        <w:rPr>
          <w:rStyle w:val="CharPartNo"/>
        </w:rPr>
        <w:t>Part 2</w:t>
      </w:r>
      <w:r>
        <w:rPr>
          <w:rStyle w:val="CharDivNo"/>
        </w:rPr>
        <w:t> </w:t>
      </w:r>
      <w:r>
        <w:t>—</w:t>
      </w:r>
      <w:r>
        <w:rPr>
          <w:rStyle w:val="CharDivText"/>
        </w:rPr>
        <w:t> </w:t>
      </w:r>
      <w:r>
        <w:rPr>
          <w:rStyle w:val="CharPartText"/>
        </w:rPr>
        <w:t>Coal Industry Tribunal of Western Australia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11916256"/>
      <w:bookmarkStart w:id="46" w:name="_Toc103056616"/>
      <w:bookmarkStart w:id="47" w:name="_Toc274202276"/>
      <w:bookmarkStart w:id="48" w:name="_Toc241049600"/>
      <w:r>
        <w:rPr>
          <w:rStyle w:val="CharSectno"/>
        </w:rPr>
        <w:t>4</w:t>
      </w:r>
      <w:r>
        <w:rPr>
          <w:snapToGrid w:val="0"/>
        </w:rPr>
        <w:t>.</w:t>
      </w:r>
      <w:r>
        <w:rPr>
          <w:snapToGrid w:val="0"/>
        </w:rPr>
        <w:tab/>
        <w:t>The Tribunal</w:t>
      </w:r>
      <w:bookmarkEnd w:id="45"/>
      <w:bookmarkEnd w:id="46"/>
      <w:bookmarkEnd w:id="47"/>
      <w:bookmarkEnd w:id="48"/>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49" w:name="_Toc411916257"/>
      <w:bookmarkStart w:id="50" w:name="_Toc103056617"/>
      <w:bookmarkStart w:id="51" w:name="_Toc274202277"/>
      <w:bookmarkStart w:id="52" w:name="_Toc241049601"/>
      <w:r>
        <w:rPr>
          <w:rStyle w:val="CharSectno"/>
        </w:rPr>
        <w:t>5</w:t>
      </w:r>
      <w:r>
        <w:rPr>
          <w:snapToGrid w:val="0"/>
        </w:rPr>
        <w:t>.</w:t>
      </w:r>
      <w:r>
        <w:rPr>
          <w:snapToGrid w:val="0"/>
        </w:rPr>
        <w:tab/>
        <w:t>Chairperson and deputy chairperson</w:t>
      </w:r>
      <w:bookmarkEnd w:id="49"/>
      <w:bookmarkEnd w:id="50"/>
      <w:bookmarkEnd w:id="51"/>
      <w:bookmarkEnd w:id="52"/>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53" w:name="_Toc411916258"/>
      <w:bookmarkStart w:id="54" w:name="_Toc103056618"/>
      <w:bookmarkStart w:id="55" w:name="_Toc274202278"/>
      <w:bookmarkStart w:id="56" w:name="_Toc241049602"/>
      <w:r>
        <w:rPr>
          <w:rStyle w:val="CharSectno"/>
        </w:rPr>
        <w:t>6</w:t>
      </w:r>
      <w:r>
        <w:rPr>
          <w:snapToGrid w:val="0"/>
        </w:rPr>
        <w:t>.</w:t>
      </w:r>
      <w:r>
        <w:rPr>
          <w:snapToGrid w:val="0"/>
        </w:rPr>
        <w:tab/>
        <w:t>Employer representatives and deputies</w:t>
      </w:r>
      <w:bookmarkEnd w:id="53"/>
      <w:bookmarkEnd w:id="54"/>
      <w:bookmarkEnd w:id="55"/>
      <w:bookmarkEnd w:id="56"/>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57" w:name="_Toc411916259"/>
      <w:bookmarkStart w:id="58" w:name="_Toc103056619"/>
      <w:bookmarkStart w:id="59" w:name="_Toc274202279"/>
      <w:bookmarkStart w:id="60" w:name="_Toc241049603"/>
      <w:r>
        <w:rPr>
          <w:rStyle w:val="CharSectno"/>
        </w:rPr>
        <w:t>7</w:t>
      </w:r>
      <w:r>
        <w:rPr>
          <w:snapToGrid w:val="0"/>
        </w:rPr>
        <w:t>.</w:t>
      </w:r>
      <w:r>
        <w:rPr>
          <w:snapToGrid w:val="0"/>
        </w:rPr>
        <w:tab/>
        <w:t>Functions of deputies</w:t>
      </w:r>
      <w:bookmarkEnd w:id="57"/>
      <w:bookmarkEnd w:id="58"/>
      <w:bookmarkEnd w:id="59"/>
      <w:bookmarkEnd w:id="60"/>
    </w:p>
    <w:p>
      <w:pPr>
        <w:pStyle w:val="Subsection"/>
        <w:rPr>
          <w:snapToGrid w:val="0"/>
        </w:rPr>
      </w:pPr>
      <w:r>
        <w:rPr>
          <w:snapToGrid w:val="0"/>
        </w:rPr>
        <w:tab/>
        <w:t>(1)</w:t>
      </w:r>
      <w:r>
        <w:rPr>
          <w:snapToGrid w:val="0"/>
        </w:rPr>
        <w:tab/>
        <w:t>A person appointed under section 5(2) or 6(5) has, and may perform, during any period when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61" w:name="_Toc411916260"/>
      <w:bookmarkStart w:id="62" w:name="_Toc103056620"/>
      <w:bookmarkStart w:id="63" w:name="_Toc274202280"/>
      <w:bookmarkStart w:id="64" w:name="_Toc241049604"/>
      <w:r>
        <w:rPr>
          <w:rStyle w:val="CharSectno"/>
        </w:rPr>
        <w:t>8</w:t>
      </w:r>
      <w:r>
        <w:rPr>
          <w:snapToGrid w:val="0"/>
        </w:rPr>
        <w:t>.</w:t>
      </w:r>
      <w:r>
        <w:rPr>
          <w:snapToGrid w:val="0"/>
        </w:rPr>
        <w:tab/>
        <w:t>Constitution of Tribunal</w:t>
      </w:r>
      <w:bookmarkEnd w:id="61"/>
      <w:bookmarkEnd w:id="62"/>
      <w:bookmarkEnd w:id="63"/>
      <w:bookmarkEnd w:id="64"/>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65" w:name="_Toc411916261"/>
      <w:bookmarkStart w:id="66" w:name="_Toc103056621"/>
      <w:bookmarkStart w:id="67" w:name="_Toc274202281"/>
      <w:bookmarkStart w:id="68" w:name="_Toc241049605"/>
      <w:r>
        <w:rPr>
          <w:rStyle w:val="CharSectno"/>
        </w:rPr>
        <w:t>9</w:t>
      </w:r>
      <w:r>
        <w:rPr>
          <w:snapToGrid w:val="0"/>
        </w:rPr>
        <w:t>.</w:t>
      </w:r>
      <w:r>
        <w:rPr>
          <w:snapToGrid w:val="0"/>
        </w:rPr>
        <w:tab/>
        <w:t>Term of office</w:t>
      </w:r>
      <w:bookmarkEnd w:id="65"/>
      <w:bookmarkEnd w:id="66"/>
      <w:bookmarkEnd w:id="67"/>
      <w:bookmarkEnd w:id="68"/>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 or</w:t>
      </w:r>
    </w:p>
    <w:p>
      <w:pPr>
        <w:pStyle w:val="Indenta"/>
        <w:rPr>
          <w:snapToGrid w:val="0"/>
        </w:rPr>
      </w:pPr>
      <w:r>
        <w:rPr>
          <w:snapToGrid w:val="0"/>
        </w:rPr>
        <w:tab/>
        <w:t>(b)</w:t>
      </w:r>
      <w:r>
        <w:rPr>
          <w:snapToGrid w:val="0"/>
        </w:rPr>
        <w:tab/>
        <w:t>the member resigns office by notice in writing delivered to the Tribunal;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Footnotesection"/>
      </w:pPr>
      <w:r>
        <w:tab/>
        <w:t>[Section 9 amended by No. 18 of 2009 s. 15.]</w:t>
      </w:r>
    </w:p>
    <w:p>
      <w:pPr>
        <w:pStyle w:val="Heading5"/>
        <w:rPr>
          <w:snapToGrid w:val="0"/>
        </w:rPr>
      </w:pPr>
      <w:bookmarkStart w:id="69" w:name="_Toc411916262"/>
      <w:bookmarkStart w:id="70" w:name="_Toc103056622"/>
      <w:bookmarkStart w:id="71" w:name="_Toc274202282"/>
      <w:bookmarkStart w:id="72" w:name="_Toc241049606"/>
      <w:r>
        <w:rPr>
          <w:rStyle w:val="CharSectno"/>
        </w:rPr>
        <w:t>10</w:t>
      </w:r>
      <w:r>
        <w:rPr>
          <w:snapToGrid w:val="0"/>
        </w:rPr>
        <w:t>.</w:t>
      </w:r>
      <w:r>
        <w:rPr>
          <w:snapToGrid w:val="0"/>
        </w:rPr>
        <w:tab/>
        <w:t>Jurisdiction</w:t>
      </w:r>
      <w:bookmarkEnd w:id="69"/>
      <w:bookmarkEnd w:id="70"/>
      <w:bookmarkEnd w:id="71"/>
      <w:bookmarkEnd w:id="72"/>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73" w:name="_Toc411916263"/>
      <w:bookmarkStart w:id="74" w:name="_Toc103056623"/>
      <w:bookmarkStart w:id="75" w:name="_Toc274202283"/>
      <w:bookmarkStart w:id="76" w:name="_Toc241049607"/>
      <w:r>
        <w:rPr>
          <w:rStyle w:val="CharSectno"/>
        </w:rPr>
        <w:t>11</w:t>
      </w:r>
      <w:r>
        <w:rPr>
          <w:snapToGrid w:val="0"/>
        </w:rPr>
        <w:t>.</w:t>
      </w:r>
      <w:r>
        <w:rPr>
          <w:snapToGrid w:val="0"/>
        </w:rPr>
        <w:tab/>
        <w:t>Intervention of the Crown</w:t>
      </w:r>
      <w:bookmarkEnd w:id="73"/>
      <w:bookmarkEnd w:id="74"/>
      <w:bookmarkEnd w:id="75"/>
      <w:bookmarkEnd w:id="76"/>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77" w:name="_Toc411916264"/>
      <w:bookmarkStart w:id="78" w:name="_Toc103056624"/>
      <w:bookmarkStart w:id="79" w:name="_Toc274202284"/>
      <w:bookmarkStart w:id="80" w:name="_Toc241049608"/>
      <w:r>
        <w:rPr>
          <w:rStyle w:val="CharSectno"/>
        </w:rPr>
        <w:t>12</w:t>
      </w:r>
      <w:r>
        <w:rPr>
          <w:snapToGrid w:val="0"/>
        </w:rPr>
        <w:t>.</w:t>
      </w:r>
      <w:r>
        <w:rPr>
          <w:snapToGrid w:val="0"/>
        </w:rPr>
        <w:tab/>
        <w:t>Conferences</w:t>
      </w:r>
      <w:bookmarkEnd w:id="77"/>
      <w:bookmarkEnd w:id="78"/>
      <w:bookmarkEnd w:id="79"/>
      <w:bookmarkEnd w:id="80"/>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81" w:name="_Toc411916265"/>
      <w:bookmarkStart w:id="82" w:name="_Toc103056625"/>
      <w:bookmarkStart w:id="83" w:name="_Toc274202285"/>
      <w:bookmarkStart w:id="84" w:name="_Toc241049609"/>
      <w:r>
        <w:rPr>
          <w:rStyle w:val="CharSectno"/>
        </w:rPr>
        <w:t>13</w:t>
      </w:r>
      <w:r>
        <w:rPr>
          <w:snapToGrid w:val="0"/>
        </w:rPr>
        <w:t>.</w:t>
      </w:r>
      <w:r>
        <w:rPr>
          <w:snapToGrid w:val="0"/>
        </w:rPr>
        <w:tab/>
        <w:t>Evidence before Tribunal</w:t>
      </w:r>
      <w:bookmarkEnd w:id="81"/>
      <w:bookmarkEnd w:id="82"/>
      <w:bookmarkEnd w:id="83"/>
      <w:bookmarkEnd w:id="84"/>
    </w:p>
    <w:p>
      <w:pPr>
        <w:pStyle w:val="Subsection"/>
        <w:keepNext/>
        <w:rPr>
          <w:snapToGrid w:val="0"/>
        </w:rPr>
      </w:pPr>
      <w:r>
        <w:rPr>
          <w:snapToGrid w:val="0"/>
        </w:rPr>
        <w:tab/>
        <w:t>(1)</w:t>
      </w:r>
      <w:r>
        <w:rPr>
          <w:snapToGrid w:val="0"/>
        </w:rPr>
        <w:tab/>
        <w:t>Evidence before the Tribunal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85" w:name="_Toc411916266"/>
      <w:bookmarkStart w:id="86" w:name="_Toc103056626"/>
      <w:bookmarkStart w:id="87" w:name="_Toc274202286"/>
      <w:bookmarkStart w:id="88" w:name="_Toc241049610"/>
      <w:r>
        <w:rPr>
          <w:rStyle w:val="CharSectno"/>
        </w:rPr>
        <w:t>14</w:t>
      </w:r>
      <w:r>
        <w:rPr>
          <w:snapToGrid w:val="0"/>
        </w:rPr>
        <w:t>.</w:t>
      </w:r>
      <w:r>
        <w:rPr>
          <w:snapToGrid w:val="0"/>
        </w:rPr>
        <w:tab/>
        <w:t>Procedure</w:t>
      </w:r>
      <w:bookmarkEnd w:id="85"/>
      <w:bookmarkEnd w:id="86"/>
      <w:bookmarkEnd w:id="87"/>
      <w:bookmarkEnd w:id="88"/>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89" w:name="_Toc411916267"/>
      <w:bookmarkStart w:id="90" w:name="_Toc103056627"/>
      <w:bookmarkStart w:id="91" w:name="_Toc274202287"/>
      <w:bookmarkStart w:id="92" w:name="_Toc241049611"/>
      <w:r>
        <w:rPr>
          <w:rStyle w:val="CharSectno"/>
        </w:rPr>
        <w:t>15</w:t>
      </w:r>
      <w:r>
        <w:rPr>
          <w:snapToGrid w:val="0"/>
        </w:rPr>
        <w:t>.</w:t>
      </w:r>
      <w:r>
        <w:rPr>
          <w:snapToGrid w:val="0"/>
        </w:rPr>
        <w:tab/>
        <w:t>Powers of Tribunal</w:t>
      </w:r>
      <w:bookmarkEnd w:id="89"/>
      <w:bookmarkEnd w:id="90"/>
      <w:bookmarkEnd w:id="91"/>
      <w:bookmarkEnd w:id="92"/>
    </w:p>
    <w:p>
      <w:pPr>
        <w:pStyle w:val="Subsection"/>
        <w:rPr>
          <w:snapToGrid w:val="0"/>
        </w:rPr>
      </w:pPr>
      <w:r>
        <w:rPr>
          <w:snapToGrid w:val="0"/>
        </w:rPr>
        <w:tab/>
        <w:t>(1)</w:t>
      </w:r>
      <w:r>
        <w:rPr>
          <w:snapToGrid w:val="0"/>
        </w:rPr>
        <w:tab/>
        <w:t>The Tribunal may, in relation to any matter before it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93" w:name="_Toc411916268"/>
      <w:bookmarkStart w:id="94" w:name="_Toc103056628"/>
      <w:bookmarkStart w:id="95" w:name="_Toc274202288"/>
      <w:bookmarkStart w:id="96" w:name="_Toc241049612"/>
      <w:r>
        <w:rPr>
          <w:rStyle w:val="CharSectno"/>
        </w:rPr>
        <w:t>16</w:t>
      </w:r>
      <w:r>
        <w:rPr>
          <w:snapToGrid w:val="0"/>
        </w:rPr>
        <w:t>.</w:t>
      </w:r>
      <w:r>
        <w:rPr>
          <w:snapToGrid w:val="0"/>
        </w:rPr>
        <w:tab/>
        <w:t>Investigations</w:t>
      </w:r>
      <w:bookmarkEnd w:id="93"/>
      <w:bookmarkEnd w:id="94"/>
      <w:bookmarkEnd w:id="95"/>
      <w:bookmarkEnd w:id="96"/>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97" w:name="_Toc411916269"/>
      <w:bookmarkStart w:id="98" w:name="_Toc103056629"/>
      <w:bookmarkStart w:id="99" w:name="_Toc274202289"/>
      <w:bookmarkStart w:id="100" w:name="_Toc241049613"/>
      <w:r>
        <w:rPr>
          <w:rStyle w:val="CharSectno"/>
        </w:rPr>
        <w:t>17</w:t>
      </w:r>
      <w:r>
        <w:rPr>
          <w:snapToGrid w:val="0"/>
        </w:rPr>
        <w:t>.</w:t>
      </w:r>
      <w:r>
        <w:rPr>
          <w:snapToGrid w:val="0"/>
        </w:rPr>
        <w:tab/>
        <w:t>Enforceability</w:t>
      </w:r>
      <w:bookmarkEnd w:id="97"/>
      <w:bookmarkEnd w:id="98"/>
      <w:bookmarkEnd w:id="99"/>
      <w:bookmarkEnd w:id="100"/>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101"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p>
    <w:p>
      <w:pPr>
        <w:pStyle w:val="Heading5"/>
        <w:rPr>
          <w:snapToGrid w:val="0"/>
        </w:rPr>
      </w:pPr>
      <w:bookmarkStart w:id="102" w:name="_Toc103056630"/>
      <w:bookmarkStart w:id="103" w:name="_Toc274202290"/>
      <w:bookmarkStart w:id="104" w:name="_Toc241049614"/>
      <w:r>
        <w:rPr>
          <w:rStyle w:val="CharSectno"/>
        </w:rPr>
        <w:t>18</w:t>
      </w:r>
      <w:r>
        <w:rPr>
          <w:snapToGrid w:val="0"/>
        </w:rPr>
        <w:t>.</w:t>
      </w:r>
      <w:r>
        <w:rPr>
          <w:snapToGrid w:val="0"/>
        </w:rPr>
        <w:tab/>
        <w:t>Review by Full Bench of Commission</w:t>
      </w:r>
      <w:bookmarkEnd w:id="101"/>
      <w:bookmarkEnd w:id="102"/>
      <w:bookmarkEnd w:id="103"/>
      <w:bookmarkEnd w:id="104"/>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105" w:name="_Toc411916271"/>
      <w:bookmarkStart w:id="106" w:name="_Toc103056631"/>
      <w:bookmarkStart w:id="107" w:name="_Toc274202291"/>
      <w:bookmarkStart w:id="108" w:name="_Toc241049615"/>
      <w:r>
        <w:rPr>
          <w:rStyle w:val="CharSectno"/>
        </w:rPr>
        <w:t>19</w:t>
      </w:r>
      <w:r>
        <w:rPr>
          <w:snapToGrid w:val="0"/>
        </w:rPr>
        <w:t>.</w:t>
      </w:r>
      <w:r>
        <w:rPr>
          <w:snapToGrid w:val="0"/>
        </w:rPr>
        <w:tab/>
        <w:t>Awards etc. not to be challenged or questioned</w:t>
      </w:r>
      <w:bookmarkEnd w:id="105"/>
      <w:bookmarkEnd w:id="106"/>
      <w:bookmarkEnd w:id="107"/>
      <w:bookmarkEnd w:id="108"/>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109" w:name="_Toc411916272"/>
      <w:bookmarkStart w:id="110" w:name="_Toc103056632"/>
      <w:bookmarkStart w:id="111" w:name="_Toc274202292"/>
      <w:bookmarkStart w:id="112" w:name="_Toc241049616"/>
      <w:r>
        <w:rPr>
          <w:snapToGrid w:val="0"/>
        </w:rPr>
        <w:t>20.</w:t>
      </w:r>
      <w:r>
        <w:rPr>
          <w:snapToGrid w:val="0"/>
        </w:rPr>
        <w:tab/>
        <w:t>Award of Tribunal inconsistent with award of industrial authority</w:t>
      </w:r>
      <w:bookmarkEnd w:id="109"/>
      <w:bookmarkEnd w:id="110"/>
      <w:bookmarkEnd w:id="111"/>
      <w:bookmarkEnd w:id="112"/>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113" w:name="_Toc411916273"/>
      <w:bookmarkStart w:id="114" w:name="_Toc103056633"/>
      <w:bookmarkStart w:id="115" w:name="_Toc274202293"/>
      <w:bookmarkStart w:id="116" w:name="_Toc241049617"/>
      <w:r>
        <w:rPr>
          <w:snapToGrid w:val="0"/>
        </w:rPr>
        <w:t>21.</w:t>
      </w:r>
      <w:r>
        <w:rPr>
          <w:snapToGrid w:val="0"/>
        </w:rPr>
        <w:tab/>
        <w:t>Appointment and duties of secretary</w:t>
      </w:r>
      <w:bookmarkEnd w:id="113"/>
      <w:bookmarkEnd w:id="114"/>
      <w:bookmarkEnd w:id="115"/>
      <w:bookmarkEnd w:id="116"/>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117" w:name="_Toc89489783"/>
      <w:bookmarkStart w:id="118" w:name="_Toc97098593"/>
      <w:bookmarkStart w:id="119" w:name="_Toc101936638"/>
      <w:bookmarkStart w:id="120" w:name="_Toc103056634"/>
      <w:bookmarkStart w:id="121" w:name="_Toc199668628"/>
      <w:bookmarkStart w:id="122" w:name="_Toc199668708"/>
      <w:bookmarkStart w:id="123" w:name="_Toc199752024"/>
      <w:bookmarkStart w:id="124" w:name="_Toc223838999"/>
      <w:bookmarkStart w:id="125" w:name="_Toc226173158"/>
      <w:bookmarkStart w:id="126" w:name="_Toc226176175"/>
      <w:bookmarkStart w:id="127" w:name="_Toc228243708"/>
      <w:bookmarkStart w:id="128" w:name="_Toc228243759"/>
      <w:bookmarkStart w:id="129" w:name="_Toc232394542"/>
      <w:bookmarkStart w:id="130" w:name="_Toc241049193"/>
      <w:bookmarkStart w:id="131" w:name="_Toc241049618"/>
      <w:bookmarkStart w:id="132" w:name="_Toc274202294"/>
      <w:r>
        <w:rPr>
          <w:rStyle w:val="CharPartNo"/>
        </w:rPr>
        <w:t>Part 3</w:t>
      </w:r>
      <w:r>
        <w:rPr>
          <w:rStyle w:val="CharDivNo"/>
        </w:rPr>
        <w:t> </w:t>
      </w:r>
      <w:r>
        <w:t>—</w:t>
      </w:r>
      <w:r>
        <w:rPr>
          <w:rStyle w:val="CharDivText"/>
        </w:rPr>
        <w:t> </w:t>
      </w:r>
      <w:r>
        <w:rPr>
          <w:rStyle w:val="CharPartText"/>
        </w:rPr>
        <w:t>Local board of reference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11916274"/>
      <w:bookmarkStart w:id="134" w:name="_Toc103056635"/>
      <w:bookmarkStart w:id="135" w:name="_Toc274202295"/>
      <w:bookmarkStart w:id="136" w:name="_Toc241049619"/>
      <w:r>
        <w:rPr>
          <w:rStyle w:val="CharSectno"/>
        </w:rPr>
        <w:t>22</w:t>
      </w:r>
      <w:r>
        <w:rPr>
          <w:snapToGrid w:val="0"/>
        </w:rPr>
        <w:t>.</w:t>
      </w:r>
      <w:r>
        <w:rPr>
          <w:snapToGrid w:val="0"/>
        </w:rPr>
        <w:tab/>
        <w:t>Local board of reference</w:t>
      </w:r>
      <w:bookmarkEnd w:id="133"/>
      <w:bookmarkEnd w:id="134"/>
      <w:bookmarkEnd w:id="135"/>
      <w:bookmarkEnd w:id="136"/>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137" w:name="_Toc411916275"/>
      <w:bookmarkStart w:id="138" w:name="_Toc103056636"/>
      <w:bookmarkStart w:id="139" w:name="_Toc274202296"/>
      <w:bookmarkStart w:id="140" w:name="_Toc241049620"/>
      <w:r>
        <w:rPr>
          <w:rStyle w:val="CharSectno"/>
        </w:rPr>
        <w:t>23</w:t>
      </w:r>
      <w:r>
        <w:rPr>
          <w:snapToGrid w:val="0"/>
        </w:rPr>
        <w:t>.</w:t>
      </w:r>
      <w:r>
        <w:rPr>
          <w:snapToGrid w:val="0"/>
        </w:rPr>
        <w:tab/>
        <w:t>Functions of local board of reference</w:t>
      </w:r>
      <w:bookmarkEnd w:id="137"/>
      <w:bookmarkEnd w:id="138"/>
      <w:bookmarkEnd w:id="139"/>
      <w:bookmarkEnd w:id="140"/>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141" w:name="_Toc411916276"/>
      <w:bookmarkStart w:id="142" w:name="_Toc103056637"/>
      <w:bookmarkStart w:id="143" w:name="_Toc274202297"/>
      <w:bookmarkStart w:id="144" w:name="_Toc241049621"/>
      <w:r>
        <w:rPr>
          <w:rStyle w:val="CharSectno"/>
        </w:rPr>
        <w:t>24</w:t>
      </w:r>
      <w:r>
        <w:rPr>
          <w:snapToGrid w:val="0"/>
        </w:rPr>
        <w:t>.</w:t>
      </w:r>
      <w:r>
        <w:rPr>
          <w:snapToGrid w:val="0"/>
        </w:rPr>
        <w:tab/>
        <w:t>Procedure</w:t>
      </w:r>
      <w:bookmarkEnd w:id="141"/>
      <w:bookmarkEnd w:id="142"/>
      <w:bookmarkEnd w:id="143"/>
      <w:bookmarkEnd w:id="144"/>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145" w:name="_Toc411916277"/>
      <w:bookmarkStart w:id="146" w:name="_Toc103056638"/>
      <w:bookmarkStart w:id="147" w:name="_Toc274202298"/>
      <w:bookmarkStart w:id="148" w:name="_Toc241049622"/>
      <w:r>
        <w:rPr>
          <w:rStyle w:val="CharSectno"/>
        </w:rPr>
        <w:t>25</w:t>
      </w:r>
      <w:r>
        <w:rPr>
          <w:snapToGrid w:val="0"/>
        </w:rPr>
        <w:t>.</w:t>
      </w:r>
      <w:r>
        <w:rPr>
          <w:snapToGrid w:val="0"/>
        </w:rPr>
        <w:tab/>
        <w:t>Review by Tribunal</w:t>
      </w:r>
      <w:bookmarkEnd w:id="145"/>
      <w:bookmarkEnd w:id="146"/>
      <w:bookmarkEnd w:id="147"/>
      <w:bookmarkEnd w:id="148"/>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149" w:name="_Toc89489788"/>
      <w:bookmarkStart w:id="150" w:name="_Toc97098598"/>
      <w:bookmarkStart w:id="151" w:name="_Toc101936643"/>
      <w:bookmarkStart w:id="152" w:name="_Toc103056639"/>
      <w:bookmarkStart w:id="153" w:name="_Toc199668633"/>
      <w:bookmarkStart w:id="154" w:name="_Toc199668713"/>
      <w:bookmarkStart w:id="155" w:name="_Toc199752029"/>
      <w:bookmarkStart w:id="156" w:name="_Toc223839004"/>
      <w:bookmarkStart w:id="157" w:name="_Toc226173163"/>
      <w:bookmarkStart w:id="158" w:name="_Toc226176180"/>
      <w:bookmarkStart w:id="159" w:name="_Toc228243713"/>
      <w:bookmarkStart w:id="160" w:name="_Toc228243764"/>
      <w:bookmarkStart w:id="161" w:name="_Toc232394547"/>
      <w:bookmarkStart w:id="162" w:name="_Toc241049198"/>
      <w:bookmarkStart w:id="163" w:name="_Toc241049623"/>
      <w:bookmarkStart w:id="164" w:name="_Toc274202299"/>
      <w:r>
        <w:rPr>
          <w:rStyle w:val="CharPartNo"/>
        </w:rPr>
        <w:t>Part 4</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411916278"/>
      <w:bookmarkStart w:id="166" w:name="_Toc103056640"/>
      <w:bookmarkStart w:id="167" w:name="_Toc274202300"/>
      <w:bookmarkStart w:id="168" w:name="_Toc241049624"/>
      <w:r>
        <w:rPr>
          <w:rStyle w:val="CharSectno"/>
        </w:rPr>
        <w:t>26</w:t>
      </w:r>
      <w:r>
        <w:rPr>
          <w:snapToGrid w:val="0"/>
        </w:rPr>
        <w:t>.</w:t>
      </w:r>
      <w:r>
        <w:rPr>
          <w:snapToGrid w:val="0"/>
        </w:rPr>
        <w:tab/>
        <w:t>Summons</w:t>
      </w:r>
      <w:bookmarkEnd w:id="165"/>
      <w:bookmarkEnd w:id="166"/>
      <w:bookmarkEnd w:id="167"/>
      <w:bookmarkEnd w:id="168"/>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69" w:name="_Toc411916279"/>
      <w:r>
        <w:tab/>
        <w:t>[Section 26 amended by No. 84 of 2004 s. 80.]</w:t>
      </w:r>
    </w:p>
    <w:p>
      <w:pPr>
        <w:pStyle w:val="Heading5"/>
        <w:rPr>
          <w:snapToGrid w:val="0"/>
        </w:rPr>
      </w:pPr>
      <w:bookmarkStart w:id="170" w:name="_Toc103056641"/>
      <w:bookmarkStart w:id="171" w:name="_Toc274202301"/>
      <w:bookmarkStart w:id="172" w:name="_Toc241049625"/>
      <w:r>
        <w:rPr>
          <w:rStyle w:val="CharSectno"/>
        </w:rPr>
        <w:t>27</w:t>
      </w:r>
      <w:r>
        <w:rPr>
          <w:snapToGrid w:val="0"/>
        </w:rPr>
        <w:t>.</w:t>
      </w:r>
      <w:r>
        <w:rPr>
          <w:snapToGrid w:val="0"/>
        </w:rPr>
        <w:tab/>
        <w:t>Fees and allowances</w:t>
      </w:r>
      <w:bookmarkEnd w:id="169"/>
      <w:bookmarkEnd w:id="170"/>
      <w:bookmarkEnd w:id="171"/>
      <w:bookmarkEnd w:id="172"/>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3</w:t>
      </w:r>
      <w:r>
        <w:rPr>
          <w:snapToGrid w:val="0"/>
        </w:rPr>
        <w:t>.</w:t>
      </w:r>
    </w:p>
    <w:p>
      <w:pPr>
        <w:pStyle w:val="Heading5"/>
        <w:rPr>
          <w:snapToGrid w:val="0"/>
        </w:rPr>
      </w:pPr>
      <w:bookmarkStart w:id="173" w:name="_Toc411916280"/>
      <w:bookmarkStart w:id="174" w:name="_Toc103056642"/>
      <w:bookmarkStart w:id="175" w:name="_Toc274202302"/>
      <w:bookmarkStart w:id="176" w:name="_Toc241049626"/>
      <w:r>
        <w:rPr>
          <w:rStyle w:val="CharSectno"/>
        </w:rPr>
        <w:t>28</w:t>
      </w:r>
      <w:r>
        <w:rPr>
          <w:snapToGrid w:val="0"/>
        </w:rPr>
        <w:t>.</w:t>
      </w:r>
      <w:r>
        <w:rPr>
          <w:snapToGrid w:val="0"/>
        </w:rPr>
        <w:tab/>
        <w:t>Relationship to Public Service</w:t>
      </w:r>
      <w:bookmarkEnd w:id="173"/>
      <w:bookmarkEnd w:id="174"/>
      <w:bookmarkEnd w:id="175"/>
      <w:bookmarkEnd w:id="176"/>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p>
    <w:p>
      <w:pPr>
        <w:pStyle w:val="Heading5"/>
        <w:rPr>
          <w:snapToGrid w:val="0"/>
        </w:rPr>
      </w:pPr>
      <w:bookmarkStart w:id="177" w:name="_Toc411916281"/>
      <w:bookmarkStart w:id="178" w:name="_Toc103056643"/>
      <w:bookmarkStart w:id="179" w:name="_Toc274202303"/>
      <w:bookmarkStart w:id="180" w:name="_Toc241049627"/>
      <w:r>
        <w:rPr>
          <w:rStyle w:val="CharSectno"/>
        </w:rPr>
        <w:t>29</w:t>
      </w:r>
      <w:r>
        <w:rPr>
          <w:snapToGrid w:val="0"/>
        </w:rPr>
        <w:t>.</w:t>
      </w:r>
      <w:r>
        <w:rPr>
          <w:snapToGrid w:val="0"/>
        </w:rPr>
        <w:tab/>
        <w:t>Protection of members of the Tribunal and others</w:t>
      </w:r>
      <w:bookmarkEnd w:id="177"/>
      <w:bookmarkEnd w:id="178"/>
      <w:bookmarkEnd w:id="179"/>
      <w:bookmarkEnd w:id="180"/>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81" w:name="_Toc411916282"/>
      <w:bookmarkStart w:id="182" w:name="_Toc103056644"/>
      <w:bookmarkStart w:id="183" w:name="_Toc274202304"/>
      <w:bookmarkStart w:id="184" w:name="_Toc241049628"/>
      <w:r>
        <w:rPr>
          <w:rStyle w:val="CharSectno"/>
        </w:rPr>
        <w:t>30</w:t>
      </w:r>
      <w:r>
        <w:rPr>
          <w:snapToGrid w:val="0"/>
        </w:rPr>
        <w:t>.</w:t>
      </w:r>
      <w:r>
        <w:rPr>
          <w:snapToGrid w:val="0"/>
        </w:rPr>
        <w:tab/>
        <w:t>Allowances to witnesses</w:t>
      </w:r>
      <w:bookmarkEnd w:id="181"/>
      <w:bookmarkEnd w:id="182"/>
      <w:bookmarkEnd w:id="183"/>
      <w:bookmarkEnd w:id="184"/>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t>Deleted by No. 79 of 1995 s. 66(4).]</w:t>
      </w:r>
    </w:p>
    <w:p>
      <w:pPr>
        <w:pStyle w:val="Heading5"/>
        <w:rPr>
          <w:snapToGrid w:val="0"/>
        </w:rPr>
      </w:pPr>
      <w:bookmarkStart w:id="185" w:name="_Toc411916283"/>
      <w:bookmarkStart w:id="186" w:name="_Toc103056645"/>
      <w:bookmarkStart w:id="187" w:name="_Toc274202305"/>
      <w:bookmarkStart w:id="188" w:name="_Toc241049629"/>
      <w:r>
        <w:rPr>
          <w:rStyle w:val="CharSectno"/>
        </w:rPr>
        <w:t>32</w:t>
      </w:r>
      <w:r>
        <w:rPr>
          <w:snapToGrid w:val="0"/>
        </w:rPr>
        <w:t>.</w:t>
      </w:r>
      <w:r>
        <w:rPr>
          <w:snapToGrid w:val="0"/>
        </w:rPr>
        <w:tab/>
        <w:t>Regulations</w:t>
      </w:r>
      <w:bookmarkEnd w:id="185"/>
      <w:bookmarkEnd w:id="186"/>
      <w:bookmarkEnd w:id="187"/>
      <w:bookmarkEnd w:id="18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89" w:name="_Toc411916284"/>
      <w:bookmarkStart w:id="190" w:name="_Toc103056646"/>
      <w:bookmarkStart w:id="191" w:name="_Toc274202306"/>
      <w:bookmarkStart w:id="192" w:name="_Toc241049630"/>
      <w:r>
        <w:rPr>
          <w:rStyle w:val="CharSectno"/>
        </w:rPr>
        <w:t>33</w:t>
      </w:r>
      <w:r>
        <w:rPr>
          <w:snapToGrid w:val="0"/>
        </w:rPr>
        <w:t>.</w:t>
      </w:r>
      <w:r>
        <w:rPr>
          <w:snapToGrid w:val="0"/>
        </w:rPr>
        <w:tab/>
        <w:t>Review of Act</w:t>
      </w:r>
      <w:bookmarkEnd w:id="189"/>
      <w:bookmarkEnd w:id="190"/>
      <w:bookmarkEnd w:id="191"/>
      <w:bookmarkEnd w:id="192"/>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193" w:name="_Toc89489796"/>
      <w:bookmarkStart w:id="194" w:name="_Toc97098606"/>
      <w:bookmarkStart w:id="195" w:name="_Toc101936651"/>
      <w:bookmarkStart w:id="196" w:name="_Toc103056647"/>
      <w:bookmarkStart w:id="197" w:name="_Toc199668641"/>
      <w:bookmarkStart w:id="198" w:name="_Toc199668721"/>
      <w:bookmarkStart w:id="199" w:name="_Toc199752037"/>
      <w:bookmarkStart w:id="200" w:name="_Toc223839012"/>
      <w:bookmarkStart w:id="201" w:name="_Toc226173171"/>
      <w:bookmarkStart w:id="202" w:name="_Toc226176188"/>
      <w:bookmarkStart w:id="203" w:name="_Toc228243721"/>
      <w:bookmarkStart w:id="204" w:name="_Toc228243772"/>
      <w:bookmarkStart w:id="205" w:name="_Toc232394555"/>
      <w:bookmarkStart w:id="206" w:name="_Toc241049206"/>
      <w:bookmarkStart w:id="207" w:name="_Toc241049631"/>
      <w:bookmarkStart w:id="208" w:name="_Toc274202307"/>
      <w:r>
        <w:rPr>
          <w:rStyle w:val="CharPartNo"/>
        </w:rPr>
        <w:t>Part 5</w:t>
      </w:r>
      <w:r>
        <w:rPr>
          <w:rStyle w:val="CharDivNo"/>
        </w:rPr>
        <w:t> </w:t>
      </w:r>
      <w:r>
        <w:t>—</w:t>
      </w:r>
      <w:r>
        <w:rPr>
          <w:rStyle w:val="CharDivText"/>
        </w:rPr>
        <w:t> </w:t>
      </w:r>
      <w:r>
        <w:rPr>
          <w:rStyle w:val="CharPartText"/>
        </w:rPr>
        <w:t>Repeal, savings, transitional, validation and amendments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11916285"/>
      <w:bookmarkStart w:id="210" w:name="_Toc103056648"/>
      <w:bookmarkStart w:id="211" w:name="_Toc274202308"/>
      <w:bookmarkStart w:id="212" w:name="_Toc241049632"/>
      <w:r>
        <w:rPr>
          <w:rStyle w:val="CharSectno"/>
        </w:rPr>
        <w:t>34</w:t>
      </w:r>
      <w:r>
        <w:rPr>
          <w:snapToGrid w:val="0"/>
        </w:rPr>
        <w:t>.</w:t>
      </w:r>
      <w:r>
        <w:rPr>
          <w:snapToGrid w:val="0"/>
        </w:rPr>
        <w:tab/>
      </w:r>
      <w:bookmarkEnd w:id="209"/>
      <w:bookmarkEnd w:id="210"/>
      <w:r>
        <w:rPr>
          <w:snapToGrid w:val="0"/>
        </w:rPr>
        <w:t>Terms used</w:t>
      </w:r>
      <w:bookmarkEnd w:id="211"/>
      <w:bookmarkEnd w:id="212"/>
    </w:p>
    <w:p>
      <w:pPr>
        <w:pStyle w:val="Subsection"/>
        <w:rPr>
          <w:snapToGrid w:val="0"/>
        </w:rPr>
      </w:pPr>
      <w:r>
        <w:rPr>
          <w:snapToGrid w:val="0"/>
        </w:rPr>
        <w:tab/>
      </w:r>
      <w:r>
        <w:rPr>
          <w:snapToGrid w:val="0"/>
        </w:rPr>
        <w:tab/>
        <w:t>In this Part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213" w:name="_Toc411916286"/>
      <w:bookmarkStart w:id="214" w:name="_Toc103056649"/>
      <w:bookmarkStart w:id="215" w:name="_Toc274202309"/>
      <w:bookmarkStart w:id="216" w:name="_Toc241049633"/>
      <w:r>
        <w:rPr>
          <w:rStyle w:val="CharSectno"/>
        </w:rPr>
        <w:t>35</w:t>
      </w:r>
      <w:r>
        <w:rPr>
          <w:snapToGrid w:val="0"/>
        </w:rPr>
        <w:t>.</w:t>
      </w:r>
      <w:r>
        <w:rPr>
          <w:snapToGrid w:val="0"/>
        </w:rPr>
        <w:tab/>
        <w:t>Repeal</w:t>
      </w:r>
      <w:bookmarkEnd w:id="213"/>
      <w:bookmarkEnd w:id="214"/>
      <w:bookmarkEnd w:id="215"/>
      <w:bookmarkEnd w:id="216"/>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217" w:name="_Toc411916287"/>
      <w:bookmarkStart w:id="218" w:name="_Toc103056650"/>
      <w:bookmarkStart w:id="219" w:name="_Toc274202310"/>
      <w:bookmarkStart w:id="220" w:name="_Toc241049634"/>
      <w:r>
        <w:rPr>
          <w:rStyle w:val="CharSectno"/>
        </w:rPr>
        <w:t>36</w:t>
      </w:r>
      <w:r>
        <w:rPr>
          <w:snapToGrid w:val="0"/>
        </w:rPr>
        <w:t>.</w:t>
      </w:r>
      <w:r>
        <w:rPr>
          <w:snapToGrid w:val="0"/>
        </w:rPr>
        <w:tab/>
        <w:t xml:space="preserve">Application of </w:t>
      </w:r>
      <w:r>
        <w:rPr>
          <w:i/>
          <w:snapToGrid w:val="0"/>
        </w:rPr>
        <w:t>Interpretation Act 1984</w:t>
      </w:r>
      <w:bookmarkEnd w:id="217"/>
      <w:bookmarkEnd w:id="218"/>
      <w:bookmarkEnd w:id="219"/>
      <w:bookmarkEnd w:id="220"/>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221" w:name="_Toc411916288"/>
      <w:bookmarkStart w:id="222" w:name="_Toc103056651"/>
      <w:bookmarkStart w:id="223" w:name="_Toc274202311"/>
      <w:bookmarkStart w:id="224" w:name="_Toc241049635"/>
      <w:r>
        <w:rPr>
          <w:rStyle w:val="CharSectno"/>
        </w:rPr>
        <w:t>37</w:t>
      </w:r>
      <w:r>
        <w:rPr>
          <w:snapToGrid w:val="0"/>
        </w:rPr>
        <w:t>.</w:t>
      </w:r>
      <w:r>
        <w:rPr>
          <w:snapToGrid w:val="0"/>
        </w:rPr>
        <w:tab/>
        <w:t>Continuation</w:t>
      </w:r>
      <w:bookmarkEnd w:id="221"/>
      <w:bookmarkEnd w:id="222"/>
      <w:bookmarkEnd w:id="223"/>
      <w:bookmarkEnd w:id="224"/>
    </w:p>
    <w:p>
      <w:pPr>
        <w:pStyle w:val="Subsection"/>
        <w:keepNext/>
        <w:rPr>
          <w:snapToGrid w:val="0"/>
        </w:rPr>
      </w:pPr>
      <w:r>
        <w:rPr>
          <w:snapToGrid w:val="0"/>
        </w:rPr>
        <w:tab/>
      </w:r>
      <w:r>
        <w:rPr>
          <w:snapToGrid w:val="0"/>
        </w:rPr>
        <w:tab/>
        <w:t>On and after the proclaimed date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225" w:name="_Toc411916289"/>
      <w:bookmarkStart w:id="226" w:name="_Toc103056652"/>
      <w:bookmarkStart w:id="227" w:name="_Toc274202312"/>
      <w:bookmarkStart w:id="228" w:name="_Toc241049636"/>
      <w:r>
        <w:rPr>
          <w:rStyle w:val="CharSectno"/>
        </w:rPr>
        <w:t>38</w:t>
      </w:r>
      <w:r>
        <w:rPr>
          <w:snapToGrid w:val="0"/>
        </w:rPr>
        <w:t>.</w:t>
      </w:r>
      <w:r>
        <w:rPr>
          <w:snapToGrid w:val="0"/>
        </w:rPr>
        <w:tab/>
        <w:t>Validation</w:t>
      </w:r>
      <w:bookmarkEnd w:id="225"/>
      <w:bookmarkEnd w:id="226"/>
      <w:bookmarkEnd w:id="227"/>
      <w:bookmarkEnd w:id="228"/>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29" w:name="_Toc89489802"/>
      <w:bookmarkStart w:id="230" w:name="_Toc97098612"/>
      <w:bookmarkStart w:id="231" w:name="_Toc101936657"/>
      <w:bookmarkStart w:id="232" w:name="_Toc103056653"/>
      <w:bookmarkStart w:id="233" w:name="_Toc199668647"/>
      <w:bookmarkStart w:id="234" w:name="_Toc199668727"/>
      <w:bookmarkStart w:id="235" w:name="_Toc199752043"/>
      <w:bookmarkStart w:id="236" w:name="_Toc223839018"/>
      <w:bookmarkStart w:id="237" w:name="_Toc226173177"/>
      <w:bookmarkStart w:id="238" w:name="_Toc226176194"/>
      <w:bookmarkStart w:id="239" w:name="_Toc228243727"/>
      <w:bookmarkStart w:id="240" w:name="_Toc228243778"/>
      <w:bookmarkStart w:id="241" w:name="_Toc232394561"/>
      <w:bookmarkStart w:id="242" w:name="_Toc241049212"/>
      <w:bookmarkStart w:id="243" w:name="_Toc241049637"/>
      <w:bookmarkStart w:id="244" w:name="_Toc274202313"/>
      <w:r>
        <w:t>Notes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w:t>
      </w:r>
      <w:ins w:id="245" w:author="svcMRProcess" w:date="2015-12-09T18:1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46" w:name="_Toc274202314"/>
      <w:bookmarkStart w:id="247" w:name="_Toc241049638"/>
      <w:r>
        <w:rPr>
          <w:snapToGrid w:val="0"/>
        </w:rPr>
        <w:t>Compilation table</w:t>
      </w:r>
      <w:bookmarkEnd w:id="246"/>
      <w:bookmarkEnd w:id="247"/>
    </w:p>
    <w:tbl>
      <w:tblPr>
        <w:tblW w:w="0" w:type="auto"/>
        <w:tblInd w:w="118" w:type="dxa"/>
        <w:tblLayout w:type="fixed"/>
        <w:tblCellMar>
          <w:left w:w="56" w:type="dxa"/>
          <w:right w:w="56" w:type="dxa"/>
        </w:tblCellMar>
        <w:tblLook w:val="0000" w:firstRow="0" w:lastRow="0" w:firstColumn="0" w:lastColumn="0" w:noHBand="0" w:noVBand="0"/>
      </w:tblPr>
      <w:tblGrid>
        <w:gridCol w:w="2269"/>
        <w:gridCol w:w="1134"/>
        <w:gridCol w:w="1134"/>
        <w:gridCol w:w="2552"/>
        <w:gridCol w:w="85"/>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Coal Industry Tribunal of Western Australia Act 1992</w:t>
            </w:r>
          </w:p>
        </w:tc>
        <w:tc>
          <w:tcPr>
            <w:tcW w:w="1134" w:type="dxa"/>
          </w:tcPr>
          <w:p>
            <w:pPr>
              <w:pStyle w:val="nTable"/>
              <w:spacing w:before="60" w:after="60"/>
              <w:rPr>
                <w:sz w:val="19"/>
              </w:rPr>
            </w:pPr>
            <w:r>
              <w:rPr>
                <w:sz w:val="19"/>
              </w:rPr>
              <w:t>37 of 1992</w:t>
            </w:r>
          </w:p>
        </w:tc>
        <w:tc>
          <w:tcPr>
            <w:tcW w:w="1134" w:type="dxa"/>
          </w:tcPr>
          <w:p>
            <w:pPr>
              <w:pStyle w:val="nTable"/>
              <w:spacing w:before="60" w:after="60"/>
              <w:rPr>
                <w:sz w:val="19"/>
              </w:rPr>
            </w:pPr>
            <w:r>
              <w:rPr>
                <w:sz w:val="19"/>
              </w:rPr>
              <w:t>2 Oct 1992</w:t>
            </w:r>
          </w:p>
        </w:tc>
        <w:tc>
          <w:tcPr>
            <w:tcW w:w="2552" w:type="dxa"/>
            <w:gridSpan w:val="2"/>
          </w:tcPr>
          <w:p>
            <w:pPr>
              <w:pStyle w:val="nTable"/>
              <w:spacing w:before="60" w:after="60"/>
              <w:rPr>
                <w:sz w:val="19"/>
              </w:rPr>
            </w:pPr>
            <w:r>
              <w:rPr>
                <w:sz w:val="19"/>
              </w:rPr>
              <w:t>s. 1 and 2: 2 Oct 1992;</w:t>
            </w:r>
            <w:r>
              <w:rPr>
                <w:sz w:val="19"/>
              </w:rPr>
              <w:br/>
              <w:t xml:space="preserve">Act other than s. 1 and 2: 31 Dec 1992 (see s. 2 and </w:t>
            </w:r>
            <w:r>
              <w:rPr>
                <w:i/>
                <w:sz w:val="19"/>
              </w:rPr>
              <w:t>Gazette</w:t>
            </w:r>
            <w:r>
              <w:rPr>
                <w:sz w:val="19"/>
              </w:rPr>
              <w:t xml:space="preserve"> 31 Dec 1992 p. 6311)</w:t>
            </w:r>
          </w:p>
        </w:tc>
      </w:tr>
      <w:tr>
        <w:tc>
          <w:tcPr>
            <w:tcW w:w="2268" w:type="dxa"/>
          </w:tcPr>
          <w:p>
            <w:pPr>
              <w:pStyle w:val="nTable"/>
              <w:spacing w:before="60" w:after="60"/>
              <w:rPr>
                <w:sz w:val="19"/>
              </w:rPr>
            </w:pPr>
            <w:r>
              <w:rPr>
                <w:i/>
                <w:sz w:val="19"/>
              </w:rPr>
              <w:t>Workplace Agreements Act 1993</w:t>
            </w:r>
            <w:r>
              <w:rPr>
                <w:sz w:val="19"/>
              </w:rPr>
              <w:t xml:space="preserve"> s. 103</w:t>
            </w:r>
          </w:p>
        </w:tc>
        <w:tc>
          <w:tcPr>
            <w:tcW w:w="1134" w:type="dxa"/>
          </w:tcPr>
          <w:p>
            <w:pPr>
              <w:pStyle w:val="nTable"/>
              <w:spacing w:before="60" w:after="60"/>
              <w:rPr>
                <w:sz w:val="19"/>
              </w:rPr>
            </w:pPr>
            <w:r>
              <w:rPr>
                <w:sz w:val="19"/>
              </w:rPr>
              <w:t>13 of 1993</w:t>
            </w:r>
          </w:p>
        </w:tc>
        <w:tc>
          <w:tcPr>
            <w:tcW w:w="1134" w:type="dxa"/>
          </w:tcPr>
          <w:p>
            <w:pPr>
              <w:pStyle w:val="nTable"/>
              <w:spacing w:before="60" w:after="60"/>
              <w:rPr>
                <w:sz w:val="19"/>
              </w:rPr>
            </w:pPr>
            <w:r>
              <w:rPr>
                <w:sz w:val="19"/>
              </w:rPr>
              <w:t>23 Nov 1993</w:t>
            </w:r>
          </w:p>
        </w:tc>
        <w:tc>
          <w:tcPr>
            <w:tcW w:w="2552" w:type="dxa"/>
            <w:gridSpan w:val="2"/>
          </w:tcPr>
          <w:p>
            <w:pPr>
              <w:pStyle w:val="nTable"/>
              <w:spacing w:before="60" w:after="6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60" w:after="60"/>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60" w:after="60"/>
              <w:rPr>
                <w:sz w:val="19"/>
              </w:rPr>
            </w:pPr>
            <w:r>
              <w:rPr>
                <w:i/>
                <w:sz w:val="19"/>
              </w:rPr>
              <w:t>Industrial Relations Legislation Amendment and Repeal Act 1995</w:t>
            </w:r>
            <w:r>
              <w:rPr>
                <w:sz w:val="19"/>
              </w:rPr>
              <w:t xml:space="preserve"> s. 66(4)</w:t>
            </w:r>
          </w:p>
        </w:tc>
        <w:tc>
          <w:tcPr>
            <w:tcW w:w="1134" w:type="dxa"/>
          </w:tcPr>
          <w:p>
            <w:pPr>
              <w:pStyle w:val="nTable"/>
              <w:spacing w:before="60" w:after="60"/>
              <w:rPr>
                <w:sz w:val="19"/>
              </w:rPr>
            </w:pPr>
            <w:r>
              <w:rPr>
                <w:sz w:val="19"/>
              </w:rPr>
              <w:t>79 of 1995</w:t>
            </w:r>
          </w:p>
        </w:tc>
        <w:tc>
          <w:tcPr>
            <w:tcW w:w="1134" w:type="dxa"/>
          </w:tcPr>
          <w:p>
            <w:pPr>
              <w:pStyle w:val="nTable"/>
              <w:spacing w:before="60" w:after="60"/>
              <w:rPr>
                <w:sz w:val="19"/>
              </w:rPr>
            </w:pPr>
            <w:r>
              <w:rPr>
                <w:sz w:val="19"/>
              </w:rPr>
              <w:t>16 Jan 1996</w:t>
            </w:r>
          </w:p>
        </w:tc>
        <w:tc>
          <w:tcPr>
            <w:tcW w:w="2552" w:type="dxa"/>
            <w:gridSpan w:val="2"/>
          </w:tcPr>
          <w:p>
            <w:pPr>
              <w:pStyle w:val="nTable"/>
              <w:spacing w:before="60" w:after="6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60" w:after="60"/>
              <w:rPr>
                <w:sz w:val="19"/>
                <w:vertAlign w:val="superscript"/>
              </w:rPr>
            </w:pPr>
            <w:r>
              <w:rPr>
                <w:i/>
                <w:sz w:val="19"/>
              </w:rPr>
              <w:t>Labour Relations Reform Act 2002</w:t>
            </w:r>
            <w:r>
              <w:rPr>
                <w:sz w:val="19"/>
              </w:rPr>
              <w:t xml:space="preserve"> s. 16, 107 and 108</w:t>
            </w:r>
          </w:p>
        </w:tc>
        <w:tc>
          <w:tcPr>
            <w:tcW w:w="1134" w:type="dxa"/>
          </w:tcPr>
          <w:p>
            <w:pPr>
              <w:pStyle w:val="nTable"/>
              <w:spacing w:before="60" w:after="60"/>
              <w:rPr>
                <w:sz w:val="19"/>
              </w:rPr>
            </w:pPr>
            <w:r>
              <w:rPr>
                <w:sz w:val="19"/>
              </w:rPr>
              <w:t>20 of 2002</w:t>
            </w:r>
          </w:p>
        </w:tc>
        <w:tc>
          <w:tcPr>
            <w:tcW w:w="1134" w:type="dxa"/>
          </w:tcPr>
          <w:p>
            <w:pPr>
              <w:pStyle w:val="nTable"/>
              <w:spacing w:before="60" w:after="60"/>
              <w:rPr>
                <w:sz w:val="19"/>
              </w:rPr>
            </w:pPr>
            <w:r>
              <w:rPr>
                <w:sz w:val="19"/>
              </w:rPr>
              <w:t>8 Jul 2002</w:t>
            </w:r>
          </w:p>
        </w:tc>
        <w:tc>
          <w:tcPr>
            <w:tcW w:w="2552" w:type="dxa"/>
            <w:gridSpan w:val="2"/>
          </w:tcPr>
          <w:p>
            <w:pPr>
              <w:pStyle w:val="nTable"/>
              <w:spacing w:before="60" w:after="6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5"/>
          </w:tcPr>
          <w:p>
            <w:pPr>
              <w:pStyle w:val="nTable"/>
              <w:spacing w:before="60" w:after="6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60" w:after="6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60" w:after="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z w:val="19"/>
              </w:rPr>
            </w:pPr>
            <w:r>
              <w:rPr>
                <w:sz w:val="19"/>
              </w:rPr>
              <w:t>16 Dec 2004</w:t>
            </w:r>
          </w:p>
        </w:tc>
        <w:tc>
          <w:tcPr>
            <w:tcW w:w="2552"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60" w:after="60"/>
              <w:rPr>
                <w:i/>
                <w:snapToGrid w:val="0"/>
                <w:sz w:val="19"/>
                <w:lang w:val="en-US"/>
              </w:rPr>
            </w:pPr>
            <w:r>
              <w:rPr>
                <w:i/>
                <w:iCs/>
                <w:snapToGrid w:val="0"/>
                <w:sz w:val="19"/>
                <w:lang w:val="en-US"/>
              </w:rPr>
              <w:t>Legal Profession Act 2008</w:t>
            </w:r>
            <w:r>
              <w:rPr>
                <w:snapToGrid w:val="0"/>
                <w:sz w:val="19"/>
                <w:lang w:val="en-US"/>
              </w:rPr>
              <w:t xml:space="preserve"> s. 647 </w:t>
            </w:r>
          </w:p>
        </w:tc>
        <w:tc>
          <w:tcPr>
            <w:tcW w:w="1134" w:type="dxa"/>
          </w:tcPr>
          <w:p>
            <w:pPr>
              <w:pStyle w:val="nTable"/>
              <w:spacing w:before="60" w:after="60"/>
              <w:rPr>
                <w:snapToGrid w:val="0"/>
                <w:sz w:val="19"/>
                <w:lang w:val="en-US"/>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52" w:type="dxa"/>
            <w:gridSpan w:val="2"/>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before="60" w:after="60"/>
              <w:rPr>
                <w:i/>
                <w:iCs/>
                <w:snapToGrid w:val="0"/>
                <w:sz w:val="19"/>
                <w:lang w:val="en-US"/>
              </w:rPr>
            </w:pPr>
            <w:r>
              <w:rPr>
                <w:i/>
                <w:iCs/>
                <w:snapToGrid w:val="0"/>
                <w:sz w:val="19"/>
                <w:lang w:val="en-US"/>
              </w:rPr>
              <w:t>Training Legislation Amendment and Repeal Act 2008</w:t>
            </w:r>
            <w:r>
              <w:rPr>
                <w:snapToGrid w:val="0"/>
                <w:sz w:val="19"/>
                <w:lang w:val="en-US"/>
              </w:rPr>
              <w:t xml:space="preserve"> s. 51</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gridSpan w:val="2"/>
          </w:tcPr>
          <w:p>
            <w:pPr>
              <w:pStyle w:val="nTable"/>
              <w:spacing w:before="60" w:after="60"/>
              <w:rPr>
                <w:snapToGrid w:val="0"/>
                <w:spacing w:val="-2"/>
                <w:sz w:val="19"/>
                <w:lang w:val="en-US"/>
              </w:rPr>
            </w:pPr>
            <w:r>
              <w:rPr>
                <w:snapToGrid w:val="0"/>
                <w:spacing w:val="-2"/>
                <w:sz w:val="19"/>
                <w:lang w:val="en-US"/>
              </w:rPr>
              <w:t>10 Jun 2009 (see s. 2(2))</w:t>
            </w:r>
          </w:p>
        </w:tc>
      </w:tr>
      <w:tr>
        <w:trPr>
          <w:cantSplit/>
        </w:trPr>
        <w:tc>
          <w:tcPr>
            <w:tcW w:w="7088" w:type="dxa"/>
            <w:gridSpan w:val="5"/>
          </w:tcPr>
          <w:p>
            <w:pPr>
              <w:pStyle w:val="nTable"/>
              <w:spacing w:after="40"/>
              <w:rPr>
                <w:snapToGrid w:val="0"/>
                <w:spacing w:val="-2"/>
                <w:sz w:val="19"/>
                <w:lang w:val="en-US"/>
              </w:rPr>
            </w:pPr>
            <w:r>
              <w:rPr>
                <w:b/>
                <w:sz w:val="19"/>
              </w:rPr>
              <w:t xml:space="preserve">Reprint 2: The </w:t>
            </w:r>
            <w:r>
              <w:rPr>
                <w:b/>
                <w:i/>
                <w:sz w:val="19"/>
              </w:rPr>
              <w:t xml:space="preserve">Coal Industry Tribunal of Western Australia Act 1992 </w:t>
            </w:r>
            <w:r>
              <w:rPr>
                <w:b/>
                <w:sz w:val="19"/>
              </w:rPr>
              <w:t>as at 24 Apr 2009</w:t>
            </w:r>
            <w:r>
              <w:rPr>
                <w:sz w:val="19"/>
              </w:rPr>
              <w:t xml:space="preserve"> (includes amendments listed above except those in the </w:t>
            </w:r>
            <w:r>
              <w:rPr>
                <w:i/>
                <w:sz w:val="19"/>
              </w:rPr>
              <w:t>Training Legislation Amendment and Repeal Act 2008</w:t>
            </w:r>
            <w:r>
              <w:rPr>
                <w:sz w:val="19"/>
              </w:rPr>
              <w:t>)</w:t>
            </w:r>
          </w:p>
        </w:tc>
      </w:tr>
      <w:tr>
        <w:trPr>
          <w:gridAfter w:val="1"/>
          <w:wAfter w:w="8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15 </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del w:id="248" w:author="svcMRProcess" w:date="2015-12-09T18:19:00Z"/>
          <w:snapToGrid w:val="0"/>
          <w:vertAlign w:val="superscript"/>
        </w:rPr>
      </w:pPr>
    </w:p>
    <w:p>
      <w:pPr>
        <w:pStyle w:val="nSubsection"/>
        <w:tabs>
          <w:tab w:val="clear" w:pos="454"/>
          <w:tab w:val="left" w:pos="567"/>
        </w:tabs>
        <w:spacing w:before="120"/>
        <w:ind w:left="567" w:hanging="567"/>
        <w:rPr>
          <w:ins w:id="249" w:author="svcMRProcess" w:date="2015-12-09T18:19:00Z"/>
          <w:snapToGrid w:val="0"/>
        </w:rPr>
      </w:pPr>
      <w:ins w:id="250" w:author="svcMRProcess" w:date="2015-12-09T18: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1" w:author="svcMRProcess" w:date="2015-12-09T18:19:00Z"/>
        </w:rPr>
      </w:pPr>
      <w:bookmarkStart w:id="252" w:name="_Toc7405065"/>
      <w:bookmarkStart w:id="253" w:name="_Toc274202315"/>
      <w:ins w:id="254" w:author="svcMRProcess" w:date="2015-12-09T18:19:00Z">
        <w:r>
          <w:t>Provisions that have not come into operation</w:t>
        </w:r>
        <w:bookmarkEnd w:id="252"/>
        <w:bookmarkEnd w:id="25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255" w:author="svcMRProcess" w:date="2015-12-09T18:19:00Z"/>
        </w:trPr>
        <w:tc>
          <w:tcPr>
            <w:tcW w:w="2268" w:type="dxa"/>
          </w:tcPr>
          <w:p>
            <w:pPr>
              <w:pStyle w:val="nTable"/>
              <w:spacing w:after="40"/>
              <w:rPr>
                <w:ins w:id="256" w:author="svcMRProcess" w:date="2015-12-09T18:19:00Z"/>
                <w:b/>
                <w:snapToGrid w:val="0"/>
                <w:sz w:val="19"/>
                <w:lang w:val="en-US"/>
              </w:rPr>
            </w:pPr>
            <w:ins w:id="257" w:author="svcMRProcess" w:date="2015-12-09T18:19:00Z">
              <w:r>
                <w:rPr>
                  <w:b/>
                  <w:snapToGrid w:val="0"/>
                  <w:sz w:val="19"/>
                  <w:lang w:val="en-US"/>
                </w:rPr>
                <w:t>Short title</w:t>
              </w:r>
            </w:ins>
          </w:p>
        </w:tc>
        <w:tc>
          <w:tcPr>
            <w:tcW w:w="1120" w:type="dxa"/>
          </w:tcPr>
          <w:p>
            <w:pPr>
              <w:pStyle w:val="nTable"/>
              <w:spacing w:after="40"/>
              <w:rPr>
                <w:ins w:id="258" w:author="svcMRProcess" w:date="2015-12-09T18:19:00Z"/>
                <w:b/>
                <w:snapToGrid w:val="0"/>
                <w:sz w:val="19"/>
                <w:lang w:val="en-US"/>
              </w:rPr>
            </w:pPr>
            <w:ins w:id="259" w:author="svcMRProcess" w:date="2015-12-09T18:19:00Z">
              <w:r>
                <w:rPr>
                  <w:b/>
                  <w:snapToGrid w:val="0"/>
                  <w:sz w:val="19"/>
                  <w:lang w:val="en-US"/>
                </w:rPr>
                <w:t>Number and year</w:t>
              </w:r>
            </w:ins>
          </w:p>
        </w:tc>
        <w:tc>
          <w:tcPr>
            <w:tcW w:w="1135" w:type="dxa"/>
          </w:tcPr>
          <w:p>
            <w:pPr>
              <w:pStyle w:val="nTable"/>
              <w:spacing w:after="40"/>
              <w:rPr>
                <w:ins w:id="260" w:author="svcMRProcess" w:date="2015-12-09T18:19:00Z"/>
                <w:b/>
                <w:snapToGrid w:val="0"/>
                <w:sz w:val="19"/>
                <w:lang w:val="en-US"/>
              </w:rPr>
            </w:pPr>
            <w:ins w:id="261" w:author="svcMRProcess" w:date="2015-12-09T18:19:00Z">
              <w:r>
                <w:rPr>
                  <w:b/>
                  <w:snapToGrid w:val="0"/>
                  <w:sz w:val="19"/>
                  <w:lang w:val="en-US"/>
                </w:rPr>
                <w:t>Assent</w:t>
              </w:r>
            </w:ins>
          </w:p>
        </w:tc>
        <w:tc>
          <w:tcPr>
            <w:tcW w:w="2552" w:type="dxa"/>
          </w:tcPr>
          <w:p>
            <w:pPr>
              <w:pStyle w:val="nTable"/>
              <w:spacing w:after="40"/>
              <w:rPr>
                <w:ins w:id="262" w:author="svcMRProcess" w:date="2015-12-09T18:19:00Z"/>
                <w:b/>
                <w:snapToGrid w:val="0"/>
                <w:sz w:val="19"/>
                <w:lang w:val="en-US"/>
              </w:rPr>
            </w:pPr>
            <w:ins w:id="263" w:author="svcMRProcess" w:date="2015-12-09T18:19: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264" w:author="svcMRProcess" w:date="2015-12-09T18:19:00Z"/>
        </w:trPr>
        <w:tc>
          <w:tcPr>
            <w:tcW w:w="2268" w:type="dxa"/>
            <w:tcBorders>
              <w:top w:val="nil"/>
              <w:bottom w:val="single" w:sz="4" w:space="0" w:color="auto"/>
            </w:tcBorders>
          </w:tcPr>
          <w:p>
            <w:pPr>
              <w:pStyle w:val="nTable"/>
              <w:spacing w:after="40"/>
              <w:ind w:right="113"/>
              <w:rPr>
                <w:ins w:id="265" w:author="svcMRProcess" w:date="2015-12-09T18:19:00Z"/>
                <w:i/>
                <w:snapToGrid w:val="0"/>
                <w:sz w:val="19"/>
              </w:rPr>
            </w:pPr>
            <w:ins w:id="266" w:author="svcMRProcess" w:date="2015-12-09T18:1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20" w:type="dxa"/>
            <w:tcBorders>
              <w:top w:val="nil"/>
              <w:bottom w:val="single" w:sz="4" w:space="0" w:color="auto"/>
            </w:tcBorders>
          </w:tcPr>
          <w:p>
            <w:pPr>
              <w:pStyle w:val="nTable"/>
              <w:spacing w:after="40"/>
              <w:rPr>
                <w:ins w:id="267" w:author="svcMRProcess" w:date="2015-12-09T18:19:00Z"/>
                <w:snapToGrid w:val="0"/>
                <w:sz w:val="19"/>
                <w:lang w:val="en-US"/>
              </w:rPr>
            </w:pPr>
            <w:ins w:id="268" w:author="svcMRProcess" w:date="2015-12-09T18:19:00Z">
              <w:r>
                <w:rPr>
                  <w:snapToGrid w:val="0"/>
                  <w:sz w:val="19"/>
                  <w:lang w:val="en-US"/>
                </w:rPr>
                <w:t>39 of 2010</w:t>
              </w:r>
            </w:ins>
          </w:p>
        </w:tc>
        <w:tc>
          <w:tcPr>
            <w:tcW w:w="1135" w:type="dxa"/>
            <w:tcBorders>
              <w:top w:val="nil"/>
              <w:bottom w:val="single" w:sz="4" w:space="0" w:color="auto"/>
            </w:tcBorders>
          </w:tcPr>
          <w:p>
            <w:pPr>
              <w:pStyle w:val="nTable"/>
              <w:spacing w:after="40"/>
              <w:rPr>
                <w:ins w:id="269" w:author="svcMRProcess" w:date="2015-12-09T18:19:00Z"/>
                <w:snapToGrid w:val="0"/>
                <w:sz w:val="19"/>
                <w:lang w:val="en-US"/>
              </w:rPr>
            </w:pPr>
            <w:ins w:id="270" w:author="svcMRProcess" w:date="2015-12-09T18:19:00Z">
              <w:r>
                <w:rPr>
                  <w:sz w:val="19"/>
                </w:rPr>
                <w:t>1 Oct 2010</w:t>
              </w:r>
            </w:ins>
          </w:p>
        </w:tc>
        <w:tc>
          <w:tcPr>
            <w:tcW w:w="2552" w:type="dxa"/>
            <w:tcBorders>
              <w:top w:val="nil"/>
              <w:bottom w:val="single" w:sz="4" w:space="0" w:color="auto"/>
            </w:tcBorders>
          </w:tcPr>
          <w:p>
            <w:pPr>
              <w:pStyle w:val="nTable"/>
              <w:spacing w:after="40"/>
              <w:rPr>
                <w:ins w:id="271" w:author="svcMRProcess" w:date="2015-12-09T18:19:00Z"/>
                <w:snapToGrid w:val="0"/>
                <w:sz w:val="19"/>
                <w:lang w:val="en-US"/>
              </w:rPr>
            </w:pPr>
            <w:ins w:id="272" w:author="svcMRProcess" w:date="2015-12-09T18:19: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ns w:id="273" w:author="svcMRProcess" w:date="2015-12-09T18:19:00Z"/>
          <w:snapToGrid w:val="0"/>
        </w:rPr>
      </w:pPr>
      <w:ins w:id="274" w:author="svcMRProcess" w:date="2015-12-09T18:19: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75" w:author="svcMRProcess" w:date="2015-12-09T18:19:00Z"/>
        </w:rPr>
      </w:pPr>
    </w:p>
    <w:p>
      <w:pPr>
        <w:pStyle w:val="nzHeading5"/>
        <w:rPr>
          <w:ins w:id="276" w:author="svcMRProcess" w:date="2015-12-09T18:19:00Z"/>
        </w:rPr>
      </w:pPr>
      <w:bookmarkStart w:id="277" w:name="_Toc273538032"/>
      <w:bookmarkStart w:id="278" w:name="_Toc273964959"/>
      <w:bookmarkStart w:id="279" w:name="_Toc273971506"/>
      <w:ins w:id="280" w:author="svcMRProcess" w:date="2015-12-09T18:19:00Z">
        <w:r>
          <w:rPr>
            <w:rStyle w:val="CharSectno"/>
          </w:rPr>
          <w:t>89</w:t>
        </w:r>
        <w:r>
          <w:t>.</w:t>
        </w:r>
        <w:r>
          <w:tab/>
          <w:t>Various references to “Minister for Public Sector Management” amended</w:t>
        </w:r>
        <w:bookmarkEnd w:id="277"/>
        <w:bookmarkEnd w:id="278"/>
        <w:bookmarkEnd w:id="279"/>
      </w:ins>
    </w:p>
    <w:p>
      <w:pPr>
        <w:pStyle w:val="nzSubsection"/>
        <w:rPr>
          <w:ins w:id="281" w:author="svcMRProcess" w:date="2015-12-09T18:19:00Z"/>
        </w:rPr>
      </w:pPr>
      <w:ins w:id="282" w:author="svcMRProcess" w:date="2015-12-09T18:19:00Z">
        <w:r>
          <w:tab/>
          <w:t>(1)</w:t>
        </w:r>
        <w:r>
          <w:tab/>
          <w:t>This section amends the Acts listed in the Table.</w:t>
        </w:r>
      </w:ins>
    </w:p>
    <w:p>
      <w:pPr>
        <w:pStyle w:val="nzSubsection"/>
        <w:rPr>
          <w:ins w:id="283" w:author="svcMRProcess" w:date="2015-12-09T18:19:00Z"/>
        </w:rPr>
      </w:pPr>
      <w:ins w:id="284" w:author="svcMRProcess" w:date="2015-12-09T18:19:00Z">
        <w:r>
          <w:tab/>
          <w:t>(2)</w:t>
        </w:r>
        <w:r>
          <w:tab/>
          <w:t>In the provisions listed in the Table delete “Minister for Public Sector Management” and insert:</w:t>
        </w:r>
      </w:ins>
    </w:p>
    <w:p>
      <w:pPr>
        <w:pStyle w:val="BlankOpen"/>
        <w:rPr>
          <w:ins w:id="285" w:author="svcMRProcess" w:date="2015-12-09T18:19:00Z"/>
        </w:rPr>
      </w:pPr>
    </w:p>
    <w:p>
      <w:pPr>
        <w:pStyle w:val="nzSubsection"/>
        <w:rPr>
          <w:ins w:id="286" w:author="svcMRProcess" w:date="2015-12-09T18:19:00Z"/>
        </w:rPr>
      </w:pPr>
      <w:ins w:id="287" w:author="svcMRProcess" w:date="2015-12-09T18:19:00Z">
        <w:r>
          <w:tab/>
        </w:r>
        <w:r>
          <w:tab/>
          <w:t>Public Sector C</w:t>
        </w:r>
        <w:bookmarkStart w:id="288" w:name="UpToHere"/>
        <w:bookmarkEnd w:id="288"/>
        <w:r>
          <w:t>ommissioner</w:t>
        </w:r>
      </w:ins>
    </w:p>
    <w:p>
      <w:pPr>
        <w:pStyle w:val="BlankClose"/>
        <w:rPr>
          <w:ins w:id="289" w:author="svcMRProcess" w:date="2015-12-09T18:19:00Z"/>
        </w:rPr>
      </w:pPr>
    </w:p>
    <w:p>
      <w:pPr>
        <w:pStyle w:val="BlankClose"/>
        <w:rPr>
          <w:ins w:id="290" w:author="svcMRProcess" w:date="2015-12-09T18:19:00Z"/>
        </w:rPr>
      </w:pPr>
    </w:p>
    <w:p>
      <w:pPr>
        <w:pStyle w:val="THeading"/>
        <w:rPr>
          <w:ins w:id="291" w:author="svcMRProcess" w:date="2015-12-09T18:19:00Z"/>
        </w:rPr>
      </w:pPr>
      <w:ins w:id="292" w:author="svcMRProcess" w:date="2015-12-09T18:1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293" w:author="svcMRProcess" w:date="2015-12-09T18:19:00Z"/>
        </w:trPr>
        <w:tc>
          <w:tcPr>
            <w:tcW w:w="3403" w:type="dxa"/>
          </w:tcPr>
          <w:p>
            <w:pPr>
              <w:pStyle w:val="TableAm"/>
              <w:rPr>
                <w:ins w:id="294" w:author="svcMRProcess" w:date="2015-12-09T18:19:00Z"/>
                <w:iCs/>
                <w:sz w:val="20"/>
              </w:rPr>
            </w:pPr>
            <w:ins w:id="295" w:author="svcMRProcess" w:date="2015-12-09T18:19:00Z">
              <w:r>
                <w:rPr>
                  <w:i/>
                  <w:iCs/>
                  <w:sz w:val="20"/>
                </w:rPr>
                <w:t>Coal Industry Tribunal of Western Australia Act 1992</w:t>
              </w:r>
            </w:ins>
          </w:p>
        </w:tc>
        <w:tc>
          <w:tcPr>
            <w:tcW w:w="3401" w:type="dxa"/>
          </w:tcPr>
          <w:p>
            <w:pPr>
              <w:pStyle w:val="TableAm"/>
              <w:rPr>
                <w:ins w:id="296" w:author="svcMRProcess" w:date="2015-12-09T18:19:00Z"/>
                <w:sz w:val="20"/>
              </w:rPr>
            </w:pPr>
            <w:ins w:id="297" w:author="svcMRProcess" w:date="2015-12-09T18:19:00Z">
              <w:r>
                <w:rPr>
                  <w:sz w:val="20"/>
                </w:rPr>
                <w:t>s. 27</w:t>
              </w:r>
            </w:ins>
          </w:p>
        </w:tc>
      </w:tr>
    </w:tbl>
    <w:p>
      <w:pPr>
        <w:pStyle w:val="BlankClose"/>
        <w:rPr>
          <w:ins w:id="298" w:author="svcMRProcess" w:date="2015-12-09T18:1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40B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76D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FCEA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C6AC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56E3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307E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A87F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680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50BC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7D858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6A11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5093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32"/>
    <w:docVar w:name="WAFER_20151208095532" w:val="RemoveTrackChanges"/>
    <w:docVar w:name="WAFER_20151208095532_GUID" w:val="f8b706e5-e867-4dab-89be-e997e09163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6646</Words>
  <Characters>32038</Characters>
  <Application>Microsoft Office Word</Application>
  <DocSecurity>0</DocSecurity>
  <Lines>843</Lines>
  <Paragraphs>398</Paragraphs>
  <ScaleCrop>false</ScaleCrop>
  <HeadingPairs>
    <vt:vector size="2" baseType="variant">
      <vt:variant>
        <vt:lpstr>Title</vt:lpstr>
      </vt:variant>
      <vt:variant>
        <vt:i4>1</vt:i4>
      </vt:variant>
    </vt:vector>
  </HeadingPairs>
  <TitlesOfParts>
    <vt:vector size="1" baseType="lpstr">
      <vt:lpstr>Coal Industry Tribunal Of Western Australia Act 1992</vt:lpstr>
    </vt:vector>
  </TitlesOfParts>
  <Manager/>
  <Company/>
  <LinksUpToDate>false</LinksUpToDate>
  <CharactersWithSpaces>38286</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02-c0-02 - 02-d0-02</dc:title>
  <dc:subject/>
  <dc:creator/>
  <cp:keywords/>
  <dc:description/>
  <cp:lastModifiedBy>svcMRProcess</cp:lastModifiedBy>
  <cp:revision>2</cp:revision>
  <cp:lastPrinted>2009-05-11T01:32:00Z</cp:lastPrinted>
  <dcterms:created xsi:type="dcterms:W3CDTF">2015-12-09T10:19:00Z</dcterms:created>
  <dcterms:modified xsi:type="dcterms:W3CDTF">2015-12-09T10:19:00Z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139</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17 Sep 2009</vt:lpwstr>
  </property>
  <property fmtid="{D5CDD505-2E9C-101B-9397-08002B2CF9AE}" pid="9" name="ToSuffix">
    <vt:lpwstr>02-d0-02</vt:lpwstr>
  </property>
  <property fmtid="{D5CDD505-2E9C-101B-9397-08002B2CF9AE}" pid="10" name="ToAsAtDate">
    <vt:lpwstr>01 Oct 2010</vt:lpwstr>
  </property>
</Properties>
</file>