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Podiatrists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00-h0-05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Podiatrists Act 2005</w:t>
      </w:r>
    </w:p>
    <w:p>
      <w:pPr>
        <w:pStyle w:val="NameofActReg"/>
      </w:pPr>
      <w:r>
        <w:t>Podiatrists Regulations 2006</w:t>
      </w:r>
    </w:p>
    <w:p>
      <w:pPr>
        <w:pStyle w:val="Heading5"/>
      </w:pPr>
      <w:bookmarkStart w:id="1" w:name="_Toc378254978"/>
      <w:bookmarkStart w:id="2" w:name="_Toc426976573"/>
      <w:bookmarkStart w:id="3" w:name="_Toc271202573"/>
      <w:r>
        <w:rPr>
          <w:rStyle w:val="CharSectno"/>
        </w:rPr>
        <w:t>1</w:t>
      </w:r>
      <w:bookmarkStart w:id="4" w:name="_GoBack"/>
      <w:bookmarkEnd w:id="4"/>
      <w:r>
        <w:t>.</w:t>
      </w:r>
      <w:r>
        <w:tab/>
        <w:t>Citation</w:t>
      </w:r>
      <w:bookmarkEnd w:id="1"/>
      <w:bookmarkEnd w:id="2"/>
      <w:bookmarkEnd w:id="3"/>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Podiatrists Regulations 2006</w:t>
      </w:r>
      <w:r>
        <w:rPr>
          <w:iCs/>
          <w:vertAlign w:val="superscript"/>
        </w:rPr>
        <w:t> 1</w:t>
      </w:r>
      <w:r>
        <w:t>.</w:t>
      </w:r>
    </w:p>
    <w:p>
      <w:pPr>
        <w:pStyle w:val="Heading5"/>
        <w:rPr>
          <w:spacing w:val="-2"/>
        </w:rPr>
      </w:pPr>
      <w:bookmarkStart w:id="6" w:name="_Toc378254979"/>
      <w:bookmarkStart w:id="7" w:name="_Toc426976574"/>
      <w:bookmarkStart w:id="8" w:name="_Toc271202574"/>
      <w:r>
        <w:rPr>
          <w:rStyle w:val="CharSectno"/>
        </w:rPr>
        <w:t>2</w:t>
      </w:r>
      <w:r>
        <w:rPr>
          <w:spacing w:val="-2"/>
        </w:rPr>
        <w:t>.</w:t>
      </w:r>
      <w:r>
        <w:rPr>
          <w:spacing w:val="-2"/>
        </w:rPr>
        <w:tab/>
        <w:t>Commencement</w:t>
      </w:r>
      <w:bookmarkEnd w:id="6"/>
      <w:bookmarkEnd w:id="7"/>
      <w:bookmarkEnd w:id="8"/>
    </w:p>
    <w:p>
      <w:pPr>
        <w:pStyle w:val="Subsection"/>
      </w:pPr>
      <w:r>
        <w:rPr>
          <w:spacing w:val="-2"/>
        </w:rPr>
        <w:tab/>
      </w:r>
      <w:r>
        <w:rPr>
          <w:spacing w:val="-2"/>
        </w:rPr>
        <w:tab/>
        <w:t xml:space="preserve">These regulations come into operation on the day on which the </w:t>
      </w:r>
      <w:r>
        <w:rPr>
          <w:i/>
          <w:spacing w:val="-2"/>
        </w:rPr>
        <w:t>Podiatrists Act 2005</w:t>
      </w:r>
      <w:r>
        <w:rPr>
          <w:spacing w:val="-2"/>
        </w:rPr>
        <w:t xml:space="preserve"> comes into operation</w:t>
      </w:r>
      <w:r>
        <w:t>.</w:t>
      </w:r>
    </w:p>
    <w:p>
      <w:pPr>
        <w:pStyle w:val="Heading5"/>
      </w:pPr>
      <w:bookmarkStart w:id="9" w:name="_Toc378254980"/>
      <w:bookmarkStart w:id="10" w:name="_Toc426976575"/>
      <w:bookmarkStart w:id="11" w:name="_Toc271202575"/>
      <w:r>
        <w:rPr>
          <w:rStyle w:val="CharSectno"/>
        </w:rPr>
        <w:t>3</w:t>
      </w:r>
      <w:r>
        <w:t>.</w:t>
      </w:r>
      <w:r>
        <w:tab/>
        <w:t>Criminal record screening</w:t>
      </w:r>
      <w:bookmarkEnd w:id="9"/>
      <w:bookmarkEnd w:id="10"/>
      <w:bookmarkEnd w:id="11"/>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12" w:name="_Toc378254981"/>
      <w:bookmarkStart w:id="13" w:name="_Toc426976576"/>
      <w:bookmarkStart w:id="14" w:name="_Toc271202576"/>
      <w:r>
        <w:rPr>
          <w:rStyle w:val="CharSectno"/>
        </w:rPr>
        <w:t>4</w:t>
      </w:r>
      <w:r>
        <w:t>.</w:t>
      </w:r>
      <w:r>
        <w:tab/>
        <w:t>Prescribed qualifications under section 27(2)(f) for registration</w:t>
      </w:r>
      <w:bookmarkEnd w:id="12"/>
      <w:bookmarkEnd w:id="13"/>
      <w:bookmarkEnd w:id="14"/>
    </w:p>
    <w:p>
      <w:pPr>
        <w:pStyle w:val="Subsection"/>
      </w:pPr>
      <w:r>
        <w:tab/>
        <w:t>(1)</w:t>
      </w:r>
      <w:r>
        <w:tab/>
        <w:t>For the purposes of the Act section 27(2)(f), the qualification prescribed as a qualification for registration as a podiatrist is a Certificate of Podiatry issued by the Board.</w:t>
      </w:r>
    </w:p>
    <w:p>
      <w:pPr>
        <w:pStyle w:val="Subsection"/>
      </w:pPr>
      <w:r>
        <w:tab/>
        <w:t>(2)</w:t>
      </w:r>
      <w:r>
        <w:tab/>
        <w:t>For the purposes of the Act section 27(2)(f), the degrees specified in column 1 of the Table to this subregulation opposite the university specified in column 2 of that Table are prescribed as a qualification for registration as a podiatrist.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Pr>
          <w:p>
            <w:pPr>
              <w:pStyle w:val="Table"/>
            </w:pPr>
            <w:r>
              <w:t>Bachelor of Science (Podiatry)</w:t>
            </w:r>
          </w:p>
        </w:tc>
        <w:tc>
          <w:tcPr>
            <w:tcW w:w="3402" w:type="dxa"/>
          </w:tcPr>
          <w:p>
            <w:pPr>
              <w:pStyle w:val="Table"/>
            </w:pPr>
            <w:r>
              <w:t>Curtin University of Technology</w:t>
            </w:r>
          </w:p>
        </w:tc>
      </w:tr>
      <w:tr>
        <w:tc>
          <w:tcPr>
            <w:tcW w:w="2693" w:type="dxa"/>
            <w:tcBorders>
              <w:bottom w:val="single" w:sz="4" w:space="0" w:color="auto"/>
            </w:tcBorders>
          </w:tcPr>
          <w:p>
            <w:pPr>
              <w:pStyle w:val="Table"/>
            </w:pPr>
            <w:r>
              <w:t>Bachelor of Podiatric Medicine</w:t>
            </w:r>
          </w:p>
        </w:tc>
        <w:tc>
          <w:tcPr>
            <w:tcW w:w="3402" w:type="dxa"/>
            <w:tcBorders>
              <w:bottom w:val="single" w:sz="4" w:space="0" w:color="auto"/>
            </w:tcBorders>
          </w:tcPr>
          <w:p>
            <w:pPr>
              <w:pStyle w:val="Table"/>
            </w:pPr>
            <w:r>
              <w:t>The University of Western Australia</w:t>
            </w:r>
          </w:p>
        </w:tc>
      </w:tr>
    </w:tbl>
    <w:p>
      <w:pPr>
        <w:pStyle w:val="Heading5"/>
      </w:pPr>
      <w:bookmarkStart w:id="15" w:name="_Toc378254982"/>
      <w:bookmarkStart w:id="16" w:name="_Toc426976577"/>
      <w:bookmarkStart w:id="17" w:name="_Toc271202577"/>
      <w:r>
        <w:rPr>
          <w:rStyle w:val="CharSectno"/>
        </w:rPr>
        <w:t>5</w:t>
      </w:r>
      <w:r>
        <w:t>.</w:t>
      </w:r>
      <w:r>
        <w:tab/>
        <w:t>Examinations</w:t>
      </w:r>
      <w:bookmarkEnd w:id="15"/>
      <w:bookmarkEnd w:id="16"/>
      <w:bookmarkEnd w:id="17"/>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Podiatry.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Podiatry in a form approved by the Board.</w:t>
      </w:r>
    </w:p>
    <w:p>
      <w:pPr>
        <w:pStyle w:val="Heading5"/>
      </w:pPr>
      <w:bookmarkStart w:id="18" w:name="_Toc378254983"/>
      <w:bookmarkStart w:id="19" w:name="_Toc426976578"/>
      <w:bookmarkStart w:id="20" w:name="_Toc271202578"/>
      <w:r>
        <w:rPr>
          <w:rStyle w:val="CharSectno"/>
        </w:rPr>
        <w:t>6</w:t>
      </w:r>
      <w:r>
        <w:t>.</w:t>
      </w:r>
      <w:r>
        <w:tab/>
        <w:t>Specialties prescribed</w:t>
      </w:r>
      <w:bookmarkEnd w:id="18"/>
      <w:bookmarkEnd w:id="19"/>
      <w:bookmarkEnd w:id="20"/>
    </w:p>
    <w:p>
      <w:pPr>
        <w:pStyle w:val="Subsection"/>
      </w:pPr>
      <w:r>
        <w:tab/>
      </w:r>
      <w:r>
        <w:tab/>
        <w:t xml:space="preserve">For the purposes of the Act section 30(1), the following branches of podiatry are prescribed as a specialty — </w:t>
      </w:r>
    </w:p>
    <w:p>
      <w:pPr>
        <w:pStyle w:val="Indenta"/>
      </w:pPr>
      <w:r>
        <w:tab/>
        <w:t>(a)</w:t>
      </w:r>
      <w:r>
        <w:tab/>
        <w:t>podiatric surgeon;</w:t>
      </w:r>
    </w:p>
    <w:p>
      <w:pPr>
        <w:pStyle w:val="Indenta"/>
      </w:pPr>
      <w:r>
        <w:tab/>
        <w:t>(b)</w:t>
      </w:r>
      <w:r>
        <w:tab/>
        <w:t>podiatric physician.</w:t>
      </w:r>
    </w:p>
    <w:p>
      <w:pPr>
        <w:pStyle w:val="Heading5"/>
      </w:pPr>
      <w:bookmarkStart w:id="21" w:name="_Toc378254984"/>
      <w:bookmarkStart w:id="22" w:name="_Toc426976579"/>
      <w:bookmarkStart w:id="23" w:name="_Toc271202579"/>
      <w:r>
        <w:rPr>
          <w:rStyle w:val="CharSectno"/>
        </w:rPr>
        <w:t>7</w:t>
      </w:r>
      <w:r>
        <w:t>.</w:t>
      </w:r>
      <w:r>
        <w:tab/>
        <w:t>Qualifications for specialty</w:t>
      </w:r>
      <w:bookmarkEnd w:id="21"/>
      <w:bookmarkEnd w:id="22"/>
      <w:bookmarkEnd w:id="23"/>
    </w:p>
    <w:p>
      <w:pPr>
        <w:pStyle w:val="Subsection"/>
      </w:pPr>
      <w:r>
        <w:tab/>
        <w:t>(1)</w:t>
      </w:r>
      <w:r>
        <w:tab/>
        <w:t xml:space="preserve">For the purposes of the Act section 30(2)(b), the following qualifications are prescribed qualifications for the specialty of podiatric surgeon — </w:t>
      </w:r>
    </w:p>
    <w:p>
      <w:pPr>
        <w:pStyle w:val="Indenta"/>
      </w:pPr>
      <w:r>
        <w:tab/>
        <w:t>(a)</w:t>
      </w:r>
      <w:r>
        <w:tab/>
        <w:t>Master of Science (Podiatry) from Curtin University of Technology and member of, or eligible for membership of, the Australasian College of Podiatric Surgeons;</w:t>
      </w:r>
    </w:p>
    <w:p>
      <w:pPr>
        <w:pStyle w:val="Indenta"/>
      </w:pPr>
      <w:r>
        <w:tab/>
        <w:t>(b)</w:t>
      </w:r>
      <w:r>
        <w:tab/>
        <w:t>Master of Podiatry from Curtin University of Technology and member of, or eligible for membership of, the Australasian College of Podiatric Surgeons;</w:t>
      </w:r>
    </w:p>
    <w:p>
      <w:pPr>
        <w:pStyle w:val="Indenta"/>
      </w:pPr>
      <w:r>
        <w:tab/>
        <w:t>(c)</w:t>
      </w:r>
      <w:r>
        <w:tab/>
        <w:t>Doctor of Clinical Podiatry from the University of Western Australia.</w:t>
      </w:r>
    </w:p>
    <w:p>
      <w:pPr>
        <w:pStyle w:val="Subsection"/>
      </w:pPr>
      <w:r>
        <w:tab/>
        <w:t>(2)</w:t>
      </w:r>
      <w:r>
        <w:tab/>
        <w:t xml:space="preserve">For the purposes of the Act section 30(2)(b), the following qualifications are prescribed qualifications for the speciality of podiatric physician — </w:t>
      </w:r>
    </w:p>
    <w:p>
      <w:pPr>
        <w:pStyle w:val="Indenta"/>
      </w:pPr>
      <w:r>
        <w:tab/>
        <w:t>(a)</w:t>
      </w:r>
      <w:r>
        <w:tab/>
        <w:t>Master of Podiatric Medicine from the University of Western Australia;</w:t>
      </w:r>
    </w:p>
    <w:p>
      <w:pPr>
        <w:pStyle w:val="Indenta"/>
      </w:pPr>
      <w:r>
        <w:tab/>
        <w:t>(b)</w:t>
      </w:r>
      <w:r>
        <w:tab/>
        <w:t>Doctor of Clinical Podiatry from the University of Western Australia;</w:t>
      </w:r>
    </w:p>
    <w:p>
      <w:pPr>
        <w:pStyle w:val="Indenta"/>
      </w:pPr>
      <w:r>
        <w:tab/>
        <w:t>(c)</w:t>
      </w:r>
      <w:r>
        <w:tab/>
        <w:t>Doctor of Podiatric Medicine from the University of Western Australia.</w:t>
      </w:r>
    </w:p>
    <w:p>
      <w:pPr>
        <w:pStyle w:val="Footnotesection"/>
      </w:pPr>
      <w:r>
        <w:tab/>
        <w:t>[Regulation 7 amended in Gazette 1 May 2009 p. 1436.]</w:t>
      </w:r>
    </w:p>
    <w:p>
      <w:pPr>
        <w:pStyle w:val="Heading5"/>
      </w:pPr>
      <w:bookmarkStart w:id="24" w:name="_Toc378254985"/>
      <w:bookmarkStart w:id="25" w:name="_Toc426976580"/>
      <w:bookmarkStart w:id="26" w:name="_Toc271202580"/>
      <w:r>
        <w:rPr>
          <w:rStyle w:val="CharSectno"/>
        </w:rPr>
        <w:t>8</w:t>
      </w:r>
      <w:r>
        <w:t>.</w:t>
      </w:r>
      <w:r>
        <w:tab/>
        <w:t>Titles under which a specialty may be practised</w:t>
      </w:r>
      <w:bookmarkEnd w:id="24"/>
      <w:bookmarkEnd w:id="25"/>
      <w:bookmarkEnd w:id="26"/>
    </w:p>
    <w:p>
      <w:pPr>
        <w:pStyle w:val="Subsection"/>
      </w:pPr>
      <w:r>
        <w:tab/>
      </w:r>
      <w:r>
        <w:tab/>
        <w:t>For the purposes of the Act section 30(6),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835"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Pr>
          <w:p>
            <w:pPr>
              <w:pStyle w:val="Table"/>
            </w:pPr>
            <w:r>
              <w:t>podiatric surgeon</w:t>
            </w:r>
          </w:p>
        </w:tc>
        <w:tc>
          <w:tcPr>
            <w:tcW w:w="2835" w:type="dxa"/>
          </w:tcPr>
          <w:p>
            <w:pPr>
              <w:pStyle w:val="Table"/>
            </w:pPr>
            <w:r>
              <w:t>podiatric surgeon</w:t>
            </w:r>
          </w:p>
        </w:tc>
      </w:tr>
      <w:tr>
        <w:tc>
          <w:tcPr>
            <w:tcW w:w="2693" w:type="dxa"/>
            <w:tcBorders>
              <w:bottom w:val="single" w:sz="4" w:space="0" w:color="auto"/>
            </w:tcBorders>
          </w:tcPr>
          <w:p>
            <w:pPr>
              <w:pStyle w:val="Table"/>
            </w:pPr>
            <w:r>
              <w:t>podiatric physician</w:t>
            </w:r>
          </w:p>
        </w:tc>
        <w:tc>
          <w:tcPr>
            <w:tcW w:w="2835" w:type="dxa"/>
            <w:tcBorders>
              <w:bottom w:val="single" w:sz="4" w:space="0" w:color="auto"/>
            </w:tcBorders>
          </w:tcPr>
          <w:p>
            <w:pPr>
              <w:pStyle w:val="Table"/>
            </w:pPr>
            <w:r>
              <w:t>podiatric physician</w:t>
            </w:r>
          </w:p>
        </w:tc>
      </w:tr>
    </w:tbl>
    <w:p>
      <w:pPr>
        <w:pStyle w:val="Heading5"/>
      </w:pPr>
      <w:bookmarkStart w:id="27" w:name="_Toc378254986"/>
      <w:bookmarkStart w:id="28" w:name="_Toc426976581"/>
      <w:bookmarkStart w:id="29" w:name="_Toc271202581"/>
      <w:r>
        <w:rPr>
          <w:rStyle w:val="CharSectno"/>
        </w:rPr>
        <w:t>9</w:t>
      </w:r>
      <w:r>
        <w:t>.</w:t>
      </w:r>
      <w:r>
        <w:tab/>
        <w:t>Prescribed period for registration and renewal of registration under section 34</w:t>
      </w:r>
      <w:bookmarkEnd w:id="27"/>
      <w:bookmarkEnd w:id="28"/>
      <w:bookmarkEnd w:id="29"/>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31 December.</w:t>
      </w:r>
    </w:p>
    <w:p>
      <w:pPr>
        <w:pStyle w:val="Heading5"/>
      </w:pPr>
      <w:bookmarkStart w:id="30" w:name="_Toc378254987"/>
      <w:bookmarkStart w:id="31" w:name="_Toc426976582"/>
      <w:bookmarkStart w:id="32" w:name="_Toc271202582"/>
      <w:r>
        <w:rPr>
          <w:rStyle w:val="CharSectno"/>
        </w:rPr>
        <w:t>10</w:t>
      </w:r>
      <w:r>
        <w:t>.</w:t>
      </w:r>
      <w:r>
        <w:tab/>
        <w:t>Day on which fee falls due under section 35(1)</w:t>
      </w:r>
      <w:bookmarkEnd w:id="30"/>
      <w:bookmarkEnd w:id="31"/>
      <w:bookmarkEnd w:id="32"/>
    </w:p>
    <w:p>
      <w:pPr>
        <w:pStyle w:val="Subsection"/>
      </w:pPr>
      <w:r>
        <w:tab/>
      </w:r>
      <w:r>
        <w:tab/>
        <w:t>For the purposes of the Act section 35(1), the day in each year on which the prescribed fee for the renewal of registration falls due is 31 December.</w:t>
      </w:r>
    </w:p>
    <w:p>
      <w:pPr>
        <w:pStyle w:val="Heading5"/>
      </w:pPr>
      <w:bookmarkStart w:id="33" w:name="_Toc378254988"/>
      <w:bookmarkStart w:id="34" w:name="_Toc426976583"/>
      <w:bookmarkStart w:id="35" w:name="_Toc271202583"/>
      <w:r>
        <w:rPr>
          <w:rStyle w:val="CharSectno"/>
        </w:rPr>
        <w:t>11</w:t>
      </w:r>
      <w:r>
        <w:t>.</w:t>
      </w:r>
      <w:r>
        <w:tab/>
        <w:t>Prescribed information under section 37(g)</w:t>
      </w:r>
      <w:bookmarkEnd w:id="33"/>
      <w:bookmarkEnd w:id="34"/>
      <w:bookmarkEnd w:id="35"/>
    </w:p>
    <w:p>
      <w:pPr>
        <w:pStyle w:val="Subsection"/>
      </w:pPr>
      <w:r>
        <w:tab/>
      </w:r>
      <w:r>
        <w:tab/>
        <w:t xml:space="preserve">For the purposes of the Act section 37(g), the following information is prescribed — </w:t>
      </w:r>
    </w:p>
    <w:p>
      <w:pPr>
        <w:pStyle w:val="Indenta"/>
      </w:pPr>
      <w:r>
        <w:tab/>
        <w:t>(a)</w:t>
      </w:r>
      <w:r>
        <w:tab/>
        <w:t>any offence under the Act for which the podiatrist has been convicted;</w:t>
      </w:r>
    </w:p>
    <w:p>
      <w:pPr>
        <w:pStyle w:val="Indenta"/>
      </w:pPr>
      <w:r>
        <w:tab/>
        <w:t>(b)</w:t>
      </w:r>
      <w:r>
        <w:tab/>
        <w:t>the date on which the podiatrist was first registered as a podiatrist.</w:t>
      </w:r>
    </w:p>
    <w:p>
      <w:pPr>
        <w:pStyle w:val="Heading5"/>
      </w:pPr>
      <w:bookmarkStart w:id="36" w:name="_Toc378254989"/>
      <w:bookmarkStart w:id="37" w:name="_Toc426976584"/>
      <w:bookmarkStart w:id="38" w:name="_Toc271202584"/>
      <w:r>
        <w:rPr>
          <w:rStyle w:val="CharSectno"/>
        </w:rPr>
        <w:t>12</w:t>
      </w:r>
      <w:r>
        <w:t>.</w:t>
      </w:r>
      <w:r>
        <w:tab/>
        <w:t>Amendment of particulars</w:t>
      </w:r>
      <w:bookmarkEnd w:id="36"/>
      <w:bookmarkEnd w:id="37"/>
      <w:bookmarkEnd w:id="38"/>
    </w:p>
    <w:p>
      <w:pPr>
        <w:pStyle w:val="Subsection"/>
      </w:pPr>
      <w:r>
        <w:tab/>
      </w:r>
      <w:r>
        <w:tab/>
        <w:t>A podiatrist may at any time apply to the Board for the amendment of the particulars recorded in the register relating to that podiatrist, and if the Board is satisfied that the amendment may properly be made, the Board, on payment of the prescribed fee, is to cause those particulars to be amended.</w:t>
      </w:r>
    </w:p>
    <w:p>
      <w:pPr>
        <w:pStyle w:val="Heading5"/>
      </w:pPr>
      <w:bookmarkStart w:id="39" w:name="_Toc378254990"/>
      <w:bookmarkStart w:id="40" w:name="_Toc426976585"/>
      <w:bookmarkStart w:id="41" w:name="_Toc271202585"/>
      <w:r>
        <w:rPr>
          <w:rStyle w:val="CharSectno"/>
        </w:rPr>
        <w:t>13</w:t>
      </w:r>
      <w:r>
        <w:t>.</w:t>
      </w:r>
      <w:r>
        <w:tab/>
        <w:t>Change of name</w:t>
      </w:r>
      <w:bookmarkEnd w:id="39"/>
      <w:bookmarkEnd w:id="40"/>
      <w:bookmarkEnd w:id="41"/>
    </w:p>
    <w:p>
      <w:pPr>
        <w:pStyle w:val="Subsection"/>
      </w:pPr>
      <w:r>
        <w:tab/>
        <w:t>(1)</w:t>
      </w:r>
      <w:r>
        <w:tab/>
        <w:t>A podiatrist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2" w:name="_Toc378254991"/>
      <w:bookmarkStart w:id="43" w:name="_Toc426976586"/>
      <w:bookmarkStart w:id="44" w:name="_Toc271202586"/>
      <w:r>
        <w:rPr>
          <w:rStyle w:val="CharSectno"/>
        </w:rPr>
        <w:t>14</w:t>
      </w:r>
      <w:r>
        <w:t>.</w:t>
      </w:r>
      <w:r>
        <w:tab/>
        <w:t>Complaints to the complaints assessment committee</w:t>
      </w:r>
      <w:bookmarkEnd w:id="42"/>
      <w:bookmarkEnd w:id="43"/>
      <w:bookmarkEnd w:id="44"/>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45" w:name="_Toc378254992"/>
      <w:bookmarkStart w:id="46" w:name="_Toc426976587"/>
      <w:bookmarkStart w:id="47" w:name="_Toc271202587"/>
      <w:r>
        <w:rPr>
          <w:rStyle w:val="CharSectno"/>
        </w:rPr>
        <w:t>15</w:t>
      </w:r>
      <w:r>
        <w:t>.</w:t>
      </w:r>
      <w:r>
        <w:tab/>
        <w:t>Appointment of a conciliator</w:t>
      </w:r>
      <w:bookmarkEnd w:id="45"/>
      <w:bookmarkEnd w:id="46"/>
      <w:bookmarkEnd w:id="47"/>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48" w:name="_Toc378254993"/>
      <w:bookmarkStart w:id="49" w:name="_Toc426976588"/>
      <w:bookmarkStart w:id="50" w:name="_Toc271202588"/>
      <w:r>
        <w:rPr>
          <w:rStyle w:val="CharSectno"/>
        </w:rPr>
        <w:t>16</w:t>
      </w:r>
      <w:r>
        <w:t>.</w:t>
      </w:r>
      <w:r>
        <w:tab/>
        <w:t>Advertising</w:t>
      </w:r>
      <w:bookmarkEnd w:id="48"/>
      <w:bookmarkEnd w:id="49"/>
      <w:bookmarkEnd w:id="50"/>
    </w:p>
    <w:p>
      <w:pPr>
        <w:pStyle w:val="Subsection"/>
      </w:pPr>
      <w:r>
        <w:tab/>
      </w:r>
      <w:r>
        <w:tab/>
        <w:t xml:space="preserve">A podiatrist who advertises, or causes to be advertised, any material relating to the podiatrist’s practice of podiatry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podiatrist’s services,</w:t>
      </w:r>
    </w:p>
    <w:p>
      <w:pPr>
        <w:pStyle w:val="Subsection"/>
      </w:pPr>
      <w:r>
        <w:tab/>
      </w:r>
      <w:r>
        <w:tab/>
        <w:t>commits an offence.</w:t>
      </w:r>
    </w:p>
    <w:p>
      <w:pPr>
        <w:pStyle w:val="Penstart"/>
      </w:pPr>
      <w:r>
        <w:tab/>
        <w:t>Penalty: a fine of $1 000.</w:t>
      </w:r>
    </w:p>
    <w:p>
      <w:pPr>
        <w:pStyle w:val="Heading5"/>
      </w:pPr>
      <w:bookmarkStart w:id="51" w:name="_Toc378254994"/>
      <w:bookmarkStart w:id="52" w:name="_Toc426976589"/>
      <w:bookmarkStart w:id="53" w:name="_Toc271202589"/>
      <w:r>
        <w:rPr>
          <w:rStyle w:val="CharSectno"/>
        </w:rPr>
        <w:t>17</w:t>
      </w:r>
      <w:r>
        <w:t>.</w:t>
      </w:r>
      <w:r>
        <w:tab/>
        <w:t>Fees</w:t>
      </w:r>
      <w:bookmarkEnd w:id="51"/>
      <w:bookmarkEnd w:id="52"/>
      <w:bookmarkEnd w:id="53"/>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4" w:name="_Toc378254995"/>
      <w:bookmarkStart w:id="55" w:name="_Toc426976590"/>
      <w:bookmarkStart w:id="56" w:name="_Toc271202590"/>
      <w:r>
        <w:rPr>
          <w:rStyle w:val="CharSectno"/>
        </w:rPr>
        <w:t>18</w:t>
      </w:r>
      <w:r>
        <w:t>.</w:t>
      </w:r>
      <w:r>
        <w:tab/>
        <w:t xml:space="preserve">Fees for registration under </w:t>
      </w:r>
      <w:r>
        <w:rPr>
          <w:i/>
          <w:iCs/>
        </w:rPr>
        <w:t xml:space="preserve">Mutual Recognition (Western Australia) Act 2001 </w:t>
      </w:r>
      <w:r>
        <w:t xml:space="preserve">or </w:t>
      </w:r>
      <w:r>
        <w:rPr>
          <w:i/>
          <w:iCs/>
        </w:rPr>
        <w:t>Trans</w:t>
      </w:r>
      <w:r>
        <w:rPr>
          <w:i/>
          <w:iCs/>
        </w:rPr>
        <w:noBreakHyphen/>
        <w:t>Tasman Mutual Recognition (Western Australia) Act 2007</w:t>
      </w:r>
      <w:bookmarkEnd w:id="54"/>
      <w:bookmarkEnd w:id="55"/>
      <w:bookmarkEnd w:id="56"/>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podiatrist.</w:t>
      </w:r>
    </w:p>
    <w:p>
      <w:pPr>
        <w:pStyle w:val="Footnotesection"/>
      </w:pPr>
      <w:r>
        <w:tab/>
        <w:t>[Regulation 18 inserted in Gazette 22 Dec 2009 p. 5267.]</w:t>
      </w:r>
    </w:p>
    <w:p>
      <w:pPr>
        <w:pStyle w:val="Heading5"/>
      </w:pPr>
      <w:bookmarkStart w:id="57" w:name="_Toc378254996"/>
      <w:bookmarkStart w:id="58" w:name="_Toc426976591"/>
      <w:bookmarkStart w:id="59" w:name="_Toc271202591"/>
      <w:r>
        <w:rPr>
          <w:rStyle w:val="CharSectno"/>
        </w:rPr>
        <w:t>19</w:t>
      </w:r>
      <w:r>
        <w:t>.</w:t>
      </w:r>
      <w:r>
        <w:tab/>
        <w:t>Reduction, waiver or refund of fees</w:t>
      </w:r>
      <w:bookmarkEnd w:id="57"/>
      <w:bookmarkEnd w:id="58"/>
      <w:bookmarkEnd w:id="59"/>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 w:name="_Toc378254997"/>
      <w:bookmarkStart w:id="61" w:name="_Toc426976568"/>
      <w:bookmarkStart w:id="62" w:name="_Toc426976592"/>
      <w:bookmarkStart w:id="63" w:name="_Toc189621364"/>
      <w:bookmarkStart w:id="64" w:name="_Toc228872448"/>
      <w:bookmarkStart w:id="65" w:name="_Toc249176011"/>
      <w:bookmarkStart w:id="66" w:name="_Toc271202592"/>
      <w:bookmarkStart w:id="67" w:name="_Toc378255000"/>
      <w:bookmarkStart w:id="68" w:name="_Toc426976571"/>
      <w:bookmarkStart w:id="69" w:name="_Toc426976595"/>
      <w:r>
        <w:rPr>
          <w:rStyle w:val="CharSchNo"/>
        </w:rPr>
        <w:t>Schedule 1</w:t>
      </w:r>
      <w:r>
        <w:rPr>
          <w:rStyle w:val="CharSDivNo"/>
        </w:rPr>
        <w:t> </w:t>
      </w:r>
      <w:r>
        <w:t>—</w:t>
      </w:r>
      <w:r>
        <w:rPr>
          <w:rStyle w:val="CharSDivText"/>
        </w:rPr>
        <w:t> </w:t>
      </w:r>
      <w:r>
        <w:rPr>
          <w:rStyle w:val="CharSchText"/>
        </w:rPr>
        <w:t>Fees</w:t>
      </w:r>
      <w:bookmarkEnd w:id="60"/>
      <w:bookmarkEnd w:id="61"/>
      <w:bookmarkEnd w:id="62"/>
      <w:bookmarkEnd w:id="63"/>
      <w:bookmarkEnd w:id="64"/>
      <w:bookmarkEnd w:id="65"/>
      <w:bookmarkEnd w:id="66"/>
    </w:p>
    <w:p>
      <w:pPr>
        <w:pStyle w:val="yShoulderClause"/>
        <w:spacing w:after="60"/>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112.50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567" w:type="dxa"/>
          </w:tcPr>
          <w:p>
            <w:pPr>
              <w:pStyle w:val="yTable"/>
            </w:pPr>
            <w:r>
              <w:t>4.</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225</w:t>
            </w:r>
          </w:p>
        </w:tc>
      </w:tr>
      <w:tr>
        <w:trPr>
          <w:cantSplit/>
        </w:trPr>
        <w:tc>
          <w:tcPr>
            <w:tcW w:w="567" w:type="dxa"/>
          </w:tcPr>
          <w:p>
            <w:pPr>
              <w:pStyle w:val="yTable"/>
            </w:pPr>
            <w:r>
              <w:t>5.</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225</w:t>
            </w:r>
          </w:p>
        </w:tc>
      </w:tr>
      <w:tr>
        <w:trPr>
          <w:cantSplit/>
        </w:trPr>
        <w:tc>
          <w:tcPr>
            <w:tcW w:w="567" w:type="dxa"/>
          </w:tcPr>
          <w:p>
            <w:pPr>
              <w:pStyle w:val="yTable"/>
            </w:pPr>
            <w:r>
              <w:t>6.</w:t>
            </w:r>
          </w:p>
        </w:tc>
        <w:tc>
          <w:tcPr>
            <w:tcW w:w="3119" w:type="dxa"/>
          </w:tcPr>
          <w:p>
            <w:pPr>
              <w:pStyle w:val="yTable"/>
            </w:pPr>
            <w:r>
              <w:t>Registration fee payable by a person for registration as a specialist.</w:t>
            </w:r>
          </w:p>
        </w:tc>
        <w:tc>
          <w:tcPr>
            <w:tcW w:w="1559" w:type="dxa"/>
          </w:tcPr>
          <w:p>
            <w:pPr>
              <w:pStyle w:val="yTable"/>
              <w:jc w:val="center"/>
            </w:pPr>
            <w:r>
              <w:br/>
            </w:r>
            <w:r>
              <w:br/>
              <w:t>s. 30(1)(b)</w:t>
            </w:r>
          </w:p>
        </w:tc>
        <w:tc>
          <w:tcPr>
            <w:tcW w:w="1276" w:type="dxa"/>
          </w:tcPr>
          <w:p>
            <w:pPr>
              <w:pStyle w:val="yTable"/>
              <w:jc w:val="center"/>
            </w:pPr>
            <w:r>
              <w:br/>
            </w:r>
            <w:r>
              <w:br/>
              <w:t>112.50</w:t>
            </w:r>
          </w:p>
        </w:tc>
      </w:tr>
      <w:tr>
        <w:trPr>
          <w:cantSplit/>
        </w:trPr>
        <w:tc>
          <w:tcPr>
            <w:tcW w:w="567" w:type="dxa"/>
          </w:tcPr>
          <w:p>
            <w:pPr>
              <w:pStyle w:val="yTable"/>
            </w:pPr>
            <w:r>
              <w:t>7.</w:t>
            </w:r>
          </w:p>
        </w:tc>
        <w:tc>
          <w:tcPr>
            <w:tcW w:w="3119" w:type="dxa"/>
          </w:tcPr>
          <w:p>
            <w:pPr>
              <w:pStyle w:val="yTable"/>
            </w:pPr>
            <w:r>
              <w:t>Subject to item 8, 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the applicant to accompany an application for registration if the applicant’s qualification is not one prescribed in regulation 4.</w:t>
            </w:r>
          </w:p>
        </w:tc>
        <w:tc>
          <w:tcPr>
            <w:tcW w:w="1559" w:type="dxa"/>
          </w:tcPr>
          <w:p>
            <w:pPr>
              <w:pStyle w:val="yTable"/>
              <w:jc w:val="center"/>
            </w:pPr>
            <w:r>
              <w:br/>
            </w:r>
            <w:r>
              <w:br/>
            </w:r>
            <w:r>
              <w:br/>
            </w:r>
            <w:r>
              <w:br/>
              <w:t>s. 32(1)(c)</w:t>
            </w:r>
          </w:p>
        </w:tc>
        <w:tc>
          <w:tcPr>
            <w:tcW w:w="1276" w:type="dxa"/>
          </w:tcPr>
          <w:p>
            <w:pPr>
              <w:pStyle w:val="yTable"/>
              <w:jc w:val="center"/>
            </w:pPr>
            <w:r>
              <w:br/>
            </w:r>
            <w:r>
              <w:br/>
            </w:r>
            <w:r>
              <w:br/>
            </w:r>
            <w:r>
              <w:br/>
              <w:t>250</w:t>
            </w:r>
          </w:p>
        </w:tc>
      </w:tr>
      <w:tr>
        <w:trPr>
          <w:cantSplit/>
        </w:trPr>
        <w:tc>
          <w:tcPr>
            <w:tcW w:w="567" w:type="dxa"/>
          </w:tcPr>
          <w:p>
            <w:pPr>
              <w:pStyle w:val="yTable"/>
            </w:pPr>
            <w:r>
              <w:t>9.</w:t>
            </w:r>
          </w:p>
        </w:tc>
        <w:tc>
          <w:tcPr>
            <w:tcW w:w="3119" w:type="dxa"/>
          </w:tcPr>
          <w:p>
            <w:pPr>
              <w:pStyle w:val="yTable"/>
            </w:pPr>
            <w:r>
              <w:t>Fee payable by a podiatrist for renewal of registration of the podiatrist.</w:t>
            </w:r>
          </w:p>
        </w:tc>
        <w:tc>
          <w:tcPr>
            <w:tcW w:w="1559" w:type="dxa"/>
          </w:tcPr>
          <w:p>
            <w:pPr>
              <w:pStyle w:val="yTable"/>
              <w:jc w:val="center"/>
            </w:pPr>
            <w:r>
              <w:br/>
            </w:r>
            <w:r>
              <w:br/>
              <w:t>s. 35(1)</w:t>
            </w:r>
          </w:p>
        </w:tc>
        <w:tc>
          <w:tcPr>
            <w:tcW w:w="1276" w:type="dxa"/>
          </w:tcPr>
          <w:p>
            <w:pPr>
              <w:pStyle w:val="yTable"/>
              <w:jc w:val="center"/>
            </w:pPr>
            <w:r>
              <w:br/>
            </w:r>
            <w:r>
              <w:br/>
              <w:t>225</w:t>
            </w:r>
          </w:p>
        </w:tc>
      </w:tr>
      <w:tr>
        <w:trPr>
          <w:cantSplit/>
        </w:trPr>
        <w:tc>
          <w:tcPr>
            <w:tcW w:w="567" w:type="dxa"/>
          </w:tcPr>
          <w:p>
            <w:pPr>
              <w:pStyle w:val="yTable"/>
            </w:pPr>
            <w:r>
              <w:t>10.</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35(2)</w:t>
            </w:r>
          </w:p>
        </w:tc>
        <w:tc>
          <w:tcPr>
            <w:tcW w:w="1276" w:type="dxa"/>
          </w:tcPr>
          <w:p>
            <w:pPr>
              <w:pStyle w:val="yTable"/>
              <w:jc w:val="center"/>
            </w:pPr>
            <w:r>
              <w:br/>
            </w:r>
            <w:r>
              <w:br/>
            </w:r>
            <w:r>
              <w:br/>
              <w:t>50</w:t>
            </w:r>
          </w:p>
        </w:tc>
      </w:tr>
      <w:tr>
        <w:trPr>
          <w:cantSplit/>
        </w:trPr>
        <w:tc>
          <w:tcPr>
            <w:tcW w:w="567" w:type="dxa"/>
          </w:tcPr>
          <w:p>
            <w:pPr>
              <w:pStyle w:val="yTable"/>
            </w:pPr>
            <w:r>
              <w:t>11.</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bl>
    <w:p>
      <w:pPr>
        <w:pStyle w:val="yFootnotesection"/>
      </w:pPr>
      <w:r>
        <w:tab/>
        <w:t>[Schedule 1 amended in Gazette 1 Feb 2008 p. 263</w:t>
      </w:r>
      <w:r>
        <w:noBreakHyphen/>
        <w:t>4.]</w:t>
      </w:r>
    </w:p>
    <w:p>
      <w:pPr>
        <w:pStyle w:val="yScheduleHeading"/>
      </w:pPr>
      <w:bookmarkStart w:id="70" w:name="_Toc378254998"/>
      <w:bookmarkStart w:id="71" w:name="_Toc426976569"/>
      <w:bookmarkStart w:id="72" w:name="_Toc426976593"/>
      <w:bookmarkStart w:id="73" w:name="_Toc249176012"/>
      <w:bookmarkStart w:id="74" w:name="_Toc271202593"/>
      <w:bookmarkStart w:id="75" w:name="_Toc189621366"/>
      <w:bookmarkStart w:id="76" w:name="_Toc228872450"/>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70"/>
      <w:bookmarkEnd w:id="71"/>
      <w:bookmarkEnd w:id="72"/>
      <w:bookmarkEnd w:id="73"/>
      <w:bookmarkEnd w:id="74"/>
    </w:p>
    <w:p>
      <w:pPr>
        <w:pStyle w:val="yShoulderClause"/>
      </w:pPr>
      <w:r>
        <w:t>[r. 18]</w:t>
      </w:r>
    </w:p>
    <w:p>
      <w:pPr>
        <w:pStyle w:val="yFootnoteheading"/>
        <w:spacing w:after="120"/>
      </w:pPr>
      <w:r>
        <w:tab/>
        <w:t>[Heading inserted in Gazette 22 Dec 2009 p. 5268.]</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112.50</w:t>
            </w:r>
          </w:p>
        </w:tc>
      </w:tr>
    </w:tbl>
    <w:p>
      <w:pPr>
        <w:pStyle w:val="yFootnotesection"/>
      </w:pPr>
      <w:r>
        <w:tab/>
        <w:t>[Schedule 2 inserted in Gazette 22 Dec 2009 p. 5268.]</w:t>
      </w:r>
    </w:p>
    <w:p>
      <w:pPr>
        <w:pStyle w:val="yScheduleHeading"/>
      </w:pPr>
      <w:bookmarkStart w:id="77" w:name="_Toc378254999"/>
      <w:bookmarkStart w:id="78" w:name="_Toc426976570"/>
      <w:bookmarkStart w:id="79" w:name="_Toc426976594"/>
      <w:bookmarkStart w:id="80" w:name="_Toc249176013"/>
      <w:bookmarkStart w:id="81" w:name="_Toc271202594"/>
      <w:r>
        <w:rPr>
          <w:rStyle w:val="CharSchNo"/>
        </w:rPr>
        <w:t>Schedule 3</w:t>
      </w:r>
      <w:r>
        <w:rPr>
          <w:rStyle w:val="CharSDivNo"/>
        </w:rPr>
        <w:t> </w:t>
      </w:r>
      <w:r>
        <w:t>—</w:t>
      </w:r>
      <w:r>
        <w:rPr>
          <w:rStyle w:val="CharSDivText"/>
        </w:rPr>
        <w:t> </w:t>
      </w:r>
      <w:r>
        <w:rPr>
          <w:rStyle w:val="CharSchText"/>
        </w:rPr>
        <w:t>Fee for examination</w:t>
      </w:r>
      <w:bookmarkEnd w:id="77"/>
      <w:bookmarkEnd w:id="78"/>
      <w:bookmarkEnd w:id="79"/>
      <w:bookmarkEnd w:id="75"/>
      <w:bookmarkEnd w:id="76"/>
      <w:bookmarkEnd w:id="80"/>
      <w:bookmarkEnd w:id="81"/>
    </w:p>
    <w:p>
      <w:pPr>
        <w:pStyle w:val="yShoulderClause"/>
      </w:pPr>
      <w:r>
        <w:t>[r. 5(3)]</w:t>
      </w:r>
    </w:p>
    <w:p>
      <w:pPr>
        <w:pStyle w:val="ySubsection"/>
        <w:ind w:left="0" w:firstLine="0"/>
      </w:pPr>
      <w:r>
        <w:t>The fee to sit a written examination is $250.</w:t>
      </w:r>
    </w:p>
    <w:p>
      <w:pPr>
        <w:pStyle w:val="ySubsection"/>
        <w:ind w:left="0" w:firstLine="0"/>
      </w:pPr>
      <w:r>
        <w:t>The fee to sit an oral examination is $250.</w:t>
      </w:r>
    </w:p>
    <w:p>
      <w:pPr>
        <w:sectPr>
          <w:headerReference w:type="even" r:id="rId20"/>
          <w:headerReference w:type="default" r:id="rId21"/>
          <w:pgSz w:w="11907" w:h="16840" w:code="9"/>
          <w:pgMar w:top="2381" w:right="2410" w:bottom="3544" w:left="2410" w:header="720" w:footer="3544" w:gutter="0"/>
          <w:cols w:space="720"/>
        </w:sectPr>
      </w:pPr>
    </w:p>
    <w:p>
      <w:pPr>
        <w:pStyle w:val="nHeading2"/>
      </w:pPr>
      <w:bookmarkStart w:id="83" w:name="_Toc189621367"/>
      <w:bookmarkStart w:id="84" w:name="_Toc228872451"/>
      <w:bookmarkStart w:id="85" w:name="_Toc249176014"/>
      <w:bookmarkStart w:id="86" w:name="_Toc271202595"/>
      <w:r>
        <w:t>Notes</w:t>
      </w:r>
      <w:bookmarkEnd w:id="67"/>
      <w:bookmarkEnd w:id="68"/>
      <w:bookmarkEnd w:id="69"/>
      <w:bookmarkEnd w:id="83"/>
      <w:bookmarkEnd w:id="84"/>
      <w:bookmarkEnd w:id="85"/>
      <w:bookmarkEnd w:id="86"/>
    </w:p>
    <w:p>
      <w:pPr>
        <w:pStyle w:val="nSubsection"/>
        <w:rPr>
          <w:snapToGrid w:val="0"/>
        </w:rPr>
      </w:pPr>
      <w:r>
        <w:rPr>
          <w:snapToGrid w:val="0"/>
          <w:vertAlign w:val="superscript"/>
        </w:rPr>
        <w:t>1</w:t>
      </w:r>
      <w:r>
        <w:rPr>
          <w:snapToGrid w:val="0"/>
        </w:rPr>
        <w:tab/>
        <w:t xml:space="preserve">This is a compilation of the </w:t>
      </w:r>
      <w:r>
        <w:rPr>
          <w:i/>
        </w:rPr>
        <w:t>Podiatrists Regulations 2006</w:t>
      </w:r>
      <w:r>
        <w:rPr>
          <w:snapToGrid w:val="0"/>
        </w:rPr>
        <w:t xml:space="preserve"> and includes the amendments made by the other written laws referred to in the following table</w:t>
      </w:r>
      <w:del w:id="87" w:author="Master Repository Process" w:date="2021-09-11T16:59:00Z">
        <w:r>
          <w:rPr>
            <w:snapToGrid w:val="0"/>
          </w:rPr>
          <w:delText> </w:delText>
        </w:r>
        <w:r>
          <w:rPr>
            <w:snapToGrid w:val="0"/>
            <w:vertAlign w:val="superscript"/>
          </w:rPr>
          <w:delText>1a</w:delText>
        </w:r>
      </w:del>
      <w:r>
        <w:rPr>
          <w:snapToGrid w:val="0"/>
        </w:rPr>
        <w:t>.</w:t>
      </w:r>
    </w:p>
    <w:p>
      <w:pPr>
        <w:pStyle w:val="nHeading3"/>
      </w:pPr>
      <w:bookmarkStart w:id="88" w:name="_Toc378255001"/>
      <w:bookmarkStart w:id="89" w:name="_Toc426976596"/>
      <w:bookmarkStart w:id="90" w:name="_Toc271202596"/>
      <w:r>
        <w:t>Compilation table</w:t>
      </w:r>
      <w:bookmarkEnd w:id="88"/>
      <w:bookmarkEnd w:id="89"/>
      <w:bookmarkEnd w:id="9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30"/>
        <w:gridCol w:w="1246"/>
        <w:gridCol w:w="2694"/>
      </w:tblGrid>
      <w:tr>
        <w:trPr>
          <w:tblHeader/>
        </w:trPr>
        <w:tc>
          <w:tcPr>
            <w:tcW w:w="3148" w:type="dxa"/>
            <w:gridSpan w:val="2"/>
          </w:tcPr>
          <w:p>
            <w:pPr>
              <w:pStyle w:val="nTable"/>
              <w:spacing w:after="40"/>
              <w:rPr>
                <w:b/>
              </w:rPr>
            </w:pPr>
            <w:r>
              <w:rPr>
                <w:b/>
              </w:rPr>
              <w:t>Citation</w:t>
            </w:r>
          </w:p>
        </w:tc>
        <w:tc>
          <w:tcPr>
            <w:tcW w:w="1246" w:type="dxa"/>
          </w:tcPr>
          <w:p>
            <w:pPr>
              <w:pStyle w:val="nTable"/>
              <w:spacing w:after="40"/>
              <w:rPr>
                <w:b/>
              </w:rPr>
            </w:pPr>
            <w:r>
              <w:rPr>
                <w:b/>
              </w:rPr>
              <w:t>Gazettal</w:t>
            </w:r>
          </w:p>
        </w:tc>
        <w:tc>
          <w:tcPr>
            <w:tcW w:w="2694" w:type="dxa"/>
          </w:tcPr>
          <w:p>
            <w:pPr>
              <w:pStyle w:val="nTable"/>
              <w:spacing w:after="40"/>
              <w:rPr>
                <w:b/>
              </w:rPr>
            </w:pPr>
            <w:r>
              <w:rPr>
                <w:b/>
              </w:rPr>
              <w:t>Commencement</w:t>
            </w:r>
          </w:p>
        </w:tc>
      </w:tr>
      <w:tr>
        <w:tc>
          <w:tcPr>
            <w:tcW w:w="3148" w:type="dxa"/>
            <w:gridSpan w:val="2"/>
            <w:tcBorders>
              <w:bottom w:val="nil"/>
            </w:tcBorders>
          </w:tcPr>
          <w:p>
            <w:pPr>
              <w:pStyle w:val="nTable"/>
              <w:spacing w:after="40"/>
              <w:rPr>
                <w:iCs/>
              </w:rPr>
            </w:pPr>
            <w:r>
              <w:rPr>
                <w:i/>
              </w:rPr>
              <w:t>Podiatrists Regulations 2006</w:t>
            </w:r>
            <w:r>
              <w:rPr>
                <w:iCs/>
              </w:rPr>
              <w:t xml:space="preserve"> </w:t>
            </w:r>
          </w:p>
        </w:tc>
        <w:tc>
          <w:tcPr>
            <w:tcW w:w="1246" w:type="dxa"/>
            <w:tcBorders>
              <w:bottom w:val="nil"/>
            </w:tcBorders>
          </w:tcPr>
          <w:p>
            <w:pPr>
              <w:pStyle w:val="nTable"/>
              <w:spacing w:after="40"/>
            </w:pPr>
            <w:r>
              <w:t>13 Dec 2006 p. 5585-98</w:t>
            </w:r>
          </w:p>
        </w:tc>
        <w:tc>
          <w:tcPr>
            <w:tcW w:w="2694" w:type="dxa"/>
            <w:tcBorders>
              <w:bottom w:val="nil"/>
            </w:tcBorders>
          </w:tcPr>
          <w:p>
            <w:pPr>
              <w:pStyle w:val="nTable"/>
              <w:spacing w:after="40"/>
            </w:pPr>
            <w:r>
              <w:rPr>
                <w:iCs/>
              </w:rPr>
              <w:t xml:space="preserve">r. 1-2: </w:t>
            </w:r>
            <w:r>
              <w:t>13 Dec 2006;</w:t>
            </w:r>
            <w:r>
              <w:br/>
              <w:t xml:space="preserve">Regulations other than r. 1 and 2: 30 May 2007 (see r. 2 and </w:t>
            </w:r>
            <w:r>
              <w:rPr>
                <w:i/>
                <w:iCs/>
              </w:rPr>
              <w:t>Gazette</w:t>
            </w:r>
            <w:r>
              <w:t xml:space="preserve"> 29 May 2007 p. 2486)</w:t>
            </w:r>
          </w:p>
        </w:tc>
      </w:tr>
      <w:tr>
        <w:tc>
          <w:tcPr>
            <w:tcW w:w="3148" w:type="dxa"/>
            <w:gridSpan w:val="2"/>
            <w:tcBorders>
              <w:top w:val="nil"/>
              <w:bottom w:val="nil"/>
            </w:tcBorders>
          </w:tcPr>
          <w:p>
            <w:pPr>
              <w:pStyle w:val="nTable"/>
              <w:spacing w:after="40"/>
              <w:rPr>
                <w:i/>
              </w:rPr>
            </w:pPr>
            <w:r>
              <w:rPr>
                <w:i/>
              </w:rPr>
              <w:t>Podiatrists Amendment Regulations 2008</w:t>
            </w:r>
          </w:p>
        </w:tc>
        <w:tc>
          <w:tcPr>
            <w:tcW w:w="1246" w:type="dxa"/>
            <w:tcBorders>
              <w:top w:val="nil"/>
              <w:bottom w:val="nil"/>
            </w:tcBorders>
          </w:tcPr>
          <w:p>
            <w:pPr>
              <w:pStyle w:val="nTable"/>
              <w:spacing w:after="40"/>
            </w:pPr>
            <w:r>
              <w:t>1 Feb 2008 p. 263</w:t>
            </w:r>
            <w:r>
              <w:noBreakHyphen/>
              <w:t>4</w:t>
            </w:r>
          </w:p>
        </w:tc>
        <w:tc>
          <w:tcPr>
            <w:tcW w:w="2694" w:type="dxa"/>
            <w:tcBorders>
              <w:top w:val="nil"/>
              <w:bottom w:val="nil"/>
            </w:tcBorders>
          </w:tcPr>
          <w:p>
            <w:pPr>
              <w:pStyle w:val="nTable"/>
              <w:spacing w:after="40"/>
              <w:rPr>
                <w:iCs/>
              </w:rPr>
            </w:pPr>
            <w:r>
              <w:rPr>
                <w:iCs/>
                <w:snapToGrid w:val="0"/>
              </w:rPr>
              <w:t>r. 1 and 2: 1 Feb 2008 (see r. 2(a));</w:t>
            </w:r>
            <w:r>
              <w:rPr>
                <w:iCs/>
                <w:snapToGrid w:val="0"/>
              </w:rPr>
              <w:br/>
              <w:t>Regulations other than r. 1 and 2: 2 Feb 2008 (see r. 2(b))</w:t>
            </w:r>
          </w:p>
        </w:tc>
      </w:tr>
      <w:tr>
        <w:tc>
          <w:tcPr>
            <w:tcW w:w="3148" w:type="dxa"/>
            <w:gridSpan w:val="2"/>
            <w:tcBorders>
              <w:top w:val="nil"/>
              <w:bottom w:val="nil"/>
            </w:tcBorders>
          </w:tcPr>
          <w:p>
            <w:pPr>
              <w:pStyle w:val="nTable"/>
              <w:spacing w:after="40"/>
              <w:rPr>
                <w:i/>
              </w:rPr>
            </w:pPr>
            <w:r>
              <w:rPr>
                <w:i/>
              </w:rPr>
              <w:t>Podiatrists Amendment Regulations 2009</w:t>
            </w:r>
          </w:p>
        </w:tc>
        <w:tc>
          <w:tcPr>
            <w:tcW w:w="1246" w:type="dxa"/>
            <w:tcBorders>
              <w:top w:val="nil"/>
              <w:bottom w:val="nil"/>
            </w:tcBorders>
          </w:tcPr>
          <w:p>
            <w:pPr>
              <w:pStyle w:val="nTable"/>
              <w:spacing w:after="40"/>
            </w:pPr>
            <w:r>
              <w:t>1 May 2009 p. 1435-6</w:t>
            </w:r>
          </w:p>
        </w:tc>
        <w:tc>
          <w:tcPr>
            <w:tcW w:w="2694" w:type="dxa"/>
            <w:tcBorders>
              <w:top w:val="nil"/>
              <w:bottom w:val="nil"/>
            </w:tcBorders>
          </w:tcPr>
          <w:p>
            <w:pPr>
              <w:pStyle w:val="nTable"/>
              <w:spacing w:after="40"/>
              <w:rPr>
                <w:iCs/>
                <w:snapToGrid w:val="0"/>
              </w:rPr>
            </w:pPr>
            <w:r>
              <w:rPr>
                <w:iCs/>
                <w:snapToGrid w:val="0"/>
                <w:spacing w:val="-2"/>
              </w:rPr>
              <w:t>r. </w:t>
            </w:r>
            <w:bookmarkStart w:id="91" w:name="UpToHere"/>
            <w:bookmarkEnd w:id="91"/>
            <w:r>
              <w:rPr>
                <w:iCs/>
                <w:snapToGrid w:val="0"/>
                <w:spacing w:val="-2"/>
              </w:rPr>
              <w:t>1 and 2: 1 May 2009 (see r. 2(a));</w:t>
            </w:r>
            <w:r>
              <w:rPr>
                <w:iCs/>
                <w:snapToGrid w:val="0"/>
                <w:spacing w:val="-2"/>
              </w:rPr>
              <w:br/>
              <w:t>Regulations other than r. 1 and 2: 2 May 2009 (see r. 2(b))</w:t>
            </w:r>
          </w:p>
        </w:tc>
      </w:tr>
      <w:tr>
        <w:tc>
          <w:tcPr>
            <w:tcW w:w="3118" w:type="dxa"/>
            <w:tcBorders>
              <w:top w:val="nil"/>
              <w:bottom w:val="nil"/>
            </w:tcBorders>
          </w:tcPr>
          <w:p>
            <w:pPr>
              <w:pStyle w:val="nTable"/>
              <w:spacing w:after="40"/>
              <w:rPr>
                <w:i/>
                <w:noProof/>
                <w:snapToGrid w:val="0"/>
              </w:rPr>
            </w:pPr>
            <w:bookmarkStart w:id="92" w:name="AutoSch"/>
            <w:bookmarkEnd w:id="92"/>
            <w:r>
              <w:rPr>
                <w:i/>
              </w:rPr>
              <w:t>Podiatrists Amendment Regulations (No. 2) 2009</w:t>
            </w:r>
          </w:p>
        </w:tc>
        <w:tc>
          <w:tcPr>
            <w:tcW w:w="1276" w:type="dxa"/>
            <w:gridSpan w:val="2"/>
            <w:tcBorders>
              <w:top w:val="nil"/>
              <w:bottom w:val="nil"/>
            </w:tcBorders>
          </w:tcPr>
          <w:p>
            <w:pPr>
              <w:pStyle w:val="nTable"/>
              <w:spacing w:after="40"/>
            </w:pPr>
            <w:r>
              <w:t>22 Dec 2009 p. 5267-8</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bl>
    <w:p>
      <w:pPr>
        <w:pStyle w:val="nSubsection"/>
        <w:tabs>
          <w:tab w:val="clear" w:pos="454"/>
          <w:tab w:val="left" w:pos="567"/>
        </w:tabs>
        <w:spacing w:before="120"/>
        <w:ind w:left="567" w:hanging="567"/>
        <w:rPr>
          <w:del w:id="93" w:author="Master Repository Process" w:date="2021-09-11T16:59:00Z"/>
          <w:snapToGrid w:val="0"/>
        </w:rPr>
      </w:pPr>
      <w:del w:id="94" w:author="Master Repository Process" w:date="2021-09-11T16: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5" w:author="Master Repository Process" w:date="2021-09-11T16:59:00Z"/>
        </w:rPr>
      </w:pPr>
      <w:bookmarkStart w:id="96" w:name="_Toc7405065"/>
      <w:bookmarkStart w:id="97" w:name="_Toc271202597"/>
      <w:del w:id="98" w:author="Master Repository Process" w:date="2021-09-11T16:59:00Z">
        <w:r>
          <w:delText>Provisions that have not come into operation</w:delText>
        </w:r>
        <w:bookmarkEnd w:id="96"/>
        <w:bookmarkEnd w:id="9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1150"/>
        <w:gridCol w:w="559"/>
        <w:gridCol w:w="559"/>
        <w:gridCol w:w="1276"/>
        <w:gridCol w:w="1772"/>
        <w:gridCol w:w="886"/>
        <w:gridCol w:w="886"/>
      </w:tblGrid>
      <w:tr>
        <w:trPr>
          <w:del w:id="99" w:author="Master Repository Process" w:date="2021-09-11T16:59:00Z"/>
        </w:trPr>
        <w:tc>
          <w:tcPr>
            <w:tcW w:w="2268" w:type="dxa"/>
            <w:gridSpan w:val="4"/>
          </w:tcPr>
          <w:p>
            <w:pPr>
              <w:pStyle w:val="nTable"/>
              <w:spacing w:after="40"/>
              <w:rPr>
                <w:del w:id="100" w:author="Master Repository Process" w:date="2021-09-11T16:59:00Z"/>
                <w:b/>
                <w:snapToGrid w:val="0"/>
                <w:lang w:val="en-US"/>
              </w:rPr>
            </w:pPr>
            <w:del w:id="101" w:author="Master Repository Process" w:date="2021-09-11T16:59:00Z">
              <w:r>
                <w:rPr>
                  <w:b/>
                  <w:snapToGrid w:val="0"/>
                  <w:lang w:val="en-US"/>
                </w:rPr>
                <w:delText>Short title</w:delText>
              </w:r>
            </w:del>
          </w:p>
        </w:tc>
        <w:tc>
          <w:tcPr>
            <w:tcW w:w="1118" w:type="dxa"/>
          </w:tcPr>
          <w:p>
            <w:pPr>
              <w:pStyle w:val="nTable"/>
              <w:spacing w:after="40"/>
              <w:rPr>
                <w:del w:id="102" w:author="Master Repository Process" w:date="2021-09-11T16:59:00Z"/>
                <w:b/>
                <w:snapToGrid w:val="0"/>
                <w:lang w:val="en-US"/>
              </w:rPr>
            </w:pPr>
            <w:del w:id="103" w:author="Master Repository Process" w:date="2021-09-11T16:59:00Z">
              <w:r>
                <w:rPr>
                  <w:b/>
                  <w:snapToGrid w:val="0"/>
                  <w:lang w:val="en-US"/>
                </w:rPr>
                <w:delText>Number and year</w:delText>
              </w:r>
            </w:del>
          </w:p>
        </w:tc>
        <w:tc>
          <w:tcPr>
            <w:tcW w:w="1134" w:type="dxa"/>
          </w:tcPr>
          <w:p>
            <w:pPr>
              <w:pStyle w:val="nTable"/>
              <w:spacing w:after="40"/>
              <w:rPr>
                <w:del w:id="104" w:author="Master Repository Process" w:date="2021-09-11T16:59:00Z"/>
                <w:b/>
                <w:snapToGrid w:val="0"/>
                <w:lang w:val="en-US"/>
              </w:rPr>
            </w:pPr>
            <w:del w:id="105" w:author="Master Repository Process" w:date="2021-09-11T16:59:00Z">
              <w:r>
                <w:rPr>
                  <w:b/>
                  <w:snapToGrid w:val="0"/>
                  <w:lang w:val="en-US"/>
                </w:rPr>
                <w:delText>Assent</w:delText>
              </w:r>
            </w:del>
          </w:p>
        </w:tc>
        <w:tc>
          <w:tcPr>
            <w:tcW w:w="2552" w:type="dxa"/>
          </w:tcPr>
          <w:p>
            <w:pPr>
              <w:pStyle w:val="nTable"/>
              <w:spacing w:after="40"/>
              <w:rPr>
                <w:del w:id="106" w:author="Master Repository Process" w:date="2021-09-11T16:59:00Z"/>
                <w:b/>
                <w:snapToGrid w:val="0"/>
                <w:lang w:val="en-US"/>
              </w:rPr>
            </w:pPr>
            <w:del w:id="107" w:author="Master Repository Process" w:date="2021-09-11T16:59:00Z">
              <w:r>
                <w:rPr>
                  <w:b/>
                  <w:snapToGrid w:val="0"/>
                  <w:lang w:val="en-US"/>
                </w:rPr>
                <w:delText>Commencement</w:delText>
              </w:r>
            </w:del>
          </w:p>
        </w:tc>
      </w:tr>
      <w:tr>
        <w:trPr>
          <w:cantSplit/>
        </w:trPr>
        <w:tc>
          <w:tcPr>
            <w:tcW w:w="2268" w:type="dxa"/>
            <w:cellDel w:id="108" w:author="Master Repository Process" w:date="2021-09-11T16:59:00Z"/>
          </w:tcPr>
          <w:p>
            <w:pPr>
              <w:pStyle w:val="nTable"/>
              <w:spacing w:after="40"/>
              <w:rPr>
                <w:i/>
                <w:snapToGrid w:val="0"/>
                <w:lang w:eastAsia="en-US"/>
              </w:rPr>
            </w:pPr>
            <w:del w:id="109" w:author="Master Repository Process" w:date="2021-09-11T16:59:00Z">
              <w:r>
                <w:rPr>
                  <w:i/>
                  <w:snapToGrid w:val="0"/>
                </w:rPr>
                <w:delText xml:space="preserve">Health Practitioner Regulation National Law (WA) Act 2010 </w:delText>
              </w:r>
              <w:r>
                <w:rPr>
                  <w:iCs/>
                  <w:snapToGrid w:val="0"/>
                </w:rPr>
                <w:delText>s. 15(2)(m) </w:delText>
              </w:r>
              <w:r>
                <w:rPr>
                  <w:iCs/>
                  <w:snapToGrid w:val="0"/>
                  <w:vertAlign w:val="superscript"/>
                </w:rPr>
                <w:delText>2</w:delText>
              </w:r>
            </w:del>
          </w:p>
        </w:tc>
        <w:tc>
          <w:tcPr>
            <w:tcW w:w="1118" w:type="dxa"/>
            <w:cellDel w:id="110" w:author="Master Repository Process" w:date="2021-09-11T16:59:00Z"/>
          </w:tcPr>
          <w:p>
            <w:pPr>
              <w:pStyle w:val="nTable"/>
              <w:spacing w:after="40"/>
              <w:rPr>
                <w:snapToGrid w:val="0"/>
                <w:lang w:val="en-US" w:eastAsia="en-US"/>
              </w:rPr>
            </w:pPr>
            <w:del w:id="111" w:author="Master Repository Process" w:date="2021-09-11T16:59:00Z">
              <w:r>
                <w:rPr>
                  <w:snapToGrid w:val="0"/>
                  <w:lang w:val="en-US"/>
                </w:rPr>
                <w:delText>35 of 2010</w:delText>
              </w:r>
            </w:del>
          </w:p>
        </w:tc>
        <w:tc>
          <w:tcPr>
            <w:tcW w:w="1134" w:type="dxa"/>
            <w:cellDel w:id="112" w:author="Master Repository Process" w:date="2021-09-11T16:59:00Z"/>
          </w:tcPr>
          <w:p>
            <w:pPr>
              <w:pStyle w:val="nTable"/>
              <w:spacing w:after="40"/>
              <w:rPr>
                <w:snapToGrid w:val="0"/>
                <w:lang w:val="en-US" w:eastAsia="en-US"/>
              </w:rPr>
            </w:pPr>
            <w:del w:id="113" w:author="Master Repository Process" w:date="2021-09-11T16:59:00Z">
              <w:r>
                <w:rPr>
                  <w:snapToGrid w:val="0"/>
                  <w:lang w:val="en-US"/>
                </w:rPr>
                <w:delText>30 Aug 2010</w:delText>
              </w:r>
            </w:del>
          </w:p>
        </w:tc>
        <w:tc>
          <w:tcPr>
            <w:tcW w:w="7088" w:type="dxa"/>
            <w:gridSpan w:val="4"/>
            <w:tcBorders>
              <w:top w:val="nil"/>
              <w:bottom w:val="single" w:sz="4" w:space="0" w:color="auto"/>
            </w:tcBorders>
          </w:tcPr>
          <w:p>
            <w:pPr>
              <w:pStyle w:val="nTable"/>
              <w:spacing w:after="40"/>
              <w:rPr>
                <w:b/>
                <w:bCs/>
                <w:snapToGrid w:val="0"/>
                <w:color w:val="FF0000"/>
              </w:rPr>
            </w:pPr>
            <w:del w:id="114" w:author="Master Repository Process" w:date="2021-09-11T16:59:00Z">
              <w:r>
                <w:rPr>
                  <w:snapToGrid w:val="0"/>
                  <w:lang w:val="en-US"/>
                </w:rPr>
                <w:delText>18 Oct</w:delText>
              </w:r>
            </w:del>
            <w:ins w:id="115" w:author="Master Repository Process" w:date="2021-09-11T16:59:00Z">
              <w:r>
                <w:rPr>
                  <w:b/>
                  <w:bCs/>
                  <w:snapToGrid w:val="0"/>
                  <w:color w:val="FF0000"/>
                </w:rPr>
                <w:t xml:space="preserve">These regulations were repealed by the </w:t>
              </w:r>
              <w:r>
                <w:rPr>
                  <w:b/>
                  <w:bCs/>
                  <w:i/>
                  <w:iCs/>
                  <w:snapToGrid w:val="0"/>
                  <w:color w:val="FF0000"/>
                </w:rPr>
                <w:t>Health Practitioner Regulation National Law (WA) Act</w:t>
              </w:r>
            </w:ins>
            <w:r>
              <w:rPr>
                <w:b/>
                <w:bCs/>
                <w:i/>
                <w:iCs/>
                <w:snapToGrid w:val="0"/>
                <w:color w:val="FF0000"/>
              </w:rPr>
              <w:t> 2010</w:t>
            </w:r>
            <w:r>
              <w:rPr>
                <w:b/>
                <w:bCs/>
                <w:snapToGrid w:val="0"/>
                <w:color w:val="FF0000"/>
              </w:rPr>
              <w:t xml:space="preserve"> </w:t>
            </w:r>
            <w:ins w:id="116" w:author="Master Repository Process" w:date="2021-09-11T16:59:00Z">
              <w:r>
                <w:rPr>
                  <w:b/>
                  <w:bCs/>
                  <w:snapToGrid w:val="0"/>
                  <w:color w:val="FF0000"/>
                </w:rPr>
                <w:t xml:space="preserve">s. 15(2)(m) (No. 35 of 2010) as at 18 Oct 2010 </w:t>
              </w:r>
            </w:ins>
            <w:r>
              <w:rPr>
                <w:b/>
                <w:bCs/>
                <w:snapToGrid w:val="0"/>
                <w:color w:val="FF0000"/>
              </w:rPr>
              <w:t>(see s.</w:t>
            </w:r>
            <w:del w:id="117" w:author="Master Repository Process" w:date="2021-09-11T16:59:00Z">
              <w:r>
                <w:rPr>
                  <w:snapToGrid w:val="0"/>
                  <w:lang w:val="en-US"/>
                </w:rPr>
                <w:delText> </w:delText>
              </w:r>
            </w:del>
            <w:ins w:id="118" w:author="Master Repository Process" w:date="2021-09-11T16:59:00Z">
              <w:r>
                <w:rPr>
                  <w:b/>
                  <w:bCs/>
                  <w:snapToGrid w:val="0"/>
                  <w:color w:val="FF0000"/>
                </w:rPr>
                <w:t xml:space="preserve"> </w:t>
              </w:r>
            </w:ins>
            <w:r>
              <w:rPr>
                <w:b/>
                <w:bCs/>
                <w:snapToGrid w:val="0"/>
                <w:color w:val="FF0000"/>
              </w:rPr>
              <w:t xml:space="preserve">2(b) and </w:t>
            </w:r>
            <w:r>
              <w:rPr>
                <w:b/>
                <w:bCs/>
                <w:i/>
                <w:iCs/>
                <w:snapToGrid w:val="0"/>
                <w:color w:val="FF0000"/>
              </w:rPr>
              <w:t>Gazette</w:t>
            </w:r>
            <w:r>
              <w:rPr>
                <w:b/>
                <w:bCs/>
                <w:snapToGrid w:val="0"/>
                <w:color w:val="FF0000"/>
              </w:rPr>
              <w:t xml:space="preserve"> 1 Oct 2010 p. 5075</w:t>
            </w:r>
            <w:del w:id="119" w:author="Master Repository Process" w:date="2021-09-11T16:59:00Z">
              <w:r>
                <w:rPr>
                  <w:iCs/>
                  <w:snapToGrid w:val="0"/>
                  <w:lang w:val="en-US"/>
                </w:rPr>
                <w:noBreakHyphen/>
              </w:r>
            </w:del>
            <w:ins w:id="120" w:author="Master Repository Process" w:date="2021-09-11T16:59:00Z">
              <w:r>
                <w:rPr>
                  <w:b/>
                  <w:bCs/>
                  <w:snapToGrid w:val="0"/>
                  <w:color w:val="FF0000"/>
                </w:rPr>
                <w:t>-</w:t>
              </w:r>
            </w:ins>
            <w:r>
              <w:rPr>
                <w:b/>
                <w:bCs/>
                <w:snapToGrid w:val="0"/>
                <w:color w:val="FF0000"/>
              </w:rPr>
              <w:t>6)</w:t>
            </w:r>
          </w:p>
        </w:tc>
      </w:tr>
    </w:tbl>
    <w:p>
      <w:pPr>
        <w:pStyle w:val="nSubsection"/>
        <w:rPr>
          <w:del w:id="121" w:author="Master Repository Process" w:date="2021-09-11T16:59:00Z"/>
          <w:snapToGrid w:val="0"/>
        </w:rPr>
      </w:pPr>
      <w:del w:id="122" w:author="Master Repository Process" w:date="2021-09-11T16:5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s. 15(2)(m)</w:delText>
        </w:r>
        <w:r>
          <w:rPr>
            <w:snapToGrid w:val="0"/>
          </w:rPr>
          <w:delText xml:space="preserve"> had not come into operation.  It reads as follows:</w:delText>
        </w:r>
      </w:del>
    </w:p>
    <w:p>
      <w:pPr>
        <w:pStyle w:val="BlankOpen"/>
        <w:rPr>
          <w:del w:id="123" w:author="Master Repository Process" w:date="2021-09-11T16:59:00Z"/>
        </w:rPr>
      </w:pPr>
    </w:p>
    <w:p>
      <w:pPr>
        <w:pStyle w:val="nzHeading5"/>
        <w:rPr>
          <w:del w:id="124" w:author="Master Repository Process" w:date="2021-09-11T16:59:00Z"/>
        </w:rPr>
      </w:pPr>
      <w:bookmarkStart w:id="125" w:name="_Toc270349053"/>
      <w:del w:id="126" w:author="Master Repository Process" w:date="2021-09-11T16:59:00Z">
        <w:r>
          <w:rPr>
            <w:rStyle w:val="CharSectno"/>
          </w:rPr>
          <w:delText>15</w:delText>
        </w:r>
        <w:r>
          <w:delText>.</w:delText>
        </w:r>
        <w:r>
          <w:tab/>
          <w:delText>Codes of practice, regulations and rules repealed</w:delText>
        </w:r>
        <w:bookmarkEnd w:id="125"/>
      </w:del>
    </w:p>
    <w:p>
      <w:pPr>
        <w:pStyle w:val="nzSubsection"/>
        <w:rPr>
          <w:del w:id="127" w:author="Master Repository Process" w:date="2021-09-11T16:59:00Z"/>
        </w:rPr>
      </w:pPr>
      <w:del w:id="128" w:author="Master Repository Process" w:date="2021-09-11T16:59:00Z">
        <w:r>
          <w:tab/>
          <w:delText>(2)</w:delText>
        </w:r>
        <w:r>
          <w:tab/>
          <w:delText>These regulations are repealed:</w:delText>
        </w:r>
      </w:del>
    </w:p>
    <w:p>
      <w:pPr>
        <w:pStyle w:val="nzIndenta"/>
        <w:rPr>
          <w:del w:id="129" w:author="Master Repository Process" w:date="2021-09-11T16:59:00Z"/>
        </w:rPr>
      </w:pPr>
      <w:del w:id="130" w:author="Master Repository Process" w:date="2021-09-11T16:59:00Z">
        <w:r>
          <w:tab/>
          <w:delText>(m)</w:delText>
        </w:r>
        <w:r>
          <w:tab/>
          <w:delText xml:space="preserve">the </w:delText>
        </w:r>
        <w:r>
          <w:rPr>
            <w:i/>
          </w:rPr>
          <w:delText>Podiatrists Regulations 2006</w:delText>
        </w:r>
        <w:r>
          <w:delText>;</w:delText>
        </w:r>
      </w:del>
    </w:p>
    <w:p/>
    <w:p>
      <w:pPr>
        <w:sectPr>
          <w:headerReference w:type="even" r:id="rId22"/>
          <w:headerReference w:type="default" r:id="rId23"/>
          <w:headerReference w:type="first" r:id="rId24"/>
          <w:endnotePr>
            <w:numFmt w:val="decimal"/>
          </w:endnotePr>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1" w:name="Compilation"/>
    <w:bookmarkEnd w:id="13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2" w:name="Coversheet"/>
    <w:bookmarkEnd w:id="1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bl>
  <w:p>
    <w:pPr>
      <w:pStyle w:val="Header"/>
      <w:pBdr>
        <w:top w:val="single" w:sz="4" w:space="1" w:color="auto"/>
      </w:pBdr>
    </w:pPr>
    <w:bookmarkStart w:id="82" w:name="Schedule"/>
    <w:bookmarkEnd w:id="8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E2F9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D8C34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9E52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8CCA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32C43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B42D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EEAD2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8A38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4A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D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8A482E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00"/>
    <w:docVar w:name="WAFER_20140123145227" w:val="RemoveTocBookmarks,RemoveUnusedBookmarks,RemoveLanguageTags,UsedStyles,ResetPageSize,UpdateArrangement"/>
    <w:docVar w:name="WAFER_20140123145227_GUID" w:val="7444f823-fcbf-4b5b-b89d-c18473af798c"/>
    <w:docVar w:name="WAFER_20140123152753" w:val="RemoveTocBookmarks,RunningHeaders"/>
    <w:docVar w:name="WAFER_20140123152753_GUID" w:val="68af2e6f-4a9c-4770-af31-311c4a00986a"/>
    <w:docVar w:name="WAFER_20150810110842" w:val="ResetPageSize,UpdateArrangement,UpdateNTable"/>
    <w:docVar w:name="WAFER_20150810110842_GUID" w:val="6868d72d-638d-4942-9952-56f66b64cc37"/>
    <w:docVar w:name="WAFER_20151117132700" w:val="UpdateStyles,UsedStyles"/>
    <w:docVar w:name="WAFER_20151117132700_GUID" w:val="1ed364c0-bb99-4071-baa2-84e422a0b8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11A55F-A269-4C00-A37F-DA7E9BBC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1995</Words>
  <Characters>10056</Characters>
  <Application>Microsoft Office Word</Application>
  <DocSecurity>0</DocSecurity>
  <Lines>478</Lines>
  <Paragraphs>236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Regulations 2006 00-g0-01 - 00-h0-05</dc:title>
  <dc:subject/>
  <dc:creator/>
  <cp:keywords/>
  <dc:description/>
  <cp:lastModifiedBy>Master Repository Process</cp:lastModifiedBy>
  <cp:revision>2</cp:revision>
  <cp:lastPrinted>2006-11-09T00:16:00Z</cp:lastPrinted>
  <dcterms:created xsi:type="dcterms:W3CDTF">2021-09-11T08:59:00Z</dcterms:created>
  <dcterms:modified xsi:type="dcterms:W3CDTF">2021-09-11T08:59:00Z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5585-98</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39148</vt:i4>
  </property>
  <property fmtid="{D5CDD505-2E9C-101B-9397-08002B2CF9AE}" pid="6" name="Status">
    <vt:lpwstr>NIF</vt:lpwstr>
  </property>
  <property fmtid="{D5CDD505-2E9C-101B-9397-08002B2CF9AE}" pid="7" name="FromSuffix">
    <vt:lpwstr>00-g0-01</vt:lpwstr>
  </property>
  <property fmtid="{D5CDD505-2E9C-101B-9397-08002B2CF9AE}" pid="8" name="FromAsAtDate">
    <vt:lpwstr>01 Oct 2010</vt:lpwstr>
  </property>
  <property fmtid="{D5CDD505-2E9C-101B-9397-08002B2CF9AE}" pid="9" name="ToSuffix">
    <vt:lpwstr>00-h0-05</vt:lpwstr>
  </property>
  <property fmtid="{D5CDD505-2E9C-101B-9397-08002B2CF9AE}" pid="10" name="ToAsAtDate">
    <vt:lpwstr>18 Oct 2010</vt:lpwstr>
  </property>
</Properties>
</file>