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2004</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0:53:00Z"/>
        </w:trPr>
        <w:tc>
          <w:tcPr>
            <w:tcW w:w="2434" w:type="dxa"/>
            <w:vMerge w:val="restart"/>
          </w:tcPr>
          <w:p>
            <w:pPr>
              <w:rPr>
                <w:del w:id="1" w:author="svcMRProcess" w:date="2015-11-04T20:53:00Z"/>
              </w:rPr>
            </w:pPr>
          </w:p>
        </w:tc>
        <w:tc>
          <w:tcPr>
            <w:tcW w:w="2434" w:type="dxa"/>
            <w:vMerge w:val="restart"/>
          </w:tcPr>
          <w:p>
            <w:pPr>
              <w:jc w:val="center"/>
              <w:rPr>
                <w:del w:id="2" w:author="svcMRProcess" w:date="2015-11-04T20:53:00Z"/>
              </w:rPr>
            </w:pPr>
            <w:del w:id="3" w:author="svcMRProcess" w:date="2015-11-04T20:5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0:53:00Z"/>
              </w:rPr>
            </w:pPr>
          </w:p>
        </w:tc>
      </w:tr>
      <w:tr>
        <w:trPr>
          <w:cantSplit/>
          <w:del w:id="5" w:author="svcMRProcess" w:date="2015-11-04T20:53:00Z"/>
        </w:trPr>
        <w:tc>
          <w:tcPr>
            <w:tcW w:w="2434" w:type="dxa"/>
            <w:vMerge/>
          </w:tcPr>
          <w:p>
            <w:pPr>
              <w:rPr>
                <w:del w:id="6" w:author="svcMRProcess" w:date="2015-11-04T20:53:00Z"/>
              </w:rPr>
            </w:pPr>
          </w:p>
        </w:tc>
        <w:tc>
          <w:tcPr>
            <w:tcW w:w="2434" w:type="dxa"/>
            <w:vMerge/>
          </w:tcPr>
          <w:p>
            <w:pPr>
              <w:jc w:val="center"/>
              <w:rPr>
                <w:del w:id="7" w:author="svcMRProcess" w:date="2015-11-04T20:53:00Z"/>
              </w:rPr>
            </w:pPr>
          </w:p>
        </w:tc>
        <w:tc>
          <w:tcPr>
            <w:tcW w:w="2434" w:type="dxa"/>
          </w:tcPr>
          <w:p>
            <w:pPr>
              <w:keepNext/>
              <w:rPr>
                <w:del w:id="8" w:author="svcMRProcess" w:date="2015-11-04T20:53:00Z"/>
                <w:b/>
                <w:sz w:val="22"/>
              </w:rPr>
            </w:pPr>
            <w:del w:id="9" w:author="svcMRProcess" w:date="2015-11-04T20:53: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13</w:delText>
              </w:r>
              <w:r>
                <w:rPr>
                  <w:b/>
                  <w:snapToGrid w:val="0"/>
                  <w:sz w:val="22"/>
                </w:rPr>
                <w:delText xml:space="preserve"> February 2004</w:delText>
              </w:r>
            </w:del>
          </w:p>
        </w:tc>
      </w:tr>
    </w:tbl>
    <w:p>
      <w:pPr>
        <w:pStyle w:val="WA"/>
        <w:spacing w:before="120"/>
      </w:pPr>
      <w:r>
        <w:t>Western Australia</w:t>
      </w:r>
    </w:p>
    <w:p>
      <w:pPr>
        <w:pStyle w:val="NameofActReg"/>
      </w:pPr>
      <w:r>
        <w:t xml:space="preserve">Petroleum (Submerged Lands) Registration Fees Act 1982 </w:t>
      </w:r>
    </w:p>
    <w:p>
      <w:pPr>
        <w:pStyle w:val="LongTitle"/>
        <w:rPr>
          <w:i/>
          <w:snapToGrid w:val="0"/>
        </w:rPr>
      </w:pPr>
      <w:r>
        <w:rPr>
          <w:snapToGrid w:val="0"/>
        </w:rPr>
        <w:t>A</w:t>
      </w:r>
      <w:bookmarkStart w:id="10" w:name="_GoBack"/>
      <w:bookmarkEnd w:id="10"/>
      <w:r>
        <w:rPr>
          <w:snapToGrid w:val="0"/>
        </w:rPr>
        <w:t xml:space="preserve">n Act to provide for the payment of fees in respect of the registration of certain instruments under the </w:t>
      </w:r>
      <w:r>
        <w:rPr>
          <w:i/>
          <w:snapToGrid w:val="0"/>
        </w:rPr>
        <w:t xml:space="preserve">Petroleum (Submerged Lands) Act 1982. </w:t>
      </w:r>
    </w:p>
    <w:p>
      <w:pPr>
        <w:pStyle w:val="Heading5"/>
        <w:rPr>
          <w:snapToGrid w:val="0"/>
        </w:rPr>
      </w:pPr>
      <w:bookmarkStart w:id="11" w:name="_Toc411673862"/>
      <w:bookmarkStart w:id="12" w:name="_Toc64359989"/>
      <w:bookmarkStart w:id="13" w:name="_Toc276566292"/>
      <w:bookmarkStart w:id="14" w:name="_Toc71521756"/>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(Submerged Lands) Registration Fees Act 1982</w:t>
      </w:r>
      <w:r>
        <w:rPr>
          <w:snapToGrid w:val="0"/>
        </w:rPr>
        <w:t xml:space="preserve"> </w:t>
      </w:r>
      <w:r>
        <w:rPr>
          <w:snapToGrid w:val="0"/>
          <w:vertAlign w:val="superscript"/>
        </w:rPr>
        <w:t>1</w:t>
      </w:r>
      <w:r>
        <w:rPr>
          <w:snapToGrid w:val="0"/>
        </w:rPr>
        <w:t>.</w:t>
      </w:r>
    </w:p>
    <w:p>
      <w:pPr>
        <w:pStyle w:val="Heading5"/>
        <w:rPr>
          <w:snapToGrid w:val="0"/>
        </w:rPr>
      </w:pPr>
      <w:bookmarkStart w:id="15" w:name="_Toc411673863"/>
      <w:bookmarkStart w:id="16" w:name="_Toc64359990"/>
      <w:bookmarkStart w:id="17" w:name="_Toc276566293"/>
      <w:bookmarkStart w:id="18" w:name="_Toc7152175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This Act shall come into operation on the day on which the </w:t>
      </w:r>
      <w:r>
        <w:rPr>
          <w:i/>
          <w:snapToGrid w:val="0"/>
        </w:rPr>
        <w:t>Petroleum (Submerged Lands) Act 1982</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rPr>
          <w:snapToGrid w:val="0"/>
        </w:rPr>
      </w:pPr>
      <w:bookmarkStart w:id="19" w:name="_Toc411673864"/>
      <w:bookmarkStart w:id="20" w:name="_Toc64359991"/>
      <w:bookmarkStart w:id="21" w:name="_Toc276566294"/>
      <w:bookmarkStart w:id="22" w:name="_Toc71521758"/>
      <w:r>
        <w:rPr>
          <w:rStyle w:val="CharSectno"/>
        </w:rPr>
        <w:t>3</w:t>
      </w:r>
      <w:r>
        <w:rPr>
          <w:snapToGrid w:val="0"/>
        </w:rPr>
        <w:t>.</w:t>
      </w:r>
      <w:r>
        <w:rPr>
          <w:snapToGrid w:val="0"/>
        </w:rPr>
        <w:tab/>
        <w:t>Incorporation</w:t>
      </w:r>
      <w:bookmarkEnd w:id="19"/>
      <w:bookmarkEnd w:id="20"/>
      <w:bookmarkEnd w:id="21"/>
      <w:bookmarkEnd w:id="22"/>
      <w:r>
        <w:rPr>
          <w:snapToGrid w:val="0"/>
        </w:rPr>
        <w:t xml:space="preserve"> </w:t>
      </w:r>
    </w:p>
    <w:p>
      <w:pPr>
        <w:pStyle w:val="Subsection"/>
        <w:tabs>
          <w:tab w:val="left" w:pos="1985"/>
        </w:tabs>
        <w:rPr>
          <w:snapToGrid w:val="0"/>
        </w:rPr>
      </w:pPr>
      <w:r>
        <w:rPr>
          <w:snapToGrid w:val="0"/>
        </w:rPr>
        <w:tab/>
      </w:r>
      <w:r>
        <w:rPr>
          <w:snapToGrid w:val="0"/>
        </w:rPr>
        <w:tab/>
        <w:t xml:space="preserve">This Act is incorporated, and shall be read as one, with the </w:t>
      </w:r>
      <w:r>
        <w:rPr>
          <w:i/>
          <w:snapToGrid w:val="0"/>
        </w:rPr>
        <w:t>Petroleum (Submerged Lands) Act 1982</w:t>
      </w:r>
      <w:r>
        <w:rPr>
          <w:snapToGrid w:val="0"/>
        </w:rPr>
        <w:t xml:space="preserve"> (in this Act called </w:t>
      </w:r>
      <w:r>
        <w:rPr>
          <w:b/>
          <w:snapToGrid w:val="0"/>
        </w:rPr>
        <w:t>“the principal Act”</w:t>
      </w:r>
      <w:r>
        <w:rPr>
          <w:snapToGrid w:val="0"/>
        </w:rPr>
        <w:t>).</w:t>
      </w:r>
    </w:p>
    <w:p>
      <w:pPr>
        <w:pStyle w:val="Heading5"/>
        <w:rPr>
          <w:snapToGrid w:val="0"/>
        </w:rPr>
      </w:pPr>
      <w:bookmarkStart w:id="23" w:name="_Toc411673865"/>
      <w:bookmarkStart w:id="24" w:name="_Toc64359992"/>
      <w:bookmarkStart w:id="25" w:name="_Toc276566295"/>
      <w:bookmarkStart w:id="26" w:name="_Toc71521759"/>
      <w:r>
        <w:rPr>
          <w:rStyle w:val="CharSectno"/>
        </w:rPr>
        <w:t>4</w:t>
      </w:r>
      <w:r>
        <w:rPr>
          <w:snapToGrid w:val="0"/>
        </w:rPr>
        <w:t>.</w:t>
      </w:r>
      <w:r>
        <w:rPr>
          <w:snapToGrid w:val="0"/>
        </w:rPr>
        <w:tab/>
        <w:t>Imposition of registration fees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“title”</w:t>
      </w:r>
      <w:r>
        <w:rPr>
          <w:snapToGrid w:val="0"/>
        </w:rPr>
        <w:t xml:space="preserve"> means a permit, lease, licence, pipeline licence or access authority.</w:t>
      </w:r>
    </w:p>
    <w:p>
      <w:pPr>
        <w:pStyle w:val="Subsection"/>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78 of the </w:t>
      </w:r>
      <w:r>
        <w:rPr>
          <w:i/>
          <w:snapToGrid w:val="0"/>
        </w:rPr>
        <w:t>Petroleum (Submerged Lands) Act 1982</w:t>
      </w:r>
      <w:r>
        <w:rPr>
          <w:snapToGrid w:val="0"/>
        </w:rPr>
        <w:t xml:space="preserve"> a fee at the rate of 1.5% of — </w:t>
      </w:r>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the parties to a transfer of a title lodged for approval under section 78 of the </w:t>
      </w:r>
      <w:r>
        <w:rPr>
          <w:i/>
          <w:snapToGrid w:val="0"/>
        </w:rPr>
        <w:t>Petroleum (Submerged Lands) Act 1982</w:t>
      </w:r>
      <w:r>
        <w:rPr>
          <w:snapToGrid w:val="0"/>
        </w:rPr>
        <w:t xml:space="preserve"> 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 xml:space="preserve">the transfer was not executed substantially for the purpose of avoiding or reducing the registration fees that would, but for this subsection, be payable under subsection (2) in respect of the entry of a memorandum of the transfer;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81 of the </w:t>
      </w:r>
      <w:r>
        <w:rPr>
          <w:i/>
          <w:snapToGrid w:val="0"/>
        </w:rPr>
        <w:t>Petroleum (Submerged Lands) Act 1982</w:t>
      </w:r>
      <w:r>
        <w:rPr>
          <w:snapToGrid w:val="0"/>
        </w:rPr>
        <w:t xml:space="preserve"> a fee at the rate of 1.5% of — </w:t>
      </w:r>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 </w:t>
      </w:r>
    </w:p>
    <w:p>
      <w:pPr>
        <w:pStyle w:val="Indenti"/>
        <w:rPr>
          <w:snapToGrid w:val="0"/>
        </w:rPr>
      </w:pPr>
      <w:r>
        <w:rPr>
          <w:snapToGrid w:val="0"/>
        </w:rPr>
        <w:tab/>
        <w:t>(i)</w:t>
      </w:r>
      <w:r>
        <w:rPr>
          <w:snapToGrid w:val="0"/>
        </w:rPr>
        <w:tab/>
        <w:t>the value of the interest in a title is greater than the amount applicable under paragraph (a);</w:t>
      </w:r>
    </w:p>
    <w:p>
      <w:pPr>
        <w:pStyle w:val="Indenti"/>
        <w:rPr>
          <w:snapToGrid w:val="0"/>
        </w:rPr>
      </w:pPr>
      <w:r>
        <w:rPr>
          <w:snapToGrid w:val="0"/>
        </w:rPr>
        <w:tab/>
        <w:t>(ii)</w:t>
      </w:r>
      <w:r>
        <w:rPr>
          <w:snapToGrid w:val="0"/>
        </w:rPr>
        <w:tab/>
        <w:t xml:space="preserve">the dealing has an effect of the kind referred to in section 81(1)(a), (b) or (d) of the </w:t>
      </w:r>
      <w:r>
        <w:rPr>
          <w:i/>
          <w:snapToGrid w:val="0"/>
        </w:rPr>
        <w:t>Petroleum (Submerged Lands) Act 1982</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81 of the </w:t>
      </w:r>
      <w:r>
        <w:rPr>
          <w:i/>
          <w:snapToGrid w:val="0"/>
        </w:rPr>
        <w:t xml:space="preserve">Petroleum (Submerged Lands) Act 1982 </w:t>
      </w:r>
      <w:r>
        <w:rPr>
          <w:snapToGrid w:val="0"/>
        </w:rPr>
        <w:t>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the parties to a dealing lodged for approval under section 81 of the </w:t>
      </w:r>
      <w:r>
        <w:rPr>
          <w:i/>
          <w:snapToGrid w:val="0"/>
        </w:rPr>
        <w:t>Petroleum (Submerged Lands) Act 1982</w:t>
      </w:r>
      <w:r>
        <w:rPr>
          <w:snapToGrid w:val="0"/>
        </w:rPr>
        <w:t xml:space="preserve"> 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 xml:space="preserve">the dealing was not entered into substantially for the purpose of avoiding or reducing the registration fees that would, but for this subsection, be payable under subsection (5) in respect of the entry of approval of the dealing;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 xml:space="preserve">[Section 4 inserted by No. 13 of 1990 s. 4; amended by No. 20 of 2003 s. 39.] </w:t>
      </w:r>
    </w:p>
    <w:p>
      <w:pPr>
        <w:pStyle w:val="Heading5"/>
        <w:rPr>
          <w:snapToGrid w:val="0"/>
        </w:rPr>
      </w:pPr>
      <w:bookmarkStart w:id="27" w:name="_Toc411673866"/>
      <w:bookmarkStart w:id="28" w:name="_Toc64359993"/>
      <w:bookmarkStart w:id="29" w:name="_Toc276566296"/>
      <w:bookmarkStart w:id="30" w:name="_Toc71521760"/>
      <w:r>
        <w:rPr>
          <w:rStyle w:val="CharSectno"/>
        </w:rPr>
        <w:t>4A</w:t>
      </w:r>
      <w:r>
        <w:rPr>
          <w:snapToGrid w:val="0"/>
        </w:rPr>
        <w:t>.</w:t>
      </w:r>
      <w:r>
        <w:rPr>
          <w:snapToGrid w:val="0"/>
        </w:rPr>
        <w:tab/>
        <w:t>Regulations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4A inserted by No. 13 of 1990 s. 5.] </w:t>
      </w:r>
    </w:p>
    <w:p>
      <w:pPr>
        <w:pStyle w:val="Ednotesection"/>
        <w:spacing w:before="400"/>
        <w:ind w:left="890" w:hanging="890"/>
      </w:pPr>
      <w:r>
        <w:t>[</w:t>
      </w:r>
      <w:bookmarkStart w:id="31" w:name="_Toc411673867"/>
      <w:r>
        <w:rPr>
          <w:rStyle w:val="CharSectno"/>
          <w:b/>
        </w:rPr>
        <w:t>5</w:t>
      </w:r>
      <w:r>
        <w:rPr>
          <w:b/>
        </w:rPr>
        <w:t>.</w:t>
      </w:r>
      <w:bookmarkEnd w:id="31"/>
      <w:r>
        <w:tab/>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 w:name="_Toc71521329"/>
      <w:bookmarkStart w:id="33" w:name="_Toc276566297"/>
      <w:r>
        <w:t>Notes</w:t>
      </w:r>
      <w:bookmarkEnd w:id="32"/>
      <w:bookmarkEnd w:id="33"/>
    </w:p>
    <w:p>
      <w:pPr>
        <w:pStyle w:val="nSubsection"/>
        <w:rPr>
          <w:snapToGrid w:val="0"/>
        </w:rPr>
      </w:pPr>
      <w:bookmarkStart w:id="34" w:name="_Toc64359994"/>
      <w:r>
        <w:rPr>
          <w:snapToGrid w:val="0"/>
          <w:vertAlign w:val="superscript"/>
        </w:rPr>
        <w:t>1</w:t>
      </w:r>
      <w:r>
        <w:rPr>
          <w:snapToGrid w:val="0"/>
        </w:rPr>
        <w:tab/>
        <w:t xml:space="preserve">This is a </w:t>
      </w:r>
      <w:del w:id="35" w:author="svcMRProcess" w:date="2015-11-04T20:53:00Z">
        <w:r>
          <w:rPr>
            <w:snapToGrid w:val="0"/>
          </w:rPr>
          <w:delText>reprint as at 13 February 2004</w:delText>
        </w:r>
      </w:del>
      <w:ins w:id="36" w:author="svcMRProcess" w:date="2015-11-04T20:53:00Z">
        <w:r>
          <w:rPr>
            <w:snapToGrid w:val="0"/>
          </w:rPr>
          <w:t>compilation</w:t>
        </w:r>
      </w:ins>
      <w:r>
        <w:rPr>
          <w:snapToGrid w:val="0"/>
        </w:rPr>
        <w:t xml:space="preserve"> of the </w:t>
      </w:r>
      <w:r>
        <w:rPr>
          <w:i/>
          <w:noProof/>
          <w:snapToGrid w:val="0"/>
        </w:rPr>
        <w:t>Petroleum (Submerged Lands) Registration Fees Act</w:t>
      </w:r>
      <w:del w:id="37" w:author="svcMRProcess" w:date="2015-11-04T20:53:00Z">
        <w:r>
          <w:rPr>
            <w:i/>
            <w:noProof/>
            <w:snapToGrid w:val="0"/>
          </w:rPr>
          <w:delText xml:space="preserve"> </w:delText>
        </w:r>
      </w:del>
      <w:ins w:id="38" w:author="svcMRProcess" w:date="2015-11-04T20:53:00Z">
        <w:r>
          <w:rPr>
            <w:i/>
            <w:noProof/>
            <w:snapToGrid w:val="0"/>
          </w:rPr>
          <w:t> </w:t>
        </w:r>
      </w:ins>
      <w:r>
        <w:rPr>
          <w:i/>
          <w:noProof/>
          <w:snapToGrid w:val="0"/>
        </w:rPr>
        <w:t>1982</w:t>
      </w:r>
      <w:r>
        <w:rPr>
          <w:snapToGrid w:val="0"/>
        </w:rPr>
        <w:t xml:space="preserve"> and includes the amendments made by the other written laws referred to in the following table</w:t>
      </w:r>
      <w:ins w:id="39" w:author="svcMRProcess" w:date="2015-11-04T20:5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0" w:name="_Toc276566298"/>
      <w:bookmarkStart w:id="41" w:name="_Toc71521761"/>
      <w:r>
        <w:rPr>
          <w:snapToGrid w:val="0"/>
        </w:rPr>
        <w:t>Compilation table</w:t>
      </w:r>
      <w:bookmarkEnd w:id="34"/>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 xml:space="preserve">Petroleum (Submerged Lands) Registration Fees </w:t>
            </w:r>
            <w:r>
              <w:rPr>
                <w:i/>
                <w:sz w:val="19"/>
              </w:rPr>
              <w:br/>
              <w:t>Act 1982</w:t>
            </w:r>
          </w:p>
        </w:tc>
        <w:tc>
          <w:tcPr>
            <w:tcW w:w="1134" w:type="dxa"/>
          </w:tcPr>
          <w:p>
            <w:pPr>
              <w:pStyle w:val="nTable"/>
              <w:rPr>
                <w:sz w:val="19"/>
              </w:rPr>
            </w:pPr>
            <w:r>
              <w:rPr>
                <w:sz w:val="19"/>
              </w:rPr>
              <w:t>34 of 1982</w:t>
            </w:r>
          </w:p>
        </w:tc>
        <w:tc>
          <w:tcPr>
            <w:tcW w:w="1134" w:type="dxa"/>
          </w:tcPr>
          <w:p>
            <w:pPr>
              <w:pStyle w:val="nTable"/>
              <w:rPr>
                <w:sz w:val="19"/>
              </w:rPr>
            </w:pPr>
            <w:r>
              <w:rPr>
                <w:sz w:val="19"/>
              </w:rPr>
              <w:t>27 May 1982</w:t>
            </w:r>
          </w:p>
        </w:tc>
        <w:tc>
          <w:tcPr>
            <w:tcW w:w="2551" w:type="dxa"/>
          </w:tcPr>
          <w:p>
            <w:pPr>
              <w:pStyle w:val="nTable"/>
              <w:rPr>
                <w:sz w:val="19"/>
              </w:rPr>
            </w:pPr>
            <w:r>
              <w:rPr>
                <w:sz w:val="19"/>
              </w:rPr>
              <w:t xml:space="preserve">14 Feb 1983 (see s. 2(1) and </w:t>
            </w:r>
            <w:r>
              <w:rPr>
                <w:i/>
                <w:sz w:val="19"/>
              </w:rPr>
              <w:t>Gazette</w:t>
            </w:r>
            <w:r>
              <w:rPr>
                <w:sz w:val="19"/>
              </w:rPr>
              <w:t xml:space="preserve"> 25 Feb 1983 p. 740)</w:t>
            </w:r>
          </w:p>
        </w:tc>
      </w:tr>
      <w:tr>
        <w:tc>
          <w:tcPr>
            <w:tcW w:w="2268" w:type="dxa"/>
          </w:tcPr>
          <w:p>
            <w:pPr>
              <w:pStyle w:val="nTable"/>
              <w:rPr>
                <w:sz w:val="19"/>
                <w:vertAlign w:val="superscript"/>
              </w:rPr>
            </w:pPr>
            <w:r>
              <w:rPr>
                <w:i/>
                <w:sz w:val="19"/>
              </w:rPr>
              <w:t>Petroleum (Submerged Lands) Registration Fees Amendment Act 1990 </w:t>
            </w:r>
            <w:r>
              <w:rPr>
                <w:sz w:val="19"/>
                <w:vertAlign w:val="superscript"/>
              </w:rPr>
              <w:t>2</w:t>
            </w:r>
          </w:p>
        </w:tc>
        <w:tc>
          <w:tcPr>
            <w:tcW w:w="1134" w:type="dxa"/>
          </w:tcPr>
          <w:p>
            <w:pPr>
              <w:pStyle w:val="nTable"/>
              <w:rPr>
                <w:sz w:val="19"/>
              </w:rPr>
            </w:pPr>
            <w:r>
              <w:rPr>
                <w:sz w:val="19"/>
              </w:rPr>
              <w:t>13 of 1990</w:t>
            </w:r>
          </w:p>
        </w:tc>
        <w:tc>
          <w:tcPr>
            <w:tcW w:w="1134" w:type="dxa"/>
          </w:tcPr>
          <w:p>
            <w:pPr>
              <w:pStyle w:val="nTable"/>
              <w:rPr>
                <w:sz w:val="19"/>
              </w:rPr>
            </w:pPr>
            <w:r>
              <w:rPr>
                <w:sz w:val="19"/>
              </w:rPr>
              <w:t>31 Jul 1990</w:t>
            </w:r>
          </w:p>
        </w:tc>
        <w:tc>
          <w:tcPr>
            <w:tcW w:w="2551" w:type="dxa"/>
          </w:tcPr>
          <w:p>
            <w:pPr>
              <w:pStyle w:val="nTable"/>
              <w:rPr>
                <w:sz w:val="19"/>
              </w:rPr>
            </w:pPr>
            <w:r>
              <w:rPr>
                <w:sz w:val="19"/>
              </w:rPr>
              <w:t xml:space="preserve">1 Oct 1990 (see s. 2 and </w:t>
            </w:r>
            <w:r>
              <w:rPr>
                <w:i/>
                <w:sz w:val="19"/>
              </w:rPr>
              <w:t>Gazette</w:t>
            </w:r>
            <w:r>
              <w:rPr>
                <w:sz w:val="19"/>
              </w:rPr>
              <w:t xml:space="preserve"> 28 Sep 1990 p. 5099)</w:t>
            </w:r>
          </w:p>
        </w:tc>
      </w:tr>
      <w:tr>
        <w:trPr>
          <w:cantSplit/>
        </w:trPr>
        <w:tc>
          <w:tcPr>
            <w:tcW w:w="7087" w:type="dxa"/>
            <w:gridSpan w:val="4"/>
          </w:tcPr>
          <w:p>
            <w:pPr>
              <w:pStyle w:val="nTable"/>
              <w:rPr>
                <w:sz w:val="19"/>
              </w:rPr>
            </w:pPr>
            <w:r>
              <w:rPr>
                <w:b/>
                <w:sz w:val="19"/>
              </w:rPr>
              <w:t xml:space="preserve">Reprint of the </w:t>
            </w:r>
            <w:r>
              <w:rPr>
                <w:b/>
                <w:i/>
                <w:sz w:val="19"/>
              </w:rPr>
              <w:t xml:space="preserve">Petroleum (Submerged Lands) Registration Fees Act 1982 </w:t>
            </w:r>
            <w:r>
              <w:rPr>
                <w:b/>
                <w:sz w:val="19"/>
              </w:rPr>
              <w:t xml:space="preserve">as at 18 Mar 1992 </w:t>
            </w:r>
            <w:r>
              <w:rPr>
                <w:sz w:val="19"/>
              </w:rPr>
              <w:t>(includes amendments listed above)</w:t>
            </w:r>
          </w:p>
        </w:tc>
      </w:tr>
      <w:tr>
        <w:tc>
          <w:tcPr>
            <w:tcW w:w="2268" w:type="dxa"/>
          </w:tcPr>
          <w:p>
            <w:pPr>
              <w:pStyle w:val="nTable"/>
              <w:rPr>
                <w:i/>
                <w:sz w:val="19"/>
              </w:rPr>
            </w:pPr>
            <w:r>
              <w:rPr>
                <w:i/>
                <w:sz w:val="19"/>
              </w:rPr>
              <w:t>Corporations (Consequential Amendments) Act (No. 2) 2003</w:t>
            </w:r>
            <w:r>
              <w:rPr>
                <w:sz w:val="19"/>
              </w:rPr>
              <w:t xml:space="preserve"> Pt. 19</w:t>
            </w:r>
          </w:p>
        </w:tc>
        <w:tc>
          <w:tcPr>
            <w:tcW w:w="1134" w:type="dxa"/>
          </w:tcPr>
          <w:p>
            <w:pPr>
              <w:pStyle w:val="nTable"/>
              <w:rPr>
                <w:sz w:val="19"/>
              </w:rPr>
            </w:pPr>
            <w:r>
              <w:rPr>
                <w:sz w:val="19"/>
              </w:rPr>
              <w:t>20 of 2003</w:t>
            </w:r>
          </w:p>
        </w:tc>
        <w:tc>
          <w:tcPr>
            <w:tcW w:w="1134" w:type="dxa"/>
          </w:tcPr>
          <w:p>
            <w:pPr>
              <w:pStyle w:val="nTable"/>
              <w:rPr>
                <w:sz w:val="19"/>
              </w:rPr>
            </w:pPr>
            <w:r>
              <w:rPr>
                <w:sz w:val="19"/>
              </w:rPr>
              <w:t>23 Apr 2003</w:t>
            </w:r>
          </w:p>
        </w:tc>
        <w:tc>
          <w:tcPr>
            <w:tcW w:w="2551" w:type="dxa"/>
          </w:tcPr>
          <w:p>
            <w:pPr>
              <w:pStyle w:val="nTable"/>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Borders>
              <w:bottom w:val="single" w:sz="4" w:space="0" w:color="auto"/>
            </w:tcBorders>
          </w:tcPr>
          <w:p>
            <w:pPr>
              <w:pStyle w:val="nTable"/>
              <w:rPr>
                <w:sz w:val="19"/>
              </w:rPr>
            </w:pPr>
            <w:r>
              <w:rPr>
                <w:b/>
                <w:sz w:val="19"/>
              </w:rPr>
              <w:t xml:space="preserve">Reprint 2: The </w:t>
            </w:r>
            <w:r>
              <w:rPr>
                <w:b/>
                <w:i/>
                <w:sz w:val="19"/>
              </w:rPr>
              <w:t xml:space="preserve">Petroleum (Submerged Lands) Registration Fees Act 1982 </w:t>
            </w:r>
            <w:r>
              <w:rPr>
                <w:b/>
                <w:sz w:val="19"/>
              </w:rPr>
              <w:t xml:space="preserve">as at 13 Feb 2004 </w:t>
            </w:r>
            <w:r>
              <w:rPr>
                <w:sz w:val="19"/>
              </w:rPr>
              <w:t>(includes amendments listed above)</w:t>
            </w:r>
          </w:p>
        </w:tc>
      </w:tr>
    </w:tbl>
    <w:p>
      <w:pPr>
        <w:pStyle w:val="nSubsection"/>
        <w:rPr>
          <w:ins w:id="42" w:author="svcMRProcess" w:date="2015-11-04T20:53:00Z"/>
          <w:snapToGrid w:val="0"/>
        </w:rPr>
      </w:pPr>
      <w:ins w:id="43" w:author="svcMRProcess" w:date="2015-11-04T20: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 w:author="svcMRProcess" w:date="2015-11-04T20:53:00Z"/>
          <w:snapToGrid w:val="0"/>
        </w:rPr>
      </w:pPr>
      <w:bookmarkStart w:id="45" w:name="_Toc534778309"/>
      <w:bookmarkStart w:id="46" w:name="_Toc7405063"/>
      <w:bookmarkStart w:id="47" w:name="_Toc276566299"/>
      <w:ins w:id="48" w:author="svcMRProcess" w:date="2015-11-04T20:53:00Z">
        <w:r>
          <w:rPr>
            <w:snapToGrid w:val="0"/>
          </w:rPr>
          <w:t>Provisions that have not come into operation</w:t>
        </w:r>
        <w:bookmarkEnd w:id="45"/>
        <w:bookmarkEnd w:id="46"/>
        <w:bookmarkEnd w:id="4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9" w:author="svcMRProcess" w:date="2015-11-04T20:53:00Z"/>
        </w:trPr>
        <w:tc>
          <w:tcPr>
            <w:tcW w:w="2268" w:type="dxa"/>
          </w:tcPr>
          <w:p>
            <w:pPr>
              <w:pStyle w:val="nTable"/>
              <w:spacing w:after="40"/>
              <w:rPr>
                <w:ins w:id="50" w:author="svcMRProcess" w:date="2015-11-04T20:53:00Z"/>
                <w:b/>
                <w:snapToGrid w:val="0"/>
                <w:sz w:val="19"/>
                <w:lang w:val="en-US"/>
              </w:rPr>
            </w:pPr>
            <w:ins w:id="51" w:author="svcMRProcess" w:date="2015-11-04T20:53:00Z">
              <w:r>
                <w:rPr>
                  <w:b/>
                  <w:snapToGrid w:val="0"/>
                  <w:sz w:val="19"/>
                  <w:lang w:val="en-US"/>
                </w:rPr>
                <w:t>Short title</w:t>
              </w:r>
            </w:ins>
          </w:p>
        </w:tc>
        <w:tc>
          <w:tcPr>
            <w:tcW w:w="1118" w:type="dxa"/>
          </w:tcPr>
          <w:p>
            <w:pPr>
              <w:pStyle w:val="nTable"/>
              <w:spacing w:after="40"/>
              <w:rPr>
                <w:ins w:id="52" w:author="svcMRProcess" w:date="2015-11-04T20:53:00Z"/>
                <w:b/>
                <w:snapToGrid w:val="0"/>
                <w:sz w:val="19"/>
                <w:lang w:val="en-US"/>
              </w:rPr>
            </w:pPr>
            <w:ins w:id="53" w:author="svcMRProcess" w:date="2015-11-04T20:53:00Z">
              <w:r>
                <w:rPr>
                  <w:b/>
                  <w:snapToGrid w:val="0"/>
                  <w:sz w:val="19"/>
                  <w:lang w:val="en-US"/>
                </w:rPr>
                <w:t>Number and year</w:t>
              </w:r>
            </w:ins>
          </w:p>
        </w:tc>
        <w:tc>
          <w:tcPr>
            <w:tcW w:w="1134" w:type="dxa"/>
          </w:tcPr>
          <w:p>
            <w:pPr>
              <w:pStyle w:val="nTable"/>
              <w:spacing w:after="40"/>
              <w:rPr>
                <w:ins w:id="54" w:author="svcMRProcess" w:date="2015-11-04T20:53:00Z"/>
                <w:b/>
                <w:snapToGrid w:val="0"/>
                <w:sz w:val="19"/>
                <w:lang w:val="en-US"/>
              </w:rPr>
            </w:pPr>
            <w:ins w:id="55" w:author="svcMRProcess" w:date="2015-11-04T20:53:00Z">
              <w:r>
                <w:rPr>
                  <w:b/>
                  <w:snapToGrid w:val="0"/>
                  <w:sz w:val="19"/>
                  <w:lang w:val="en-US"/>
                </w:rPr>
                <w:t>Assent</w:t>
              </w:r>
            </w:ins>
          </w:p>
        </w:tc>
        <w:tc>
          <w:tcPr>
            <w:tcW w:w="2552" w:type="dxa"/>
          </w:tcPr>
          <w:p>
            <w:pPr>
              <w:pStyle w:val="nTable"/>
              <w:spacing w:after="40"/>
              <w:rPr>
                <w:ins w:id="56" w:author="svcMRProcess" w:date="2015-11-04T20:53:00Z"/>
                <w:b/>
                <w:snapToGrid w:val="0"/>
                <w:sz w:val="19"/>
                <w:lang w:val="en-US"/>
              </w:rPr>
            </w:pPr>
            <w:ins w:id="57" w:author="svcMRProcess" w:date="2015-11-04T20:53:00Z">
              <w:r>
                <w:rPr>
                  <w:b/>
                  <w:snapToGrid w:val="0"/>
                  <w:sz w:val="19"/>
                  <w:lang w:val="en-US"/>
                </w:rPr>
                <w:t>Commencement</w:t>
              </w:r>
            </w:ins>
          </w:p>
        </w:tc>
      </w:tr>
      <w:tr>
        <w:trPr>
          <w:ins w:id="58" w:author="svcMRProcess" w:date="2015-11-04T20:53:00Z"/>
        </w:trPr>
        <w:tc>
          <w:tcPr>
            <w:tcW w:w="2268" w:type="dxa"/>
          </w:tcPr>
          <w:p>
            <w:pPr>
              <w:pStyle w:val="nTable"/>
              <w:spacing w:after="40"/>
              <w:rPr>
                <w:ins w:id="59" w:author="svcMRProcess" w:date="2015-11-04T20:53:00Z"/>
                <w:snapToGrid w:val="0"/>
                <w:sz w:val="19"/>
                <w:lang w:val="en-US"/>
              </w:rPr>
            </w:pPr>
            <w:ins w:id="60" w:author="svcMRProcess" w:date="2015-11-04T20:53:00Z">
              <w:r>
                <w:rPr>
                  <w:i/>
                  <w:iCs/>
                  <w:snapToGrid w:val="0"/>
                  <w:sz w:val="19"/>
                  <w:lang w:val="en-US"/>
                </w:rPr>
                <w:t xml:space="preserve">Petroleum and Energy Legislation Amendment Act 2010 </w:t>
              </w:r>
              <w:r>
                <w:rPr>
                  <w:snapToGrid w:val="0"/>
                  <w:sz w:val="19"/>
                  <w:lang w:val="en-US"/>
                </w:rPr>
                <w:t xml:space="preserve">s. 185 </w:t>
              </w:r>
              <w:r>
                <w:rPr>
                  <w:snapToGrid w:val="0"/>
                  <w:sz w:val="19"/>
                  <w:vertAlign w:val="superscript"/>
                  <w:lang w:val="en-US"/>
                </w:rPr>
                <w:t>3</w:t>
              </w:r>
            </w:ins>
          </w:p>
        </w:tc>
        <w:tc>
          <w:tcPr>
            <w:tcW w:w="1118" w:type="dxa"/>
          </w:tcPr>
          <w:p>
            <w:pPr>
              <w:pStyle w:val="nTable"/>
              <w:spacing w:after="40"/>
              <w:rPr>
                <w:ins w:id="61" w:author="svcMRProcess" w:date="2015-11-04T20:53:00Z"/>
                <w:snapToGrid w:val="0"/>
                <w:sz w:val="19"/>
                <w:lang w:val="en-US"/>
              </w:rPr>
            </w:pPr>
            <w:ins w:id="62" w:author="svcMRProcess" w:date="2015-11-04T20:53:00Z">
              <w:r>
                <w:rPr>
                  <w:snapToGrid w:val="0"/>
                  <w:sz w:val="19"/>
                  <w:lang w:val="en-US"/>
                </w:rPr>
                <w:t>42 of 2010</w:t>
              </w:r>
            </w:ins>
          </w:p>
        </w:tc>
        <w:tc>
          <w:tcPr>
            <w:tcW w:w="1134" w:type="dxa"/>
          </w:tcPr>
          <w:p>
            <w:pPr>
              <w:pStyle w:val="nTable"/>
              <w:spacing w:after="40"/>
              <w:rPr>
                <w:ins w:id="63" w:author="svcMRProcess" w:date="2015-11-04T20:53:00Z"/>
                <w:snapToGrid w:val="0"/>
                <w:sz w:val="19"/>
                <w:lang w:val="en-US"/>
              </w:rPr>
            </w:pPr>
            <w:ins w:id="64" w:author="svcMRProcess" w:date="2015-11-04T20:53:00Z">
              <w:r>
                <w:rPr>
                  <w:snapToGrid w:val="0"/>
                  <w:sz w:val="19"/>
                  <w:lang w:val="en-US"/>
                </w:rPr>
                <w:t>28 Oct 2010</w:t>
              </w:r>
            </w:ins>
          </w:p>
        </w:tc>
        <w:tc>
          <w:tcPr>
            <w:tcW w:w="2552" w:type="dxa"/>
          </w:tcPr>
          <w:p>
            <w:pPr>
              <w:pStyle w:val="nTable"/>
              <w:spacing w:after="40"/>
              <w:rPr>
                <w:ins w:id="65" w:author="svcMRProcess" w:date="2015-11-04T20:53:00Z"/>
                <w:snapToGrid w:val="0"/>
                <w:sz w:val="19"/>
                <w:lang w:val="en-US"/>
              </w:rPr>
            </w:pPr>
            <w:ins w:id="66" w:author="svcMRProcess" w:date="2015-11-04T20:53: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rPr>
          <w:i/>
        </w:rPr>
        <w:t>Petroleum (Submerged Lands) Registration Fees Amendment Act 1990</w:t>
      </w:r>
      <w:r>
        <w:rPr>
          <w:snapToGrid w:val="0"/>
        </w:rPr>
        <w:t xml:space="preserve"> s. 6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Application of principal Act </w:t>
      </w:r>
    </w:p>
    <w:p>
      <w:pPr>
        <w:pStyle w:val="nzSubsection"/>
        <w:rPr>
          <w:snapToGrid w:val="0"/>
        </w:rPr>
      </w:pPr>
      <w:r>
        <w:rPr>
          <w:snapToGrid w:val="0"/>
        </w:rPr>
        <w:tab/>
      </w:r>
      <w:r>
        <w:rPr>
          <w:snapToGrid w:val="0"/>
        </w:rPr>
        <w:tab/>
        <w:t xml:space="preserve">The principal Act continues to apply in relation to transfers to which section 78 of the </w:t>
      </w:r>
      <w:r>
        <w:rPr>
          <w:i/>
          <w:snapToGrid w:val="0"/>
        </w:rPr>
        <w:t>Petroleum (Submerged Lands) Act 1982</w:t>
      </w:r>
      <w:r>
        <w:rPr>
          <w:snapToGrid w:val="0"/>
        </w:rPr>
        <w:t xml:space="preserve"> continues to apply by virtue of the operation of section 201(3) of the </w:t>
      </w:r>
      <w:r>
        <w:rPr>
          <w:i/>
          <w:snapToGrid w:val="0"/>
        </w:rPr>
        <w:t>Acts Amendment (Petroleum) Act 1990</w:t>
      </w:r>
      <w:r>
        <w:rPr>
          <w:snapToGrid w:val="0"/>
        </w:rPr>
        <w:t>.</w:t>
      </w:r>
    </w:p>
    <w:p>
      <w:pPr>
        <w:pStyle w:val="MiscClose"/>
        <w:rPr>
          <w:snapToGrid w:val="0"/>
        </w:rPr>
      </w:pPr>
      <w:r>
        <w:rPr>
          <w:snapToGrid w:val="0"/>
        </w:rPr>
        <w:t>”.</w:t>
      </w:r>
    </w:p>
    <w:p>
      <w:pPr>
        <w:pStyle w:val="nSubsection"/>
        <w:rPr>
          <w:ins w:id="67" w:author="svcMRProcess" w:date="2015-11-04T20:53:00Z"/>
          <w:snapToGrid w:val="0"/>
        </w:rPr>
      </w:pPr>
      <w:ins w:id="68" w:author="svcMRProcess" w:date="2015-11-04T20:53:00Z">
        <w:r>
          <w:rPr>
            <w:snapToGrid w:val="0"/>
            <w:vertAlign w:val="superscript"/>
          </w:rPr>
          <w:t>3</w:t>
        </w:r>
        <w:r>
          <w:rPr>
            <w:snapToGrid w:val="0"/>
          </w:rPr>
          <w:tab/>
          <w:t xml:space="preserve">On the date as at which this compilation was prepared, the </w:t>
        </w:r>
        <w:r>
          <w:rPr>
            <w:i/>
            <w:iCs/>
            <w:snapToGrid w:val="0"/>
            <w:sz w:val="19"/>
            <w:lang w:val="en-US"/>
          </w:rPr>
          <w:t xml:space="preserve">Petroleum and Energy Legislation Amendment Act 2010 </w:t>
        </w:r>
        <w:r>
          <w:rPr>
            <w:snapToGrid w:val="0"/>
            <w:sz w:val="19"/>
            <w:lang w:val="en-US"/>
          </w:rPr>
          <w:t xml:space="preserve">s. 185 </w:t>
        </w:r>
        <w:r>
          <w:rPr>
            <w:snapToGrid w:val="0"/>
          </w:rPr>
          <w:t>had not come into operation.  It reads as follows:</w:t>
        </w:r>
      </w:ins>
    </w:p>
    <w:p>
      <w:pPr>
        <w:pStyle w:val="BlankOpen"/>
        <w:rPr>
          <w:ins w:id="69" w:author="svcMRProcess" w:date="2015-11-04T20:53:00Z"/>
        </w:rPr>
      </w:pPr>
      <w:bookmarkStart w:id="70" w:name="UpToHere"/>
    </w:p>
    <w:p>
      <w:pPr>
        <w:pStyle w:val="nzHeading5"/>
        <w:rPr>
          <w:ins w:id="71" w:author="svcMRProcess" w:date="2015-11-04T20:53:00Z"/>
        </w:rPr>
      </w:pPr>
      <w:bookmarkStart w:id="72" w:name="_Toc275422797"/>
      <w:bookmarkStart w:id="73" w:name="_Toc276115745"/>
      <w:bookmarkStart w:id="74" w:name="_Toc276392015"/>
      <w:bookmarkEnd w:id="70"/>
      <w:ins w:id="75" w:author="svcMRProcess" w:date="2015-11-04T20:53:00Z">
        <w:r>
          <w:rPr>
            <w:rStyle w:val="CharSectno"/>
          </w:rPr>
          <w:t>185</w:t>
        </w:r>
        <w:r>
          <w:t>.</w:t>
        </w:r>
        <w:r>
          <w:tab/>
        </w:r>
        <w:r>
          <w:rPr>
            <w:i/>
          </w:rPr>
          <w:t>Petroleum (Submerged Lands) Registration Fees Act </w:t>
        </w:r>
        <w:r>
          <w:rPr>
            <w:i/>
            <w:iCs/>
          </w:rPr>
          <w:t>1982</w:t>
        </w:r>
        <w:r>
          <w:t xml:space="preserve"> amended</w:t>
        </w:r>
        <w:bookmarkEnd w:id="72"/>
        <w:bookmarkEnd w:id="73"/>
        <w:bookmarkEnd w:id="74"/>
      </w:ins>
    </w:p>
    <w:p>
      <w:pPr>
        <w:pStyle w:val="nzSubsection"/>
        <w:rPr>
          <w:ins w:id="76" w:author="svcMRProcess" w:date="2015-11-04T20:53:00Z"/>
        </w:rPr>
      </w:pPr>
      <w:ins w:id="77" w:author="svcMRProcess" w:date="2015-11-04T20:53:00Z">
        <w:r>
          <w:tab/>
          <w:t>(1)</w:t>
        </w:r>
        <w:r>
          <w:tab/>
          <w:t xml:space="preserve">This section amends the </w:t>
        </w:r>
        <w:r>
          <w:rPr>
            <w:i/>
          </w:rPr>
          <w:t>Petroleum (Submerged Lands) Registration Fees Act 1982</w:t>
        </w:r>
        <w:r>
          <w:t>.</w:t>
        </w:r>
      </w:ins>
    </w:p>
    <w:p>
      <w:pPr>
        <w:pStyle w:val="nzSubsection"/>
        <w:rPr>
          <w:ins w:id="78" w:author="svcMRProcess" w:date="2015-11-04T20:53:00Z"/>
        </w:rPr>
      </w:pPr>
      <w:ins w:id="79" w:author="svcMRProcess" w:date="2015-11-04T20:53:00Z">
        <w:r>
          <w:tab/>
          <w:t>(2)</w:t>
        </w:r>
        <w:r>
          <w:tab/>
          <w:t xml:space="preserve">In section 4(1) before “pipeline licence” insert: </w:t>
        </w:r>
      </w:ins>
    </w:p>
    <w:p>
      <w:pPr>
        <w:pStyle w:val="BlankOpen"/>
        <w:rPr>
          <w:ins w:id="80" w:author="svcMRProcess" w:date="2015-11-04T20:53:00Z"/>
        </w:rPr>
      </w:pPr>
    </w:p>
    <w:p>
      <w:pPr>
        <w:pStyle w:val="nzSubsection"/>
        <w:rPr>
          <w:ins w:id="81" w:author="svcMRProcess" w:date="2015-11-04T20:53:00Z"/>
        </w:rPr>
      </w:pPr>
      <w:ins w:id="82" w:author="svcMRProcess" w:date="2015-11-04T20:53:00Z">
        <w:r>
          <w:tab/>
        </w:r>
        <w:r>
          <w:tab/>
          <w:t>infrastructure licence,</w:t>
        </w:r>
      </w:ins>
    </w:p>
    <w:p>
      <w:pPr>
        <w:pStyle w:val="BlankClose"/>
        <w:rPr>
          <w:ins w:id="83" w:author="svcMRProcess" w:date="2015-11-04T20:53:00Z"/>
        </w:rPr>
      </w:pPr>
    </w:p>
    <w:p>
      <w:pPr>
        <w:pStyle w:val="BlankClose"/>
        <w:rPr>
          <w:ins w:id="84" w:author="svcMRProcess" w:date="2015-11-04T20:53:00Z"/>
          <w:snapToGrid w:val="0"/>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Registration Fees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(Submerged Lands) Registration Fees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(Submerged Lands) Registration Fees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(Submerged Lands) Registration Fees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(Submerged Lands) Registration Fees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CB5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AB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BC1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E03B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ACF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68F5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8E4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E49D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121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0523B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985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E82F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1666</Words>
  <Characters>7799</Characters>
  <Application>Microsoft Office Word</Application>
  <DocSecurity>0</DocSecurity>
  <Lines>243</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Act 1982 02-a0-04 - 02-b0-01</dc:title>
  <dc:subject/>
  <dc:creator/>
  <cp:keywords/>
  <dc:description/>
  <cp:lastModifiedBy>svcMRProcess</cp:lastModifiedBy>
  <cp:revision>2</cp:revision>
  <cp:lastPrinted>2004-02-13T07:57:00Z</cp:lastPrinted>
  <dcterms:created xsi:type="dcterms:W3CDTF">2015-11-04T12:53:00Z</dcterms:created>
  <dcterms:modified xsi:type="dcterms:W3CDTF">2015-11-04T12:53:00Z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1982</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603</vt:i4>
  </property>
  <property fmtid="{D5CDD505-2E9C-101B-9397-08002B2CF9AE}" pid="6" name="FromSuffix">
    <vt:lpwstr>02-a0-04</vt:lpwstr>
  </property>
  <property fmtid="{D5CDD505-2E9C-101B-9397-08002B2CF9AE}" pid="7" name="FromAsAtDate">
    <vt:lpwstr>13 Feb 2004</vt:lpwstr>
  </property>
  <property fmtid="{D5CDD505-2E9C-101B-9397-08002B2CF9AE}" pid="8" name="ToSuffix">
    <vt:lpwstr>02-b0-01</vt:lpwstr>
  </property>
  <property fmtid="{D5CDD505-2E9C-101B-9397-08002B2CF9AE}" pid="9" name="ToAsAtDate">
    <vt:lpwstr>28 Oct 2010</vt:lpwstr>
  </property>
</Properties>
</file>