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04-g0-01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04-h0-01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Mines Safety and Inspection Act 1994 </w:t>
      </w:r>
    </w:p>
    <w:p>
      <w:pPr>
        <w:pStyle w:val="LongTitle"/>
        <w:rPr>
          <w:snapToGrid w:val="0"/>
        </w:rPr>
      </w:pPr>
      <w:r>
        <w:rPr>
          <w:snapToGrid w:val="0"/>
        </w:rPr>
        <w:t>A</w:t>
      </w:r>
      <w:bookmarkStart w:id="0" w:name="_GoBack"/>
      <w:bookmarkEnd w:id="0"/>
      <w:r>
        <w:rPr>
          <w:snapToGrid w:val="0"/>
        </w:rPr>
        <w:t xml:space="preserve">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 </w:t>
      </w:r>
    </w:p>
    <w:p>
      <w:pPr>
        <w:pStyle w:val="Footnotelongtitle"/>
      </w:pPr>
      <w:r>
        <w:tab/>
        <w:t xml:space="preserve">[Long title amended by No. 30 of 1995 s. 52.] </w:t>
      </w:r>
    </w:p>
    <w:p>
      <w:pPr>
        <w:pStyle w:val="Heading2"/>
      </w:pPr>
      <w:bookmarkStart w:id="1" w:name="_Toc192041013"/>
      <w:bookmarkStart w:id="2" w:name="_Toc196130193"/>
      <w:bookmarkStart w:id="3" w:name="_Toc196188158"/>
      <w:bookmarkStart w:id="4" w:name="_Toc196192406"/>
      <w:bookmarkStart w:id="5" w:name="_Toc197244942"/>
      <w:bookmarkStart w:id="6" w:name="_Toc197245935"/>
      <w:bookmarkStart w:id="7" w:name="_Toc197246342"/>
      <w:bookmarkStart w:id="8" w:name="_Toc197746373"/>
      <w:bookmarkStart w:id="9" w:name="_Toc197751662"/>
      <w:bookmarkStart w:id="10" w:name="_Toc197751920"/>
      <w:bookmarkStart w:id="11" w:name="_Toc198006323"/>
      <w:bookmarkStart w:id="12" w:name="_Toc200360067"/>
      <w:bookmarkStart w:id="13" w:name="_Toc232396749"/>
      <w:bookmarkStart w:id="14" w:name="_Toc247954159"/>
      <w:bookmarkStart w:id="15" w:name="_Toc268599289"/>
      <w:bookmarkStart w:id="16" w:name="_Toc272236533"/>
      <w:bookmarkStart w:id="17" w:name="_Toc27429962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274299627"/>
      <w:r>
        <w:rPr>
          <w:rStyle w:val="CharSectno"/>
        </w:rPr>
        <w:t>1</w:t>
      </w:r>
      <w:r>
        <w:rPr>
          <w:snapToGrid w:val="0"/>
        </w:rPr>
        <w:t>.</w:t>
      </w:r>
      <w:r>
        <w:rPr>
          <w:snapToGrid w:val="0"/>
        </w:rPr>
        <w:tab/>
        <w:t>Short title</w:t>
      </w:r>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19" w:name="_Toc274299628"/>
      <w:r>
        <w:rPr>
          <w:rStyle w:val="CharSectno"/>
        </w:rPr>
        <w:t>2</w:t>
      </w:r>
      <w:r>
        <w:rPr>
          <w:snapToGrid w:val="0"/>
        </w:rPr>
        <w:t>.</w:t>
      </w:r>
      <w:r>
        <w:rPr>
          <w:snapToGrid w:val="0"/>
        </w:rPr>
        <w:tab/>
        <w:t>Commencement</w:t>
      </w:r>
      <w:bookmarkEnd w:id="19"/>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0" w:name="_Toc274299629"/>
      <w:r>
        <w:rPr>
          <w:rStyle w:val="CharSectno"/>
        </w:rPr>
        <w:t>3</w:t>
      </w:r>
      <w:r>
        <w:rPr>
          <w:snapToGrid w:val="0"/>
        </w:rPr>
        <w:t>.</w:t>
      </w:r>
      <w:r>
        <w:rPr>
          <w:snapToGrid w:val="0"/>
        </w:rPr>
        <w:tab/>
        <w:t>Objects</w:t>
      </w:r>
      <w:bookmarkEnd w:id="20"/>
      <w:r>
        <w:rPr>
          <w:snapToGrid w:val="0"/>
        </w:rPr>
        <w:t xml:space="preserve"> </w:t>
      </w:r>
    </w:p>
    <w:p>
      <w:pPr>
        <w:pStyle w:val="Subsection"/>
        <w:rPr>
          <w:snapToGrid w:val="0"/>
        </w:rPr>
      </w:pPr>
      <w:r>
        <w:rPr>
          <w:snapToGrid w:val="0"/>
        </w:rPr>
        <w:tab/>
        <w:t>(1)</w:t>
      </w:r>
      <w:r>
        <w:rPr>
          <w:snapToGrid w:val="0"/>
        </w:rPr>
        <w:tab/>
        <w:t>The objects of this Act are —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 xml:space="preserve">In subsection (1)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pPr>
      <w:r>
        <w:tab/>
        <w:t xml:space="preserve">[Section 3 amended by No. 30 of 1995 s. 76(2) and (4); No. 68 of 2004 s. 4.] </w:t>
      </w:r>
    </w:p>
    <w:p>
      <w:pPr>
        <w:pStyle w:val="Heading5"/>
        <w:rPr>
          <w:snapToGrid w:val="0"/>
        </w:rPr>
      </w:pPr>
      <w:bookmarkStart w:id="21" w:name="_Toc274299630"/>
      <w:r>
        <w:rPr>
          <w:rStyle w:val="CharSectno"/>
        </w:rPr>
        <w:t>4</w:t>
      </w:r>
      <w:r>
        <w:rPr>
          <w:snapToGrid w:val="0"/>
        </w:rPr>
        <w:t>.</w:t>
      </w:r>
      <w:r>
        <w:rPr>
          <w:snapToGrid w:val="0"/>
        </w:rPr>
        <w:tab/>
        <w:t>Terms used in this Act</w:t>
      </w:r>
      <w:bookmarkEnd w:id="2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adit</w:t>
      </w:r>
      <w:r>
        <w:t xml:space="preserve"> has the same meaning as “tunnel”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assistant inspector</w:t>
      </w:r>
      <w:r>
        <w:t xml:space="preserve"> means an assistant inspector of mines appointed under section 20;</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and</w:t>
      </w:r>
    </w:p>
    <w:p>
      <w:pPr>
        <w:pStyle w:val="Defpara"/>
      </w:pPr>
      <w:r>
        <w:tab/>
        <w:t>(b)</w:t>
      </w:r>
      <w:r>
        <w:tab/>
        <w:t>the Standards Council of New Zealand;</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pPr>
      <w:r>
        <w:rPr>
          <w:b/>
        </w:rPr>
        <w:tab/>
      </w:r>
      <w:r>
        <w:rPr>
          <w:rStyle w:val="CharDefText"/>
        </w:rPr>
        <w:t>employee’s inspector</w:t>
      </w:r>
      <w:r>
        <w:t xml:space="preserve"> means an employee’s inspector of mines appointed under section 17 in accordance with section 19;</w:t>
      </w:r>
    </w:p>
    <w:p>
      <w:pPr>
        <w:pStyle w:val="Defstart"/>
      </w:pPr>
      <w:r>
        <w:rPr>
          <w:b/>
        </w:rPr>
        <w:tab/>
      </w:r>
      <w:r>
        <w:rPr>
          <w:rStyle w:val="CharDefText"/>
        </w:rPr>
        <w:t>employer</w:t>
      </w:r>
      <w:r>
        <w:t xml:space="preserve"> means —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3 Division 3;</w:t>
      </w:r>
    </w:p>
    <w:p>
      <w:pPr>
        <w:pStyle w:val="Defstart"/>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pPr>
      <w:r>
        <w:rPr>
          <w:b/>
        </w:rPr>
        <w:tab/>
      </w:r>
      <w:r>
        <w:rPr>
          <w:rStyle w:val="CharDefText"/>
        </w:rPr>
        <w:t>inspector</w:t>
      </w:r>
      <w:r>
        <w:t xml:space="preserve"> means an inspector of mines appointed under this Act or whose appointment under a repealed Act is continued under this Act;</w:t>
      </w:r>
    </w:p>
    <w:p>
      <w:pPr>
        <w:pStyle w:val="Defstart"/>
      </w:pPr>
      <w:r>
        <w:rPr>
          <w:b/>
        </w:rPr>
        <w:tab/>
      </w:r>
      <w:r>
        <w:rPr>
          <w:rStyle w:val="CharDefText"/>
        </w:rPr>
        <w:t>manager</w:t>
      </w:r>
      <w:r>
        <w:t xml:space="preserve"> in relation to a mine, means the registered manager for the mine;</w:t>
      </w:r>
    </w:p>
    <w:p>
      <w:pPr>
        <w:pStyle w:val="Defstart"/>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pPr>
      <w:r>
        <w:rPr>
          <w:b/>
        </w:rPr>
        <w:tab/>
      </w:r>
      <w:r>
        <w:rPr>
          <w:rStyle w:val="CharDefText"/>
        </w:rPr>
        <w:t>mineral</w:t>
      </w:r>
      <w:r>
        <w:t xml:space="preserve"> does not include natural gas or mineral oil in a free state;</w:t>
      </w:r>
    </w:p>
    <w:p>
      <w:pPr>
        <w:pStyle w:val="Defstart"/>
      </w:pPr>
      <w:r>
        <w:rPr>
          <w:b/>
        </w:rPr>
        <w:tab/>
      </w:r>
      <w:r>
        <w:rPr>
          <w:rStyle w:val="CharDefText"/>
        </w:rPr>
        <w:t>Mines Survey Board</w:t>
      </w:r>
      <w:r>
        <w:t xml:space="preserve"> means the Mines Survey Board continued in existence for the purposes of this Act by section 82;</w:t>
      </w:r>
    </w:p>
    <w:p>
      <w:pPr>
        <w:pStyle w:val="Defstart"/>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 </w:t>
      </w:r>
    </w:p>
    <w:p>
      <w:pPr>
        <w:pStyle w:val="Defpara"/>
      </w:pPr>
      <w:r>
        <w:tab/>
        <w:t>(a)</w:t>
      </w:r>
      <w:r>
        <w:tab/>
        <w:t>exploration operations; and</w:t>
      </w:r>
    </w:p>
    <w:p>
      <w:pPr>
        <w:pStyle w:val="Defpara"/>
      </w:pPr>
      <w:r>
        <w:tab/>
        <w:t>(b)</w:t>
      </w:r>
      <w:r>
        <w:tab/>
        <w:t>developmental and construction work associated with opening up or operating a mine; and</w:t>
      </w:r>
    </w:p>
    <w:p>
      <w:pPr>
        <w:pStyle w:val="Defpara"/>
      </w:pPr>
      <w:r>
        <w:tab/>
        <w:t>(c)</w:t>
      </w:r>
      <w:r>
        <w:tab/>
        <w:t>the removal and disposal of overburden or waste or residues by mechanical or other means and the stacking, depositing, storage, and treatment of any substance considered to contain any mineral; and</w:t>
      </w:r>
    </w:p>
    <w:p>
      <w:pPr>
        <w:pStyle w:val="Defpara"/>
      </w:pPr>
      <w:r>
        <w:tab/>
        <w:t>(d)</w:t>
      </w:r>
      <w:r>
        <w:tab/>
        <w:t>the operation of blast furnaces and direct reduction furnaces; and</w:t>
      </w:r>
    </w:p>
    <w:p>
      <w:pPr>
        <w:pStyle w:val="Defpara"/>
      </w:pPr>
      <w:r>
        <w:tab/>
        <w:t>(e)</w:t>
      </w:r>
      <w:r>
        <w:tab/>
        <w:t>the operation of privately owned railways to transport ore or other mining products, or to provide related services; and</w:t>
      </w:r>
    </w:p>
    <w:p>
      <w:pPr>
        <w:pStyle w:val="Defpara"/>
      </w:pPr>
      <w:r>
        <w:tab/>
        <w:t>(ea)</w:t>
      </w:r>
      <w:r>
        <w:tab/>
        <w:t xml:space="preserve">the transport of ore or other mining product that takes place on a road that is not a road as defined in the </w:t>
      </w:r>
      <w:r>
        <w:rPr>
          <w:i/>
        </w:rPr>
        <w:t>Road Traffic Act 1974</w:t>
      </w:r>
      <w:r>
        <w:t>; and</w:t>
      </w:r>
    </w:p>
    <w:p>
      <w:pPr>
        <w:pStyle w:val="Defpara"/>
      </w:pPr>
      <w:r>
        <w:tab/>
        <w:t>(f)</w:t>
      </w:r>
      <w:r>
        <w:tab/>
        <w:t>the crushing, screening, sorting, stacking, and loading and handling of ore or other mining products at any rail or road terminal or any loading or transhipment points, including seaports; and</w:t>
      </w:r>
    </w:p>
    <w:p>
      <w:pPr>
        <w:pStyle w:val="Defpara"/>
      </w:pPr>
      <w:r>
        <w:tab/>
        <w:t>(g)</w:t>
      </w:r>
      <w:r>
        <w:tab/>
        <w:t>the operation of any support facilities on the minesite, including mine administration offices, workshops, and services buildings; and</w:t>
      </w:r>
    </w:p>
    <w:p>
      <w:pPr>
        <w:pStyle w:val="Defpara"/>
      </w:pPr>
      <w:r>
        <w:tab/>
        <w:t>(h)</w:t>
      </w:r>
      <w:r>
        <w:tab/>
        <w:t>borefields remote from the minesite but an integral part of the mining operation; and</w:t>
      </w:r>
    </w:p>
    <w:p>
      <w:pPr>
        <w:pStyle w:val="Defpara"/>
      </w:pPr>
      <w:r>
        <w:tab/>
        <w:t>(i)</w:t>
      </w:r>
      <w:r>
        <w:tab/>
        <w:t>operations by means of which salt or other evaporites are harvested; and</w:t>
      </w:r>
    </w:p>
    <w:p>
      <w:pPr>
        <w:pStyle w:val="Defpara"/>
      </w:pPr>
      <w:r>
        <w:tab/>
        <w:t>(j)</w:t>
      </w:r>
      <w:r>
        <w:tab/>
        <w:t>operations by means of which any mineral is recovered from the sea or sea bed or a natural water supply; and</w:t>
      </w:r>
    </w:p>
    <w:p>
      <w:pPr>
        <w:pStyle w:val="Defpara"/>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pPr>
      <w:r>
        <w:tab/>
        <w:t>(l)</w:t>
      </w:r>
      <w:r>
        <w:tab/>
        <w:t>the operation of any project which is for the time being declared by the Governor to be a mining operation under section 6; and</w:t>
      </w:r>
    </w:p>
    <w:p>
      <w:pPr>
        <w:pStyle w:val="Defpara"/>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 </w:t>
      </w:r>
    </w:p>
    <w:p>
      <w:pPr>
        <w:pStyle w:val="Defpara"/>
      </w:pPr>
      <w:r>
        <w:tab/>
        <w:t>(p)</w:t>
      </w:r>
      <w:r>
        <w:tab/>
        <w:t>steel making plants; or</w:t>
      </w:r>
    </w:p>
    <w:p>
      <w:pPr>
        <w:pStyle w:val="Defpara"/>
      </w:pPr>
      <w:r>
        <w:tab/>
        <w:t>(q)</w:t>
      </w:r>
      <w:r>
        <w:tab/>
        <w:t>rolling mills; or</w:t>
      </w:r>
    </w:p>
    <w:p>
      <w:pPr>
        <w:pStyle w:val="Defpara"/>
      </w:pPr>
      <w:r>
        <w:tab/>
        <w:t>(r)</w:t>
      </w:r>
      <w:r>
        <w:tab/>
        <w:t>facilities for the manufacture of goods from mining products; or</w:t>
      </w:r>
    </w:p>
    <w:p>
      <w:pPr>
        <w:pStyle w:val="Defpara"/>
      </w:pPr>
      <w:r>
        <w:tab/>
        <w:t>(s)</w:t>
      </w:r>
      <w:r>
        <w:tab/>
        <w:t>residential facilities or recreational facilities and the ground used for the purpose where such facilities are not located on a mining tenement and directly associated with mining operations; or</w:t>
      </w:r>
    </w:p>
    <w:p>
      <w:pPr>
        <w:pStyle w:val="Defpara"/>
        <w:keepLines/>
      </w:pPr>
      <w:r>
        <w:tab/>
        <w:t>(t)</w:t>
      </w:r>
      <w:r>
        <w:tab/>
        <w:t>sand, gravel, limestone, or rock excavation carried on by or for any State agency or instrumentality or any local government for the use or disposition by any such agency, instrumentality or local government; or</w:t>
      </w:r>
    </w:p>
    <w:p>
      <w:pPr>
        <w:pStyle w:val="Defpara"/>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 </w:t>
      </w:r>
    </w:p>
    <w:p>
      <w:pPr>
        <w:pStyle w:val="Defsubpara"/>
        <w:keepLines w:val="0"/>
        <w:rPr>
          <w:snapToGrid w:val="0"/>
        </w:rPr>
      </w:pPr>
      <w:r>
        <w:rPr>
          <w:snapToGrid w:val="0"/>
        </w:rPr>
        <w:tab/>
        <w:t>(i)</w:t>
      </w:r>
      <w:r>
        <w:rPr>
          <w:snapToGrid w:val="0"/>
        </w:rPr>
        <w:tab/>
        <w:t>the injury or harm to health referred to in paragraph (a); and</w:t>
      </w:r>
    </w:p>
    <w:p>
      <w:pPr>
        <w:pStyle w:val="Defsubpara"/>
        <w:keepLines w:val="0"/>
        <w:rPr>
          <w:snapToGrid w:val="0"/>
        </w:rPr>
      </w:pPr>
      <w:r>
        <w:rPr>
          <w:snapToGrid w:val="0"/>
        </w:rPr>
        <w:tab/>
        <w:t>(ii)</w:t>
      </w:r>
      <w:r>
        <w:rPr>
          <w:snapToGrid w:val="0"/>
        </w:rPr>
        <w:tab/>
        <w:t>the risk of that injury or harm to health occurring; and</w:t>
      </w:r>
    </w:p>
    <w:p>
      <w:pPr>
        <w:pStyle w:val="Defsubpara"/>
        <w:keepLines w:val="0"/>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xml:space="preserve"> —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 </w:t>
      </w:r>
    </w:p>
    <w:p>
      <w:pPr>
        <w:pStyle w:val="Defpara"/>
      </w:pPr>
      <w:r>
        <w:tab/>
        <w:t>(a)</w:t>
      </w:r>
      <w:r>
        <w:tab/>
        <w:t>harvesting evaporites;</w:t>
      </w:r>
    </w:p>
    <w:p>
      <w:pPr>
        <w:pStyle w:val="Defpara"/>
      </w:pPr>
      <w:r>
        <w:tab/>
        <w:t>(b)</w:t>
      </w:r>
      <w:r>
        <w:tab/>
        <w:t>strip mining;</w:t>
      </w:r>
    </w:p>
    <w:p>
      <w:pPr>
        <w:pStyle w:val="Defpara"/>
      </w:pPr>
      <w:r>
        <w:tab/>
        <w:t>(c)</w:t>
      </w:r>
      <w:r>
        <w:tab/>
        <w:t>extraction of sand, clay and gravel;</w:t>
      </w:r>
    </w:p>
    <w:p>
      <w:pPr>
        <w:pStyle w:val="Defpara"/>
      </w:pPr>
      <w:r>
        <w:tab/>
        <w:t>(d)</w:t>
      </w:r>
      <w:r>
        <w:tab/>
        <w:t>hydraulic mining; and</w:t>
      </w:r>
    </w:p>
    <w:p>
      <w:pPr>
        <w:pStyle w:val="Defpara"/>
      </w:pPr>
      <w:r>
        <w:tab/>
        <w:t>(e)</w:t>
      </w:r>
      <w:r>
        <w:tab/>
        <w:t xml:space="preserve">solution mining through bore holes or existing openings within the earth, whether natural or resulting from previous mining; </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 xml:space="preserve">Industrial Relations Act 1988 </w:t>
      </w:r>
      <w:r>
        <w:t>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pPr>
      <w:r>
        <w:rPr>
          <w:b/>
        </w:rPr>
        <w:tab/>
      </w:r>
      <w:r>
        <w:rPr>
          <w:rStyle w:val="CharDefText"/>
        </w:rPr>
        <w:t>workmen’s inspector</w:t>
      </w:r>
      <w:r>
        <w:t xml:space="preserve"> means a workmen’s inspector of mines appointed under a repealed Act;</w:t>
      </w:r>
    </w:p>
    <w:p>
      <w:pPr>
        <w:pStyle w:val="Defstart"/>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 xml:space="preserve">[Section 4 amended by No. 30 of 1995 s. 53 and 76(1); No. 79 of 1995 s. 67(4); No. 14 of 1996 s. 4; No. 16 of 2002 s. 3; No. 7 of 2004 s. 70; No. 51 of 2004 s. 115(2); No. 68 of 2004 s. 14, 49, 73, 80 and 88; No. 16 of 2008 s. 4; No. 44 of 2008 s. 55.] </w:t>
      </w:r>
    </w:p>
    <w:p>
      <w:pPr>
        <w:pStyle w:val="Heading5"/>
      </w:pPr>
      <w:bookmarkStart w:id="22" w:name="_Toc274299631"/>
      <w:r>
        <w:rPr>
          <w:rStyle w:val="CharSectno"/>
        </w:rPr>
        <w:t>4A</w:t>
      </w:r>
      <w:r>
        <w:t>.</w:t>
      </w:r>
      <w:r>
        <w:tab/>
        <w:t>Penalty levels defined</w:t>
      </w:r>
      <w:bookmarkEnd w:id="22"/>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corporation —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4A inserted by No. 68 of 2004 s. 15.]</w:t>
      </w:r>
    </w:p>
    <w:p>
      <w:pPr>
        <w:pStyle w:val="Heading5"/>
      </w:pPr>
      <w:bookmarkStart w:id="23" w:name="_Toc274299632"/>
      <w:r>
        <w:rPr>
          <w:rStyle w:val="CharSectno"/>
        </w:rPr>
        <w:t>4B</w:t>
      </w:r>
      <w:r>
        <w:t>.</w:t>
      </w:r>
      <w:r>
        <w:tab/>
        <w:t>Meaning of “first offence” and “subsequent offence”</w:t>
      </w:r>
      <w:bookmarkEnd w:id="23"/>
    </w:p>
    <w:p>
      <w:pPr>
        <w:pStyle w:val="Subsection"/>
        <w:spacing w:before="20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p>
    <w:p>
      <w:pPr>
        <w:pStyle w:val="Subsection"/>
        <w:spacing w:before="20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24" w:name="_Toc274299633"/>
      <w:r>
        <w:rPr>
          <w:rStyle w:val="CharSectno"/>
        </w:rPr>
        <w:t>5</w:t>
      </w:r>
      <w:r>
        <w:rPr>
          <w:snapToGrid w:val="0"/>
        </w:rPr>
        <w:t>.</w:t>
      </w:r>
      <w:r>
        <w:rPr>
          <w:snapToGrid w:val="0"/>
        </w:rPr>
        <w:tab/>
        <w:t>Crown bound</w:t>
      </w:r>
      <w:bookmarkEnd w:id="24"/>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5" w:name="_Toc274299634"/>
      <w:r>
        <w:rPr>
          <w:rStyle w:val="CharSectno"/>
        </w:rPr>
        <w:t>6</w:t>
      </w:r>
      <w:r>
        <w:rPr>
          <w:snapToGrid w:val="0"/>
        </w:rPr>
        <w:t>.</w:t>
      </w:r>
      <w:r>
        <w:rPr>
          <w:snapToGrid w:val="0"/>
        </w:rPr>
        <w:tab/>
        <w:t>Application to certain excavations, shafts, or tunnels</w:t>
      </w:r>
      <w:bookmarkEnd w:id="25"/>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declare any surface or underground excavation, shaft, or tunnel constructed for purposes other than those set out in the definition of “mining operations”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26" w:name="_Toc274299635"/>
      <w:r>
        <w:rPr>
          <w:rStyle w:val="CharSectno"/>
        </w:rPr>
        <w:t>6A</w:t>
      </w:r>
      <w:r>
        <w:t>.</w:t>
      </w:r>
      <w:r>
        <w:tab/>
        <w:t xml:space="preserve">Application of this Act to a workplace under the </w:t>
      </w:r>
      <w:r>
        <w:rPr>
          <w:i/>
        </w:rPr>
        <w:t>Occupational Safety and Health Act 1984</w:t>
      </w:r>
      <w:bookmarkEnd w:id="26"/>
    </w:p>
    <w:p>
      <w:pPr>
        <w:pStyle w:val="Subsection"/>
      </w:pPr>
      <w:r>
        <w:tab/>
        <w:t>(1)</w:t>
      </w:r>
      <w:r>
        <w:tab/>
        <w:t xml:space="preserve">In this section —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xml:space="preserve">, to or in relation to — </w:t>
      </w:r>
    </w:p>
    <w:p>
      <w:pPr>
        <w:pStyle w:val="Indenta"/>
      </w:pPr>
      <w:r>
        <w:tab/>
        <w:t>(c)</w:t>
      </w:r>
      <w:r>
        <w:tab/>
        <w:t xml:space="preserve">a specified workplace, or a specified part of a workplace, as if it were a mine or a part of a mine; </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27" w:name="_Toc274299636"/>
      <w:r>
        <w:rPr>
          <w:rStyle w:val="CharSectno"/>
        </w:rPr>
        <w:t>7</w:t>
      </w:r>
      <w:r>
        <w:rPr>
          <w:snapToGrid w:val="0"/>
        </w:rPr>
        <w:t>.</w:t>
      </w:r>
      <w:r>
        <w:rPr>
          <w:snapToGrid w:val="0"/>
        </w:rPr>
        <w:tab/>
        <w:t>Relationship with other Acts</w:t>
      </w:r>
      <w:bookmarkEnd w:id="27"/>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w:t>
      </w:r>
      <w:bookmarkStart w:id="28" w:name="UpToHere"/>
      <w:bookmarkEnd w:id="28"/>
      <w:r>
        <w:rPr>
          <w:snapToGrid w:val="0"/>
        </w:rPr>
        <w:t>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snapToGrid w:val="0"/>
        </w:rPr>
        <w:t>Rail Safety Act 1998</w:t>
      </w:r>
      <w:r>
        <w:rPr>
          <w:snapToGrid w:val="0"/>
        </w:rPr>
        <w:t xml:space="preserve"> applies or to the ownership or operation of such a railway.</w:t>
      </w:r>
    </w:p>
    <w:p>
      <w:pPr>
        <w:pStyle w:val="Footnotesection"/>
      </w:pPr>
      <w:r>
        <w:tab/>
        <w:t>[Section 7 amended by No. 32 of 1998 s. 64(2).]</w:t>
      </w:r>
    </w:p>
    <w:p>
      <w:pPr>
        <w:pStyle w:val="Heading5"/>
        <w:rPr>
          <w:snapToGrid w:val="0"/>
        </w:rPr>
      </w:pPr>
      <w:bookmarkStart w:id="29" w:name="_Toc274299637"/>
      <w:r>
        <w:rPr>
          <w:rStyle w:val="CharSectno"/>
        </w:rPr>
        <w:t>8</w:t>
      </w:r>
      <w:r>
        <w:rPr>
          <w:snapToGrid w:val="0"/>
        </w:rPr>
        <w:t>.</w:t>
      </w:r>
      <w:r>
        <w:rPr>
          <w:snapToGrid w:val="0"/>
        </w:rPr>
        <w:tab/>
        <w:t>Power to exempt</w:t>
      </w:r>
      <w:bookmarkEnd w:id="29"/>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30" w:name="_Toc192041025"/>
      <w:bookmarkStart w:id="31" w:name="_Toc196130205"/>
      <w:bookmarkStart w:id="32" w:name="_Toc196188170"/>
      <w:bookmarkStart w:id="33" w:name="_Toc196192418"/>
      <w:bookmarkStart w:id="34" w:name="_Toc197244954"/>
      <w:bookmarkStart w:id="35" w:name="_Toc197245947"/>
      <w:bookmarkStart w:id="36" w:name="_Toc197246354"/>
      <w:bookmarkStart w:id="37" w:name="_Toc197746385"/>
      <w:bookmarkStart w:id="38" w:name="_Toc197751674"/>
      <w:bookmarkStart w:id="39" w:name="_Toc197751932"/>
      <w:bookmarkStart w:id="40" w:name="_Toc198006335"/>
      <w:bookmarkStart w:id="41" w:name="_Toc200360079"/>
      <w:bookmarkStart w:id="42" w:name="_Toc232396761"/>
      <w:bookmarkStart w:id="43" w:name="_Toc247954171"/>
      <w:bookmarkStart w:id="44" w:name="_Toc268599301"/>
      <w:bookmarkStart w:id="45" w:name="_Toc272236545"/>
      <w:bookmarkStart w:id="46" w:name="_Toc274299638"/>
      <w:r>
        <w:rPr>
          <w:rStyle w:val="CharPartNo"/>
        </w:rPr>
        <w:t>Part 2</w:t>
      </w:r>
      <w:r>
        <w:t> — </w:t>
      </w:r>
      <w:r>
        <w:rPr>
          <w:rStyle w:val="CharPartText"/>
        </w:rPr>
        <w:t>General duties relating to occupational safety and health</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Footnoteheading"/>
      </w:pPr>
      <w:r>
        <w:tab/>
        <w:t xml:space="preserve">[Heading amended by No. 30 of 1995 s. 76(1).] </w:t>
      </w:r>
    </w:p>
    <w:p>
      <w:pPr>
        <w:pStyle w:val="Heading3"/>
      </w:pPr>
      <w:bookmarkStart w:id="47" w:name="_Toc192041026"/>
      <w:bookmarkStart w:id="48" w:name="_Toc196130206"/>
      <w:bookmarkStart w:id="49" w:name="_Toc196188171"/>
      <w:bookmarkStart w:id="50" w:name="_Toc196192419"/>
      <w:bookmarkStart w:id="51" w:name="_Toc197244955"/>
      <w:bookmarkStart w:id="52" w:name="_Toc197245948"/>
      <w:bookmarkStart w:id="53" w:name="_Toc197246355"/>
      <w:bookmarkStart w:id="54" w:name="_Toc197746386"/>
      <w:bookmarkStart w:id="55" w:name="_Toc197751675"/>
      <w:bookmarkStart w:id="56" w:name="_Toc197751933"/>
      <w:bookmarkStart w:id="57" w:name="_Toc198006336"/>
      <w:bookmarkStart w:id="58" w:name="_Toc200360080"/>
      <w:bookmarkStart w:id="59" w:name="_Toc232396762"/>
      <w:bookmarkStart w:id="60" w:name="_Toc247954172"/>
      <w:bookmarkStart w:id="61" w:name="_Toc268599302"/>
      <w:bookmarkStart w:id="62" w:name="_Toc272236546"/>
      <w:bookmarkStart w:id="63" w:name="_Toc274299639"/>
      <w:r>
        <w:rPr>
          <w:rStyle w:val="CharDivNo"/>
        </w:rPr>
        <w:t>Division 1</w:t>
      </w:r>
      <w:r>
        <w:t> — </w:t>
      </w:r>
      <w:r>
        <w:rPr>
          <w:rStyle w:val="CharDivText"/>
        </w:rPr>
        <w:t>Preliminary</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Footnoteheading"/>
      </w:pPr>
      <w:r>
        <w:tab/>
        <w:t xml:space="preserve">[Heading inserted by No. 68 of 2004 s. 17.] </w:t>
      </w:r>
    </w:p>
    <w:p>
      <w:pPr>
        <w:pStyle w:val="Heading5"/>
      </w:pPr>
      <w:bookmarkStart w:id="64" w:name="_Toc274299640"/>
      <w:r>
        <w:rPr>
          <w:rStyle w:val="CharSectno"/>
        </w:rPr>
        <w:t>8A</w:t>
      </w:r>
      <w:r>
        <w:t>.</w:t>
      </w:r>
      <w:r>
        <w:tab/>
        <w:t>General and particular duties</w:t>
      </w:r>
      <w:bookmarkEnd w:id="64"/>
    </w:p>
    <w:p>
      <w:pPr>
        <w:pStyle w:val="Subsection"/>
        <w:spacing w:before="200"/>
      </w:pPr>
      <w:r>
        <w:tab/>
        <w:t>(1)</w:t>
      </w:r>
      <w:r>
        <w:tab/>
        <w:t xml:space="preserve">A duty imposed on a person under this Part —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spacing w:before="200"/>
      </w:pPr>
      <w:r>
        <w:tab/>
        <w:t>(2)</w:t>
      </w:r>
      <w:r>
        <w:tab/>
        <w:t>Subsection (1) has effect subject to section 101A.</w:t>
      </w:r>
    </w:p>
    <w:p>
      <w:pPr>
        <w:pStyle w:val="Footnotesection"/>
      </w:pPr>
      <w:r>
        <w:tab/>
        <w:t>[Section 8A inserted by No. 68 of 2004 s. 17.]</w:t>
      </w:r>
    </w:p>
    <w:p>
      <w:pPr>
        <w:pStyle w:val="Heading5"/>
      </w:pPr>
      <w:bookmarkStart w:id="65" w:name="_Toc274299641"/>
      <w:r>
        <w:rPr>
          <w:rStyle w:val="CharSectno"/>
        </w:rPr>
        <w:t>8B</w:t>
      </w:r>
      <w:r>
        <w:t>.</w:t>
      </w:r>
      <w:r>
        <w:tab/>
        <w:t>Meaning of gross negligence in relation to certain breaches of this Part</w:t>
      </w:r>
      <w:bookmarkEnd w:id="65"/>
    </w:p>
    <w:p>
      <w:pPr>
        <w:pStyle w:val="Subsection"/>
      </w:pPr>
      <w:r>
        <w:tab/>
        <w:t>(1)</w:t>
      </w:r>
      <w:r>
        <w:tab/>
        <w:t>This section applies to a contravention of section 9(1), 10(1) or (3), 12(1) or (2), 12B(2), 13, 14(1), (2), (3) or (4) or 15D(2).</w:t>
      </w:r>
    </w:p>
    <w:p>
      <w:pPr>
        <w:pStyle w:val="Subsection"/>
      </w:pPr>
      <w:r>
        <w:tab/>
        <w:t>(2)</w:t>
      </w:r>
      <w:r>
        <w:tab/>
        <w:t xml:space="preserve">For the purposes of this Part, a contravention of a provision mentioned in subsection (1) is committed in circumstances of gross negligence if — </w:t>
      </w:r>
    </w:p>
    <w:p>
      <w:pPr>
        <w:pStyle w:val="Indenta"/>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pPr>
      <w:r>
        <w:tab/>
        <w:t>(b)</w:t>
      </w:r>
      <w:r>
        <w:tab/>
        <w:t>the contravention did in fact cause the death of, or serious harm to, such a person.</w:t>
      </w:r>
    </w:p>
    <w:p>
      <w:pPr>
        <w:pStyle w:val="Footnotesection"/>
      </w:pPr>
      <w:r>
        <w:tab/>
        <w:t>[Section 8B inserted by No. 68 of 2004 s. 17.]</w:t>
      </w:r>
    </w:p>
    <w:p>
      <w:pPr>
        <w:pStyle w:val="Heading3"/>
      </w:pPr>
      <w:bookmarkStart w:id="66" w:name="_Toc192041029"/>
      <w:bookmarkStart w:id="67" w:name="_Toc196130209"/>
      <w:bookmarkStart w:id="68" w:name="_Toc196188174"/>
      <w:bookmarkStart w:id="69" w:name="_Toc196192422"/>
      <w:bookmarkStart w:id="70" w:name="_Toc197244958"/>
      <w:bookmarkStart w:id="71" w:name="_Toc197245951"/>
      <w:bookmarkStart w:id="72" w:name="_Toc197246358"/>
      <w:bookmarkStart w:id="73" w:name="_Toc197746389"/>
      <w:bookmarkStart w:id="74" w:name="_Toc197751678"/>
      <w:bookmarkStart w:id="75" w:name="_Toc197751936"/>
      <w:bookmarkStart w:id="76" w:name="_Toc198006339"/>
      <w:bookmarkStart w:id="77" w:name="_Toc200360083"/>
      <w:bookmarkStart w:id="78" w:name="_Toc232396765"/>
      <w:bookmarkStart w:id="79" w:name="_Toc247954175"/>
      <w:bookmarkStart w:id="80" w:name="_Toc268599305"/>
      <w:bookmarkStart w:id="81" w:name="_Toc272236549"/>
      <w:bookmarkStart w:id="82" w:name="_Toc274299642"/>
      <w:r>
        <w:rPr>
          <w:rStyle w:val="CharDivNo"/>
        </w:rPr>
        <w:t>Division 2</w:t>
      </w:r>
      <w:r>
        <w:t> — </w:t>
      </w:r>
      <w:r>
        <w:rPr>
          <w:rStyle w:val="CharDivText"/>
        </w:rPr>
        <w:t>General duties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Footnoteheading"/>
      </w:pPr>
      <w:r>
        <w:tab/>
        <w:t xml:space="preserve">[Heading inserted by No. 68 of 2004 s. 5.] </w:t>
      </w:r>
    </w:p>
    <w:p>
      <w:pPr>
        <w:pStyle w:val="Heading5"/>
        <w:rPr>
          <w:snapToGrid w:val="0"/>
        </w:rPr>
      </w:pPr>
      <w:bookmarkStart w:id="83" w:name="_Toc274299643"/>
      <w:r>
        <w:rPr>
          <w:rStyle w:val="CharSectno"/>
        </w:rPr>
        <w:t>9</w:t>
      </w:r>
      <w:r>
        <w:rPr>
          <w:snapToGrid w:val="0"/>
        </w:rPr>
        <w:t>.</w:t>
      </w:r>
      <w:r>
        <w:rPr>
          <w:snapToGrid w:val="0"/>
        </w:rPr>
        <w:tab/>
        <w:t>Duties of employers</w:t>
      </w:r>
      <w:bookmarkEnd w:id="83"/>
      <w:r>
        <w:rPr>
          <w:snapToGrid w:val="0"/>
        </w:rPr>
        <w:t xml:space="preserve"> </w:t>
      </w:r>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 xml:space="preserve">[Section 9 amended by No. 30 of 1995 s. 54 and 76(2) and (4); No. 68 of 2004 s. 6 and 18.] </w:t>
      </w:r>
    </w:p>
    <w:p>
      <w:pPr>
        <w:pStyle w:val="Heading5"/>
      </w:pPr>
      <w:bookmarkStart w:id="84" w:name="_Toc274299644"/>
      <w:r>
        <w:rPr>
          <w:rStyle w:val="CharSectno"/>
        </w:rPr>
        <w:t>9A</w:t>
      </w:r>
      <w:r>
        <w:t>.</w:t>
      </w:r>
      <w:r>
        <w:tab/>
        <w:t>Breaches of section 9(1)</w:t>
      </w:r>
      <w:bookmarkEnd w:id="84"/>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85" w:name="_Toc274299645"/>
      <w:r>
        <w:rPr>
          <w:rStyle w:val="CharSectno"/>
        </w:rPr>
        <w:t>10</w:t>
      </w:r>
      <w:r>
        <w:rPr>
          <w:snapToGrid w:val="0"/>
        </w:rPr>
        <w:t>.</w:t>
      </w:r>
      <w:r>
        <w:rPr>
          <w:snapToGrid w:val="0"/>
        </w:rPr>
        <w:tab/>
        <w:t>Duties of employees</w:t>
      </w:r>
      <w:bookmarkEnd w:id="85"/>
      <w:r>
        <w:rPr>
          <w:snapToGrid w:val="0"/>
        </w:rPr>
        <w:t xml:space="preserve"> </w:t>
      </w:r>
    </w:p>
    <w:p>
      <w:pPr>
        <w:pStyle w:val="Subsection"/>
        <w:rPr>
          <w:snapToGrid w:val="0"/>
        </w:rPr>
      </w:pPr>
      <w:r>
        <w:rPr>
          <w:snapToGrid w:val="0"/>
        </w:rPr>
        <w:tab/>
        <w:t>(1)</w:t>
      </w:r>
      <w:r>
        <w:rPr>
          <w:snapToGrid w:val="0"/>
        </w:rPr>
        <w:tab/>
        <w:t>An employee at a mine must take reasonable care —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 xml:space="preserve">[Section 10 amended by No. 30 of 1995 s. 55 and 76(1), (3) and (4); No. 68 of 2004 s. 20.] </w:t>
      </w:r>
    </w:p>
    <w:p>
      <w:pPr>
        <w:pStyle w:val="Heading5"/>
      </w:pPr>
      <w:bookmarkStart w:id="86" w:name="_Toc274299646"/>
      <w:r>
        <w:rPr>
          <w:rStyle w:val="CharSectno"/>
        </w:rPr>
        <w:t>10A</w:t>
      </w:r>
      <w:r>
        <w:t>.</w:t>
      </w:r>
      <w:r>
        <w:tab/>
        <w:t>Breaches of section 10(1) or (3)</w:t>
      </w:r>
      <w:bookmarkEnd w:id="86"/>
    </w:p>
    <w:p>
      <w:pPr>
        <w:pStyle w:val="Subsection"/>
      </w:pPr>
      <w:r>
        <w:tab/>
        <w:t>(1)</w:t>
      </w:r>
      <w:r>
        <w:tab/>
        <w:t xml:space="preserve">If an employee contravenes section 10(1)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87" w:name="_Toc274299647"/>
      <w:r>
        <w:rPr>
          <w:rStyle w:val="CharSectno"/>
        </w:rPr>
        <w:t>11</w:t>
      </w:r>
      <w:r>
        <w:rPr>
          <w:snapToGrid w:val="0"/>
        </w:rPr>
        <w:t>.</w:t>
      </w:r>
      <w:r>
        <w:rPr>
          <w:snapToGrid w:val="0"/>
        </w:rPr>
        <w:tab/>
        <w:t>Reporting of dangerous situations or occurrences</w:t>
      </w:r>
      <w:bookmarkEnd w:id="87"/>
      <w:r>
        <w:rPr>
          <w:snapToGrid w:val="0"/>
        </w:rPr>
        <w:t xml:space="preserve"> </w:t>
      </w:r>
    </w:p>
    <w:p>
      <w:pPr>
        <w:pStyle w:val="Subsection"/>
        <w:rPr>
          <w:snapToGrid w:val="0"/>
        </w:rPr>
      </w:pPr>
      <w:r>
        <w:rPr>
          <w:snapToGrid w:val="0"/>
        </w:rPr>
        <w:tab/>
        <w:t>(1)</w:t>
      </w:r>
      <w:r>
        <w:rPr>
          <w:snapToGrid w:val="0"/>
        </w:rPr>
        <w:tab/>
        <w:t>Every person working in a mine must report immediately to the person in immediate authority over that person —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88" w:name="_Toc274299648"/>
      <w:r>
        <w:rPr>
          <w:rStyle w:val="CharSectno"/>
        </w:rPr>
        <w:t>11A</w:t>
      </w:r>
      <w:r>
        <w:t>.</w:t>
      </w:r>
      <w:r>
        <w:tab/>
        <w:t>Duty of manager to inform person who makes a report under section 11</w:t>
      </w:r>
      <w:bookmarkEnd w:id="88"/>
    </w:p>
    <w:p>
      <w:pPr>
        <w:pStyle w:val="Subsection"/>
      </w:pPr>
      <w:r>
        <w:tab/>
        <w:t>(1)</w:t>
      </w:r>
      <w:r>
        <w:tab/>
        <w:t xml:space="preserve">Where a report is made under section 11(1)(a) or (b) or (3) in relation to a mine, the manager of the mine must, within a reasonable time after the report is received by him or her — </w:t>
      </w:r>
    </w:p>
    <w:p>
      <w:pPr>
        <w:pStyle w:val="Indenta"/>
      </w:pPr>
      <w:r>
        <w:tab/>
        <w:t>(a)</w:t>
      </w:r>
      <w:r>
        <w:tab/>
        <w:t xml:space="preserve">investigate the occurrence, situation, injury or harm that was reported; </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89" w:name="_Toc274299649"/>
      <w:r>
        <w:rPr>
          <w:rStyle w:val="CharSectno"/>
        </w:rPr>
        <w:t>12</w:t>
      </w:r>
      <w:r>
        <w:rPr>
          <w:snapToGrid w:val="0"/>
        </w:rPr>
        <w:t>.</w:t>
      </w:r>
      <w:r>
        <w:rPr>
          <w:snapToGrid w:val="0"/>
        </w:rPr>
        <w:tab/>
        <w:t>Duties of employers and self</w:t>
      </w:r>
      <w:r>
        <w:rPr>
          <w:snapToGrid w:val="0"/>
        </w:rPr>
        <w:noBreakHyphen/>
        <w:t>employed persons</w:t>
      </w:r>
      <w:bookmarkEnd w:id="89"/>
      <w:r>
        <w:rPr>
          <w:snapToGrid w:val="0"/>
        </w:rPr>
        <w:t xml:space="preserve"> </w:t>
      </w:r>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 xml:space="preserve">employed person at a mine must,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pPr>
      <w:r>
        <w:tab/>
        <w:t xml:space="preserve">[Section 12 amended by No. 30 of 1995 s. 56 and 76(4); No. 68 of 2004 s. 8 and 22.] </w:t>
      </w:r>
    </w:p>
    <w:p>
      <w:pPr>
        <w:pStyle w:val="Heading5"/>
      </w:pPr>
      <w:bookmarkStart w:id="90" w:name="_Toc274299650"/>
      <w:r>
        <w:rPr>
          <w:rStyle w:val="CharSectno"/>
        </w:rPr>
        <w:t>12A</w:t>
      </w:r>
      <w:r>
        <w:t>.</w:t>
      </w:r>
      <w:r>
        <w:tab/>
        <w:t>Breaches of section 12</w:t>
      </w:r>
      <w:bookmarkEnd w:id="90"/>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91" w:name="_Toc274299651"/>
      <w:r>
        <w:rPr>
          <w:rStyle w:val="CharSectno"/>
        </w:rPr>
        <w:t>12B</w:t>
      </w:r>
      <w:r>
        <w:t>.</w:t>
      </w:r>
      <w:r>
        <w:tab/>
        <w:t>Duties placed on corporation to which section 15A, 15B or 15C applies</w:t>
      </w:r>
      <w:bookmarkEnd w:id="91"/>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 xml:space="preserve">A corporation to which this section applies that carries on operations at a mine must, so far as is practicable, ensure that the safety or health of a person is not adversely affected wholly or in part as a result of — </w:t>
      </w:r>
    </w:p>
    <w:p>
      <w:pPr>
        <w:pStyle w:val="Indenta"/>
      </w:pPr>
      <w:r>
        <w:tab/>
        <w:t>(a)</w:t>
      </w:r>
      <w:r>
        <w:tab/>
        <w:t xml:space="preserve">work that has been or is being undertaken by —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92" w:name="_Toc274299652"/>
      <w:r>
        <w:rPr>
          <w:rStyle w:val="CharSectno"/>
        </w:rPr>
        <w:t>12C</w:t>
      </w:r>
      <w:r>
        <w:t>.</w:t>
      </w:r>
      <w:r>
        <w:tab/>
        <w:t>Breaches of section 12B</w:t>
      </w:r>
      <w:bookmarkEnd w:id="92"/>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 corporation —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corporation commits an offence and is liable to a level 2 penalty.</w:t>
      </w:r>
    </w:p>
    <w:p>
      <w:pPr>
        <w:pStyle w:val="Subsection"/>
      </w:pPr>
      <w:r>
        <w:tab/>
        <w:t>(4)</w:t>
      </w:r>
      <w:r>
        <w:tab/>
        <w:t xml:space="preserve">A corporation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93" w:name="_Toc274299653"/>
      <w:r>
        <w:rPr>
          <w:rStyle w:val="CharSectno"/>
        </w:rPr>
        <w:t>13</w:t>
      </w:r>
      <w:r>
        <w:rPr>
          <w:snapToGrid w:val="0"/>
        </w:rPr>
        <w:t>.</w:t>
      </w:r>
      <w:r>
        <w:rPr>
          <w:snapToGrid w:val="0"/>
        </w:rPr>
        <w:tab/>
        <w:t>Duties of principal employers and managers</w:t>
      </w:r>
      <w:bookmarkEnd w:id="93"/>
      <w:r>
        <w:rPr>
          <w:snapToGrid w:val="0"/>
        </w:rPr>
        <w:t xml:space="preserve"> </w:t>
      </w:r>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 xml:space="preserve">[Section 13 amended by No. 30 of 1995 s. 57; No. 68 of 2004 s. 24.] </w:t>
      </w:r>
    </w:p>
    <w:p>
      <w:pPr>
        <w:pStyle w:val="Heading5"/>
      </w:pPr>
      <w:bookmarkStart w:id="94" w:name="_Toc274299654"/>
      <w:r>
        <w:rPr>
          <w:rStyle w:val="CharSectno"/>
        </w:rPr>
        <w:t>13A</w:t>
      </w:r>
      <w:r>
        <w:t>.</w:t>
      </w:r>
      <w:r>
        <w:tab/>
        <w:t>Breaches of section 13</w:t>
      </w:r>
      <w:bookmarkEnd w:id="94"/>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95" w:name="_Toc274299655"/>
      <w:r>
        <w:rPr>
          <w:rStyle w:val="CharSectno"/>
        </w:rPr>
        <w:t>14</w:t>
      </w:r>
      <w:r>
        <w:rPr>
          <w:snapToGrid w:val="0"/>
        </w:rPr>
        <w:t>.</w:t>
      </w:r>
      <w:r>
        <w:rPr>
          <w:snapToGrid w:val="0"/>
        </w:rPr>
        <w:tab/>
        <w:t>Duties of manufacturers etc.</w:t>
      </w:r>
      <w:bookmarkEnd w:id="95"/>
      <w:r>
        <w:rPr>
          <w:snapToGrid w:val="0"/>
        </w:rPr>
        <w:t xml:space="preserve"> </w:t>
      </w:r>
    </w:p>
    <w:p>
      <w:pPr>
        <w:pStyle w:val="Subsection"/>
        <w:spacing w:before="200"/>
        <w:rPr>
          <w:snapToGrid w:val="0"/>
        </w:rPr>
      </w:pPr>
      <w:r>
        <w:rPr>
          <w:snapToGrid w:val="0"/>
        </w:rPr>
        <w:tab/>
        <w:t>(1)</w:t>
      </w:r>
      <w:r>
        <w:rPr>
          <w:snapToGrid w:val="0"/>
        </w:rPr>
        <w:tab/>
        <w:t>A person who designs, manufactures, imports or supplies any plant for use at a mine must,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spacing w:before="200"/>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spacing w:before="200"/>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 xml:space="preserve">[Section 14 amended by No. 30 of 1995 s. 58; No. 68 of 2004 s. 26.] </w:t>
      </w:r>
    </w:p>
    <w:p>
      <w:pPr>
        <w:pStyle w:val="Heading5"/>
      </w:pPr>
      <w:bookmarkStart w:id="96" w:name="_Toc274299656"/>
      <w:r>
        <w:rPr>
          <w:rStyle w:val="CharSectno"/>
        </w:rPr>
        <w:t>15</w:t>
      </w:r>
      <w:r>
        <w:t>.</w:t>
      </w:r>
      <w:r>
        <w:tab/>
        <w:t>Breaches of section 14</w:t>
      </w:r>
      <w:bookmarkEnd w:id="96"/>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 inserted by No. 68 of 2004 s. 27.]</w:t>
      </w:r>
    </w:p>
    <w:p>
      <w:pPr>
        <w:pStyle w:val="Heading3"/>
        <w:spacing w:before="300"/>
      </w:pPr>
      <w:bookmarkStart w:id="97" w:name="_Toc192041044"/>
      <w:bookmarkStart w:id="98" w:name="_Toc196130224"/>
      <w:bookmarkStart w:id="99" w:name="_Toc196188189"/>
      <w:bookmarkStart w:id="100" w:name="_Toc196192437"/>
      <w:bookmarkStart w:id="101" w:name="_Toc197244973"/>
      <w:bookmarkStart w:id="102" w:name="_Toc197245966"/>
      <w:bookmarkStart w:id="103" w:name="_Toc197246373"/>
      <w:bookmarkStart w:id="104" w:name="_Toc197746404"/>
      <w:bookmarkStart w:id="105" w:name="_Toc197751693"/>
      <w:bookmarkStart w:id="106" w:name="_Toc197751951"/>
      <w:bookmarkStart w:id="107" w:name="_Toc198006354"/>
      <w:bookmarkStart w:id="108" w:name="_Toc200360098"/>
      <w:bookmarkStart w:id="109" w:name="_Toc232396780"/>
      <w:bookmarkStart w:id="110" w:name="_Toc247954190"/>
      <w:bookmarkStart w:id="111" w:name="_Toc268599320"/>
      <w:bookmarkStart w:id="112" w:name="_Toc272236564"/>
      <w:bookmarkStart w:id="113" w:name="_Toc274299657"/>
      <w:r>
        <w:rPr>
          <w:rStyle w:val="CharDivNo"/>
        </w:rPr>
        <w:t>Division 3</w:t>
      </w:r>
      <w:r>
        <w:t> — </w:t>
      </w:r>
      <w:r>
        <w:rPr>
          <w:rStyle w:val="CharDivText"/>
        </w:rPr>
        <w:t>Certain workplace situations to be treated as employment</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Footnoteheading"/>
      </w:pPr>
      <w:r>
        <w:tab/>
        <w:t xml:space="preserve">[Heading inserted by No. 68 of 2004 s. 10.] </w:t>
      </w:r>
    </w:p>
    <w:p>
      <w:pPr>
        <w:pStyle w:val="Heading5"/>
      </w:pPr>
      <w:bookmarkStart w:id="114" w:name="_Toc274299658"/>
      <w:r>
        <w:rPr>
          <w:rStyle w:val="CharSectno"/>
        </w:rPr>
        <w:t>15A</w:t>
      </w:r>
      <w:r>
        <w:t>.</w:t>
      </w:r>
      <w:r>
        <w:tab/>
        <w:t>Contract work arrangements</w:t>
      </w:r>
      <w:bookmarkEnd w:id="114"/>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 xml:space="preserve">Where this section applies, sections 9 and 9A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keepNext/>
        <w:keepLines/>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keepNext/>
      </w:pPr>
      <w:r>
        <w:tab/>
        <w:t>(3)</w:t>
      </w:r>
      <w:r>
        <w:tab/>
        <w:t xml:space="preserve">Where this section applies, the further duties referred to in subsection (4) apply, and sections 10A and 15E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115" w:name="_Toc274299659"/>
      <w:r>
        <w:rPr>
          <w:rStyle w:val="CharSectno"/>
        </w:rPr>
        <w:t>15B</w:t>
      </w:r>
      <w:r>
        <w:t>.</w:t>
      </w:r>
      <w:r>
        <w:tab/>
        <w:t>Labour arrangements in general</w:t>
      </w:r>
      <w:bookmarkEnd w:id="115"/>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15A nor section 15C applies.</w:t>
      </w:r>
    </w:p>
    <w:p>
      <w:pPr>
        <w:pStyle w:val="Subsection"/>
      </w:pPr>
      <w:r>
        <w:tab/>
        <w:t>(2)</w:t>
      </w:r>
      <w:r>
        <w:tab/>
        <w:t xml:space="preserve">Where this section applies, sections 9 and 9A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 xml:space="preserve">Where this section applies, sections 10 and 10A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An agreement or arrangement is void for the purposes of this section to the extent that it purports to give control to the worker of any matter that —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116" w:name="_Toc274299660"/>
      <w:r>
        <w:rPr>
          <w:rStyle w:val="CharSectno"/>
        </w:rPr>
        <w:t>15C</w:t>
      </w:r>
      <w:r>
        <w:t>.</w:t>
      </w:r>
      <w:r>
        <w:tab/>
        <w:t>Labour hire arrangements</w:t>
      </w:r>
      <w:bookmarkEnd w:id="116"/>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spacing w:before="120"/>
      </w:pPr>
      <w:r>
        <w:tab/>
        <w:t>(4)</w:t>
      </w:r>
      <w:r>
        <w:tab/>
        <w:t xml:space="preserve">Where this section applies, sections 9 and 9A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 xml:space="preserve">in relation to any matter that — </w:t>
      </w:r>
    </w:p>
    <w:p>
      <w:pPr>
        <w:pStyle w:val="Indenta"/>
      </w:pPr>
      <w:r>
        <w:tab/>
        <w:t>(c)</w:t>
      </w:r>
      <w:r>
        <w:tab/>
        <w:t>comes within section 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20"/>
      </w:pPr>
      <w:r>
        <w:tab/>
        <w:t>(5)</w:t>
      </w:r>
      <w:r>
        <w:tab/>
        <w:t xml:space="preserve">Where this section applies, sections 10 and 10A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t>(6)</w:t>
      </w:r>
      <w:r>
        <w:tab/>
        <w:t>This section applies despite anything to the contrary in, or any inconsistent provision of, an agreement, whether made orally or in writing.</w:t>
      </w:r>
    </w:p>
    <w:p>
      <w:pPr>
        <w:pStyle w:val="Subsection"/>
        <w:spacing w:before="120"/>
      </w:pPr>
      <w:r>
        <w:tab/>
        <w:t>(7)</w:t>
      </w:r>
      <w:r>
        <w:tab/>
        <w:t>A purported waiver by a worker of a right that arises directly or indirectly under this section is void.</w:t>
      </w:r>
    </w:p>
    <w:p>
      <w:pPr>
        <w:pStyle w:val="Footnotesection"/>
        <w:spacing w:before="80"/>
        <w:ind w:left="890" w:hanging="890"/>
      </w:pPr>
      <w:r>
        <w:tab/>
        <w:t>[Section 15C inserted by No. 68 of 2004 s. 10; amended by No. 16 of 2008 s. 7.]</w:t>
      </w:r>
    </w:p>
    <w:p>
      <w:pPr>
        <w:pStyle w:val="Heading3"/>
      </w:pPr>
      <w:bookmarkStart w:id="117" w:name="_Toc192041048"/>
      <w:bookmarkStart w:id="118" w:name="_Toc196130228"/>
      <w:bookmarkStart w:id="119" w:name="_Toc196188193"/>
      <w:bookmarkStart w:id="120" w:name="_Toc196192441"/>
      <w:bookmarkStart w:id="121" w:name="_Toc197244977"/>
      <w:bookmarkStart w:id="122" w:name="_Toc197245970"/>
      <w:bookmarkStart w:id="123" w:name="_Toc197246377"/>
      <w:bookmarkStart w:id="124" w:name="_Toc197746408"/>
      <w:bookmarkStart w:id="125" w:name="_Toc197751697"/>
      <w:bookmarkStart w:id="126" w:name="_Toc197751955"/>
      <w:bookmarkStart w:id="127" w:name="_Toc198006358"/>
      <w:bookmarkStart w:id="128" w:name="_Toc200360102"/>
      <w:bookmarkStart w:id="129" w:name="_Toc232396784"/>
      <w:bookmarkStart w:id="130" w:name="_Toc247954194"/>
      <w:bookmarkStart w:id="131" w:name="_Toc268599324"/>
      <w:bookmarkStart w:id="132" w:name="_Toc272236568"/>
      <w:bookmarkStart w:id="133" w:name="_Toc274299661"/>
      <w:r>
        <w:rPr>
          <w:rStyle w:val="CharDivNo"/>
        </w:rPr>
        <w:t>Division 4</w:t>
      </w:r>
      <w:r>
        <w:t> — </w:t>
      </w:r>
      <w:r>
        <w:rPr>
          <w:rStyle w:val="CharDivText"/>
        </w:rPr>
        <w:t>Other duties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Footnoteheading"/>
      </w:pPr>
      <w:r>
        <w:tab/>
        <w:t xml:space="preserve">[Heading inserted by No. 68 of 2004 s. 10.] </w:t>
      </w:r>
    </w:p>
    <w:p>
      <w:pPr>
        <w:pStyle w:val="Heading5"/>
      </w:pPr>
      <w:bookmarkStart w:id="134" w:name="_Toc274299662"/>
      <w:r>
        <w:rPr>
          <w:rStyle w:val="CharSectno"/>
        </w:rPr>
        <w:t>15D</w:t>
      </w:r>
      <w:r>
        <w:t>.</w:t>
      </w:r>
      <w:r>
        <w:tab/>
        <w:t>Duty of employer in respect of certain residential accommodation</w:t>
      </w:r>
      <w:bookmarkEnd w:id="134"/>
    </w:p>
    <w:p>
      <w:pPr>
        <w:pStyle w:val="Subsection"/>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 but</w:t>
      </w:r>
    </w:p>
    <w:p>
      <w:pPr>
        <w:pStyle w:val="Defpara"/>
      </w:pPr>
      <w:r>
        <w:tab/>
        <w:t>(c)</w:t>
      </w:r>
      <w:r>
        <w:tab/>
        <w:t>does not include any premises that come within paragraph (k) of the definition of “mining operations” in section 4(1).</w:t>
      </w:r>
    </w:p>
    <w:p>
      <w:pPr>
        <w:pStyle w:val="Subsection"/>
      </w:pPr>
      <w:r>
        <w:tab/>
        <w:t>(2)</w:t>
      </w:r>
      <w:r>
        <w:tab/>
        <w:t xml:space="preserve">Where — </w:t>
      </w:r>
    </w:p>
    <w:p>
      <w:pPr>
        <w:pStyle w:val="Indenta"/>
      </w:pPr>
      <w:r>
        <w:tab/>
        <w:t>(a)</w:t>
      </w:r>
      <w:r>
        <w:tab/>
        <w:t>an employee who is employed in mining operations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keepLines/>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135" w:name="_Toc274299663"/>
      <w:r>
        <w:rPr>
          <w:rStyle w:val="CharSectno"/>
        </w:rPr>
        <w:t>15E</w:t>
      </w:r>
      <w:r>
        <w:t>.</w:t>
      </w:r>
      <w:r>
        <w:tab/>
        <w:t>Breaches of section 15D</w:t>
      </w:r>
      <w:bookmarkEnd w:id="135"/>
    </w:p>
    <w:p>
      <w:pPr>
        <w:pStyle w:val="Subsection"/>
      </w:pPr>
      <w:r>
        <w:tab/>
        <w:t>(1)</w:t>
      </w:r>
      <w:r>
        <w:tab/>
        <w:t>If an employer contravenes section 15D(2)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136" w:name="_Toc274299664"/>
      <w:r>
        <w:rPr>
          <w:rStyle w:val="CharSectno"/>
        </w:rPr>
        <w:t>15F</w:t>
      </w:r>
      <w:r>
        <w:t>.</w:t>
      </w:r>
      <w:r>
        <w:tab/>
        <w:t>Notification of hazard to the principal employer and manager</w:t>
      </w:r>
      <w:bookmarkEnd w:id="136"/>
    </w:p>
    <w:p>
      <w:pPr>
        <w:pStyle w:val="Subsection"/>
      </w:pPr>
      <w:r>
        <w:tab/>
        <w:t>(1)</w:t>
      </w:r>
      <w:r>
        <w:tab/>
        <w:t xml:space="preserve">In this section — </w:t>
      </w:r>
    </w:p>
    <w:p>
      <w:pPr>
        <w:pStyle w:val="Defstart"/>
      </w:pPr>
      <w:r>
        <w:rPr>
          <w:b/>
        </w:rPr>
        <w:tab/>
      </w:r>
      <w:r>
        <w:rPr>
          <w:rStyle w:val="CharDefText"/>
        </w:rPr>
        <w:t>mine</w:t>
      </w:r>
      <w:r>
        <w:t xml:space="preserve"> includes the means of access to and egress from a mine.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mine becomes of the opinion that — </w:t>
      </w:r>
    </w:p>
    <w:p>
      <w:pPr>
        <w:pStyle w:val="Indenta"/>
      </w:pPr>
      <w:r>
        <w:tab/>
        <w:t>(c)</w:t>
      </w:r>
      <w:r>
        <w:tab/>
        <w:t>a situation exists at the mine that could constitute a hazard to any person;</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137" w:name="_Toc192041052"/>
      <w:bookmarkStart w:id="138" w:name="_Toc196130232"/>
      <w:bookmarkStart w:id="139" w:name="_Toc196188197"/>
      <w:bookmarkStart w:id="140" w:name="_Toc196192445"/>
      <w:bookmarkStart w:id="141" w:name="_Toc197244981"/>
      <w:bookmarkStart w:id="142" w:name="_Toc197245974"/>
      <w:bookmarkStart w:id="143" w:name="_Toc197246381"/>
      <w:bookmarkStart w:id="144" w:name="_Toc197746412"/>
      <w:bookmarkStart w:id="145" w:name="_Toc197751701"/>
      <w:bookmarkStart w:id="146" w:name="_Toc197751959"/>
      <w:bookmarkStart w:id="147" w:name="_Toc198006362"/>
      <w:bookmarkStart w:id="148" w:name="_Toc200360106"/>
      <w:bookmarkStart w:id="149" w:name="_Toc232396788"/>
      <w:bookmarkStart w:id="150" w:name="_Toc247954198"/>
      <w:bookmarkStart w:id="151" w:name="_Toc268599328"/>
      <w:bookmarkStart w:id="152" w:name="_Toc272236572"/>
      <w:bookmarkStart w:id="153" w:name="_Toc274299665"/>
      <w:r>
        <w:rPr>
          <w:rStyle w:val="CharPartNo"/>
        </w:rPr>
        <w:t>Part 3</w:t>
      </w:r>
      <w:r>
        <w:t> — </w:t>
      </w:r>
      <w:r>
        <w:rPr>
          <w:rStyle w:val="CharPartText"/>
        </w:rPr>
        <w:t>Administration of Act</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PartText"/>
        </w:rPr>
        <w:t xml:space="preserve"> </w:t>
      </w:r>
    </w:p>
    <w:p>
      <w:pPr>
        <w:pStyle w:val="Heading3"/>
        <w:rPr>
          <w:snapToGrid w:val="0"/>
        </w:rPr>
      </w:pPr>
      <w:bookmarkStart w:id="154" w:name="_Toc192041053"/>
      <w:bookmarkStart w:id="155" w:name="_Toc196130233"/>
      <w:bookmarkStart w:id="156" w:name="_Toc196188198"/>
      <w:bookmarkStart w:id="157" w:name="_Toc196192446"/>
      <w:bookmarkStart w:id="158" w:name="_Toc197244982"/>
      <w:bookmarkStart w:id="159" w:name="_Toc197245975"/>
      <w:bookmarkStart w:id="160" w:name="_Toc197246382"/>
      <w:bookmarkStart w:id="161" w:name="_Toc197746413"/>
      <w:bookmarkStart w:id="162" w:name="_Toc197751702"/>
      <w:bookmarkStart w:id="163" w:name="_Toc197751960"/>
      <w:bookmarkStart w:id="164" w:name="_Toc198006363"/>
      <w:bookmarkStart w:id="165" w:name="_Toc200360107"/>
      <w:bookmarkStart w:id="166" w:name="_Toc232396789"/>
      <w:bookmarkStart w:id="167" w:name="_Toc247954199"/>
      <w:bookmarkStart w:id="168" w:name="_Toc268599329"/>
      <w:bookmarkStart w:id="169" w:name="_Toc272236573"/>
      <w:bookmarkStart w:id="170" w:name="_Toc274299666"/>
      <w:r>
        <w:rPr>
          <w:rStyle w:val="CharDivNo"/>
        </w:rPr>
        <w:t>Division 1</w:t>
      </w:r>
      <w:r>
        <w:rPr>
          <w:snapToGrid w:val="0"/>
        </w:rPr>
        <w:t> — </w:t>
      </w:r>
      <w:r>
        <w:rPr>
          <w:rStyle w:val="CharDivText"/>
        </w:rPr>
        <w:t>Inspectors of mines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Heading5"/>
        <w:rPr>
          <w:snapToGrid w:val="0"/>
        </w:rPr>
      </w:pPr>
      <w:bookmarkStart w:id="171" w:name="_Toc274299667"/>
      <w:r>
        <w:rPr>
          <w:rStyle w:val="CharSectno"/>
        </w:rPr>
        <w:t>16</w:t>
      </w:r>
      <w:r>
        <w:rPr>
          <w:snapToGrid w:val="0"/>
        </w:rPr>
        <w:t>.</w:t>
      </w:r>
      <w:r>
        <w:rPr>
          <w:snapToGrid w:val="0"/>
        </w:rPr>
        <w:tab/>
        <w:t>State mining engineer and State coal mining engineer</w:t>
      </w:r>
      <w:bookmarkEnd w:id="171"/>
      <w:r>
        <w:rPr>
          <w:snapToGrid w:val="0"/>
        </w:rPr>
        <w:t xml:space="preserve"> </w:t>
      </w:r>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172" w:name="_Toc274299668"/>
      <w:r>
        <w:rPr>
          <w:rStyle w:val="CharSectno"/>
        </w:rPr>
        <w:t>17</w:t>
      </w:r>
      <w:r>
        <w:rPr>
          <w:snapToGrid w:val="0"/>
        </w:rPr>
        <w:t>.</w:t>
      </w:r>
      <w:r>
        <w:rPr>
          <w:snapToGrid w:val="0"/>
        </w:rPr>
        <w:tab/>
        <w:t>Appointment of inspectors of mines</w:t>
      </w:r>
      <w:bookmarkEnd w:id="172"/>
      <w:r>
        <w:rPr>
          <w:snapToGrid w:val="0"/>
        </w:rPr>
        <w:t xml:space="preserve"> </w:t>
      </w:r>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173" w:name="_Toc274299669"/>
      <w:r>
        <w:rPr>
          <w:rStyle w:val="CharSectno"/>
        </w:rPr>
        <w:t>18</w:t>
      </w:r>
      <w:r>
        <w:rPr>
          <w:snapToGrid w:val="0"/>
        </w:rPr>
        <w:t>.</w:t>
      </w:r>
      <w:r>
        <w:rPr>
          <w:snapToGrid w:val="0"/>
        </w:rPr>
        <w:tab/>
        <w:t>District and special inspectors</w:t>
      </w:r>
      <w:bookmarkEnd w:id="173"/>
      <w:r>
        <w:rPr>
          <w:snapToGrid w:val="0"/>
        </w:rPr>
        <w:t xml:space="preserve"> </w:t>
      </w:r>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174" w:name="_Toc274299670"/>
      <w:r>
        <w:rPr>
          <w:rStyle w:val="CharSectno"/>
        </w:rPr>
        <w:t>19</w:t>
      </w:r>
      <w:r>
        <w:rPr>
          <w:snapToGrid w:val="0"/>
        </w:rPr>
        <w:t>.</w:t>
      </w:r>
      <w:r>
        <w:rPr>
          <w:snapToGrid w:val="0"/>
        </w:rPr>
        <w:tab/>
        <w:t>Employee’s inspectors</w:t>
      </w:r>
      <w:bookmarkEnd w:id="174"/>
      <w:r>
        <w:rPr>
          <w:snapToGrid w:val="0"/>
        </w:rPr>
        <w:t xml:space="preserve"> </w:t>
      </w:r>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keepLines/>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 Minister for Public Sector Management.</w:t>
      </w:r>
    </w:p>
    <w:p>
      <w:pPr>
        <w:pStyle w:val="Subsection"/>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rPr>
          <w:snapToGrid w:val="0"/>
        </w:rPr>
      </w:pPr>
      <w:r>
        <w:rPr>
          <w:snapToGrid w:val="0"/>
        </w:rPr>
        <w:tab/>
        <w:t>(5)</w:t>
      </w:r>
      <w:r>
        <w:rPr>
          <w:snapToGrid w:val="0"/>
        </w:rPr>
        <w:tab/>
        <w:t>An employee’s inspector may be removed from office by the Minister on the grounds of misconduct, neglect of duty or incompetence.</w:t>
      </w:r>
    </w:p>
    <w:p>
      <w:pPr>
        <w:pStyle w:val="Heading5"/>
        <w:spacing w:before="240"/>
        <w:rPr>
          <w:snapToGrid w:val="0"/>
        </w:rPr>
      </w:pPr>
      <w:bookmarkStart w:id="175" w:name="_Toc274299671"/>
      <w:r>
        <w:rPr>
          <w:rStyle w:val="CharSectno"/>
        </w:rPr>
        <w:t>20</w:t>
      </w:r>
      <w:r>
        <w:rPr>
          <w:snapToGrid w:val="0"/>
        </w:rPr>
        <w:t>.</w:t>
      </w:r>
      <w:r>
        <w:rPr>
          <w:snapToGrid w:val="0"/>
        </w:rPr>
        <w:tab/>
        <w:t>Assistant inspectors</w:t>
      </w:r>
      <w:bookmarkEnd w:id="175"/>
      <w:r>
        <w:rPr>
          <w:snapToGrid w:val="0"/>
        </w:rPr>
        <w:t xml:space="preserve"> </w:t>
      </w:r>
    </w:p>
    <w:p>
      <w:pPr>
        <w:pStyle w:val="Subsection"/>
        <w:rPr>
          <w:snapToGrid w:val="0"/>
        </w:rPr>
      </w:pPr>
      <w:r>
        <w:rPr>
          <w:snapToGrid w:val="0"/>
        </w:rPr>
        <w:tab/>
        <w:t>(1)</w:t>
      </w:r>
      <w:r>
        <w:rPr>
          <w:snapToGrid w:val="0"/>
        </w:rPr>
        <w:tab/>
        <w:t>The Minister may appoint eligible persons to be assistant inspectors of mines.</w:t>
      </w:r>
    </w:p>
    <w:p>
      <w:pPr>
        <w:pStyle w:val="Subsection"/>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rPr>
          <w:snapToGrid w:val="0"/>
        </w:rPr>
      </w:pPr>
      <w:r>
        <w:rPr>
          <w:snapToGrid w:val="0"/>
        </w:rPr>
        <w:tab/>
        <w:t>(3)</w:t>
      </w:r>
      <w:r>
        <w:rPr>
          <w:snapToGrid w:val="0"/>
        </w:rPr>
        <w:tab/>
        <w:t>An assistant inspector is to be employed on such terms and conditions as are determined by the Minister after consultation with the Minister for Public Sector Management.</w:t>
      </w:r>
    </w:p>
    <w:p>
      <w:pPr>
        <w:pStyle w:val="Heading3"/>
        <w:keepLines/>
        <w:rPr>
          <w:snapToGrid w:val="0"/>
        </w:rPr>
      </w:pPr>
      <w:bookmarkStart w:id="176" w:name="_Toc192041059"/>
      <w:bookmarkStart w:id="177" w:name="_Toc196130239"/>
      <w:bookmarkStart w:id="178" w:name="_Toc196188204"/>
      <w:bookmarkStart w:id="179" w:name="_Toc196192452"/>
      <w:bookmarkStart w:id="180" w:name="_Toc197244988"/>
      <w:bookmarkStart w:id="181" w:name="_Toc197245981"/>
      <w:bookmarkStart w:id="182" w:name="_Toc197246388"/>
      <w:bookmarkStart w:id="183" w:name="_Toc197746419"/>
      <w:bookmarkStart w:id="184" w:name="_Toc197751708"/>
      <w:bookmarkStart w:id="185" w:name="_Toc197751966"/>
      <w:bookmarkStart w:id="186" w:name="_Toc198006369"/>
      <w:bookmarkStart w:id="187" w:name="_Toc200360113"/>
      <w:bookmarkStart w:id="188" w:name="_Toc232396795"/>
      <w:bookmarkStart w:id="189" w:name="_Toc247954205"/>
      <w:bookmarkStart w:id="190" w:name="_Toc268599335"/>
      <w:bookmarkStart w:id="191" w:name="_Toc272236579"/>
      <w:bookmarkStart w:id="192" w:name="_Toc274299672"/>
      <w:r>
        <w:rPr>
          <w:rStyle w:val="CharDivNo"/>
        </w:rPr>
        <w:t>Division 2</w:t>
      </w:r>
      <w:r>
        <w:rPr>
          <w:snapToGrid w:val="0"/>
        </w:rPr>
        <w:t> — </w:t>
      </w:r>
      <w:r>
        <w:rPr>
          <w:rStyle w:val="CharDivText"/>
        </w:rPr>
        <w:t>Inspections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pPr>
      <w:bookmarkStart w:id="193" w:name="_Toc274299673"/>
      <w:r>
        <w:rPr>
          <w:rStyle w:val="CharSectno"/>
        </w:rPr>
        <w:t>20A</w:t>
      </w:r>
      <w:r>
        <w:t>.</w:t>
      </w:r>
      <w:r>
        <w:tab/>
        <w:t>Extended meaning of “employer” and “employee”</w:t>
      </w:r>
      <w:bookmarkEnd w:id="193"/>
    </w:p>
    <w:p>
      <w:pPr>
        <w:pStyle w:val="Subsection"/>
        <w:keepNext/>
        <w:keepLines/>
      </w:pPr>
      <w:r>
        <w:tab/>
      </w:r>
      <w:r>
        <w:tab/>
        <w:t xml:space="preserve">In this Division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ind w:left="890" w:hanging="890"/>
      </w:pPr>
      <w:r>
        <w:tab/>
        <w:t>[Section 20A inserted by No. 68 of 2004 s. 11.]</w:t>
      </w:r>
    </w:p>
    <w:p>
      <w:pPr>
        <w:pStyle w:val="Heading5"/>
        <w:rPr>
          <w:snapToGrid w:val="0"/>
        </w:rPr>
      </w:pPr>
      <w:bookmarkStart w:id="194" w:name="_Toc274299674"/>
      <w:r>
        <w:rPr>
          <w:rStyle w:val="CharSectno"/>
        </w:rPr>
        <w:t>21</w:t>
      </w:r>
      <w:r>
        <w:rPr>
          <w:snapToGrid w:val="0"/>
        </w:rPr>
        <w:t>.</w:t>
      </w:r>
      <w:r>
        <w:rPr>
          <w:snapToGrid w:val="0"/>
        </w:rPr>
        <w:tab/>
        <w:t>Powers of inspectors</w:t>
      </w:r>
      <w:bookmarkEnd w:id="194"/>
      <w:r>
        <w:rPr>
          <w:snapToGrid w:val="0"/>
        </w:rPr>
        <w:t xml:space="preserve"> </w:t>
      </w:r>
    </w:p>
    <w:p>
      <w:pPr>
        <w:pStyle w:val="Subsection"/>
        <w:rPr>
          <w:snapToGrid w:val="0"/>
        </w:rPr>
      </w:pPr>
      <w:r>
        <w:rPr>
          <w:snapToGrid w:val="0"/>
        </w:rPr>
        <w:tab/>
        <w:t>(1)</w:t>
      </w:r>
      <w:r>
        <w:rPr>
          <w:snapToGrid w:val="0"/>
        </w:rPr>
        <w:tab/>
        <w:t>A district inspector or special inspector may, for the purposes of this Act —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rPr>
          <w:snapToGrid w:val="0"/>
        </w:rPr>
      </w:pPr>
      <w:r>
        <w:rPr>
          <w:snapToGrid w:val="0"/>
        </w:rPr>
        <w:tab/>
        <w:t>(h)</w:t>
      </w:r>
      <w:r>
        <w:rPr>
          <w:snapToGrid w:val="0"/>
        </w:rPr>
        <w:tab/>
        <w:t>require that the mine, or any part of it, be left undisturbed for as long as is specified in the requirement;</w:t>
      </w:r>
    </w:p>
    <w:p>
      <w:pPr>
        <w:pStyle w:val="Indenta"/>
      </w:pPr>
      <w:r>
        <w:tab/>
        <w:t>(i)</w:t>
      </w:r>
      <w:r>
        <w:tab/>
        <w:t xml:space="preserve">in accordance with subsections (1a) and (1b), interview any person who the district inspector or special inspector (the </w:t>
      </w:r>
      <w:r>
        <w:rPr>
          <w:rStyle w:val="CharDefText"/>
        </w:rPr>
        <w:t>inspector</w:t>
      </w:r>
      <w:r>
        <w:t xml:space="preserve">) has reasonable grounds to believe — </w:t>
      </w:r>
    </w:p>
    <w:p>
      <w:pPr>
        <w:pStyle w:val="Indenti"/>
      </w:pPr>
      <w:r>
        <w:tab/>
        <w:t>(i)</w:t>
      </w:r>
      <w:r>
        <w:tab/>
        <w:t xml:space="preserve">is, or was at any time during the preceding 3 years —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 xml:space="preserve">An interview referred to in subsection (1)(i)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 xml:space="preserve">Subsection (1a)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rPr>
      </w:pPr>
      <w:r>
        <w:rPr>
          <w:snapToGrid w:val="0"/>
        </w:rPr>
        <w:tab/>
        <w:t>(3)</w:t>
      </w:r>
      <w:r>
        <w:rPr>
          <w:snapToGrid w:val="0"/>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pPr>
      <w:r>
        <w:tab/>
        <w:t>(5a)</w:t>
      </w:r>
      <w:r>
        <w:tab/>
        <w:t xml:space="preserve">In subsection (5) — </w:t>
      </w:r>
    </w:p>
    <w:p>
      <w:pPr>
        <w:pStyle w:val="Defstart"/>
      </w:pPr>
      <w:r>
        <w:rPr>
          <w:b/>
        </w:rPr>
        <w:tab/>
      </w:r>
      <w:r>
        <w:rPr>
          <w:rStyle w:val="CharDefText"/>
        </w:rPr>
        <w:t>the 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 xml:space="preserve">For the purposes of this section a mine is to be taken to include —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ind w:left="890" w:hanging="890"/>
      </w:pPr>
      <w:r>
        <w:tab/>
        <w:t xml:space="preserve">[Section 21 amended by No. 30 of 1995 s. 76(4); No. 68 of 2004 s. 12, 50 and 90.] </w:t>
      </w:r>
    </w:p>
    <w:p>
      <w:pPr>
        <w:pStyle w:val="Ednotesection"/>
        <w:ind w:left="890" w:hanging="890"/>
      </w:pPr>
      <w:r>
        <w:t>[</w:t>
      </w:r>
      <w:r>
        <w:rPr>
          <w:b/>
        </w:rPr>
        <w:t>22.</w:t>
      </w:r>
      <w:r>
        <w:tab/>
        <w:t>Deleted by No. 68 of 2004 s. 74.]</w:t>
      </w:r>
    </w:p>
    <w:p>
      <w:pPr>
        <w:pStyle w:val="Heading5"/>
        <w:rPr>
          <w:snapToGrid w:val="0"/>
        </w:rPr>
      </w:pPr>
      <w:bookmarkStart w:id="195" w:name="_Toc274299675"/>
      <w:r>
        <w:rPr>
          <w:rStyle w:val="CharSectno"/>
        </w:rPr>
        <w:t>23</w:t>
      </w:r>
      <w:r>
        <w:rPr>
          <w:snapToGrid w:val="0"/>
        </w:rPr>
        <w:t>.</w:t>
      </w:r>
      <w:r>
        <w:rPr>
          <w:snapToGrid w:val="0"/>
        </w:rPr>
        <w:tab/>
        <w:t>Notice of result of inspection</w:t>
      </w:r>
      <w:bookmarkEnd w:id="195"/>
      <w:r>
        <w:rPr>
          <w:snapToGrid w:val="0"/>
        </w:rPr>
        <w:t xml:space="preserve"> </w:t>
      </w:r>
    </w:p>
    <w:p>
      <w:pPr>
        <w:pStyle w:val="Subsection"/>
        <w:rPr>
          <w:snapToGrid w:val="0"/>
        </w:rPr>
      </w:pPr>
      <w:r>
        <w:rPr>
          <w:snapToGrid w:val="0"/>
        </w:rPr>
        <w:tab/>
        <w:t>(1)</w:t>
      </w:r>
      <w:r>
        <w:rPr>
          <w:snapToGrid w:val="0"/>
        </w:rPr>
        <w:tab/>
        <w:t>After inspecting a mine, an inspector or assistant inspector must —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pPr>
      <w:r>
        <w:tab/>
        <w:t xml:space="preserve">[Section 23 amended by No. 30 of 1995 s. 76(4); No. 68 of 2004 s. 75.] </w:t>
      </w:r>
    </w:p>
    <w:p>
      <w:pPr>
        <w:pStyle w:val="Heading5"/>
        <w:keepNext w:val="0"/>
        <w:keepLines w:val="0"/>
        <w:rPr>
          <w:snapToGrid w:val="0"/>
        </w:rPr>
      </w:pPr>
      <w:bookmarkStart w:id="196" w:name="_Toc274299676"/>
      <w:r>
        <w:rPr>
          <w:rStyle w:val="CharSectno"/>
        </w:rPr>
        <w:t>24</w:t>
      </w:r>
      <w:r>
        <w:rPr>
          <w:snapToGrid w:val="0"/>
        </w:rPr>
        <w:t>.</w:t>
      </w:r>
      <w:r>
        <w:rPr>
          <w:snapToGrid w:val="0"/>
        </w:rPr>
        <w:tab/>
        <w:t>Inspector must inquire into complaints</w:t>
      </w:r>
      <w:bookmarkEnd w:id="196"/>
      <w:r>
        <w:rPr>
          <w:snapToGrid w:val="0"/>
        </w:rPr>
        <w:t xml:space="preserve"> </w:t>
      </w:r>
    </w:p>
    <w:p>
      <w:pPr>
        <w:pStyle w:val="Subsection"/>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197" w:name="_Toc274299677"/>
      <w:r>
        <w:rPr>
          <w:rStyle w:val="CharSectno"/>
        </w:rPr>
        <w:t>25</w:t>
      </w:r>
      <w:r>
        <w:rPr>
          <w:snapToGrid w:val="0"/>
        </w:rPr>
        <w:t>.</w:t>
      </w:r>
      <w:r>
        <w:rPr>
          <w:snapToGrid w:val="0"/>
        </w:rPr>
        <w:tab/>
        <w:t>Liaison between employee’s inspectors and safety and health representatives</w:t>
      </w:r>
      <w:bookmarkEnd w:id="197"/>
      <w:r>
        <w:rPr>
          <w:snapToGrid w:val="0"/>
        </w:rPr>
        <w:t xml:space="preserve"> </w:t>
      </w:r>
    </w:p>
    <w:p>
      <w:pPr>
        <w:pStyle w:val="Subsection"/>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pPr>
      <w:r>
        <w:tab/>
        <w:t>(1a)</w:t>
      </w:r>
      <w:r>
        <w:tab/>
        <w:t xml:space="preserve">In subsection (1) — </w:t>
      </w:r>
    </w:p>
    <w:p>
      <w:pPr>
        <w:pStyle w:val="Defstart"/>
      </w:pPr>
      <w:r>
        <w:rPr>
          <w:b/>
        </w:rPr>
        <w:tab/>
      </w:r>
      <w:r>
        <w:rPr>
          <w:rStyle w:val="CharDefText"/>
        </w:rPr>
        <w:t>the safety and health representative</w:t>
      </w:r>
      <w:r>
        <w:rPr>
          <w:b/>
        </w:rPr>
        <w:t> </w:t>
      </w:r>
      <w:r>
        <w:t xml:space="preserve">— </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 xml:space="preserve">[Section 25 amended by No. 30 of 1995 s. 76(2) and (4); No. 68 of 2004 s. 51.] </w:t>
      </w:r>
    </w:p>
    <w:p>
      <w:pPr>
        <w:pStyle w:val="Heading5"/>
        <w:rPr>
          <w:snapToGrid w:val="0"/>
        </w:rPr>
      </w:pPr>
      <w:bookmarkStart w:id="198" w:name="_Toc274299678"/>
      <w:r>
        <w:rPr>
          <w:rStyle w:val="CharSectno"/>
        </w:rPr>
        <w:t>26</w:t>
      </w:r>
      <w:r>
        <w:rPr>
          <w:snapToGrid w:val="0"/>
        </w:rPr>
        <w:t>.</w:t>
      </w:r>
      <w:r>
        <w:rPr>
          <w:snapToGrid w:val="0"/>
        </w:rPr>
        <w:tab/>
        <w:t>Use and misuse of information by inspectors and assistant inspectors</w:t>
      </w:r>
      <w:bookmarkEnd w:id="198"/>
      <w:r>
        <w:rPr>
          <w:snapToGrid w:val="0"/>
        </w:rPr>
        <w:t xml:space="preserve"> </w:t>
      </w:r>
    </w:p>
    <w:p>
      <w:pPr>
        <w:pStyle w:val="Subsection"/>
        <w:rPr>
          <w:snapToGrid w:val="0"/>
        </w:rPr>
      </w:pPr>
      <w:r>
        <w:rPr>
          <w:snapToGrid w:val="0"/>
        </w:rPr>
        <w:tab/>
        <w:t>(1)</w:t>
      </w:r>
      <w:r>
        <w:rPr>
          <w:snapToGrid w:val="0"/>
        </w:rPr>
        <w:tab/>
        <w:t>A person who is, or formerly was, an inspector, an assistant inspector or a person assisting such an inspector must not —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w:t>
      </w:r>
    </w:p>
    <w:p>
      <w:pPr>
        <w:pStyle w:val="Heading5"/>
        <w:rPr>
          <w:snapToGrid w:val="0"/>
        </w:rPr>
      </w:pPr>
      <w:bookmarkStart w:id="199" w:name="_Toc274299679"/>
      <w:r>
        <w:rPr>
          <w:rStyle w:val="CharSectno"/>
        </w:rPr>
        <w:t>27</w:t>
      </w:r>
      <w:r>
        <w:rPr>
          <w:snapToGrid w:val="0"/>
        </w:rPr>
        <w:t>.</w:t>
      </w:r>
      <w:r>
        <w:rPr>
          <w:snapToGrid w:val="0"/>
        </w:rPr>
        <w:tab/>
        <w:t>Certificates of appointment</w:t>
      </w:r>
      <w:bookmarkEnd w:id="199"/>
      <w:r>
        <w:rPr>
          <w:snapToGrid w:val="0"/>
        </w:rPr>
        <w:t xml:space="preserve"> </w:t>
      </w:r>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200" w:name="_Toc274299680"/>
      <w:r>
        <w:rPr>
          <w:rStyle w:val="CharSectno"/>
        </w:rPr>
        <w:t>28</w:t>
      </w:r>
      <w:r>
        <w:rPr>
          <w:snapToGrid w:val="0"/>
        </w:rPr>
        <w:t>.</w:t>
      </w:r>
      <w:r>
        <w:rPr>
          <w:snapToGrid w:val="0"/>
        </w:rPr>
        <w:tab/>
        <w:t>Provision of facilities for inspection</w:t>
      </w:r>
      <w:bookmarkEnd w:id="200"/>
      <w:r>
        <w:rPr>
          <w:snapToGrid w:val="0"/>
        </w:rPr>
        <w:t xml:space="preserve"> </w:t>
      </w:r>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201" w:name="_Toc274299681"/>
      <w:r>
        <w:rPr>
          <w:rStyle w:val="CharSectno"/>
        </w:rPr>
        <w:t>29</w:t>
      </w:r>
      <w:r>
        <w:rPr>
          <w:snapToGrid w:val="0"/>
        </w:rPr>
        <w:t>.</w:t>
      </w:r>
      <w:r>
        <w:rPr>
          <w:snapToGrid w:val="0"/>
        </w:rPr>
        <w:tab/>
        <w:t>Obstruction</w:t>
      </w:r>
      <w:bookmarkEnd w:id="201"/>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pPr>
      <w:bookmarkStart w:id="202" w:name="_Toc192041069"/>
      <w:bookmarkStart w:id="203" w:name="_Toc196130249"/>
      <w:bookmarkStart w:id="204" w:name="_Toc196188214"/>
      <w:bookmarkStart w:id="205" w:name="_Toc196192462"/>
      <w:bookmarkStart w:id="206" w:name="_Toc197244998"/>
      <w:bookmarkStart w:id="207" w:name="_Toc197245991"/>
      <w:bookmarkStart w:id="208" w:name="_Toc197246398"/>
      <w:bookmarkStart w:id="209" w:name="_Toc197746429"/>
      <w:bookmarkStart w:id="210" w:name="_Toc197751718"/>
      <w:bookmarkStart w:id="211" w:name="_Toc197751976"/>
      <w:bookmarkStart w:id="212" w:name="_Toc198006379"/>
      <w:bookmarkStart w:id="213" w:name="_Toc200360123"/>
      <w:bookmarkStart w:id="214" w:name="_Toc232396805"/>
      <w:bookmarkStart w:id="215" w:name="_Toc247954215"/>
      <w:bookmarkStart w:id="216" w:name="_Toc268599345"/>
      <w:bookmarkStart w:id="217" w:name="_Toc272236589"/>
      <w:bookmarkStart w:id="218" w:name="_Toc274299682"/>
      <w:r>
        <w:rPr>
          <w:rStyle w:val="CharDivNo"/>
        </w:rPr>
        <w:t>Division 3</w:t>
      </w:r>
      <w:r>
        <w:t> — </w:t>
      </w:r>
      <w:r>
        <w:rPr>
          <w:rStyle w:val="CharDivText"/>
        </w:rPr>
        <w:t>Improvement notices and prohibition notices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Footnoteheading"/>
      </w:pPr>
      <w:r>
        <w:tab/>
        <w:t xml:space="preserve">[Heading inserted by No. 68 of 2004 s. 76.] </w:t>
      </w:r>
    </w:p>
    <w:p>
      <w:pPr>
        <w:pStyle w:val="Heading4"/>
      </w:pPr>
      <w:bookmarkStart w:id="219" w:name="_Toc192041070"/>
      <w:bookmarkStart w:id="220" w:name="_Toc196130250"/>
      <w:bookmarkStart w:id="221" w:name="_Toc196188215"/>
      <w:bookmarkStart w:id="222" w:name="_Toc196192463"/>
      <w:bookmarkStart w:id="223" w:name="_Toc197244999"/>
      <w:bookmarkStart w:id="224" w:name="_Toc197245992"/>
      <w:bookmarkStart w:id="225" w:name="_Toc197246399"/>
      <w:bookmarkStart w:id="226" w:name="_Toc197746430"/>
      <w:bookmarkStart w:id="227" w:name="_Toc197751719"/>
      <w:bookmarkStart w:id="228" w:name="_Toc197751977"/>
      <w:bookmarkStart w:id="229" w:name="_Toc198006380"/>
      <w:bookmarkStart w:id="230" w:name="_Toc200360124"/>
      <w:bookmarkStart w:id="231" w:name="_Toc232396806"/>
      <w:bookmarkStart w:id="232" w:name="_Toc247954216"/>
      <w:bookmarkStart w:id="233" w:name="_Toc268599346"/>
      <w:bookmarkStart w:id="234" w:name="_Toc272236590"/>
      <w:bookmarkStart w:id="235" w:name="_Toc274299683"/>
      <w:r>
        <w:t>Subdivision 1 — Improvement notices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Footnoteheading"/>
      </w:pPr>
      <w:r>
        <w:tab/>
        <w:t xml:space="preserve">[Heading inserted by No. 68 of 2004 s. 76.] </w:t>
      </w:r>
    </w:p>
    <w:p>
      <w:pPr>
        <w:pStyle w:val="Heading5"/>
      </w:pPr>
      <w:bookmarkStart w:id="236" w:name="_Toc274299684"/>
      <w:r>
        <w:rPr>
          <w:rStyle w:val="CharSectno"/>
        </w:rPr>
        <w:t>30</w:t>
      </w:r>
      <w:r>
        <w:t>.</w:t>
      </w:r>
      <w:r>
        <w:tab/>
        <w:t>Issue of improvement notice</w:t>
      </w:r>
      <w:bookmarkEnd w:id="236"/>
    </w:p>
    <w:p>
      <w:pPr>
        <w:pStyle w:val="Subsection"/>
      </w:pPr>
      <w:r>
        <w:tab/>
        <w:t>(1)</w:t>
      </w:r>
      <w:r>
        <w:tab/>
        <w:t xml:space="preserve">Subsection (2) applies where an inspector or an assistant inspector is of the opinion that a person —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pPr>
      <w:r>
        <w:tab/>
        <w:t>(2)</w:t>
      </w:r>
      <w:r>
        <w:tab/>
        <w:t xml:space="preserve">The inspector or assistant inspector may issue to the person an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The issue of an improvement notice in respect of a contravention at a mine is to be notified as follows —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pPr>
      <w:r>
        <w:tab/>
        <w:t>(4)</w:t>
      </w:r>
      <w:r>
        <w:tab/>
        <w:t>A manager who fails to comply with subsection (3)(b) or (c) commits an offence.</w:t>
      </w:r>
    </w:p>
    <w:p>
      <w:pPr>
        <w:pStyle w:val="Footnotesection"/>
      </w:pPr>
      <w:r>
        <w:tab/>
        <w:t>[Section 30 inserted by No. 68 of 2004 s. 76.]</w:t>
      </w:r>
    </w:p>
    <w:p>
      <w:pPr>
        <w:pStyle w:val="Heading5"/>
      </w:pPr>
      <w:bookmarkStart w:id="237" w:name="_Toc274299685"/>
      <w:r>
        <w:rPr>
          <w:rStyle w:val="CharSectno"/>
        </w:rPr>
        <w:t>31</w:t>
      </w:r>
      <w:r>
        <w:t>.</w:t>
      </w:r>
      <w:r>
        <w:tab/>
        <w:t>Contents of improvement notice</w:t>
      </w:r>
      <w:bookmarkEnd w:id="237"/>
    </w:p>
    <w:p>
      <w:pPr>
        <w:pStyle w:val="Subsection"/>
      </w:pPr>
      <w:r>
        <w:tab/>
      </w:r>
      <w:r>
        <w:tab/>
        <w:t xml:space="preserve">An improvement notice must — </w:t>
      </w:r>
    </w:p>
    <w:p>
      <w:pPr>
        <w:pStyle w:val="Indenta"/>
      </w:pPr>
      <w:r>
        <w:tab/>
        <w:t>(a)</w:t>
      </w:r>
      <w:r>
        <w:tab/>
        <w:t>state the opinion of the inspector or assistant inspector in terms of section 30(1)(a) or (b), as the case may be;</w:t>
      </w:r>
    </w:p>
    <w:p>
      <w:pPr>
        <w:pStyle w:val="Indenta"/>
      </w:pPr>
      <w:r>
        <w:tab/>
        <w:t>(b)</w:t>
      </w:r>
      <w:r>
        <w:tab/>
        <w:t>state reasonable grounds for that opinion;</w:t>
      </w:r>
    </w:p>
    <w:p>
      <w:pPr>
        <w:pStyle w:val="Indenta"/>
      </w:pPr>
      <w:r>
        <w:tab/>
        <w:t>(c)</w:t>
      </w:r>
      <w:r>
        <w:tab/>
        <w:t>specify the provision of this Act in respect of which that opinion is held;</w:t>
      </w:r>
    </w:p>
    <w:p>
      <w:pPr>
        <w:pStyle w:val="Indenta"/>
      </w:pPr>
      <w:r>
        <w:tab/>
        <w:t>(d)</w:t>
      </w:r>
      <w:r>
        <w:tab/>
        <w:t xml:space="preserve">state the time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238" w:name="_Toc274299686"/>
      <w:r>
        <w:rPr>
          <w:rStyle w:val="CharSectno"/>
        </w:rPr>
        <w:t>31A</w:t>
      </w:r>
      <w:r>
        <w:t>.</w:t>
      </w:r>
      <w:r>
        <w:tab/>
        <w:t>Failure to comply with improvement notice</w:t>
      </w:r>
      <w:bookmarkEnd w:id="238"/>
    </w:p>
    <w:p>
      <w:pPr>
        <w:pStyle w:val="Subsection"/>
      </w:pPr>
      <w:r>
        <w:tab/>
        <w:t>(1)</w:t>
      </w:r>
      <w:r>
        <w:tab/>
        <w:t xml:space="preserve">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 xml:space="preserve">Subsection (1) has effect subject to — </w:t>
      </w:r>
    </w:p>
    <w:p>
      <w:pPr>
        <w:pStyle w:val="Indenta"/>
      </w:pPr>
      <w:r>
        <w:tab/>
        <w:t>(a)</w:t>
      </w:r>
      <w:r>
        <w:tab/>
        <w:t xml:space="preserve">the provisions in sections 31B and 31BC for the suspension of notices; and </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239" w:name="_Toc274299687"/>
      <w:r>
        <w:rPr>
          <w:rStyle w:val="CharSectno"/>
        </w:rPr>
        <w:t>31AA</w:t>
      </w:r>
      <w:r>
        <w:t>.</w:t>
      </w:r>
      <w:r>
        <w:tab/>
        <w:t>Notification of compliance</w:t>
      </w:r>
      <w:bookmarkEnd w:id="239"/>
    </w:p>
    <w:p>
      <w:pPr>
        <w:pStyle w:val="Subsection"/>
      </w:pPr>
      <w:r>
        <w:tab/>
        <w:t>(1)</w:t>
      </w:r>
      <w:r>
        <w:tab/>
        <w:t xml:space="preserve">As soon as is practicable after the requirements of an improvement notice in relation to a mine have been complied with, the manager of the mine must give written notice of the compliance —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240" w:name="_Toc192041075"/>
      <w:bookmarkStart w:id="241" w:name="_Toc196130255"/>
      <w:bookmarkStart w:id="242" w:name="_Toc196188220"/>
      <w:bookmarkStart w:id="243" w:name="_Toc196192468"/>
      <w:bookmarkStart w:id="244" w:name="_Toc197245004"/>
      <w:bookmarkStart w:id="245" w:name="_Toc197245997"/>
      <w:bookmarkStart w:id="246" w:name="_Toc197246404"/>
      <w:bookmarkStart w:id="247" w:name="_Toc197746435"/>
      <w:bookmarkStart w:id="248" w:name="_Toc197751724"/>
      <w:bookmarkStart w:id="249" w:name="_Toc197751982"/>
      <w:bookmarkStart w:id="250" w:name="_Toc198006385"/>
      <w:bookmarkStart w:id="251" w:name="_Toc200360129"/>
      <w:bookmarkStart w:id="252" w:name="_Toc232396811"/>
      <w:bookmarkStart w:id="253" w:name="_Toc247954221"/>
      <w:bookmarkStart w:id="254" w:name="_Toc268599351"/>
      <w:bookmarkStart w:id="255" w:name="_Toc272236595"/>
      <w:bookmarkStart w:id="256" w:name="_Toc274299688"/>
      <w:r>
        <w:t>Subdivision 2 — Prohibition notices in respect of mines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pPr>
      <w:r>
        <w:tab/>
        <w:t xml:space="preserve">[Heading inserted by No. 68 of 2004 s. 76.] </w:t>
      </w:r>
    </w:p>
    <w:p>
      <w:pPr>
        <w:pStyle w:val="Heading5"/>
      </w:pPr>
      <w:bookmarkStart w:id="257" w:name="_Toc274299689"/>
      <w:r>
        <w:rPr>
          <w:rStyle w:val="CharSectno"/>
        </w:rPr>
        <w:t>31AB</w:t>
      </w:r>
      <w:r>
        <w:t>.</w:t>
      </w:r>
      <w:r>
        <w:tab/>
        <w:t>Grounds for prohibition notice</w:t>
      </w:r>
      <w:bookmarkEnd w:id="257"/>
    </w:p>
    <w:p>
      <w:pPr>
        <w:pStyle w:val="Subsection"/>
      </w:pPr>
      <w:r>
        <w:tab/>
      </w:r>
      <w:r>
        <w:tab/>
        <w:t xml:space="preserve">This Subdivision applies where an inspector or an assistant inspector is of the opinion that — </w:t>
      </w:r>
    </w:p>
    <w:p>
      <w:pPr>
        <w:pStyle w:val="Indenta"/>
      </w:pPr>
      <w:r>
        <w:tab/>
        <w:t>(a)</w:t>
      </w:r>
      <w:r>
        <w:tab/>
        <w:t xml:space="preserve">a contravention of any provision of this Act — </w:t>
      </w:r>
    </w:p>
    <w:p>
      <w:pPr>
        <w:pStyle w:val="Indenti"/>
      </w:pPr>
      <w:r>
        <w:tab/>
        <w:t>(i)</w:t>
      </w:r>
      <w:r>
        <w:tab/>
        <w:t>is occurring at a mine; or</w:t>
      </w:r>
    </w:p>
    <w:p>
      <w:pPr>
        <w:pStyle w:val="Indenti"/>
      </w:pPr>
      <w:r>
        <w:tab/>
        <w:t>(ii)</w:t>
      </w:r>
      <w:r>
        <w:tab/>
        <w:t>has occurred at a mine in circumstances that make it likely that the contravention will continue or be repeated,</w:t>
      </w:r>
    </w:p>
    <w:p>
      <w:pPr>
        <w:pStyle w:val="Indenta"/>
      </w:pPr>
      <w:r>
        <w:tab/>
      </w:r>
      <w:r>
        <w:tab/>
        <w:t>and any matter or activity occasioning the contravention constitutes or is likely to constitute a hazard to any person; or</w:t>
      </w:r>
    </w:p>
    <w:p>
      <w:pPr>
        <w:pStyle w:val="Indenta"/>
        <w:rPr>
          <w:snapToGrid w:val="0"/>
        </w:rPr>
      </w:pPr>
      <w:r>
        <w:tab/>
        <w:t>(b)</w:t>
      </w:r>
      <w:r>
        <w:tab/>
        <w:t>a</w:t>
      </w:r>
      <w:r>
        <w:rPr>
          <w:snapToGrid w:val="0"/>
        </w:rPr>
        <w:t xml:space="preserve"> </w:t>
      </w:r>
      <w:r>
        <w:t>mine</w:t>
      </w:r>
      <w:r>
        <w:rPr>
          <w:snapToGrid w:val="0"/>
        </w:rPr>
        <w:t xml:space="preserve">, or any plant, mining practice or hazardous substance at or related to a mine — </w:t>
      </w:r>
    </w:p>
    <w:p>
      <w:pPr>
        <w:pStyle w:val="Indenti"/>
        <w:rPr>
          <w:snapToGrid w:val="0"/>
        </w:rPr>
      </w:pPr>
      <w:r>
        <w:rPr>
          <w:snapToGrid w:val="0"/>
        </w:rPr>
        <w:tab/>
        <w:t>(i)</w:t>
      </w:r>
      <w:r>
        <w:rPr>
          <w:snapToGrid w:val="0"/>
        </w:rPr>
        <w:tab/>
        <w:t xml:space="preserve">is dangerous; or </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pPr>
      <w:r>
        <w:tab/>
        <w:t>[Section 31AB inserted by No. 68 of 2004 s. 76.]</w:t>
      </w:r>
    </w:p>
    <w:p>
      <w:pPr>
        <w:pStyle w:val="Heading5"/>
      </w:pPr>
      <w:bookmarkStart w:id="258" w:name="_Toc274299690"/>
      <w:r>
        <w:rPr>
          <w:rStyle w:val="CharSectno"/>
        </w:rPr>
        <w:t>31AC</w:t>
      </w:r>
      <w:r>
        <w:t>.</w:t>
      </w:r>
      <w:r>
        <w:tab/>
        <w:t>Issue of prohibition notice for hazard arising from breach of Act</w:t>
      </w:r>
      <w:bookmarkEnd w:id="258"/>
    </w:p>
    <w:p>
      <w:pPr>
        <w:pStyle w:val="Subsection"/>
        <w:spacing w:before="200"/>
      </w:pPr>
      <w:r>
        <w:tab/>
        <w:t>(1)</w:t>
      </w:r>
      <w:r>
        <w:tab/>
        <w:t xml:space="preserve">Where section 31AB(a) applies, the inspector or assistant inspector may issue a prohibition notice — </w:t>
      </w:r>
    </w:p>
    <w:p>
      <w:pPr>
        <w:pStyle w:val="Indenta"/>
      </w:pPr>
      <w:r>
        <w:tab/>
        <w:t>(a)</w:t>
      </w:r>
      <w:r>
        <w:tab/>
        <w:t xml:space="preserve">to the person who — </w:t>
      </w:r>
    </w:p>
    <w:p>
      <w:pPr>
        <w:pStyle w:val="Indenti"/>
      </w:pPr>
      <w:r>
        <w:tab/>
        <w:t>(i)</w:t>
      </w:r>
      <w:r>
        <w:tab/>
        <w:t xml:space="preserve">is carrying on the activity or is in control of the matter or activity; or </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spacing w:before="200"/>
      </w:pPr>
      <w:r>
        <w:tab/>
        <w:t>(2)</w:t>
      </w:r>
      <w:r>
        <w:tab/>
        <w:t xml:space="preserve">The notice is to —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 </w:t>
      </w:r>
    </w:p>
    <w:p>
      <w:pPr>
        <w:pStyle w:val="Footnotesection"/>
      </w:pPr>
      <w:r>
        <w:tab/>
        <w:t>[Section 31AC inserted by No. 68 of 2004 s. 76.]</w:t>
      </w:r>
    </w:p>
    <w:p>
      <w:pPr>
        <w:pStyle w:val="Heading5"/>
        <w:spacing w:before="240"/>
      </w:pPr>
      <w:bookmarkStart w:id="259" w:name="_Toc274299691"/>
      <w:r>
        <w:rPr>
          <w:rStyle w:val="CharSectno"/>
        </w:rPr>
        <w:t>31AD</w:t>
      </w:r>
      <w:r>
        <w:t>.</w:t>
      </w:r>
      <w:r>
        <w:tab/>
        <w:t>Issue of prohibition notice for other hazards</w:t>
      </w:r>
      <w:bookmarkEnd w:id="259"/>
    </w:p>
    <w:p>
      <w:pPr>
        <w:pStyle w:val="Subsection"/>
        <w:spacing w:before="200"/>
      </w:pPr>
      <w:r>
        <w:tab/>
        <w:t>(1)</w:t>
      </w:r>
      <w:r>
        <w:tab/>
        <w:t xml:space="preserve">Where section 31AB(b) applies, the inspector or assistant inspector may issue a prohibition notice —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spacing w:before="200"/>
      </w:pPr>
      <w:r>
        <w:tab/>
        <w:t>(2)</w:t>
      </w:r>
      <w:r>
        <w:tab/>
        <w:t xml:space="preserve">The notice is to —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 </w:t>
      </w:r>
    </w:p>
    <w:p>
      <w:pPr>
        <w:pStyle w:val="Footnotesection"/>
      </w:pPr>
      <w:r>
        <w:tab/>
        <w:t>[Section 31AD inserted by No. 68 of 2004 s. 76.]</w:t>
      </w:r>
    </w:p>
    <w:p>
      <w:pPr>
        <w:pStyle w:val="Heading5"/>
      </w:pPr>
      <w:bookmarkStart w:id="260" w:name="_Toc274299692"/>
      <w:r>
        <w:rPr>
          <w:rStyle w:val="CharSectno"/>
        </w:rPr>
        <w:t>31AE</w:t>
      </w:r>
      <w:r>
        <w:t>.</w:t>
      </w:r>
      <w:r>
        <w:tab/>
        <w:t>Prohibition of mining operations</w:t>
      </w:r>
      <w:bookmarkEnd w:id="260"/>
    </w:p>
    <w:p>
      <w:pPr>
        <w:pStyle w:val="Subsection"/>
      </w:pPr>
      <w:r>
        <w:tab/>
      </w:r>
      <w:r>
        <w:tab/>
        <w:t xml:space="preserve">In exercise of the powers conferred by sections 31AC(2)(b) and 31AD(2)(b) an inspector or assistant inspector may require the principal employer or the manager — </w:t>
      </w:r>
    </w:p>
    <w:p>
      <w:pPr>
        <w:pStyle w:val="Indenta"/>
      </w:pPr>
      <w:r>
        <w:tab/>
        <w:t>(a)</w:t>
      </w:r>
      <w:r>
        <w:tab/>
        <w:t>to stop work at the mine or any specified part of the mine;</w:t>
      </w:r>
    </w:p>
    <w:p>
      <w:pPr>
        <w:pStyle w:val="Indenta"/>
      </w:pPr>
      <w:r>
        <w:tab/>
        <w:t>(b)</w:t>
      </w:r>
      <w:r>
        <w:tab/>
        <w:t>to refrain from doing any specified thing at or in relation to the mine;</w:t>
      </w:r>
    </w:p>
    <w:p>
      <w:pPr>
        <w:pStyle w:val="Indenta"/>
      </w:pPr>
      <w:r>
        <w:tab/>
        <w:t>(c)</w:t>
      </w:r>
      <w:r>
        <w:tab/>
        <w:t>to remove all persons from the mine or any specified part of the mine; or</w:t>
      </w:r>
    </w:p>
    <w:p>
      <w:pPr>
        <w:pStyle w:val="Indenta"/>
      </w:pPr>
      <w:r>
        <w:tab/>
        <w:t>(d)</w:t>
      </w:r>
      <w:r>
        <w:tab/>
        <w:t>to take any combination of steps under paragraphs (a), (b) and (c),</w:t>
      </w:r>
    </w:p>
    <w:p>
      <w:pPr>
        <w:pStyle w:val="Subsection"/>
      </w:pPr>
      <w:r>
        <w:tab/>
      </w:r>
      <w:r>
        <w:tab/>
        <w:t xml:space="preserve">except to the extent that provision is made in the prohibition notice either with or without conditions or restrictions for —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pPr>
      <w:r>
        <w:tab/>
        <w:t>[Section 31AE inserted by No. 68 of 2004 s. 76.]</w:t>
      </w:r>
    </w:p>
    <w:p>
      <w:pPr>
        <w:pStyle w:val="Heading5"/>
      </w:pPr>
      <w:bookmarkStart w:id="261" w:name="_Toc274299693"/>
      <w:r>
        <w:rPr>
          <w:rStyle w:val="CharSectno"/>
        </w:rPr>
        <w:t>31AF</w:t>
      </w:r>
      <w:r>
        <w:t>.</w:t>
      </w:r>
      <w:r>
        <w:tab/>
        <w:t>Contents of prohibition notice under this Subdivision</w:t>
      </w:r>
      <w:bookmarkEnd w:id="261"/>
    </w:p>
    <w:p>
      <w:pPr>
        <w:pStyle w:val="Subsection"/>
      </w:pPr>
      <w:r>
        <w:tab/>
      </w:r>
      <w:r>
        <w:tab/>
        <w:t xml:space="preserve">A prohibition notice under this Subdivision must — </w:t>
      </w:r>
    </w:p>
    <w:p>
      <w:pPr>
        <w:pStyle w:val="Indenta"/>
      </w:pPr>
      <w:r>
        <w:tab/>
        <w:t>(a)</w:t>
      </w:r>
      <w:r>
        <w:tab/>
        <w:t>state the opinion of the inspector or assistant inspector in terms of section 31AB(a) or (b), as the case may require;</w:t>
      </w:r>
    </w:p>
    <w:p>
      <w:pPr>
        <w:pStyle w:val="Indenta"/>
      </w:pPr>
      <w:r>
        <w:tab/>
        <w:t>(b)</w:t>
      </w:r>
      <w:r>
        <w:tab/>
        <w:t>state reasonable grounds for that opinion;</w:t>
      </w:r>
    </w:p>
    <w:p>
      <w:pPr>
        <w:pStyle w:val="Indenta"/>
      </w:pPr>
      <w:r>
        <w:tab/>
        <w:t>(c)</w:t>
      </w:r>
      <w:r>
        <w:tab/>
        <w:t xml:space="preserve">specify —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262" w:name="_Toc274299694"/>
      <w:r>
        <w:rPr>
          <w:rStyle w:val="CharSectno"/>
        </w:rPr>
        <w:t>31AG</w:t>
      </w:r>
      <w:r>
        <w:t>.</w:t>
      </w:r>
      <w:r>
        <w:tab/>
        <w:t>Failure to comply with prohibition notice</w:t>
      </w:r>
      <w:bookmarkEnd w:id="262"/>
    </w:p>
    <w:p>
      <w:pPr>
        <w:pStyle w:val="Subsection"/>
        <w:spacing w:before="120"/>
      </w:pPr>
      <w:r>
        <w:tab/>
        <w:t>(1)</w:t>
      </w:r>
      <w:r>
        <w:tab/>
        <w:t xml:space="preserve">A person issued with a prohibition notice under this Subdivision commits an offence if the person does not comply with — </w:t>
      </w:r>
    </w:p>
    <w:p>
      <w:pPr>
        <w:pStyle w:val="Indenta"/>
      </w:pPr>
      <w:r>
        <w:tab/>
        <w:t>(a)</w:t>
      </w:r>
      <w:r>
        <w:tab/>
        <w:t xml:space="preserve">the notice; or </w:t>
      </w:r>
    </w:p>
    <w:p>
      <w:pPr>
        <w:pStyle w:val="Indenta"/>
      </w:pPr>
      <w:r>
        <w:tab/>
        <w:t>(b)</w:t>
      </w:r>
      <w:r>
        <w:tab/>
        <w:t>such of the provisions of the notice as are applicable to the person,</w:t>
      </w:r>
    </w:p>
    <w:p>
      <w:pPr>
        <w:pStyle w:val="Subsection"/>
      </w:pPr>
      <w:r>
        <w:tab/>
      </w:r>
      <w:r>
        <w:tab/>
        <w:t>as the case may require.</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263" w:name="_Toc192041082"/>
      <w:bookmarkStart w:id="264" w:name="_Toc196130262"/>
      <w:bookmarkStart w:id="265" w:name="_Toc196188227"/>
      <w:bookmarkStart w:id="266" w:name="_Toc196192475"/>
      <w:bookmarkStart w:id="267" w:name="_Toc197245011"/>
      <w:bookmarkStart w:id="268" w:name="_Toc197246004"/>
      <w:bookmarkStart w:id="269" w:name="_Toc197246411"/>
      <w:bookmarkStart w:id="270" w:name="_Toc197746442"/>
      <w:bookmarkStart w:id="271" w:name="_Toc197751731"/>
      <w:bookmarkStart w:id="272" w:name="_Toc197751989"/>
      <w:bookmarkStart w:id="273" w:name="_Toc198006392"/>
      <w:bookmarkStart w:id="274" w:name="_Toc200360136"/>
      <w:bookmarkStart w:id="275" w:name="_Toc232396818"/>
      <w:bookmarkStart w:id="276" w:name="_Toc247954228"/>
      <w:bookmarkStart w:id="277" w:name="_Toc268599358"/>
      <w:bookmarkStart w:id="278" w:name="_Toc272236602"/>
      <w:bookmarkStart w:id="279" w:name="_Toc274299695"/>
      <w:r>
        <w:t>Subdivision 3 — Prohibition notices in relation to occupation of residential premises by employee</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Footnoteheading"/>
      </w:pPr>
      <w:r>
        <w:tab/>
        <w:t xml:space="preserve">[Heading inserted by No. 68 of 2004 s. 76.] </w:t>
      </w:r>
    </w:p>
    <w:p>
      <w:pPr>
        <w:pStyle w:val="Heading5"/>
      </w:pPr>
      <w:bookmarkStart w:id="280" w:name="_Toc274299696"/>
      <w:r>
        <w:rPr>
          <w:rStyle w:val="CharSectno"/>
        </w:rPr>
        <w:t>31AH</w:t>
      </w:r>
      <w:r>
        <w:t>.</w:t>
      </w:r>
      <w:r>
        <w:tab/>
        <w:t>Issue of prohibition notice</w:t>
      </w:r>
      <w:bookmarkEnd w:id="280"/>
      <w:r>
        <w:t xml:space="preserve"> </w:t>
      </w:r>
    </w:p>
    <w:p>
      <w:pPr>
        <w:pStyle w:val="Subsection"/>
      </w:pPr>
      <w:r>
        <w:tab/>
        <w:t>(1)</w:t>
      </w:r>
      <w:r>
        <w:tab/>
        <w:t xml:space="preserve">Subsection (2) applies where an inspector or an assistant inspector is of the opinion that —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ind w:left="890" w:hanging="890"/>
      </w:pPr>
      <w:r>
        <w:tab/>
        <w:t>[Section 31AH inserted by No. 68 of 2004 s. 76.]</w:t>
      </w:r>
    </w:p>
    <w:p>
      <w:pPr>
        <w:pStyle w:val="Heading5"/>
      </w:pPr>
      <w:bookmarkStart w:id="281" w:name="_Toc274299697"/>
      <w:r>
        <w:rPr>
          <w:rStyle w:val="CharSectno"/>
        </w:rPr>
        <w:t>31AI</w:t>
      </w:r>
      <w:r>
        <w:t>.</w:t>
      </w:r>
      <w:r>
        <w:tab/>
        <w:t>Contents of prohibition notice under this Subdivision</w:t>
      </w:r>
      <w:bookmarkEnd w:id="281"/>
    </w:p>
    <w:p>
      <w:pPr>
        <w:pStyle w:val="Subsection"/>
      </w:pPr>
      <w:r>
        <w:tab/>
      </w:r>
      <w:r>
        <w:tab/>
        <w:t xml:space="preserve">A prohibition notice under this Subdivision must — </w:t>
      </w:r>
    </w:p>
    <w:p>
      <w:pPr>
        <w:pStyle w:val="Indenta"/>
      </w:pPr>
      <w:r>
        <w:tab/>
        <w:t>(a)</w:t>
      </w:r>
      <w:r>
        <w:tab/>
        <w:t>state the opinion of the inspector or assistant inspector in terms of section 31AH(1);</w:t>
      </w:r>
    </w:p>
    <w:p>
      <w:pPr>
        <w:pStyle w:val="Indenta"/>
      </w:pPr>
      <w:r>
        <w:tab/>
        <w:t>(b)</w:t>
      </w:r>
      <w:r>
        <w:tab/>
        <w:t>state reasonable grounds for that opinion;</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282" w:name="_Toc274299698"/>
      <w:r>
        <w:rPr>
          <w:rStyle w:val="CharSectno"/>
        </w:rPr>
        <w:t>31AJ</w:t>
      </w:r>
      <w:r>
        <w:t>.</w:t>
      </w:r>
      <w:r>
        <w:tab/>
        <w:t>Failure to comply with prohibition notice</w:t>
      </w:r>
      <w:bookmarkEnd w:id="282"/>
    </w:p>
    <w:p>
      <w:pPr>
        <w:pStyle w:val="Subsection"/>
      </w:pPr>
      <w:r>
        <w:tab/>
        <w:t>(1)</w:t>
      </w:r>
      <w:r>
        <w:tab/>
        <w:t xml:space="preserve">If an employee occupies residential premises in contravention of a prohibition notice under section 31AH —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283" w:name="_Toc192041086"/>
      <w:bookmarkStart w:id="284" w:name="_Toc196130266"/>
      <w:bookmarkStart w:id="285" w:name="_Toc196188231"/>
      <w:bookmarkStart w:id="286" w:name="_Toc196192479"/>
      <w:bookmarkStart w:id="287" w:name="_Toc197245015"/>
      <w:bookmarkStart w:id="288" w:name="_Toc197246008"/>
      <w:bookmarkStart w:id="289" w:name="_Toc197246415"/>
      <w:bookmarkStart w:id="290" w:name="_Toc197746446"/>
      <w:bookmarkStart w:id="291" w:name="_Toc197751735"/>
      <w:bookmarkStart w:id="292" w:name="_Toc197751993"/>
      <w:bookmarkStart w:id="293" w:name="_Toc198006396"/>
      <w:bookmarkStart w:id="294" w:name="_Toc200360140"/>
      <w:bookmarkStart w:id="295" w:name="_Toc232396822"/>
      <w:bookmarkStart w:id="296" w:name="_Toc247954232"/>
      <w:bookmarkStart w:id="297" w:name="_Toc268599362"/>
      <w:bookmarkStart w:id="298" w:name="_Toc272236606"/>
      <w:bookmarkStart w:id="299" w:name="_Toc274299699"/>
      <w:r>
        <w:t>Subdivision 4 — Display of improvement notices and prohibition notices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Footnoteheading"/>
      </w:pPr>
      <w:r>
        <w:tab/>
        <w:t xml:space="preserve">[Heading inserted by No. 68 of 2004 s. 76.] </w:t>
      </w:r>
    </w:p>
    <w:p>
      <w:pPr>
        <w:pStyle w:val="Heading5"/>
      </w:pPr>
      <w:bookmarkStart w:id="300" w:name="_Toc274299700"/>
      <w:r>
        <w:rPr>
          <w:rStyle w:val="CharSectno"/>
        </w:rPr>
        <w:t>31AK</w:t>
      </w:r>
      <w:r>
        <w:t>.</w:t>
      </w:r>
      <w:r>
        <w:tab/>
        <w:t>Improvement notices</w:t>
      </w:r>
      <w:bookmarkEnd w:id="300"/>
    </w:p>
    <w:p>
      <w:pPr>
        <w:pStyle w:val="Subsection"/>
      </w:pPr>
      <w:r>
        <w:tab/>
      </w:r>
      <w:r>
        <w:tab/>
        <w:t xml:space="preserve">The manager of a mine who —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301" w:name="_Toc274299701"/>
      <w:r>
        <w:rPr>
          <w:rStyle w:val="CharSectno"/>
        </w:rPr>
        <w:t>31AL</w:t>
      </w:r>
      <w:r>
        <w:t>.</w:t>
      </w:r>
      <w:r>
        <w:tab/>
        <w:t>Prohibition notices in respect of mines</w:t>
      </w:r>
      <w:bookmarkEnd w:id="301"/>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302" w:name="_Toc274299702"/>
      <w:r>
        <w:rPr>
          <w:rStyle w:val="CharSectno"/>
        </w:rPr>
        <w:t>31AM</w:t>
      </w:r>
      <w:r>
        <w:t>.</w:t>
      </w:r>
      <w:r>
        <w:tab/>
        <w:t>Prohibition notices in respect of residential premises</w:t>
      </w:r>
      <w:bookmarkEnd w:id="302"/>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303" w:name="_Toc274299703"/>
      <w:r>
        <w:rPr>
          <w:rStyle w:val="CharSectno"/>
        </w:rPr>
        <w:t>31AN</w:t>
      </w:r>
      <w:r>
        <w:t>.</w:t>
      </w:r>
      <w:r>
        <w:tab/>
        <w:t>Offence to remove displayed notice</w:t>
      </w:r>
      <w:bookmarkEnd w:id="303"/>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 xml:space="preserve">Subsection (1) does not apply in respect of a notice that —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spacing w:before="240"/>
      </w:pPr>
      <w:bookmarkStart w:id="304" w:name="_Toc274299704"/>
      <w:r>
        <w:rPr>
          <w:rStyle w:val="CharSectno"/>
        </w:rPr>
        <w:t>31AO</w:t>
      </w:r>
      <w:r>
        <w:t>.</w:t>
      </w:r>
      <w:r>
        <w:tab/>
        <w:t>Modifications of notice to be displayed</w:t>
      </w:r>
      <w:bookmarkEnd w:id="304"/>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spacing w:before="240"/>
      </w:pPr>
      <w:bookmarkStart w:id="305" w:name="_Toc274299705"/>
      <w:r>
        <w:rPr>
          <w:rStyle w:val="CharSectno"/>
        </w:rPr>
        <w:t>31AP</w:t>
      </w:r>
      <w:r>
        <w:t>.</w:t>
      </w:r>
      <w:r>
        <w:tab/>
        <w:t>Failure to comply with provision of this Subdivision</w:t>
      </w:r>
      <w:bookmarkEnd w:id="305"/>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306" w:name="_Toc192041093"/>
      <w:bookmarkStart w:id="307" w:name="_Toc196130273"/>
      <w:bookmarkStart w:id="308" w:name="_Toc196188238"/>
      <w:bookmarkStart w:id="309" w:name="_Toc196192486"/>
      <w:bookmarkStart w:id="310" w:name="_Toc197245022"/>
      <w:bookmarkStart w:id="311" w:name="_Toc197246015"/>
      <w:bookmarkStart w:id="312" w:name="_Toc197246422"/>
      <w:bookmarkStart w:id="313" w:name="_Toc197746453"/>
      <w:bookmarkStart w:id="314" w:name="_Toc197751742"/>
      <w:bookmarkStart w:id="315" w:name="_Toc197752000"/>
      <w:bookmarkStart w:id="316" w:name="_Toc198006403"/>
      <w:bookmarkStart w:id="317" w:name="_Toc200360147"/>
      <w:bookmarkStart w:id="318" w:name="_Toc232396829"/>
      <w:bookmarkStart w:id="319" w:name="_Toc247954239"/>
      <w:bookmarkStart w:id="320" w:name="_Toc268599369"/>
      <w:bookmarkStart w:id="321" w:name="_Toc272236613"/>
      <w:bookmarkStart w:id="322" w:name="_Toc274299706"/>
      <w:r>
        <w:t>Subdivision 5 — General duty of principal employer and manager in respect of notices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t xml:space="preserve"> </w:t>
      </w:r>
    </w:p>
    <w:p>
      <w:pPr>
        <w:pStyle w:val="Footnoteheading"/>
      </w:pPr>
      <w:r>
        <w:tab/>
        <w:t xml:space="preserve">[Heading inserted by No. 68 of 2004 s. 76.] </w:t>
      </w:r>
    </w:p>
    <w:p>
      <w:pPr>
        <w:pStyle w:val="Heading5"/>
      </w:pPr>
      <w:bookmarkStart w:id="323" w:name="_Toc274299707"/>
      <w:r>
        <w:rPr>
          <w:rStyle w:val="CharSectno"/>
        </w:rPr>
        <w:t>31AQ</w:t>
      </w:r>
      <w:r>
        <w:t>.</w:t>
      </w:r>
      <w:r>
        <w:tab/>
        <w:t>General duty, improvement notices</w:t>
      </w:r>
      <w:bookmarkEnd w:id="323"/>
    </w:p>
    <w:p>
      <w:pPr>
        <w:pStyle w:val="Subsection"/>
      </w:pPr>
      <w:r>
        <w:tab/>
        <w:t>(1)</w:t>
      </w:r>
      <w:r>
        <w:tab/>
        <w:t xml:space="preserve">Subsection (2) applies where —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324" w:name="_Toc274299708"/>
      <w:r>
        <w:rPr>
          <w:rStyle w:val="CharSectno"/>
        </w:rPr>
        <w:t>31AR</w:t>
      </w:r>
      <w:r>
        <w:t>.</w:t>
      </w:r>
      <w:r>
        <w:tab/>
        <w:t>General duty, prohibition notices</w:t>
      </w:r>
      <w:bookmarkEnd w:id="324"/>
    </w:p>
    <w:p>
      <w:pPr>
        <w:pStyle w:val="Subsection"/>
      </w:pPr>
      <w:r>
        <w:tab/>
        <w:t>(1)</w:t>
      </w:r>
      <w:r>
        <w:tab/>
        <w:t xml:space="preserve">In subsection (2) — </w:t>
      </w:r>
    </w:p>
    <w:p>
      <w:pPr>
        <w:pStyle w:val="Defstart"/>
      </w:pPr>
      <w:r>
        <w:rPr>
          <w:b/>
        </w:rPr>
        <w:tab/>
      </w:r>
      <w:r>
        <w:rPr>
          <w:rStyle w:val="CharDefText"/>
        </w:rPr>
        <w:t>other responsible person</w:t>
      </w:r>
      <w:r>
        <w:t xml:space="preserve"> means a person who —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3QAR inserted by No. 68 of 2004 s. 76.]</w:t>
      </w:r>
    </w:p>
    <w:p>
      <w:pPr>
        <w:pStyle w:val="Heading5"/>
      </w:pPr>
      <w:bookmarkStart w:id="325" w:name="_Toc274299709"/>
      <w:r>
        <w:rPr>
          <w:rStyle w:val="CharSectno"/>
        </w:rPr>
        <w:t>31AS</w:t>
      </w:r>
      <w:r>
        <w:t>.</w:t>
      </w:r>
      <w:r>
        <w:tab/>
        <w:t>Other provisions relating to general duty</w:t>
      </w:r>
      <w:bookmarkEnd w:id="325"/>
    </w:p>
    <w:p>
      <w:pPr>
        <w:pStyle w:val="Subsection"/>
      </w:pPr>
      <w:r>
        <w:tab/>
        <w:t>(1)</w:t>
      </w:r>
      <w:r>
        <w:tab/>
        <w:t xml:space="preserve">The duties imposed by this Subdivision — </w:t>
      </w:r>
    </w:p>
    <w:p>
      <w:pPr>
        <w:pStyle w:val="Indenta"/>
      </w:pPr>
      <w:r>
        <w:tab/>
        <w:t>(a)</w:t>
      </w:r>
      <w:r>
        <w:tab/>
        <w:t xml:space="preserve">have effect subject to — </w:t>
      </w:r>
    </w:p>
    <w:p>
      <w:pPr>
        <w:pStyle w:val="Indenti"/>
      </w:pPr>
      <w:r>
        <w:tab/>
        <w:t>(i)</w:t>
      </w:r>
      <w:r>
        <w:tab/>
        <w:t xml:space="preserve">the provisions in sections 31B and 31BC for the suspension of notices; and </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326" w:name="_Toc192041097"/>
      <w:bookmarkStart w:id="327" w:name="_Toc196130277"/>
      <w:bookmarkStart w:id="328" w:name="_Toc196188242"/>
      <w:bookmarkStart w:id="329" w:name="_Toc196192490"/>
      <w:bookmarkStart w:id="330" w:name="_Toc197245026"/>
      <w:bookmarkStart w:id="331" w:name="_Toc197246019"/>
      <w:bookmarkStart w:id="332" w:name="_Toc197246426"/>
      <w:bookmarkStart w:id="333" w:name="_Toc197746457"/>
      <w:bookmarkStart w:id="334" w:name="_Toc197751746"/>
      <w:bookmarkStart w:id="335" w:name="_Toc197752004"/>
      <w:bookmarkStart w:id="336" w:name="_Toc198006407"/>
      <w:bookmarkStart w:id="337" w:name="_Toc200360151"/>
      <w:bookmarkStart w:id="338" w:name="_Toc232396833"/>
      <w:bookmarkStart w:id="339" w:name="_Toc247954243"/>
      <w:bookmarkStart w:id="340" w:name="_Toc268599373"/>
      <w:bookmarkStart w:id="341" w:name="_Toc272236617"/>
      <w:bookmarkStart w:id="342" w:name="_Toc274299710"/>
      <w:r>
        <w:t>Subdivision 6 — Entry of notices and related matters in mine record book</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Footnoteheading"/>
      </w:pPr>
      <w:r>
        <w:tab/>
        <w:t xml:space="preserve">[Heading inserted by No. 68 of 2004 s. 76.] </w:t>
      </w:r>
    </w:p>
    <w:p>
      <w:pPr>
        <w:pStyle w:val="Heading5"/>
      </w:pPr>
      <w:bookmarkStart w:id="343" w:name="_Toc274299711"/>
      <w:r>
        <w:rPr>
          <w:rStyle w:val="CharSectno"/>
        </w:rPr>
        <w:t>31AT</w:t>
      </w:r>
      <w:r>
        <w:t>.</w:t>
      </w:r>
      <w:r>
        <w:tab/>
        <w:t>Improvement and prohibition notices</w:t>
      </w:r>
      <w:bookmarkEnd w:id="343"/>
    </w:p>
    <w:p>
      <w:pPr>
        <w:pStyle w:val="Subsection"/>
      </w:pPr>
      <w:r>
        <w:tab/>
      </w:r>
      <w:r>
        <w:tab/>
        <w:t xml:space="preserve">The manager of a mine who — </w:t>
      </w:r>
    </w:p>
    <w:p>
      <w:pPr>
        <w:pStyle w:val="Indenta"/>
      </w:pPr>
      <w:r>
        <w:tab/>
        <w:t>(a)</w:t>
      </w:r>
      <w:r>
        <w:tab/>
        <w:t xml:space="preserve">is issued with — </w:t>
      </w:r>
    </w:p>
    <w:p>
      <w:pPr>
        <w:pStyle w:val="Indenti"/>
      </w:pPr>
      <w:r>
        <w:tab/>
        <w:t>(i)</w:t>
      </w:r>
      <w:r>
        <w:tab/>
        <w:t xml:space="preserve">an improvement notice; or </w:t>
      </w:r>
    </w:p>
    <w:p>
      <w:pPr>
        <w:pStyle w:val="Indenti"/>
      </w:pPr>
      <w:r>
        <w:tab/>
        <w:t>(ii)</w:t>
      </w:r>
      <w:r>
        <w:tab/>
        <w:t>a prohibition notice under Subdivision 2;</w:t>
      </w:r>
    </w:p>
    <w:p>
      <w:pPr>
        <w:pStyle w:val="Indenta"/>
      </w:pPr>
      <w:r>
        <w:tab/>
      </w:r>
      <w:r>
        <w:tab/>
        <w:t>or</w:t>
      </w:r>
    </w:p>
    <w:p>
      <w:pPr>
        <w:pStyle w:val="Indenta"/>
      </w:pPr>
      <w:r>
        <w:tab/>
        <w:t>(b)</w:t>
      </w:r>
      <w:r>
        <w:tab/>
        <w:t xml:space="preserve">is given a copy of — </w:t>
      </w:r>
    </w:p>
    <w:p>
      <w:pPr>
        <w:pStyle w:val="Indenti"/>
      </w:pPr>
      <w:r>
        <w:tab/>
        <w:t>(i)</w:t>
      </w:r>
      <w:r>
        <w:tab/>
        <w:t xml:space="preserve">an improvement notice under section 30(3); or </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344" w:name="_Toc274299712"/>
      <w:r>
        <w:rPr>
          <w:rStyle w:val="CharSectno"/>
        </w:rPr>
        <w:t>31AU</w:t>
      </w:r>
      <w:r>
        <w:t>.</w:t>
      </w:r>
      <w:r>
        <w:tab/>
        <w:t>Referrals for review</w:t>
      </w:r>
      <w:bookmarkEnd w:id="344"/>
    </w:p>
    <w:p>
      <w:pPr>
        <w:pStyle w:val="Subsection"/>
        <w:keepNext/>
        <w:keepLines/>
      </w:pPr>
      <w:r>
        <w:tab/>
      </w:r>
      <w:r>
        <w:tab/>
        <w:t xml:space="preserve">The manager of a mine who —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345" w:name="_Toc274299713"/>
      <w:r>
        <w:rPr>
          <w:rStyle w:val="CharSectno"/>
        </w:rPr>
        <w:t>31AV</w:t>
      </w:r>
      <w:r>
        <w:t>.</w:t>
      </w:r>
      <w:r>
        <w:tab/>
        <w:t>Decisions on review</w:t>
      </w:r>
      <w:bookmarkEnd w:id="345"/>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346" w:name="_Toc274299714"/>
      <w:r>
        <w:rPr>
          <w:rStyle w:val="CharSectno"/>
        </w:rPr>
        <w:t>31AW</w:t>
      </w:r>
      <w:r>
        <w:t>.</w:t>
      </w:r>
      <w:r>
        <w:tab/>
        <w:t>Permissions for continuation of work</w:t>
      </w:r>
      <w:bookmarkEnd w:id="346"/>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347" w:name="_Toc274299715"/>
      <w:r>
        <w:rPr>
          <w:rStyle w:val="CharSectno"/>
        </w:rPr>
        <w:t>31AX</w:t>
      </w:r>
      <w:r>
        <w:t>.</w:t>
      </w:r>
      <w:r>
        <w:tab/>
        <w:t>Failure to comply with provision of this Subdivision</w:t>
      </w:r>
      <w:bookmarkEnd w:id="347"/>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348" w:name="_Toc192041103"/>
      <w:bookmarkStart w:id="349" w:name="_Toc196130283"/>
      <w:bookmarkStart w:id="350" w:name="_Toc196188248"/>
      <w:bookmarkStart w:id="351" w:name="_Toc196192496"/>
      <w:bookmarkStart w:id="352" w:name="_Toc197245032"/>
      <w:bookmarkStart w:id="353" w:name="_Toc197246025"/>
      <w:bookmarkStart w:id="354" w:name="_Toc197246432"/>
      <w:bookmarkStart w:id="355" w:name="_Toc197746463"/>
      <w:bookmarkStart w:id="356" w:name="_Toc197751752"/>
      <w:bookmarkStart w:id="357" w:name="_Toc197752010"/>
      <w:bookmarkStart w:id="358" w:name="_Toc198006413"/>
      <w:bookmarkStart w:id="359" w:name="_Toc200360157"/>
      <w:bookmarkStart w:id="360" w:name="_Toc232396839"/>
      <w:bookmarkStart w:id="361" w:name="_Toc247954249"/>
      <w:bookmarkStart w:id="362" w:name="_Toc268599379"/>
      <w:bookmarkStart w:id="363" w:name="_Toc272236623"/>
      <w:bookmarkStart w:id="364" w:name="_Toc274299716"/>
      <w:r>
        <w:t>Subdivision 7 — Review of improvement notices and prohibition notices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Footnoteheading"/>
      </w:pPr>
      <w:r>
        <w:tab/>
        <w:t xml:space="preserve">[Heading inserted by No. 68 of 2004 s. 76.] </w:t>
      </w:r>
    </w:p>
    <w:p>
      <w:pPr>
        <w:pStyle w:val="Heading5"/>
      </w:pPr>
      <w:bookmarkStart w:id="365" w:name="_Toc274299717"/>
      <w:r>
        <w:rPr>
          <w:rStyle w:val="CharSectno"/>
        </w:rPr>
        <w:t>31AY</w:t>
      </w:r>
      <w:r>
        <w:t>.</w:t>
      </w:r>
      <w:r>
        <w:tab/>
        <w:t>Notice may be referred for review</w:t>
      </w:r>
      <w:bookmarkEnd w:id="365"/>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 xml:space="preserve">A referral may be made by — </w:t>
      </w:r>
    </w:p>
    <w:p>
      <w:pPr>
        <w:pStyle w:val="Indenta"/>
      </w:pPr>
      <w:r>
        <w:tab/>
        <w:t>(a)</w:t>
      </w:r>
      <w:r>
        <w:tab/>
        <w:t xml:space="preserve">a person issued with the notice; or </w:t>
      </w:r>
    </w:p>
    <w:p>
      <w:pPr>
        <w:pStyle w:val="Indenta"/>
      </w:pPr>
      <w:r>
        <w:tab/>
        <w:t>(b)</w:t>
      </w:r>
      <w:r>
        <w:tab/>
        <w:t>the principal employer at, or the manager of, the mine.</w:t>
      </w:r>
    </w:p>
    <w:p>
      <w:pPr>
        <w:pStyle w:val="Subsection"/>
      </w:pPr>
      <w:r>
        <w:tab/>
        <w:t>(3)</w:t>
      </w:r>
      <w:r>
        <w:tab/>
        <w:t xml:space="preserve">A reference under subsection (1) must be made in writing and —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 xml:space="preserve">in the case of a prohibition notice —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366" w:name="_Toc274299718"/>
      <w:r>
        <w:rPr>
          <w:rStyle w:val="CharSectno"/>
        </w:rPr>
        <w:t>31AZ</w:t>
      </w:r>
      <w:r>
        <w:t>.</w:t>
      </w:r>
      <w:r>
        <w:tab/>
        <w:t>Review by State mining engineer</w:t>
      </w:r>
      <w:bookmarkEnd w:id="366"/>
    </w:p>
    <w:p>
      <w:pPr>
        <w:pStyle w:val="Subsection"/>
      </w:pPr>
      <w:r>
        <w:tab/>
        <w:t>(1)</w:t>
      </w:r>
      <w:r>
        <w:tab/>
        <w:t xml:space="preserve">On a reference under section 31AY, the State mining engineer is to inquire into the circumstances relating to the improvement notice or prohibition notice, and may — </w:t>
      </w:r>
    </w:p>
    <w:p>
      <w:pPr>
        <w:pStyle w:val="Indenta"/>
      </w:pPr>
      <w:r>
        <w:tab/>
        <w:t>(a)</w:t>
      </w:r>
      <w:r>
        <w:tab/>
        <w:t>affirm the notice;</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pPr>
      <w:r>
        <w:tab/>
      </w:r>
      <w:r>
        <w:tab/>
        <w:t>and, subject to section 31BB and the exercise of the power conferred by section 31BE, the notice has effect or, as the case may be, ceases to have effect accordingly.</w:t>
      </w:r>
    </w:p>
    <w:p>
      <w:pPr>
        <w:pStyle w:val="Subsection"/>
      </w:pPr>
      <w:r>
        <w:tab/>
        <w:t>(2)</w:t>
      </w:r>
      <w:r>
        <w:tab/>
        <w:t xml:space="preserve">In dealing with a reference for the review of a prohibition notice the State mining engineer may —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 xml:space="preserve">The State mining engineer is to give notice in writing of — </w:t>
      </w:r>
    </w:p>
    <w:p>
      <w:pPr>
        <w:pStyle w:val="Indenta"/>
      </w:pPr>
      <w:r>
        <w:tab/>
        <w:t>(a)</w:t>
      </w:r>
      <w:r>
        <w:tab/>
        <w:t>the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367" w:name="_Toc274299719"/>
      <w:r>
        <w:rPr>
          <w:rStyle w:val="CharSectno"/>
        </w:rPr>
        <w:t>31B</w:t>
      </w:r>
      <w:r>
        <w:t>.</w:t>
      </w:r>
      <w:r>
        <w:tab/>
        <w:t>Effect of notice pending review by State mining engineer</w:t>
      </w:r>
      <w:bookmarkEnd w:id="367"/>
    </w:p>
    <w:p>
      <w:pPr>
        <w:pStyle w:val="Subsection"/>
      </w:pPr>
      <w:r>
        <w:tab/>
        <w:t>(1)</w:t>
      </w:r>
      <w:r>
        <w:tab/>
        <w:t xml:space="preserve">Pending the decision of the State mining engineer on a reference under section 31AY —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xml:space="preserve">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State mining engineer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State mining engineer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368" w:name="_Toc274299720"/>
      <w:r>
        <w:rPr>
          <w:rStyle w:val="CharSectno"/>
        </w:rPr>
        <w:t>31BA</w:t>
      </w:r>
      <w:r>
        <w:t>.</w:t>
      </w:r>
      <w:r>
        <w:tab/>
        <w:t>Decision may be referred to Tribunal</w:t>
      </w:r>
      <w:bookmarkEnd w:id="368"/>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 xml:space="preserve">A reference under subsection (1) must be made in writing and within — </w:t>
      </w:r>
    </w:p>
    <w:p>
      <w:pPr>
        <w:pStyle w:val="Indenta"/>
      </w:pPr>
      <w:r>
        <w:tab/>
        <w:t>(a)</w:t>
      </w:r>
      <w:r>
        <w:tab/>
        <w:t>7 days after the day on which the person received notice of the decision; or</w:t>
      </w:r>
    </w:p>
    <w:p>
      <w:pPr>
        <w:pStyle w:val="Indenta"/>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369" w:name="_Toc274299721"/>
      <w:r>
        <w:rPr>
          <w:rStyle w:val="CharSectno"/>
        </w:rPr>
        <w:t>31BB</w:t>
      </w:r>
      <w:r>
        <w:t>.</w:t>
      </w:r>
      <w:r>
        <w:tab/>
        <w:t>Determination by Tribunal</w:t>
      </w:r>
      <w:bookmarkEnd w:id="369"/>
    </w:p>
    <w:p>
      <w:pPr>
        <w:pStyle w:val="Subsection"/>
      </w:pPr>
      <w:r>
        <w:tab/>
        <w:t>(1)</w:t>
      </w:r>
      <w:r>
        <w:tab/>
        <w:t xml:space="preserve">On a reference under section 31BA, the Tribunal is to inquire into the circumstances relating to the improvement notice or prohibition notice, and may — </w:t>
      </w:r>
    </w:p>
    <w:p>
      <w:pPr>
        <w:pStyle w:val="Indenta"/>
      </w:pPr>
      <w:r>
        <w:tab/>
        <w:t>(a)</w:t>
      </w:r>
      <w:r>
        <w:tab/>
        <w:t>affirm the decision of the State mining engineer;</w:t>
      </w:r>
    </w:p>
    <w:p>
      <w:pPr>
        <w:pStyle w:val="Indenta"/>
      </w:pPr>
      <w:r>
        <w:tab/>
        <w:t>(b)</w:t>
      </w:r>
      <w:r>
        <w:tab/>
        <w:t>affirm the decision of the State mining engineer with such modifications as the Tribunal considers appropriate; or</w:t>
      </w:r>
    </w:p>
    <w:p>
      <w:pPr>
        <w:pStyle w:val="Indenta"/>
      </w:pPr>
      <w:r>
        <w:tab/>
        <w:t>(c)</w:t>
      </w:r>
      <w:r>
        <w:tab/>
        <w:t>revoke the decision of the State mining engineer and make such other decision with respect to the notice as the Tribunal thinks fit,</w:t>
      </w:r>
    </w:p>
    <w:p>
      <w:pPr>
        <w:pStyle w:val="Subsection"/>
      </w:pPr>
      <w:r>
        <w:tab/>
      </w:r>
      <w:r>
        <w:tab/>
        <w:t>and the notice has effect or, as the case may be, ceases to have effect accordingly.</w:t>
      </w:r>
    </w:p>
    <w:p>
      <w:pPr>
        <w:pStyle w:val="Subsection"/>
      </w:pPr>
      <w:r>
        <w:tab/>
        <w:t>(2)</w:t>
      </w:r>
      <w:r>
        <w:tab/>
        <w:t xml:space="preserve">A review under this section — </w:t>
      </w:r>
    </w:p>
    <w:p>
      <w:pPr>
        <w:pStyle w:val="Indenta"/>
      </w:pPr>
      <w:r>
        <w:tab/>
        <w:t>(a)</w:t>
      </w:r>
      <w:r>
        <w:tab/>
        <w:t>is to be in the nature of a rehearing; and</w:t>
      </w:r>
    </w:p>
    <w:p>
      <w:pPr>
        <w:pStyle w:val="Indenta"/>
      </w:pPr>
      <w:r>
        <w:tab/>
        <w:t>(b)</w:t>
      </w:r>
      <w:r>
        <w:tab/>
        <w:t>is to be completed by the Tribunal as quickly as is practicable.</w:t>
      </w:r>
    </w:p>
    <w:p>
      <w:pPr>
        <w:pStyle w:val="Subsection"/>
      </w:pPr>
      <w:r>
        <w:tab/>
        <w:t>(3)</w:t>
      </w:r>
      <w:r>
        <w:tab/>
        <w:t xml:space="preserve">The Tribunal is to give notice in writing of — </w:t>
      </w:r>
    </w:p>
    <w:p>
      <w:pPr>
        <w:pStyle w:val="Indenta"/>
      </w:pPr>
      <w:r>
        <w:tab/>
        <w:t>(a)</w:t>
      </w:r>
      <w:r>
        <w:tab/>
        <w:t>its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matter for review; and</w:t>
      </w:r>
    </w:p>
    <w:p>
      <w:pPr>
        <w:pStyle w:val="Indenta"/>
      </w:pPr>
      <w:r>
        <w:tab/>
        <w:t>(d)</w:t>
      </w:r>
      <w:r>
        <w:tab/>
        <w:t>if that person is not the manager of a mine concerned, to such manager.</w:t>
      </w:r>
    </w:p>
    <w:p>
      <w:pPr>
        <w:pStyle w:val="Footnotesection"/>
      </w:pPr>
      <w:r>
        <w:tab/>
        <w:t>[Section 31BB inserted by No. 68 of 2004 s. 76.]</w:t>
      </w:r>
    </w:p>
    <w:p>
      <w:pPr>
        <w:pStyle w:val="Heading5"/>
      </w:pPr>
      <w:bookmarkStart w:id="370" w:name="_Toc274299722"/>
      <w:r>
        <w:rPr>
          <w:rStyle w:val="CharSectno"/>
        </w:rPr>
        <w:t>31BC</w:t>
      </w:r>
      <w:r>
        <w:t>.</w:t>
      </w:r>
      <w:r>
        <w:tab/>
        <w:t>Effect of notice pending review by Tribunal</w:t>
      </w:r>
      <w:bookmarkEnd w:id="370"/>
    </w:p>
    <w:p>
      <w:pPr>
        <w:pStyle w:val="Subsection"/>
      </w:pPr>
      <w:r>
        <w:tab/>
        <w:t>(1)</w:t>
      </w:r>
      <w:r>
        <w:tab/>
        <w:t xml:space="preserve">Pending the decision on a reference under section 31BA, irrespective of the decision of the State mining engineer under section 31AZ — </w:t>
      </w:r>
    </w:p>
    <w:p>
      <w:pPr>
        <w:pStyle w:val="Indenta"/>
      </w:pPr>
      <w:r>
        <w:tab/>
        <w:t>(a)</w:t>
      </w:r>
      <w:r>
        <w:tab/>
        <w:t>the operation of an improvement notice is suspended; and</w:t>
      </w:r>
    </w:p>
    <w:p>
      <w:pPr>
        <w:pStyle w:val="Indenta"/>
      </w:pPr>
      <w:r>
        <w:tab/>
        <w:t>(b)</w:t>
      </w:r>
      <w:r>
        <w:tab/>
        <w:t xml:space="preserve">the operation of a prohibition notice continues, except to the extent that the Tribunal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Tribunal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Tribunal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371" w:name="_Toc192041110"/>
      <w:bookmarkStart w:id="372" w:name="_Toc196130290"/>
      <w:bookmarkStart w:id="373" w:name="_Toc196188255"/>
      <w:bookmarkStart w:id="374" w:name="_Toc196192503"/>
      <w:bookmarkStart w:id="375" w:name="_Toc197245039"/>
      <w:bookmarkStart w:id="376" w:name="_Toc197246032"/>
      <w:bookmarkStart w:id="377" w:name="_Toc197246439"/>
      <w:bookmarkStart w:id="378" w:name="_Toc197746470"/>
      <w:bookmarkStart w:id="379" w:name="_Toc197751759"/>
      <w:bookmarkStart w:id="380" w:name="_Toc197752017"/>
      <w:bookmarkStart w:id="381" w:name="_Toc198006420"/>
      <w:bookmarkStart w:id="382" w:name="_Toc200360164"/>
      <w:bookmarkStart w:id="383" w:name="_Toc232396846"/>
      <w:bookmarkStart w:id="384" w:name="_Toc247954256"/>
      <w:bookmarkStart w:id="385" w:name="_Toc268599386"/>
      <w:bookmarkStart w:id="386" w:name="_Toc272236630"/>
      <w:bookmarkStart w:id="387" w:name="_Toc274299723"/>
      <w:r>
        <w:t>Subdivision 8 — General</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Footnoteheading"/>
      </w:pPr>
      <w:r>
        <w:tab/>
        <w:t xml:space="preserve">[Heading inserted by No. 68 of 2004 s. 76.] </w:t>
      </w:r>
    </w:p>
    <w:p>
      <w:pPr>
        <w:pStyle w:val="Heading5"/>
      </w:pPr>
      <w:bookmarkStart w:id="388" w:name="_Toc274299724"/>
      <w:r>
        <w:rPr>
          <w:rStyle w:val="CharSectno"/>
        </w:rPr>
        <w:t>31BD</w:t>
      </w:r>
      <w:r>
        <w:t>.</w:t>
      </w:r>
      <w:r>
        <w:tab/>
        <w:t>Notices may include directions</w:t>
      </w:r>
      <w:bookmarkEnd w:id="388"/>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 xml:space="preserve">A direction under subsection (1) may —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389" w:name="_Toc274299725"/>
      <w:r>
        <w:rPr>
          <w:rStyle w:val="CharSectno"/>
        </w:rPr>
        <w:t>31BE</w:t>
      </w:r>
      <w:r>
        <w:t>.</w:t>
      </w:r>
      <w:r>
        <w:tab/>
        <w:t>Further power of State mining engineer to cancel notice</w:t>
      </w:r>
      <w:bookmarkEnd w:id="389"/>
    </w:p>
    <w:p>
      <w:pPr>
        <w:pStyle w:val="Subsection"/>
      </w:pPr>
      <w:r>
        <w:tab/>
        <w:t>(1)</w:t>
      </w:r>
      <w:r>
        <w:tab/>
        <w:t xml:space="preserve">The State mining engineer may, on his or her own initiative, cancel an improvement notice or a prohibition notice in respect of a mine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 xml:space="preserve">to — </w:t>
      </w:r>
    </w:p>
    <w:p>
      <w:pPr>
        <w:pStyle w:val="Indenta"/>
      </w:pPr>
      <w:r>
        <w:tab/>
        <w:t>(c)</w:t>
      </w:r>
      <w:r>
        <w:tab/>
        <w:t>the person who was issued with the notice;</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 xml:space="preserve">The State mining engineer may, on his or her own initiative, cancel a prohibition notice issued under section 31AH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spacing w:before="120"/>
      </w:pPr>
      <w:r>
        <w:tab/>
      </w:r>
      <w:r>
        <w:tab/>
        <w:t>to the employer and the employee concerned.</w:t>
      </w:r>
    </w:p>
    <w:p>
      <w:pPr>
        <w:pStyle w:val="Subsection"/>
        <w:spacing w:before="120"/>
      </w:pPr>
      <w:r>
        <w:tab/>
        <w:t>(3)</w:t>
      </w:r>
      <w:r>
        <w:tab/>
        <w:t xml:space="preserve">The power conferred by subsection (1) or (2) is not to be exercised in respect of a notice —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390" w:name="_Toc192041113"/>
      <w:bookmarkStart w:id="391" w:name="_Toc196130293"/>
      <w:bookmarkStart w:id="392" w:name="_Toc196188258"/>
      <w:bookmarkStart w:id="393" w:name="_Toc196192506"/>
      <w:bookmarkStart w:id="394" w:name="_Toc197245042"/>
      <w:bookmarkStart w:id="395" w:name="_Toc197246035"/>
      <w:bookmarkStart w:id="396" w:name="_Toc197246442"/>
      <w:bookmarkStart w:id="397" w:name="_Toc197746473"/>
      <w:bookmarkStart w:id="398" w:name="_Toc197751762"/>
      <w:bookmarkStart w:id="399" w:name="_Toc197752020"/>
      <w:bookmarkStart w:id="400" w:name="_Toc198006423"/>
      <w:bookmarkStart w:id="401" w:name="_Toc200360167"/>
      <w:bookmarkStart w:id="402" w:name="_Toc232396849"/>
      <w:bookmarkStart w:id="403" w:name="_Toc247954259"/>
      <w:bookmarkStart w:id="404" w:name="_Toc268599389"/>
      <w:bookmarkStart w:id="405" w:name="_Toc272236633"/>
      <w:bookmarkStart w:id="406" w:name="_Toc274299726"/>
      <w:r>
        <w:rPr>
          <w:rStyle w:val="CharDivNo"/>
        </w:rPr>
        <w:t>Division 4</w:t>
      </w:r>
      <w:r>
        <w:t> — </w:t>
      </w:r>
      <w:r>
        <w:rPr>
          <w:rStyle w:val="CharDivText"/>
        </w:rPr>
        <w:t>Issue of provisional improvement notices by safety and health representative</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Footnoteheading"/>
      </w:pPr>
      <w:r>
        <w:tab/>
        <w:t xml:space="preserve">[Heading inserted by No. 68 of 2004 s. 76.] </w:t>
      </w:r>
    </w:p>
    <w:p>
      <w:pPr>
        <w:pStyle w:val="Heading5"/>
      </w:pPr>
      <w:bookmarkStart w:id="407" w:name="_Toc274299727"/>
      <w:r>
        <w:rPr>
          <w:rStyle w:val="CharSectno"/>
        </w:rPr>
        <w:t>31BF</w:t>
      </w:r>
      <w:r>
        <w:t>.</w:t>
      </w:r>
      <w:r>
        <w:tab/>
        <w:t>Term used in this Division</w:t>
      </w:r>
      <w:bookmarkEnd w:id="407"/>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ind w:left="890" w:hanging="890"/>
      </w:pPr>
      <w:r>
        <w:tab/>
        <w:t>[Section 31BF inserted by No. 68 of 2004 s. 76.]</w:t>
      </w:r>
    </w:p>
    <w:p>
      <w:pPr>
        <w:pStyle w:val="Heading5"/>
      </w:pPr>
      <w:bookmarkStart w:id="408" w:name="_Toc274299728"/>
      <w:r>
        <w:rPr>
          <w:rStyle w:val="CharSectno"/>
        </w:rPr>
        <w:t>31BG</w:t>
      </w:r>
      <w:r>
        <w:t>.</w:t>
      </w:r>
      <w:r>
        <w:tab/>
        <w:t>Issue of provisional improvement notices</w:t>
      </w:r>
      <w:bookmarkEnd w:id="408"/>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 xml:space="preserve">The issue of a provisional improvement notice in respect of a contravention at a mine is to be notified as follows —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409" w:name="_Toc274299729"/>
      <w:r>
        <w:rPr>
          <w:rStyle w:val="CharSectno"/>
        </w:rPr>
        <w:t>31BH</w:t>
      </w:r>
      <w:r>
        <w:t>.</w:t>
      </w:r>
      <w:r>
        <w:tab/>
        <w:t>Consultation required before issue</w:t>
      </w:r>
      <w:bookmarkEnd w:id="409"/>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who is to be issued with the notice; and </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410" w:name="_Toc274299730"/>
      <w:r>
        <w:rPr>
          <w:rStyle w:val="CharSectno"/>
        </w:rPr>
        <w:t>31BI</w:t>
      </w:r>
      <w:r>
        <w:t>.</w:t>
      </w:r>
      <w:r>
        <w:tab/>
        <w:t>Contents of notice</w:t>
      </w:r>
      <w:bookmarkEnd w:id="410"/>
    </w:p>
    <w:p>
      <w:pPr>
        <w:pStyle w:val="Subsection"/>
      </w:pPr>
      <w:r>
        <w:tab/>
        <w:t>(1)</w:t>
      </w:r>
      <w:r>
        <w:tab/>
        <w:t xml:space="preserve">A provisional improvement notice must — </w:t>
      </w:r>
    </w:p>
    <w:p>
      <w:pPr>
        <w:pStyle w:val="Indenta"/>
      </w:pPr>
      <w:r>
        <w:tab/>
        <w:t>(a)</w:t>
      </w:r>
      <w:r>
        <w:tab/>
        <w:t>state the opinion of the qualified representative in terms of section 31BG(1)(a)(i) or (ii), as the case may be;</w:t>
      </w:r>
    </w:p>
    <w:p>
      <w:pPr>
        <w:pStyle w:val="Indenta"/>
      </w:pPr>
      <w:r>
        <w:tab/>
        <w:t>(b)</w:t>
      </w:r>
      <w:r>
        <w:tab/>
        <w:t>state reasonable grounds for that opinion;</w:t>
      </w:r>
    </w:p>
    <w:p>
      <w:pPr>
        <w:pStyle w:val="Indenta"/>
      </w:pPr>
      <w:r>
        <w:tab/>
        <w:t>(c)</w:t>
      </w:r>
      <w:r>
        <w:tab/>
        <w:t>specify the provision of this Act in respect of which the opinion is held;</w:t>
      </w:r>
    </w:p>
    <w:p>
      <w:pPr>
        <w:pStyle w:val="Indenta"/>
      </w:pPr>
      <w:r>
        <w:tab/>
        <w:t>(d)</w:t>
      </w:r>
      <w:r>
        <w:tab/>
        <w:t xml:space="preserve">state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pPr>
      <w:r>
        <w:tab/>
        <w:t>[Section 31BI inserted by No. 68 of 2004 s. 76.]</w:t>
      </w:r>
    </w:p>
    <w:p>
      <w:pPr>
        <w:pStyle w:val="Heading5"/>
      </w:pPr>
      <w:bookmarkStart w:id="411" w:name="_Toc274299731"/>
      <w:r>
        <w:rPr>
          <w:rStyle w:val="CharSectno"/>
        </w:rPr>
        <w:t>31BJ</w:t>
      </w:r>
      <w:r>
        <w:t>.</w:t>
      </w:r>
      <w:r>
        <w:tab/>
        <w:t>Provisional improvement notices may include directions</w:t>
      </w:r>
      <w:bookmarkEnd w:id="411"/>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31BJ inserted by No. 68 of 2004 s. 76.]</w:t>
      </w:r>
    </w:p>
    <w:p>
      <w:pPr>
        <w:pStyle w:val="Heading5"/>
      </w:pPr>
      <w:bookmarkStart w:id="412" w:name="_Toc274299732"/>
      <w:r>
        <w:rPr>
          <w:rStyle w:val="CharSectno"/>
        </w:rPr>
        <w:t>31BK</w:t>
      </w:r>
      <w:r>
        <w:t>.</w:t>
      </w:r>
      <w:r>
        <w:tab/>
        <w:t>Display of provisional improvement notices</w:t>
      </w:r>
      <w:bookmarkEnd w:id="412"/>
    </w:p>
    <w:p>
      <w:pPr>
        <w:pStyle w:val="Subsection"/>
      </w:pPr>
      <w:r>
        <w:tab/>
        <w:t>(1)</w:t>
      </w:r>
      <w:r>
        <w:tab/>
        <w:t xml:space="preserve">The manager of a mine who — </w:t>
      </w:r>
    </w:p>
    <w:p>
      <w:pPr>
        <w:pStyle w:val="Indenta"/>
      </w:pPr>
      <w:r>
        <w:tab/>
        <w:t>(a)</w:t>
      </w:r>
      <w:r>
        <w:tab/>
        <w:t>is issued with a provisional improvement notice; or</w:t>
      </w:r>
    </w:p>
    <w:p>
      <w:pPr>
        <w:pStyle w:val="Indenta"/>
      </w:pPr>
      <w:r>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413" w:name="_Toc274299733"/>
      <w:r>
        <w:rPr>
          <w:rStyle w:val="CharSectno"/>
        </w:rPr>
        <w:t>31BL</w:t>
      </w:r>
      <w:r>
        <w:t>.</w:t>
      </w:r>
      <w:r>
        <w:tab/>
        <w:t>Failure to comply with notice</w:t>
      </w:r>
      <w:bookmarkEnd w:id="413"/>
    </w:p>
    <w:p>
      <w:pPr>
        <w:pStyle w:val="Subsection"/>
      </w:pPr>
      <w:r>
        <w:tab/>
        <w:t>(1)</w:t>
      </w:r>
      <w:r>
        <w:tab/>
        <w:t xml:space="preserve">If a person — </w:t>
      </w:r>
    </w:p>
    <w:p>
      <w:pPr>
        <w:pStyle w:val="Indenta"/>
      </w:pPr>
      <w:r>
        <w:tab/>
        <w:t>(a)</w:t>
      </w:r>
      <w:r>
        <w:tab/>
        <w:t>is issued with a provisional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 by No. 68 of 2004 s. 76.]</w:t>
      </w:r>
    </w:p>
    <w:p>
      <w:pPr>
        <w:pStyle w:val="Heading5"/>
      </w:pPr>
      <w:bookmarkStart w:id="414" w:name="_Toc274299734"/>
      <w:r>
        <w:rPr>
          <w:rStyle w:val="CharSectno"/>
        </w:rPr>
        <w:t>31BM</w:t>
      </w:r>
      <w:r>
        <w:t>.</w:t>
      </w:r>
      <w:r>
        <w:tab/>
        <w:t>General duty of principal employer and manager in respect of provisional improvement notice</w:t>
      </w:r>
      <w:bookmarkEnd w:id="414"/>
    </w:p>
    <w:p>
      <w:pPr>
        <w:pStyle w:val="Subsection"/>
      </w:pPr>
      <w:r>
        <w:tab/>
        <w:t>(1)</w:t>
      </w:r>
      <w:r>
        <w:tab/>
        <w:t xml:space="preserve">Subsection (2) applies where — </w:t>
      </w:r>
    </w:p>
    <w:p>
      <w:pPr>
        <w:pStyle w:val="Indenta"/>
      </w:pPr>
      <w:r>
        <w:tab/>
        <w:t>(a)</w:t>
      </w:r>
      <w:r>
        <w:tab/>
        <w:t>a provisional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pPr>
      <w:r>
        <w:tab/>
        <w:t>[Section 31BM inserted by No. 68 of 2004 s. 76.]</w:t>
      </w:r>
    </w:p>
    <w:p>
      <w:pPr>
        <w:pStyle w:val="Heading5"/>
      </w:pPr>
      <w:bookmarkStart w:id="415" w:name="_Toc274299735"/>
      <w:r>
        <w:rPr>
          <w:rStyle w:val="CharSectno"/>
        </w:rPr>
        <w:t>31BN</w:t>
      </w:r>
      <w:r>
        <w:t>.</w:t>
      </w:r>
      <w:r>
        <w:tab/>
        <w:t>Review of notice by an inspector</w:t>
      </w:r>
      <w:bookmarkEnd w:id="415"/>
    </w:p>
    <w:p>
      <w:pPr>
        <w:pStyle w:val="Subsection"/>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b/>
          <w:i/>
          <w:sz w:val="20"/>
        </w:rPr>
        <w:t xml:space="preserve"> </w:t>
      </w:r>
      <w:r>
        <w:t>require that an inspector review the notice.</w:t>
      </w:r>
    </w:p>
    <w:p>
      <w:pPr>
        <w:pStyle w:val="Subsection"/>
      </w:pPr>
      <w:r>
        <w:tab/>
        <w:t>(2)</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 xml:space="preserve">Where a review notice is received by the department in accordance with this section, an inspector must as soon as is practicable — </w:t>
      </w:r>
    </w:p>
    <w:p>
      <w:pPr>
        <w:pStyle w:val="Indenta"/>
      </w:pPr>
      <w:r>
        <w:tab/>
        <w:t>(a)</w:t>
      </w:r>
      <w:r>
        <w:tab/>
        <w:t xml:space="preserve">attend at the mine; and </w:t>
      </w:r>
    </w:p>
    <w:p>
      <w:pPr>
        <w:pStyle w:val="Indenta"/>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(5)</w:t>
      </w:r>
      <w:r>
        <w:tab/>
        <w:t xml:space="preserve">If an inspector affirms a provisional improvement notice, with or without modifications, the notice as so affirmed has effect as if it had been issued by the inspector under section 30. </w:t>
      </w:r>
    </w:p>
    <w:p>
      <w:pPr>
        <w:pStyle w:val="Subsection"/>
      </w:pPr>
      <w:r>
        <w:tab/>
        <w:t>(6)</w:t>
      </w:r>
      <w:r>
        <w:tab/>
        <w:t xml:space="preserve">Where an inspector reviews a provisional improvement notice he or she is to give notice in writing — </w:t>
      </w:r>
    </w:p>
    <w:p>
      <w:pPr>
        <w:pStyle w:val="Indenta"/>
      </w:pPr>
      <w:r>
        <w:tab/>
        <w:t>(a)</w:t>
      </w:r>
      <w:r>
        <w:tab/>
        <w:t>of the result of the review; and</w:t>
      </w:r>
    </w:p>
    <w:p>
      <w:pPr>
        <w:pStyle w:val="Indenta"/>
      </w:pPr>
      <w:r>
        <w:tab/>
        <w:t>(b)</w:t>
      </w:r>
      <w:r>
        <w:tab/>
        <w:t>of any modifications to the notice,</w:t>
      </w:r>
    </w:p>
    <w:p>
      <w:pPr>
        <w:pStyle w:val="Subsection"/>
      </w:pPr>
      <w:r>
        <w:tab/>
      </w:r>
      <w:r>
        <w:tab/>
        <w:t xml:space="preserve">to —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416" w:name="_Toc274299736"/>
      <w:r>
        <w:rPr>
          <w:rStyle w:val="CharSectno"/>
        </w:rPr>
        <w:t>31BO</w:t>
      </w:r>
      <w:r>
        <w:t>.</w:t>
      </w:r>
      <w:r>
        <w:tab/>
        <w:t>Entries in mines record book</w:t>
      </w:r>
      <w:bookmarkEnd w:id="416"/>
    </w:p>
    <w:p>
      <w:pPr>
        <w:pStyle w:val="Subsection"/>
      </w:pPr>
      <w:r>
        <w:tab/>
        <w:t>(1)</w:t>
      </w:r>
      <w:r>
        <w:tab/>
        <w:t xml:space="preserve">The manager of a mine who —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417" w:name="_Toc192041124"/>
      <w:bookmarkStart w:id="418" w:name="_Toc196130304"/>
      <w:bookmarkStart w:id="419" w:name="_Toc196188269"/>
      <w:bookmarkStart w:id="420" w:name="_Toc196192517"/>
      <w:bookmarkStart w:id="421" w:name="_Toc197245053"/>
      <w:bookmarkStart w:id="422" w:name="_Toc197246046"/>
      <w:bookmarkStart w:id="423" w:name="_Toc197246453"/>
      <w:bookmarkStart w:id="424" w:name="_Toc197746484"/>
      <w:bookmarkStart w:id="425" w:name="_Toc197751773"/>
      <w:bookmarkStart w:id="426" w:name="_Toc197752031"/>
      <w:bookmarkStart w:id="427" w:name="_Toc198006434"/>
      <w:bookmarkStart w:id="428" w:name="_Toc200360178"/>
      <w:bookmarkStart w:id="429" w:name="_Toc232396860"/>
      <w:bookmarkStart w:id="430" w:name="_Toc247954270"/>
      <w:bookmarkStart w:id="431" w:name="_Toc268599400"/>
      <w:bookmarkStart w:id="432" w:name="_Toc272236644"/>
      <w:bookmarkStart w:id="433" w:name="_Toc274299737"/>
      <w:r>
        <w:rPr>
          <w:rStyle w:val="CharPartNo"/>
        </w:rPr>
        <w:t>Part 4</w:t>
      </w:r>
      <w:r>
        <w:t> — </w:t>
      </w:r>
      <w:r>
        <w:rPr>
          <w:rStyle w:val="CharPartText"/>
        </w:rPr>
        <w:t>Management of mines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PartText"/>
        </w:rPr>
        <w:t xml:space="preserve"> </w:t>
      </w:r>
    </w:p>
    <w:p>
      <w:pPr>
        <w:pStyle w:val="Heading3"/>
        <w:rPr>
          <w:snapToGrid w:val="0"/>
        </w:rPr>
      </w:pPr>
      <w:bookmarkStart w:id="434" w:name="_Toc192041125"/>
      <w:bookmarkStart w:id="435" w:name="_Toc196130305"/>
      <w:bookmarkStart w:id="436" w:name="_Toc196188270"/>
      <w:bookmarkStart w:id="437" w:name="_Toc196192518"/>
      <w:bookmarkStart w:id="438" w:name="_Toc197245054"/>
      <w:bookmarkStart w:id="439" w:name="_Toc197246047"/>
      <w:bookmarkStart w:id="440" w:name="_Toc197246454"/>
      <w:bookmarkStart w:id="441" w:name="_Toc197746485"/>
      <w:bookmarkStart w:id="442" w:name="_Toc197751774"/>
      <w:bookmarkStart w:id="443" w:name="_Toc197752032"/>
      <w:bookmarkStart w:id="444" w:name="_Toc198006435"/>
      <w:bookmarkStart w:id="445" w:name="_Toc200360179"/>
      <w:bookmarkStart w:id="446" w:name="_Toc232396861"/>
      <w:bookmarkStart w:id="447" w:name="_Toc247954271"/>
      <w:bookmarkStart w:id="448" w:name="_Toc268599401"/>
      <w:bookmarkStart w:id="449" w:name="_Toc272236645"/>
      <w:bookmarkStart w:id="450" w:name="_Toc274299738"/>
      <w:r>
        <w:rPr>
          <w:rStyle w:val="CharDivNo"/>
        </w:rPr>
        <w:t>Division 1</w:t>
      </w:r>
      <w:r>
        <w:rPr>
          <w:snapToGrid w:val="0"/>
        </w:rPr>
        <w:t> — </w:t>
      </w:r>
      <w:r>
        <w:rPr>
          <w:rStyle w:val="CharDivText"/>
        </w:rPr>
        <w:t>Duties of employers and managers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DivText"/>
        </w:rPr>
        <w:t xml:space="preserve"> </w:t>
      </w:r>
    </w:p>
    <w:p>
      <w:pPr>
        <w:pStyle w:val="Heading5"/>
        <w:rPr>
          <w:snapToGrid w:val="0"/>
        </w:rPr>
      </w:pPr>
      <w:bookmarkStart w:id="451" w:name="_Toc274299739"/>
      <w:r>
        <w:rPr>
          <w:rStyle w:val="CharSectno"/>
        </w:rPr>
        <w:t>32</w:t>
      </w:r>
      <w:r>
        <w:rPr>
          <w:snapToGrid w:val="0"/>
        </w:rPr>
        <w:t>.</w:t>
      </w:r>
      <w:r>
        <w:rPr>
          <w:snapToGrid w:val="0"/>
        </w:rPr>
        <w:tab/>
        <w:t>Principal employer</w:t>
      </w:r>
      <w:bookmarkEnd w:id="451"/>
      <w:r>
        <w:rPr>
          <w:snapToGrid w:val="0"/>
        </w:rPr>
        <w:t xml:space="preserve"> </w:t>
      </w:r>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452" w:name="_Toc274299740"/>
      <w:r>
        <w:rPr>
          <w:rStyle w:val="CharSectno"/>
        </w:rPr>
        <w:t>32A</w:t>
      </w:r>
      <w:r>
        <w:t>.</w:t>
      </w:r>
      <w:r>
        <w:tab/>
        <w:t>Change of principal employer or of particulars provided</w:t>
      </w:r>
      <w:bookmarkEnd w:id="452"/>
    </w:p>
    <w:p>
      <w:pPr>
        <w:pStyle w:val="Subsection"/>
      </w:pPr>
      <w:r>
        <w:tab/>
        <w:t>(1)</w:t>
      </w:r>
      <w:r>
        <w:tab/>
        <w:t xml:space="preserve">If there is a change in the identity of the principal employer at a mine, the new principal employer must, not later than 7 days after the change occurs, provide to the district inspector for the region where the mine is situated particulars of — </w:t>
      </w:r>
    </w:p>
    <w:p>
      <w:pPr>
        <w:pStyle w:val="Indenta"/>
      </w:pPr>
      <w:r>
        <w:tab/>
        <w:t>(a)</w:t>
      </w:r>
      <w:r>
        <w:tab/>
        <w:t xml:space="preserve">the name and address of — </w:t>
      </w:r>
    </w:p>
    <w:p>
      <w:pPr>
        <w:pStyle w:val="Indenti"/>
      </w:pPr>
      <w:r>
        <w:tab/>
        <w:t>(i)</w:t>
      </w:r>
      <w:r>
        <w:tab/>
        <w:t xml:space="preserve">the new principal employer; or </w:t>
      </w:r>
    </w:p>
    <w:p>
      <w:pPr>
        <w:pStyle w:val="Indenti"/>
      </w:pPr>
      <w:r>
        <w:tab/>
        <w:t>(ii)</w:t>
      </w:r>
      <w:r>
        <w:tab/>
        <w:t>each person who is a member of the partnership, syndicate or other association of persons that comprises the new principal employer,</w:t>
      </w:r>
    </w:p>
    <w:p>
      <w:pPr>
        <w:pStyle w:val="Indenta"/>
      </w:pPr>
      <w:r>
        <w:tab/>
      </w:r>
      <w:r>
        <w:tab/>
        <w:t>as the case may be; and</w:t>
      </w:r>
    </w:p>
    <w:p>
      <w:pPr>
        <w:pStyle w:val="Indenta"/>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 xml:space="preserve">If — </w:t>
      </w:r>
    </w:p>
    <w:p>
      <w:pPr>
        <w:pStyle w:val="Indenta"/>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 xml:space="preserve">there is a change —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453" w:name="_Toc274299741"/>
      <w:r>
        <w:rPr>
          <w:rStyle w:val="CharSectno"/>
        </w:rPr>
        <w:t>33</w:t>
      </w:r>
      <w:r>
        <w:rPr>
          <w:snapToGrid w:val="0"/>
        </w:rPr>
        <w:t>.</w:t>
      </w:r>
      <w:r>
        <w:rPr>
          <w:snapToGrid w:val="0"/>
        </w:rPr>
        <w:tab/>
        <w:t>Registered manager</w:t>
      </w:r>
      <w:bookmarkEnd w:id="453"/>
      <w:r>
        <w:rPr>
          <w:snapToGrid w:val="0"/>
        </w:rPr>
        <w:t xml:space="preserve"> </w:t>
      </w:r>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454" w:name="_Toc274299742"/>
      <w:r>
        <w:rPr>
          <w:rStyle w:val="CharSectno"/>
        </w:rPr>
        <w:t>33A</w:t>
      </w:r>
      <w:r>
        <w:t>.</w:t>
      </w:r>
      <w:r>
        <w:tab/>
        <w:t>Registered manager may make appointments on behalf of principal employer</w:t>
      </w:r>
      <w:bookmarkEnd w:id="454"/>
    </w:p>
    <w:p>
      <w:pPr>
        <w:pStyle w:val="Subsection"/>
      </w:pPr>
      <w:r>
        <w:tab/>
        <w:t>(1)</w:t>
      </w:r>
      <w:r>
        <w:tab/>
        <w:t xml:space="preserve">It is sufficient compliance with a provision of section 34(1) or (2), 35(1), 36(1) or (2), 37(1), 38(1), (2) or (3) or 39(2) (a </w:t>
      </w:r>
      <w:r>
        <w:rPr>
          <w:rStyle w:val="CharDefText"/>
        </w:rPr>
        <w:t>relevant provision</w:t>
      </w:r>
      <w:r>
        <w:t xml:space="preserve">) that requires the principal employer in relation to a mine —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 xml:space="preserve">for the region in which the mine is situated concerning the appointment, </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pPr>
      <w:r>
        <w:tab/>
        <w:t>(2)</w:t>
      </w:r>
      <w:r>
        <w:tab/>
        <w:t xml:space="preserve">It is open to the registered manager of a mine in exercising a power to appoint — </w:t>
      </w:r>
    </w:p>
    <w:p>
      <w:pPr>
        <w:pStyle w:val="Indenta"/>
      </w:pPr>
      <w:r>
        <w:tab/>
        <w:t>(a)</w:t>
      </w:r>
      <w:r>
        <w:tab/>
        <w:t xml:space="preserve">an underground manager; or </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 xml:space="preserve">If the registered manager —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455" w:name="_Toc274299743"/>
      <w:r>
        <w:rPr>
          <w:rStyle w:val="CharSectno"/>
        </w:rPr>
        <w:t>34</w:t>
      </w:r>
      <w:r>
        <w:rPr>
          <w:snapToGrid w:val="0"/>
        </w:rPr>
        <w:t>.</w:t>
      </w:r>
      <w:r>
        <w:rPr>
          <w:snapToGrid w:val="0"/>
        </w:rPr>
        <w:tab/>
        <w:t>Alternate and deputy registered managers</w:t>
      </w:r>
      <w:bookmarkEnd w:id="455"/>
      <w:r>
        <w:rPr>
          <w:snapToGrid w:val="0"/>
        </w:rPr>
        <w:t xml:space="preserve"> </w:t>
      </w:r>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 xml:space="preserve">Each — </w:t>
      </w:r>
    </w:p>
    <w:p>
      <w:pPr>
        <w:pStyle w:val="Indenta"/>
      </w:pPr>
      <w:r>
        <w:tab/>
        <w:t>(a)</w:t>
      </w:r>
      <w:r>
        <w:tab/>
        <w:t>alternate registered manager; and</w:t>
      </w:r>
    </w:p>
    <w:p>
      <w:pPr>
        <w:pStyle w:val="Indenta"/>
      </w:pPr>
      <w:r>
        <w:tab/>
        <w:t>(b)</w:t>
      </w:r>
      <w:r>
        <w:tab/>
        <w:t>deputy appointed under subsection (3),</w:t>
      </w:r>
    </w:p>
    <w:p>
      <w:pPr>
        <w:pStyle w:val="Subsection"/>
      </w:pPr>
      <w:r>
        <w:tab/>
      </w:r>
      <w:r>
        <w:tab/>
        <w:t>is deemed to be the registered manager, and has the powers, functions and duties of a registered manager under this Act, during any period of duty of the alternate or deputy.</w:t>
      </w:r>
    </w:p>
    <w:p>
      <w:pPr>
        <w:pStyle w:val="Subsection"/>
      </w:pPr>
      <w:r>
        <w:tab/>
        <w:t>(5)</w:t>
      </w:r>
      <w:r>
        <w:tab/>
        <w:t xml:space="preserve">The appointment of — </w:t>
      </w:r>
    </w:p>
    <w:p>
      <w:pPr>
        <w:pStyle w:val="Indenta"/>
      </w:pPr>
      <w:r>
        <w:tab/>
        <w:t>(a)</w:t>
      </w:r>
      <w:r>
        <w:tab/>
        <w:t>a deputy or alternate of a registered manager; or</w:t>
      </w:r>
    </w:p>
    <w:p>
      <w:pPr>
        <w:pStyle w:val="Indenta"/>
      </w:pPr>
      <w:r>
        <w:tab/>
        <w:t>(b)</w:t>
      </w:r>
      <w:r>
        <w:tab/>
        <w:t>a deputy of an alternate registered manager,</w:t>
      </w:r>
    </w:p>
    <w:p>
      <w:pPr>
        <w:pStyle w:val="Subsection"/>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456" w:name="_Toc274299744"/>
      <w:r>
        <w:rPr>
          <w:rStyle w:val="CharSectno"/>
        </w:rPr>
        <w:t>35</w:t>
      </w:r>
      <w:r>
        <w:rPr>
          <w:snapToGrid w:val="0"/>
        </w:rPr>
        <w:t>.</w:t>
      </w:r>
      <w:r>
        <w:rPr>
          <w:snapToGrid w:val="0"/>
        </w:rPr>
        <w:tab/>
        <w:t>Certificated underground manager</w:t>
      </w:r>
      <w:bookmarkEnd w:id="456"/>
      <w:r>
        <w:rPr>
          <w:snapToGrid w:val="0"/>
        </w:rPr>
        <w:t xml:space="preserve"> </w:t>
      </w:r>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pPr>
      <w:r>
        <w:tab/>
        <w:t>[Section 35 amended by No. 16 of 2008 s. 11.]</w:t>
      </w:r>
    </w:p>
    <w:p>
      <w:pPr>
        <w:pStyle w:val="Heading5"/>
        <w:rPr>
          <w:snapToGrid w:val="0"/>
        </w:rPr>
      </w:pPr>
      <w:bookmarkStart w:id="457" w:name="_Toc274299745"/>
      <w:r>
        <w:rPr>
          <w:rStyle w:val="CharSectno"/>
        </w:rPr>
        <w:t>36</w:t>
      </w:r>
      <w:r>
        <w:rPr>
          <w:snapToGrid w:val="0"/>
        </w:rPr>
        <w:t>.</w:t>
      </w:r>
      <w:r>
        <w:rPr>
          <w:snapToGrid w:val="0"/>
        </w:rPr>
        <w:tab/>
        <w:t>Alternate and deputy underground managers</w:t>
      </w:r>
      <w:bookmarkEnd w:id="457"/>
      <w:r>
        <w:rPr>
          <w:snapToGrid w:val="0"/>
        </w:rPr>
        <w:t xml:space="preserve"> </w:t>
      </w:r>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458" w:name="_Toc274299746"/>
      <w:r>
        <w:rPr>
          <w:rStyle w:val="CharSectno"/>
        </w:rPr>
        <w:t>37</w:t>
      </w:r>
      <w:r>
        <w:rPr>
          <w:snapToGrid w:val="0"/>
        </w:rPr>
        <w:t>.</w:t>
      </w:r>
      <w:r>
        <w:rPr>
          <w:snapToGrid w:val="0"/>
        </w:rPr>
        <w:tab/>
        <w:t>Certificated quarry manager</w:t>
      </w:r>
      <w:bookmarkEnd w:id="458"/>
      <w:r>
        <w:rPr>
          <w:snapToGrid w:val="0"/>
        </w:rPr>
        <w:t xml:space="preserve"> </w:t>
      </w:r>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459" w:name="_Toc274299747"/>
      <w:r>
        <w:rPr>
          <w:rStyle w:val="CharSectno"/>
        </w:rPr>
        <w:t>38</w:t>
      </w:r>
      <w:r>
        <w:rPr>
          <w:snapToGrid w:val="0"/>
        </w:rPr>
        <w:t>.</w:t>
      </w:r>
      <w:r>
        <w:rPr>
          <w:snapToGrid w:val="0"/>
        </w:rPr>
        <w:tab/>
        <w:t>Alternate and deputy quarry managers</w:t>
      </w:r>
      <w:bookmarkEnd w:id="459"/>
      <w:r>
        <w:rPr>
          <w:snapToGrid w:val="0"/>
        </w:rPr>
        <w:t xml:space="preserve"> </w:t>
      </w:r>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460" w:name="_Toc274299748"/>
      <w:r>
        <w:rPr>
          <w:rStyle w:val="CharSectno"/>
        </w:rPr>
        <w:t>38A</w:t>
      </w:r>
      <w:r>
        <w:t>.</w:t>
      </w:r>
      <w:r>
        <w:tab/>
        <w:t>Periods of duty and related matters to be shown in record book</w:t>
      </w:r>
      <w:bookmarkEnd w:id="460"/>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xml:space="preserve">; and </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xml:space="preserve">; and </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 xml:space="preserve">must include, in accordance with the regulations, particulars of —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xml:space="preserve">; and </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461" w:name="_Toc274299749"/>
      <w:r>
        <w:rPr>
          <w:rStyle w:val="CharSectno"/>
        </w:rPr>
        <w:t>39</w:t>
      </w:r>
      <w:r>
        <w:rPr>
          <w:snapToGrid w:val="0"/>
        </w:rPr>
        <w:t>.</w:t>
      </w:r>
      <w:r>
        <w:rPr>
          <w:snapToGrid w:val="0"/>
        </w:rPr>
        <w:tab/>
        <w:t>Requirement for appointment of more than one certificated manager</w:t>
      </w:r>
      <w:bookmarkEnd w:id="461"/>
      <w:r>
        <w:rPr>
          <w:snapToGrid w:val="0"/>
        </w:rPr>
        <w:t xml:space="preserve"> </w:t>
      </w:r>
    </w:p>
    <w:p>
      <w:pPr>
        <w:pStyle w:val="Subsection"/>
        <w:spacing w:before="200"/>
        <w:rPr>
          <w:snapToGrid w:val="0"/>
        </w:rPr>
      </w:pPr>
      <w:r>
        <w:rPr>
          <w:snapToGrid w:val="0"/>
        </w:rPr>
        <w:tab/>
        <w:t>(1)</w:t>
      </w:r>
      <w:r>
        <w:rPr>
          <w:snapToGrid w:val="0"/>
        </w:rPr>
        <w:tab/>
        <w:t xml:space="preserve">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 </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462" w:name="_Toc274299750"/>
      <w:r>
        <w:rPr>
          <w:rStyle w:val="CharSectno"/>
        </w:rPr>
        <w:t>40</w:t>
      </w:r>
      <w:r>
        <w:rPr>
          <w:snapToGrid w:val="0"/>
        </w:rPr>
        <w:t>.</w:t>
      </w:r>
      <w:r>
        <w:rPr>
          <w:snapToGrid w:val="0"/>
        </w:rPr>
        <w:tab/>
        <w:t>Managers to notify assumption of control</w:t>
      </w:r>
      <w:bookmarkEnd w:id="462"/>
      <w:r>
        <w:rPr>
          <w:snapToGrid w:val="0"/>
        </w:rPr>
        <w:t xml:space="preserve"> </w:t>
      </w:r>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463" w:name="_Toc274299751"/>
      <w:r>
        <w:rPr>
          <w:rStyle w:val="CharSectno"/>
        </w:rPr>
        <w:t>41</w:t>
      </w:r>
      <w:r>
        <w:rPr>
          <w:snapToGrid w:val="0"/>
        </w:rPr>
        <w:t>.</w:t>
      </w:r>
      <w:r>
        <w:rPr>
          <w:snapToGrid w:val="0"/>
        </w:rPr>
        <w:tab/>
        <w:t>Offence to work mine without appointed managers</w:t>
      </w:r>
      <w:bookmarkEnd w:id="463"/>
      <w:r>
        <w:rPr>
          <w:snapToGrid w:val="0"/>
        </w:rPr>
        <w:t xml:space="preserve"> </w:t>
      </w:r>
    </w:p>
    <w:p>
      <w:pPr>
        <w:pStyle w:val="Subsection"/>
        <w:rPr>
          <w:snapToGrid w:val="0"/>
        </w:rPr>
      </w:pPr>
      <w:r>
        <w:rPr>
          <w:snapToGrid w:val="0"/>
        </w:rPr>
        <w:tab/>
        <w:t>(1)</w:t>
      </w:r>
      <w:r>
        <w:rPr>
          <w:snapToGrid w:val="0"/>
        </w:rPr>
        <w:tab/>
        <w:t>If a mine is worked for more than 14 days other than —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464" w:name="_Toc274299752"/>
      <w:r>
        <w:rPr>
          <w:rStyle w:val="CharSectno"/>
        </w:rPr>
        <w:t>42</w:t>
      </w:r>
      <w:r>
        <w:rPr>
          <w:snapToGrid w:val="0"/>
        </w:rPr>
        <w:t>.</w:t>
      </w:r>
      <w:r>
        <w:rPr>
          <w:snapToGrid w:val="0"/>
        </w:rPr>
        <w:tab/>
        <w:t>Commencement or suspension of mining</w:t>
      </w:r>
      <w:bookmarkEnd w:id="464"/>
      <w:r>
        <w:rPr>
          <w:snapToGrid w:val="0"/>
        </w:rPr>
        <w:t xml:space="preserve"> </w:t>
      </w:r>
    </w:p>
    <w:p>
      <w:pPr>
        <w:pStyle w:val="Subsection"/>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 </w:t>
      </w:r>
    </w:p>
    <w:p>
      <w:pPr>
        <w:pStyle w:val="Indenta"/>
        <w:rPr>
          <w:snapToGrid w:val="0"/>
        </w:rPr>
      </w:pPr>
      <w:r>
        <w:rPr>
          <w:snapToGrid w:val="0"/>
        </w:rPr>
        <w:tab/>
        <w:t>(a)</w:t>
      </w:r>
      <w:r>
        <w:rPr>
          <w:snapToGrid w:val="0"/>
        </w:rPr>
        <w:tab/>
        <w:t>before mining operations are commenced at the mine; or</w:t>
      </w:r>
    </w:p>
    <w:p>
      <w:pPr>
        <w:pStyle w:val="Indenta"/>
        <w:rPr>
          <w:snapToGrid w:val="0"/>
        </w:rPr>
      </w:pPr>
      <w:r>
        <w:rPr>
          <w:snapToGrid w:val="0"/>
        </w:rPr>
        <w:tab/>
        <w:t>(b)</w:t>
      </w:r>
      <w:r>
        <w:rPr>
          <w:snapToGrid w:val="0"/>
        </w:rPr>
        <w:tab/>
        <w:t>before mining operations are recommenced after their suspension; or</w:t>
      </w:r>
    </w:p>
    <w:p>
      <w:pPr>
        <w:pStyle w:val="Indenta"/>
        <w:rPr>
          <w:snapToGrid w:val="0"/>
        </w:rPr>
      </w:pPr>
      <w:r>
        <w:rPr>
          <w:snapToGrid w:val="0"/>
        </w:rPr>
        <w:tab/>
        <w:t>(c)</w:t>
      </w:r>
      <w:r>
        <w:rPr>
          <w:snapToGrid w:val="0"/>
        </w:rPr>
        <w:tab/>
        <w:t>before mining operations are abandoned; or</w:t>
      </w:r>
    </w:p>
    <w:p>
      <w:pPr>
        <w:pStyle w:val="Indenta"/>
        <w:rPr>
          <w:snapToGrid w:val="0"/>
        </w:rPr>
      </w:pPr>
      <w:r>
        <w:rPr>
          <w:snapToGrid w:val="0"/>
        </w:rPr>
        <w:tab/>
        <w:t>(d)</w:t>
      </w:r>
      <w:r>
        <w:rPr>
          <w:snapToGrid w:val="0"/>
        </w:rPr>
        <w:tab/>
        <w:t>before mining operations are suspended.</w:t>
      </w:r>
    </w:p>
    <w:p>
      <w:pPr>
        <w:pStyle w:val="Subsection"/>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rPr>
          <w:snapToGrid w:val="0"/>
        </w:rPr>
      </w:pPr>
      <w:r>
        <w:rPr>
          <w:snapToGrid w:val="0"/>
        </w:rPr>
        <w:tab/>
        <w:t>(4)</w:t>
      </w:r>
      <w:r>
        <w:rPr>
          <w:snapToGrid w:val="0"/>
        </w:rPr>
        <w:tab/>
        <w:t>A principal employer or manager who contravenes subsection (1), (2) or (3) commits an offence.</w:t>
      </w:r>
    </w:p>
    <w:p>
      <w:pPr>
        <w:pStyle w:val="Subsection"/>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465" w:name="_Toc274299753"/>
      <w:r>
        <w:rPr>
          <w:rStyle w:val="CharSectno"/>
        </w:rPr>
        <w:t>43</w:t>
      </w:r>
      <w:r>
        <w:rPr>
          <w:snapToGrid w:val="0"/>
        </w:rPr>
        <w:t>.</w:t>
      </w:r>
      <w:r>
        <w:rPr>
          <w:snapToGrid w:val="0"/>
        </w:rPr>
        <w:tab/>
        <w:t>Duties and responsibilities of manager</w:t>
      </w:r>
      <w:bookmarkEnd w:id="465"/>
      <w:r>
        <w:rPr>
          <w:snapToGrid w:val="0"/>
        </w:rPr>
        <w:t xml:space="preserve"> </w:t>
      </w:r>
    </w:p>
    <w:p>
      <w:pPr>
        <w:pStyle w:val="Subsection"/>
        <w:rPr>
          <w:snapToGrid w:val="0"/>
        </w:rPr>
      </w:pPr>
      <w:r>
        <w:rPr>
          <w:snapToGrid w:val="0"/>
        </w:rPr>
        <w:tab/>
        <w:t>(1)</w:t>
      </w:r>
      <w:r>
        <w:rPr>
          <w:snapToGrid w:val="0"/>
        </w:rPr>
        <w:tab/>
        <w:t xml:space="preserve">The manager of a mine has the management and control of the mine subject to any instructions given to the manager by or on behalf of the principal employer. </w:t>
      </w:r>
    </w:p>
    <w:p>
      <w:pPr>
        <w:pStyle w:val="Subsection"/>
        <w:keepNext/>
        <w:keepLines/>
        <w:rPr>
          <w:snapToGrid w:val="0"/>
        </w:rPr>
      </w:pPr>
      <w:r>
        <w:rPr>
          <w:snapToGrid w:val="0"/>
        </w:rPr>
        <w:tab/>
        <w:t>(2)</w:t>
      </w:r>
      <w:r>
        <w:rPr>
          <w:snapToGrid w:val="0"/>
        </w:rPr>
        <w:tab/>
        <w:t>The manager of a mine must, so far as is practicable — </w:t>
      </w:r>
    </w:p>
    <w:p>
      <w:pPr>
        <w:pStyle w:val="Indenta"/>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466" w:name="_Toc274299754"/>
      <w:r>
        <w:rPr>
          <w:rStyle w:val="CharSectno"/>
        </w:rPr>
        <w:t>43A</w:t>
      </w:r>
      <w:r>
        <w:t>.</w:t>
      </w:r>
      <w:r>
        <w:tab/>
        <w:t>Duties and responsibilities of underground manager or quarry manager</w:t>
      </w:r>
      <w:bookmarkEnd w:id="466"/>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 xml:space="preserve">The underground manager of a mine must, so far as is practicable —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pPr>
      <w:r>
        <w:tab/>
        <w:t>(4)</w:t>
      </w:r>
      <w:r>
        <w:tab/>
        <w:t xml:space="preserve">The quarry manager of a mine must, so far as is practicable —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467" w:name="_Toc274299755"/>
      <w:r>
        <w:rPr>
          <w:rStyle w:val="CharSectno"/>
        </w:rPr>
        <w:t>44</w:t>
      </w:r>
      <w:r>
        <w:rPr>
          <w:snapToGrid w:val="0"/>
        </w:rPr>
        <w:t>.</w:t>
      </w:r>
      <w:r>
        <w:rPr>
          <w:snapToGrid w:val="0"/>
        </w:rPr>
        <w:tab/>
        <w:t>Management appointments</w:t>
      </w:r>
      <w:bookmarkEnd w:id="467"/>
      <w:r>
        <w:rPr>
          <w:snapToGrid w:val="0"/>
        </w:rPr>
        <w:t xml:space="preserve"> </w:t>
      </w:r>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468" w:name="_Toc274299756"/>
      <w:r>
        <w:rPr>
          <w:rStyle w:val="CharSectno"/>
        </w:rPr>
        <w:t>45</w:t>
      </w:r>
      <w:r>
        <w:rPr>
          <w:snapToGrid w:val="0"/>
        </w:rPr>
        <w:t>.</w:t>
      </w:r>
      <w:r>
        <w:rPr>
          <w:snapToGrid w:val="0"/>
        </w:rPr>
        <w:tab/>
        <w:t>Provision of engineering report</w:t>
      </w:r>
      <w:bookmarkEnd w:id="468"/>
      <w:r>
        <w:rPr>
          <w:snapToGrid w:val="0"/>
        </w:rPr>
        <w:t xml:space="preserve"> </w:t>
      </w:r>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 xml:space="preserve">[Section 45 amended by No. 30 of 1995 s. 76(4).] </w:t>
      </w:r>
    </w:p>
    <w:p>
      <w:pPr>
        <w:pStyle w:val="Heading5"/>
        <w:rPr>
          <w:snapToGrid w:val="0"/>
        </w:rPr>
      </w:pPr>
      <w:bookmarkStart w:id="469" w:name="_Toc274299757"/>
      <w:r>
        <w:rPr>
          <w:rStyle w:val="CharSectno"/>
        </w:rPr>
        <w:t>46</w:t>
      </w:r>
      <w:r>
        <w:rPr>
          <w:snapToGrid w:val="0"/>
        </w:rPr>
        <w:t>.</w:t>
      </w:r>
      <w:r>
        <w:rPr>
          <w:snapToGrid w:val="0"/>
        </w:rPr>
        <w:tab/>
        <w:t>Principal employer’s instructions to manager</w:t>
      </w:r>
      <w:bookmarkEnd w:id="469"/>
      <w:r>
        <w:rPr>
          <w:snapToGrid w:val="0"/>
        </w:rPr>
        <w:t xml:space="preserve"> </w:t>
      </w:r>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470" w:name="_Toc166989584"/>
      <w:bookmarkStart w:id="471" w:name="_Toc196126228"/>
      <w:bookmarkStart w:id="472" w:name="_Toc274299758"/>
      <w:r>
        <w:rPr>
          <w:rStyle w:val="CharSectno"/>
        </w:rPr>
        <w:t>46A</w:t>
      </w:r>
      <w:r>
        <w:t>.</w:t>
      </w:r>
      <w:r>
        <w:tab/>
        <w:t>Appointment of exploration manager</w:t>
      </w:r>
      <w:bookmarkEnd w:id="470"/>
      <w:bookmarkEnd w:id="471"/>
      <w:bookmarkEnd w:id="472"/>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473" w:name="_Toc274299759"/>
      <w:r>
        <w:rPr>
          <w:rStyle w:val="CharSectno"/>
        </w:rPr>
        <w:t>47</w:t>
      </w:r>
      <w:r>
        <w:rPr>
          <w:snapToGrid w:val="0"/>
        </w:rPr>
        <w:t>.</w:t>
      </w:r>
      <w:r>
        <w:rPr>
          <w:snapToGrid w:val="0"/>
        </w:rPr>
        <w:tab/>
        <w:t>Management of exploration operations</w:t>
      </w:r>
      <w:bookmarkEnd w:id="473"/>
      <w:r>
        <w:rPr>
          <w:snapToGrid w:val="0"/>
        </w:rPr>
        <w:t xml:space="preserve"> </w:t>
      </w:r>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spacing w:before="120"/>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spacing w:before="120"/>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 xml:space="preserve">responsibilities which are —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spacing w:before="120"/>
      </w:pPr>
      <w:r>
        <w:tab/>
        <w:t>(6)</w:t>
      </w:r>
      <w:r>
        <w:tab/>
        <w:t>A person who contravenes subsection (2), (3) or (4) commits an offence.</w:t>
      </w:r>
    </w:p>
    <w:p>
      <w:pPr>
        <w:pStyle w:val="Footnotesection"/>
        <w:spacing w:before="80"/>
        <w:ind w:left="890" w:hanging="890"/>
      </w:pPr>
      <w:r>
        <w:tab/>
        <w:t>[Section 47 amended by No. 16 of 2008 s. 19.]</w:t>
      </w:r>
    </w:p>
    <w:p>
      <w:pPr>
        <w:pStyle w:val="Heading5"/>
      </w:pPr>
      <w:bookmarkStart w:id="474" w:name="_Toc166989587"/>
      <w:bookmarkStart w:id="475" w:name="_Toc196126231"/>
      <w:bookmarkStart w:id="476" w:name="_Toc274299760"/>
      <w:r>
        <w:rPr>
          <w:rStyle w:val="CharSectno"/>
        </w:rPr>
        <w:t>47A</w:t>
      </w:r>
      <w:r>
        <w:t>.</w:t>
      </w:r>
      <w:r>
        <w:tab/>
        <w:t>Exploration manager to be treated as a manager in certain circumstances</w:t>
      </w:r>
      <w:bookmarkEnd w:id="474"/>
      <w:bookmarkEnd w:id="475"/>
      <w:bookmarkEnd w:id="476"/>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rPr>
          <w:snapToGrid w:val="0"/>
        </w:rPr>
      </w:pPr>
      <w:bookmarkStart w:id="477" w:name="_Toc192041146"/>
      <w:bookmarkStart w:id="478" w:name="_Toc196130328"/>
      <w:bookmarkStart w:id="479" w:name="_Toc196188293"/>
      <w:bookmarkStart w:id="480" w:name="_Toc196192541"/>
      <w:bookmarkStart w:id="481" w:name="_Toc197245077"/>
      <w:bookmarkStart w:id="482" w:name="_Toc197246070"/>
      <w:bookmarkStart w:id="483" w:name="_Toc197246477"/>
      <w:bookmarkStart w:id="484" w:name="_Toc197746508"/>
      <w:bookmarkStart w:id="485" w:name="_Toc197751797"/>
      <w:bookmarkStart w:id="486" w:name="_Toc197752055"/>
      <w:bookmarkStart w:id="487" w:name="_Toc198006458"/>
      <w:bookmarkStart w:id="488" w:name="_Toc200360202"/>
      <w:bookmarkStart w:id="489" w:name="_Toc232396884"/>
      <w:bookmarkStart w:id="490" w:name="_Toc247954294"/>
      <w:bookmarkStart w:id="491" w:name="_Toc268599424"/>
      <w:bookmarkStart w:id="492" w:name="_Toc272236668"/>
      <w:bookmarkStart w:id="493" w:name="_Toc274299761"/>
      <w:r>
        <w:rPr>
          <w:rStyle w:val="CharDivNo"/>
        </w:rPr>
        <w:t>Division 2</w:t>
      </w:r>
      <w:r>
        <w:rPr>
          <w:snapToGrid w:val="0"/>
        </w:rPr>
        <w:t> — </w:t>
      </w:r>
      <w:r>
        <w:rPr>
          <w:rStyle w:val="CharDivText"/>
        </w:rPr>
        <w:t>Certificates of competency</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rStyle w:val="CharDivText"/>
        </w:rPr>
        <w:t xml:space="preserve"> </w:t>
      </w:r>
    </w:p>
    <w:p>
      <w:pPr>
        <w:pStyle w:val="Heading5"/>
        <w:rPr>
          <w:snapToGrid w:val="0"/>
        </w:rPr>
      </w:pPr>
      <w:bookmarkStart w:id="494" w:name="_Toc274299762"/>
      <w:r>
        <w:rPr>
          <w:rStyle w:val="CharSectno"/>
        </w:rPr>
        <w:t>48</w:t>
      </w:r>
      <w:r>
        <w:rPr>
          <w:snapToGrid w:val="0"/>
        </w:rPr>
        <w:t>.</w:t>
      </w:r>
      <w:r>
        <w:rPr>
          <w:snapToGrid w:val="0"/>
        </w:rPr>
        <w:tab/>
        <w:t>Board of Examiners</w:t>
      </w:r>
      <w:bookmarkEnd w:id="494"/>
      <w:r>
        <w:rPr>
          <w:snapToGrid w:val="0"/>
        </w:rPr>
        <w:t xml:space="preserve"> </w:t>
      </w:r>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 Minister for Public Sector Management.</w:t>
      </w:r>
    </w:p>
    <w:p>
      <w:pPr>
        <w:pStyle w:val="Heading5"/>
        <w:rPr>
          <w:snapToGrid w:val="0"/>
        </w:rPr>
      </w:pPr>
      <w:bookmarkStart w:id="495" w:name="_Toc274299763"/>
      <w:r>
        <w:rPr>
          <w:rStyle w:val="CharSectno"/>
        </w:rPr>
        <w:t>49</w:t>
      </w:r>
      <w:r>
        <w:rPr>
          <w:snapToGrid w:val="0"/>
        </w:rPr>
        <w:t>.</w:t>
      </w:r>
      <w:r>
        <w:rPr>
          <w:snapToGrid w:val="0"/>
        </w:rPr>
        <w:tab/>
        <w:t>Complaint to Board of Examiners</w:t>
      </w:r>
      <w:bookmarkEnd w:id="495"/>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496" w:name="_Toc274299764"/>
      <w:r>
        <w:rPr>
          <w:rStyle w:val="CharSectno"/>
        </w:rPr>
        <w:t>50</w:t>
      </w:r>
      <w:r>
        <w:rPr>
          <w:snapToGrid w:val="0"/>
        </w:rPr>
        <w:t>.</w:t>
      </w:r>
      <w:r>
        <w:rPr>
          <w:snapToGrid w:val="0"/>
        </w:rPr>
        <w:tab/>
        <w:t>Inquiry by Board of Examiners</w:t>
      </w:r>
      <w:bookmarkEnd w:id="496"/>
      <w:r>
        <w:rPr>
          <w:snapToGrid w:val="0"/>
        </w:rPr>
        <w:t xml:space="preserve"> </w:t>
      </w:r>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 </w:t>
      </w:r>
    </w:p>
    <w:p>
      <w:pPr>
        <w:pStyle w:val="Indenta"/>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497" w:name="_Toc274299765"/>
      <w:r>
        <w:rPr>
          <w:rStyle w:val="CharSectno"/>
        </w:rPr>
        <w:t>51</w:t>
      </w:r>
      <w:r>
        <w:rPr>
          <w:snapToGrid w:val="0"/>
        </w:rPr>
        <w:t>.</w:t>
      </w:r>
      <w:r>
        <w:rPr>
          <w:snapToGrid w:val="0"/>
        </w:rPr>
        <w:tab/>
        <w:t>Disciplinary action following inquiry</w:t>
      </w:r>
      <w:bookmarkEnd w:id="497"/>
      <w:r>
        <w:rPr>
          <w:snapToGrid w:val="0"/>
        </w:rPr>
        <w:t xml:space="preserve"> </w:t>
      </w:r>
    </w:p>
    <w:p>
      <w:pPr>
        <w:pStyle w:val="Subsection"/>
        <w:rPr>
          <w:snapToGrid w:val="0"/>
        </w:rPr>
      </w:pPr>
      <w:r>
        <w:rPr>
          <w:snapToGrid w:val="0"/>
        </w:rPr>
        <w:tab/>
        <w:t>(1)</w:t>
      </w:r>
      <w:r>
        <w:rPr>
          <w:snapToGrid w:val="0"/>
        </w:rPr>
        <w:tab/>
        <w:t>If after holding an inquiry the Board of Examiners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certificate of competency for a stated period; or</w:t>
      </w:r>
    </w:p>
    <w:p>
      <w:pPr>
        <w:pStyle w:val="Indenta"/>
        <w:rPr>
          <w:snapToGrid w:val="0"/>
        </w:rPr>
      </w:pPr>
      <w:r>
        <w:rPr>
          <w:snapToGrid w:val="0"/>
        </w:rPr>
        <w:tab/>
        <w:t>(c)</w:t>
      </w:r>
      <w:r>
        <w:rPr>
          <w:snapToGrid w:val="0"/>
        </w:rPr>
        <w:tab/>
        <w:t>cancel the respondent’s certificate of competency.</w:t>
      </w:r>
    </w:p>
    <w:p>
      <w:pPr>
        <w:pStyle w:val="Subsection"/>
        <w:rPr>
          <w:snapToGrid w:val="0"/>
        </w:rPr>
      </w:pPr>
      <w:r>
        <w:rPr>
          <w:snapToGrid w:val="0"/>
        </w:rPr>
        <w:tab/>
        <w:t>(2)</w:t>
      </w:r>
      <w:r>
        <w:rPr>
          <w:snapToGrid w:val="0"/>
        </w:rPr>
        <w:tab/>
        <w:t>A suspension or cancellation under this section takes effect after the time for an appeal under section 52 expires.</w:t>
      </w:r>
    </w:p>
    <w:p>
      <w:pPr>
        <w:pStyle w:val="Subsection"/>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pPr>
      <w:r>
        <w:tab/>
        <w:t>(4)</w:t>
      </w:r>
      <w:r>
        <w:tab/>
        <w:t>A person who contravenes subsection (3) commits an offence.</w:t>
      </w:r>
    </w:p>
    <w:p>
      <w:pPr>
        <w:pStyle w:val="Footnotesection"/>
      </w:pPr>
      <w:r>
        <w:tab/>
        <w:t>[Section 51 amended by No. 16 of 2008 s. 21.]</w:t>
      </w:r>
    </w:p>
    <w:p>
      <w:pPr>
        <w:pStyle w:val="Heading5"/>
        <w:rPr>
          <w:snapToGrid w:val="0"/>
        </w:rPr>
      </w:pPr>
      <w:bookmarkStart w:id="498" w:name="_Toc274299766"/>
      <w:r>
        <w:rPr>
          <w:rStyle w:val="CharSectno"/>
        </w:rPr>
        <w:t>52</w:t>
      </w:r>
      <w:r>
        <w:rPr>
          <w:snapToGrid w:val="0"/>
        </w:rPr>
        <w:t>.</w:t>
      </w:r>
      <w:r>
        <w:rPr>
          <w:snapToGrid w:val="0"/>
        </w:rPr>
        <w:tab/>
        <w:t>Appeal to</w:t>
      </w:r>
      <w:r>
        <w:t xml:space="preserve"> Tribunal</w:t>
      </w:r>
      <w:bookmarkEnd w:id="498"/>
      <w:r>
        <w:rPr>
          <w:snapToGrid w:val="0"/>
        </w:rPr>
        <w:t xml:space="preserve"> </w:t>
      </w:r>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499" w:name="_Toc192041152"/>
      <w:bookmarkStart w:id="500" w:name="_Toc196130334"/>
      <w:bookmarkStart w:id="501" w:name="_Toc196188299"/>
      <w:bookmarkStart w:id="502" w:name="_Toc196192547"/>
      <w:bookmarkStart w:id="503" w:name="_Toc197245083"/>
      <w:bookmarkStart w:id="504" w:name="_Toc197246076"/>
      <w:bookmarkStart w:id="505" w:name="_Toc197246483"/>
      <w:bookmarkStart w:id="506" w:name="_Toc197746514"/>
      <w:bookmarkStart w:id="507" w:name="_Toc197751803"/>
      <w:bookmarkStart w:id="508" w:name="_Toc197752061"/>
      <w:bookmarkStart w:id="509" w:name="_Toc198006464"/>
      <w:bookmarkStart w:id="510" w:name="_Toc200360208"/>
      <w:bookmarkStart w:id="511" w:name="_Toc232396890"/>
      <w:bookmarkStart w:id="512" w:name="_Toc247954300"/>
      <w:bookmarkStart w:id="513" w:name="_Toc268599430"/>
      <w:bookmarkStart w:id="514" w:name="_Toc272236674"/>
      <w:bookmarkStart w:id="515" w:name="_Toc274299767"/>
      <w:r>
        <w:rPr>
          <w:rStyle w:val="CharPartNo"/>
        </w:rPr>
        <w:t>Part 5</w:t>
      </w:r>
      <w:r>
        <w:t> — </w:t>
      </w:r>
      <w:r>
        <w:rPr>
          <w:rStyle w:val="CharPartText"/>
        </w:rPr>
        <w:t>Safety and health representatives and committees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Pr>
          <w:rStyle w:val="CharPartText"/>
        </w:rPr>
        <w:t xml:space="preserve"> </w:t>
      </w:r>
    </w:p>
    <w:p>
      <w:pPr>
        <w:pStyle w:val="Footnoteheading"/>
      </w:pPr>
      <w:r>
        <w:tab/>
        <w:t xml:space="preserve">[Heading amended by No. 30 of 1995 s. 76(1).] </w:t>
      </w:r>
    </w:p>
    <w:p>
      <w:pPr>
        <w:pStyle w:val="Heading3"/>
        <w:rPr>
          <w:snapToGrid w:val="0"/>
        </w:rPr>
      </w:pPr>
      <w:bookmarkStart w:id="516" w:name="_Toc192041153"/>
      <w:bookmarkStart w:id="517" w:name="_Toc196130335"/>
      <w:bookmarkStart w:id="518" w:name="_Toc196188300"/>
      <w:bookmarkStart w:id="519" w:name="_Toc196192548"/>
      <w:bookmarkStart w:id="520" w:name="_Toc197245084"/>
      <w:bookmarkStart w:id="521" w:name="_Toc197246077"/>
      <w:bookmarkStart w:id="522" w:name="_Toc197246484"/>
      <w:bookmarkStart w:id="523" w:name="_Toc197746515"/>
      <w:bookmarkStart w:id="524" w:name="_Toc197751804"/>
      <w:bookmarkStart w:id="525" w:name="_Toc197752062"/>
      <w:bookmarkStart w:id="526" w:name="_Toc198006465"/>
      <w:bookmarkStart w:id="527" w:name="_Toc200360209"/>
      <w:bookmarkStart w:id="528" w:name="_Toc232396891"/>
      <w:bookmarkStart w:id="529" w:name="_Toc247954301"/>
      <w:bookmarkStart w:id="530" w:name="_Toc268599431"/>
      <w:bookmarkStart w:id="531" w:name="_Toc272236675"/>
      <w:bookmarkStart w:id="532" w:name="_Toc274299768"/>
      <w:r>
        <w:rPr>
          <w:rStyle w:val="CharDivNo"/>
        </w:rPr>
        <w:t>Division 1</w:t>
      </w:r>
      <w:r>
        <w:rPr>
          <w:snapToGrid w:val="0"/>
        </w:rPr>
        <w:t> — </w:t>
      </w:r>
      <w:r>
        <w:rPr>
          <w:rStyle w:val="CharDivText"/>
        </w:rPr>
        <w:t>Safety and health representatives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Style w:val="CharDivText"/>
        </w:rPr>
        <w:t xml:space="preserve"> </w:t>
      </w:r>
    </w:p>
    <w:p>
      <w:pPr>
        <w:pStyle w:val="Footnoteheading"/>
      </w:pPr>
      <w:r>
        <w:tab/>
        <w:t xml:space="preserve">[Heading amended by No. 30 of 1995 s. 76(1).] </w:t>
      </w:r>
    </w:p>
    <w:p>
      <w:pPr>
        <w:pStyle w:val="Heading5"/>
        <w:rPr>
          <w:snapToGrid w:val="0"/>
        </w:rPr>
      </w:pPr>
      <w:bookmarkStart w:id="533" w:name="_Toc274299769"/>
      <w:r>
        <w:rPr>
          <w:rStyle w:val="CharSectno"/>
        </w:rPr>
        <w:t>53</w:t>
      </w:r>
      <w:r>
        <w:rPr>
          <w:snapToGrid w:val="0"/>
        </w:rPr>
        <w:t>.</w:t>
      </w:r>
      <w:r>
        <w:rPr>
          <w:snapToGrid w:val="0"/>
        </w:rPr>
        <w:tab/>
        <w:t>Functions of safety and health representatives</w:t>
      </w:r>
      <w:bookmarkEnd w:id="533"/>
      <w:r>
        <w:rPr>
          <w:snapToGrid w:val="0"/>
        </w:rPr>
        <w:t xml:space="preserve"> </w:t>
      </w:r>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 </w:t>
      </w:r>
    </w:p>
    <w:p>
      <w:pPr>
        <w:pStyle w:val="Indenta"/>
        <w:rPr>
          <w:snapToGrid w:val="0"/>
        </w:rPr>
      </w:pPr>
      <w:r>
        <w:rPr>
          <w:snapToGrid w:val="0"/>
        </w:rPr>
        <w:tab/>
        <w:t>(a)</w:t>
      </w:r>
      <w:r>
        <w:rPr>
          <w:snapToGrid w:val="0"/>
        </w:rPr>
        <w:tab/>
        <w:t>to inspect the mine, or any part of the mine —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 xml:space="preserve">where the representative has not inspected the mine, or that part of the mine, in the preceding 30 days, at any time upon giving reasonable notice to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 </w:t>
      </w:r>
    </w:p>
    <w:p>
      <w:pPr>
        <w:pStyle w:val="Indenta"/>
      </w:pPr>
      <w:r>
        <w:tab/>
        <w:t>(a)</w:t>
      </w:r>
      <w:r>
        <w:tab/>
        <w:t xml:space="preserve">if the scheme applies to more than one mine, each mine to which the scheme applies; and </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 xml:space="preserve">[Section 53 amended by No. 30 of 1995 s. 61 and 76(2), (3) and (4); No. 68 of 2004 s. 52; No. 16 of 2008 s. 22.] </w:t>
      </w:r>
    </w:p>
    <w:p>
      <w:pPr>
        <w:pStyle w:val="Heading5"/>
        <w:rPr>
          <w:snapToGrid w:val="0"/>
        </w:rPr>
      </w:pPr>
      <w:bookmarkStart w:id="534" w:name="_Toc274299770"/>
      <w:r>
        <w:rPr>
          <w:rStyle w:val="CharSectno"/>
        </w:rPr>
        <w:t>54</w:t>
      </w:r>
      <w:r>
        <w:rPr>
          <w:snapToGrid w:val="0"/>
        </w:rPr>
        <w:t>.</w:t>
      </w:r>
      <w:r>
        <w:rPr>
          <w:snapToGrid w:val="0"/>
        </w:rPr>
        <w:tab/>
        <w:t>Notice requiring election of safety and health representatives</w:t>
      </w:r>
      <w:bookmarkEnd w:id="534"/>
      <w:r>
        <w:rPr>
          <w:snapToGrid w:val="0"/>
        </w:rPr>
        <w:t xml:space="preserve"> </w:t>
      </w:r>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 xml:space="preserve">The fact that a notice under subsection (1) requires an election for the mine at which the employee works does not prevent —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 xml:space="preserve">[Section 54 amended by No. 30 of 1995 s. 76(4); No. 68 of 2004 s. 53.] </w:t>
      </w:r>
    </w:p>
    <w:p>
      <w:pPr>
        <w:pStyle w:val="Heading5"/>
        <w:rPr>
          <w:snapToGrid w:val="0"/>
        </w:rPr>
      </w:pPr>
      <w:bookmarkStart w:id="535" w:name="_Toc274299771"/>
      <w:r>
        <w:rPr>
          <w:rStyle w:val="CharSectno"/>
        </w:rPr>
        <w:t>55</w:t>
      </w:r>
      <w:r>
        <w:rPr>
          <w:snapToGrid w:val="0"/>
        </w:rPr>
        <w:t>.</w:t>
      </w:r>
      <w:r>
        <w:rPr>
          <w:snapToGrid w:val="0"/>
        </w:rPr>
        <w:tab/>
        <w:t>Consultation on election matters</w:t>
      </w:r>
      <w:bookmarkEnd w:id="535"/>
      <w:r>
        <w:rPr>
          <w:snapToGrid w:val="0"/>
        </w:rPr>
        <w:t xml:space="preserve"> </w:t>
      </w:r>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536" w:name="_Toc274299772"/>
      <w:r>
        <w:rPr>
          <w:rStyle w:val="CharSectno"/>
        </w:rPr>
        <w:t>55A</w:t>
      </w:r>
      <w:r>
        <w:t>.</w:t>
      </w:r>
      <w:r>
        <w:tab/>
        <w:t>Election scheme may be established</w:t>
      </w:r>
      <w:bookmarkEnd w:id="536"/>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537" w:name="_Toc274299773"/>
      <w:r>
        <w:rPr>
          <w:rStyle w:val="CharSectno"/>
        </w:rPr>
        <w:t>55B</w:t>
      </w:r>
      <w:r>
        <w:t>.</w:t>
      </w:r>
      <w:r>
        <w:tab/>
        <w:t>What may be included in a scheme</w:t>
      </w:r>
      <w:bookmarkEnd w:id="537"/>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xml:space="preserve">) may include provision for the election of one or more safety and health representatives for —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 xml:space="preserve">provide for the principal who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538" w:name="_Toc274299774"/>
      <w:r>
        <w:rPr>
          <w:rStyle w:val="CharSectno"/>
        </w:rPr>
        <w:t>55C</w:t>
      </w:r>
      <w:r>
        <w:t>.</w:t>
      </w:r>
      <w:r>
        <w:tab/>
        <w:t>Appointment of further delegates may be required</w:t>
      </w:r>
      <w:bookmarkEnd w:id="538"/>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539" w:name="_Toc274299775"/>
      <w:r>
        <w:rPr>
          <w:rStyle w:val="CharSectno"/>
        </w:rPr>
        <w:t>56</w:t>
      </w:r>
      <w:r>
        <w:rPr>
          <w:snapToGrid w:val="0"/>
        </w:rPr>
        <w:t>.</w:t>
      </w:r>
      <w:r>
        <w:rPr>
          <w:snapToGrid w:val="0"/>
        </w:rPr>
        <w:tab/>
        <w:t>Election of safety and health representatives</w:t>
      </w:r>
      <w:bookmarkEnd w:id="539"/>
      <w:r>
        <w:rPr>
          <w:snapToGrid w:val="0"/>
        </w:rPr>
        <w:t xml:space="preserve"> </w:t>
      </w:r>
    </w:p>
    <w:p>
      <w:pPr>
        <w:pStyle w:val="Subsection"/>
        <w:spacing w:before="120"/>
      </w:pPr>
      <w:r>
        <w:tab/>
        <w:t>(1)</w:t>
      </w:r>
      <w:r>
        <w:tab/>
        <w:t xml:space="preserve">In this section — </w:t>
      </w:r>
    </w:p>
    <w:p>
      <w:pPr>
        <w:pStyle w:val="Defstart"/>
      </w:pPr>
      <w:r>
        <w:tab/>
      </w:r>
      <w:r>
        <w:rPr>
          <w:rStyle w:val="CharDefText"/>
        </w:rPr>
        <w:t>election</w:t>
      </w:r>
      <w:r>
        <w:t xml:space="preserve"> means an election required for the purpose of electing one or more safety and health representatives following —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xml:space="preserve">, in relation to an election, means — </w:t>
      </w:r>
    </w:p>
    <w:p>
      <w:pPr>
        <w:pStyle w:val="Defpara"/>
      </w:pPr>
      <w:r>
        <w:tab/>
        <w:t>(a)</w:t>
      </w:r>
      <w:r>
        <w:tab/>
        <w:t>an employee who works at the mine to which the election relates; or</w:t>
      </w:r>
    </w:p>
    <w:p>
      <w:pPr>
        <w:pStyle w:val="Defpara"/>
      </w:pPr>
      <w:r>
        <w:tab/>
        <w:t>(b)</w:t>
      </w:r>
      <w:r>
        <w:tab/>
        <w:t xml:space="preserve">if a scheme has been established under section 55A for the election, an employee who —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 xml:space="preserve">Subject to this section, an election is to be conducted and safety and health representatives are to be elected in accordance with —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 xml:space="preserve">A person is not eligible to be elected as a safety and health representative for a mine unless the person —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 xml:space="preserve">The person conducting an election must — </w:t>
      </w:r>
    </w:p>
    <w:p>
      <w:pPr>
        <w:pStyle w:val="Indenta"/>
      </w:pPr>
      <w:r>
        <w:tab/>
        <w:t>(a)</w:t>
      </w:r>
      <w:r>
        <w:tab/>
        <w:t xml:space="preserve">give notice of the result to —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pPr>
      <w:r>
        <w:tab/>
        <w:t>(b)</w:t>
      </w:r>
      <w:r>
        <w:tab/>
        <w:t>give notice of the result to the State mining engineer in the form approved by the State mining engineer and provide such further particulars as are required by that form.</w:t>
      </w:r>
    </w:p>
    <w:p>
      <w:pPr>
        <w:pStyle w:val="Subsection"/>
      </w:pPr>
      <w:r>
        <w:tab/>
        <w:t>(10a)</w:t>
      </w:r>
      <w:r>
        <w:tab/>
        <w:t xml:space="preserve">A notice under subsection (10)(a) must be in writing and must —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 xml:space="preserve">[Section 56 amended by No. 30 of 1995 s. 63 and 76(4); No. 68 of 2004 s. 56 and 84(1); No. 16 of 2008 s. 24.] </w:t>
      </w:r>
    </w:p>
    <w:p>
      <w:pPr>
        <w:pStyle w:val="Heading5"/>
        <w:rPr>
          <w:snapToGrid w:val="0"/>
        </w:rPr>
      </w:pPr>
      <w:bookmarkStart w:id="540" w:name="_Toc274299776"/>
      <w:r>
        <w:rPr>
          <w:rStyle w:val="CharSectno"/>
        </w:rPr>
        <w:t>57</w:t>
      </w:r>
      <w:r>
        <w:rPr>
          <w:snapToGrid w:val="0"/>
        </w:rPr>
        <w:t>.</w:t>
      </w:r>
      <w:r>
        <w:rPr>
          <w:snapToGrid w:val="0"/>
        </w:rPr>
        <w:tab/>
        <w:t>Terms of office</w:t>
      </w:r>
      <w:bookmarkEnd w:id="540"/>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 xml:space="preserve">[Section 57 amended by No. 30 of 1995 s. 76(4); No. 68 of 2004 s. 58.] </w:t>
      </w:r>
    </w:p>
    <w:p>
      <w:pPr>
        <w:pStyle w:val="Heading5"/>
        <w:rPr>
          <w:snapToGrid w:val="0"/>
        </w:rPr>
      </w:pPr>
      <w:bookmarkStart w:id="541" w:name="_Toc274299777"/>
      <w:r>
        <w:rPr>
          <w:rStyle w:val="CharSectno"/>
        </w:rPr>
        <w:t>58</w:t>
      </w:r>
      <w:r>
        <w:rPr>
          <w:snapToGrid w:val="0"/>
        </w:rPr>
        <w:t>.</w:t>
      </w:r>
      <w:r>
        <w:rPr>
          <w:snapToGrid w:val="0"/>
        </w:rPr>
        <w:tab/>
        <w:t>Manager to ensure safety of safety and health representative</w:t>
      </w:r>
      <w:bookmarkEnd w:id="541"/>
      <w:r>
        <w:rPr>
          <w:snapToGrid w:val="0"/>
        </w:rPr>
        <w:t xml:space="preserve"> </w:t>
      </w:r>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 xml:space="preserve">[Section 58 amended by No. 30 of 1995 s. 76(4).] </w:t>
      </w:r>
    </w:p>
    <w:p>
      <w:pPr>
        <w:pStyle w:val="Heading5"/>
        <w:rPr>
          <w:snapToGrid w:val="0"/>
        </w:rPr>
      </w:pPr>
      <w:bookmarkStart w:id="542" w:name="_Toc274299778"/>
      <w:r>
        <w:rPr>
          <w:rStyle w:val="CharSectno"/>
        </w:rPr>
        <w:t>59</w:t>
      </w:r>
      <w:r>
        <w:rPr>
          <w:snapToGrid w:val="0"/>
        </w:rPr>
        <w:t>.</w:t>
      </w:r>
      <w:r>
        <w:rPr>
          <w:snapToGrid w:val="0"/>
        </w:rPr>
        <w:tab/>
        <w:t>Disqualification of safety and health representative</w:t>
      </w:r>
      <w:bookmarkEnd w:id="542"/>
      <w:r>
        <w:rPr>
          <w:snapToGrid w:val="0"/>
        </w:rPr>
        <w:t xml:space="preserve"> </w:t>
      </w:r>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Lines/>
        <w:rPr>
          <w:snapToGrid w:val="0"/>
        </w:rPr>
      </w:pPr>
      <w:r>
        <w:rPr>
          <w:snapToGrid w:val="0"/>
        </w:rPr>
        <w:tab/>
        <w:t>(c)</w:t>
      </w:r>
      <w:r>
        <w:rPr>
          <w:snapToGrid w:val="0"/>
        </w:rPr>
        <w:tab/>
        <w:t>has failed adequately to perform the functions of a safety and health representative under this Act,</w:t>
      </w:r>
    </w:p>
    <w:p>
      <w:pPr>
        <w:pStyle w:val="Subsection"/>
        <w:keepLines/>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 </w:t>
      </w:r>
    </w:p>
    <w:p>
      <w:pPr>
        <w:pStyle w:val="Indenta"/>
        <w:rPr>
          <w:snapToGrid w:val="0"/>
        </w:rPr>
      </w:pPr>
      <w:r>
        <w:rPr>
          <w:snapToGrid w:val="0"/>
        </w:rPr>
        <w:tab/>
        <w:t>(a)</w:t>
      </w:r>
      <w:r>
        <w:rPr>
          <w:snapToGrid w:val="0"/>
        </w:rPr>
        <w:tab/>
        <w:t>an employer at the mine or the manager of the mine; or</w:t>
      </w:r>
    </w:p>
    <w:p>
      <w:pPr>
        <w:pStyle w:val="Indenta"/>
      </w:pPr>
      <w:r>
        <w:tab/>
        <w:t>(b)</w:t>
      </w:r>
      <w:r>
        <w:tab/>
        <w:t>a relevant employee; or</w:t>
      </w:r>
    </w:p>
    <w:p>
      <w:pPr>
        <w:pStyle w:val="Indenta"/>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 </w:t>
      </w:r>
    </w:p>
    <w:p>
      <w:pPr>
        <w:pStyle w:val="Indenta"/>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mine concerned; </w:t>
      </w:r>
    </w:p>
    <w:p>
      <w:pPr>
        <w:pStyle w:val="Defpara"/>
      </w:pPr>
      <w:r>
        <w:tab/>
        <w:t>(b)</w:t>
      </w:r>
      <w:r>
        <w:tab/>
        <w:t>if the safety and health representative was elected for more than one mine pursuant to a scheme established under section 55A, an employee who works at any such mine; or</w:t>
      </w:r>
    </w:p>
    <w:p>
      <w:pPr>
        <w:pStyle w:val="Defpara"/>
        <w:keepLines/>
      </w:pPr>
      <w:r>
        <w:tab/>
        <w:t>(c)</w:t>
      </w:r>
      <w:r>
        <w:tab/>
        <w:t>if under a scheme referred to in paragraph (b) the safety and health representative was elected for a group of employees, an employee who is a member of the group.</w:t>
      </w:r>
    </w:p>
    <w:p>
      <w:pPr>
        <w:pStyle w:val="Footnotesection"/>
      </w:pPr>
      <w:r>
        <w:tab/>
        <w:t xml:space="preserve">[Section 59 amended by No. 30 of 1995 s. 64 and 76(4); No. 68 of 2004 s. 59 and 84.] </w:t>
      </w:r>
    </w:p>
    <w:p>
      <w:pPr>
        <w:pStyle w:val="Heading5"/>
        <w:rPr>
          <w:snapToGrid w:val="0"/>
        </w:rPr>
      </w:pPr>
      <w:bookmarkStart w:id="543" w:name="_Toc274299779"/>
      <w:r>
        <w:rPr>
          <w:rStyle w:val="CharSectno"/>
        </w:rPr>
        <w:t>60</w:t>
      </w:r>
      <w:r>
        <w:rPr>
          <w:snapToGrid w:val="0"/>
        </w:rPr>
        <w:t>.</w:t>
      </w:r>
      <w:r>
        <w:rPr>
          <w:snapToGrid w:val="0"/>
        </w:rPr>
        <w:tab/>
        <w:t>Duties of employers and manager regarding safety and health representatives</w:t>
      </w:r>
      <w:bookmarkEnd w:id="543"/>
      <w:r>
        <w:rPr>
          <w:snapToGrid w:val="0"/>
        </w:rPr>
        <w:t xml:space="preserve"> </w:t>
      </w:r>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 xml:space="preserve">This section also applies in relation to a mine or a part of a mine if — </w:t>
      </w:r>
    </w:p>
    <w:p>
      <w:pPr>
        <w:pStyle w:val="Indenta"/>
      </w:pPr>
      <w:r>
        <w:tab/>
        <w:t>(a)</w:t>
      </w:r>
      <w:r>
        <w:tab/>
        <w:t>pursuant to a scheme under section 55A, a safety and health representative has been elected for a group of employees; and</w:t>
      </w:r>
    </w:p>
    <w:p>
      <w:pPr>
        <w:pStyle w:val="Indenta"/>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 </w:t>
      </w:r>
    </w:p>
    <w:p>
      <w:pPr>
        <w:pStyle w:val="Indenta"/>
        <w:rPr>
          <w:snapToGrid w:val="0"/>
        </w:rPr>
      </w:pPr>
      <w:r>
        <w:rPr>
          <w:snapToGrid w:val="0"/>
        </w:rPr>
        <w:tab/>
        <w:t>(a)</w:t>
      </w:r>
      <w:r>
        <w:rPr>
          <w:snapToGrid w:val="0"/>
        </w:rPr>
        <w:tab/>
        <w:t>hazards to persons that arise or may arise at the mine; and</w:t>
      </w:r>
    </w:p>
    <w:p>
      <w:pPr>
        <w:pStyle w:val="Indenta"/>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 xml:space="preserve">Where a safety and health representative attends a course of training —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pPr>
      <w:r>
        <w:tab/>
        <w:t xml:space="preserve">[Section 60 amended by No. 30 of 1995 s. 76(1), (3) and (4); No. 68 of 2004 s. 60; No. 16 of 2008 s. 25.] </w:t>
      </w:r>
    </w:p>
    <w:p>
      <w:pPr>
        <w:pStyle w:val="Heading5"/>
        <w:spacing w:before="240"/>
        <w:rPr>
          <w:snapToGrid w:val="0"/>
        </w:rPr>
      </w:pPr>
      <w:bookmarkStart w:id="544" w:name="_Toc274299780"/>
      <w:r>
        <w:rPr>
          <w:rStyle w:val="CharSectno"/>
        </w:rPr>
        <w:t>61</w:t>
      </w:r>
      <w:r>
        <w:rPr>
          <w:snapToGrid w:val="0"/>
        </w:rPr>
        <w:t>.</w:t>
      </w:r>
      <w:r>
        <w:rPr>
          <w:snapToGrid w:val="0"/>
        </w:rPr>
        <w:tab/>
        <w:t>Duties of employers regarding safety and health representatives</w:t>
      </w:r>
      <w:bookmarkEnd w:id="544"/>
      <w:r>
        <w:rPr>
          <w:snapToGrid w:val="0"/>
        </w:rPr>
        <w:t xml:space="preserve"> </w:t>
      </w:r>
    </w:p>
    <w:p>
      <w:pPr>
        <w:pStyle w:val="Subsection"/>
        <w:spacing w:before="180"/>
        <w:rPr>
          <w:snapToGrid w:val="0"/>
        </w:rPr>
      </w:pPr>
      <w:r>
        <w:rPr>
          <w:snapToGrid w:val="0"/>
        </w:rPr>
        <w:tab/>
        <w:t>(1)</w:t>
      </w:r>
      <w:r>
        <w:rPr>
          <w:snapToGrid w:val="0"/>
        </w:rPr>
        <w:tab/>
        <w:t>An employer at a mine — </w:t>
      </w:r>
    </w:p>
    <w:p>
      <w:pPr>
        <w:pStyle w:val="Indenta"/>
        <w:rPr>
          <w:snapToGrid w:val="0"/>
        </w:rPr>
      </w:pPr>
      <w:r>
        <w:rPr>
          <w:snapToGrid w:val="0"/>
        </w:rPr>
        <w:tab/>
        <w:t>(a)</w:t>
      </w:r>
      <w:r>
        <w:rPr>
          <w:snapToGrid w:val="0"/>
        </w:rPr>
        <w:tab/>
        <w:t>must not make available to a safety and health representative any medical information concerning an employee unless —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 xml:space="preserve">the information is in a form that does not identify, nor permit the identification of, the employee;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pPr>
      <w:r>
        <w:tab/>
        <w:t xml:space="preserve">[Section 61 amended by No. 30 of 1995 s. 76(4).] </w:t>
      </w:r>
    </w:p>
    <w:p>
      <w:pPr>
        <w:pStyle w:val="Heading5"/>
        <w:spacing w:before="240"/>
        <w:rPr>
          <w:snapToGrid w:val="0"/>
        </w:rPr>
      </w:pPr>
      <w:bookmarkStart w:id="545" w:name="_Toc274299781"/>
      <w:r>
        <w:rPr>
          <w:rStyle w:val="CharSectno"/>
        </w:rPr>
        <w:t>62</w:t>
      </w:r>
      <w:r>
        <w:rPr>
          <w:snapToGrid w:val="0"/>
        </w:rPr>
        <w:t>.</w:t>
      </w:r>
      <w:r>
        <w:rPr>
          <w:snapToGrid w:val="0"/>
        </w:rPr>
        <w:tab/>
        <w:t>Regulations regarding time off work for safety and health representatives</w:t>
      </w:r>
      <w:bookmarkEnd w:id="545"/>
      <w:r>
        <w:rPr>
          <w:snapToGrid w:val="0"/>
        </w:rPr>
        <w:t xml:space="preserve"> </w:t>
      </w:r>
    </w:p>
    <w:p>
      <w:pPr>
        <w:pStyle w:val="Subsection"/>
        <w:spacing w:before="200"/>
        <w:rPr>
          <w:snapToGrid w:val="0"/>
        </w:rPr>
      </w:pPr>
      <w:r>
        <w:rPr>
          <w:snapToGrid w:val="0"/>
        </w:rPr>
        <w:tab/>
        <w:t>(1)</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 xml:space="preserve">In subsection (1)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 xml:space="preserve">[Section 62 amended by No. 30 of 1995 s. 65 and 76(1) and (4); No. 68 of 2004 s. 61 and 84.] </w:t>
      </w:r>
    </w:p>
    <w:p>
      <w:pPr>
        <w:pStyle w:val="Heading3"/>
        <w:rPr>
          <w:snapToGrid w:val="0"/>
        </w:rPr>
      </w:pPr>
      <w:bookmarkStart w:id="546" w:name="_Toc192041167"/>
      <w:bookmarkStart w:id="547" w:name="_Toc196130349"/>
      <w:bookmarkStart w:id="548" w:name="_Toc196188314"/>
      <w:bookmarkStart w:id="549" w:name="_Toc196192562"/>
      <w:bookmarkStart w:id="550" w:name="_Toc197245098"/>
      <w:bookmarkStart w:id="551" w:name="_Toc197246091"/>
      <w:bookmarkStart w:id="552" w:name="_Toc197246498"/>
      <w:bookmarkStart w:id="553" w:name="_Toc197746529"/>
      <w:bookmarkStart w:id="554" w:name="_Toc197751818"/>
      <w:bookmarkStart w:id="555" w:name="_Toc197752076"/>
      <w:bookmarkStart w:id="556" w:name="_Toc198006479"/>
      <w:bookmarkStart w:id="557" w:name="_Toc200360223"/>
      <w:bookmarkStart w:id="558" w:name="_Toc232396905"/>
      <w:bookmarkStart w:id="559" w:name="_Toc247954315"/>
      <w:bookmarkStart w:id="560" w:name="_Toc268599445"/>
      <w:bookmarkStart w:id="561" w:name="_Toc272236689"/>
      <w:bookmarkStart w:id="562" w:name="_Toc274299782"/>
      <w:r>
        <w:rPr>
          <w:rStyle w:val="CharDivNo"/>
        </w:rPr>
        <w:t>Division 2</w:t>
      </w:r>
      <w:r>
        <w:rPr>
          <w:snapToGrid w:val="0"/>
        </w:rPr>
        <w:t> — </w:t>
      </w:r>
      <w:r>
        <w:rPr>
          <w:rStyle w:val="CharDivText"/>
        </w:rPr>
        <w:t>Safety and health committees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rStyle w:val="CharDivText"/>
        </w:rPr>
        <w:t xml:space="preserve"> </w:t>
      </w:r>
    </w:p>
    <w:p>
      <w:pPr>
        <w:pStyle w:val="Footnoteheading"/>
        <w:rPr>
          <w:snapToGrid w:val="0"/>
        </w:rPr>
      </w:pPr>
      <w:r>
        <w:rPr>
          <w:snapToGrid w:val="0"/>
        </w:rPr>
        <w:tab/>
        <w:t>[Heading amended by No. 57 of 1997 s. 88(1).]</w:t>
      </w:r>
    </w:p>
    <w:p>
      <w:pPr>
        <w:pStyle w:val="Heading5"/>
      </w:pPr>
      <w:bookmarkStart w:id="563" w:name="_Toc274299783"/>
      <w:r>
        <w:rPr>
          <w:rStyle w:val="CharSectno"/>
        </w:rPr>
        <w:t>62A</w:t>
      </w:r>
      <w:r>
        <w:t>.</w:t>
      </w:r>
      <w:r>
        <w:tab/>
        <w:t>Terms used in this Division</w:t>
      </w:r>
      <w:bookmarkEnd w:id="563"/>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 </w:t>
      </w:r>
    </w:p>
    <w:p>
      <w:pPr>
        <w:pStyle w:val="Defpara"/>
      </w:pPr>
      <w:r>
        <w:tab/>
        <w:t>(a)</w:t>
      </w:r>
      <w:r>
        <w:tab/>
        <w:t xml:space="preserve">the provisions of — </w:t>
      </w:r>
    </w:p>
    <w:p>
      <w:pPr>
        <w:pStyle w:val="Defsubpara"/>
        <w:keepLines w:val="0"/>
      </w:pPr>
      <w:r>
        <w:tab/>
        <w:t>(i)</w:t>
      </w:r>
      <w:r>
        <w:tab/>
        <w:t>an agreement under section 67B(2); and</w:t>
      </w:r>
    </w:p>
    <w:p>
      <w:pPr>
        <w:pStyle w:val="Defsubpara"/>
        <w:keepLines w:val="0"/>
      </w:pPr>
      <w:r>
        <w:tab/>
        <w:t>(ii)</w:t>
      </w:r>
      <w:r>
        <w:tab/>
        <w:t>section 67B(3);</w:t>
      </w:r>
    </w:p>
    <w:p>
      <w:pPr>
        <w:pStyle w:val="Defpara"/>
      </w:pPr>
      <w:r>
        <w:tab/>
        <w:t>(b)</w:t>
      </w:r>
      <w:r>
        <w:tab/>
        <w:t xml:space="preserve">the terms of a determination of — </w:t>
      </w:r>
    </w:p>
    <w:p>
      <w:pPr>
        <w:pStyle w:val="Defsubpara"/>
        <w:keepLines w:val="0"/>
      </w:pPr>
      <w:r>
        <w:tab/>
        <w:t>(i)</w:t>
      </w:r>
      <w:r>
        <w:tab/>
        <w:t xml:space="preserve">the State mining engineer, under section 67C; or </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564" w:name="_Toc274299784"/>
      <w:r>
        <w:rPr>
          <w:rStyle w:val="CharSectno"/>
        </w:rPr>
        <w:t>63</w:t>
      </w:r>
      <w:r>
        <w:rPr>
          <w:snapToGrid w:val="0"/>
        </w:rPr>
        <w:t>.</w:t>
      </w:r>
      <w:r>
        <w:rPr>
          <w:snapToGrid w:val="0"/>
        </w:rPr>
        <w:tab/>
        <w:t>Functions of safety and health committees</w:t>
      </w:r>
      <w:bookmarkEnd w:id="564"/>
      <w:r>
        <w:rPr>
          <w:snapToGrid w:val="0"/>
        </w:rPr>
        <w:t xml:space="preserve"> </w:t>
      </w:r>
    </w:p>
    <w:p>
      <w:pPr>
        <w:pStyle w:val="Subsection"/>
      </w:pPr>
      <w:r>
        <w:tab/>
        <w:t>(1)</w:t>
      </w:r>
      <w:r>
        <w:tab/>
        <w:t xml:space="preserve">In this section —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 xml:space="preserve">[Section 63 amended by No. 30 of 1995 s. 76(2), (3) and (4); No. 68 of 2004 s. 63.] </w:t>
      </w:r>
    </w:p>
    <w:p>
      <w:pPr>
        <w:pStyle w:val="Heading5"/>
      </w:pPr>
      <w:bookmarkStart w:id="565" w:name="_Toc274299785"/>
      <w:r>
        <w:rPr>
          <w:rStyle w:val="CharSectno"/>
        </w:rPr>
        <w:t>64</w:t>
      </w:r>
      <w:r>
        <w:t>.</w:t>
      </w:r>
      <w:r>
        <w:tab/>
        <w:t>Employees to appoint representatives</w:t>
      </w:r>
      <w:bookmarkEnd w:id="565"/>
    </w:p>
    <w:p>
      <w:pPr>
        <w:pStyle w:val="Subsection"/>
      </w:pPr>
      <w:r>
        <w:tab/>
      </w:r>
      <w:r>
        <w:tab/>
        <w:t xml:space="preserve">Whenever required for the purpose of making an agreement under section 67B(2) or 67D(1) in respect of a mine, the employees who work at the mine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ind w:left="890" w:hanging="890"/>
      </w:pPr>
      <w:r>
        <w:tab/>
        <w:t>[Section 64 inserted by No. 68 of 2004 s. 64.]</w:t>
      </w:r>
    </w:p>
    <w:p>
      <w:pPr>
        <w:pStyle w:val="Heading5"/>
      </w:pPr>
      <w:bookmarkStart w:id="566" w:name="_Toc274299786"/>
      <w:r>
        <w:rPr>
          <w:rStyle w:val="CharSectno"/>
        </w:rPr>
        <w:t>65</w:t>
      </w:r>
      <w:r>
        <w:t>.</w:t>
      </w:r>
      <w:r>
        <w:tab/>
        <w:t>Obligation of employer to establish a safety and health committee</w:t>
      </w:r>
      <w:bookmarkEnd w:id="566"/>
      <w:r>
        <w:t xml:space="preserve"> </w:t>
      </w:r>
    </w:p>
    <w:p>
      <w:pPr>
        <w:pStyle w:val="Subsection"/>
        <w:rPr>
          <w:snapToGrid w:val="0"/>
        </w:rPr>
      </w:pPr>
      <w:r>
        <w:tab/>
        <w:t>(1)</w:t>
      </w:r>
      <w:r>
        <w:tab/>
      </w:r>
      <w:r>
        <w:rPr>
          <w:snapToGrid w:val="0"/>
        </w:rPr>
        <w:t>An employer must, in accordance with the prescribed requirements, establish a safety and health committee for a mine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567" w:name="_Toc274299787"/>
      <w:r>
        <w:rPr>
          <w:rStyle w:val="CharSectno"/>
        </w:rPr>
        <w:t>66</w:t>
      </w:r>
      <w:r>
        <w:t>.</w:t>
      </w:r>
      <w:r>
        <w:tab/>
        <w:t>Request for establishment of safety and health committee</w:t>
      </w:r>
      <w:bookmarkEnd w:id="567"/>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rPr>
          <w:snapToGrid w:val="0"/>
        </w:rPr>
      </w:pPr>
      <w:r>
        <w:tab/>
        <w:t>(3)</w:t>
      </w:r>
      <w:r>
        <w:tab/>
        <w:t xml:space="preserve">If an </w:t>
      </w:r>
      <w:r>
        <w:rPr>
          <w:snapToGrid w:val="0"/>
        </w:rPr>
        <w:t>employer contravenes subsection (2), the employer commits an offence.</w:t>
      </w:r>
    </w:p>
    <w:p>
      <w:pPr>
        <w:pStyle w:val="Footnotesection"/>
        <w:ind w:left="890" w:hanging="890"/>
      </w:pPr>
      <w:r>
        <w:tab/>
        <w:t>[Section 66 inserted by No. 68 of 2004 s. 64.]</w:t>
      </w:r>
    </w:p>
    <w:p>
      <w:pPr>
        <w:pStyle w:val="Heading5"/>
      </w:pPr>
      <w:bookmarkStart w:id="568" w:name="_Toc274299788"/>
      <w:r>
        <w:rPr>
          <w:rStyle w:val="CharSectno"/>
        </w:rPr>
        <w:t>67</w:t>
      </w:r>
      <w:r>
        <w:t>.</w:t>
      </w:r>
      <w:r>
        <w:tab/>
        <w:t>Referral of question to State mining engineer</w:t>
      </w:r>
      <w:bookmarkEnd w:id="568"/>
    </w:p>
    <w:p>
      <w:pPr>
        <w:pStyle w:val="Subsection"/>
        <w:spacing w:before="120"/>
      </w:pPr>
      <w:r>
        <w:tab/>
        <w:t>(1)</w:t>
      </w:r>
      <w:r>
        <w:tab/>
        <w:t xml:space="preserve">If —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 xml:space="preserve">The State mining engineer is to —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569" w:name="_Toc274299789"/>
      <w:r>
        <w:rPr>
          <w:rStyle w:val="CharSectno"/>
        </w:rPr>
        <w:t>67A</w:t>
      </w:r>
      <w:r>
        <w:t>.</w:t>
      </w:r>
      <w:r>
        <w:tab/>
        <w:t>Employer may establish a safety and health committee</w:t>
      </w:r>
      <w:bookmarkEnd w:id="569"/>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 </w:t>
      </w:r>
    </w:p>
    <w:p>
      <w:pPr>
        <w:pStyle w:val="Indenta"/>
      </w:pPr>
      <w:r>
        <w:tab/>
        <w:t>(a)</w:t>
      </w:r>
      <w:r>
        <w:tab/>
        <w:t>a regulation referred to in section 65(1)(a) has not come into operation;</w:t>
      </w:r>
    </w:p>
    <w:p>
      <w:pPr>
        <w:pStyle w:val="Indenta"/>
      </w:pPr>
      <w:r>
        <w:tab/>
        <w:t>(b)</w:t>
      </w:r>
      <w:r>
        <w:tab/>
        <w:t>a notice referred to in section 65(1)(b) has not been served on the employer; or</w:t>
      </w:r>
    </w:p>
    <w:p>
      <w:pPr>
        <w:pStyle w:val="Indenta"/>
      </w:pPr>
      <w:r>
        <w:tab/>
        <w:t>(c)</w:t>
      </w:r>
      <w:r>
        <w:tab/>
        <w:t>a request has not been made under section 66(1),</w:t>
      </w:r>
    </w:p>
    <w:p>
      <w:pPr>
        <w:pStyle w:val="Subsection"/>
      </w:pPr>
      <w:r>
        <w:tab/>
      </w:r>
      <w:r>
        <w:tab/>
        <w:t>in respect of the mine.</w:t>
      </w:r>
    </w:p>
    <w:p>
      <w:pPr>
        <w:pStyle w:val="Footnotesection"/>
      </w:pPr>
      <w:r>
        <w:tab/>
        <w:t>[Section 67A inserted by No. 68 of 2004 s. 64.]</w:t>
      </w:r>
    </w:p>
    <w:p>
      <w:pPr>
        <w:pStyle w:val="Heading5"/>
      </w:pPr>
      <w:bookmarkStart w:id="570" w:name="_Toc274299790"/>
      <w:r>
        <w:rPr>
          <w:rStyle w:val="CharSectno"/>
        </w:rPr>
        <w:t>67B</w:t>
      </w:r>
      <w:r>
        <w:t>.</w:t>
      </w:r>
      <w:r>
        <w:tab/>
        <w:t>How safety and health committee to be constituted</w:t>
      </w:r>
      <w:bookmarkEnd w:id="570"/>
    </w:p>
    <w:p>
      <w:pPr>
        <w:pStyle w:val="Subsection"/>
      </w:pPr>
      <w:r>
        <w:tab/>
        <w:t>(1)</w:t>
      </w:r>
      <w:r>
        <w:tab/>
        <w:t xml:space="preserve">In this section — </w:t>
      </w:r>
    </w:p>
    <w:p>
      <w:pPr>
        <w:pStyle w:val="Defstart"/>
      </w:pPr>
      <w:r>
        <w:rPr>
          <w:b/>
        </w:rPr>
        <w:tab/>
      </w:r>
      <w:r>
        <w:rPr>
          <w:rStyle w:val="CharDefText"/>
        </w:rPr>
        <w:t>mine</w:t>
      </w:r>
      <w:r>
        <w:t>, where an agreement under section 67D applies, includes 2 or more mines.</w:t>
      </w:r>
    </w:p>
    <w:p>
      <w:pPr>
        <w:pStyle w:val="Subsection"/>
      </w:pPr>
      <w:r>
        <w:tab/>
        <w:t>(2)</w:t>
      </w:r>
      <w:r>
        <w:tab/>
        <w:t xml:space="preserve">Subject to subsection (3), the composition, and the manner in which persons become members, of a safety and health committee for a mine are to be determined by agreement in writing between — </w:t>
      </w:r>
    </w:p>
    <w:p>
      <w:pPr>
        <w:pStyle w:val="Indenta"/>
      </w:pPr>
      <w:r>
        <w:tab/>
        <w:t>(a)</w:t>
      </w:r>
      <w:r>
        <w:tab/>
        <w:t>the employer or employers at the mine;</w:t>
      </w:r>
    </w:p>
    <w:p>
      <w:pPr>
        <w:pStyle w:val="Indenta"/>
      </w:pPr>
      <w:r>
        <w:tab/>
        <w:t>(b)</w:t>
      </w:r>
      <w:r>
        <w:tab/>
        <w:t>any safety and health representative for the mine; and</w:t>
      </w:r>
    </w:p>
    <w:p>
      <w:pPr>
        <w:pStyle w:val="Indenta"/>
      </w:pPr>
      <w:r>
        <w:tab/>
        <w:t>(c)</w:t>
      </w:r>
      <w:r>
        <w:tab/>
        <w:t>the employees appointed under section 64 in respect of the mine.</w:t>
      </w:r>
    </w:p>
    <w:p>
      <w:pPr>
        <w:pStyle w:val="Subsection"/>
      </w:pPr>
      <w:r>
        <w:tab/>
        <w:t>(3)</w:t>
      </w:r>
      <w:r>
        <w:tab/>
        <w:t xml:space="preserve">At least one half of the members of a safety and health committee for a mine must be persons each of whom is — </w:t>
      </w:r>
    </w:p>
    <w:p>
      <w:pPr>
        <w:pStyle w:val="Indenta"/>
      </w:pPr>
      <w:r>
        <w:tab/>
        <w:t>(a)</w:t>
      </w:r>
      <w:r>
        <w:tab/>
        <w:t>a safety and health representative for the mine; or</w:t>
      </w:r>
    </w:p>
    <w:p>
      <w:pPr>
        <w:pStyle w:val="Indenta"/>
      </w:pPr>
      <w:r>
        <w:tab/>
        <w:t>(b)</w:t>
      </w:r>
      <w:r>
        <w:tab/>
        <w:t>an employee who works at the mine and holds office as a member representing other employees.</w:t>
      </w:r>
    </w:p>
    <w:p>
      <w:pPr>
        <w:pStyle w:val="Footnotesection"/>
      </w:pPr>
      <w:r>
        <w:tab/>
        <w:t>[Section 67B inserted by No. 68 of 2004 s. 64.]</w:t>
      </w:r>
    </w:p>
    <w:p>
      <w:pPr>
        <w:pStyle w:val="Heading5"/>
      </w:pPr>
      <w:bookmarkStart w:id="571" w:name="_Toc274299791"/>
      <w:r>
        <w:rPr>
          <w:rStyle w:val="CharSectno"/>
        </w:rPr>
        <w:t>67C</w:t>
      </w:r>
      <w:r>
        <w:t>.</w:t>
      </w:r>
      <w:r>
        <w:tab/>
        <w:t>State mining engineer may make determination in certain cases</w:t>
      </w:r>
      <w:bookmarkEnd w:id="571"/>
    </w:p>
    <w:p>
      <w:pPr>
        <w:pStyle w:val="Subsection"/>
      </w:pPr>
      <w:r>
        <w:tab/>
        <w:t>(1)</w:t>
      </w:r>
      <w:r>
        <w:tab/>
        <w:t xml:space="preserve">This section applies if — </w:t>
      </w:r>
    </w:p>
    <w:p>
      <w:pPr>
        <w:pStyle w:val="Indenta"/>
      </w:pPr>
      <w:r>
        <w:tab/>
        <w:t>(a)</w:t>
      </w:r>
      <w:r>
        <w:tab/>
        <w:t xml:space="preserve">a consultation party considers that discussions for the purpose of making an agreement under section 67B — </w:t>
      </w:r>
    </w:p>
    <w:p>
      <w:pPr>
        <w:pStyle w:val="Indenti"/>
      </w:pPr>
      <w:r>
        <w:tab/>
        <w:t>(i)</w:t>
      </w:r>
      <w:r>
        <w:tab/>
        <w:t>cannot commence or continue because there are no employees appointed under section 64 in respect of the mine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 xml:space="preserve">The employer or other consultation party may refer to the State mining engineer for determination — </w:t>
      </w:r>
    </w:p>
    <w:p>
      <w:pPr>
        <w:pStyle w:val="Indenta"/>
      </w:pPr>
      <w:r>
        <w:tab/>
        <w:t>(a)</w:t>
      </w:r>
      <w:r>
        <w:tab/>
        <w:t xml:space="preserve">the matters that are required to be settled by agreement under section 67B; or </w:t>
      </w:r>
    </w:p>
    <w:p>
      <w:pPr>
        <w:pStyle w:val="Indenta"/>
      </w:pPr>
      <w:r>
        <w:tab/>
        <w:t>(b)</w:t>
      </w:r>
      <w:r>
        <w:tab/>
        <w:t>any particular matter mentioned in paragraph (a) on which the parties cannot agree.</w:t>
      </w:r>
    </w:p>
    <w:p>
      <w:pPr>
        <w:pStyle w:val="Subsection"/>
      </w:pPr>
      <w:r>
        <w:tab/>
        <w:t>(3)</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572" w:name="_Toc274299792"/>
      <w:r>
        <w:rPr>
          <w:rStyle w:val="CharSectno"/>
        </w:rPr>
        <w:t>67D</w:t>
      </w:r>
      <w:r>
        <w:t>.</w:t>
      </w:r>
      <w:r>
        <w:tab/>
        <w:t>Functions of committee may cover more than one mine</w:t>
      </w:r>
      <w:bookmarkEnd w:id="572"/>
    </w:p>
    <w:p>
      <w:pPr>
        <w:pStyle w:val="Subsection"/>
        <w:keepNext/>
        <w:keepLines/>
      </w:pPr>
      <w:r>
        <w:tab/>
        <w:t>(1)</w:t>
      </w:r>
      <w:r>
        <w:tab/>
        <w:t xml:space="preserve">If — </w:t>
      </w:r>
    </w:p>
    <w:p>
      <w:pPr>
        <w:pStyle w:val="Indenta"/>
      </w:pPr>
      <w:r>
        <w:tab/>
        <w:t>(a)</w:t>
      </w:r>
      <w:r>
        <w:tab/>
        <w:t xml:space="preserve">an employer —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pPr>
      <w:r>
        <w:tab/>
        <w:t>(b)</w:t>
      </w:r>
      <w:r>
        <w:tab/>
        <w:t>a safety and health committee has not been established for one or more of those mines,</w:t>
      </w:r>
    </w:p>
    <w:p>
      <w:pPr>
        <w:pStyle w:val="Subsection"/>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 xml:space="preserve">For the purposes of subsection (1) the parties concerned are — </w:t>
      </w:r>
    </w:p>
    <w:p>
      <w:pPr>
        <w:pStyle w:val="Indenta"/>
      </w:pPr>
      <w:r>
        <w:tab/>
        <w:t>(a)</w:t>
      </w:r>
      <w:r>
        <w:tab/>
        <w:t>the employer or employers at;</w:t>
      </w:r>
    </w:p>
    <w:p>
      <w:pPr>
        <w:pStyle w:val="Indenta"/>
      </w:pPr>
      <w:r>
        <w:tab/>
        <w:t>(b)</w:t>
      </w:r>
      <w:r>
        <w:tab/>
        <w:t>any safety and health representative for; and</w:t>
      </w:r>
    </w:p>
    <w:p>
      <w:pPr>
        <w:pStyle w:val="Indenta"/>
      </w:pPr>
      <w:r>
        <w:tab/>
        <w:t>(c)</w:t>
      </w:r>
      <w:r>
        <w:tab/>
        <w:t>the employees appointed under section 64 in respect of,</w:t>
      </w:r>
    </w:p>
    <w:p>
      <w:pPr>
        <w:pStyle w:val="Subsection"/>
      </w:pPr>
      <w:r>
        <w:tab/>
      </w:r>
      <w:r>
        <w:tab/>
        <w:t>any mine to which subsection (1)(b) applies.</w:t>
      </w:r>
    </w:p>
    <w:p>
      <w:pPr>
        <w:pStyle w:val="Subsection"/>
      </w:pPr>
      <w:r>
        <w:tab/>
        <w:t>(3)</w:t>
      </w:r>
      <w:r>
        <w:tab/>
        <w:t xml:space="preserve">An agreement under subsection (1) may provide — </w:t>
      </w:r>
    </w:p>
    <w:p>
      <w:pPr>
        <w:pStyle w:val="Indenta"/>
      </w:pPr>
      <w:r>
        <w:tab/>
        <w:t>(a)</w:t>
      </w:r>
      <w:r>
        <w:tab/>
        <w:t>for the establishment of a safety and health committee to perform functions in relation to more than one mine; and</w:t>
      </w:r>
    </w:p>
    <w:p>
      <w:pPr>
        <w:pStyle w:val="Indenta"/>
      </w:pPr>
      <w:r>
        <w:tab/>
        <w:t>(b)</w:t>
      </w:r>
      <w:r>
        <w:tab/>
        <w:t xml:space="preserve">for that committee to have subcommittees for each mine — </w:t>
      </w:r>
    </w:p>
    <w:p>
      <w:pPr>
        <w:pStyle w:val="Indenti"/>
      </w:pPr>
      <w:r>
        <w:tab/>
        <w:t>(i)</w:t>
      </w:r>
      <w:r>
        <w:tab/>
        <w:t xml:space="preserve">to advise the committee on the performance of its functions in relation to that mine; and </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573" w:name="_Toc274299793"/>
      <w:r>
        <w:rPr>
          <w:rStyle w:val="CharSectno"/>
        </w:rPr>
        <w:t>67E</w:t>
      </w:r>
      <w:r>
        <w:t>.</w:t>
      </w:r>
      <w:r>
        <w:tab/>
        <w:t>Amendment of agreement and abolition of committee</w:t>
      </w:r>
      <w:bookmarkEnd w:id="573"/>
    </w:p>
    <w:p>
      <w:pPr>
        <w:pStyle w:val="Subsection"/>
      </w:pPr>
      <w:r>
        <w:tab/>
        <w:t>(1)</w:t>
      </w:r>
      <w:r>
        <w:tab/>
        <w:t xml:space="preserve">In this section — </w:t>
      </w:r>
    </w:p>
    <w:p>
      <w:pPr>
        <w:pStyle w:val="Defstart"/>
      </w:pPr>
      <w:r>
        <w:rPr>
          <w:b/>
        </w:rPr>
        <w:tab/>
      </w:r>
      <w:r>
        <w:rPr>
          <w:rStyle w:val="CharDefText"/>
        </w:rPr>
        <w:t>relevant parties</w:t>
      </w:r>
      <w:r>
        <w:t xml:space="preserve">, in respect of a mine, means —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 xml:space="preserve">Where — </w:t>
      </w:r>
    </w:p>
    <w:p>
      <w:pPr>
        <w:pStyle w:val="Indenta"/>
      </w:pPr>
      <w:r>
        <w:tab/>
        <w:t>(a)</w:t>
      </w:r>
      <w:r>
        <w:tab/>
        <w:t>an agreement has been made under section 67B(2); or</w:t>
      </w:r>
    </w:p>
    <w:p>
      <w:pPr>
        <w:pStyle w:val="Indenta"/>
      </w:pPr>
      <w:r>
        <w:tab/>
        <w:t>(b)</w:t>
      </w:r>
      <w:r>
        <w:tab/>
        <w:t xml:space="preserve">the matters referred to in section 67B(2) are governed by provisions consisting —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 xml:space="preserve">the relevant parties may by agreement in writing made between them — </w:t>
      </w:r>
    </w:p>
    <w:p>
      <w:pPr>
        <w:pStyle w:val="Indenta"/>
      </w:pPr>
      <w:r>
        <w:tab/>
        <w:t>(c)</w:t>
      </w:r>
      <w:r>
        <w:tab/>
        <w:t xml:space="preserve">vary —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mine,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State mining engineer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spacing w:before="120"/>
      </w:pPr>
      <w:r>
        <w:tab/>
        <w:t>(5)</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spacing w:before="180"/>
      </w:pPr>
      <w:bookmarkStart w:id="574" w:name="_Toc274299794"/>
      <w:r>
        <w:rPr>
          <w:rStyle w:val="CharSectno"/>
        </w:rPr>
        <w:t>67F</w:t>
      </w:r>
      <w:r>
        <w:t>.</w:t>
      </w:r>
      <w:r>
        <w:tab/>
        <w:t>Review of State mining engineer’s decision</w:t>
      </w:r>
      <w:bookmarkEnd w:id="574"/>
    </w:p>
    <w:p>
      <w:pPr>
        <w:pStyle w:val="Subsection"/>
        <w:spacing w:before="120"/>
      </w:pPr>
      <w:r>
        <w:tab/>
        <w:t>(1)</w:t>
      </w:r>
      <w:r>
        <w:tab/>
        <w:t xml:space="preserve">Where the State mining engineer has made a decision under section 67(3) in respect of a mine — </w:t>
      </w:r>
    </w:p>
    <w:p>
      <w:pPr>
        <w:pStyle w:val="Indenta"/>
      </w:pPr>
      <w:r>
        <w:tab/>
        <w:t>(a)</w:t>
      </w:r>
      <w:r>
        <w:tab/>
        <w:t xml:space="preserve">an employer at the mine; </w:t>
      </w:r>
    </w:p>
    <w:p>
      <w:pPr>
        <w:pStyle w:val="Indenta"/>
      </w:pPr>
      <w:r>
        <w:tab/>
        <w:t>(b)</w:t>
      </w:r>
      <w:r>
        <w:tab/>
        <w:t xml:space="preserve">a safety and health representative for the mine; or </w:t>
      </w:r>
    </w:p>
    <w:p>
      <w:pPr>
        <w:pStyle w:val="Indenta"/>
      </w:pPr>
      <w:r>
        <w:tab/>
        <w:t>(c)</w:t>
      </w:r>
      <w:r>
        <w:tab/>
        <w:t xml:space="preserve">an employee who works at the mine, </w:t>
      </w:r>
    </w:p>
    <w:p>
      <w:pPr>
        <w:pStyle w:val="Subsection"/>
        <w:spacing w:before="120"/>
      </w:pPr>
      <w:r>
        <w:tab/>
      </w:r>
      <w:r>
        <w:tab/>
        <w:t>may refer the decision to the Tribunal for review.</w:t>
      </w:r>
    </w:p>
    <w:p>
      <w:pPr>
        <w:pStyle w:val="Subsection"/>
        <w:spacing w:before="120"/>
      </w:pPr>
      <w:r>
        <w:tab/>
        <w:t>(2)</w:t>
      </w:r>
      <w:r>
        <w:tab/>
        <w:t xml:space="preserve">Where the State mining engineer has made a determination under section 67C(3) in respect of one or more mines — </w:t>
      </w:r>
    </w:p>
    <w:p>
      <w:pPr>
        <w:pStyle w:val="Indenta"/>
      </w:pPr>
      <w:r>
        <w:tab/>
        <w:t>(a)</w:t>
      </w:r>
      <w:r>
        <w:tab/>
        <w:t xml:space="preserve">an employer at; </w:t>
      </w:r>
    </w:p>
    <w:p>
      <w:pPr>
        <w:pStyle w:val="Indenta"/>
      </w:pPr>
      <w:r>
        <w:tab/>
        <w:t>(b)</w:t>
      </w:r>
      <w:r>
        <w:tab/>
        <w:t>a safety and health representative for; or</w:t>
      </w:r>
    </w:p>
    <w:p>
      <w:pPr>
        <w:pStyle w:val="Indenta"/>
      </w:pPr>
      <w:r>
        <w:tab/>
        <w:t>(c)</w:t>
      </w:r>
      <w:r>
        <w:tab/>
        <w:t>an employee appointed under section 64 in respect of,</w:t>
      </w:r>
    </w:p>
    <w:p>
      <w:pPr>
        <w:pStyle w:val="Subsection"/>
      </w:pPr>
      <w:r>
        <w:tab/>
      </w:r>
      <w:r>
        <w:tab/>
        <w:t xml:space="preserve">a mine concerned, may refer the determination to the Tribunal for review. </w:t>
      </w:r>
    </w:p>
    <w:p>
      <w:pPr>
        <w:pStyle w:val="Subsection"/>
      </w:pPr>
      <w:r>
        <w:tab/>
        <w:t>(3)</w:t>
      </w:r>
      <w:r>
        <w:tab/>
        <w:t xml:space="preserve">Where the State mining engineer has made a determination under section 67E(5)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mine concerned may refer the determination to the Tribunal for review. </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575" w:name="_Toc274299795"/>
      <w:r>
        <w:rPr>
          <w:rStyle w:val="CharSectno"/>
        </w:rPr>
        <w:t>68</w:t>
      </w:r>
      <w:r>
        <w:t>.</w:t>
      </w:r>
      <w:r>
        <w:tab/>
        <w:t>Procedure of safety and health committees</w:t>
      </w:r>
      <w:bookmarkEnd w:id="575"/>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rPr>
          <w:snapToGrid w:val="0"/>
        </w:rPr>
      </w:pPr>
      <w:bookmarkStart w:id="576" w:name="_Toc192041181"/>
      <w:bookmarkStart w:id="577" w:name="_Toc196130363"/>
      <w:bookmarkStart w:id="578" w:name="_Toc196188328"/>
      <w:bookmarkStart w:id="579" w:name="_Toc196192576"/>
      <w:bookmarkStart w:id="580" w:name="_Toc197245112"/>
      <w:bookmarkStart w:id="581" w:name="_Toc197246105"/>
      <w:bookmarkStart w:id="582" w:name="_Toc197246512"/>
      <w:bookmarkStart w:id="583" w:name="_Toc197746543"/>
      <w:bookmarkStart w:id="584" w:name="_Toc197751832"/>
      <w:bookmarkStart w:id="585" w:name="_Toc197752090"/>
      <w:bookmarkStart w:id="586" w:name="_Toc198006493"/>
      <w:bookmarkStart w:id="587" w:name="_Toc200360237"/>
      <w:bookmarkStart w:id="588" w:name="_Toc232396919"/>
      <w:bookmarkStart w:id="589" w:name="_Toc247954329"/>
      <w:bookmarkStart w:id="590" w:name="_Toc268599459"/>
      <w:bookmarkStart w:id="591" w:name="_Toc272236703"/>
      <w:bookmarkStart w:id="592" w:name="_Toc274299796"/>
      <w:r>
        <w:rPr>
          <w:rStyle w:val="CharDivNo"/>
        </w:rPr>
        <w:t>Division 3</w:t>
      </w:r>
      <w:r>
        <w:rPr>
          <w:snapToGrid w:val="0"/>
        </w:rPr>
        <w:t> — </w:t>
      </w:r>
      <w:r>
        <w:rPr>
          <w:rStyle w:val="CharDivText"/>
        </w:rPr>
        <w:t>Discrimination</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rStyle w:val="CharDivText"/>
        </w:rPr>
        <w:t xml:space="preserve"> </w:t>
      </w:r>
    </w:p>
    <w:p>
      <w:pPr>
        <w:pStyle w:val="Heading5"/>
      </w:pPr>
      <w:bookmarkStart w:id="593" w:name="_Toc274299797"/>
      <w:r>
        <w:rPr>
          <w:rStyle w:val="CharSectno"/>
        </w:rPr>
        <w:t>68A</w:t>
      </w:r>
      <w:r>
        <w:t>.</w:t>
      </w:r>
      <w:r>
        <w:tab/>
        <w:t>Discrimination against safety and health representative in relation to employment</w:t>
      </w:r>
      <w:bookmarkEnd w:id="593"/>
    </w:p>
    <w:p>
      <w:pPr>
        <w:pStyle w:val="Subsection"/>
      </w:pPr>
      <w:r>
        <w:tab/>
        <w:t>(1)</w:t>
      </w:r>
      <w:r>
        <w:tab/>
        <w:t xml:space="preserve">An employer or a prospective employer at a mine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594" w:name="_Toc274299798"/>
      <w:r>
        <w:rPr>
          <w:rStyle w:val="CharSectno"/>
        </w:rPr>
        <w:t>68B</w:t>
      </w:r>
      <w:r>
        <w:t>.</w:t>
      </w:r>
      <w:r>
        <w:tab/>
        <w:t>Discrimination against safety and health representative in relation to contract for services</w:t>
      </w:r>
      <w:bookmarkEnd w:id="594"/>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Where a scheme under section 55A makes provision of the kind described in section 55B(3),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pPr>
      <w:r>
        <w:tab/>
        <w:t>(d)</w:t>
      </w:r>
      <w:r>
        <w:tab/>
        <w:t>is performing or has performed any function as a safety and health representative.</w:t>
      </w:r>
    </w:p>
    <w:p>
      <w:pPr>
        <w:pStyle w:val="Subsection"/>
      </w:pPr>
      <w:r>
        <w:tab/>
        <w:t>(3)</w:t>
      </w:r>
      <w:r>
        <w:tab/>
        <w:t>A principal who contravenes subsection (2) commits an offence.</w:t>
      </w:r>
    </w:p>
    <w:p>
      <w:pPr>
        <w:pStyle w:val="Footnotesection"/>
      </w:pPr>
      <w:r>
        <w:tab/>
        <w:t>[Section 68B inserted by No. 68 of 2004 s. 67.]</w:t>
      </w:r>
    </w:p>
    <w:p>
      <w:pPr>
        <w:pStyle w:val="Heading5"/>
      </w:pPr>
      <w:bookmarkStart w:id="595" w:name="_Toc274299799"/>
      <w:r>
        <w:rPr>
          <w:rStyle w:val="CharSectno"/>
        </w:rPr>
        <w:t>68C</w:t>
      </w:r>
      <w:r>
        <w:t>.</w:t>
      </w:r>
      <w:r>
        <w:tab/>
        <w:t>Claim may be referred to the Tribunal</w:t>
      </w:r>
      <w:bookmarkEnd w:id="595"/>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68A(4); or </w:t>
      </w:r>
    </w:p>
    <w:p>
      <w:pPr>
        <w:pStyle w:val="Indenta"/>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596" w:name="_Toc274299800"/>
      <w:r>
        <w:rPr>
          <w:rStyle w:val="CharSectno"/>
        </w:rPr>
        <w:t>68D</w:t>
      </w:r>
      <w:r>
        <w:t>.</w:t>
      </w:r>
      <w:r>
        <w:tab/>
        <w:t>Remedies that may be granted</w:t>
      </w:r>
      <w:bookmarkEnd w:id="596"/>
    </w:p>
    <w:p>
      <w:pPr>
        <w:pStyle w:val="Subsection"/>
      </w:pPr>
      <w:r>
        <w:tab/>
        <w:t>(1)</w:t>
      </w:r>
      <w:r>
        <w:tab/>
        <w:t xml:space="preserve">If, on the hearing of a claim under section 68C(1)(a)(i), the Tribunal is satisfied that an employer or a prospective employer has contravened section 68A,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597" w:name="_Toc274299801"/>
      <w:r>
        <w:rPr>
          <w:rStyle w:val="CharSectno"/>
        </w:rPr>
        <w:t>69</w:t>
      </w:r>
      <w:r>
        <w:rPr>
          <w:snapToGrid w:val="0"/>
        </w:rPr>
        <w:t>.</w:t>
      </w:r>
      <w:r>
        <w:rPr>
          <w:snapToGrid w:val="0"/>
        </w:rPr>
        <w:tab/>
        <w:t>Other discriminatory treatment of employees or prospective employees</w:t>
      </w:r>
      <w:bookmarkEnd w:id="597"/>
      <w:r>
        <w:rPr>
          <w:snapToGrid w:val="0"/>
        </w:rPr>
        <w:t xml:space="preserve"> </w:t>
      </w:r>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 xml:space="preserve">[Section 69 amended by No. 30 of 1995 s. 76(3) and (4); No. 68 of 2004 s. 68.] </w:t>
      </w:r>
    </w:p>
    <w:p>
      <w:pPr>
        <w:pStyle w:val="Heading2"/>
      </w:pPr>
      <w:bookmarkStart w:id="598" w:name="_Toc192041187"/>
      <w:bookmarkStart w:id="599" w:name="_Toc196130369"/>
      <w:bookmarkStart w:id="600" w:name="_Toc196188334"/>
      <w:bookmarkStart w:id="601" w:name="_Toc196192582"/>
      <w:bookmarkStart w:id="602" w:name="_Toc197245118"/>
      <w:bookmarkStart w:id="603" w:name="_Toc197246111"/>
      <w:bookmarkStart w:id="604" w:name="_Toc197246518"/>
      <w:bookmarkStart w:id="605" w:name="_Toc197746549"/>
      <w:bookmarkStart w:id="606" w:name="_Toc197751838"/>
      <w:bookmarkStart w:id="607" w:name="_Toc197752096"/>
      <w:bookmarkStart w:id="608" w:name="_Toc198006499"/>
      <w:bookmarkStart w:id="609" w:name="_Toc200360243"/>
      <w:bookmarkStart w:id="610" w:name="_Toc232396925"/>
      <w:bookmarkStart w:id="611" w:name="_Toc247954335"/>
      <w:bookmarkStart w:id="612" w:name="_Toc268599465"/>
      <w:bookmarkStart w:id="613" w:name="_Toc272236709"/>
      <w:bookmarkStart w:id="614" w:name="_Toc274299802"/>
      <w:r>
        <w:rPr>
          <w:rStyle w:val="CharPartNo"/>
        </w:rPr>
        <w:t>Part 6</w:t>
      </w:r>
      <w:r>
        <w:rPr>
          <w:rStyle w:val="CharDivNo"/>
        </w:rPr>
        <w:t> </w:t>
      </w:r>
      <w:r>
        <w:t>—</w:t>
      </w:r>
      <w:r>
        <w:rPr>
          <w:rStyle w:val="CharDivText"/>
        </w:rPr>
        <w:t> </w:t>
      </w:r>
      <w:r>
        <w:rPr>
          <w:rStyle w:val="CharPartText"/>
        </w:rPr>
        <w:t>Resolution of safety and health issues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Pr>
          <w:rStyle w:val="CharPartText"/>
        </w:rPr>
        <w:t xml:space="preserve"> </w:t>
      </w:r>
    </w:p>
    <w:p>
      <w:pPr>
        <w:pStyle w:val="Footnoteheading"/>
        <w:rPr>
          <w:snapToGrid w:val="0"/>
        </w:rPr>
      </w:pPr>
      <w:r>
        <w:rPr>
          <w:snapToGrid w:val="0"/>
        </w:rPr>
        <w:tab/>
        <w:t>[Heading amended by No. 57 of 1997 s. 88(2).]</w:t>
      </w:r>
    </w:p>
    <w:p>
      <w:pPr>
        <w:pStyle w:val="Heading5"/>
        <w:rPr>
          <w:snapToGrid w:val="0"/>
        </w:rPr>
      </w:pPr>
      <w:bookmarkStart w:id="615" w:name="_Toc274299803"/>
      <w:r>
        <w:rPr>
          <w:rStyle w:val="CharSectno"/>
        </w:rPr>
        <w:t>70</w:t>
      </w:r>
      <w:r>
        <w:rPr>
          <w:snapToGrid w:val="0"/>
        </w:rPr>
        <w:t>.</w:t>
      </w:r>
      <w:r>
        <w:rPr>
          <w:snapToGrid w:val="0"/>
        </w:rPr>
        <w:tab/>
        <w:t>Resolution of issues at the mine</w:t>
      </w:r>
      <w:bookmarkEnd w:id="615"/>
      <w:r>
        <w:rPr>
          <w:snapToGrid w:val="0"/>
        </w:rPr>
        <w:t xml:space="preserve"> </w:t>
      </w:r>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 xml:space="preserve">In subsection (1) — </w:t>
      </w:r>
    </w:p>
    <w:p>
      <w:pPr>
        <w:pStyle w:val="Defstart"/>
      </w:pPr>
      <w:r>
        <w:rPr>
          <w:b/>
        </w:rPr>
        <w:tab/>
      </w:r>
      <w:r>
        <w:rPr>
          <w:rStyle w:val="CharDefText"/>
        </w:rPr>
        <w:t>the relevant procedure</w:t>
      </w:r>
      <w:r>
        <w:t xml:space="preserve"> means —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the safety and health representative</w:t>
      </w:r>
      <w:r>
        <w:t xml:space="preserve"> —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 xml:space="preserve">Where attempts to resolve an issue as mentioned in subsection (1) do not succeed and — </w:t>
      </w:r>
    </w:p>
    <w:p>
      <w:pPr>
        <w:pStyle w:val="Indenta"/>
        <w:rPr>
          <w:snapToGrid w:val="0"/>
        </w:rPr>
      </w:pPr>
      <w:r>
        <w:rPr>
          <w:snapToGrid w:val="0"/>
        </w:rPr>
        <w:tab/>
        <w:t>(a)</w:t>
      </w:r>
      <w:r>
        <w:rPr>
          <w:snapToGrid w:val="0"/>
        </w:rPr>
        <w:tab/>
        <w:t xml:space="preserve">one or more safety and health representatives are provided for in the relevant procedure under subsection (1); and </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 xml:space="preserve">[Section 70 amended by No. 30 of 1995 s. 76(3) and (4); No. 68 of 2004 s. 69.] </w:t>
      </w:r>
    </w:p>
    <w:p>
      <w:pPr>
        <w:pStyle w:val="Heading5"/>
        <w:rPr>
          <w:snapToGrid w:val="0"/>
        </w:rPr>
      </w:pPr>
      <w:bookmarkStart w:id="616" w:name="_Toc274299804"/>
      <w:r>
        <w:rPr>
          <w:rStyle w:val="CharSectno"/>
        </w:rPr>
        <w:t>71</w:t>
      </w:r>
      <w:r>
        <w:rPr>
          <w:snapToGrid w:val="0"/>
        </w:rPr>
        <w:t>.</w:t>
      </w:r>
      <w:r>
        <w:rPr>
          <w:snapToGrid w:val="0"/>
        </w:rPr>
        <w:tab/>
        <w:t>Inspector may be notified where issue unresolved</w:t>
      </w:r>
      <w:bookmarkEnd w:id="616"/>
      <w:r>
        <w:rPr>
          <w:snapToGrid w:val="0"/>
        </w:rPr>
        <w:t xml:space="preserve"> </w:t>
      </w:r>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71 amended by No. 30 of 1995 s. 76(4); No. 68 of 2004 s. 78.] </w:t>
      </w:r>
    </w:p>
    <w:p>
      <w:pPr>
        <w:pStyle w:val="Heading5"/>
        <w:rPr>
          <w:snapToGrid w:val="0"/>
        </w:rPr>
      </w:pPr>
      <w:bookmarkStart w:id="617" w:name="_Toc274299805"/>
      <w:r>
        <w:rPr>
          <w:rStyle w:val="CharSectno"/>
        </w:rPr>
        <w:t>72</w:t>
      </w:r>
      <w:r>
        <w:rPr>
          <w:snapToGrid w:val="0"/>
        </w:rPr>
        <w:t>.</w:t>
      </w:r>
      <w:r>
        <w:rPr>
          <w:snapToGrid w:val="0"/>
        </w:rPr>
        <w:tab/>
        <w:t>Refusal by employee to work in certain cases</w:t>
      </w:r>
      <w:bookmarkEnd w:id="617"/>
      <w:r>
        <w:rPr>
          <w:snapToGrid w:val="0"/>
        </w:rPr>
        <w:t xml:space="preserve"> </w:t>
      </w:r>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 </w:t>
      </w:r>
    </w:p>
    <w:p>
      <w:pPr>
        <w:pStyle w:val="Indenta"/>
        <w:rPr>
          <w:snapToGrid w:val="0"/>
        </w:rPr>
      </w:pPr>
      <w:r>
        <w:rPr>
          <w:snapToGrid w:val="0"/>
        </w:rPr>
        <w:tab/>
        <w:t>(a)</w:t>
      </w:r>
      <w:r>
        <w:rPr>
          <w:snapToGrid w:val="0"/>
        </w:rPr>
        <w:tab/>
        <w:t>the measures, if any, required by the district inspector to be taken to remedy the matters giving rise to the risk have been taken;</w:t>
      </w:r>
    </w:p>
    <w:p>
      <w:pPr>
        <w:pStyle w:val="Indenta"/>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 </w:t>
      </w:r>
    </w:p>
    <w:p>
      <w:pPr>
        <w:pStyle w:val="Indenta"/>
        <w:rPr>
          <w:snapToGrid w:val="0"/>
        </w:rPr>
      </w:pPr>
      <w:r>
        <w:rPr>
          <w:snapToGrid w:val="0"/>
        </w:rPr>
        <w:tab/>
        <w:t>(a)</w:t>
      </w:r>
      <w:r>
        <w:rPr>
          <w:snapToGrid w:val="0"/>
        </w:rPr>
        <w:tab/>
        <w:t>that person’s employer; and</w:t>
      </w:r>
    </w:p>
    <w:p>
      <w:pPr>
        <w:pStyle w:val="Indenta"/>
        <w:rPr>
          <w:snapToGrid w:val="0"/>
        </w:rPr>
      </w:pPr>
      <w:r>
        <w:rPr>
          <w:snapToGrid w:val="0"/>
        </w:rPr>
        <w:tab/>
        <w:t>(b)</w:t>
      </w:r>
      <w:r>
        <w:rPr>
          <w:snapToGrid w:val="0"/>
        </w:rPr>
        <w:tab/>
        <w:t>if that person’s employer is not at the mine, the manager of the mine; and</w:t>
      </w:r>
    </w:p>
    <w:p>
      <w:pPr>
        <w:pStyle w:val="Indenta"/>
        <w:rPr>
          <w:snapToGrid w:val="0"/>
        </w:rPr>
      </w:pPr>
      <w:r>
        <w:rPr>
          <w:snapToGrid w:val="0"/>
        </w:rPr>
        <w:tab/>
        <w:t>(c)</w:t>
      </w:r>
      <w:r>
        <w:rPr>
          <w:snapToGrid w:val="0"/>
        </w:rPr>
        <w:tab/>
        <w:t>if there is a safety and health representative for the mine, such safety and health representative,</w:t>
      </w:r>
    </w:p>
    <w:p>
      <w:pPr>
        <w:pStyle w:val="Subsection"/>
        <w:rPr>
          <w:snapToGrid w:val="0"/>
        </w:rPr>
      </w:pPr>
      <w:r>
        <w:rPr>
          <w:snapToGrid w:val="0"/>
        </w:rPr>
        <w:tab/>
      </w:r>
      <w:r>
        <w:rPr>
          <w:snapToGrid w:val="0"/>
        </w:rPr>
        <w:tab/>
        <w:t>and the matter shall be regarded as an issue to which section 70(1) applies.</w:t>
      </w:r>
    </w:p>
    <w:p>
      <w:pPr>
        <w:pStyle w:val="Subsection"/>
      </w:pPr>
      <w:r>
        <w:tab/>
        <w:t>(2aa)</w:t>
      </w:r>
      <w:r>
        <w:tab/>
        <w:t xml:space="preserve">In subsection (2) — </w:t>
      </w:r>
    </w:p>
    <w:p>
      <w:pPr>
        <w:pStyle w:val="Defstart"/>
      </w:pPr>
      <w:r>
        <w:rPr>
          <w:b/>
        </w:rPr>
        <w:tab/>
      </w:r>
      <w:r>
        <w:rPr>
          <w:rStyle w:val="CharDefText"/>
        </w:rPr>
        <w:t>safety and health representative</w:t>
      </w:r>
      <w:r>
        <w:t xml:space="preserve"> — </w:t>
      </w:r>
    </w:p>
    <w:p>
      <w:pPr>
        <w:pStyle w:val="Defpara"/>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 xml:space="preserve">[Section 72 amended by No. 30 of 1995 s. 69 and 76(4); No. 68 of 2004 s. 70.] </w:t>
      </w:r>
    </w:p>
    <w:p>
      <w:pPr>
        <w:pStyle w:val="Heading5"/>
        <w:rPr>
          <w:snapToGrid w:val="0"/>
        </w:rPr>
      </w:pPr>
      <w:bookmarkStart w:id="618" w:name="_Toc274299806"/>
      <w:r>
        <w:rPr>
          <w:rStyle w:val="CharSectno"/>
        </w:rPr>
        <w:t>73</w:t>
      </w:r>
      <w:r>
        <w:rPr>
          <w:snapToGrid w:val="0"/>
        </w:rPr>
        <w:t>.</w:t>
      </w:r>
      <w:r>
        <w:rPr>
          <w:snapToGrid w:val="0"/>
        </w:rPr>
        <w:tab/>
        <w:t>Assignment of other work</w:t>
      </w:r>
      <w:bookmarkEnd w:id="618"/>
      <w:r>
        <w:rPr>
          <w:snapToGrid w:val="0"/>
        </w:rPr>
        <w:t xml:space="preserve"> </w:t>
      </w:r>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619" w:name="_Toc274299807"/>
      <w:r>
        <w:rPr>
          <w:rStyle w:val="CharSectno"/>
        </w:rPr>
        <w:t>74</w:t>
      </w:r>
      <w:r>
        <w:rPr>
          <w:snapToGrid w:val="0"/>
        </w:rPr>
        <w:t>.</w:t>
      </w:r>
      <w:r>
        <w:rPr>
          <w:snapToGrid w:val="0"/>
        </w:rPr>
        <w:tab/>
        <w:t>Entitlements to continue</w:t>
      </w:r>
      <w:bookmarkEnd w:id="619"/>
      <w:r>
        <w:rPr>
          <w:snapToGrid w:val="0"/>
        </w:rPr>
        <w:t xml:space="preserve"> </w:t>
      </w:r>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74 amended by No. 30 of 1995 s. 70; No. 68 of 2004 s. 84(1).] </w:t>
      </w:r>
    </w:p>
    <w:p>
      <w:pPr>
        <w:pStyle w:val="Heading5"/>
        <w:rPr>
          <w:snapToGrid w:val="0"/>
        </w:rPr>
      </w:pPr>
      <w:bookmarkStart w:id="620" w:name="_Toc274299808"/>
      <w:r>
        <w:rPr>
          <w:rStyle w:val="CharSectno"/>
        </w:rPr>
        <w:t>74A</w:t>
      </w:r>
      <w:r>
        <w:rPr>
          <w:snapToGrid w:val="0"/>
        </w:rPr>
        <w:t>.</w:t>
      </w:r>
      <w:r>
        <w:rPr>
          <w:snapToGrid w:val="0"/>
        </w:rPr>
        <w:tab/>
        <w:t>Offences — refusal to work</w:t>
      </w:r>
      <w:bookmarkEnd w:id="62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 xml:space="preserve">[Section 74A inserted by No. 30 of 1995 s. 71.] </w:t>
      </w:r>
    </w:p>
    <w:p>
      <w:pPr>
        <w:pStyle w:val="Heading2"/>
      </w:pPr>
      <w:bookmarkStart w:id="621" w:name="_Toc192041194"/>
      <w:bookmarkStart w:id="622" w:name="_Toc196130376"/>
      <w:bookmarkStart w:id="623" w:name="_Toc196188341"/>
      <w:bookmarkStart w:id="624" w:name="_Toc196192589"/>
      <w:bookmarkStart w:id="625" w:name="_Toc197245125"/>
      <w:bookmarkStart w:id="626" w:name="_Toc197246118"/>
      <w:bookmarkStart w:id="627" w:name="_Toc197246525"/>
      <w:bookmarkStart w:id="628" w:name="_Toc197746556"/>
      <w:bookmarkStart w:id="629" w:name="_Toc197751845"/>
      <w:bookmarkStart w:id="630" w:name="_Toc197752103"/>
      <w:bookmarkStart w:id="631" w:name="_Toc198006506"/>
      <w:bookmarkStart w:id="632" w:name="_Toc200360250"/>
      <w:bookmarkStart w:id="633" w:name="_Toc232396932"/>
      <w:bookmarkStart w:id="634" w:name="_Toc247954342"/>
      <w:bookmarkStart w:id="635" w:name="_Toc268599472"/>
      <w:bookmarkStart w:id="636" w:name="_Toc272236716"/>
      <w:bookmarkStart w:id="637" w:name="_Toc274299809"/>
      <w:r>
        <w:rPr>
          <w:rStyle w:val="CharPartNo"/>
        </w:rPr>
        <w:t>Part 7</w:t>
      </w:r>
      <w:r>
        <w:t> — </w:t>
      </w:r>
      <w:r>
        <w:rPr>
          <w:rStyle w:val="CharPartText"/>
        </w:rPr>
        <w:t>Specific duties relating to occupational safety and health</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PartText"/>
        </w:rPr>
        <w:t xml:space="preserve"> </w:t>
      </w:r>
    </w:p>
    <w:p>
      <w:pPr>
        <w:pStyle w:val="Footnoteheading"/>
      </w:pPr>
      <w:r>
        <w:tab/>
        <w:t xml:space="preserve">[Heading amended by No. 30 of 1995 s. 76(1).] </w:t>
      </w:r>
    </w:p>
    <w:p>
      <w:pPr>
        <w:pStyle w:val="Heading3"/>
        <w:rPr>
          <w:snapToGrid w:val="0"/>
        </w:rPr>
      </w:pPr>
      <w:bookmarkStart w:id="638" w:name="_Toc192041195"/>
      <w:bookmarkStart w:id="639" w:name="_Toc196130377"/>
      <w:bookmarkStart w:id="640" w:name="_Toc196188342"/>
      <w:bookmarkStart w:id="641" w:name="_Toc196192590"/>
      <w:bookmarkStart w:id="642" w:name="_Toc197245126"/>
      <w:bookmarkStart w:id="643" w:name="_Toc197246119"/>
      <w:bookmarkStart w:id="644" w:name="_Toc197246526"/>
      <w:bookmarkStart w:id="645" w:name="_Toc197746557"/>
      <w:bookmarkStart w:id="646" w:name="_Toc197751846"/>
      <w:bookmarkStart w:id="647" w:name="_Toc197752104"/>
      <w:bookmarkStart w:id="648" w:name="_Toc198006507"/>
      <w:bookmarkStart w:id="649" w:name="_Toc200360251"/>
      <w:bookmarkStart w:id="650" w:name="_Toc232396933"/>
      <w:bookmarkStart w:id="651" w:name="_Toc247954343"/>
      <w:bookmarkStart w:id="652" w:name="_Toc268599473"/>
      <w:bookmarkStart w:id="653" w:name="_Toc272236717"/>
      <w:bookmarkStart w:id="654" w:name="_Toc274299810"/>
      <w:r>
        <w:rPr>
          <w:rStyle w:val="CharDivNo"/>
        </w:rPr>
        <w:t>Division 1</w:t>
      </w:r>
      <w:r>
        <w:rPr>
          <w:snapToGrid w:val="0"/>
        </w:rPr>
        <w:t> — </w:t>
      </w:r>
      <w:r>
        <w:rPr>
          <w:rStyle w:val="CharDivText"/>
        </w:rPr>
        <w:t>Health surveillance</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Style w:val="CharDivText"/>
        </w:rPr>
        <w:t xml:space="preserve"> </w:t>
      </w:r>
    </w:p>
    <w:p>
      <w:pPr>
        <w:pStyle w:val="Heading5"/>
        <w:rPr>
          <w:snapToGrid w:val="0"/>
        </w:rPr>
      </w:pPr>
      <w:bookmarkStart w:id="655" w:name="_Toc274299811"/>
      <w:r>
        <w:rPr>
          <w:rStyle w:val="CharSectno"/>
        </w:rPr>
        <w:t>75</w:t>
      </w:r>
      <w:r>
        <w:rPr>
          <w:snapToGrid w:val="0"/>
        </w:rPr>
        <w:t>.</w:t>
      </w:r>
      <w:r>
        <w:rPr>
          <w:snapToGrid w:val="0"/>
        </w:rPr>
        <w:tab/>
        <w:t>Health surveillance of mine employees</w:t>
      </w:r>
      <w:bookmarkEnd w:id="655"/>
      <w:r>
        <w:rPr>
          <w:snapToGrid w:val="0"/>
        </w:rPr>
        <w:t xml:space="preserve"> </w:t>
      </w:r>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rPr>
          <w:snapToGrid w:val="0"/>
        </w:rPr>
      </w:pPr>
      <w:bookmarkStart w:id="656" w:name="_Toc192041197"/>
      <w:bookmarkStart w:id="657" w:name="_Toc196130379"/>
      <w:bookmarkStart w:id="658" w:name="_Toc196188344"/>
      <w:bookmarkStart w:id="659" w:name="_Toc196192592"/>
      <w:bookmarkStart w:id="660" w:name="_Toc197245128"/>
      <w:bookmarkStart w:id="661" w:name="_Toc197246121"/>
      <w:bookmarkStart w:id="662" w:name="_Toc197246528"/>
      <w:bookmarkStart w:id="663" w:name="_Toc197746559"/>
      <w:bookmarkStart w:id="664" w:name="_Toc197751848"/>
      <w:bookmarkStart w:id="665" w:name="_Toc197752106"/>
      <w:bookmarkStart w:id="666" w:name="_Toc198006509"/>
      <w:bookmarkStart w:id="667" w:name="_Toc200360253"/>
      <w:bookmarkStart w:id="668" w:name="_Toc232396935"/>
      <w:bookmarkStart w:id="669" w:name="_Toc247954345"/>
      <w:bookmarkStart w:id="670" w:name="_Toc268599475"/>
      <w:bookmarkStart w:id="671" w:name="_Toc272236719"/>
      <w:bookmarkStart w:id="672" w:name="_Toc274299812"/>
      <w:r>
        <w:rPr>
          <w:rStyle w:val="CharDivNo"/>
        </w:rPr>
        <w:t>Division 2</w:t>
      </w:r>
      <w:r>
        <w:rPr>
          <w:snapToGrid w:val="0"/>
        </w:rPr>
        <w:t> — </w:t>
      </w:r>
      <w:r>
        <w:rPr>
          <w:rStyle w:val="CharDivText"/>
        </w:rPr>
        <w:t>Accidents and occurrences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DivText"/>
        </w:rPr>
        <w:t xml:space="preserve"> </w:t>
      </w:r>
    </w:p>
    <w:p>
      <w:pPr>
        <w:pStyle w:val="Heading5"/>
        <w:rPr>
          <w:snapToGrid w:val="0"/>
        </w:rPr>
      </w:pPr>
      <w:bookmarkStart w:id="673" w:name="_Toc274299813"/>
      <w:r>
        <w:rPr>
          <w:rStyle w:val="CharSectno"/>
        </w:rPr>
        <w:t>76</w:t>
      </w:r>
      <w:r>
        <w:rPr>
          <w:snapToGrid w:val="0"/>
        </w:rPr>
        <w:t>.</w:t>
      </w:r>
      <w:r>
        <w:rPr>
          <w:snapToGrid w:val="0"/>
        </w:rPr>
        <w:tab/>
        <w:t>Notice of accident to be given</w:t>
      </w:r>
      <w:bookmarkEnd w:id="673"/>
      <w:r>
        <w:rPr>
          <w:snapToGrid w:val="0"/>
        </w:rPr>
        <w:t xml:space="preserve"> </w:t>
      </w:r>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674" w:name="_Toc274299814"/>
      <w:r>
        <w:rPr>
          <w:rStyle w:val="CharSectno"/>
        </w:rPr>
        <w:t>77</w:t>
      </w:r>
      <w:r>
        <w:rPr>
          <w:snapToGrid w:val="0"/>
        </w:rPr>
        <w:t>.</w:t>
      </w:r>
      <w:r>
        <w:rPr>
          <w:snapToGrid w:val="0"/>
        </w:rPr>
        <w:tab/>
        <w:t>Recording of accidents in accident log book</w:t>
      </w:r>
      <w:bookmarkEnd w:id="674"/>
      <w:r>
        <w:rPr>
          <w:snapToGrid w:val="0"/>
        </w:rPr>
        <w:t xml:space="preserve"> </w:t>
      </w:r>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 xml:space="preserve">In subsection (2) —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 xml:space="preserve">[Section 77 amended by No. 57 of 1997 s. 88(3); No. 68 of 2004 s. 71; No. 16 of 2008 s. 26.] </w:t>
      </w:r>
    </w:p>
    <w:p>
      <w:pPr>
        <w:pStyle w:val="Heading5"/>
        <w:rPr>
          <w:snapToGrid w:val="0"/>
        </w:rPr>
      </w:pPr>
      <w:bookmarkStart w:id="675" w:name="_Toc274299815"/>
      <w:r>
        <w:rPr>
          <w:rStyle w:val="CharSectno"/>
        </w:rPr>
        <w:t>78</w:t>
      </w:r>
      <w:r>
        <w:rPr>
          <w:snapToGrid w:val="0"/>
        </w:rPr>
        <w:t>.</w:t>
      </w:r>
      <w:r>
        <w:rPr>
          <w:snapToGrid w:val="0"/>
        </w:rPr>
        <w:tab/>
        <w:t>Recording of occurrences in the record book</w:t>
      </w:r>
      <w:bookmarkEnd w:id="675"/>
      <w:r>
        <w:rPr>
          <w:snapToGrid w:val="0"/>
        </w:rPr>
        <w:t xml:space="preserve"> </w:t>
      </w:r>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676" w:name="_Toc274299816"/>
      <w:r>
        <w:rPr>
          <w:rStyle w:val="CharSectno"/>
        </w:rPr>
        <w:t>79</w:t>
      </w:r>
      <w:r>
        <w:rPr>
          <w:snapToGrid w:val="0"/>
        </w:rPr>
        <w:t>.</w:t>
      </w:r>
      <w:r>
        <w:rPr>
          <w:snapToGrid w:val="0"/>
        </w:rPr>
        <w:tab/>
        <w:t>Manager to report potentially serious occurrences</w:t>
      </w:r>
      <w:bookmarkEnd w:id="676"/>
      <w:r>
        <w:rPr>
          <w:snapToGrid w:val="0"/>
        </w:rPr>
        <w:t xml:space="preserve"> </w:t>
      </w:r>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 xml:space="preserve">The manager must inform the district inspector as required by subsection (1) as soon as practicable after the manager has ascertained the facts and circumstances of the occurrence and, if required by the district inspector, must provide a written report on that occurrence. </w:t>
      </w:r>
    </w:p>
    <w:p>
      <w:pPr>
        <w:pStyle w:val="Heading5"/>
        <w:rPr>
          <w:snapToGrid w:val="0"/>
        </w:rPr>
      </w:pPr>
      <w:bookmarkStart w:id="677" w:name="_Toc274299817"/>
      <w:r>
        <w:rPr>
          <w:rStyle w:val="CharSectno"/>
        </w:rPr>
        <w:t>80</w:t>
      </w:r>
      <w:r>
        <w:rPr>
          <w:snapToGrid w:val="0"/>
        </w:rPr>
        <w:t>.</w:t>
      </w:r>
      <w:r>
        <w:rPr>
          <w:snapToGrid w:val="0"/>
        </w:rPr>
        <w:tab/>
        <w:t>Examination of accident location by trade union representatives</w:t>
      </w:r>
      <w:bookmarkEnd w:id="677"/>
      <w:r>
        <w:rPr>
          <w:snapToGrid w:val="0"/>
        </w:rPr>
        <w:t xml:space="preserve"> </w:t>
      </w:r>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678" w:name="_Toc274299818"/>
      <w:r>
        <w:rPr>
          <w:rStyle w:val="CharSectno"/>
        </w:rPr>
        <w:t>81</w:t>
      </w:r>
      <w:r>
        <w:rPr>
          <w:snapToGrid w:val="0"/>
        </w:rPr>
        <w:t>.</w:t>
      </w:r>
      <w:r>
        <w:rPr>
          <w:snapToGrid w:val="0"/>
        </w:rPr>
        <w:tab/>
        <w:t>Place of accident not to be disturbed</w:t>
      </w:r>
      <w:bookmarkEnd w:id="678"/>
      <w:r>
        <w:rPr>
          <w:snapToGrid w:val="0"/>
        </w:rPr>
        <w:t xml:space="preserve"> </w:t>
      </w:r>
    </w:p>
    <w:p>
      <w:pPr>
        <w:pStyle w:val="Subsection"/>
        <w:rPr>
          <w:snapToGrid w:val="0"/>
        </w:rPr>
      </w:pPr>
      <w:r>
        <w:rPr>
          <w:snapToGrid w:val="0"/>
        </w:rPr>
        <w:tab/>
        <w:t>(1)</w:t>
      </w:r>
      <w:r>
        <w:rPr>
          <w:snapToGrid w:val="0"/>
        </w:rPr>
        <w:tab/>
        <w:t>A person must not disturb a place at a mine where an accident causing death or serious injury has occurred except with —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rPr>
          <w:snapToGrid w:val="0"/>
        </w:rPr>
      </w:pPr>
      <w:bookmarkStart w:id="679" w:name="_Toc192041204"/>
      <w:bookmarkStart w:id="680" w:name="_Toc196130386"/>
      <w:bookmarkStart w:id="681" w:name="_Toc196188351"/>
      <w:bookmarkStart w:id="682" w:name="_Toc196192599"/>
      <w:bookmarkStart w:id="683" w:name="_Toc197245135"/>
      <w:bookmarkStart w:id="684" w:name="_Toc197246128"/>
      <w:bookmarkStart w:id="685" w:name="_Toc197246535"/>
      <w:bookmarkStart w:id="686" w:name="_Toc197746566"/>
      <w:bookmarkStart w:id="687" w:name="_Toc197751855"/>
      <w:bookmarkStart w:id="688" w:name="_Toc197752113"/>
      <w:bookmarkStart w:id="689" w:name="_Toc198006516"/>
      <w:bookmarkStart w:id="690" w:name="_Toc200360260"/>
      <w:bookmarkStart w:id="691" w:name="_Toc232396942"/>
      <w:bookmarkStart w:id="692" w:name="_Toc247954352"/>
      <w:bookmarkStart w:id="693" w:name="_Toc268599482"/>
      <w:bookmarkStart w:id="694" w:name="_Toc272236726"/>
      <w:bookmarkStart w:id="695" w:name="_Toc274299819"/>
      <w:r>
        <w:rPr>
          <w:rStyle w:val="CharDivNo"/>
        </w:rPr>
        <w:t>Division 3</w:t>
      </w:r>
      <w:r>
        <w:rPr>
          <w:snapToGrid w:val="0"/>
        </w:rPr>
        <w:t> — </w:t>
      </w:r>
      <w:r>
        <w:rPr>
          <w:rStyle w:val="CharDivText"/>
        </w:rPr>
        <w:t>Plans and records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Pr>
          <w:rStyle w:val="CharDivText"/>
        </w:rPr>
        <w:t xml:space="preserve"> </w:t>
      </w:r>
    </w:p>
    <w:p>
      <w:pPr>
        <w:pStyle w:val="Heading5"/>
        <w:rPr>
          <w:snapToGrid w:val="0"/>
        </w:rPr>
      </w:pPr>
      <w:bookmarkStart w:id="696" w:name="_Toc274299820"/>
      <w:r>
        <w:rPr>
          <w:rStyle w:val="CharSectno"/>
        </w:rPr>
        <w:t>82</w:t>
      </w:r>
      <w:r>
        <w:rPr>
          <w:snapToGrid w:val="0"/>
        </w:rPr>
        <w:t>.</w:t>
      </w:r>
      <w:r>
        <w:rPr>
          <w:snapToGrid w:val="0"/>
        </w:rPr>
        <w:tab/>
        <w:t>Mines Survey Board</w:t>
      </w:r>
      <w:bookmarkEnd w:id="696"/>
      <w:r>
        <w:rPr>
          <w:snapToGrid w:val="0"/>
        </w:rPr>
        <w:t xml:space="preserve"> </w:t>
      </w:r>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keepLines/>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 Minister for Public Sector Management.</w:t>
      </w:r>
    </w:p>
    <w:p>
      <w:pPr>
        <w:pStyle w:val="Heading5"/>
        <w:rPr>
          <w:snapToGrid w:val="0"/>
        </w:rPr>
      </w:pPr>
      <w:bookmarkStart w:id="697" w:name="_Toc274299821"/>
      <w:r>
        <w:rPr>
          <w:rStyle w:val="CharSectno"/>
        </w:rPr>
        <w:t>83</w:t>
      </w:r>
      <w:r>
        <w:rPr>
          <w:snapToGrid w:val="0"/>
        </w:rPr>
        <w:t>.</w:t>
      </w:r>
      <w:r>
        <w:rPr>
          <w:snapToGrid w:val="0"/>
        </w:rPr>
        <w:tab/>
        <w:t>Complaint to Mines Survey Board</w:t>
      </w:r>
      <w:bookmarkEnd w:id="697"/>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698" w:name="_Toc274299822"/>
      <w:r>
        <w:rPr>
          <w:rStyle w:val="CharSectno"/>
        </w:rPr>
        <w:t>84</w:t>
      </w:r>
      <w:r>
        <w:rPr>
          <w:snapToGrid w:val="0"/>
        </w:rPr>
        <w:t>.</w:t>
      </w:r>
      <w:r>
        <w:rPr>
          <w:snapToGrid w:val="0"/>
        </w:rPr>
        <w:tab/>
        <w:t>Inquiry by Mines Survey Board</w:t>
      </w:r>
      <w:bookmarkEnd w:id="698"/>
      <w:r>
        <w:rPr>
          <w:snapToGrid w:val="0"/>
        </w:rPr>
        <w:t xml:space="preserve"> </w:t>
      </w:r>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 xml:space="preserve">may be represented by a legal practitioner; and </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699" w:name="_Toc274299823"/>
      <w:r>
        <w:rPr>
          <w:rStyle w:val="CharSectno"/>
        </w:rPr>
        <w:t>85</w:t>
      </w:r>
      <w:r>
        <w:rPr>
          <w:snapToGrid w:val="0"/>
        </w:rPr>
        <w:t>.</w:t>
      </w:r>
      <w:r>
        <w:rPr>
          <w:snapToGrid w:val="0"/>
        </w:rPr>
        <w:tab/>
        <w:t>Disciplinary action following inquiry</w:t>
      </w:r>
      <w:bookmarkEnd w:id="699"/>
      <w:r>
        <w:rPr>
          <w:snapToGrid w:val="0"/>
        </w:rPr>
        <w:t xml:space="preserve"> </w:t>
      </w:r>
    </w:p>
    <w:p>
      <w:pPr>
        <w:pStyle w:val="Subsection"/>
        <w:rPr>
          <w:snapToGrid w:val="0"/>
        </w:rPr>
      </w:pPr>
      <w:r>
        <w:rPr>
          <w:snapToGrid w:val="0"/>
        </w:rPr>
        <w:tab/>
        <w:t>(1)</w:t>
      </w:r>
      <w:r>
        <w:rPr>
          <w:snapToGrid w:val="0"/>
        </w:rPr>
        <w:tab/>
        <w:t>If after holding an inquiry the Mines Survey Board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 xml:space="preserve">suspend the respondent’s authorised mine surveyor’s certificate for a stated period; or </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700" w:name="_Toc274299824"/>
      <w:r>
        <w:rPr>
          <w:rStyle w:val="CharSectno"/>
        </w:rPr>
        <w:t>86</w:t>
      </w:r>
      <w:r>
        <w:rPr>
          <w:snapToGrid w:val="0"/>
        </w:rPr>
        <w:t>.</w:t>
      </w:r>
      <w:r>
        <w:rPr>
          <w:snapToGrid w:val="0"/>
        </w:rPr>
        <w:tab/>
        <w:t>Appeal to</w:t>
      </w:r>
      <w:r>
        <w:t xml:space="preserve"> Tribunal</w:t>
      </w:r>
      <w:bookmarkEnd w:id="700"/>
      <w:r>
        <w:rPr>
          <w:snapToGrid w:val="0"/>
        </w:rPr>
        <w:t xml:space="preserve"> </w:t>
      </w:r>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701" w:name="_Toc274299825"/>
      <w:r>
        <w:rPr>
          <w:rStyle w:val="CharSectno"/>
        </w:rPr>
        <w:t>87</w:t>
      </w:r>
      <w:r>
        <w:rPr>
          <w:snapToGrid w:val="0"/>
        </w:rPr>
        <w:t>.</w:t>
      </w:r>
      <w:r>
        <w:rPr>
          <w:snapToGrid w:val="0"/>
        </w:rPr>
        <w:tab/>
        <w:t>Plans to be furnished</w:t>
      </w:r>
      <w:bookmarkEnd w:id="701"/>
      <w:r>
        <w:rPr>
          <w:snapToGrid w:val="0"/>
        </w:rPr>
        <w:t xml:space="preserve"> </w:t>
      </w:r>
    </w:p>
    <w:p>
      <w:pPr>
        <w:pStyle w:val="Subsection"/>
        <w:rPr>
          <w:snapToGrid w:val="0"/>
        </w:rPr>
      </w:pPr>
      <w:r>
        <w:rPr>
          <w:snapToGrid w:val="0"/>
        </w:rPr>
        <w:tab/>
        <w:t>(1)</w:t>
      </w:r>
      <w:r>
        <w:rPr>
          <w:snapToGrid w:val="0"/>
        </w:rPr>
        <w:tab/>
        <w:t>The manager of a mine must procure and keep in the office of the mine accurate plans of the mine that —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702" w:name="_Toc274299826"/>
      <w:r>
        <w:rPr>
          <w:rStyle w:val="CharSectno"/>
        </w:rPr>
        <w:t>88</w:t>
      </w:r>
      <w:r>
        <w:rPr>
          <w:snapToGrid w:val="0"/>
        </w:rPr>
        <w:t>.</w:t>
      </w:r>
      <w:r>
        <w:rPr>
          <w:snapToGrid w:val="0"/>
        </w:rPr>
        <w:tab/>
        <w:t>Plans for abandonment or suspension</w:t>
      </w:r>
      <w:bookmarkEnd w:id="702"/>
      <w:r>
        <w:rPr>
          <w:snapToGrid w:val="0"/>
        </w:rPr>
        <w:t xml:space="preserve"> </w:t>
      </w:r>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703" w:name="_Toc274299827"/>
      <w:r>
        <w:rPr>
          <w:rStyle w:val="CharSectno"/>
        </w:rPr>
        <w:t>89</w:t>
      </w:r>
      <w:r>
        <w:rPr>
          <w:snapToGrid w:val="0"/>
        </w:rPr>
        <w:t>.</w:t>
      </w:r>
      <w:r>
        <w:rPr>
          <w:snapToGrid w:val="0"/>
        </w:rPr>
        <w:tab/>
        <w:t>Record books</w:t>
      </w:r>
      <w:bookmarkEnd w:id="703"/>
      <w:r>
        <w:rPr>
          <w:snapToGrid w:val="0"/>
        </w:rPr>
        <w:t xml:space="preserve"> </w:t>
      </w:r>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 xml:space="preserve">every entry required to be made in the book is made in ink; and </w:t>
      </w:r>
    </w:p>
    <w:p>
      <w:pPr>
        <w:pStyle w:val="Indenta"/>
        <w:rPr>
          <w:snapToGrid w:val="0"/>
        </w:rPr>
      </w:pPr>
      <w:r>
        <w:rPr>
          <w:snapToGrid w:val="0"/>
        </w:rPr>
        <w:tab/>
        <w:t>(c)</w:t>
      </w:r>
      <w:r>
        <w:rPr>
          <w:snapToGrid w:val="0"/>
        </w:rPr>
        <w:tab/>
        <w:t>the book is kept safely in good order and condition.</w:t>
      </w:r>
    </w:p>
    <w:p>
      <w:pPr>
        <w:pStyle w:val="Subsection"/>
      </w:pPr>
      <w:r>
        <w:tab/>
        <w:t>(1a)</w:t>
      </w:r>
      <w:r>
        <w:tab/>
        <w:t xml:space="preserve">Subsection (1)(b) has effect subject to the provisions of —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 xml:space="preserve">[Section 89 amended by No. 68 of 2004 s. 79; No. 16 of 2008 s. 30.] </w:t>
      </w:r>
    </w:p>
    <w:p>
      <w:pPr>
        <w:pStyle w:val="Heading2"/>
      </w:pPr>
      <w:bookmarkStart w:id="704" w:name="_Toc192041213"/>
      <w:bookmarkStart w:id="705" w:name="_Toc196130395"/>
      <w:bookmarkStart w:id="706" w:name="_Toc196188360"/>
      <w:bookmarkStart w:id="707" w:name="_Toc196192608"/>
      <w:bookmarkStart w:id="708" w:name="_Toc197245144"/>
      <w:bookmarkStart w:id="709" w:name="_Toc197246137"/>
      <w:bookmarkStart w:id="710" w:name="_Toc197246544"/>
      <w:bookmarkStart w:id="711" w:name="_Toc197746575"/>
      <w:bookmarkStart w:id="712" w:name="_Toc197751864"/>
      <w:bookmarkStart w:id="713" w:name="_Toc197752122"/>
      <w:bookmarkStart w:id="714" w:name="_Toc198006525"/>
      <w:bookmarkStart w:id="715" w:name="_Toc200360269"/>
      <w:bookmarkStart w:id="716" w:name="_Toc232396951"/>
      <w:bookmarkStart w:id="717" w:name="_Toc247954361"/>
      <w:bookmarkStart w:id="718" w:name="_Toc268599491"/>
      <w:bookmarkStart w:id="719" w:name="_Toc272236735"/>
      <w:bookmarkStart w:id="720" w:name="_Toc274299828"/>
      <w:r>
        <w:rPr>
          <w:rStyle w:val="CharPartNo"/>
        </w:rPr>
        <w:t>Part 8</w:t>
      </w:r>
      <w:r>
        <w:rPr>
          <w:rStyle w:val="CharDivNo"/>
        </w:rPr>
        <w:t> </w:t>
      </w:r>
      <w:r>
        <w:t>—</w:t>
      </w:r>
      <w:r>
        <w:rPr>
          <w:rStyle w:val="CharDivText"/>
        </w:rPr>
        <w:t> </w:t>
      </w:r>
      <w:r>
        <w:rPr>
          <w:rStyle w:val="CharPartText"/>
        </w:rPr>
        <w:t>Ministerial safety and health powers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Pr>
          <w:rStyle w:val="CharPartText"/>
        </w:rPr>
        <w:t xml:space="preserve"> </w:t>
      </w:r>
    </w:p>
    <w:p>
      <w:pPr>
        <w:pStyle w:val="Footnoteheading"/>
      </w:pPr>
      <w:r>
        <w:tab/>
        <w:t xml:space="preserve">[Heading amended by No. 30 of 1995 s. 76(1).] </w:t>
      </w:r>
    </w:p>
    <w:p>
      <w:pPr>
        <w:pStyle w:val="Ednotesection"/>
        <w:ind w:left="0" w:firstLine="0"/>
      </w:pPr>
      <w:r>
        <w:t>[</w:t>
      </w:r>
      <w:r>
        <w:rPr>
          <w:b/>
        </w:rPr>
        <w:t>90.</w:t>
      </w:r>
      <w:r>
        <w:tab/>
        <w:t>Deleted by No. 51 of 2004 s. 115(3).]</w:t>
      </w:r>
    </w:p>
    <w:p>
      <w:pPr>
        <w:pStyle w:val="Heading5"/>
        <w:rPr>
          <w:snapToGrid w:val="0"/>
        </w:rPr>
      </w:pPr>
      <w:bookmarkStart w:id="721" w:name="_Toc274299829"/>
      <w:r>
        <w:rPr>
          <w:rStyle w:val="CharSectno"/>
        </w:rPr>
        <w:t>91</w:t>
      </w:r>
      <w:r>
        <w:rPr>
          <w:snapToGrid w:val="0"/>
        </w:rPr>
        <w:t>.</w:t>
      </w:r>
      <w:r>
        <w:rPr>
          <w:snapToGrid w:val="0"/>
        </w:rPr>
        <w:tab/>
        <w:t>Minister may publish report</w:t>
      </w:r>
      <w:bookmarkEnd w:id="721"/>
      <w:r>
        <w:rPr>
          <w:snapToGrid w:val="0"/>
        </w:rPr>
        <w:t xml:space="preserve"> </w:t>
      </w:r>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722" w:name="_Toc274299830"/>
      <w:r>
        <w:rPr>
          <w:rStyle w:val="CharSectno"/>
        </w:rPr>
        <w:t>92</w:t>
      </w:r>
      <w:r>
        <w:rPr>
          <w:snapToGrid w:val="0"/>
        </w:rPr>
        <w:t>.</w:t>
      </w:r>
      <w:r>
        <w:rPr>
          <w:snapToGrid w:val="0"/>
        </w:rPr>
        <w:tab/>
        <w:t>Delegation of ministerial functions</w:t>
      </w:r>
      <w:bookmarkEnd w:id="722"/>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723" w:name="_Toc274299831"/>
      <w:r>
        <w:rPr>
          <w:rStyle w:val="CharSectno"/>
        </w:rPr>
        <w:t>93</w:t>
      </w:r>
      <w:r>
        <w:rPr>
          <w:snapToGrid w:val="0"/>
        </w:rPr>
        <w:t>.</w:t>
      </w:r>
      <w:r>
        <w:rPr>
          <w:snapToGrid w:val="0"/>
        </w:rPr>
        <w:tab/>
        <w:t>Codes of practice</w:t>
      </w:r>
      <w:bookmarkEnd w:id="723"/>
      <w:r>
        <w:rPr>
          <w:snapToGrid w:val="0"/>
        </w:rPr>
        <w:t xml:space="preserve"> </w:t>
      </w:r>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 xml:space="preserve">[Section 93 amended by No. 30 of 1995 s. 76(1) and (3); No. 51 of 2004 s. 115(4).] </w:t>
      </w:r>
    </w:p>
    <w:p>
      <w:pPr>
        <w:pStyle w:val="Heading2"/>
      </w:pPr>
      <w:bookmarkStart w:id="724" w:name="_Toc192041217"/>
      <w:bookmarkStart w:id="725" w:name="_Toc196130399"/>
      <w:bookmarkStart w:id="726" w:name="_Toc196188364"/>
      <w:bookmarkStart w:id="727" w:name="_Toc196192612"/>
      <w:bookmarkStart w:id="728" w:name="_Toc197245148"/>
      <w:bookmarkStart w:id="729" w:name="_Toc197246141"/>
      <w:bookmarkStart w:id="730" w:name="_Toc197246548"/>
      <w:bookmarkStart w:id="731" w:name="_Toc197746579"/>
      <w:bookmarkStart w:id="732" w:name="_Toc197751868"/>
      <w:bookmarkStart w:id="733" w:name="_Toc197752126"/>
      <w:bookmarkStart w:id="734" w:name="_Toc198006529"/>
      <w:bookmarkStart w:id="735" w:name="_Toc200360273"/>
      <w:bookmarkStart w:id="736" w:name="_Toc232396955"/>
      <w:bookmarkStart w:id="737" w:name="_Toc247954365"/>
      <w:bookmarkStart w:id="738" w:name="_Toc268599495"/>
      <w:bookmarkStart w:id="739" w:name="_Toc272236739"/>
      <w:bookmarkStart w:id="740" w:name="_Toc274299832"/>
      <w:r>
        <w:rPr>
          <w:rStyle w:val="CharPartNo"/>
        </w:rPr>
        <w:t>Part 9</w:t>
      </w:r>
      <w:r>
        <w:t> — </w:t>
      </w:r>
      <w:r>
        <w:rPr>
          <w:rStyle w:val="CharPartText"/>
        </w:rPr>
        <w:t>Offences, penalties and legal proceedings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Pr>
          <w:rStyle w:val="CharPartText"/>
        </w:rPr>
        <w:t xml:space="preserve"> </w:t>
      </w:r>
    </w:p>
    <w:p>
      <w:pPr>
        <w:pStyle w:val="Heading3"/>
      </w:pPr>
      <w:bookmarkStart w:id="741" w:name="_Toc192041218"/>
      <w:bookmarkStart w:id="742" w:name="_Toc196130400"/>
      <w:bookmarkStart w:id="743" w:name="_Toc196188365"/>
      <w:bookmarkStart w:id="744" w:name="_Toc196192613"/>
      <w:bookmarkStart w:id="745" w:name="_Toc197245149"/>
      <w:bookmarkStart w:id="746" w:name="_Toc197246142"/>
      <w:bookmarkStart w:id="747" w:name="_Toc197246549"/>
      <w:bookmarkStart w:id="748" w:name="_Toc197746580"/>
      <w:bookmarkStart w:id="749" w:name="_Toc197751869"/>
      <w:bookmarkStart w:id="750" w:name="_Toc197752127"/>
      <w:bookmarkStart w:id="751" w:name="_Toc198006530"/>
      <w:bookmarkStart w:id="752" w:name="_Toc200360274"/>
      <w:bookmarkStart w:id="753" w:name="_Toc232396956"/>
      <w:bookmarkStart w:id="754" w:name="_Toc247954366"/>
      <w:bookmarkStart w:id="755" w:name="_Toc268599496"/>
      <w:bookmarkStart w:id="756" w:name="_Toc272236740"/>
      <w:bookmarkStart w:id="757" w:name="_Toc274299833"/>
      <w:r>
        <w:rPr>
          <w:rStyle w:val="CharDivNo"/>
        </w:rPr>
        <w:t>Division 1</w:t>
      </w:r>
      <w:r>
        <w:t> — </w:t>
      </w:r>
      <w:r>
        <w:rPr>
          <w:rStyle w:val="CharDivText"/>
        </w:rPr>
        <w:t>General provisions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Footnoteheading"/>
      </w:pPr>
      <w:r>
        <w:tab/>
        <w:t xml:space="preserve">[Heading inserted by No. 68 of 2004 s. 28.] </w:t>
      </w:r>
    </w:p>
    <w:p>
      <w:pPr>
        <w:pStyle w:val="Heading5"/>
      </w:pPr>
      <w:bookmarkStart w:id="758" w:name="_Toc274299834"/>
      <w:r>
        <w:rPr>
          <w:rStyle w:val="CharSectno"/>
        </w:rPr>
        <w:t>94</w:t>
      </w:r>
      <w:r>
        <w:t>.</w:t>
      </w:r>
      <w:r>
        <w:tab/>
        <w:t>General penalty</w:t>
      </w:r>
      <w:bookmarkEnd w:id="758"/>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759" w:name="_Toc274299835"/>
      <w:r>
        <w:rPr>
          <w:rStyle w:val="CharSectno"/>
        </w:rPr>
        <w:t>95</w:t>
      </w:r>
      <w:r>
        <w:rPr>
          <w:snapToGrid w:val="0"/>
        </w:rPr>
        <w:t>.</w:t>
      </w:r>
      <w:r>
        <w:rPr>
          <w:snapToGrid w:val="0"/>
        </w:rPr>
        <w:tab/>
        <w:t>Continuing offences</w:t>
      </w:r>
      <w:bookmarkEnd w:id="759"/>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 xml:space="preserve">[Section 95 amended by No. 30 of 1995 s. 72; No. 68 of 2004 s. 30.] </w:t>
      </w:r>
    </w:p>
    <w:p>
      <w:pPr>
        <w:pStyle w:val="Heading5"/>
        <w:rPr>
          <w:snapToGrid w:val="0"/>
        </w:rPr>
      </w:pPr>
      <w:bookmarkStart w:id="760" w:name="_Toc274299836"/>
      <w:r>
        <w:rPr>
          <w:rStyle w:val="CharSectno"/>
        </w:rPr>
        <w:t>96</w:t>
      </w:r>
      <w:r>
        <w:rPr>
          <w:snapToGrid w:val="0"/>
        </w:rPr>
        <w:t>.</w:t>
      </w:r>
      <w:r>
        <w:rPr>
          <w:snapToGrid w:val="0"/>
        </w:rPr>
        <w:tab/>
        <w:t>Proceedings to be taken by inspector or authorised officer</w:t>
      </w:r>
      <w:bookmarkEnd w:id="760"/>
      <w:r>
        <w:rPr>
          <w:snapToGrid w:val="0"/>
        </w:rPr>
        <w:t xml:space="preserve"> </w:t>
      </w:r>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761" w:name="_Toc274299837"/>
      <w:r>
        <w:rPr>
          <w:rStyle w:val="CharSectno"/>
        </w:rPr>
        <w:t>96A</w:t>
      </w:r>
      <w:r>
        <w:rPr>
          <w:snapToGrid w:val="0"/>
        </w:rPr>
        <w:t xml:space="preserve">. </w:t>
      </w:r>
      <w:r>
        <w:rPr>
          <w:snapToGrid w:val="0"/>
        </w:rPr>
        <w:tab/>
        <w:t>Proceedings to be determined by safety and health magistrate</w:t>
      </w:r>
      <w:bookmarkEnd w:id="761"/>
      <w:r>
        <w:rPr>
          <w:snapToGrid w:val="0"/>
        </w:rPr>
        <w:t xml:space="preserve"> </w:t>
      </w:r>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 xml:space="preserve">[Section 96A inserted by No. 30 of 1995 s. 73; amended by No. 68 of 2004 s.  81.] </w:t>
      </w:r>
    </w:p>
    <w:p>
      <w:pPr>
        <w:pStyle w:val="Heading5"/>
        <w:spacing w:before="160"/>
      </w:pPr>
      <w:bookmarkStart w:id="762" w:name="_Toc274299838"/>
      <w:r>
        <w:rPr>
          <w:rStyle w:val="CharSectno"/>
        </w:rPr>
        <w:t>97</w:t>
      </w:r>
      <w:r>
        <w:t>.</w:t>
      </w:r>
      <w:r>
        <w:tab/>
        <w:t>Time limit for prosecutions</w:t>
      </w:r>
      <w:bookmarkEnd w:id="762"/>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763" w:name="_Toc274299839"/>
      <w:r>
        <w:rPr>
          <w:rStyle w:val="CharSectno"/>
        </w:rPr>
        <w:t>98</w:t>
      </w:r>
      <w:r>
        <w:rPr>
          <w:snapToGrid w:val="0"/>
        </w:rPr>
        <w:t>.</w:t>
      </w:r>
      <w:r>
        <w:rPr>
          <w:snapToGrid w:val="0"/>
        </w:rPr>
        <w:tab/>
        <w:t>Evidentiary provisions</w:t>
      </w:r>
      <w:bookmarkEnd w:id="763"/>
      <w:r>
        <w:rPr>
          <w:snapToGrid w:val="0"/>
        </w:rPr>
        <w:t xml:space="preserve"> </w:t>
      </w:r>
    </w:p>
    <w:p>
      <w:pPr>
        <w:pStyle w:val="Subsection"/>
        <w:rPr>
          <w:snapToGrid w:val="0"/>
        </w:rPr>
      </w:pPr>
      <w:r>
        <w:rPr>
          <w:snapToGrid w:val="0"/>
        </w:rPr>
        <w:tab/>
        <w:t>(1)</w:t>
      </w:r>
      <w:r>
        <w:rPr>
          <w:snapToGrid w:val="0"/>
        </w:rPr>
        <w:tab/>
        <w:t>In a proceeding for an offence under this Act, an averment in the charge that at a particular time —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 xml:space="preserve">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 </w:t>
      </w:r>
    </w:p>
    <w:p>
      <w:pPr>
        <w:pStyle w:val="Subsection"/>
        <w:spacing w:before="180"/>
      </w:pPr>
      <w:r>
        <w:tab/>
        <w:t>(4)</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spacing w:before="240"/>
        <w:rPr>
          <w:snapToGrid w:val="0"/>
        </w:rPr>
      </w:pPr>
      <w:bookmarkStart w:id="764" w:name="_Toc274299840"/>
      <w:r>
        <w:rPr>
          <w:rStyle w:val="CharSectno"/>
        </w:rPr>
        <w:t>99</w:t>
      </w:r>
      <w:r>
        <w:rPr>
          <w:snapToGrid w:val="0"/>
        </w:rPr>
        <w:t>.</w:t>
      </w:r>
      <w:r>
        <w:rPr>
          <w:snapToGrid w:val="0"/>
        </w:rPr>
        <w:tab/>
        <w:t>Vicarious responsibility of employers, managers, and supervisors</w:t>
      </w:r>
      <w:bookmarkEnd w:id="764"/>
      <w:r>
        <w:rPr>
          <w:snapToGrid w:val="0"/>
        </w:rPr>
        <w:t xml:space="preserve"> </w:t>
      </w:r>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 </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Next w:val="0"/>
        <w:keepLines w:val="0"/>
        <w:spacing w:before="180"/>
      </w:pPr>
      <w:bookmarkStart w:id="765" w:name="_Toc274299841"/>
      <w:r>
        <w:rPr>
          <w:rStyle w:val="CharSectno"/>
        </w:rPr>
        <w:t>99A</w:t>
      </w:r>
      <w:r>
        <w:t>.</w:t>
      </w:r>
      <w:r>
        <w:tab/>
        <w:t>Vicarious responsibility for offences involving gross negligence</w:t>
      </w:r>
      <w:bookmarkEnd w:id="765"/>
    </w:p>
    <w:p>
      <w:pPr>
        <w:pStyle w:val="Subsection"/>
        <w:spacing w:before="120"/>
      </w:pPr>
      <w:r>
        <w:tab/>
        <w:t>(1)</w:t>
      </w:r>
      <w:r>
        <w:tab/>
        <w:t xml:space="preserve">In this section — </w:t>
      </w:r>
    </w:p>
    <w:p>
      <w:pPr>
        <w:pStyle w:val="Defstart"/>
      </w:pPr>
      <w:r>
        <w:rPr>
          <w:b/>
        </w:rPr>
        <w:tab/>
      </w:r>
      <w:r>
        <w:rPr>
          <w:rStyle w:val="CharDefText"/>
        </w:rPr>
        <w:t>manager</w:t>
      </w:r>
      <w:r>
        <w:t xml:space="preserve"> has the meaning given by section 99(2); </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 xml:space="preserve">the following provisions apply — </w:t>
      </w:r>
    </w:p>
    <w:p>
      <w:pPr>
        <w:pStyle w:val="Indenta"/>
        <w:spacing w:before="60"/>
      </w:pPr>
      <w:r>
        <w:tab/>
        <w:t>(a)</w:t>
      </w:r>
      <w:r>
        <w:tab/>
        <w:t xml:space="preserve">a superior officer in relation to the person also commits that offence if it is proved that — </w:t>
      </w:r>
    </w:p>
    <w:p>
      <w:pPr>
        <w:pStyle w:val="Indenti"/>
        <w:spacing w:before="60"/>
      </w:pPr>
      <w:r>
        <w:tab/>
        <w:t>(i)</w:t>
      </w:r>
      <w:r>
        <w:tab/>
        <w:t>the superior officer, being an employer or manager or a person purporting to act in that capacity, knowingly permitted or employed the person to commit the offence;</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 xml:space="preserve">in circumstances where the superior officer —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 xml:space="preserve">acted or failed to act as mentioned in subparagraph (i), (ii) or (iii) in disregard of that likelihood; </w:t>
      </w:r>
    </w:p>
    <w:p>
      <w:pPr>
        <w:pStyle w:val="Indenta"/>
        <w:spacing w:before="60"/>
      </w:pPr>
      <w:r>
        <w:tab/>
        <w:t>(b)</w:t>
      </w:r>
      <w:r>
        <w:tab/>
        <w:t xml:space="preserve">if paragraph (a) does not apply, a superior officer in relation to the person commits an offence under section 9A(2), 10A(2), 12A(2) or 15(2), as the case may require, if it is proved that —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 xml:space="preserve">the offence of the person — </w:t>
      </w:r>
    </w:p>
    <w:p>
      <w:pPr>
        <w:pStyle w:val="IndentI0"/>
      </w:pPr>
      <w:r>
        <w:tab/>
        <w:t>(I)</w:t>
      </w:r>
      <w:r>
        <w:tab/>
        <w:t xml:space="preserve">occurred with the consent or connivance of the superior officer; or </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766" w:name="_Toc274299842"/>
      <w:r>
        <w:rPr>
          <w:rStyle w:val="CharSectno"/>
        </w:rPr>
        <w:t>100</w:t>
      </w:r>
      <w:r>
        <w:rPr>
          <w:snapToGrid w:val="0"/>
        </w:rPr>
        <w:t>.</w:t>
      </w:r>
      <w:r>
        <w:rPr>
          <w:snapToGrid w:val="0"/>
        </w:rPr>
        <w:tab/>
        <w:t>Offences by corporations</w:t>
      </w:r>
      <w:bookmarkEnd w:id="766"/>
      <w:r>
        <w:rPr>
          <w:snapToGrid w:val="0"/>
        </w:rPr>
        <w:t xml:space="preserve"> </w:t>
      </w:r>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767" w:name="_Toc274299843"/>
      <w:r>
        <w:rPr>
          <w:rStyle w:val="CharSectno"/>
        </w:rPr>
        <w:t>100A</w:t>
      </w:r>
      <w:r>
        <w:t>.</w:t>
      </w:r>
      <w:r>
        <w:tab/>
        <w:t>Responsibility of officers of corporation for offences involving gross negligence</w:t>
      </w:r>
      <w:bookmarkEnd w:id="767"/>
    </w:p>
    <w:p>
      <w:pPr>
        <w:pStyle w:val="Subsection"/>
      </w:pPr>
      <w:r>
        <w:tab/>
        <w:t>(1)</w:t>
      </w:r>
      <w:r>
        <w:tab/>
        <w:t xml:space="preserve">In this section —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 xml:space="preserve">the following provisions apply — </w:t>
      </w:r>
    </w:p>
    <w:p>
      <w:pPr>
        <w:pStyle w:val="Indenta"/>
      </w:pPr>
      <w:r>
        <w:tab/>
        <w:t>(a)</w:t>
      </w:r>
      <w:r>
        <w:tab/>
        <w:t xml:space="preserve">an officer also commits that offence if it is proved that — </w:t>
      </w:r>
    </w:p>
    <w:p>
      <w:pPr>
        <w:pStyle w:val="Indenti"/>
      </w:pPr>
      <w:r>
        <w:tab/>
        <w:t>(i)</w:t>
      </w:r>
      <w:r>
        <w:tab/>
        <w:t>the offence was attributable to any neglect on the part of the officer; or</w:t>
      </w:r>
    </w:p>
    <w:p>
      <w:pPr>
        <w:pStyle w:val="Indenti"/>
      </w:pPr>
      <w:r>
        <w:tab/>
        <w:t>(ii)</w:t>
      </w:r>
      <w:r>
        <w:tab/>
        <w:t>the officer consented to or connived in the acts or omissions to which section 8B(2)(a)(ii) applied that were proved against the corporation,</w:t>
      </w:r>
    </w:p>
    <w:p>
      <w:pPr>
        <w:pStyle w:val="Indenta"/>
      </w:pPr>
      <w:r>
        <w:tab/>
      </w:r>
      <w:r>
        <w:tab/>
        <w:t xml:space="preserve">in circumstances where the officer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an officer commits an offence under section 9A(2), 12A(2), 12C(2), 13A(2) or 15E(2), as the case may require, if it is proved that the offence of the corporation — </w:t>
      </w:r>
    </w:p>
    <w:p>
      <w:pPr>
        <w:pStyle w:val="Indenti"/>
      </w:pPr>
      <w:r>
        <w:tab/>
        <w:t>(i)</w:t>
      </w:r>
      <w:r>
        <w:tab/>
        <w:t xml:space="preserve">occurred with the consent or connivance of the officer; or </w:t>
      </w:r>
    </w:p>
    <w:p>
      <w:pPr>
        <w:pStyle w:val="Indenti"/>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768" w:name="_Toc274299844"/>
      <w:r>
        <w:rPr>
          <w:rStyle w:val="CharSectno"/>
        </w:rPr>
        <w:t>101</w:t>
      </w:r>
      <w:r>
        <w:rPr>
          <w:snapToGrid w:val="0"/>
        </w:rPr>
        <w:t>.</w:t>
      </w:r>
      <w:r>
        <w:rPr>
          <w:snapToGrid w:val="0"/>
        </w:rPr>
        <w:tab/>
        <w:t>False or misleading information</w:t>
      </w:r>
      <w:bookmarkEnd w:id="768"/>
      <w:r>
        <w:rPr>
          <w:snapToGrid w:val="0"/>
        </w:rPr>
        <w:t xml:space="preserve"> </w:t>
      </w:r>
    </w:p>
    <w:p>
      <w:pPr>
        <w:pStyle w:val="Subsection"/>
        <w:keepNext/>
        <w:rPr>
          <w:snapToGrid w:val="0"/>
        </w:rPr>
      </w:pPr>
      <w:r>
        <w:rPr>
          <w:snapToGrid w:val="0"/>
        </w:rPr>
        <w:tab/>
      </w:r>
      <w:r>
        <w:rPr>
          <w:snapToGrid w:val="0"/>
        </w:rPr>
        <w:tab/>
        <w:t>A person who knowingly or recklessly — </w:t>
      </w:r>
    </w:p>
    <w:p>
      <w:pPr>
        <w:pStyle w:val="Indenta"/>
        <w:rPr>
          <w:snapToGrid w:val="0"/>
        </w:rPr>
      </w:pPr>
      <w:r>
        <w:rPr>
          <w:snapToGrid w:val="0"/>
        </w:rPr>
        <w:tab/>
        <w:t>(a)</w:t>
      </w:r>
      <w:r>
        <w:rPr>
          <w:snapToGrid w:val="0"/>
        </w:rPr>
        <w:tab/>
        <w:t>in relation to an application for a certificate of competency or an authorised mine surveyor’s certificate under this Act; or</w:t>
      </w:r>
    </w:p>
    <w:p>
      <w:pPr>
        <w:pStyle w:val="Indenta"/>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769" w:name="_Toc274299845"/>
      <w:r>
        <w:rPr>
          <w:rStyle w:val="CharSectno"/>
        </w:rPr>
        <w:t>101A</w:t>
      </w:r>
      <w:r>
        <w:t>.</w:t>
      </w:r>
      <w:r>
        <w:tab/>
        <w:t>No double jeopardy</w:t>
      </w:r>
      <w:bookmarkEnd w:id="769"/>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770" w:name="_Toc192041231"/>
      <w:bookmarkStart w:id="771" w:name="_Toc196130413"/>
      <w:bookmarkStart w:id="772" w:name="_Toc196188378"/>
      <w:bookmarkStart w:id="773" w:name="_Toc196192626"/>
      <w:bookmarkStart w:id="774" w:name="_Toc197245162"/>
      <w:bookmarkStart w:id="775" w:name="_Toc197246155"/>
      <w:bookmarkStart w:id="776" w:name="_Toc197246562"/>
      <w:bookmarkStart w:id="777" w:name="_Toc197746593"/>
      <w:bookmarkStart w:id="778" w:name="_Toc197751882"/>
      <w:bookmarkStart w:id="779" w:name="_Toc197752140"/>
      <w:bookmarkStart w:id="780" w:name="_Toc198006543"/>
      <w:bookmarkStart w:id="781" w:name="_Toc200360287"/>
      <w:bookmarkStart w:id="782" w:name="_Toc232396969"/>
      <w:bookmarkStart w:id="783" w:name="_Toc247954379"/>
      <w:bookmarkStart w:id="784" w:name="_Toc268599509"/>
      <w:bookmarkStart w:id="785" w:name="_Toc272236753"/>
      <w:bookmarkStart w:id="786" w:name="_Toc274299846"/>
      <w:r>
        <w:rPr>
          <w:rStyle w:val="CharDivNo"/>
        </w:rPr>
        <w:t>Division 2</w:t>
      </w:r>
      <w:r>
        <w:t> — </w:t>
      </w:r>
      <w:r>
        <w:rPr>
          <w:rStyle w:val="CharDivText"/>
        </w:rPr>
        <w:t>Undertaking by offender in lieu of payment of fine</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Footnoteheading"/>
      </w:pPr>
      <w:r>
        <w:tab/>
        <w:t xml:space="preserve">[Heading inserted by No. 68 of 2004 s. 38.] </w:t>
      </w:r>
    </w:p>
    <w:p>
      <w:pPr>
        <w:pStyle w:val="Heading5"/>
      </w:pPr>
      <w:bookmarkStart w:id="787" w:name="_Toc274299847"/>
      <w:r>
        <w:rPr>
          <w:rStyle w:val="CharSectno"/>
        </w:rPr>
        <w:t>101B</w:t>
      </w:r>
      <w:r>
        <w:t>.</w:t>
      </w:r>
      <w:r>
        <w:tab/>
        <w:t>Terms used in this Division</w:t>
      </w:r>
      <w:bookmarkEnd w:id="787"/>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 </w:t>
      </w:r>
    </w:p>
    <w:p>
      <w:pPr>
        <w:pStyle w:val="Defpara"/>
      </w:pPr>
      <w:r>
        <w:tab/>
        <w:t>(a)</w:t>
      </w:r>
      <w:r>
        <w:tab/>
        <w:t xml:space="preserve">section 21(5), 29(4), 55(7), 60(8), 61(2), 65(2), 66(3) or 70(4); </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788" w:name="_Toc274299848"/>
      <w:r>
        <w:rPr>
          <w:rStyle w:val="CharSectno"/>
        </w:rPr>
        <w:t>101C</w:t>
      </w:r>
      <w:r>
        <w:t>.</w:t>
      </w:r>
      <w:r>
        <w:tab/>
        <w:t>Court may allow offender to make election</w:t>
      </w:r>
      <w:bookmarkEnd w:id="788"/>
    </w:p>
    <w:p>
      <w:pPr>
        <w:pStyle w:val="Subsection"/>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prosecutor does not oppose that being done;</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789" w:name="_Toc274299849"/>
      <w:r>
        <w:rPr>
          <w:rStyle w:val="CharSectno"/>
        </w:rPr>
        <w:t>101D</w:t>
      </w:r>
      <w:r>
        <w:t>.</w:t>
      </w:r>
      <w:r>
        <w:tab/>
        <w:t>Making of election</w:t>
      </w:r>
      <w:bookmarkEnd w:id="789"/>
    </w:p>
    <w:p>
      <w:pPr>
        <w:pStyle w:val="Subsection"/>
      </w:pPr>
      <w:r>
        <w:tab/>
        <w:t>(1)</w:t>
      </w:r>
      <w:r>
        <w:tab/>
        <w:t xml:space="preserve">An election is made, pursuant to an order under section 101C(1), by the offender — </w:t>
      </w:r>
    </w:p>
    <w:p>
      <w:pPr>
        <w:pStyle w:val="Indenta"/>
      </w:pPr>
      <w:r>
        <w:tab/>
        <w:t>(a)</w:t>
      </w:r>
      <w:r>
        <w:tab/>
        <w:t xml:space="preserve">lodging an election in writing with the court in which the order was made; and </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 xml:space="preserve">If —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790" w:name="_Toc274299850"/>
      <w:r>
        <w:rPr>
          <w:rStyle w:val="CharSectno"/>
        </w:rPr>
        <w:t>101E</w:t>
      </w:r>
      <w:r>
        <w:t>.</w:t>
      </w:r>
      <w:r>
        <w:tab/>
        <w:t>Failure to enter into undertaking</w:t>
      </w:r>
      <w:bookmarkEnd w:id="790"/>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791" w:name="_Toc274299851"/>
      <w:r>
        <w:rPr>
          <w:rStyle w:val="CharSectno"/>
        </w:rPr>
        <w:t>101F</w:t>
      </w:r>
      <w:r>
        <w:t>.</w:t>
      </w:r>
      <w:r>
        <w:tab/>
        <w:t>Time for payment of fines</w:t>
      </w:r>
      <w:bookmarkEnd w:id="791"/>
    </w:p>
    <w:p>
      <w:pPr>
        <w:pStyle w:val="Subsection"/>
      </w:pPr>
      <w:r>
        <w:tab/>
        <w:t>(1)</w:t>
      </w:r>
      <w:r>
        <w:tab/>
        <w:t>The liability of the offender to pay the fine or fines in connection with which an order is made under section 101C(1)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101D(2) to have elected to pay the fine or fines, for the purposes of the section referred to in subsection (2) the fine or fines are taken to have been imposed at the time mentioned in section 101D(2).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101E,</w:t>
      </w:r>
    </w:p>
    <w:p>
      <w:pPr>
        <w:pStyle w:val="Subsection"/>
      </w:pPr>
      <w:r>
        <w:tab/>
      </w:r>
      <w:r>
        <w:tab/>
        <w:t>for the purposes of the section referred to in subsection (2) the fine or fines are taken to have been imposed on the day specified under section 101C(1)(d).</w:t>
      </w:r>
    </w:p>
    <w:p>
      <w:pPr>
        <w:pStyle w:val="Footnotesection"/>
      </w:pPr>
      <w:r>
        <w:tab/>
        <w:t>[Section 101F inserted by No. 68 of 2004 s. 38.]</w:t>
      </w:r>
    </w:p>
    <w:p>
      <w:pPr>
        <w:pStyle w:val="Heading5"/>
      </w:pPr>
      <w:bookmarkStart w:id="792" w:name="_Toc274299852"/>
      <w:r>
        <w:rPr>
          <w:rStyle w:val="CharSectno"/>
        </w:rPr>
        <w:t>101G</w:t>
      </w:r>
      <w:r>
        <w:t>.</w:t>
      </w:r>
      <w:r>
        <w:tab/>
        <w:t>Nature and terms of undertaking</w:t>
      </w:r>
      <w:bookmarkEnd w:id="792"/>
    </w:p>
    <w:p>
      <w:pPr>
        <w:pStyle w:val="Subsection"/>
      </w:pPr>
      <w:r>
        <w:tab/>
        <w:t>(1)</w:t>
      </w:r>
      <w:r>
        <w:tab/>
        <w:t xml:space="preserve">An undertaking for the purposes of this Division is a document by which the offender gives undertakings to the State mining engineer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793" w:name="_Toc274299853"/>
      <w:r>
        <w:rPr>
          <w:rStyle w:val="CharSectno"/>
        </w:rPr>
        <w:t>101H</w:t>
      </w:r>
      <w:r>
        <w:t>.</w:t>
      </w:r>
      <w:r>
        <w:tab/>
        <w:t>What may be included in undertaking</w:t>
      </w:r>
      <w:bookmarkEnd w:id="793"/>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or in respect of — </w:t>
      </w:r>
    </w:p>
    <w:p>
      <w:pPr>
        <w:pStyle w:val="IndentI0"/>
      </w:pPr>
      <w:r>
        <w:tab/>
        <w:t>(I)</w:t>
      </w:r>
      <w:r>
        <w:tab/>
        <w:t xml:space="preserve">any specified mine; or </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State mining engineer may require that an undertaking contain any incidental or supplementary provision that the State mining engineer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ind w:left="890" w:hanging="890"/>
      </w:pPr>
      <w:r>
        <w:tab/>
        <w:t>[Section 101H inserted by No. 68 of 2004 s. 38.]</w:t>
      </w:r>
    </w:p>
    <w:p>
      <w:pPr>
        <w:pStyle w:val="Heading5"/>
      </w:pPr>
      <w:bookmarkStart w:id="794" w:name="_Toc274299854"/>
      <w:r>
        <w:rPr>
          <w:rStyle w:val="CharSectno"/>
        </w:rPr>
        <w:t>101I</w:t>
      </w:r>
      <w:r>
        <w:t>.</w:t>
      </w:r>
      <w:r>
        <w:tab/>
        <w:t>Effect of undertaking</w:t>
      </w:r>
      <w:bookmarkEnd w:id="794"/>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795" w:name="_Toc274299855"/>
      <w:r>
        <w:rPr>
          <w:rStyle w:val="CharSectno"/>
        </w:rPr>
        <w:t>101J</w:t>
      </w:r>
      <w:r>
        <w:t>.</w:t>
      </w:r>
      <w:r>
        <w:tab/>
        <w:t>Failure to comply with undertaking</w:t>
      </w:r>
      <w:bookmarkEnd w:id="795"/>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w:t>
      </w:r>
    </w:p>
    <w:p>
      <w:pPr>
        <w:pStyle w:val="Heading5"/>
      </w:pPr>
      <w:bookmarkStart w:id="796" w:name="_Toc274299856"/>
      <w:r>
        <w:rPr>
          <w:rStyle w:val="CharSectno"/>
        </w:rPr>
        <w:t>101K</w:t>
      </w:r>
      <w:r>
        <w:t>.</w:t>
      </w:r>
      <w:r>
        <w:tab/>
        <w:t>Amendment of undertaking</w:t>
      </w:r>
      <w:bookmarkEnd w:id="796"/>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797" w:name="_Toc274299857"/>
      <w:r>
        <w:rPr>
          <w:rStyle w:val="CharSectno"/>
        </w:rPr>
        <w:t>101L</w:t>
      </w:r>
      <w:r>
        <w:t>.</w:t>
      </w:r>
      <w:r>
        <w:tab/>
        <w:t>Undertaking may be published</w:t>
      </w:r>
      <w:bookmarkEnd w:id="797"/>
    </w:p>
    <w:p>
      <w:pPr>
        <w:pStyle w:val="Subsection"/>
      </w:pPr>
      <w:r>
        <w:tab/>
      </w:r>
      <w:r>
        <w:tab/>
        <w:t xml:space="preserve">The State mining engineer may cause an undertaking to be published in any manner the State mining engineer thinks fit including —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798" w:name="_Toc192041243"/>
      <w:bookmarkStart w:id="799" w:name="_Toc196130425"/>
      <w:bookmarkStart w:id="800" w:name="_Toc196188390"/>
      <w:bookmarkStart w:id="801" w:name="_Toc196192638"/>
      <w:bookmarkStart w:id="802" w:name="_Toc197245174"/>
      <w:bookmarkStart w:id="803" w:name="_Toc197246167"/>
      <w:bookmarkStart w:id="804" w:name="_Toc197246574"/>
      <w:bookmarkStart w:id="805" w:name="_Toc197746605"/>
      <w:bookmarkStart w:id="806" w:name="_Toc197751894"/>
      <w:bookmarkStart w:id="807" w:name="_Toc197752152"/>
      <w:bookmarkStart w:id="808" w:name="_Toc198006555"/>
      <w:bookmarkStart w:id="809" w:name="_Toc200360299"/>
      <w:bookmarkStart w:id="810" w:name="_Toc232396981"/>
      <w:bookmarkStart w:id="811" w:name="_Toc247954391"/>
      <w:bookmarkStart w:id="812" w:name="_Toc268599521"/>
      <w:bookmarkStart w:id="813" w:name="_Toc272236765"/>
      <w:bookmarkStart w:id="814" w:name="_Toc274299858"/>
      <w:r>
        <w:rPr>
          <w:rStyle w:val="CharDivNo"/>
        </w:rPr>
        <w:t>Division 3</w:t>
      </w:r>
      <w:r>
        <w:t> — </w:t>
      </w:r>
      <w:r>
        <w:rPr>
          <w:rStyle w:val="CharDivText"/>
        </w:rPr>
        <w:t>Jurisdiction of Occupational Safety and Health Tribunal</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Footnoteheading"/>
        <w:keepNext/>
        <w:keepLines/>
      </w:pPr>
      <w:r>
        <w:tab/>
        <w:t xml:space="preserve">[Heading inserted by No. 68 of 2004 s. 82.] </w:t>
      </w:r>
    </w:p>
    <w:p>
      <w:pPr>
        <w:pStyle w:val="Heading5"/>
      </w:pPr>
      <w:bookmarkStart w:id="815" w:name="_Toc274299859"/>
      <w:r>
        <w:rPr>
          <w:rStyle w:val="CharSectno"/>
        </w:rPr>
        <w:t>102</w:t>
      </w:r>
      <w:r>
        <w:t>.</w:t>
      </w:r>
      <w:r>
        <w:tab/>
        <w:t>Determination of certain matters and appeals by Tribunal</w:t>
      </w:r>
      <w:bookmarkEnd w:id="815"/>
    </w:p>
    <w:p>
      <w:pPr>
        <w:pStyle w:val="Subsection"/>
      </w:pPr>
      <w:r>
        <w:tab/>
        <w:t>(1)</w:t>
      </w:r>
      <w:r>
        <w:tab/>
        <w:t xml:space="preserve">This section applies where — </w:t>
      </w:r>
    </w:p>
    <w:p>
      <w:pPr>
        <w:pStyle w:val="Indenta"/>
      </w:pPr>
      <w:r>
        <w:tab/>
        <w:t>(a)</w:t>
      </w:r>
      <w:r>
        <w:tab/>
        <w:t xml:space="preserve">under section 31BA, 55(6), 55A(4), 56(11), 59(1), 62(1), 67F(1), (2) or (3), 74(2) or 102AA(2) a matter is referred to the Tribunal; </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 xml:space="preserve">Where this section applies — </w:t>
      </w:r>
    </w:p>
    <w:p>
      <w:pPr>
        <w:pStyle w:val="Indenta"/>
      </w:pPr>
      <w:r>
        <w:tab/>
        <w:t>(a)</w:t>
      </w:r>
      <w:r>
        <w:tab/>
        <w:t>the matter, claim or appeal may be heard and determined; and</w:t>
      </w:r>
    </w:p>
    <w:p>
      <w:pPr>
        <w:pStyle w:val="Indenta"/>
      </w:pPr>
      <w:r>
        <w:tab/>
        <w:t>(b)</w:t>
      </w:r>
      <w:r>
        <w:tab/>
        <w:t xml:space="preserve">a determination made by the Tribunal on the matter, claim or appeal has effect, and may be — </w:t>
      </w:r>
    </w:p>
    <w:p>
      <w:pPr>
        <w:pStyle w:val="Indenti"/>
      </w:pPr>
      <w:r>
        <w:tab/>
        <w:t>(i)</w:t>
      </w:r>
      <w:r>
        <w:tab/>
        <w:t>appealed against; and</w:t>
      </w:r>
    </w:p>
    <w:p>
      <w:pPr>
        <w:pStyle w:val="Indenti"/>
      </w:pPr>
      <w:r>
        <w:tab/>
        <w:t>(ii)</w:t>
      </w:r>
      <w:r>
        <w:tab/>
        <w:t>enforced,</w:t>
      </w:r>
    </w:p>
    <w:p>
      <w:pPr>
        <w:pStyle w:val="Subsection"/>
      </w:pPr>
      <w:r>
        <w:tab/>
      </w:r>
      <w:r>
        <w:tab/>
        <w:t xml:space="preserve">as if it were —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 xml:space="preserve">The provisions of — </w:t>
      </w:r>
    </w:p>
    <w:p>
      <w:pPr>
        <w:pStyle w:val="Indenta"/>
      </w:pPr>
      <w:r>
        <w:tab/>
        <w:t>(a)</w:t>
      </w:r>
      <w:r>
        <w:tab/>
        <w:t xml:space="preserve">Part VIB; and </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816" w:name="_Toc153604833"/>
      <w:bookmarkStart w:id="817" w:name="_Toc166989600"/>
      <w:bookmarkStart w:id="818" w:name="_Toc196126244"/>
      <w:bookmarkStart w:id="819" w:name="_Toc274299860"/>
      <w:r>
        <w:rPr>
          <w:rStyle w:val="CharSectno"/>
        </w:rPr>
        <w:t>102AA</w:t>
      </w:r>
      <w:r>
        <w:t>.</w:t>
      </w:r>
      <w:r>
        <w:tab/>
        <w:t>Review of State mining engineer’s decisions under the regulations</w:t>
      </w:r>
      <w:bookmarkEnd w:id="816"/>
      <w:bookmarkEnd w:id="817"/>
      <w:bookmarkEnd w:id="818"/>
      <w:bookmarkEnd w:id="819"/>
    </w:p>
    <w:p>
      <w:pPr>
        <w:pStyle w:val="Subsection"/>
      </w:pPr>
      <w:r>
        <w:tab/>
        <w:t>(1)</w:t>
      </w:r>
      <w:r>
        <w:tab/>
        <w:t xml:space="preserve">In this section —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 xml:space="preserve">On a reference under subsection (2), the Tribunal is to inquire into the circumstances relating to the decision and may —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820" w:name="_Toc192041245"/>
      <w:bookmarkStart w:id="821" w:name="_Toc196130428"/>
      <w:bookmarkStart w:id="822" w:name="_Toc196188393"/>
      <w:bookmarkStart w:id="823" w:name="_Toc196192641"/>
      <w:bookmarkStart w:id="824" w:name="_Toc197245177"/>
      <w:bookmarkStart w:id="825" w:name="_Toc197246170"/>
      <w:bookmarkStart w:id="826" w:name="_Toc197246577"/>
      <w:bookmarkStart w:id="827" w:name="_Toc197746608"/>
      <w:bookmarkStart w:id="828" w:name="_Toc197751897"/>
      <w:bookmarkStart w:id="829" w:name="_Toc197752155"/>
      <w:bookmarkStart w:id="830" w:name="_Toc198006558"/>
      <w:bookmarkStart w:id="831" w:name="_Toc200360302"/>
      <w:bookmarkStart w:id="832" w:name="_Toc232396984"/>
      <w:bookmarkStart w:id="833" w:name="_Toc247954394"/>
      <w:bookmarkStart w:id="834" w:name="_Toc268599524"/>
      <w:bookmarkStart w:id="835" w:name="_Toc272236768"/>
      <w:bookmarkStart w:id="836" w:name="_Toc274299861"/>
      <w:r>
        <w:rPr>
          <w:rStyle w:val="CharPartNo"/>
        </w:rPr>
        <w:t>Part 10</w:t>
      </w:r>
      <w:r>
        <w:rPr>
          <w:rStyle w:val="CharDivNo"/>
        </w:rPr>
        <w:t> </w:t>
      </w:r>
      <w:r>
        <w:t>—</w:t>
      </w:r>
      <w:r>
        <w:rPr>
          <w:rStyle w:val="CharDivText"/>
        </w:rPr>
        <w:t> </w:t>
      </w:r>
      <w:r>
        <w:rPr>
          <w:rStyle w:val="CharPartText"/>
        </w:rPr>
        <w:t>Final provisions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rPr>
          <w:rStyle w:val="CharPartText"/>
        </w:rPr>
        <w:t xml:space="preserve"> </w:t>
      </w:r>
    </w:p>
    <w:p>
      <w:pPr>
        <w:pStyle w:val="Heading5"/>
      </w:pPr>
      <w:bookmarkStart w:id="837" w:name="_Toc274299862"/>
      <w:r>
        <w:rPr>
          <w:rStyle w:val="CharSectno"/>
        </w:rPr>
        <w:t>102A</w:t>
      </w:r>
      <w:r>
        <w:t>.</w:t>
      </w:r>
      <w:r>
        <w:tab/>
        <w:t>Visitors to comply with directions</w:t>
      </w:r>
      <w:bookmarkEnd w:id="837"/>
      <w:r>
        <w:t xml:space="preserve"> </w:t>
      </w:r>
    </w:p>
    <w:p>
      <w:pPr>
        <w:pStyle w:val="Subsection"/>
      </w:pPr>
      <w:r>
        <w:tab/>
        <w:t>(1)</w:t>
      </w:r>
      <w:r>
        <w:tab/>
        <w:t xml:space="preserve">In this section — </w:t>
      </w:r>
    </w:p>
    <w:p>
      <w:pPr>
        <w:pStyle w:val="Defstart"/>
      </w:pPr>
      <w:r>
        <w:rPr>
          <w:b/>
        </w:rPr>
        <w:tab/>
      </w:r>
      <w:r>
        <w:rPr>
          <w:rStyle w:val="CharDefText"/>
        </w:rPr>
        <w:t>authorised person</w:t>
      </w:r>
      <w:r>
        <w:t xml:space="preserve">, in relation to a mine, means — </w:t>
      </w:r>
    </w:p>
    <w:p>
      <w:pPr>
        <w:pStyle w:val="Defpara"/>
      </w:pPr>
      <w:r>
        <w:tab/>
        <w:t>(a)</w:t>
      </w:r>
      <w:r>
        <w:tab/>
        <w:t>a managerial officer at the mine;</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xml:space="preserve">, in relation to a mine, means — </w:t>
      </w:r>
    </w:p>
    <w:p>
      <w:pPr>
        <w:pStyle w:val="Defpara"/>
      </w:pPr>
      <w:r>
        <w:tab/>
        <w:t>(a)</w:t>
      </w:r>
      <w:r>
        <w:tab/>
        <w:t>the principal employer at the mine;</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mine otherwise than in the capacity of — </w:t>
      </w:r>
    </w:p>
    <w:p>
      <w:pPr>
        <w:pStyle w:val="Indenti"/>
      </w:pPr>
      <w:r>
        <w:tab/>
        <w:t>(i)</w:t>
      </w:r>
      <w:r>
        <w:tab/>
        <w:t>a managerial officer;</w:t>
      </w:r>
    </w:p>
    <w:p>
      <w:pPr>
        <w:pStyle w:val="Indenti"/>
      </w:pPr>
      <w:r>
        <w:tab/>
        <w:t>(ii)</w:t>
      </w:r>
      <w:r>
        <w:tab/>
        <w:t xml:space="preserve">an employer; </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mine; or </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838" w:name="_Toc274299863"/>
      <w:r>
        <w:rPr>
          <w:rStyle w:val="CharSectno"/>
        </w:rPr>
        <w:t>103</w:t>
      </w:r>
      <w:r>
        <w:rPr>
          <w:snapToGrid w:val="0"/>
        </w:rPr>
        <w:t>.</w:t>
      </w:r>
      <w:r>
        <w:rPr>
          <w:snapToGrid w:val="0"/>
        </w:rPr>
        <w:tab/>
        <w:t>Exemption from personal liability</w:t>
      </w:r>
      <w:bookmarkEnd w:id="838"/>
      <w:r>
        <w:rPr>
          <w:snapToGrid w:val="0"/>
        </w:rPr>
        <w:t xml:space="preserve"> </w:t>
      </w:r>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 xml:space="preserve">[Section 103 amended by No. 30 of 1995 s. 76(1); No. 51 of 2004 s. 115(5).] </w:t>
      </w:r>
    </w:p>
    <w:p>
      <w:pPr>
        <w:pStyle w:val="Heading5"/>
        <w:rPr>
          <w:snapToGrid w:val="0"/>
        </w:rPr>
      </w:pPr>
      <w:bookmarkStart w:id="839" w:name="_Toc274299864"/>
      <w:r>
        <w:rPr>
          <w:rStyle w:val="CharSectno"/>
        </w:rPr>
        <w:t>104</w:t>
      </w:r>
      <w:r>
        <w:rPr>
          <w:snapToGrid w:val="0"/>
        </w:rPr>
        <w:t>.</w:t>
      </w:r>
      <w:r>
        <w:rPr>
          <w:snapToGrid w:val="0"/>
        </w:rPr>
        <w:tab/>
        <w:t>Power to make regulations</w:t>
      </w:r>
      <w:bookmarkEnd w:id="839"/>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rPr>
          <w:snapToGrid w:val="0"/>
        </w:rPr>
      </w:pPr>
      <w:r>
        <w:rPr>
          <w:snapToGrid w:val="0"/>
        </w:rPr>
        <w:tab/>
        <w:t>(b)</w:t>
      </w:r>
      <w:r>
        <w:rPr>
          <w:snapToGrid w:val="0"/>
        </w:rPr>
        <w:tab/>
        <w:t>regulating methods of inspection of mines;</w:t>
      </w:r>
    </w:p>
    <w:p>
      <w:pPr>
        <w:pStyle w:val="Indenta"/>
        <w:rPr>
          <w:snapToGrid w:val="0"/>
        </w:rPr>
      </w:pPr>
      <w:r>
        <w:rPr>
          <w:snapToGrid w:val="0"/>
        </w:rPr>
        <w:tab/>
        <w:t>(ba)</w:t>
      </w:r>
      <w:r>
        <w:rPr>
          <w:snapToGrid w:val="0"/>
        </w:rPr>
        <w:tab/>
        <w:t>regulating the conduct of elections under this Act by secret ballot;</w:t>
      </w:r>
    </w:p>
    <w:p>
      <w:pPr>
        <w:pStyle w:val="Indenta"/>
      </w:pPr>
      <w:r>
        <w:tab/>
        <w:t>(bb)</w:t>
      </w:r>
      <w:r>
        <w:tab/>
        <w:t>dealing with the establishment of safety and health committees by employers;</w:t>
      </w:r>
    </w:p>
    <w:p>
      <w:pPr>
        <w:pStyle w:val="Indenta"/>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pPr>
      <w:r>
        <w:tab/>
        <w:t>(ca)</w:t>
      </w:r>
      <w:r>
        <w:tab/>
        <w:t xml:space="preserve">without limiting paragraph (c), imposing duties on persons in relation to — </w:t>
      </w:r>
    </w:p>
    <w:p>
      <w:pPr>
        <w:pStyle w:val="Indenti"/>
      </w:pPr>
      <w:r>
        <w:tab/>
        <w:t>(i)</w:t>
      </w:r>
      <w:r>
        <w:tab/>
        <w:t>the identification of hazards at mines;</w:t>
      </w:r>
    </w:p>
    <w:p>
      <w:pPr>
        <w:pStyle w:val="Indenti"/>
      </w:pPr>
      <w:r>
        <w:tab/>
        <w:t>(ii)</w:t>
      </w:r>
      <w:r>
        <w:tab/>
        <w:t xml:space="preserve">the assessment of risks resulting from such hazards; and </w:t>
      </w:r>
    </w:p>
    <w:p>
      <w:pPr>
        <w:pStyle w:val="Indenti"/>
      </w:pPr>
      <w:r>
        <w:tab/>
        <w:t>(iii)</w:t>
      </w:r>
      <w:r>
        <w:tab/>
        <w:t>the taking of remedial or other action;</w:t>
      </w:r>
    </w:p>
    <w:p>
      <w:pPr>
        <w:pStyle w:val="Indenta"/>
        <w:rPr>
          <w:snapToGrid w:val="0"/>
        </w:rPr>
      </w:pPr>
      <w:r>
        <w:rPr>
          <w:snapToGrid w:val="0"/>
        </w:rPr>
        <w:tab/>
        <w:t>(d)</w:t>
      </w:r>
      <w:r>
        <w:rPr>
          <w:snapToGrid w:val="0"/>
        </w:rPr>
        <w:tab/>
        <w:t>regulating and otherwise dealing with — </w:t>
      </w:r>
    </w:p>
    <w:p>
      <w:pPr>
        <w:pStyle w:val="Indenti"/>
        <w:rPr>
          <w:snapToGrid w:val="0"/>
        </w:rPr>
      </w:pPr>
      <w:r>
        <w:rPr>
          <w:snapToGrid w:val="0"/>
        </w:rPr>
        <w:tab/>
        <w:t>(i)</w:t>
      </w:r>
      <w:r>
        <w:rPr>
          <w:snapToGrid w:val="0"/>
        </w:rPr>
        <w:tab/>
        <w:t>the transport, storage, handling, use, and disposal of explosives and blasting initiation systems; and</w:t>
      </w:r>
    </w:p>
    <w:p>
      <w:pPr>
        <w:pStyle w:val="Indenti"/>
        <w:rPr>
          <w:snapToGrid w:val="0"/>
        </w:rPr>
      </w:pPr>
      <w:r>
        <w:rPr>
          <w:snapToGrid w:val="0"/>
        </w:rPr>
        <w:tab/>
        <w:t>(ii)</w:t>
      </w:r>
      <w:r>
        <w:rPr>
          <w:snapToGrid w:val="0"/>
        </w:rPr>
        <w:tab/>
        <w:t xml:space="preserve">the testing and evaluation of performance of explosives and blasting initiation systems; and </w:t>
      </w:r>
    </w:p>
    <w:p>
      <w:pPr>
        <w:pStyle w:val="Indenti"/>
        <w:rPr>
          <w:snapToGrid w:val="0"/>
        </w:rPr>
      </w:pPr>
      <w:r>
        <w:rPr>
          <w:snapToGrid w:val="0"/>
        </w:rPr>
        <w:tab/>
        <w:t>(iii)</w:t>
      </w:r>
      <w:r>
        <w:rPr>
          <w:snapToGrid w:val="0"/>
        </w:rPr>
        <w:tab/>
        <w:t>the assessment of and means of dealing with residual fumes from blasting;</w:t>
      </w:r>
    </w:p>
    <w:p>
      <w:pPr>
        <w:pStyle w:val="Indenta"/>
        <w:rPr>
          <w:snapToGrid w:val="0"/>
        </w:rPr>
      </w:pPr>
      <w:r>
        <w:rPr>
          <w:snapToGrid w:val="0"/>
        </w:rPr>
        <w:tab/>
        <w:t>(e)</w:t>
      </w:r>
      <w:r>
        <w:rPr>
          <w:snapToGrid w:val="0"/>
        </w:rPr>
        <w:tab/>
        <w:t>regulating matters relating to noise at mines;</w:t>
      </w:r>
    </w:p>
    <w:p>
      <w:pPr>
        <w:pStyle w:val="Indenta"/>
        <w:rPr>
          <w:snapToGrid w:val="0"/>
        </w:rPr>
      </w:pPr>
      <w:r>
        <w:rPr>
          <w:snapToGrid w:val="0"/>
        </w:rPr>
        <w:tab/>
        <w:t>(f)</w:t>
      </w:r>
      <w:r>
        <w:rPr>
          <w:snapToGrid w:val="0"/>
        </w:rPr>
        <w:tab/>
        <w:t>providing for the safety and health standards and procedures to be complied with — </w:t>
      </w:r>
    </w:p>
    <w:p>
      <w:pPr>
        <w:pStyle w:val="Indenti"/>
        <w:rPr>
          <w:snapToGrid w:val="0"/>
        </w:rPr>
      </w:pPr>
      <w:r>
        <w:rPr>
          <w:snapToGrid w:val="0"/>
        </w:rPr>
        <w:tab/>
        <w:t>(i)</w:t>
      </w:r>
      <w:r>
        <w:rPr>
          <w:snapToGrid w:val="0"/>
        </w:rPr>
        <w:tab/>
        <w:t>at any mine;</w:t>
      </w:r>
    </w:p>
    <w:p>
      <w:pPr>
        <w:pStyle w:val="Indenti"/>
        <w:rPr>
          <w:snapToGrid w:val="0"/>
        </w:rPr>
      </w:pPr>
      <w:r>
        <w:rPr>
          <w:snapToGrid w:val="0"/>
        </w:rPr>
        <w:tab/>
        <w:t>(ii)</w:t>
      </w:r>
      <w:r>
        <w:rPr>
          <w:snapToGrid w:val="0"/>
        </w:rPr>
        <w:tab/>
        <w:t>in the performance of any work in connection with a mine;</w:t>
      </w:r>
    </w:p>
    <w:p>
      <w:pPr>
        <w:pStyle w:val="Indenti"/>
        <w:rPr>
          <w:snapToGrid w:val="0"/>
        </w:rPr>
      </w:pPr>
      <w:r>
        <w:rPr>
          <w:snapToGrid w:val="0"/>
        </w:rPr>
        <w:tab/>
        <w:t>(iii)</w:t>
      </w:r>
      <w:r>
        <w:rPr>
          <w:snapToGrid w:val="0"/>
        </w:rPr>
        <w:tab/>
        <w:t>in the use, cleaning, maintenance, disposal or transportation of any plant in connection with a mine;</w:t>
      </w:r>
    </w:p>
    <w:p>
      <w:pPr>
        <w:pStyle w:val="Indenti"/>
        <w:rPr>
          <w:snapToGrid w:val="0"/>
        </w:rPr>
      </w:pPr>
      <w:r>
        <w:rPr>
          <w:snapToGrid w:val="0"/>
        </w:rPr>
        <w:tab/>
        <w:t>(iv)</w:t>
      </w:r>
      <w:r>
        <w:rPr>
          <w:snapToGrid w:val="0"/>
        </w:rPr>
        <w:tab/>
        <w:t>in the use, handling, treatment, removal, processing, storing, transport or disposal of any substance in connection with a mine;</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rPr>
          <w:snapToGrid w:val="0"/>
        </w:rPr>
      </w:pPr>
      <w:r>
        <w:rPr>
          <w:snapToGrid w:val="0"/>
        </w:rPr>
        <w:tab/>
        <w:t>(zl)</w:t>
      </w:r>
      <w:r>
        <w:rPr>
          <w:snapToGrid w:val="0"/>
        </w:rPr>
        <w:tab/>
        <w:t>prescribing —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 xml:space="preserve">In subsection (1)(c), (z), (zc) and (zk)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 xml:space="preserve">, and </w:t>
      </w:r>
      <w:r>
        <w:rPr>
          <w:rStyle w:val="CharDefText"/>
        </w:rPr>
        <w:t>employed</w:t>
      </w:r>
      <w:r>
        <w:rPr>
          <w:rFonts w:ascii="Times" w:hAnsi="Times"/>
        </w:rPr>
        <w:t xml:space="preserve"> </w:t>
      </w:r>
      <w:r>
        <w:t>has a corresponding meaning</w:t>
      </w:r>
      <w:r>
        <w:rPr>
          <w:rFonts w:ascii="Times" w:hAnsi="Times"/>
        </w:rPr>
        <w:t>.</w:t>
      </w:r>
    </w:p>
    <w:p>
      <w:pPr>
        <w:pStyle w:val="Subsection"/>
        <w:keepNext/>
        <w:rPr>
          <w:snapToGrid w:val="0"/>
        </w:rPr>
      </w:pPr>
      <w:r>
        <w:rPr>
          <w:snapToGrid w:val="0"/>
        </w:rPr>
        <w:tab/>
        <w:t>(2)</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corporation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 xml:space="preserve">In subsection (4)(a) and (d) —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 xml:space="preserve">[Section 104 amended by No. 30 of 1995 s. 75 and 76(2) and (4); No. 74 of 2003 s. 83; No. 7 of 2004 s. 70; No. 68 of 2004 s. 13, 39, 72 and 92; No. 16 of 2008 s. 33.] </w:t>
      </w:r>
    </w:p>
    <w:p>
      <w:pPr>
        <w:pStyle w:val="Heading5"/>
        <w:rPr>
          <w:snapToGrid w:val="0"/>
        </w:rPr>
      </w:pPr>
      <w:bookmarkStart w:id="840" w:name="_Toc246856114"/>
      <w:bookmarkStart w:id="841" w:name="_Toc247701190"/>
      <w:bookmarkStart w:id="842" w:name="_Toc247702095"/>
      <w:bookmarkStart w:id="843" w:name="_Toc247703232"/>
      <w:bookmarkStart w:id="844" w:name="_Toc274299865"/>
      <w:r>
        <w:rPr>
          <w:rStyle w:val="CharSectno"/>
        </w:rPr>
        <w:t>105A</w:t>
      </w:r>
      <w:r>
        <w:rPr>
          <w:snapToGrid w:val="0"/>
        </w:rPr>
        <w:t>.</w:t>
      </w:r>
      <w:r>
        <w:rPr>
          <w:snapToGrid w:val="0"/>
        </w:rPr>
        <w:tab/>
        <w:t>Regulations for cost recovery</w:t>
      </w:r>
      <w:bookmarkEnd w:id="840"/>
      <w:bookmarkEnd w:id="841"/>
      <w:bookmarkEnd w:id="842"/>
      <w:bookmarkEnd w:id="843"/>
      <w:bookmarkEnd w:id="844"/>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 xml:space="preserve">The regulations may deal with — </w:t>
      </w:r>
    </w:p>
    <w:p>
      <w:pPr>
        <w:pStyle w:val="Indenta"/>
        <w:rPr>
          <w:snapToGrid w:val="0"/>
        </w:rPr>
      </w:pPr>
      <w:r>
        <w:rPr>
          <w:snapToGrid w:val="0"/>
        </w:rPr>
        <w:tab/>
        <w:t>(a)</w:t>
      </w:r>
      <w:r>
        <w:rPr>
          <w:snapToGrid w:val="0"/>
        </w:rPr>
        <w:tab/>
        <w:t>the circumstances in which liability to pay the levy is imposed;</w:t>
      </w:r>
    </w:p>
    <w:p>
      <w:pPr>
        <w:pStyle w:val="Indenta"/>
        <w:rPr>
          <w:snapToGrid w:val="0"/>
        </w:rPr>
      </w:pPr>
      <w:r>
        <w:rPr>
          <w:snapToGrid w:val="0"/>
        </w:rPr>
        <w:tab/>
        <w:t>(b)</w:t>
      </w:r>
      <w:r>
        <w:rPr>
          <w:snapToGrid w:val="0"/>
        </w:rPr>
        <w:tab/>
        <w:t>how the amount of the liability is to be assessed;</w:t>
      </w:r>
    </w:p>
    <w:p>
      <w:pPr>
        <w:pStyle w:val="Indenta"/>
        <w:rPr>
          <w:snapToGrid w:val="0"/>
        </w:rPr>
      </w:pPr>
      <w:r>
        <w:rPr>
          <w:snapToGrid w:val="0"/>
        </w:rPr>
        <w:tab/>
        <w:t>(c)</w:t>
      </w:r>
      <w:r>
        <w:rPr>
          <w:snapToGrid w:val="0"/>
        </w:rPr>
        <w:tab/>
        <w:t>on whom liability is imposed to pay the amount assessed, when payment becomes due, and how payment is to be made;</w:t>
      </w:r>
    </w:p>
    <w:p>
      <w:pPr>
        <w:pStyle w:val="Indenta"/>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rPr>
          <w:snapToGrid w:val="0"/>
        </w:rPr>
      </w:pPr>
      <w:r>
        <w:rPr>
          <w:snapToGrid w:val="0"/>
        </w:rPr>
        <w:tab/>
        <w:t>(e)</w:t>
      </w:r>
      <w:r>
        <w:rPr>
          <w:snapToGrid w:val="0"/>
        </w:rPr>
        <w:tab/>
        <w:t>rights to object to an assessment and how the objection is to be dealt with;</w:t>
      </w:r>
    </w:p>
    <w:p>
      <w:pPr>
        <w:pStyle w:val="Indenta"/>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rPr>
          <w:snapToGrid w:val="0"/>
        </w:rPr>
      </w:pPr>
      <w:r>
        <w:rPr>
          <w:snapToGrid w:val="0"/>
        </w:rPr>
        <w:tab/>
        <w:t>(g)</w:t>
      </w:r>
      <w:r>
        <w:rPr>
          <w:snapToGrid w:val="0"/>
        </w:rPr>
        <w:tab/>
        <w:t>how an amount outstanding may be recovered.</w:t>
      </w:r>
    </w:p>
    <w:p>
      <w:pPr>
        <w:pStyle w:val="Subsection"/>
        <w:rPr>
          <w:snapToGrid w:val="0"/>
        </w:rPr>
      </w:pPr>
      <w:r>
        <w:rPr>
          <w:snapToGrid w:val="0"/>
        </w:rPr>
        <w:tab/>
        <w:t>(4)</w:t>
      </w:r>
      <w:r>
        <w:rPr>
          <w:snapToGrid w:val="0"/>
        </w:rPr>
        <w:tab/>
        <w:t xml:space="preserve">The regulations may — </w:t>
      </w:r>
    </w:p>
    <w:p>
      <w:pPr>
        <w:pStyle w:val="Indenta"/>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 by No. 45 of 2009 s. 4.]</w:t>
      </w:r>
    </w:p>
    <w:p>
      <w:pPr>
        <w:pStyle w:val="Heading5"/>
      </w:pPr>
      <w:bookmarkStart w:id="845" w:name="_Toc246856115"/>
      <w:bookmarkStart w:id="846" w:name="_Toc247701191"/>
      <w:bookmarkStart w:id="847" w:name="_Toc247702096"/>
      <w:bookmarkStart w:id="848" w:name="_Toc247703233"/>
      <w:bookmarkStart w:id="849" w:name="_Toc274299866"/>
      <w:r>
        <w:rPr>
          <w:rStyle w:val="CharSectno"/>
        </w:rPr>
        <w:t>105AB</w:t>
      </w:r>
      <w:r>
        <w:t>.</w:t>
      </w:r>
      <w:r>
        <w:tab/>
        <w:t>Mines Safety Account</w:t>
      </w:r>
      <w:bookmarkEnd w:id="845"/>
      <w:bookmarkEnd w:id="846"/>
      <w:bookmarkEnd w:id="847"/>
      <w:bookmarkEnd w:id="848"/>
      <w:bookmarkEnd w:id="849"/>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 by No. 45 of 2009 s. 4.]</w:t>
      </w:r>
    </w:p>
    <w:p>
      <w:pPr>
        <w:pStyle w:val="Heading5"/>
        <w:rPr>
          <w:snapToGrid w:val="0"/>
        </w:rPr>
      </w:pPr>
      <w:bookmarkStart w:id="850" w:name="_Toc274299867"/>
      <w:r>
        <w:rPr>
          <w:rStyle w:val="CharSectno"/>
        </w:rPr>
        <w:t>105</w:t>
      </w:r>
      <w:r>
        <w:rPr>
          <w:snapToGrid w:val="0"/>
        </w:rPr>
        <w:t>.</w:t>
      </w:r>
      <w:r>
        <w:rPr>
          <w:snapToGrid w:val="0"/>
        </w:rPr>
        <w:tab/>
        <w:t>Publication of regulations at mine</w:t>
      </w:r>
      <w:bookmarkEnd w:id="850"/>
      <w:r>
        <w:rPr>
          <w:snapToGrid w:val="0"/>
        </w:rPr>
        <w:t xml:space="preserve"> </w:t>
      </w:r>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pPr>
      <w:r>
        <w:tab/>
        <w:t>(2)</w:t>
      </w:r>
      <w:r>
        <w:tab/>
        <w:t>A person who contravenes subsection (1) commits an offence.</w:t>
      </w:r>
    </w:p>
    <w:p>
      <w:pPr>
        <w:pStyle w:val="Footnotesection"/>
      </w:pPr>
      <w:r>
        <w:tab/>
        <w:t>[Section 105 amended by No. 16 of 2008 s. 34.]</w:t>
      </w:r>
    </w:p>
    <w:p>
      <w:pPr>
        <w:pStyle w:val="Heading5"/>
        <w:rPr>
          <w:snapToGrid w:val="0"/>
        </w:rPr>
      </w:pPr>
      <w:bookmarkStart w:id="851" w:name="_Toc274299868"/>
      <w:r>
        <w:rPr>
          <w:rStyle w:val="CharSectno"/>
        </w:rPr>
        <w:t>106</w:t>
      </w:r>
      <w:r>
        <w:rPr>
          <w:snapToGrid w:val="0"/>
        </w:rPr>
        <w:t>.</w:t>
      </w:r>
      <w:r>
        <w:rPr>
          <w:snapToGrid w:val="0"/>
        </w:rPr>
        <w:tab/>
        <w:t>Application of regulations to self</w:t>
      </w:r>
      <w:r>
        <w:rPr>
          <w:snapToGrid w:val="0"/>
        </w:rPr>
        <w:noBreakHyphen/>
        <w:t>employed persons</w:t>
      </w:r>
      <w:bookmarkEnd w:id="851"/>
      <w:r>
        <w:rPr>
          <w:snapToGrid w:val="0"/>
        </w:rPr>
        <w:t xml:space="preserve"> </w:t>
      </w:r>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852" w:name="_Toc274299869"/>
      <w:r>
        <w:rPr>
          <w:rStyle w:val="CharSectno"/>
        </w:rPr>
        <w:t>107</w:t>
      </w:r>
      <w:r>
        <w:rPr>
          <w:snapToGrid w:val="0"/>
        </w:rPr>
        <w:t>.</w:t>
      </w:r>
      <w:r>
        <w:rPr>
          <w:snapToGrid w:val="0"/>
        </w:rPr>
        <w:tab/>
        <w:t>Repeals</w:t>
      </w:r>
      <w:bookmarkEnd w:id="852"/>
      <w:r>
        <w:rPr>
          <w:snapToGrid w:val="0"/>
        </w:rPr>
        <w:t xml:space="preserve"> </w:t>
      </w:r>
    </w:p>
    <w:p>
      <w:pPr>
        <w:pStyle w:val="Subsection"/>
        <w:spacing w:before="180"/>
        <w:rPr>
          <w:snapToGrid w:val="0"/>
        </w:rPr>
      </w:pPr>
      <w:r>
        <w:rPr>
          <w:snapToGrid w:val="0"/>
        </w:rPr>
        <w:tab/>
      </w:r>
      <w:r>
        <w:rPr>
          <w:snapToGrid w:val="0"/>
        </w:rPr>
        <w:tab/>
        <w:t>The following Acts are repealed — </w:t>
      </w:r>
    </w:p>
    <w:p>
      <w:pPr>
        <w:pStyle w:val="Indenta"/>
        <w:rPr>
          <w:snapToGrid w:val="0"/>
        </w:rPr>
      </w:pPr>
      <w:r>
        <w:rPr>
          <w:snapToGrid w:val="0"/>
        </w:rPr>
        <w:tab/>
        <w:t>(a)</w:t>
      </w:r>
      <w:r>
        <w:rPr>
          <w:snapToGrid w:val="0"/>
        </w:rPr>
        <w:tab/>
        <w:t>the</w:t>
      </w:r>
      <w:r>
        <w:rPr>
          <w:i/>
          <w:snapToGrid w:val="0"/>
        </w:rPr>
        <w:t xml:space="preserve"> 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853" w:name="_Toc274299870"/>
      <w:r>
        <w:rPr>
          <w:rStyle w:val="CharSectno"/>
        </w:rPr>
        <w:t>108</w:t>
      </w:r>
      <w:r>
        <w:rPr>
          <w:snapToGrid w:val="0"/>
        </w:rPr>
        <w:t>.</w:t>
      </w:r>
      <w:r>
        <w:rPr>
          <w:snapToGrid w:val="0"/>
        </w:rPr>
        <w:tab/>
        <w:t>Savings and transitional</w:t>
      </w:r>
      <w:bookmarkEnd w:id="853"/>
      <w:r>
        <w:rPr>
          <w:snapToGrid w:val="0"/>
        </w:rPr>
        <w:t xml:space="preserve"> </w:t>
      </w:r>
    </w:p>
    <w:p>
      <w:pPr>
        <w:pStyle w:val="Subsection"/>
        <w:spacing w:before="120"/>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854" w:name="_Toc274299871"/>
      <w:r>
        <w:rPr>
          <w:rStyle w:val="CharSectno"/>
        </w:rPr>
        <w:t>110</w:t>
      </w:r>
      <w:r>
        <w:rPr>
          <w:snapToGrid w:val="0"/>
        </w:rPr>
        <w:t>.</w:t>
      </w:r>
      <w:r>
        <w:rPr>
          <w:snapToGrid w:val="0"/>
        </w:rPr>
        <w:tab/>
        <w:t>Review of Act</w:t>
      </w:r>
      <w:bookmarkEnd w:id="854"/>
      <w:r>
        <w:rPr>
          <w:snapToGrid w:val="0"/>
        </w:rPr>
        <w:t xml:space="preserve"> </w:t>
      </w:r>
    </w:p>
    <w:p>
      <w:pPr>
        <w:pStyle w:val="Subsection"/>
        <w:spacing w:before="120"/>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 xml:space="preserve">[Section 110 amended by No. 30 of 1995 s. 76(1); No. 51 of 2004 s. 115(6); No. 68 of 2004 s. 93.]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55" w:name="_Toc192041254"/>
      <w:bookmarkStart w:id="856" w:name="_Toc196130437"/>
      <w:bookmarkStart w:id="857" w:name="_Toc196188402"/>
      <w:bookmarkStart w:id="858" w:name="_Toc196192650"/>
      <w:bookmarkStart w:id="859" w:name="_Toc197245186"/>
      <w:bookmarkStart w:id="860" w:name="_Toc197751906"/>
      <w:bookmarkStart w:id="861" w:name="_Toc197752164"/>
      <w:bookmarkStart w:id="862" w:name="_Toc198006567"/>
      <w:bookmarkStart w:id="863" w:name="_Toc200360311"/>
      <w:bookmarkStart w:id="864" w:name="_Toc232396993"/>
      <w:bookmarkStart w:id="865" w:name="_Toc247954405"/>
      <w:bookmarkStart w:id="866" w:name="_Toc268599535"/>
      <w:bookmarkStart w:id="867" w:name="_Toc272236779"/>
      <w:bookmarkStart w:id="868" w:name="_Toc274299872"/>
      <w:r>
        <w:rPr>
          <w:rStyle w:val="CharSchNo"/>
        </w:rPr>
        <w:t>Schedule 1</w:t>
      </w:r>
      <w:bookmarkEnd w:id="855"/>
      <w:bookmarkEnd w:id="856"/>
      <w:bookmarkEnd w:id="857"/>
      <w:bookmarkEnd w:id="858"/>
      <w:bookmarkEnd w:id="859"/>
      <w:bookmarkEnd w:id="860"/>
      <w:bookmarkEnd w:id="861"/>
      <w:bookmarkEnd w:id="862"/>
      <w:bookmarkEnd w:id="863"/>
      <w:bookmarkEnd w:id="864"/>
      <w:bookmarkEnd w:id="865"/>
      <w:r>
        <w:rPr>
          <w:rStyle w:val="CharSDivNo"/>
        </w:rPr>
        <w:t> </w:t>
      </w:r>
      <w:r>
        <w:t>—</w:t>
      </w:r>
      <w:r>
        <w:rPr>
          <w:rStyle w:val="CharSDivText"/>
        </w:rPr>
        <w:t> </w:t>
      </w:r>
      <w:r>
        <w:rPr>
          <w:rStyle w:val="CharSchText"/>
        </w:rPr>
        <w:t>Savings and transitional provisions</w:t>
      </w:r>
      <w:bookmarkEnd w:id="866"/>
      <w:bookmarkEnd w:id="867"/>
      <w:bookmarkEnd w:id="868"/>
    </w:p>
    <w:p>
      <w:pPr>
        <w:pStyle w:val="yShoulderClause"/>
        <w:rPr>
          <w:snapToGrid w:val="0"/>
        </w:rPr>
      </w:pPr>
      <w:r>
        <w:rPr>
          <w:snapToGrid w:val="0"/>
        </w:rPr>
        <w:t>[s. 108]</w:t>
      </w:r>
    </w:p>
    <w:p>
      <w:pPr>
        <w:pStyle w:val="yFootnoteheading"/>
      </w:pPr>
      <w:bookmarkStart w:id="869" w:name="_Toc197245188"/>
      <w:r>
        <w:tab/>
        <w:t>[Heading amended by No. 19 of 2010 s. 4.]</w:t>
      </w:r>
    </w:p>
    <w:p>
      <w:pPr>
        <w:pStyle w:val="yHeading5"/>
        <w:rPr>
          <w:snapToGrid w:val="0"/>
        </w:rPr>
      </w:pPr>
      <w:bookmarkStart w:id="870" w:name="_Toc274299873"/>
      <w:r>
        <w:rPr>
          <w:rStyle w:val="CharSClsNo"/>
        </w:rPr>
        <w:t>1</w:t>
      </w:r>
      <w:r>
        <w:rPr>
          <w:snapToGrid w:val="0"/>
        </w:rPr>
        <w:t>.</w:t>
      </w:r>
      <w:r>
        <w:rPr>
          <w:snapToGrid w:val="0"/>
        </w:rPr>
        <w:tab/>
        <w:t>Interpretation Act not restricted</w:t>
      </w:r>
      <w:bookmarkEnd w:id="869"/>
      <w:bookmarkEnd w:id="870"/>
      <w:r>
        <w:rPr>
          <w:snapToGrid w:val="0"/>
        </w:rPr>
        <w:t xml:space="preserve"> </w:t>
      </w:r>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r>
        <w:rPr>
          <w:snapToGrid w:val="0"/>
        </w:rPr>
        <w:t xml:space="preserve"> </w:t>
      </w:r>
    </w:p>
    <w:p>
      <w:pPr>
        <w:pStyle w:val="yHeading5"/>
        <w:rPr>
          <w:snapToGrid w:val="0"/>
        </w:rPr>
      </w:pPr>
      <w:bookmarkStart w:id="871" w:name="_Toc274299874"/>
      <w:r>
        <w:rPr>
          <w:rStyle w:val="CharSClsNo"/>
        </w:rPr>
        <w:t>2</w:t>
      </w:r>
      <w:r>
        <w:rPr>
          <w:snapToGrid w:val="0"/>
        </w:rPr>
        <w:t>.</w:t>
      </w:r>
      <w:r>
        <w:rPr>
          <w:snapToGrid w:val="0"/>
        </w:rPr>
        <w:tab/>
        <w:t>General transitional provision</w:t>
      </w:r>
      <w:bookmarkEnd w:id="871"/>
      <w:r>
        <w:rPr>
          <w:snapToGrid w:val="0"/>
        </w:rPr>
        <w:t xml:space="preserve"> </w:t>
      </w:r>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rPr>
          <w:snapToGrid w:val="0"/>
        </w:rPr>
      </w:pPr>
      <w:bookmarkStart w:id="872" w:name="_Toc274299875"/>
      <w:r>
        <w:rPr>
          <w:rStyle w:val="CharSClsNo"/>
        </w:rPr>
        <w:t>3</w:t>
      </w:r>
      <w:r>
        <w:rPr>
          <w:snapToGrid w:val="0"/>
        </w:rPr>
        <w:t>.</w:t>
      </w:r>
      <w:r>
        <w:rPr>
          <w:snapToGrid w:val="0"/>
        </w:rPr>
        <w:tab/>
        <w:t>Act in substitution for repealed Acts</w:t>
      </w:r>
      <w:bookmarkEnd w:id="872"/>
      <w:r>
        <w:rPr>
          <w:snapToGrid w:val="0"/>
        </w:rPr>
        <w:t xml:space="preserve"> </w:t>
      </w:r>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rPr>
          <w:snapToGrid w:val="0"/>
        </w:rPr>
      </w:pPr>
      <w:bookmarkStart w:id="873" w:name="_Toc274299876"/>
      <w:r>
        <w:rPr>
          <w:rStyle w:val="CharSClsNo"/>
        </w:rPr>
        <w:t>4</w:t>
      </w:r>
      <w:r>
        <w:rPr>
          <w:snapToGrid w:val="0"/>
        </w:rPr>
        <w:t>.</w:t>
      </w:r>
      <w:r>
        <w:rPr>
          <w:snapToGrid w:val="0"/>
        </w:rPr>
        <w:tab/>
        <w:t>Workmen’s inspectors</w:t>
      </w:r>
      <w:bookmarkEnd w:id="873"/>
      <w:r>
        <w:rPr>
          <w:snapToGrid w:val="0"/>
        </w:rPr>
        <w:t xml:space="preserve"> </w:t>
      </w:r>
    </w:p>
    <w:p>
      <w:pPr>
        <w:pStyle w:val="ySubsection"/>
        <w:rPr>
          <w:snapToGrid w:val="0"/>
        </w:rPr>
      </w:pPr>
      <w:r>
        <w:rPr>
          <w:snapToGrid w:val="0"/>
        </w:rPr>
        <w:tab/>
      </w:r>
      <w:r>
        <w:rPr>
          <w:snapToGrid w:val="0"/>
        </w:rPr>
        <w:tab/>
        <w:t xml:space="preserve">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 </w:t>
      </w:r>
    </w:p>
    <w:p>
      <w:pPr>
        <w:pStyle w:val="yHeading5"/>
        <w:rPr>
          <w:snapToGrid w:val="0"/>
        </w:rPr>
      </w:pPr>
      <w:bookmarkStart w:id="874" w:name="_Toc274299877"/>
      <w:r>
        <w:rPr>
          <w:rStyle w:val="CharSClsNo"/>
        </w:rPr>
        <w:t>5</w:t>
      </w:r>
      <w:r>
        <w:rPr>
          <w:snapToGrid w:val="0"/>
        </w:rPr>
        <w:t>.</w:t>
      </w:r>
      <w:r>
        <w:rPr>
          <w:snapToGrid w:val="0"/>
        </w:rPr>
        <w:tab/>
        <w:t>Inspectors</w:t>
      </w:r>
      <w:bookmarkEnd w:id="874"/>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rPr>
          <w:snapToGrid w:val="0"/>
        </w:rPr>
      </w:pPr>
      <w:bookmarkStart w:id="875" w:name="_Toc274299878"/>
      <w:r>
        <w:rPr>
          <w:rStyle w:val="CharSClsNo"/>
        </w:rPr>
        <w:t>6</w:t>
      </w:r>
      <w:r>
        <w:rPr>
          <w:snapToGrid w:val="0"/>
        </w:rPr>
        <w:t>.</w:t>
      </w:r>
      <w:r>
        <w:rPr>
          <w:snapToGrid w:val="0"/>
        </w:rPr>
        <w:tab/>
        <w:t>Board members</w:t>
      </w:r>
      <w:bookmarkEnd w:id="875"/>
      <w:r>
        <w:rPr>
          <w:snapToGrid w:val="0"/>
        </w:rPr>
        <w:t xml:space="preserve"> </w:t>
      </w:r>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rPr>
          <w:snapToGrid w:val="0"/>
        </w:rPr>
      </w:pPr>
      <w:bookmarkStart w:id="876" w:name="_Toc274299879"/>
      <w:r>
        <w:rPr>
          <w:rStyle w:val="CharSClsNo"/>
        </w:rPr>
        <w:t>7</w:t>
      </w:r>
      <w:r>
        <w:rPr>
          <w:snapToGrid w:val="0"/>
        </w:rPr>
        <w:t>.</w:t>
      </w:r>
      <w:r>
        <w:rPr>
          <w:snapToGrid w:val="0"/>
        </w:rPr>
        <w:tab/>
        <w:t>Certificates of competency</w:t>
      </w:r>
      <w:bookmarkEnd w:id="876"/>
      <w:r>
        <w:rPr>
          <w:snapToGrid w:val="0"/>
        </w:rPr>
        <w:t xml:space="preserve"> </w:t>
      </w:r>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 xml:space="preserve">Coal Mines Regulation Act 1946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rPr>
          <w:snapToGrid w:val="0"/>
        </w:rPr>
      </w:pPr>
      <w:bookmarkStart w:id="877" w:name="_Toc274299880"/>
      <w:r>
        <w:rPr>
          <w:rStyle w:val="CharSClsNo"/>
        </w:rPr>
        <w:t>8</w:t>
      </w:r>
      <w:r>
        <w:rPr>
          <w:snapToGrid w:val="0"/>
        </w:rPr>
        <w:t>.</w:t>
      </w:r>
      <w:r>
        <w:rPr>
          <w:snapToGrid w:val="0"/>
        </w:rPr>
        <w:tab/>
        <w:t>Exemptions</w:t>
      </w:r>
      <w:bookmarkEnd w:id="877"/>
      <w:r>
        <w:rPr>
          <w:snapToGrid w:val="0"/>
        </w:rPr>
        <w:t xml:space="preserve"> </w:t>
      </w:r>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rPr>
          <w:snapToGrid w:val="0"/>
        </w:rPr>
      </w:pPr>
      <w:bookmarkStart w:id="878" w:name="_Toc274299881"/>
      <w:r>
        <w:rPr>
          <w:rStyle w:val="CharSClsNo"/>
        </w:rPr>
        <w:t>9</w:t>
      </w:r>
      <w:r>
        <w:rPr>
          <w:snapToGrid w:val="0"/>
        </w:rPr>
        <w:t>.</w:t>
      </w:r>
      <w:r>
        <w:rPr>
          <w:snapToGrid w:val="0"/>
        </w:rPr>
        <w:tab/>
        <w:t>Notification of principal employer</w:t>
      </w:r>
      <w:bookmarkEnd w:id="878"/>
      <w:r>
        <w:rPr>
          <w:snapToGrid w:val="0"/>
        </w:rPr>
        <w:t xml:space="preserve"> </w:t>
      </w:r>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keepNext/>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r>
        <w:t>[Schedule 2 omitted under the Reprints Act 1984 s. 7(4)(e).]</w:t>
      </w:r>
    </w:p>
    <w:p>
      <w:pPr>
        <w:rPr>
          <w:rStyle w:val="CharDivText"/>
        </w:rPr>
      </w:pPr>
    </w:p>
    <w:p>
      <w:pPr>
        <w:rPr>
          <w:rStyle w:val="CharDivText"/>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79" w:name="_Toc156980941"/>
      <w:bookmarkStart w:id="880" w:name="_Toc156980953"/>
      <w:bookmarkStart w:id="881" w:name="_Toc158027974"/>
      <w:bookmarkStart w:id="882" w:name="_Toc183246555"/>
      <w:bookmarkStart w:id="883" w:name="_Toc183246740"/>
      <w:bookmarkStart w:id="884" w:name="_Toc183247603"/>
      <w:bookmarkStart w:id="885" w:name="_Toc197746628"/>
      <w:bookmarkStart w:id="886" w:name="_Toc197751917"/>
      <w:bookmarkStart w:id="887" w:name="_Toc197752175"/>
      <w:bookmarkStart w:id="888" w:name="_Toc198006578"/>
      <w:bookmarkStart w:id="889" w:name="_Toc200360322"/>
      <w:bookmarkStart w:id="890" w:name="_Toc232397004"/>
      <w:bookmarkStart w:id="891" w:name="_Toc247954416"/>
      <w:bookmarkStart w:id="892" w:name="_Toc268599545"/>
      <w:bookmarkStart w:id="893" w:name="_Toc272236789"/>
      <w:bookmarkStart w:id="894" w:name="_Toc274299882"/>
      <w:r>
        <w:t>Notes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Act 1994</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2, 3</w:t>
      </w:r>
      <w:r>
        <w:rPr>
          <w:snapToGrid w:val="0"/>
        </w:rPr>
        <w:t>.  The table also contains information about any reprint.</w:t>
      </w:r>
    </w:p>
    <w:p>
      <w:pPr>
        <w:pStyle w:val="nHeading3"/>
      </w:pPr>
      <w:bookmarkStart w:id="895" w:name="_Toc274299883"/>
      <w:r>
        <w:t>Compilation table</w:t>
      </w:r>
      <w:bookmarkEnd w:id="895"/>
    </w:p>
    <w:tbl>
      <w:tblPr>
        <w:tblW w:w="0" w:type="auto"/>
        <w:tblInd w:w="20" w:type="dxa"/>
        <w:tblLayout w:type="fixed"/>
        <w:tblCellMar>
          <w:left w:w="56" w:type="dxa"/>
          <w:right w:w="56" w:type="dxa"/>
        </w:tblCellMar>
        <w:tblLook w:val="0000" w:firstRow="0" w:lastRow="0" w:firstColumn="0" w:lastColumn="0" w:noHBand="0" w:noVBand="0"/>
      </w:tblPr>
      <w:tblGrid>
        <w:gridCol w:w="2278"/>
        <w:gridCol w:w="1139"/>
        <w:gridCol w:w="1136"/>
        <w:gridCol w:w="2554"/>
        <w:gridCol w:w="8"/>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6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after="40"/>
              <w:rPr>
                <w:i/>
                <w:color w:val="000000"/>
                <w:sz w:val="19"/>
              </w:rPr>
            </w:pPr>
            <w:r>
              <w:rPr>
                <w:i/>
                <w:color w:val="000000"/>
                <w:sz w:val="19"/>
              </w:rPr>
              <w:t>Mines Safety and Inspection Act 1994</w:t>
            </w:r>
          </w:p>
        </w:tc>
        <w:tc>
          <w:tcPr>
            <w:tcW w:w="1139" w:type="dxa"/>
          </w:tcPr>
          <w:p>
            <w:pPr>
              <w:pStyle w:val="nTable"/>
              <w:spacing w:after="40"/>
              <w:rPr>
                <w:color w:val="000000"/>
                <w:sz w:val="19"/>
              </w:rPr>
            </w:pPr>
            <w:r>
              <w:rPr>
                <w:color w:val="000000"/>
                <w:sz w:val="19"/>
              </w:rPr>
              <w:t>62 of 1994</w:t>
            </w:r>
          </w:p>
        </w:tc>
        <w:tc>
          <w:tcPr>
            <w:tcW w:w="1136" w:type="dxa"/>
          </w:tcPr>
          <w:p>
            <w:pPr>
              <w:pStyle w:val="nTable"/>
              <w:spacing w:after="40"/>
              <w:rPr>
                <w:color w:val="000000"/>
                <w:sz w:val="19"/>
              </w:rPr>
            </w:pPr>
            <w:r>
              <w:rPr>
                <w:color w:val="000000"/>
                <w:sz w:val="19"/>
              </w:rPr>
              <w:t>7 Nov 1994</w:t>
            </w:r>
          </w:p>
        </w:tc>
        <w:tc>
          <w:tcPr>
            <w:tcW w:w="2561" w:type="dxa"/>
            <w:gridSpan w:val="2"/>
          </w:tcPr>
          <w:p>
            <w:pPr>
              <w:pStyle w:val="nTable"/>
              <w:spacing w:after="40"/>
              <w:rPr>
                <w:color w:val="000000"/>
                <w:sz w:val="19"/>
              </w:rPr>
            </w:pPr>
            <w:r>
              <w:rPr>
                <w:color w:val="000000"/>
                <w:sz w:val="19"/>
              </w:rPr>
              <w:t>s. 1 and 2: 7 Nov 1994;</w:t>
            </w:r>
            <w:r>
              <w:rPr>
                <w:color w:val="000000"/>
                <w:sz w:val="19"/>
              </w:rPr>
              <w:br/>
              <w:t xml:space="preserve">Act other than s. 1 and 2: 9 Dec 1995 (see s. 2 and </w:t>
            </w:r>
            <w:r>
              <w:rPr>
                <w:i/>
                <w:iCs/>
                <w:color w:val="000000"/>
                <w:sz w:val="19"/>
              </w:rPr>
              <w:t>Gazette</w:t>
            </w:r>
            <w:r>
              <w:rPr>
                <w:color w:val="000000"/>
                <w:sz w:val="19"/>
              </w:rPr>
              <w:t xml:space="preserve"> 8 Dec 1995 p. 5935)</w:t>
            </w:r>
          </w:p>
        </w:tc>
      </w:tr>
      <w:tr>
        <w:trPr>
          <w:cantSplit/>
        </w:trPr>
        <w:tc>
          <w:tcPr>
            <w:tcW w:w="2274" w:type="dxa"/>
          </w:tcPr>
          <w:p>
            <w:pPr>
              <w:pStyle w:val="nTable"/>
              <w:spacing w:after="40"/>
              <w:rPr>
                <w:i/>
                <w:color w:val="000000"/>
                <w:sz w:val="19"/>
              </w:rPr>
            </w:pPr>
            <w:r>
              <w:rPr>
                <w:i/>
                <w:color w:val="000000"/>
                <w:sz w:val="19"/>
              </w:rPr>
              <w:t xml:space="preserve">Occupational Safety and Health Legislation Amendment Act 1995 </w:t>
            </w:r>
            <w:r>
              <w:rPr>
                <w:iCs/>
                <w:color w:val="000000"/>
                <w:sz w:val="19"/>
              </w:rPr>
              <w:t>Pt. 3</w:t>
            </w:r>
            <w:r>
              <w:rPr>
                <w:i/>
                <w:color w:val="000000"/>
                <w:sz w:val="19"/>
              </w:rPr>
              <w:t xml:space="preserve"> </w:t>
            </w:r>
          </w:p>
        </w:tc>
        <w:tc>
          <w:tcPr>
            <w:tcW w:w="1139" w:type="dxa"/>
          </w:tcPr>
          <w:p>
            <w:pPr>
              <w:pStyle w:val="nTable"/>
              <w:spacing w:after="40"/>
              <w:rPr>
                <w:color w:val="000000"/>
                <w:sz w:val="19"/>
              </w:rPr>
            </w:pPr>
            <w:r>
              <w:rPr>
                <w:color w:val="000000"/>
                <w:sz w:val="19"/>
              </w:rPr>
              <w:t>30 of 1995</w:t>
            </w:r>
          </w:p>
        </w:tc>
        <w:tc>
          <w:tcPr>
            <w:tcW w:w="1136" w:type="dxa"/>
          </w:tcPr>
          <w:p>
            <w:pPr>
              <w:pStyle w:val="nTable"/>
              <w:spacing w:after="40"/>
              <w:rPr>
                <w:color w:val="000000"/>
                <w:sz w:val="19"/>
              </w:rPr>
            </w:pPr>
            <w:r>
              <w:rPr>
                <w:color w:val="000000"/>
                <w:sz w:val="19"/>
              </w:rPr>
              <w:t>11 Sep 1995</w:t>
            </w:r>
          </w:p>
        </w:tc>
        <w:tc>
          <w:tcPr>
            <w:tcW w:w="2561" w:type="dxa"/>
            <w:gridSpan w:val="2"/>
          </w:tcPr>
          <w:p>
            <w:pPr>
              <w:pStyle w:val="nTable"/>
              <w:spacing w:after="40"/>
              <w:rPr>
                <w:color w:val="000000"/>
                <w:sz w:val="19"/>
              </w:rPr>
            </w:pPr>
            <w:r>
              <w:rPr>
                <w:color w:val="000000"/>
                <w:sz w:val="19"/>
              </w:rPr>
              <w:t xml:space="preserve">20 Jan 1996 (see s. 2 and </w:t>
            </w:r>
            <w:r>
              <w:rPr>
                <w:i/>
                <w:iCs/>
                <w:color w:val="000000"/>
                <w:sz w:val="19"/>
              </w:rPr>
              <w:t xml:space="preserve">Gazette </w:t>
            </w:r>
            <w:r>
              <w:rPr>
                <w:color w:val="000000"/>
                <w:sz w:val="19"/>
              </w:rPr>
              <w:t>19 Jan 1996 p. 201)</w:t>
            </w:r>
          </w:p>
        </w:tc>
      </w:tr>
      <w:tr>
        <w:trPr>
          <w:cantSplit/>
        </w:trPr>
        <w:tc>
          <w:tcPr>
            <w:tcW w:w="2274" w:type="dxa"/>
          </w:tcPr>
          <w:p>
            <w:pPr>
              <w:pStyle w:val="nTable"/>
              <w:spacing w:after="40"/>
              <w:rPr>
                <w:i/>
                <w:color w:val="000000"/>
                <w:sz w:val="19"/>
              </w:rPr>
            </w:pPr>
            <w:r>
              <w:rPr>
                <w:i/>
                <w:color w:val="000000"/>
                <w:sz w:val="19"/>
              </w:rPr>
              <w:t xml:space="preserve">Industrial Relations Legislation Amendment and Repeal Act 1995 </w:t>
            </w:r>
            <w:r>
              <w:rPr>
                <w:iCs/>
                <w:color w:val="000000"/>
                <w:sz w:val="19"/>
              </w:rPr>
              <w:t>s. 67(4)</w:t>
            </w:r>
          </w:p>
        </w:tc>
        <w:tc>
          <w:tcPr>
            <w:tcW w:w="1139" w:type="dxa"/>
          </w:tcPr>
          <w:p>
            <w:pPr>
              <w:pStyle w:val="nTable"/>
              <w:spacing w:after="40"/>
              <w:rPr>
                <w:color w:val="000000"/>
                <w:sz w:val="19"/>
              </w:rPr>
            </w:pPr>
            <w:r>
              <w:rPr>
                <w:color w:val="000000"/>
                <w:sz w:val="19"/>
              </w:rPr>
              <w:t>79 of 1995</w:t>
            </w:r>
          </w:p>
        </w:tc>
        <w:tc>
          <w:tcPr>
            <w:tcW w:w="1136" w:type="dxa"/>
          </w:tcPr>
          <w:p>
            <w:pPr>
              <w:pStyle w:val="nTable"/>
              <w:spacing w:after="40"/>
              <w:rPr>
                <w:color w:val="000000"/>
                <w:sz w:val="19"/>
              </w:rPr>
            </w:pPr>
            <w:r>
              <w:rPr>
                <w:color w:val="000000"/>
                <w:sz w:val="19"/>
              </w:rPr>
              <w:t>16 Jan 1996</w:t>
            </w:r>
          </w:p>
        </w:tc>
        <w:tc>
          <w:tcPr>
            <w:tcW w:w="2561" w:type="dxa"/>
            <w:gridSpan w:val="2"/>
          </w:tcPr>
          <w:p>
            <w:pPr>
              <w:pStyle w:val="nTable"/>
              <w:spacing w:after="40"/>
              <w:rPr>
                <w:color w:val="000000"/>
                <w:sz w:val="19"/>
              </w:rPr>
            </w:pPr>
            <w:r>
              <w:rPr>
                <w:color w:val="000000"/>
                <w:sz w:val="19"/>
              </w:rPr>
              <w:t>16 Jan 1996 (see s. 3(1))</w:t>
            </w:r>
          </w:p>
        </w:tc>
      </w:tr>
      <w:tr>
        <w:trPr>
          <w:cantSplit/>
        </w:trPr>
        <w:tc>
          <w:tcPr>
            <w:tcW w:w="7110" w:type="dxa"/>
            <w:gridSpan w:val="5"/>
          </w:tcPr>
          <w:p>
            <w:pPr>
              <w:pStyle w:val="nTable"/>
              <w:spacing w:after="40"/>
              <w:rPr>
                <w:bCs/>
                <w:sz w:val="19"/>
              </w:rPr>
            </w:pPr>
            <w:r>
              <w:rPr>
                <w:b/>
                <w:sz w:val="19"/>
              </w:rPr>
              <w:t xml:space="preserve">Reprint of the </w:t>
            </w:r>
            <w:r>
              <w:rPr>
                <w:b/>
                <w:bCs/>
                <w:i/>
                <w:color w:val="000000"/>
                <w:sz w:val="19"/>
              </w:rPr>
              <w:t>Mines Safety and Inspection Act 1994</w:t>
            </w:r>
            <w:r>
              <w:rPr>
                <w:b/>
                <w:sz w:val="19"/>
              </w:rPr>
              <w:t xml:space="preserve"> as at 6 Feb 1996</w:t>
            </w:r>
            <w:r>
              <w:rPr>
                <w:bCs/>
                <w:sz w:val="19"/>
              </w:rPr>
              <w:t xml:space="preserve"> (includes amendments listed above)</w:t>
            </w:r>
          </w:p>
        </w:tc>
      </w:tr>
      <w:tr>
        <w:trPr>
          <w:cantSplit/>
        </w:trPr>
        <w:tc>
          <w:tcPr>
            <w:tcW w:w="2274" w:type="dxa"/>
          </w:tcPr>
          <w:p>
            <w:pPr>
              <w:pStyle w:val="nTable"/>
              <w:spacing w:after="40"/>
              <w:rPr>
                <w:i/>
                <w:color w:val="000000"/>
                <w:sz w:val="19"/>
              </w:rPr>
            </w:pPr>
            <w:r>
              <w:rPr>
                <w:i/>
                <w:color w:val="000000"/>
                <w:sz w:val="19"/>
              </w:rPr>
              <w:t xml:space="preserve">Local Government (Consequential Amendments) Act 1996 </w:t>
            </w:r>
            <w:r>
              <w:rPr>
                <w:iCs/>
                <w:color w:val="000000"/>
                <w:sz w:val="19"/>
              </w:rPr>
              <w:t>s. 4</w:t>
            </w:r>
          </w:p>
        </w:tc>
        <w:tc>
          <w:tcPr>
            <w:tcW w:w="1139" w:type="dxa"/>
          </w:tcPr>
          <w:p>
            <w:pPr>
              <w:pStyle w:val="nTable"/>
              <w:spacing w:after="40"/>
              <w:rPr>
                <w:color w:val="000000"/>
                <w:sz w:val="19"/>
              </w:rPr>
            </w:pPr>
            <w:r>
              <w:rPr>
                <w:color w:val="000000"/>
                <w:sz w:val="19"/>
              </w:rPr>
              <w:t>14 of 1996</w:t>
            </w:r>
          </w:p>
        </w:tc>
        <w:tc>
          <w:tcPr>
            <w:tcW w:w="1136" w:type="dxa"/>
          </w:tcPr>
          <w:p>
            <w:pPr>
              <w:pStyle w:val="nTable"/>
              <w:spacing w:after="40"/>
              <w:rPr>
                <w:color w:val="000000"/>
                <w:sz w:val="19"/>
              </w:rPr>
            </w:pPr>
            <w:r>
              <w:rPr>
                <w:color w:val="000000"/>
                <w:sz w:val="19"/>
              </w:rPr>
              <w:t>28 Jun 1996</w:t>
            </w:r>
          </w:p>
        </w:tc>
        <w:tc>
          <w:tcPr>
            <w:tcW w:w="2561" w:type="dxa"/>
            <w:gridSpan w:val="2"/>
          </w:tcPr>
          <w:p>
            <w:pPr>
              <w:pStyle w:val="nTable"/>
              <w:spacing w:after="40"/>
              <w:rPr>
                <w:color w:val="000000"/>
                <w:sz w:val="19"/>
              </w:rPr>
            </w:pPr>
            <w:r>
              <w:rPr>
                <w:color w:val="000000"/>
                <w:sz w:val="19"/>
              </w:rPr>
              <w:t>1 Jul 1996 (see s. 2)</w:t>
            </w:r>
          </w:p>
        </w:tc>
      </w:tr>
      <w:tr>
        <w:trPr>
          <w:cantSplit/>
        </w:trPr>
        <w:tc>
          <w:tcPr>
            <w:tcW w:w="2274" w:type="dxa"/>
          </w:tcPr>
          <w:p>
            <w:pPr>
              <w:pStyle w:val="nTable"/>
              <w:spacing w:after="40"/>
              <w:rPr>
                <w:i/>
                <w:color w:val="000000"/>
                <w:sz w:val="19"/>
              </w:rPr>
            </w:pPr>
            <w:r>
              <w:rPr>
                <w:i/>
                <w:color w:val="000000"/>
                <w:sz w:val="19"/>
              </w:rPr>
              <w:t>Statutes (Repeals and Minor Amendments) Act 1997</w:t>
            </w:r>
            <w:r>
              <w:rPr>
                <w:iCs/>
                <w:color w:val="000000"/>
                <w:sz w:val="19"/>
              </w:rPr>
              <w:t xml:space="preserve"> s. 88</w:t>
            </w:r>
          </w:p>
        </w:tc>
        <w:tc>
          <w:tcPr>
            <w:tcW w:w="1139" w:type="dxa"/>
          </w:tcPr>
          <w:p>
            <w:pPr>
              <w:pStyle w:val="nTable"/>
              <w:spacing w:after="40"/>
              <w:rPr>
                <w:color w:val="000000"/>
                <w:sz w:val="19"/>
              </w:rPr>
            </w:pPr>
            <w:r>
              <w:rPr>
                <w:color w:val="000000"/>
                <w:sz w:val="19"/>
              </w:rPr>
              <w:t>57 of 1997</w:t>
            </w:r>
          </w:p>
        </w:tc>
        <w:tc>
          <w:tcPr>
            <w:tcW w:w="1136" w:type="dxa"/>
          </w:tcPr>
          <w:p>
            <w:pPr>
              <w:pStyle w:val="nTable"/>
              <w:spacing w:after="40"/>
              <w:rPr>
                <w:color w:val="000000"/>
                <w:sz w:val="19"/>
              </w:rPr>
            </w:pPr>
            <w:r>
              <w:rPr>
                <w:color w:val="000000"/>
                <w:sz w:val="19"/>
              </w:rPr>
              <w:t>15 Dec 1997</w:t>
            </w:r>
          </w:p>
        </w:tc>
        <w:tc>
          <w:tcPr>
            <w:tcW w:w="2561" w:type="dxa"/>
            <w:gridSpan w:val="2"/>
          </w:tcPr>
          <w:p>
            <w:pPr>
              <w:pStyle w:val="nTable"/>
              <w:spacing w:after="40"/>
              <w:rPr>
                <w:color w:val="000000"/>
                <w:sz w:val="19"/>
              </w:rPr>
            </w:pPr>
            <w:r>
              <w:rPr>
                <w:color w:val="000000"/>
                <w:sz w:val="19"/>
              </w:rPr>
              <w:t>15 Dec 1997 (see s. 2(1))</w:t>
            </w:r>
          </w:p>
        </w:tc>
      </w:tr>
      <w:tr>
        <w:trPr>
          <w:cantSplit/>
        </w:trPr>
        <w:tc>
          <w:tcPr>
            <w:tcW w:w="2274" w:type="dxa"/>
          </w:tcPr>
          <w:p>
            <w:pPr>
              <w:pStyle w:val="nTable"/>
              <w:spacing w:after="40"/>
              <w:rPr>
                <w:i/>
                <w:color w:val="000000"/>
                <w:sz w:val="19"/>
              </w:rPr>
            </w:pPr>
            <w:r>
              <w:rPr>
                <w:i/>
                <w:color w:val="000000"/>
                <w:sz w:val="19"/>
              </w:rPr>
              <w:t xml:space="preserve">Statutes (Repeals and Minor Amendments) Act (No. 2) 1998 </w:t>
            </w:r>
            <w:r>
              <w:rPr>
                <w:iCs/>
                <w:color w:val="000000"/>
                <w:sz w:val="19"/>
              </w:rPr>
              <w:t>s. 51</w:t>
            </w:r>
          </w:p>
        </w:tc>
        <w:tc>
          <w:tcPr>
            <w:tcW w:w="1139" w:type="dxa"/>
          </w:tcPr>
          <w:p>
            <w:pPr>
              <w:pStyle w:val="nTable"/>
              <w:spacing w:after="40"/>
              <w:rPr>
                <w:color w:val="000000"/>
                <w:sz w:val="19"/>
              </w:rPr>
            </w:pPr>
            <w:r>
              <w:rPr>
                <w:color w:val="000000"/>
                <w:sz w:val="19"/>
              </w:rPr>
              <w:t>10 of 1998</w:t>
            </w:r>
          </w:p>
        </w:tc>
        <w:tc>
          <w:tcPr>
            <w:tcW w:w="1136" w:type="dxa"/>
          </w:tcPr>
          <w:p>
            <w:pPr>
              <w:pStyle w:val="nTable"/>
              <w:spacing w:after="40"/>
              <w:rPr>
                <w:color w:val="000000"/>
                <w:sz w:val="19"/>
              </w:rPr>
            </w:pPr>
            <w:r>
              <w:rPr>
                <w:color w:val="000000"/>
                <w:sz w:val="19"/>
              </w:rPr>
              <w:t>30 Apr 1998</w:t>
            </w:r>
          </w:p>
        </w:tc>
        <w:tc>
          <w:tcPr>
            <w:tcW w:w="2561" w:type="dxa"/>
            <w:gridSpan w:val="2"/>
          </w:tcPr>
          <w:p>
            <w:pPr>
              <w:pStyle w:val="nTable"/>
              <w:spacing w:after="40"/>
              <w:rPr>
                <w:color w:val="000000"/>
                <w:sz w:val="19"/>
              </w:rPr>
            </w:pPr>
            <w:r>
              <w:rPr>
                <w:color w:val="000000"/>
                <w:sz w:val="19"/>
              </w:rPr>
              <w:t>30 Apr 1998 (see s. 2(1))</w:t>
            </w:r>
          </w:p>
        </w:tc>
      </w:tr>
      <w:tr>
        <w:trPr>
          <w:cantSplit/>
        </w:trPr>
        <w:tc>
          <w:tcPr>
            <w:tcW w:w="2274" w:type="dxa"/>
          </w:tcPr>
          <w:p>
            <w:pPr>
              <w:pStyle w:val="nTable"/>
              <w:spacing w:after="40"/>
              <w:rPr>
                <w:i/>
                <w:color w:val="000000"/>
                <w:sz w:val="19"/>
              </w:rPr>
            </w:pPr>
            <w:r>
              <w:rPr>
                <w:i/>
                <w:color w:val="000000"/>
                <w:sz w:val="19"/>
              </w:rPr>
              <w:t xml:space="preserve">Rail Safety Act 1998 </w:t>
            </w:r>
            <w:r>
              <w:rPr>
                <w:iCs/>
                <w:color w:val="000000"/>
                <w:sz w:val="19"/>
              </w:rPr>
              <w:t>s. 64(2)</w:t>
            </w:r>
          </w:p>
        </w:tc>
        <w:tc>
          <w:tcPr>
            <w:tcW w:w="1139" w:type="dxa"/>
          </w:tcPr>
          <w:p>
            <w:pPr>
              <w:pStyle w:val="nTable"/>
              <w:spacing w:after="40"/>
              <w:rPr>
                <w:color w:val="000000"/>
                <w:sz w:val="19"/>
              </w:rPr>
            </w:pPr>
            <w:r>
              <w:rPr>
                <w:color w:val="000000"/>
                <w:sz w:val="19"/>
              </w:rPr>
              <w:t>32 of 1998</w:t>
            </w:r>
          </w:p>
        </w:tc>
        <w:tc>
          <w:tcPr>
            <w:tcW w:w="1136" w:type="dxa"/>
          </w:tcPr>
          <w:p>
            <w:pPr>
              <w:pStyle w:val="nTable"/>
              <w:spacing w:after="40"/>
              <w:rPr>
                <w:color w:val="000000"/>
                <w:sz w:val="19"/>
              </w:rPr>
            </w:pPr>
            <w:r>
              <w:rPr>
                <w:color w:val="000000"/>
                <w:sz w:val="19"/>
              </w:rPr>
              <w:t>6 Jul 1998</w:t>
            </w:r>
          </w:p>
        </w:tc>
        <w:tc>
          <w:tcPr>
            <w:tcW w:w="2561" w:type="dxa"/>
            <w:gridSpan w:val="2"/>
          </w:tcPr>
          <w:p>
            <w:pPr>
              <w:pStyle w:val="nTable"/>
              <w:spacing w:after="40"/>
              <w:rPr>
                <w:color w:val="000000"/>
                <w:sz w:val="19"/>
              </w:rPr>
            </w:pPr>
            <w:r>
              <w:rPr>
                <w:color w:val="000000"/>
                <w:sz w:val="19"/>
              </w:rPr>
              <w:t xml:space="preserve">3 Feb 1999 (see s. 2 and </w:t>
            </w:r>
            <w:r>
              <w:rPr>
                <w:i/>
                <w:iCs/>
                <w:color w:val="000000"/>
                <w:sz w:val="19"/>
              </w:rPr>
              <w:t>Gazette</w:t>
            </w:r>
            <w:r>
              <w:rPr>
                <w:color w:val="000000"/>
                <w:sz w:val="19"/>
              </w:rPr>
              <w:t xml:space="preserve"> 2 Feb 1999 p. 351)</w:t>
            </w:r>
          </w:p>
        </w:tc>
      </w:tr>
      <w:tr>
        <w:trPr>
          <w:cantSplit/>
        </w:trPr>
        <w:tc>
          <w:tcPr>
            <w:tcW w:w="7110" w:type="dxa"/>
            <w:gridSpan w:val="5"/>
          </w:tcPr>
          <w:p>
            <w:pPr>
              <w:pStyle w:val="nTable"/>
              <w:spacing w:after="40"/>
              <w:rPr>
                <w:sz w:val="19"/>
              </w:rPr>
            </w:pPr>
            <w:r>
              <w:rPr>
                <w:b/>
                <w:sz w:val="19"/>
              </w:rPr>
              <w:t xml:space="preserve">Reprint of the </w:t>
            </w:r>
            <w:r>
              <w:rPr>
                <w:b/>
                <w:bCs/>
                <w:i/>
                <w:color w:val="000000"/>
                <w:sz w:val="19"/>
              </w:rPr>
              <w:t>Mines Safety and Inspection Act 1994</w:t>
            </w:r>
            <w:r>
              <w:rPr>
                <w:b/>
                <w:bCs/>
                <w:iCs/>
                <w:color w:val="000000"/>
                <w:sz w:val="19"/>
              </w:rPr>
              <w:t xml:space="preserve"> </w:t>
            </w:r>
            <w:r>
              <w:rPr>
                <w:b/>
                <w:sz w:val="19"/>
              </w:rPr>
              <w:t>as at 17 Mar 2000</w:t>
            </w:r>
            <w:r>
              <w:rPr>
                <w:bCs/>
                <w:sz w:val="19"/>
              </w:rPr>
              <w:t xml:space="preserve"> (includes amendments listed above)</w:t>
            </w:r>
          </w:p>
        </w:tc>
      </w:tr>
      <w:tr>
        <w:trPr>
          <w:cantSplit/>
        </w:trPr>
        <w:tc>
          <w:tcPr>
            <w:tcW w:w="2274" w:type="dxa"/>
          </w:tcPr>
          <w:p>
            <w:pPr>
              <w:pStyle w:val="nTable"/>
              <w:spacing w:after="40"/>
              <w:rPr>
                <w:i/>
                <w:color w:val="000000"/>
                <w:sz w:val="19"/>
              </w:rPr>
            </w:pPr>
            <w:r>
              <w:rPr>
                <w:i/>
                <w:color w:val="000000"/>
                <w:sz w:val="19"/>
              </w:rPr>
              <w:t xml:space="preserve">Statutes (Repeals and Minor Amendments) Act 2000 </w:t>
            </w:r>
            <w:r>
              <w:rPr>
                <w:iCs/>
                <w:color w:val="000000"/>
                <w:sz w:val="19"/>
              </w:rPr>
              <w:t>s. 25</w:t>
            </w:r>
          </w:p>
        </w:tc>
        <w:tc>
          <w:tcPr>
            <w:tcW w:w="1139" w:type="dxa"/>
          </w:tcPr>
          <w:p>
            <w:pPr>
              <w:pStyle w:val="nTable"/>
              <w:spacing w:after="40"/>
              <w:rPr>
                <w:color w:val="000000"/>
                <w:sz w:val="19"/>
              </w:rPr>
            </w:pPr>
            <w:r>
              <w:rPr>
                <w:color w:val="000000"/>
                <w:sz w:val="19"/>
              </w:rPr>
              <w:t>24 of 2000</w:t>
            </w:r>
          </w:p>
        </w:tc>
        <w:tc>
          <w:tcPr>
            <w:tcW w:w="1136" w:type="dxa"/>
          </w:tcPr>
          <w:p>
            <w:pPr>
              <w:pStyle w:val="nTable"/>
              <w:spacing w:after="40"/>
              <w:rPr>
                <w:color w:val="000000"/>
                <w:sz w:val="19"/>
              </w:rPr>
            </w:pPr>
            <w:r>
              <w:rPr>
                <w:color w:val="000000"/>
                <w:sz w:val="19"/>
              </w:rPr>
              <w:t>4 Jul 2000</w:t>
            </w:r>
          </w:p>
        </w:tc>
        <w:tc>
          <w:tcPr>
            <w:tcW w:w="2561" w:type="dxa"/>
            <w:gridSpan w:val="2"/>
          </w:tcPr>
          <w:p>
            <w:pPr>
              <w:pStyle w:val="nTable"/>
              <w:spacing w:after="40"/>
              <w:rPr>
                <w:color w:val="000000"/>
                <w:sz w:val="19"/>
              </w:rPr>
            </w:pPr>
            <w:r>
              <w:rPr>
                <w:color w:val="000000"/>
                <w:sz w:val="19"/>
              </w:rPr>
              <w:t>4 Jul 2000 (see s. 2)</w:t>
            </w:r>
          </w:p>
        </w:tc>
      </w:tr>
      <w:tr>
        <w:trPr>
          <w:cantSplit/>
        </w:trPr>
        <w:tc>
          <w:tcPr>
            <w:tcW w:w="2274" w:type="dxa"/>
          </w:tcPr>
          <w:p>
            <w:pPr>
              <w:pStyle w:val="nTable"/>
              <w:spacing w:after="40"/>
              <w:rPr>
                <w:i/>
                <w:color w:val="000000"/>
                <w:sz w:val="19"/>
              </w:rPr>
            </w:pPr>
            <w:r>
              <w:rPr>
                <w:i/>
                <w:color w:val="000000"/>
                <w:sz w:val="19"/>
              </w:rPr>
              <w:t>Mines Safety and Inspection Amendment Act 2002</w:t>
            </w:r>
          </w:p>
        </w:tc>
        <w:tc>
          <w:tcPr>
            <w:tcW w:w="1139" w:type="dxa"/>
          </w:tcPr>
          <w:p>
            <w:pPr>
              <w:pStyle w:val="nTable"/>
              <w:spacing w:after="40"/>
              <w:rPr>
                <w:color w:val="000000"/>
                <w:sz w:val="19"/>
              </w:rPr>
            </w:pPr>
            <w:r>
              <w:rPr>
                <w:color w:val="000000"/>
                <w:sz w:val="19"/>
              </w:rPr>
              <w:t>16 of 2002</w:t>
            </w:r>
          </w:p>
        </w:tc>
        <w:tc>
          <w:tcPr>
            <w:tcW w:w="1136" w:type="dxa"/>
          </w:tcPr>
          <w:p>
            <w:pPr>
              <w:pStyle w:val="nTable"/>
              <w:spacing w:after="40"/>
              <w:rPr>
                <w:color w:val="000000"/>
                <w:sz w:val="19"/>
              </w:rPr>
            </w:pPr>
            <w:r>
              <w:rPr>
                <w:color w:val="000000"/>
                <w:sz w:val="19"/>
              </w:rPr>
              <w:t>8 Jul 2002</w:t>
            </w:r>
          </w:p>
        </w:tc>
        <w:tc>
          <w:tcPr>
            <w:tcW w:w="2561" w:type="dxa"/>
            <w:gridSpan w:val="2"/>
          </w:tcPr>
          <w:p>
            <w:pPr>
              <w:pStyle w:val="nTable"/>
              <w:spacing w:after="40"/>
              <w:rPr>
                <w:color w:val="000000"/>
                <w:sz w:val="19"/>
              </w:rPr>
            </w:pPr>
            <w:r>
              <w:rPr>
                <w:color w:val="000000"/>
                <w:sz w:val="19"/>
              </w:rPr>
              <w:t>5 Aug 2002</w:t>
            </w:r>
          </w:p>
        </w:tc>
      </w:tr>
      <w:tr>
        <w:trPr>
          <w:cantSplit/>
        </w:trPr>
        <w:tc>
          <w:tcPr>
            <w:tcW w:w="2274" w:type="dxa"/>
          </w:tcPr>
          <w:p>
            <w:pPr>
              <w:pStyle w:val="nTable"/>
              <w:spacing w:after="40"/>
              <w:rPr>
                <w:i/>
                <w:color w:val="000000"/>
                <w:sz w:val="19"/>
              </w:rPr>
            </w:pPr>
            <w:r>
              <w:rPr>
                <w:i/>
                <w:color w:val="000000"/>
                <w:sz w:val="19"/>
              </w:rPr>
              <w:t xml:space="preserve">Statutes (Repeals and Minor Amendments) Act 2003 </w:t>
            </w:r>
            <w:r>
              <w:rPr>
                <w:iCs/>
                <w:color w:val="000000"/>
                <w:sz w:val="19"/>
              </w:rPr>
              <w:t>s. 83 and 87(7)</w:t>
            </w:r>
          </w:p>
        </w:tc>
        <w:tc>
          <w:tcPr>
            <w:tcW w:w="1139" w:type="dxa"/>
          </w:tcPr>
          <w:p>
            <w:pPr>
              <w:pStyle w:val="nTable"/>
              <w:spacing w:after="40"/>
              <w:rPr>
                <w:color w:val="000000"/>
                <w:sz w:val="19"/>
              </w:rPr>
            </w:pPr>
            <w:r>
              <w:rPr>
                <w:color w:val="000000"/>
                <w:sz w:val="19"/>
              </w:rPr>
              <w:t>74 of 2003</w:t>
            </w:r>
          </w:p>
        </w:tc>
        <w:tc>
          <w:tcPr>
            <w:tcW w:w="1136" w:type="dxa"/>
          </w:tcPr>
          <w:p>
            <w:pPr>
              <w:pStyle w:val="nTable"/>
              <w:spacing w:after="40"/>
              <w:rPr>
                <w:color w:val="000000"/>
                <w:sz w:val="19"/>
              </w:rPr>
            </w:pPr>
            <w:r>
              <w:rPr>
                <w:color w:val="000000"/>
                <w:sz w:val="19"/>
              </w:rPr>
              <w:t>15 Dec 2003</w:t>
            </w:r>
          </w:p>
        </w:tc>
        <w:tc>
          <w:tcPr>
            <w:tcW w:w="2561" w:type="dxa"/>
            <w:gridSpan w:val="2"/>
          </w:tcPr>
          <w:p>
            <w:pPr>
              <w:pStyle w:val="nTable"/>
              <w:spacing w:after="40"/>
              <w:rPr>
                <w:color w:val="000000"/>
                <w:sz w:val="19"/>
              </w:rPr>
            </w:pPr>
            <w:r>
              <w:rPr>
                <w:color w:val="000000"/>
                <w:sz w:val="19"/>
              </w:rPr>
              <w:t>15 Dec 2003 (see s. 2)</w:t>
            </w:r>
          </w:p>
        </w:tc>
      </w:tr>
      <w:tr>
        <w:trPr>
          <w:cantSplit/>
        </w:trPr>
        <w:tc>
          <w:tcPr>
            <w:tcW w:w="2274" w:type="dxa"/>
          </w:tcPr>
          <w:p>
            <w:pPr>
              <w:pStyle w:val="nTable"/>
              <w:spacing w:after="40"/>
              <w:rPr>
                <w:i/>
                <w:color w:val="000000"/>
                <w:sz w:val="19"/>
              </w:rPr>
            </w:pPr>
            <w:r>
              <w:rPr>
                <w:bCs/>
                <w:i/>
                <w:iCs/>
                <w:color w:val="000000"/>
                <w:sz w:val="19"/>
              </w:rPr>
              <w:t>Dangerous Goods Safety Act 2004</w:t>
            </w:r>
            <w:r>
              <w:rPr>
                <w:bCs/>
                <w:i/>
                <w:color w:val="000000"/>
                <w:sz w:val="19"/>
              </w:rPr>
              <w:t xml:space="preserve"> </w:t>
            </w:r>
            <w:r>
              <w:rPr>
                <w:bCs/>
                <w:iCs/>
                <w:color w:val="000000"/>
                <w:sz w:val="19"/>
              </w:rPr>
              <w:t>s. 70</w:t>
            </w:r>
          </w:p>
        </w:tc>
        <w:tc>
          <w:tcPr>
            <w:tcW w:w="1139" w:type="dxa"/>
          </w:tcPr>
          <w:p>
            <w:pPr>
              <w:pStyle w:val="nTable"/>
              <w:spacing w:after="40"/>
              <w:rPr>
                <w:color w:val="000000"/>
                <w:sz w:val="19"/>
              </w:rPr>
            </w:pPr>
            <w:r>
              <w:rPr>
                <w:bCs/>
                <w:color w:val="000000"/>
                <w:sz w:val="19"/>
              </w:rPr>
              <w:t>7 of 2004</w:t>
            </w:r>
          </w:p>
        </w:tc>
        <w:tc>
          <w:tcPr>
            <w:tcW w:w="1136" w:type="dxa"/>
          </w:tcPr>
          <w:p>
            <w:pPr>
              <w:pStyle w:val="nTable"/>
              <w:spacing w:after="40"/>
              <w:rPr>
                <w:color w:val="000000"/>
                <w:sz w:val="19"/>
              </w:rPr>
            </w:pPr>
            <w:r>
              <w:rPr>
                <w:bCs/>
                <w:color w:val="000000"/>
                <w:sz w:val="19"/>
              </w:rPr>
              <w:t>10 Jun 2004</w:t>
            </w:r>
          </w:p>
        </w:tc>
        <w:tc>
          <w:tcPr>
            <w:tcW w:w="2561" w:type="dxa"/>
            <w:gridSpan w:val="2"/>
          </w:tcPr>
          <w:p>
            <w:pPr>
              <w:pStyle w:val="nTable"/>
              <w:spacing w:after="40"/>
              <w:rPr>
                <w:color w:val="000000"/>
                <w:sz w:val="19"/>
              </w:rPr>
            </w:pPr>
            <w:r>
              <w:rPr>
                <w:bCs/>
                <w:color w:val="000000"/>
                <w:sz w:val="19"/>
              </w:rPr>
              <w:t xml:space="preserve">1 Mar 2008 (see s. 2 and </w:t>
            </w:r>
            <w:r>
              <w:rPr>
                <w:bCs/>
                <w:i/>
                <w:iCs/>
                <w:color w:val="000000"/>
                <w:sz w:val="19"/>
              </w:rPr>
              <w:t>Gazette</w:t>
            </w:r>
            <w:r>
              <w:rPr>
                <w:bCs/>
                <w:color w:val="000000"/>
                <w:sz w:val="19"/>
              </w:rPr>
              <w:t xml:space="preserve"> 29 Feb 2008 p. 669)</w:t>
            </w:r>
          </w:p>
        </w:tc>
      </w:tr>
      <w:tr>
        <w:trPr>
          <w:cantSplit/>
        </w:trPr>
        <w:tc>
          <w:tcPr>
            <w:tcW w:w="2274" w:type="dxa"/>
          </w:tcPr>
          <w:p>
            <w:pPr>
              <w:pStyle w:val="nTable"/>
              <w:spacing w:after="40"/>
              <w:rPr>
                <w:i/>
                <w:color w:val="000000"/>
                <w:sz w:val="19"/>
              </w:rPr>
            </w:pPr>
            <w:r>
              <w:rPr>
                <w:i/>
                <w:snapToGrid w:val="0"/>
                <w:sz w:val="19"/>
                <w:lang w:val="en-US"/>
              </w:rPr>
              <w:t>Occupational Safety and Health Legislation Amendment and Repeal Act 2004</w:t>
            </w:r>
            <w:r>
              <w:rPr>
                <w:snapToGrid w:val="0"/>
                <w:sz w:val="19"/>
                <w:lang w:val="en-US"/>
              </w:rPr>
              <w:t xml:space="preserve"> s. 115</w:t>
            </w:r>
            <w:r>
              <w:rPr>
                <w:snapToGrid w:val="0"/>
                <w:sz w:val="19"/>
                <w:vertAlign w:val="superscript"/>
                <w:lang w:val="en-US"/>
              </w:rPr>
              <w:t> 4</w:t>
            </w:r>
          </w:p>
        </w:tc>
        <w:tc>
          <w:tcPr>
            <w:tcW w:w="1139" w:type="dxa"/>
          </w:tcPr>
          <w:p>
            <w:pPr>
              <w:pStyle w:val="nTable"/>
              <w:spacing w:after="40"/>
              <w:rPr>
                <w:color w:val="000000"/>
                <w:sz w:val="19"/>
              </w:rPr>
            </w:pPr>
            <w:r>
              <w:rPr>
                <w:snapToGrid w:val="0"/>
                <w:sz w:val="19"/>
                <w:lang w:val="en-US"/>
              </w:rPr>
              <w:t>51 of 2004</w:t>
            </w:r>
          </w:p>
        </w:tc>
        <w:tc>
          <w:tcPr>
            <w:tcW w:w="1136" w:type="dxa"/>
          </w:tcPr>
          <w:p>
            <w:pPr>
              <w:pStyle w:val="nTable"/>
              <w:spacing w:after="40"/>
              <w:rPr>
                <w:color w:val="000000"/>
                <w:sz w:val="19"/>
              </w:rPr>
            </w:pPr>
            <w:r>
              <w:rPr>
                <w:sz w:val="19"/>
              </w:rPr>
              <w:t>12 Nov 2004</w:t>
            </w:r>
          </w:p>
        </w:tc>
        <w:tc>
          <w:tcPr>
            <w:tcW w:w="2561" w:type="dxa"/>
            <w:gridSpan w:val="2"/>
          </w:tcPr>
          <w:p>
            <w:pPr>
              <w:pStyle w:val="nTable"/>
              <w:spacing w:after="40"/>
              <w:rPr>
                <w:color w:val="000000"/>
                <w:sz w:val="19"/>
              </w:rPr>
            </w:pPr>
            <w:r>
              <w:rPr>
                <w:sz w:val="19"/>
              </w:rPr>
              <w:t xml:space="preserve">4 Apr 2005 (see s. 2 and </w:t>
            </w:r>
            <w:r>
              <w:rPr>
                <w:i/>
                <w:sz w:val="19"/>
              </w:rPr>
              <w:t>Gazette</w:t>
            </w:r>
            <w:r>
              <w:rPr>
                <w:sz w:val="19"/>
              </w:rPr>
              <w:t xml:space="preserve"> 14 Dec 2004 p. 5999</w:t>
            </w:r>
            <w:r>
              <w:rPr>
                <w:sz w:val="19"/>
              </w:rPr>
              <w:noBreakHyphen/>
              <w:t>6000)</w:t>
            </w:r>
          </w:p>
        </w:tc>
      </w:tr>
      <w:tr>
        <w:trPr>
          <w:cantSplit/>
        </w:trPr>
        <w:tc>
          <w:tcPr>
            <w:tcW w:w="2274" w:type="dxa"/>
          </w:tcPr>
          <w:p>
            <w:pPr>
              <w:pStyle w:val="nTable"/>
              <w:spacing w:after="40"/>
              <w:rPr>
                <w:snapToGrid w:val="0"/>
                <w:sz w:val="19"/>
                <w:vertAlign w:val="superscript"/>
                <w:lang w:val="en-US"/>
              </w:rPr>
            </w:pPr>
            <w:r>
              <w:rPr>
                <w:i/>
                <w:snapToGrid w:val="0"/>
                <w:sz w:val="19"/>
                <w:lang w:val="en-US"/>
              </w:rPr>
              <w:t>Mines Safety and Inspection Amendment Act 2004</w:t>
            </w:r>
            <w:r>
              <w:rPr>
                <w:snapToGrid w:val="0"/>
                <w:sz w:val="19"/>
                <w:lang w:val="en-US"/>
              </w:rPr>
              <w:t xml:space="preserve"> </w:t>
            </w:r>
            <w:r>
              <w:rPr>
                <w:snapToGrid w:val="0"/>
                <w:sz w:val="19"/>
                <w:vertAlign w:val="superscript"/>
                <w:lang w:val="en-US"/>
              </w:rPr>
              <w:t>5</w:t>
            </w:r>
            <w:r>
              <w:rPr>
                <w:snapToGrid w:val="0"/>
                <w:sz w:val="19"/>
                <w:vertAlign w:val="superscript"/>
                <w:lang w:val="en-US"/>
              </w:rPr>
              <w:noBreakHyphen/>
              <w:t>9</w:t>
            </w:r>
          </w:p>
        </w:tc>
        <w:tc>
          <w:tcPr>
            <w:tcW w:w="1139" w:type="dxa"/>
          </w:tcPr>
          <w:p>
            <w:pPr>
              <w:pStyle w:val="nTable"/>
              <w:spacing w:after="40"/>
              <w:rPr>
                <w:snapToGrid w:val="0"/>
                <w:sz w:val="19"/>
                <w:lang w:val="en-US"/>
              </w:rPr>
            </w:pPr>
            <w:r>
              <w:rPr>
                <w:snapToGrid w:val="0"/>
                <w:sz w:val="19"/>
                <w:lang w:val="en-US"/>
              </w:rPr>
              <w:t>68 of 2004</w:t>
            </w:r>
          </w:p>
        </w:tc>
        <w:tc>
          <w:tcPr>
            <w:tcW w:w="1136" w:type="dxa"/>
          </w:tcPr>
          <w:p>
            <w:pPr>
              <w:pStyle w:val="nTable"/>
              <w:spacing w:after="40"/>
              <w:rPr>
                <w:sz w:val="19"/>
              </w:rPr>
            </w:pPr>
            <w:r>
              <w:rPr>
                <w:sz w:val="19"/>
              </w:rPr>
              <w:t>8 Dec 2004</w:t>
            </w:r>
          </w:p>
        </w:tc>
        <w:tc>
          <w:tcPr>
            <w:tcW w:w="2561" w:type="dxa"/>
            <w:gridSpan w:val="2"/>
          </w:tcPr>
          <w:p>
            <w:pPr>
              <w:pStyle w:val="nTable"/>
              <w:spacing w:after="40"/>
              <w:rPr>
                <w:sz w:val="19"/>
              </w:rPr>
            </w:pPr>
            <w:r>
              <w:rPr>
                <w:color w:val="000000"/>
                <w:sz w:val="19"/>
              </w:rPr>
              <w:t xml:space="preserve">s. 1 and 2: </w:t>
            </w:r>
            <w:r>
              <w:rPr>
                <w:sz w:val="19"/>
              </w:rPr>
              <w:t>8 Dec 2004</w:t>
            </w:r>
            <w:r>
              <w:rPr>
                <w:color w:val="000000"/>
                <w:sz w:val="19"/>
              </w:rPr>
              <w:t>;</w:t>
            </w:r>
            <w:r>
              <w:rPr>
                <w:color w:val="000000"/>
                <w:sz w:val="19"/>
              </w:rPr>
              <w:br/>
              <w:t xml:space="preserve">Act other than s. 1 and 2: </w:t>
            </w:r>
            <w:r>
              <w:rPr>
                <w:sz w:val="19"/>
              </w:rPr>
              <w:t xml:space="preserve">4 Apr 2005 (see s. 2 and </w:t>
            </w:r>
            <w:r>
              <w:rPr>
                <w:i/>
                <w:sz w:val="19"/>
              </w:rPr>
              <w:t>Gazette</w:t>
            </w:r>
            <w:r>
              <w:rPr>
                <w:sz w:val="19"/>
              </w:rPr>
              <w:t xml:space="preserve"> 14 Dec 2004 p. 5999</w:t>
            </w:r>
            <w:r>
              <w:rPr>
                <w:sz w:val="19"/>
              </w:rPr>
              <w:noBreakHyphen/>
              <w:t xml:space="preserve">6000 and </w:t>
            </w:r>
            <w:r>
              <w:rPr>
                <w:i/>
                <w:sz w:val="19"/>
              </w:rPr>
              <w:t>Gazette</w:t>
            </w:r>
            <w:r>
              <w:rPr>
                <w:sz w:val="19"/>
              </w:rPr>
              <w:t xml:space="preserve"> 11 Feb 2005 p. 695)</w:t>
            </w:r>
          </w:p>
        </w:tc>
      </w:tr>
      <w:tr>
        <w:trPr>
          <w:cantSplit/>
        </w:trPr>
        <w:tc>
          <w:tcPr>
            <w:tcW w:w="2274"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6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10" w:type="dxa"/>
            <w:gridSpan w:val="5"/>
          </w:tcPr>
          <w:p>
            <w:pPr>
              <w:pStyle w:val="nTable"/>
              <w:spacing w:after="40"/>
              <w:rPr>
                <w:snapToGrid w:val="0"/>
                <w:sz w:val="19"/>
                <w:lang w:val="en-US"/>
              </w:rPr>
            </w:pPr>
            <w:r>
              <w:rPr>
                <w:b/>
                <w:sz w:val="19"/>
              </w:rPr>
              <w:t xml:space="preserve">Reprint 3: The </w:t>
            </w:r>
            <w:r>
              <w:rPr>
                <w:b/>
                <w:bCs/>
                <w:i/>
                <w:color w:val="000000"/>
                <w:sz w:val="19"/>
              </w:rPr>
              <w:t>Mines Safety and Inspection Act 1994</w:t>
            </w:r>
            <w:r>
              <w:rPr>
                <w:b/>
                <w:bCs/>
                <w:iCs/>
                <w:color w:val="000000"/>
                <w:sz w:val="19"/>
              </w:rPr>
              <w:t xml:space="preserve"> </w:t>
            </w:r>
            <w:r>
              <w:rPr>
                <w:b/>
                <w:sz w:val="19"/>
              </w:rPr>
              <w:t>as at 10 Jun 2005</w:t>
            </w:r>
            <w:r>
              <w:rPr>
                <w:bCs/>
                <w:sz w:val="19"/>
              </w:rPr>
              <w:t xml:space="preserve"> (includes amendments listed above, except those in the </w:t>
            </w:r>
            <w:r>
              <w:rPr>
                <w:bCs/>
                <w:i/>
                <w:iCs/>
                <w:color w:val="000000"/>
                <w:sz w:val="19"/>
              </w:rPr>
              <w:t xml:space="preserve">Dangerous Goods Safety Act 2004 </w:t>
            </w:r>
            <w:r>
              <w:rPr>
                <w:bCs/>
                <w:sz w:val="19"/>
              </w:rPr>
              <w:t>)</w:t>
            </w:r>
          </w:p>
        </w:tc>
      </w:tr>
      <w:tr>
        <w:trPr>
          <w:cantSplit/>
        </w:trPr>
        <w:tc>
          <w:tcPr>
            <w:tcW w:w="2274"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61" w:type="dxa"/>
            <w:gridSpan w:val="2"/>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74" w:type="dxa"/>
          </w:tcPr>
          <w:p>
            <w:pPr>
              <w:pStyle w:val="nTable"/>
              <w:spacing w:after="40"/>
              <w:rPr>
                <w:i/>
                <w:snapToGrid w:val="0"/>
                <w:sz w:val="19"/>
                <w:lang w:val="en-US"/>
              </w:rPr>
            </w:pPr>
            <w:r>
              <w:rPr>
                <w:i/>
                <w:snapToGrid w:val="0"/>
                <w:sz w:val="19"/>
                <w:lang w:val="en-US"/>
              </w:rPr>
              <w:t>Mines Safety and Inspection Amendment Act 2008</w:t>
            </w:r>
          </w:p>
        </w:tc>
        <w:tc>
          <w:tcPr>
            <w:tcW w:w="1139" w:type="dxa"/>
          </w:tcPr>
          <w:p>
            <w:pPr>
              <w:pStyle w:val="nTable"/>
              <w:spacing w:after="40"/>
              <w:rPr>
                <w:snapToGrid w:val="0"/>
                <w:sz w:val="19"/>
                <w:lang w:val="en-US"/>
              </w:rPr>
            </w:pPr>
            <w:r>
              <w:rPr>
                <w:snapToGrid w:val="0"/>
                <w:sz w:val="19"/>
                <w:lang w:val="en-US"/>
              </w:rPr>
              <w:t>16 of 2008</w:t>
            </w:r>
          </w:p>
        </w:tc>
        <w:tc>
          <w:tcPr>
            <w:tcW w:w="1136" w:type="dxa"/>
          </w:tcPr>
          <w:p>
            <w:pPr>
              <w:pStyle w:val="nTable"/>
              <w:spacing w:after="40"/>
              <w:rPr>
                <w:sz w:val="19"/>
              </w:rPr>
            </w:pPr>
            <w:r>
              <w:rPr>
                <w:sz w:val="19"/>
              </w:rPr>
              <w:t>16 Apr 2008</w:t>
            </w:r>
          </w:p>
        </w:tc>
        <w:tc>
          <w:tcPr>
            <w:tcW w:w="2561" w:type="dxa"/>
            <w:gridSpan w:val="2"/>
          </w:tcPr>
          <w:p>
            <w:pPr>
              <w:pStyle w:val="nTable"/>
              <w:spacing w:after="40"/>
              <w:rPr>
                <w:snapToGrid w:val="0"/>
                <w:sz w:val="19"/>
                <w:lang w:val="en-US"/>
              </w:rPr>
            </w:pPr>
            <w:r>
              <w:rPr>
                <w:snapToGrid w:val="0"/>
                <w:sz w:val="19"/>
                <w:lang w:val="en-US"/>
              </w:rPr>
              <w:t>s. 1 and 2: 16 Apr 2008 (see s. 2(a));</w:t>
            </w:r>
            <w:r>
              <w:rPr>
                <w:snapToGrid w:val="0"/>
                <w:sz w:val="19"/>
                <w:lang w:val="en-US"/>
              </w:rPr>
              <w:br/>
              <w:t>Act other than s. 1 and 2: 17 Apr 2008 (see s. 2(b))</w:t>
            </w:r>
          </w:p>
        </w:tc>
      </w:tr>
      <w:tr>
        <w:trPr>
          <w:cantSplit/>
        </w:trPr>
        <w:tc>
          <w:tcPr>
            <w:tcW w:w="7110" w:type="dxa"/>
            <w:gridSpan w:val="5"/>
          </w:tcPr>
          <w:p>
            <w:pPr>
              <w:pStyle w:val="nTable"/>
              <w:spacing w:after="40"/>
              <w:rPr>
                <w:snapToGrid w:val="0"/>
                <w:sz w:val="19"/>
                <w:lang w:val="en-US"/>
              </w:rPr>
            </w:pPr>
            <w:r>
              <w:rPr>
                <w:b/>
                <w:sz w:val="19"/>
              </w:rPr>
              <w:t xml:space="preserve">Reprint 4: The </w:t>
            </w:r>
            <w:r>
              <w:rPr>
                <w:b/>
                <w:bCs/>
                <w:i/>
                <w:color w:val="000000"/>
                <w:sz w:val="19"/>
              </w:rPr>
              <w:t>Mines Safety and Inspection Act 1994</w:t>
            </w:r>
            <w:r>
              <w:rPr>
                <w:b/>
                <w:bCs/>
                <w:iCs/>
                <w:color w:val="000000"/>
                <w:sz w:val="19"/>
              </w:rPr>
              <w:t xml:space="preserve"> </w:t>
            </w:r>
            <w:r>
              <w:rPr>
                <w:b/>
                <w:sz w:val="19"/>
              </w:rPr>
              <w:t>as at 16 May 2008</w:t>
            </w:r>
            <w:r>
              <w:rPr>
                <w:bCs/>
                <w:sz w:val="19"/>
              </w:rPr>
              <w:t xml:space="preserve"> (includes amendments listed above)</w:t>
            </w:r>
          </w:p>
        </w:tc>
      </w:tr>
      <w:tr>
        <w:trPr>
          <w:cantSplit/>
        </w:trPr>
        <w:tc>
          <w:tcPr>
            <w:tcW w:w="2274"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55</w:t>
            </w:r>
          </w:p>
        </w:tc>
        <w:tc>
          <w:tcPr>
            <w:tcW w:w="1139" w:type="dxa"/>
          </w:tcPr>
          <w:p>
            <w:pPr>
              <w:pStyle w:val="nTable"/>
              <w:spacing w:after="40"/>
              <w:rPr>
                <w:snapToGrid w:val="0"/>
                <w:sz w:val="19"/>
                <w:lang w:val="en-US"/>
              </w:rPr>
            </w:pPr>
            <w:r>
              <w:rPr>
                <w:snapToGrid w:val="0"/>
                <w:sz w:val="19"/>
                <w:lang w:val="en-US"/>
              </w:rPr>
              <w:t>44 of 2008</w:t>
            </w:r>
          </w:p>
        </w:tc>
        <w:tc>
          <w:tcPr>
            <w:tcW w:w="1136" w:type="dxa"/>
          </w:tcPr>
          <w:p>
            <w:pPr>
              <w:pStyle w:val="nTable"/>
              <w:spacing w:after="40"/>
              <w:rPr>
                <w:sz w:val="19"/>
              </w:rPr>
            </w:pPr>
            <w:r>
              <w:rPr>
                <w:sz w:val="19"/>
              </w:rPr>
              <w:t>10 Dec 2008</w:t>
            </w:r>
          </w:p>
        </w:tc>
        <w:tc>
          <w:tcPr>
            <w:tcW w:w="2561" w:type="dxa"/>
            <w:gridSpan w:val="2"/>
          </w:tcPr>
          <w:p>
            <w:pPr>
              <w:pStyle w:val="nTable"/>
              <w:spacing w:after="40"/>
              <w:rPr>
                <w:snapToGrid w:val="0"/>
                <w:sz w:val="19"/>
                <w:lang w:val="en-US"/>
              </w:rPr>
            </w:pPr>
            <w:r>
              <w:rPr>
                <w:snapToGrid w:val="0"/>
                <w:sz w:val="19"/>
                <w:lang w:val="en-US"/>
              </w:rPr>
              <w:t>10 Jun 2009 (see s. 2(2))</w:t>
            </w:r>
          </w:p>
        </w:tc>
      </w:tr>
      <w:tr>
        <w:trPr>
          <w:cantSplit/>
        </w:trPr>
        <w:tc>
          <w:tcPr>
            <w:tcW w:w="2274" w:type="dxa"/>
          </w:tcPr>
          <w:p>
            <w:pPr>
              <w:pStyle w:val="nTable"/>
              <w:spacing w:after="40"/>
              <w:rPr>
                <w:i/>
                <w:snapToGrid w:val="0"/>
                <w:sz w:val="19"/>
                <w:lang w:val="en-US"/>
              </w:rPr>
            </w:pPr>
            <w:r>
              <w:rPr>
                <w:i/>
                <w:snapToGrid w:val="0"/>
                <w:sz w:val="19"/>
                <w:lang w:val="en-US"/>
              </w:rPr>
              <w:t>Mines Safety and Inspection Amendment Act 2009</w:t>
            </w:r>
          </w:p>
        </w:tc>
        <w:tc>
          <w:tcPr>
            <w:tcW w:w="1139" w:type="dxa"/>
          </w:tcPr>
          <w:p>
            <w:pPr>
              <w:pStyle w:val="nTable"/>
              <w:spacing w:after="40"/>
              <w:rPr>
                <w:snapToGrid w:val="0"/>
                <w:sz w:val="19"/>
                <w:lang w:val="en-US"/>
              </w:rPr>
            </w:pPr>
            <w:r>
              <w:rPr>
                <w:snapToGrid w:val="0"/>
                <w:sz w:val="19"/>
                <w:lang w:val="en-US"/>
              </w:rPr>
              <w:t>45 of 2009</w:t>
            </w:r>
          </w:p>
        </w:tc>
        <w:tc>
          <w:tcPr>
            <w:tcW w:w="1136" w:type="dxa"/>
          </w:tcPr>
          <w:p>
            <w:pPr>
              <w:pStyle w:val="nTable"/>
              <w:spacing w:after="40"/>
              <w:rPr>
                <w:sz w:val="19"/>
              </w:rPr>
            </w:pPr>
            <w:r>
              <w:rPr>
                <w:sz w:val="19"/>
              </w:rPr>
              <w:t>3 Dec 2009</w:t>
            </w:r>
          </w:p>
        </w:tc>
        <w:tc>
          <w:tcPr>
            <w:tcW w:w="2561" w:type="dxa"/>
            <w:gridSpan w:val="2"/>
          </w:tcPr>
          <w:p>
            <w:pPr>
              <w:pStyle w:val="nTable"/>
              <w:spacing w:after="40"/>
              <w:rPr>
                <w:snapToGrid w:val="0"/>
                <w:sz w:val="19"/>
                <w:lang w:val="en-US"/>
              </w:rPr>
            </w:pPr>
            <w:r>
              <w:rPr>
                <w:snapToGrid w:val="0"/>
                <w:sz w:val="19"/>
                <w:lang w:val="en-US"/>
              </w:rPr>
              <w:t>4 Dec 2009 (see s. 2(b))</w:t>
            </w:r>
          </w:p>
        </w:tc>
      </w:tr>
      <w:tr>
        <w:trPr>
          <w:gridAfter w:val="1"/>
          <w:wAfter w:w="8"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96" w:name="_Toc274299884"/>
      <w:r>
        <w:t>Provisions that have not come into operation</w:t>
      </w:r>
      <w:bookmarkEnd w:id="896"/>
    </w:p>
    <w:tbl>
      <w:tblPr>
        <w:tblW w:w="7076" w:type="dxa"/>
        <w:tblInd w:w="211"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4"/>
        <w:gridCol w:w="1118"/>
        <w:gridCol w:w="1133"/>
        <w:gridCol w:w="2547"/>
        <w:gridCol w:w="14"/>
      </w:tblGrid>
      <w:tr>
        <w:tc>
          <w:tcPr>
            <w:tcW w:w="2269"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5"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9" w:type="dxa"/>
            <w:tcBorders>
              <w:top w:val="single" w:sz="4" w:space="0" w:color="auto"/>
              <w:bottom w:val="nil"/>
            </w:tcBorders>
          </w:tcPr>
          <w:p>
            <w:pPr>
              <w:pStyle w:val="nTable"/>
              <w:spacing w:after="40"/>
              <w:rPr>
                <w:snapToGrid w:val="0"/>
                <w:sz w:val="19"/>
                <w:vertAlign w:val="superscript"/>
                <w:lang w:val="en-US"/>
              </w:rPr>
            </w:pPr>
            <w:r>
              <w:rPr>
                <w:i/>
                <w:iCs/>
                <w:snapToGrid w:val="0"/>
                <w:sz w:val="19"/>
                <w:lang w:val="en-US"/>
              </w:rPr>
              <w:t>Rail Safety Act 2010</w:t>
            </w:r>
            <w:r>
              <w:rPr>
                <w:snapToGrid w:val="0"/>
                <w:sz w:val="19"/>
                <w:lang w:val="en-US"/>
              </w:rPr>
              <w:t xml:space="preserve"> Pt. 11 Div. 2 </w:t>
            </w:r>
            <w:r>
              <w:rPr>
                <w:snapToGrid w:val="0"/>
                <w:sz w:val="19"/>
                <w:vertAlign w:val="superscript"/>
                <w:lang w:val="en-US"/>
              </w:rPr>
              <w:t>10</w:t>
            </w:r>
          </w:p>
        </w:tc>
        <w:tc>
          <w:tcPr>
            <w:tcW w:w="1118" w:type="dxa"/>
            <w:tcBorders>
              <w:top w:val="single" w:sz="4" w:space="0" w:color="auto"/>
              <w:bottom w:val="nil"/>
            </w:tcBorders>
          </w:tcPr>
          <w:p>
            <w:pPr>
              <w:pStyle w:val="nTable"/>
              <w:spacing w:after="40"/>
              <w:rPr>
                <w:snapToGrid w:val="0"/>
                <w:sz w:val="19"/>
                <w:lang w:val="en-US"/>
              </w:rPr>
            </w:pPr>
            <w:r>
              <w:rPr>
                <w:snapToGrid w:val="0"/>
                <w:sz w:val="19"/>
                <w:lang w:val="en-US"/>
              </w:rPr>
              <w:t>18 of 2010</w:t>
            </w:r>
          </w:p>
        </w:tc>
        <w:tc>
          <w:tcPr>
            <w:tcW w:w="1134" w:type="dxa"/>
            <w:tcBorders>
              <w:top w:val="single" w:sz="4" w:space="0" w:color="auto"/>
              <w:bottom w:val="nil"/>
            </w:tcBorders>
          </w:tcPr>
          <w:p>
            <w:pPr>
              <w:pStyle w:val="nTable"/>
              <w:spacing w:after="40"/>
              <w:rPr>
                <w:snapToGrid w:val="0"/>
                <w:sz w:val="19"/>
                <w:lang w:val="en-US"/>
              </w:rPr>
            </w:pPr>
            <w:r>
              <w:rPr>
                <w:snapToGrid w:val="0"/>
                <w:sz w:val="19"/>
                <w:lang w:val="en-US"/>
              </w:rPr>
              <w:t>28 Jun 2010</w:t>
            </w:r>
          </w:p>
        </w:tc>
        <w:tc>
          <w:tcPr>
            <w:tcW w:w="2555" w:type="dxa"/>
            <w:gridSpan w:val="2"/>
            <w:tcBorders>
              <w:top w:val="single" w:sz="4" w:space="0" w:color="auto"/>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CellMar>
            <w:left w:w="56" w:type="dxa"/>
            <w:right w:w="56" w:type="dxa"/>
          </w:tblCellMar>
        </w:tblPrEx>
        <w:trPr>
          <w:gridAfter w:val="1"/>
          <w:wAfter w:w="14" w:type="dxa"/>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11</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897" w:author="svcMRProcess" w:date="2019-05-11T18:23:00Z">
              <w:r>
                <w:rPr>
                  <w:snapToGrid w:val="0"/>
                  <w:sz w:val="19"/>
                  <w:lang w:val="en-US"/>
                </w:rPr>
                <w:delText>To be proclaimed</w:delText>
              </w:r>
            </w:del>
            <w:ins w:id="898" w:author="svcMRProcess" w:date="2019-05-11T18:23:00Z">
              <w:r>
                <w:rPr>
                  <w:snapToGrid w:val="0"/>
                  <w:sz w:val="19"/>
                  <w:lang w:val="en-US"/>
                </w:rPr>
                <w:t>1 Dec 2010</w:t>
              </w:r>
            </w:ins>
            <w:r>
              <w:rPr>
                <w:snapToGrid w:val="0"/>
                <w:sz w:val="19"/>
                <w:lang w:val="en-US"/>
              </w:rPr>
              <w:t xml:space="preserve"> (see s. 2(b</w:t>
            </w:r>
            <w:del w:id="899" w:author="svcMRProcess" w:date="2019-05-11T18:23:00Z">
              <w:r>
                <w:rPr>
                  <w:snapToGrid w:val="0"/>
                  <w:sz w:val="19"/>
                  <w:lang w:val="en-US"/>
                </w:rPr>
                <w:delText>))</w:delText>
              </w:r>
            </w:del>
            <w:ins w:id="900" w:author="svcMRProcess" w:date="2019-05-11T18:23: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60"/>
      </w:pPr>
      <w:r>
        <w:rPr>
          <w:vertAlign w:val="superscript"/>
        </w:rPr>
        <w:t>2</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 </w:t>
      </w:r>
    </w:p>
    <w:p>
      <w:pPr>
        <w:pStyle w:val="nSubsection"/>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1 cl. 100 was repealed by the </w:t>
      </w:r>
      <w:r>
        <w:rPr>
          <w:i/>
          <w:iCs/>
          <w:snapToGrid w:val="0"/>
        </w:rPr>
        <w:t>Criminal Law and Evidence Amendment Act 2008</w:t>
      </w:r>
      <w:r>
        <w:rPr>
          <w:snapToGrid w:val="0"/>
        </w:rPr>
        <w:t xml:space="preserve"> s. 77(10).</w:t>
      </w:r>
    </w:p>
    <w:p>
      <w:pPr>
        <w:pStyle w:val="nSubsection"/>
        <w:keepNext/>
        <w:keepLines/>
        <w:rPr>
          <w:snapToGrid w:val="0"/>
        </w:rPr>
      </w:pPr>
      <w:r>
        <w:rPr>
          <w:vertAlign w:val="superscript"/>
        </w:rPr>
        <w:t>4</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MiscOpen"/>
        <w:rPr>
          <w:snapToGrid w:val="0"/>
        </w:rPr>
      </w:pPr>
      <w:r>
        <w:rPr>
          <w:snapToGrid w:val="0"/>
        </w:rPr>
        <w:t>“</w:t>
      </w: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MiscClose"/>
      </w:pPr>
      <w:r>
        <w:t>”.</w:t>
      </w:r>
    </w:p>
    <w:p>
      <w:pPr>
        <w:pStyle w:val="nSubsection"/>
      </w:pPr>
      <w:r>
        <w:rPr>
          <w:vertAlign w:val="superscript"/>
        </w:rPr>
        <w:t>5</w:t>
      </w:r>
      <w:r>
        <w:tab/>
        <w:t xml:space="preserve">The </w:t>
      </w:r>
      <w:r>
        <w:rPr>
          <w:i/>
        </w:rPr>
        <w:t>Mines Safety and Inspection Amendment Act 2004</w:t>
      </w:r>
      <w:r>
        <w:t xml:space="preserve"> s. 31(2) reads as follows:</w:t>
      </w:r>
    </w:p>
    <w:p>
      <w:pPr>
        <w:pStyle w:val="nSubsection"/>
      </w:pPr>
      <w:r>
        <w:t>“</w:t>
      </w: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MiscClose"/>
        <w:rPr>
          <w:snapToGrid w:val="0"/>
        </w:rPr>
      </w:pPr>
      <w:r>
        <w:rPr>
          <w:snapToGrid w:val="0"/>
        </w:rPr>
        <w:t>”.</w:t>
      </w:r>
    </w:p>
    <w:p>
      <w:pPr>
        <w:pStyle w:val="nSubsection"/>
      </w:pPr>
      <w:r>
        <w:rPr>
          <w:vertAlign w:val="superscript"/>
        </w:rPr>
        <w:t>6</w:t>
      </w:r>
      <w:r>
        <w:tab/>
        <w:t xml:space="preserve">The </w:t>
      </w:r>
      <w:r>
        <w:rPr>
          <w:i/>
        </w:rPr>
        <w:t>Mines Safety and Inspection Amendment Act 2004</w:t>
      </w:r>
      <w:r>
        <w:t xml:space="preserve"> s. 57, 65 and 77 read as follows:</w:t>
      </w:r>
    </w:p>
    <w:p>
      <w:pPr>
        <w:pStyle w:val="nSubsection"/>
      </w:pPr>
      <w:r>
        <w:t>“</w:t>
      </w: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rPr>
        <w:t>“</w:t>
      </w:r>
      <w:r>
        <w:rPr>
          <w:b/>
          <w:bCs/>
        </w:rPr>
        <w:t>MSI Act”)</w:t>
      </w:r>
      <w:r>
        <w:t xml:space="preserve">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 xml:space="preserve">If before the commencement of section 64 —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nSubsection"/>
      </w:pP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MiscClose"/>
      </w:pPr>
      <w:r>
        <w:t>”.</w:t>
      </w:r>
    </w:p>
    <w:p>
      <w:pPr>
        <w:pStyle w:val="nSubsection"/>
      </w:pPr>
      <w:r>
        <w:rPr>
          <w:vertAlign w:val="superscript"/>
        </w:rPr>
        <w:t>7</w:t>
      </w:r>
      <w:r>
        <w:tab/>
        <w:t xml:space="preserve">The </w:t>
      </w:r>
      <w:r>
        <w:rPr>
          <w:i/>
        </w:rPr>
        <w:t>Mines Safety and Inspection Amendment Act 2004</w:t>
      </w:r>
      <w:r>
        <w:t xml:space="preserve"> s. 83(2) and (3) read as follows:</w:t>
      </w:r>
    </w:p>
    <w:p>
      <w:pPr>
        <w:pStyle w:val="nSubsection"/>
      </w:pPr>
      <w:r>
        <w:t>“</w:t>
      </w: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 xml:space="preserve">A determination or decision of a safety and health magistrate made before the commencement of subsection (1) may be the subject of —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MiscClose"/>
      </w:pPr>
      <w:r>
        <w:t>”.</w:t>
      </w:r>
    </w:p>
    <w:p>
      <w:pPr>
        <w:pStyle w:val="nSubsection"/>
        <w:keepNext/>
      </w:pPr>
      <w:r>
        <w:rPr>
          <w:vertAlign w:val="superscript"/>
        </w:rPr>
        <w:t>8</w:t>
      </w:r>
      <w:r>
        <w:tab/>
        <w:t xml:space="preserve">The </w:t>
      </w:r>
      <w:r>
        <w:rPr>
          <w:i/>
        </w:rPr>
        <w:t>Mines Safety and Inspection Amendment Act 2004</w:t>
      </w:r>
      <w:r>
        <w:t xml:space="preserve"> s. 85(2) reads as follows:</w:t>
      </w:r>
    </w:p>
    <w:p>
      <w:pPr>
        <w:pStyle w:val="nSubsection"/>
        <w:keepNext/>
      </w:pPr>
      <w:r>
        <w:t>“</w:t>
      </w: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MiscClose"/>
      </w:pPr>
      <w:r>
        <w:t>”.</w:t>
      </w:r>
    </w:p>
    <w:p>
      <w:pPr>
        <w:pStyle w:val="nSubsection"/>
      </w:pPr>
      <w:r>
        <w:rPr>
          <w:vertAlign w:val="superscript"/>
        </w:rPr>
        <w:t>9</w:t>
      </w:r>
      <w:r>
        <w:tab/>
        <w:t xml:space="preserve">The </w:t>
      </w:r>
      <w:r>
        <w:rPr>
          <w:i/>
        </w:rPr>
        <w:t>Mines Safety and Inspection Amendment Act 2004</w:t>
      </w:r>
      <w:r>
        <w:t xml:space="preserve"> s. 86(2) reads as follows:</w:t>
      </w:r>
    </w:p>
    <w:p>
      <w:pPr>
        <w:pStyle w:val="nSubsection"/>
      </w:pPr>
      <w:r>
        <w:t>“</w:t>
      </w: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MiscClose"/>
      </w:pPr>
      <w:r>
        <w:t>”.</w:t>
      </w:r>
    </w:p>
    <w:p>
      <w:pPr>
        <w:pStyle w:val="nSubsection"/>
        <w:keepLines/>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Rail Safety Act 2010 </w:t>
      </w:r>
      <w:r>
        <w:rPr>
          <w:iCs/>
          <w:snapToGrid w:val="0"/>
        </w:rPr>
        <w:t xml:space="preserve">Pt. 11 Div. 2 </w:t>
      </w:r>
      <w:r>
        <w:rPr>
          <w:snapToGrid w:val="0"/>
        </w:rPr>
        <w:t>had not come into operation.  It reads as follows:</w:t>
      </w:r>
    </w:p>
    <w:p>
      <w:pPr>
        <w:pStyle w:val="BlankOpen"/>
        <w:rPr>
          <w:snapToGrid w:val="0"/>
        </w:rPr>
      </w:pPr>
    </w:p>
    <w:p>
      <w:pPr>
        <w:pStyle w:val="nzHeading3"/>
      </w:pPr>
      <w:bookmarkStart w:id="901" w:name="_Toc242162299"/>
      <w:bookmarkStart w:id="902" w:name="_Toc242768217"/>
      <w:bookmarkStart w:id="903" w:name="_Toc242768539"/>
      <w:bookmarkStart w:id="904" w:name="_Toc242780112"/>
      <w:bookmarkStart w:id="905" w:name="_Toc264871166"/>
      <w:bookmarkStart w:id="906" w:name="_Toc265002873"/>
      <w:bookmarkStart w:id="907" w:name="_Toc265491197"/>
      <w:r>
        <w:rPr>
          <w:rStyle w:val="CharDivNo"/>
        </w:rPr>
        <w:t>Division 2</w:t>
      </w:r>
      <w:r>
        <w:t> — </w:t>
      </w:r>
      <w:r>
        <w:rPr>
          <w:rStyle w:val="CharDivText"/>
          <w:i/>
          <w:iCs/>
        </w:rPr>
        <w:t>Mines Safety and Inspection Act 1994</w:t>
      </w:r>
      <w:r>
        <w:rPr>
          <w:rStyle w:val="CharDivText"/>
        </w:rPr>
        <w:t xml:space="preserve"> amended</w:t>
      </w:r>
      <w:bookmarkEnd w:id="901"/>
      <w:bookmarkEnd w:id="902"/>
      <w:bookmarkEnd w:id="903"/>
      <w:bookmarkEnd w:id="904"/>
      <w:bookmarkEnd w:id="905"/>
      <w:bookmarkEnd w:id="906"/>
      <w:bookmarkEnd w:id="907"/>
    </w:p>
    <w:p>
      <w:pPr>
        <w:pStyle w:val="nzHeading5"/>
        <w:rPr>
          <w:snapToGrid w:val="0"/>
        </w:rPr>
      </w:pPr>
      <w:bookmarkStart w:id="908" w:name="_Toc265002874"/>
      <w:bookmarkStart w:id="909" w:name="_Toc265491198"/>
      <w:r>
        <w:rPr>
          <w:rStyle w:val="CharSectno"/>
        </w:rPr>
        <w:t>263</w:t>
      </w:r>
      <w:r>
        <w:rPr>
          <w:snapToGrid w:val="0"/>
        </w:rPr>
        <w:t>.</w:t>
      </w:r>
      <w:r>
        <w:rPr>
          <w:snapToGrid w:val="0"/>
        </w:rPr>
        <w:tab/>
      </w:r>
      <w:r>
        <w:rPr>
          <w:iCs/>
        </w:rPr>
        <w:t xml:space="preserve">Act </w:t>
      </w:r>
      <w:r>
        <w:rPr>
          <w:snapToGrid w:val="0"/>
        </w:rPr>
        <w:t>amended</w:t>
      </w:r>
      <w:bookmarkEnd w:id="908"/>
      <w:bookmarkEnd w:id="909"/>
    </w:p>
    <w:p>
      <w:pPr>
        <w:pStyle w:val="nzSubsection"/>
      </w:pPr>
      <w:r>
        <w:tab/>
      </w:r>
      <w:r>
        <w:tab/>
        <w:t xml:space="preserve">This Division amends the </w:t>
      </w:r>
      <w:r>
        <w:rPr>
          <w:i/>
        </w:rPr>
        <w:t>Mines Safety and Inspection Act 1994</w:t>
      </w:r>
      <w:r>
        <w:t>.</w:t>
      </w:r>
    </w:p>
    <w:p>
      <w:pPr>
        <w:pStyle w:val="nzHeading5"/>
      </w:pPr>
      <w:bookmarkStart w:id="910" w:name="_Toc265002875"/>
      <w:bookmarkStart w:id="911" w:name="_Toc265491199"/>
      <w:r>
        <w:rPr>
          <w:rStyle w:val="CharSectno"/>
        </w:rPr>
        <w:t>264</w:t>
      </w:r>
      <w:r>
        <w:t>.</w:t>
      </w:r>
      <w:r>
        <w:tab/>
        <w:t>Section 7 amended</w:t>
      </w:r>
      <w:bookmarkEnd w:id="910"/>
      <w:bookmarkEnd w:id="911"/>
    </w:p>
    <w:p>
      <w:pPr>
        <w:pStyle w:val="nzSubsection"/>
      </w:pPr>
      <w:r>
        <w:tab/>
      </w:r>
      <w:r>
        <w:tab/>
        <w:t>In section 7(2) delete “</w:t>
      </w:r>
      <w:r>
        <w:rPr>
          <w:i/>
          <w:iCs/>
        </w:rPr>
        <w:t>Rail Safety Act 1998</w:t>
      </w:r>
      <w:r>
        <w:t>” and insert:</w:t>
      </w:r>
    </w:p>
    <w:p>
      <w:pPr>
        <w:pStyle w:val="BlankOpen"/>
      </w:pPr>
    </w:p>
    <w:p>
      <w:pPr>
        <w:pStyle w:val="nzSubsection"/>
      </w:pPr>
      <w:r>
        <w:tab/>
      </w:r>
      <w:r>
        <w:tab/>
      </w:r>
      <w:r>
        <w:rPr>
          <w:i/>
        </w:rPr>
        <w:t>Rail Safety Act 2010</w:t>
      </w:r>
    </w:p>
    <w:p>
      <w:pPr>
        <w:pStyle w:val="BlankClose"/>
      </w:pPr>
    </w:p>
    <w:p>
      <w:pPr>
        <w:pStyle w:val="nSubsection"/>
        <w:rPr>
          <w:snapToGrid w:val="0"/>
        </w:rPr>
      </w:pPr>
      <w:r>
        <w:rPr>
          <w:vertAlign w:val="superscript"/>
        </w:rPr>
        <w:t>11</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912" w:name="_Toc273538032"/>
      <w:bookmarkStart w:id="913" w:name="_Toc273964959"/>
      <w:bookmarkStart w:id="914" w:name="_Toc273971506"/>
      <w:r>
        <w:rPr>
          <w:rStyle w:val="CharSectno"/>
        </w:rPr>
        <w:t>89</w:t>
      </w:r>
      <w:r>
        <w:t>.</w:t>
      </w:r>
      <w:r>
        <w:tab/>
        <w:t>Various references to “Minister for Public Sector Management” amended</w:t>
      </w:r>
      <w:bookmarkEnd w:id="912"/>
      <w:bookmarkEnd w:id="913"/>
      <w:bookmarkEnd w:id="91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Mines Safety and Inspection Act 1994</w:t>
            </w:r>
          </w:p>
        </w:tc>
        <w:tc>
          <w:tcPr>
            <w:tcW w:w="3401" w:type="dxa"/>
          </w:tcPr>
          <w:p>
            <w:pPr>
              <w:pStyle w:val="TableAm"/>
              <w:rPr>
                <w:sz w:val="20"/>
              </w:rPr>
            </w:pPr>
            <w:r>
              <w:rPr>
                <w:sz w:val="20"/>
              </w:rPr>
              <w:t>s. 19(3), 20(3), 48(3), 82(5)</w:t>
            </w:r>
          </w:p>
        </w:tc>
      </w:tr>
    </w:tbl>
    <w:p>
      <w:pPr>
        <w:pStyle w:val="BlankClose"/>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separate"/>
          </w:r>
          <w:r>
            <w:rPr>
              <w:b/>
              <w:bCs/>
              <w:noProof/>
            </w:rPr>
            <w:t>Part 1</w:t>
          </w:r>
          <w:r>
            <w:rPr>
              <w:b/>
              <w:bCs/>
            </w:rPr>
            <w:fldChar w:fldCharType="end"/>
          </w:r>
        </w:p>
      </w:tc>
      <w:tc>
        <w:tcPr>
          <w:tcW w:w="5773" w:type="dxa"/>
          <w:vAlign w:val="bottom"/>
        </w:tcPr>
        <w:p>
          <w:pPr>
            <w:pStyle w:val="HeaderTextLeft"/>
          </w:pPr>
          <w:fldSimple w:instr=" STYLEREF CharPartText ">
            <w:r>
              <w:rPr>
                <w:noProof/>
              </w:rPr>
              <w:t>Preliminary</w:t>
            </w:r>
          </w:fldSimple>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1A43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C65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0C22E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B829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4286D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D85C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2692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6A10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A4E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78B08B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8C296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4808D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47125</Words>
  <Characters>226205</Characters>
  <Application>Microsoft Office Word</Application>
  <DocSecurity>0</DocSecurity>
  <Lines>5952</Lines>
  <Paragraphs>3253</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270077</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04-g0-01 - 04-h0-01</dc:title>
  <dc:subject/>
  <dc:creator/>
  <cp:keywords/>
  <dc:description/>
  <cp:lastModifiedBy>svcMRProcess</cp:lastModifiedBy>
  <cp:revision>2</cp:revision>
  <cp:lastPrinted>2008-05-22T07:10:00Z</cp:lastPrinted>
  <dcterms:created xsi:type="dcterms:W3CDTF">2019-05-11T10:23:00Z</dcterms:created>
  <dcterms:modified xsi:type="dcterms:W3CDTF">2019-05-11T10:23:00Z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515</vt:i4>
  </property>
  <property fmtid="{D5CDD505-2E9C-101B-9397-08002B2CF9AE}" pid="6" name="ReprintNo">
    <vt:lpwstr>4</vt:lpwstr>
  </property>
  <property fmtid="{D5CDD505-2E9C-101B-9397-08002B2CF9AE}" pid="7" name="FromSuffix">
    <vt:lpwstr>04-g0-01</vt:lpwstr>
  </property>
  <property fmtid="{D5CDD505-2E9C-101B-9397-08002B2CF9AE}" pid="8" name="FromAsAtDate">
    <vt:lpwstr>01 Oct 2010</vt:lpwstr>
  </property>
  <property fmtid="{D5CDD505-2E9C-101B-9397-08002B2CF9AE}" pid="9" name="ToSuffix">
    <vt:lpwstr>04-h0-01</vt:lpwstr>
  </property>
  <property fmtid="{D5CDD505-2E9C-101B-9397-08002B2CF9AE}" pid="10" name="ToAsAtDate">
    <vt:lpwstr>05 Nov 2010</vt:lpwstr>
  </property>
</Properties>
</file>