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Standards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Professional Standards Act 1997</w:t>
      </w:r>
    </w:p>
    <w:p>
      <w:pPr>
        <w:pStyle w:val="LongTitle"/>
        <w:rPr>
          <w:snapToGrid w:val="0"/>
        </w:rPr>
      </w:pPr>
      <w:r>
        <w:rPr>
          <w:snapToGrid w:val="0"/>
        </w:rPr>
        <w:t>A</w:t>
      </w:r>
      <w:bookmarkStart w:id="0" w:name="_GoBack"/>
      <w:bookmarkEnd w:id="0"/>
      <w:r>
        <w:rPr>
          <w:snapToGrid w:val="0"/>
        </w:rPr>
        <w:t>n Act to provide for the limitation of liability of members of occupational associations in certain circumstances and to facilitate improvement in the standards of services provided by those members.</w:t>
      </w:r>
    </w:p>
    <w:p>
      <w:pPr>
        <w:pStyle w:val="Heading2"/>
      </w:pPr>
      <w:bookmarkStart w:id="1" w:name="_Toc84237310"/>
      <w:bookmarkStart w:id="2" w:name="_Toc84308741"/>
      <w:bookmarkStart w:id="3" w:name="_Toc89584247"/>
      <w:bookmarkStart w:id="4" w:name="_Toc89584436"/>
      <w:bookmarkStart w:id="5" w:name="_Toc94348648"/>
      <w:bookmarkStart w:id="6" w:name="_Toc94418912"/>
      <w:bookmarkStart w:id="7" w:name="_Toc95890564"/>
      <w:bookmarkStart w:id="8" w:name="_Toc95894089"/>
      <w:bookmarkStart w:id="9" w:name="_Toc97618169"/>
      <w:bookmarkStart w:id="10" w:name="_Toc97622541"/>
      <w:bookmarkStart w:id="11" w:name="_Toc98316096"/>
      <w:bookmarkStart w:id="12" w:name="_Toc98320694"/>
      <w:bookmarkStart w:id="13" w:name="_Toc98648012"/>
      <w:bookmarkStart w:id="14" w:name="_Toc101842661"/>
      <w:bookmarkStart w:id="15" w:name="_Toc102369278"/>
      <w:bookmarkStart w:id="16" w:name="_Toc102453094"/>
      <w:bookmarkStart w:id="17" w:name="_Toc102538295"/>
      <w:bookmarkStart w:id="18" w:name="_Toc139338609"/>
      <w:bookmarkStart w:id="19" w:name="_Toc139338719"/>
      <w:bookmarkStart w:id="20" w:name="_Toc139338832"/>
      <w:bookmarkStart w:id="21" w:name="_Toc139434191"/>
      <w:bookmarkStart w:id="22" w:name="_Toc139439144"/>
      <w:bookmarkStart w:id="23" w:name="_Toc139439254"/>
      <w:bookmarkStart w:id="24" w:name="_Toc139439212"/>
      <w:bookmarkStart w:id="25" w:name="_Toc157997482"/>
      <w:bookmarkStart w:id="26" w:name="_Toc158000428"/>
      <w:bookmarkStart w:id="27" w:name="_Toc241056387"/>
      <w:bookmarkStart w:id="28" w:name="_Toc258420311"/>
      <w:bookmarkStart w:id="29" w:name="_Toc258424782"/>
      <w:bookmarkStart w:id="30" w:name="_Toc259529927"/>
      <w:bookmarkStart w:id="31" w:name="_Toc259530050"/>
      <w:bookmarkStart w:id="32" w:name="_Toc263761816"/>
      <w:bookmarkStart w:id="33" w:name="_Toc263856305"/>
      <w:bookmarkStart w:id="34" w:name="_Toc263856429"/>
      <w:bookmarkStart w:id="35" w:name="_Toc27430375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18485425"/>
      <w:bookmarkStart w:id="37" w:name="_Toc139338610"/>
      <w:bookmarkStart w:id="38" w:name="_Toc274303752"/>
      <w:r>
        <w:rPr>
          <w:rStyle w:val="CharSectno"/>
        </w:rPr>
        <w:t>1</w:t>
      </w:r>
      <w:r>
        <w:rPr>
          <w:snapToGrid w:val="0"/>
        </w:rPr>
        <w:t>.</w:t>
      </w:r>
      <w:r>
        <w:rPr>
          <w:snapToGrid w:val="0"/>
        </w:rPr>
        <w:tab/>
        <w:t>Short title</w:t>
      </w:r>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39" w:name="_Toc418485426"/>
      <w:bookmarkStart w:id="40" w:name="_Toc139338611"/>
      <w:bookmarkStart w:id="41" w:name="_Toc274303753"/>
      <w:r>
        <w:rPr>
          <w:rStyle w:val="CharSectno"/>
        </w:rPr>
        <w:t>2</w:t>
      </w:r>
      <w:r>
        <w:rPr>
          <w:snapToGrid w:val="0"/>
        </w:rPr>
        <w:t>.</w:t>
      </w:r>
      <w:r>
        <w:rPr>
          <w:snapToGrid w:val="0"/>
        </w:rPr>
        <w:tab/>
        <w:t>Commencement</w:t>
      </w:r>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42" w:name="_Toc418485427"/>
      <w:bookmarkStart w:id="43" w:name="_Toc139338612"/>
      <w:bookmarkStart w:id="44" w:name="_Toc274303754"/>
      <w:r>
        <w:rPr>
          <w:rStyle w:val="CharSectno"/>
        </w:rPr>
        <w:t>3</w:t>
      </w:r>
      <w:r>
        <w:rPr>
          <w:snapToGrid w:val="0"/>
        </w:rPr>
        <w:t>.</w:t>
      </w:r>
      <w:r>
        <w:rPr>
          <w:snapToGrid w:val="0"/>
        </w:rPr>
        <w:tab/>
        <w:t>Objects of this Act</w:t>
      </w:r>
      <w:bookmarkEnd w:id="42"/>
      <w:bookmarkEnd w:id="43"/>
      <w:bookmarkEnd w:id="4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45" w:name="_Toc418485428"/>
      <w:bookmarkStart w:id="46" w:name="_Toc139338613"/>
      <w:bookmarkStart w:id="47" w:name="_Toc274303755"/>
      <w:r>
        <w:rPr>
          <w:rStyle w:val="CharSectno"/>
        </w:rPr>
        <w:t>4</w:t>
      </w:r>
      <w:r>
        <w:rPr>
          <w:snapToGrid w:val="0"/>
        </w:rPr>
        <w:t>.</w:t>
      </w:r>
      <w:r>
        <w:rPr>
          <w:snapToGrid w:val="0"/>
        </w:rPr>
        <w:tab/>
      </w:r>
      <w:bookmarkEnd w:id="45"/>
      <w:bookmarkEnd w:id="46"/>
      <w:r>
        <w:rPr>
          <w:snapToGrid w:val="0"/>
        </w:rPr>
        <w:t>Terms used</w:t>
      </w:r>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another jurisdiction</w:t>
      </w:r>
      <w:r>
        <w:t xml:space="preserve"> means any State or Territory, other than this jurisdiction;</w:t>
      </w:r>
    </w:p>
    <w:p>
      <w:pPr>
        <w:pStyle w:val="Defstart"/>
      </w:pPr>
      <w:r>
        <w:rPr>
          <w:b/>
        </w:rPr>
        <w:tab/>
      </w:r>
      <w:r>
        <w:rPr>
          <w:rStyle w:val="CharDefText"/>
        </w:rPr>
        <w:t>appropriate Council</w:t>
      </w:r>
      <w:r>
        <w:t>, in relation to another jurisdiction, means the authority that, under the corresponding law of that jurisdiction, has functions that are substantially the same as the Council’s functions under this Act;</w:t>
      </w:r>
    </w:p>
    <w:p>
      <w:pPr>
        <w:pStyle w:val="Defstart"/>
      </w:pPr>
      <w:r>
        <w:rPr>
          <w:b/>
        </w:rPr>
        <w:tab/>
      </w:r>
      <w:r>
        <w:rPr>
          <w:rStyle w:val="CharDefText"/>
        </w:rPr>
        <w:t>business assets</w:t>
      </w:r>
      <w:r>
        <w:t xml:space="preserve"> means the property of a person that is used in the performance of the person’s occupation and that is able to be taken in proceedings to enforce a judgment of a court;</w:t>
      </w:r>
    </w:p>
    <w:p>
      <w:pPr>
        <w:pStyle w:val="Defstart"/>
      </w:pPr>
      <w:r>
        <w:rPr>
          <w:b/>
        </w:rPr>
        <w:lastRenderedPageBreak/>
        <w:tab/>
      </w:r>
      <w:r>
        <w:rPr>
          <w:rStyle w:val="CharDefText"/>
        </w:rPr>
        <w:t>corresponding law</w:t>
      </w:r>
      <w:r>
        <w:t xml:space="preserve"> means a law of another jurisdiction that corresponds to this Act, and includes a law of another jurisdiction that is declared by the regulations to be a corresponding law of that jurisdiction for the purposes of this Act;</w:t>
      </w:r>
    </w:p>
    <w:p>
      <w:pPr>
        <w:pStyle w:val="Defstart"/>
      </w:pPr>
      <w:r>
        <w:rPr>
          <w:b/>
        </w:rPr>
        <w:tab/>
      </w:r>
      <w:r>
        <w:rPr>
          <w:rStyle w:val="CharDefText"/>
        </w:rPr>
        <w:t>costs</w:t>
      </w:r>
      <w:r>
        <w:t xml:space="preserve"> includes fees, charges, disbursements and expenses;</w:t>
      </w:r>
    </w:p>
    <w:p>
      <w:pPr>
        <w:pStyle w:val="Defstart"/>
      </w:pPr>
      <w:r>
        <w:rPr>
          <w:b/>
        </w:rPr>
        <w:tab/>
      </w:r>
      <w:r>
        <w:rPr>
          <w:rStyle w:val="CharDefText"/>
        </w:rPr>
        <w:t>Council</w:t>
      </w:r>
      <w:r>
        <w:t xml:space="preserve"> means the Professional Standards Council established by section 8;</w:t>
      </w:r>
    </w:p>
    <w:p>
      <w:pPr>
        <w:pStyle w:val="Defstart"/>
      </w:pPr>
      <w:r>
        <w:rPr>
          <w:b/>
        </w:rPr>
        <w:tab/>
      </w:r>
      <w:r>
        <w:rPr>
          <w:rStyle w:val="CharDefText"/>
        </w:rPr>
        <w:t>court</w:t>
      </w:r>
      <w:r>
        <w:t xml:space="preserve"> includes an arbitrator;</w:t>
      </w:r>
    </w:p>
    <w:p>
      <w:pPr>
        <w:pStyle w:val="Defstart"/>
      </w:pPr>
      <w:r>
        <w:rPr>
          <w:b/>
        </w:rPr>
        <w:tab/>
      </w:r>
      <w:r>
        <w:rPr>
          <w:rStyle w:val="CharDefText"/>
        </w:rPr>
        <w:t>damages</w:t>
      </w:r>
      <w:r>
        <w:t xml:space="preserve"> means — </w:t>
      </w:r>
    </w:p>
    <w:p>
      <w:pPr>
        <w:pStyle w:val="Defpara"/>
      </w:pPr>
      <w:r>
        <w:tab/>
        <w:t>(a)</w:t>
      </w:r>
      <w:r>
        <w:tab/>
        <w:t>damages awarded in respect of a claim or counter</w:t>
      </w:r>
      <w:r>
        <w:noBreakHyphen/>
        <w:t>claim or claim by way of set</w:t>
      </w:r>
      <w:r>
        <w:noBreakHyphen/>
        <w:t>off; and</w:t>
      </w:r>
    </w:p>
    <w:p>
      <w:pPr>
        <w:pStyle w:val="Defpara"/>
      </w:pPr>
      <w:r>
        <w:tab/>
        <w:t>(b)</w:t>
      </w:r>
      <w:r>
        <w:tab/>
        <w:t>costs in or in relation to the proceedings ordered to be paid in connection with such an award (other than costs incurred in enforcing a judgment or incurred on an appeal made by the defendant); and</w:t>
      </w:r>
    </w:p>
    <w:p>
      <w:pPr>
        <w:pStyle w:val="Defpara"/>
      </w:pPr>
      <w:r>
        <w:tab/>
        <w:t>(c)</w:t>
      </w:r>
      <w:r>
        <w:tab/>
        <w:t>any interest payable on the amount of those damages or costs;</w:t>
      </w:r>
    </w:p>
    <w:p>
      <w:pPr>
        <w:pStyle w:val="Defstart"/>
      </w:pPr>
      <w:r>
        <w:rPr>
          <w:b/>
        </w:rPr>
        <w:tab/>
      </w:r>
      <w:r>
        <w:rPr>
          <w:rStyle w:val="CharDefText"/>
        </w:rPr>
        <w:t>interstate scheme</w:t>
      </w:r>
      <w:r>
        <w:t xml:space="preserve"> means a scheme — </w:t>
      </w:r>
    </w:p>
    <w:p>
      <w:pPr>
        <w:pStyle w:val="Defpara"/>
      </w:pPr>
      <w:r>
        <w:tab/>
        <w:t>(a)</w:t>
      </w:r>
      <w:r>
        <w:tab/>
        <w:t>that has been prepared under the corresponding law of another jurisdiction; and</w:t>
      </w:r>
    </w:p>
    <w:p>
      <w:pPr>
        <w:pStyle w:val="Defpara"/>
      </w:pPr>
      <w:r>
        <w:tab/>
        <w:t>(b)</w:t>
      </w:r>
      <w:r>
        <w:tab/>
        <w:t>that operates, or indicates an intention to operate, as a scheme of this jurisdiction;</w:t>
      </w:r>
    </w:p>
    <w:p>
      <w:pPr>
        <w:pStyle w:val="Defstart"/>
      </w:pPr>
      <w:r>
        <w:rPr>
          <w:b/>
        </w:rPr>
        <w:tab/>
      </w:r>
      <w:r>
        <w:rPr>
          <w:rStyle w:val="CharDefText"/>
        </w:rPr>
        <w:t>judgment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r>
        <w:rPr>
          <w:rStyle w:val="CharDefText"/>
        </w:rPr>
        <w:t>occupational association</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lastRenderedPageBreak/>
        <w:tab/>
        <w:t>(b)</w:t>
      </w:r>
      <w:r>
        <w:tab/>
        <w:t>the membership of which is limited principally to members of that occupational group or those occupational groups;</w:t>
      </w:r>
    </w:p>
    <w:p>
      <w:pPr>
        <w:pStyle w:val="Defstart"/>
      </w:pPr>
      <w:r>
        <w:rPr>
          <w:b/>
        </w:rPr>
        <w:tab/>
      </w:r>
      <w:r>
        <w:rPr>
          <w:rStyle w:val="CharDefText"/>
        </w:rPr>
        <w:t>occupational group</w:t>
      </w:r>
      <w:r>
        <w:t xml:space="preserve"> includes a professional group and a trade group;</w:t>
      </w:r>
    </w:p>
    <w:p>
      <w:pPr>
        <w:pStyle w:val="Defstart"/>
      </w:pPr>
      <w:r>
        <w:rPr>
          <w:b/>
        </w:rPr>
        <w:tab/>
      </w:r>
      <w:r>
        <w:rPr>
          <w:rStyle w:val="CharDefText"/>
        </w:rPr>
        <w:t>occupational liability</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r>
        <w:rPr>
          <w:rStyle w:val="CharDefText"/>
        </w:rPr>
        <w:t>partner</w:t>
      </w:r>
      <w:r>
        <w:t xml:space="preserve"> has the same meaning as it has in the </w:t>
      </w:r>
      <w:r>
        <w:rPr>
          <w:i/>
        </w:rPr>
        <w:t>Partnership Act 1895</w:t>
      </w:r>
      <w:r>
        <w:t>;</w:t>
      </w:r>
    </w:p>
    <w:p>
      <w:pPr>
        <w:pStyle w:val="Defstart"/>
      </w:pPr>
      <w:r>
        <w:rPr>
          <w:b/>
        </w:rPr>
        <w:tab/>
      </w:r>
      <w:r>
        <w:rPr>
          <w:rStyle w:val="CharDefText"/>
        </w:rPr>
        <w:t>scheme</w:t>
      </w:r>
      <w:r>
        <w:t xml:space="preserve"> means a scheme for limiting the occupational liability of members of an occupational association, and includes an interstate scheme;</w:t>
      </w:r>
    </w:p>
    <w:p>
      <w:pPr>
        <w:pStyle w:val="Defstart"/>
      </w:pPr>
      <w:r>
        <w:rPr>
          <w:b/>
        </w:rPr>
        <w:tab/>
      </w:r>
      <w:r>
        <w:rPr>
          <w:rStyle w:val="CharDefText"/>
        </w:rPr>
        <w:t>this jurisdiction</w:t>
      </w:r>
      <w:r>
        <w:t xml:space="preserve"> means Western Australia.</w:t>
      </w:r>
    </w:p>
    <w:p>
      <w:pPr>
        <w:pStyle w:val="Subsection"/>
      </w:pPr>
      <w:r>
        <w:tab/>
        <w:t>(2)</w:t>
      </w:r>
      <w:r>
        <w:tab/>
        <w:t xml:space="preserve">When this Act refers to the </w:t>
      </w:r>
      <w:r>
        <w:rPr>
          <w:b/>
          <w:bCs/>
          <w:i/>
          <w:iCs/>
        </w:rPr>
        <w:t>amount payable</w:t>
      </w:r>
      <w:r>
        <w:t xml:space="preserve"> under an insurance policy in respect of an occupational liability it includes — </w:t>
      </w:r>
    </w:p>
    <w:p>
      <w:pPr>
        <w:pStyle w:val="Indenta"/>
      </w:pPr>
      <w:r>
        <w:tab/>
        <w:t>(a)</w:t>
      </w:r>
      <w:r>
        <w:tab/>
        <w:t>defence costs payable in respect of a claim, or notification that may lead to a claim (other than reimbursement of the defendant for time spent in relation to the claim), but only if those costs are payable out of the one sum insured under the policy in respect of the occupational liability; and</w:t>
      </w:r>
    </w:p>
    <w:p>
      <w:pPr>
        <w:pStyle w:val="Indenta"/>
      </w:pPr>
      <w:r>
        <w:tab/>
        <w:t>(b)</w:t>
      </w:r>
      <w:r>
        <w:tab/>
        <w:t>the amount payable under or in relation to the policy by way of excess.</w:t>
      </w:r>
    </w:p>
    <w:p>
      <w:pPr>
        <w:pStyle w:val="Footnotesection"/>
      </w:pPr>
      <w:r>
        <w:tab/>
        <w:t>[Section 4 amended by No. 74 of 2003 s. 144(2); No. 25 of 2004 s. 4; No. 3 of 2010 s. 4 and 10.]</w:t>
      </w:r>
    </w:p>
    <w:p>
      <w:pPr>
        <w:pStyle w:val="Heading5"/>
        <w:rPr>
          <w:snapToGrid w:val="0"/>
        </w:rPr>
      </w:pPr>
      <w:bookmarkStart w:id="48" w:name="_Toc418485429"/>
      <w:bookmarkStart w:id="49" w:name="_Toc139338614"/>
      <w:bookmarkStart w:id="50" w:name="_Toc274303756"/>
      <w:r>
        <w:rPr>
          <w:rStyle w:val="CharSectno"/>
        </w:rPr>
        <w:t>5</w:t>
      </w:r>
      <w:r>
        <w:rPr>
          <w:snapToGrid w:val="0"/>
        </w:rPr>
        <w:t>.</w:t>
      </w:r>
      <w:r>
        <w:rPr>
          <w:snapToGrid w:val="0"/>
        </w:rPr>
        <w:tab/>
        <w:t>Matters to which Act does not apply</w:t>
      </w:r>
      <w:bookmarkEnd w:id="48"/>
      <w:bookmarkEnd w:id="49"/>
      <w:bookmarkEnd w:id="50"/>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Subsection"/>
      </w:pPr>
      <w:bookmarkStart w:id="51" w:name="_Toc418485430"/>
      <w:bookmarkStart w:id="52" w:name="_Toc139338615"/>
      <w:r>
        <w:tab/>
        <w:t>(3)</w:t>
      </w:r>
      <w:r>
        <w:tab/>
        <w:t>Subsection (1)(a) does not operate to exclude from the operation of this Act liability for damages arising out of any negligence or other fault of a legal practitioner in acting for a client in a personal injury claim.</w:t>
      </w:r>
    </w:p>
    <w:p>
      <w:pPr>
        <w:pStyle w:val="Footnotesection"/>
      </w:pPr>
      <w:r>
        <w:tab/>
        <w:t>[Section 5 amended by No. 3 of 2010 s. 24.]</w:t>
      </w:r>
    </w:p>
    <w:p>
      <w:pPr>
        <w:pStyle w:val="Heading5"/>
        <w:rPr>
          <w:snapToGrid w:val="0"/>
        </w:rPr>
      </w:pPr>
      <w:bookmarkStart w:id="53" w:name="_Toc274303757"/>
      <w:r>
        <w:rPr>
          <w:rStyle w:val="CharSectno"/>
        </w:rPr>
        <w:t>6</w:t>
      </w:r>
      <w:r>
        <w:rPr>
          <w:snapToGrid w:val="0"/>
        </w:rPr>
        <w:t>.</w:t>
      </w:r>
      <w:r>
        <w:rPr>
          <w:snapToGrid w:val="0"/>
        </w:rPr>
        <w:tab/>
        <w:t>Relationship between this Act and other written laws</w:t>
      </w:r>
      <w:bookmarkEnd w:id="51"/>
      <w:bookmarkEnd w:id="52"/>
      <w:bookmarkEnd w:id="53"/>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54" w:name="_Toc418485431"/>
      <w:bookmarkStart w:id="55" w:name="_Toc139338616"/>
      <w:bookmarkStart w:id="56" w:name="_Toc274303758"/>
      <w:r>
        <w:rPr>
          <w:rStyle w:val="CharSectno"/>
        </w:rPr>
        <w:t>7</w:t>
      </w:r>
      <w:r>
        <w:rPr>
          <w:snapToGrid w:val="0"/>
        </w:rPr>
        <w:t>.</w:t>
      </w:r>
      <w:r>
        <w:rPr>
          <w:snapToGrid w:val="0"/>
        </w:rPr>
        <w:tab/>
        <w:t>Crown bound</w:t>
      </w:r>
      <w:bookmarkEnd w:id="54"/>
      <w:bookmarkEnd w:id="55"/>
      <w:bookmarkEnd w:id="56"/>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57" w:name="_Toc84237318"/>
      <w:bookmarkStart w:id="58" w:name="_Toc84308749"/>
      <w:bookmarkStart w:id="59" w:name="_Toc89584255"/>
      <w:bookmarkStart w:id="60" w:name="_Toc89584444"/>
      <w:bookmarkStart w:id="61" w:name="_Toc94348656"/>
      <w:bookmarkStart w:id="62" w:name="_Toc94418920"/>
      <w:bookmarkStart w:id="63" w:name="_Toc95890572"/>
      <w:bookmarkStart w:id="64" w:name="_Toc95894097"/>
      <w:bookmarkStart w:id="65" w:name="_Toc97618177"/>
      <w:bookmarkStart w:id="66" w:name="_Toc97622549"/>
      <w:bookmarkStart w:id="67" w:name="_Toc98316104"/>
      <w:bookmarkStart w:id="68" w:name="_Toc98320702"/>
      <w:bookmarkStart w:id="69" w:name="_Toc98648020"/>
      <w:bookmarkStart w:id="70" w:name="_Toc101842669"/>
      <w:bookmarkStart w:id="71" w:name="_Toc102369286"/>
      <w:bookmarkStart w:id="72" w:name="_Toc102453102"/>
      <w:bookmarkStart w:id="73" w:name="_Toc102538303"/>
      <w:bookmarkStart w:id="74" w:name="_Toc139338617"/>
      <w:bookmarkStart w:id="75" w:name="_Toc139338727"/>
      <w:bookmarkStart w:id="76" w:name="_Toc139338840"/>
      <w:bookmarkStart w:id="77" w:name="_Toc139434199"/>
      <w:bookmarkStart w:id="78" w:name="_Toc139439152"/>
      <w:bookmarkStart w:id="79" w:name="_Toc139439262"/>
      <w:bookmarkStart w:id="80" w:name="_Toc139439221"/>
      <w:bookmarkStart w:id="81" w:name="_Toc157997490"/>
      <w:bookmarkStart w:id="82" w:name="_Toc158000436"/>
      <w:bookmarkStart w:id="83" w:name="_Toc241056395"/>
      <w:bookmarkStart w:id="84" w:name="_Toc258420319"/>
      <w:bookmarkStart w:id="85" w:name="_Toc258424790"/>
      <w:bookmarkStart w:id="86" w:name="_Toc259529935"/>
      <w:bookmarkStart w:id="87" w:name="_Toc259530058"/>
      <w:bookmarkStart w:id="88" w:name="_Toc263761824"/>
      <w:bookmarkStart w:id="89" w:name="_Toc263856313"/>
      <w:bookmarkStart w:id="90" w:name="_Toc263856437"/>
      <w:bookmarkStart w:id="91" w:name="_Toc274303759"/>
      <w:r>
        <w:rPr>
          <w:rStyle w:val="CharPartNo"/>
        </w:rPr>
        <w:t>Part 2</w:t>
      </w:r>
      <w:r>
        <w:t> — </w:t>
      </w:r>
      <w:r>
        <w:rPr>
          <w:rStyle w:val="CharPartText"/>
        </w:rPr>
        <w:t>Professional Standards Council</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3"/>
        <w:rPr>
          <w:snapToGrid w:val="0"/>
        </w:rPr>
      </w:pPr>
      <w:bookmarkStart w:id="92" w:name="_Toc84237319"/>
      <w:bookmarkStart w:id="93" w:name="_Toc84308750"/>
      <w:bookmarkStart w:id="94" w:name="_Toc89584256"/>
      <w:bookmarkStart w:id="95" w:name="_Toc89584445"/>
      <w:bookmarkStart w:id="96" w:name="_Toc94348657"/>
      <w:bookmarkStart w:id="97" w:name="_Toc94418921"/>
      <w:bookmarkStart w:id="98" w:name="_Toc95890573"/>
      <w:bookmarkStart w:id="99" w:name="_Toc95894098"/>
      <w:bookmarkStart w:id="100" w:name="_Toc97618178"/>
      <w:bookmarkStart w:id="101" w:name="_Toc97622550"/>
      <w:bookmarkStart w:id="102" w:name="_Toc98316105"/>
      <w:bookmarkStart w:id="103" w:name="_Toc98320703"/>
      <w:bookmarkStart w:id="104" w:name="_Toc98648021"/>
      <w:bookmarkStart w:id="105" w:name="_Toc101842670"/>
      <w:bookmarkStart w:id="106" w:name="_Toc102369287"/>
      <w:bookmarkStart w:id="107" w:name="_Toc102453103"/>
      <w:bookmarkStart w:id="108" w:name="_Toc102538304"/>
      <w:bookmarkStart w:id="109" w:name="_Toc139338618"/>
      <w:bookmarkStart w:id="110" w:name="_Toc139338728"/>
      <w:bookmarkStart w:id="111" w:name="_Toc139338841"/>
      <w:bookmarkStart w:id="112" w:name="_Toc139434200"/>
      <w:bookmarkStart w:id="113" w:name="_Toc139439153"/>
      <w:bookmarkStart w:id="114" w:name="_Toc139439263"/>
      <w:bookmarkStart w:id="115" w:name="_Toc139439222"/>
      <w:bookmarkStart w:id="116" w:name="_Toc157997491"/>
      <w:bookmarkStart w:id="117" w:name="_Toc158000437"/>
      <w:bookmarkStart w:id="118" w:name="_Toc241056396"/>
      <w:bookmarkStart w:id="119" w:name="_Toc258420320"/>
      <w:bookmarkStart w:id="120" w:name="_Toc258424791"/>
      <w:bookmarkStart w:id="121" w:name="_Toc259529936"/>
      <w:bookmarkStart w:id="122" w:name="_Toc259530059"/>
      <w:bookmarkStart w:id="123" w:name="_Toc263761825"/>
      <w:bookmarkStart w:id="124" w:name="_Toc263856314"/>
      <w:bookmarkStart w:id="125" w:name="_Toc263856438"/>
      <w:bookmarkStart w:id="126" w:name="_Toc274303760"/>
      <w:r>
        <w:rPr>
          <w:rStyle w:val="CharDivNo"/>
        </w:rPr>
        <w:t>Division 1</w:t>
      </w:r>
      <w:r>
        <w:rPr>
          <w:snapToGrid w:val="0"/>
        </w:rPr>
        <w:t> — </w:t>
      </w:r>
      <w:r>
        <w:rPr>
          <w:rStyle w:val="CharDivText"/>
        </w:rPr>
        <w:t>Establishment of the Council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18485432"/>
      <w:bookmarkStart w:id="128" w:name="_Toc139338619"/>
      <w:bookmarkStart w:id="129" w:name="_Toc274303761"/>
      <w:r>
        <w:rPr>
          <w:rStyle w:val="CharSectno"/>
        </w:rPr>
        <w:t>8</w:t>
      </w:r>
      <w:r>
        <w:rPr>
          <w:snapToGrid w:val="0"/>
        </w:rPr>
        <w:t>.</w:t>
      </w:r>
      <w:r>
        <w:rPr>
          <w:snapToGrid w:val="0"/>
        </w:rPr>
        <w:tab/>
        <w:t>Council established</w:t>
      </w:r>
      <w:bookmarkEnd w:id="127"/>
      <w:bookmarkEnd w:id="128"/>
      <w:bookmarkEnd w:id="129"/>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130" w:name="_Toc84237321"/>
      <w:bookmarkStart w:id="131" w:name="_Toc84308752"/>
      <w:bookmarkStart w:id="132" w:name="_Toc89584258"/>
      <w:bookmarkStart w:id="133" w:name="_Toc89584447"/>
      <w:bookmarkStart w:id="134" w:name="_Toc94348659"/>
      <w:bookmarkStart w:id="135" w:name="_Toc94418923"/>
      <w:bookmarkStart w:id="136" w:name="_Toc95890575"/>
      <w:bookmarkStart w:id="137" w:name="_Toc95894100"/>
      <w:bookmarkStart w:id="138" w:name="_Toc97618180"/>
      <w:bookmarkStart w:id="139" w:name="_Toc97622552"/>
      <w:bookmarkStart w:id="140" w:name="_Toc98316107"/>
      <w:bookmarkStart w:id="141" w:name="_Toc98320705"/>
      <w:bookmarkStart w:id="142" w:name="_Toc98648023"/>
      <w:bookmarkStart w:id="143" w:name="_Toc101842672"/>
      <w:bookmarkStart w:id="144" w:name="_Toc102369289"/>
      <w:bookmarkStart w:id="145" w:name="_Toc102453105"/>
      <w:bookmarkStart w:id="146" w:name="_Toc102538306"/>
      <w:bookmarkStart w:id="147" w:name="_Toc139338620"/>
      <w:bookmarkStart w:id="148" w:name="_Toc139338730"/>
      <w:bookmarkStart w:id="149" w:name="_Toc139338843"/>
      <w:bookmarkStart w:id="150" w:name="_Toc139434202"/>
      <w:bookmarkStart w:id="151" w:name="_Toc139439155"/>
      <w:bookmarkStart w:id="152" w:name="_Toc139439265"/>
      <w:bookmarkStart w:id="153" w:name="_Toc139439224"/>
      <w:bookmarkStart w:id="154" w:name="_Toc157997493"/>
      <w:bookmarkStart w:id="155" w:name="_Toc158000439"/>
      <w:bookmarkStart w:id="156" w:name="_Toc241056398"/>
      <w:bookmarkStart w:id="157" w:name="_Toc258420322"/>
      <w:bookmarkStart w:id="158" w:name="_Toc258424793"/>
      <w:bookmarkStart w:id="159" w:name="_Toc259529938"/>
      <w:bookmarkStart w:id="160" w:name="_Toc259530061"/>
      <w:bookmarkStart w:id="161" w:name="_Toc263761827"/>
      <w:bookmarkStart w:id="162" w:name="_Toc263856316"/>
      <w:bookmarkStart w:id="163" w:name="_Toc263856440"/>
      <w:bookmarkStart w:id="164" w:name="_Toc274303762"/>
      <w:r>
        <w:rPr>
          <w:rStyle w:val="CharDivNo"/>
        </w:rPr>
        <w:t>Division 2</w:t>
      </w:r>
      <w:r>
        <w:rPr>
          <w:snapToGrid w:val="0"/>
        </w:rPr>
        <w:t> — </w:t>
      </w:r>
      <w:r>
        <w:rPr>
          <w:rStyle w:val="CharDivText"/>
        </w:rPr>
        <w:t>Membership and procedure of the Council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18485433"/>
      <w:bookmarkStart w:id="166" w:name="_Toc139338621"/>
      <w:bookmarkStart w:id="167" w:name="_Toc274303763"/>
      <w:r>
        <w:rPr>
          <w:rStyle w:val="CharSectno"/>
        </w:rPr>
        <w:t>9</w:t>
      </w:r>
      <w:r>
        <w:rPr>
          <w:snapToGrid w:val="0"/>
        </w:rPr>
        <w:t>.</w:t>
      </w:r>
      <w:r>
        <w:rPr>
          <w:snapToGrid w:val="0"/>
        </w:rPr>
        <w:tab/>
        <w:t>Membership of Council</w:t>
      </w:r>
      <w:bookmarkEnd w:id="165"/>
      <w:bookmarkEnd w:id="166"/>
      <w:bookmarkEnd w:id="167"/>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168" w:name="_Toc418485434"/>
      <w:bookmarkStart w:id="169" w:name="_Toc139338622"/>
      <w:bookmarkStart w:id="170" w:name="_Toc274303764"/>
      <w:r>
        <w:rPr>
          <w:rStyle w:val="CharSectno"/>
        </w:rPr>
        <w:t>10</w:t>
      </w:r>
      <w:r>
        <w:rPr>
          <w:snapToGrid w:val="0"/>
        </w:rPr>
        <w:t>.</w:t>
      </w:r>
      <w:r>
        <w:rPr>
          <w:snapToGrid w:val="0"/>
        </w:rPr>
        <w:tab/>
        <w:t>Provisions relating to members of Council</w:t>
      </w:r>
      <w:bookmarkEnd w:id="168"/>
      <w:bookmarkEnd w:id="169"/>
      <w:bookmarkEnd w:id="170"/>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spacing w:before="180"/>
        <w:rPr>
          <w:snapToGrid w:val="0"/>
        </w:rPr>
      </w:pPr>
      <w:bookmarkStart w:id="171" w:name="_Toc418485435"/>
      <w:bookmarkStart w:id="172" w:name="_Toc139338623"/>
      <w:bookmarkStart w:id="173" w:name="_Toc274303765"/>
      <w:r>
        <w:rPr>
          <w:rStyle w:val="CharSectno"/>
        </w:rPr>
        <w:t>11</w:t>
      </w:r>
      <w:r>
        <w:rPr>
          <w:snapToGrid w:val="0"/>
        </w:rPr>
        <w:t>.</w:t>
      </w:r>
      <w:r>
        <w:rPr>
          <w:snapToGrid w:val="0"/>
        </w:rPr>
        <w:tab/>
        <w:t>Provisions relating to procedure of Council</w:t>
      </w:r>
      <w:bookmarkEnd w:id="171"/>
      <w:bookmarkEnd w:id="172"/>
      <w:bookmarkEnd w:id="173"/>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174" w:name="_Toc84237325"/>
      <w:bookmarkStart w:id="175" w:name="_Toc84308756"/>
      <w:bookmarkStart w:id="176" w:name="_Toc89584262"/>
      <w:bookmarkStart w:id="177" w:name="_Toc89584451"/>
      <w:bookmarkStart w:id="178" w:name="_Toc94348663"/>
      <w:bookmarkStart w:id="179" w:name="_Toc94418927"/>
      <w:bookmarkStart w:id="180" w:name="_Toc95890579"/>
      <w:bookmarkStart w:id="181" w:name="_Toc95894104"/>
      <w:bookmarkStart w:id="182" w:name="_Toc97618184"/>
      <w:bookmarkStart w:id="183" w:name="_Toc97622556"/>
      <w:bookmarkStart w:id="184" w:name="_Toc98316111"/>
      <w:bookmarkStart w:id="185" w:name="_Toc98320709"/>
      <w:bookmarkStart w:id="186" w:name="_Toc98648027"/>
      <w:bookmarkStart w:id="187" w:name="_Toc101842676"/>
      <w:bookmarkStart w:id="188" w:name="_Toc102369293"/>
      <w:bookmarkStart w:id="189" w:name="_Toc102453109"/>
      <w:bookmarkStart w:id="190" w:name="_Toc102538310"/>
      <w:bookmarkStart w:id="191" w:name="_Toc139338624"/>
      <w:bookmarkStart w:id="192" w:name="_Toc139338734"/>
      <w:bookmarkStart w:id="193" w:name="_Toc139338847"/>
      <w:bookmarkStart w:id="194" w:name="_Toc139434206"/>
      <w:bookmarkStart w:id="195" w:name="_Toc139439159"/>
      <w:bookmarkStart w:id="196" w:name="_Toc139439269"/>
      <w:bookmarkStart w:id="197" w:name="_Toc139439229"/>
      <w:bookmarkStart w:id="198" w:name="_Toc157997497"/>
      <w:bookmarkStart w:id="199" w:name="_Toc158000443"/>
      <w:bookmarkStart w:id="200" w:name="_Toc241056402"/>
      <w:bookmarkStart w:id="201" w:name="_Toc258420326"/>
      <w:bookmarkStart w:id="202" w:name="_Toc258424797"/>
      <w:bookmarkStart w:id="203" w:name="_Toc259529942"/>
      <w:bookmarkStart w:id="204" w:name="_Toc259530065"/>
      <w:bookmarkStart w:id="205" w:name="_Toc263761831"/>
      <w:bookmarkStart w:id="206" w:name="_Toc263856320"/>
      <w:bookmarkStart w:id="207" w:name="_Toc263856444"/>
      <w:bookmarkStart w:id="208" w:name="_Toc274303766"/>
      <w:r>
        <w:rPr>
          <w:rStyle w:val="CharDivNo"/>
        </w:rPr>
        <w:t>Division 3</w:t>
      </w:r>
      <w:r>
        <w:rPr>
          <w:snapToGrid w:val="0"/>
        </w:rPr>
        <w:t> — </w:t>
      </w:r>
      <w:r>
        <w:rPr>
          <w:rStyle w:val="CharDivText"/>
        </w:rPr>
        <w:t>Functions of the Council</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spacing w:before="180"/>
        <w:rPr>
          <w:snapToGrid w:val="0"/>
        </w:rPr>
      </w:pPr>
      <w:bookmarkStart w:id="209" w:name="_Toc418485436"/>
      <w:bookmarkStart w:id="210" w:name="_Toc139338625"/>
      <w:bookmarkStart w:id="211" w:name="_Toc274303767"/>
      <w:r>
        <w:rPr>
          <w:rStyle w:val="CharSectno"/>
        </w:rPr>
        <w:t>12</w:t>
      </w:r>
      <w:r>
        <w:rPr>
          <w:snapToGrid w:val="0"/>
        </w:rPr>
        <w:t>.</w:t>
      </w:r>
      <w:r>
        <w:rPr>
          <w:snapToGrid w:val="0"/>
        </w:rPr>
        <w:tab/>
        <w:t>Functions of Council</w:t>
      </w:r>
      <w:bookmarkEnd w:id="209"/>
      <w:bookmarkEnd w:id="210"/>
      <w:bookmarkEnd w:id="211"/>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keepNext/>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w:t>
      </w:r>
      <w:r>
        <w:t xml:space="preserve"> Act or law.</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by No. 25 of 2004 s. 5; No. 3 of 2010 s. 11.]</w:t>
      </w:r>
    </w:p>
    <w:p>
      <w:pPr>
        <w:pStyle w:val="Heading5"/>
      </w:pPr>
      <w:bookmarkStart w:id="212" w:name="_Toc257386412"/>
      <w:bookmarkStart w:id="213" w:name="_Toc258417973"/>
      <w:bookmarkStart w:id="214" w:name="_Toc274303768"/>
      <w:bookmarkStart w:id="215" w:name="_Toc418485437"/>
      <w:bookmarkStart w:id="216" w:name="_Toc139338626"/>
      <w:r>
        <w:rPr>
          <w:rStyle w:val="CharSectno"/>
        </w:rPr>
        <w:t>12A</w:t>
      </w:r>
      <w:r>
        <w:t>.</w:t>
      </w:r>
      <w:r>
        <w:tab/>
        <w:t>Cooperation with authorities in other jurisdictions</w:t>
      </w:r>
      <w:bookmarkEnd w:id="212"/>
      <w:bookmarkEnd w:id="213"/>
      <w:bookmarkEnd w:id="214"/>
    </w:p>
    <w:p>
      <w:pPr>
        <w:pStyle w:val="Subsection"/>
      </w:pPr>
      <w:r>
        <w:tab/>
      </w:r>
      <w:r>
        <w:tab/>
        <w:t xml:space="preserve">For the purpose of dealing with a scheme that operates, or indicates an intention to operate, as a scheme of both this jurisdiction and another jurisdiction, the Council — </w:t>
      </w:r>
    </w:p>
    <w:p>
      <w:pPr>
        <w:pStyle w:val="Indenta"/>
      </w:pPr>
      <w:r>
        <w:tab/>
        <w:t>(a)</w:t>
      </w:r>
      <w:r>
        <w:tab/>
        <w:t>may, in the exercise of its functions under this Act, act in conjunction with the appropriate Council for the other jurisdiction; and</w:t>
      </w:r>
    </w:p>
    <w:p>
      <w:pPr>
        <w:pStyle w:val="Indenta"/>
        <w:keepNext/>
        <w:keepLines/>
      </w:pPr>
      <w:r>
        <w:tab/>
        <w:t>(b)</w:t>
      </w:r>
      <w:r>
        <w:tab/>
        <w:t>may act in conjunction with the appropriate Council for the other jurisdiction in the exercise of that Council’s functions under the corresponding law of that jurisdiction.</w:t>
      </w:r>
    </w:p>
    <w:p>
      <w:pPr>
        <w:pStyle w:val="Footnotesection"/>
      </w:pPr>
      <w:r>
        <w:tab/>
        <w:t>[Section 12A inserted by No. 3 of 2010 s. 12.]</w:t>
      </w:r>
    </w:p>
    <w:p>
      <w:pPr>
        <w:pStyle w:val="Heading5"/>
        <w:rPr>
          <w:snapToGrid w:val="0"/>
        </w:rPr>
      </w:pPr>
      <w:bookmarkStart w:id="217" w:name="_Toc274303769"/>
      <w:r>
        <w:rPr>
          <w:rStyle w:val="CharSectno"/>
        </w:rPr>
        <w:t>13</w:t>
      </w:r>
      <w:r>
        <w:rPr>
          <w:snapToGrid w:val="0"/>
        </w:rPr>
        <w:t>.</w:t>
      </w:r>
      <w:r>
        <w:rPr>
          <w:snapToGrid w:val="0"/>
        </w:rPr>
        <w:tab/>
        <w:t>Requirement to supply information</w:t>
      </w:r>
      <w:bookmarkEnd w:id="215"/>
      <w:bookmarkEnd w:id="216"/>
      <w:bookmarkEnd w:id="217"/>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218" w:name="_Toc139338627"/>
      <w:bookmarkStart w:id="219" w:name="_Toc274303770"/>
      <w:bookmarkStart w:id="220" w:name="_Toc418485438"/>
      <w:r>
        <w:rPr>
          <w:rStyle w:val="CharSectno"/>
        </w:rPr>
        <w:t>13A</w:t>
      </w:r>
      <w:r>
        <w:t>.</w:t>
      </w:r>
      <w:r>
        <w:tab/>
        <w:t>Referral of complaints</w:t>
      </w:r>
      <w:bookmarkEnd w:id="218"/>
      <w:bookmarkEnd w:id="219"/>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221" w:name="_Toc139338628"/>
      <w:bookmarkStart w:id="222" w:name="_Toc274303771"/>
      <w:r>
        <w:rPr>
          <w:rStyle w:val="CharSectno"/>
        </w:rPr>
        <w:t>14</w:t>
      </w:r>
      <w:r>
        <w:rPr>
          <w:snapToGrid w:val="0"/>
        </w:rPr>
        <w:t>.</w:t>
      </w:r>
      <w:r>
        <w:rPr>
          <w:snapToGrid w:val="0"/>
        </w:rPr>
        <w:tab/>
        <w:t>Committees of Council</w:t>
      </w:r>
      <w:bookmarkEnd w:id="220"/>
      <w:bookmarkEnd w:id="221"/>
      <w:bookmarkEnd w:id="222"/>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223" w:name="_Toc84237329"/>
      <w:bookmarkStart w:id="224" w:name="_Toc84308760"/>
      <w:bookmarkStart w:id="225" w:name="_Toc89584266"/>
      <w:bookmarkStart w:id="226" w:name="_Toc89584455"/>
      <w:bookmarkStart w:id="227" w:name="_Toc94348668"/>
      <w:bookmarkStart w:id="228" w:name="_Toc94418932"/>
      <w:bookmarkStart w:id="229" w:name="_Toc95890584"/>
      <w:bookmarkStart w:id="230" w:name="_Toc95894109"/>
      <w:bookmarkStart w:id="231" w:name="_Toc97618189"/>
      <w:bookmarkStart w:id="232" w:name="_Toc97622561"/>
      <w:bookmarkStart w:id="233" w:name="_Toc98316116"/>
      <w:bookmarkStart w:id="234" w:name="_Toc98320714"/>
      <w:bookmarkStart w:id="235" w:name="_Toc98648032"/>
      <w:bookmarkStart w:id="236" w:name="_Toc101842681"/>
      <w:bookmarkStart w:id="237" w:name="_Toc102369298"/>
      <w:bookmarkStart w:id="238" w:name="_Toc102453114"/>
      <w:bookmarkStart w:id="239" w:name="_Toc102538315"/>
      <w:bookmarkStart w:id="240" w:name="_Toc139338629"/>
      <w:bookmarkStart w:id="241" w:name="_Toc139338739"/>
      <w:bookmarkStart w:id="242" w:name="_Toc139338852"/>
      <w:bookmarkStart w:id="243" w:name="_Toc139434211"/>
      <w:bookmarkStart w:id="244" w:name="_Toc139439164"/>
      <w:bookmarkStart w:id="245" w:name="_Toc139439274"/>
      <w:bookmarkStart w:id="246" w:name="_Toc139439235"/>
      <w:bookmarkStart w:id="247" w:name="_Toc157997502"/>
      <w:bookmarkStart w:id="248" w:name="_Toc158000448"/>
      <w:bookmarkStart w:id="249" w:name="_Toc241056407"/>
      <w:bookmarkStart w:id="250" w:name="_Toc258420332"/>
      <w:bookmarkStart w:id="251" w:name="_Toc258424803"/>
      <w:bookmarkStart w:id="252" w:name="_Toc259529948"/>
      <w:bookmarkStart w:id="253" w:name="_Toc259530071"/>
      <w:bookmarkStart w:id="254" w:name="_Toc263761837"/>
      <w:bookmarkStart w:id="255" w:name="_Toc263856326"/>
      <w:bookmarkStart w:id="256" w:name="_Toc263856450"/>
      <w:bookmarkStart w:id="257" w:name="_Toc274303772"/>
      <w:r>
        <w:rPr>
          <w:rStyle w:val="CharDivNo"/>
        </w:rPr>
        <w:t>Division 4</w:t>
      </w:r>
      <w:r>
        <w:rPr>
          <w:snapToGrid w:val="0"/>
        </w:rPr>
        <w:t> — </w:t>
      </w:r>
      <w:r>
        <w:rPr>
          <w:rStyle w:val="CharDivText"/>
        </w:rPr>
        <w:t>Administrative provisions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418485439"/>
      <w:bookmarkStart w:id="259" w:name="_Toc139338630"/>
      <w:bookmarkStart w:id="260" w:name="_Toc274303773"/>
      <w:r>
        <w:rPr>
          <w:rStyle w:val="CharSectno"/>
        </w:rPr>
        <w:t>15</w:t>
      </w:r>
      <w:r>
        <w:rPr>
          <w:snapToGrid w:val="0"/>
        </w:rPr>
        <w:t>.</w:t>
      </w:r>
      <w:r>
        <w:rPr>
          <w:snapToGrid w:val="0"/>
        </w:rPr>
        <w:tab/>
        <w:t>Use of outside staff and facilities</w:t>
      </w:r>
      <w:bookmarkEnd w:id="258"/>
      <w:bookmarkEnd w:id="259"/>
      <w:bookmarkEnd w:id="260"/>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261" w:name="_Toc418485440"/>
      <w:bookmarkStart w:id="262" w:name="_Toc139338631"/>
      <w:bookmarkStart w:id="263" w:name="_Toc274303774"/>
      <w:r>
        <w:rPr>
          <w:rStyle w:val="CharSectno"/>
        </w:rPr>
        <w:t>16</w:t>
      </w:r>
      <w:r>
        <w:rPr>
          <w:snapToGrid w:val="0"/>
        </w:rPr>
        <w:t>.</w:t>
      </w:r>
      <w:r>
        <w:rPr>
          <w:snapToGrid w:val="0"/>
        </w:rPr>
        <w:tab/>
        <w:t>Funds</w:t>
      </w:r>
      <w:bookmarkEnd w:id="261"/>
      <w:bookmarkEnd w:id="262"/>
      <w:bookmarkEnd w:id="263"/>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keepNext/>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t xml:space="preserve">An account called the Professional Standards Council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Account referred to in subsection (2) is to be charged with the cost of the administration of this Act.</w:t>
      </w:r>
    </w:p>
    <w:p>
      <w:pPr>
        <w:pStyle w:val="Footnotesection"/>
      </w:pPr>
      <w:r>
        <w:tab/>
        <w:t>[Section 16 amended by No. 28 of 2006 s. 41; No. 77 of 2006 Sch. 1 cl. 134(1) and (2).]</w:t>
      </w:r>
    </w:p>
    <w:p>
      <w:pPr>
        <w:pStyle w:val="Heading5"/>
        <w:rPr>
          <w:snapToGrid w:val="0"/>
        </w:rPr>
      </w:pPr>
      <w:bookmarkStart w:id="264" w:name="_Toc418485441"/>
      <w:bookmarkStart w:id="265" w:name="_Toc139338632"/>
      <w:bookmarkStart w:id="266" w:name="_Toc274303775"/>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264"/>
      <w:bookmarkEnd w:id="265"/>
      <w:bookmarkEnd w:id="266"/>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Subsection"/>
      </w:pPr>
      <w:bookmarkStart w:id="267" w:name="_Toc418485442"/>
      <w:r>
        <w:tab/>
        <w:t>(2)</w:t>
      </w:r>
      <w:r>
        <w:tab/>
        <w:t xml:space="preserve">An annual report submitted by the accountable authority of the Council under the </w:t>
      </w:r>
      <w:r>
        <w:rPr>
          <w:i/>
          <w:iCs/>
        </w:rPr>
        <w:t xml:space="preserve">Financial Management Act 2006 </w:t>
      </w:r>
      <w:r>
        <w:t>Part 5 is to include details of any forums conducted by the Council under section 12(1)(h), and any committees established by the Council under section 14, during the financial year to which the report relates.</w:t>
      </w:r>
    </w:p>
    <w:p>
      <w:pPr>
        <w:pStyle w:val="Footnotesection"/>
      </w:pPr>
      <w:r>
        <w:tab/>
        <w:t>[Section 17 amended by No. 74 of 2003 s. 95; No. 77 of 2006 Sch. 1 cl. 134(3); No. 3 of 2010 s. 25.]</w:t>
      </w:r>
    </w:p>
    <w:p>
      <w:pPr>
        <w:pStyle w:val="Heading5"/>
        <w:rPr>
          <w:snapToGrid w:val="0"/>
        </w:rPr>
      </w:pPr>
      <w:bookmarkStart w:id="268" w:name="_Toc139338633"/>
      <w:bookmarkStart w:id="269" w:name="_Toc274303776"/>
      <w:r>
        <w:rPr>
          <w:rStyle w:val="CharSectno"/>
        </w:rPr>
        <w:t>18</w:t>
      </w:r>
      <w:r>
        <w:rPr>
          <w:snapToGrid w:val="0"/>
        </w:rPr>
        <w:t>.</w:t>
      </w:r>
      <w:r>
        <w:rPr>
          <w:snapToGrid w:val="0"/>
        </w:rPr>
        <w:tab/>
        <w:t>Minister to have access to information</w:t>
      </w:r>
      <w:bookmarkEnd w:id="267"/>
      <w:bookmarkEnd w:id="268"/>
      <w:bookmarkEnd w:id="26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Heading5"/>
        <w:rPr>
          <w:snapToGrid w:val="0"/>
        </w:rPr>
      </w:pPr>
      <w:bookmarkStart w:id="270" w:name="_Toc418485443"/>
      <w:bookmarkStart w:id="271" w:name="_Toc139338634"/>
      <w:bookmarkStart w:id="272" w:name="_Toc274303777"/>
      <w:r>
        <w:rPr>
          <w:rStyle w:val="CharSectno"/>
        </w:rPr>
        <w:t>19</w:t>
      </w:r>
      <w:r>
        <w:rPr>
          <w:snapToGrid w:val="0"/>
        </w:rPr>
        <w:t>.</w:t>
      </w:r>
      <w:r>
        <w:rPr>
          <w:snapToGrid w:val="0"/>
        </w:rPr>
        <w:tab/>
        <w:t>Minister may give directions</w:t>
      </w:r>
      <w:bookmarkEnd w:id="270"/>
      <w:bookmarkEnd w:id="271"/>
      <w:bookmarkEnd w:id="272"/>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keepLines/>
      </w:pPr>
      <w:r>
        <w:rPr>
          <w:snapToGrid w:val="0"/>
        </w:rPr>
        <w:tab/>
        <w:t>(2)</w:t>
      </w:r>
      <w:r>
        <w:rPr>
          <w:snapToGrid w:val="0"/>
        </w:rPr>
        <w:tab/>
        <w:t xml:space="preserve">The text of any direction given under subsection (1) shall be included in the annual report submitted by the accountable authority of the Council under </w:t>
      </w:r>
      <w:r>
        <w:t xml:space="preserve">Part 5 of the </w:t>
      </w:r>
      <w:r>
        <w:rPr>
          <w:i/>
        </w:rPr>
        <w:t>Financial Management Act 2006</w:t>
      </w:r>
      <w:r>
        <w:t>.</w:t>
      </w:r>
    </w:p>
    <w:p>
      <w:pPr>
        <w:pStyle w:val="Footnotesection"/>
      </w:pPr>
      <w:r>
        <w:tab/>
        <w:t>[Section 19 amended by No. 77 of 2006 Sch. 1 cl. 134(4).]</w:t>
      </w:r>
    </w:p>
    <w:p>
      <w:pPr>
        <w:pStyle w:val="Heading2"/>
      </w:pPr>
      <w:bookmarkStart w:id="273" w:name="_Toc84237335"/>
      <w:bookmarkStart w:id="274" w:name="_Toc84308766"/>
      <w:bookmarkStart w:id="275" w:name="_Toc89584272"/>
      <w:bookmarkStart w:id="276" w:name="_Toc89584461"/>
      <w:bookmarkStart w:id="277" w:name="_Toc94348674"/>
      <w:bookmarkStart w:id="278" w:name="_Toc94418938"/>
      <w:bookmarkStart w:id="279" w:name="_Toc95890590"/>
      <w:bookmarkStart w:id="280" w:name="_Toc95894115"/>
      <w:bookmarkStart w:id="281" w:name="_Toc97618195"/>
      <w:bookmarkStart w:id="282" w:name="_Toc97622567"/>
      <w:bookmarkStart w:id="283" w:name="_Toc98316122"/>
      <w:bookmarkStart w:id="284" w:name="_Toc98320720"/>
      <w:bookmarkStart w:id="285" w:name="_Toc98648038"/>
      <w:bookmarkStart w:id="286" w:name="_Toc101842687"/>
      <w:bookmarkStart w:id="287" w:name="_Toc102369304"/>
      <w:bookmarkStart w:id="288" w:name="_Toc102453120"/>
      <w:bookmarkStart w:id="289" w:name="_Toc102538321"/>
      <w:bookmarkStart w:id="290" w:name="_Toc139338635"/>
      <w:bookmarkStart w:id="291" w:name="_Toc139338745"/>
      <w:bookmarkStart w:id="292" w:name="_Toc139338858"/>
      <w:bookmarkStart w:id="293" w:name="_Toc139434217"/>
      <w:bookmarkStart w:id="294" w:name="_Toc139439170"/>
      <w:bookmarkStart w:id="295" w:name="_Toc139439280"/>
      <w:bookmarkStart w:id="296" w:name="_Toc139439241"/>
      <w:bookmarkStart w:id="297" w:name="_Toc157997508"/>
      <w:bookmarkStart w:id="298" w:name="_Toc158000454"/>
      <w:bookmarkStart w:id="299" w:name="_Toc241056413"/>
      <w:bookmarkStart w:id="300" w:name="_Toc258420338"/>
      <w:bookmarkStart w:id="301" w:name="_Toc258424809"/>
      <w:bookmarkStart w:id="302" w:name="_Toc259529954"/>
      <w:bookmarkStart w:id="303" w:name="_Toc259530077"/>
      <w:bookmarkStart w:id="304" w:name="_Toc263761843"/>
      <w:bookmarkStart w:id="305" w:name="_Toc263856332"/>
      <w:bookmarkStart w:id="306" w:name="_Toc263856456"/>
      <w:bookmarkStart w:id="307" w:name="_Toc274303778"/>
      <w:r>
        <w:rPr>
          <w:rStyle w:val="CharPartNo"/>
        </w:rPr>
        <w:t>Part 3</w:t>
      </w:r>
      <w:r>
        <w:t> — </w:t>
      </w:r>
      <w:r>
        <w:rPr>
          <w:rStyle w:val="CharPartText"/>
        </w:rPr>
        <w:t>Limitation of liability</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3"/>
        <w:rPr>
          <w:snapToGrid w:val="0"/>
        </w:rPr>
      </w:pPr>
      <w:bookmarkStart w:id="308" w:name="_Toc84237336"/>
      <w:bookmarkStart w:id="309" w:name="_Toc84308767"/>
      <w:bookmarkStart w:id="310" w:name="_Toc89584273"/>
      <w:bookmarkStart w:id="311" w:name="_Toc89584462"/>
      <w:bookmarkStart w:id="312" w:name="_Toc94348675"/>
      <w:bookmarkStart w:id="313" w:name="_Toc94418939"/>
      <w:bookmarkStart w:id="314" w:name="_Toc95890591"/>
      <w:bookmarkStart w:id="315" w:name="_Toc95894116"/>
      <w:bookmarkStart w:id="316" w:name="_Toc97618196"/>
      <w:bookmarkStart w:id="317" w:name="_Toc97622568"/>
      <w:bookmarkStart w:id="318" w:name="_Toc98316123"/>
      <w:bookmarkStart w:id="319" w:name="_Toc98320721"/>
      <w:bookmarkStart w:id="320" w:name="_Toc98648039"/>
      <w:bookmarkStart w:id="321" w:name="_Toc101842688"/>
      <w:bookmarkStart w:id="322" w:name="_Toc102369305"/>
      <w:bookmarkStart w:id="323" w:name="_Toc102453121"/>
      <w:bookmarkStart w:id="324" w:name="_Toc102538322"/>
      <w:bookmarkStart w:id="325" w:name="_Toc139338636"/>
      <w:bookmarkStart w:id="326" w:name="_Toc139338746"/>
      <w:bookmarkStart w:id="327" w:name="_Toc139338859"/>
      <w:bookmarkStart w:id="328" w:name="_Toc139434218"/>
      <w:bookmarkStart w:id="329" w:name="_Toc139439171"/>
      <w:bookmarkStart w:id="330" w:name="_Toc139439281"/>
      <w:bookmarkStart w:id="331" w:name="_Toc139439242"/>
      <w:bookmarkStart w:id="332" w:name="_Toc157997509"/>
      <w:bookmarkStart w:id="333" w:name="_Toc158000455"/>
      <w:bookmarkStart w:id="334" w:name="_Toc241056414"/>
      <w:bookmarkStart w:id="335" w:name="_Toc258420339"/>
      <w:bookmarkStart w:id="336" w:name="_Toc258424810"/>
      <w:bookmarkStart w:id="337" w:name="_Toc259529955"/>
      <w:bookmarkStart w:id="338" w:name="_Toc259530078"/>
      <w:bookmarkStart w:id="339" w:name="_Toc263761844"/>
      <w:bookmarkStart w:id="340" w:name="_Toc263856333"/>
      <w:bookmarkStart w:id="341" w:name="_Toc263856457"/>
      <w:bookmarkStart w:id="342" w:name="_Toc274303779"/>
      <w:r>
        <w:rPr>
          <w:rStyle w:val="CharDivNo"/>
        </w:rPr>
        <w:t>Division 1</w:t>
      </w:r>
      <w:r>
        <w:rPr>
          <w:snapToGrid w:val="0"/>
        </w:rPr>
        <w:t> — </w:t>
      </w:r>
      <w:r>
        <w:rPr>
          <w:rStyle w:val="CharDivText"/>
        </w:rPr>
        <w:t>Making, amending and revoking schemes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18485444"/>
      <w:bookmarkStart w:id="344" w:name="_Toc139338637"/>
      <w:bookmarkStart w:id="345" w:name="_Toc274303780"/>
      <w:r>
        <w:rPr>
          <w:rStyle w:val="CharSectno"/>
        </w:rPr>
        <w:t>20</w:t>
      </w:r>
      <w:r>
        <w:rPr>
          <w:snapToGrid w:val="0"/>
        </w:rPr>
        <w:t>.</w:t>
      </w:r>
      <w:r>
        <w:rPr>
          <w:snapToGrid w:val="0"/>
        </w:rPr>
        <w:tab/>
        <w:t>Preparation and approval</w:t>
      </w:r>
      <w:bookmarkEnd w:id="343"/>
      <w:bookmarkEnd w:id="344"/>
      <w:bookmarkEnd w:id="345"/>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Subsection"/>
      </w:pPr>
      <w:bookmarkStart w:id="346" w:name="_Toc418485445"/>
      <w:bookmarkStart w:id="347" w:name="_Toc139338638"/>
      <w:r>
        <w:tab/>
        <w:t>(4)</w:t>
      </w:r>
      <w:r>
        <w:tab/>
        <w:t>A scheme prepared under this section may indicate an intention to operate as a scheme of this jurisdiction only, or of this jurisdiction and another jurisdiction.</w:t>
      </w:r>
    </w:p>
    <w:p>
      <w:pPr>
        <w:pStyle w:val="Footnotesection"/>
      </w:pPr>
      <w:r>
        <w:tab/>
        <w:t>[Section 20 amended by No. 3 of 2010 s. 13.]</w:t>
      </w:r>
    </w:p>
    <w:p>
      <w:pPr>
        <w:pStyle w:val="Heading5"/>
        <w:rPr>
          <w:snapToGrid w:val="0"/>
        </w:rPr>
      </w:pPr>
      <w:bookmarkStart w:id="348" w:name="_Toc274303781"/>
      <w:r>
        <w:rPr>
          <w:rStyle w:val="CharSectno"/>
        </w:rPr>
        <w:t>21</w:t>
      </w:r>
      <w:r>
        <w:rPr>
          <w:snapToGrid w:val="0"/>
        </w:rPr>
        <w:t>.</w:t>
      </w:r>
      <w:r>
        <w:rPr>
          <w:snapToGrid w:val="0"/>
        </w:rPr>
        <w:tab/>
        <w:t>Notifying the public</w:t>
      </w:r>
      <w:bookmarkEnd w:id="346"/>
      <w:bookmarkEnd w:id="347"/>
      <w:bookmarkEnd w:id="348"/>
      <w:r>
        <w:rPr>
          <w:snapToGrid w:val="0"/>
        </w:rPr>
        <w:t xml:space="preserve"> </w:t>
      </w:r>
    </w:p>
    <w:p>
      <w:pPr>
        <w:pStyle w:val="Subsection"/>
        <w:rPr>
          <w:snapToGrid w:val="0"/>
        </w:rPr>
      </w:pPr>
      <w:r>
        <w:rPr>
          <w:snapToGrid w:val="0"/>
        </w:rPr>
        <w:tab/>
        <w:t>(1)</w:t>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Subsection"/>
      </w:pPr>
      <w:bookmarkStart w:id="349" w:name="_Toc418485446"/>
      <w:bookmarkStart w:id="350" w:name="_Toc139338639"/>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 to the approval of a scheme prepared in that jurisdiction.</w:t>
      </w:r>
    </w:p>
    <w:p>
      <w:pPr>
        <w:pStyle w:val="Footnotesection"/>
      </w:pPr>
      <w:r>
        <w:tab/>
        <w:t>[Section 21 amended by No. 3 of 2010 s. 14.]</w:t>
      </w:r>
    </w:p>
    <w:p>
      <w:pPr>
        <w:pStyle w:val="Heading5"/>
        <w:rPr>
          <w:snapToGrid w:val="0"/>
        </w:rPr>
      </w:pPr>
      <w:bookmarkStart w:id="351" w:name="_Toc274303782"/>
      <w:r>
        <w:rPr>
          <w:rStyle w:val="CharSectno"/>
        </w:rPr>
        <w:t>22</w:t>
      </w:r>
      <w:r>
        <w:rPr>
          <w:snapToGrid w:val="0"/>
        </w:rPr>
        <w:t>.</w:t>
      </w:r>
      <w:r>
        <w:rPr>
          <w:snapToGrid w:val="0"/>
        </w:rPr>
        <w:tab/>
        <w:t>Public comments and submissions</w:t>
      </w:r>
      <w:bookmarkEnd w:id="349"/>
      <w:bookmarkEnd w:id="350"/>
      <w:bookmarkEnd w:id="351"/>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352" w:name="_Toc418485447"/>
      <w:bookmarkStart w:id="353" w:name="_Toc139338640"/>
      <w:bookmarkStart w:id="354" w:name="_Toc274303783"/>
      <w:r>
        <w:rPr>
          <w:rStyle w:val="CharSectno"/>
        </w:rPr>
        <w:t>23</w:t>
      </w:r>
      <w:r>
        <w:rPr>
          <w:snapToGrid w:val="0"/>
        </w:rPr>
        <w:t>.</w:t>
      </w:r>
      <w:r>
        <w:rPr>
          <w:snapToGrid w:val="0"/>
        </w:rPr>
        <w:tab/>
        <w:t>Matters to be considered by Council before approval</w:t>
      </w:r>
      <w:bookmarkEnd w:id="352"/>
      <w:bookmarkEnd w:id="353"/>
      <w:bookmarkEnd w:id="354"/>
      <w:r>
        <w:rPr>
          <w:snapToGrid w:val="0"/>
        </w:rPr>
        <w:t xml:space="preserve"> </w:t>
      </w:r>
    </w:p>
    <w:p>
      <w:pPr>
        <w:pStyle w:val="Subsection"/>
        <w:keepNext/>
        <w:rPr>
          <w:snapToGrid w:val="0"/>
        </w:rPr>
      </w:pPr>
      <w:r>
        <w:rPr>
          <w:snapToGrid w:val="0"/>
        </w:rPr>
        <w:tab/>
        <w:t>(1)</w:t>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Subsection"/>
      </w:pPr>
      <w:bookmarkStart w:id="355" w:name="_Toc418485448"/>
      <w:bookmarkStart w:id="356" w:name="_Toc139338641"/>
      <w:r>
        <w:tab/>
        <w:t>(2)</w:t>
      </w:r>
      <w:r>
        <w:tab/>
        <w:t xml:space="preserve">If the scheme indicates an intention to operate as a scheme of both this jurisdiction and another jurisdiction — </w:t>
      </w:r>
    </w:p>
    <w:p>
      <w:pPr>
        <w:pStyle w:val="Indenta"/>
      </w:pPr>
      <w:r>
        <w:tab/>
        <w:t>(a)</w:t>
      </w:r>
      <w:r>
        <w:tab/>
        <w:t>the Council must also consider any matter that the appropriate Council for the other jurisdiction would have to consider under the provisions of the corresponding law of that jurisdiction that relate to the approval of a scheme prepared in that jurisdiction; and</w:t>
      </w:r>
    </w:p>
    <w:p>
      <w:pPr>
        <w:pStyle w:val="Indenta"/>
      </w:pPr>
      <w:r>
        <w:tab/>
        <w:t>(b)</w:t>
      </w:r>
      <w:r>
        <w:tab/>
        <w:t>the matters to be considered by the Council, whether under subsection (1) or paragraph (a), are to be considered in the context of each of the jurisdictions concerned.</w:t>
      </w:r>
    </w:p>
    <w:p>
      <w:pPr>
        <w:pStyle w:val="Footnotesection"/>
      </w:pPr>
      <w:r>
        <w:tab/>
        <w:t>[Section 23 amended by No. 3 of 2010 s. 15.]</w:t>
      </w:r>
    </w:p>
    <w:p>
      <w:pPr>
        <w:pStyle w:val="Heading5"/>
        <w:rPr>
          <w:snapToGrid w:val="0"/>
        </w:rPr>
      </w:pPr>
      <w:bookmarkStart w:id="357" w:name="_Toc274303784"/>
      <w:r>
        <w:rPr>
          <w:rStyle w:val="CharSectno"/>
        </w:rPr>
        <w:t>24</w:t>
      </w:r>
      <w:r>
        <w:rPr>
          <w:snapToGrid w:val="0"/>
        </w:rPr>
        <w:t>.</w:t>
      </w:r>
      <w:r>
        <w:rPr>
          <w:snapToGrid w:val="0"/>
        </w:rPr>
        <w:tab/>
        <w:t>Public hearings</w:t>
      </w:r>
      <w:bookmarkEnd w:id="355"/>
      <w:bookmarkEnd w:id="356"/>
      <w:bookmarkEnd w:id="357"/>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358" w:name="_Toc418485449"/>
      <w:bookmarkStart w:id="359" w:name="_Toc139338642"/>
      <w:bookmarkStart w:id="360" w:name="_Toc274303785"/>
      <w:r>
        <w:rPr>
          <w:rStyle w:val="CharSectno"/>
        </w:rPr>
        <w:t>25</w:t>
      </w:r>
      <w:r>
        <w:rPr>
          <w:snapToGrid w:val="0"/>
        </w:rPr>
        <w:t>.</w:t>
      </w:r>
      <w:r>
        <w:rPr>
          <w:snapToGrid w:val="0"/>
        </w:rPr>
        <w:tab/>
        <w:t>Council may submit approved schemes to Minister</w:t>
      </w:r>
      <w:bookmarkEnd w:id="358"/>
      <w:bookmarkEnd w:id="359"/>
      <w:bookmarkEnd w:id="360"/>
      <w:r>
        <w:rPr>
          <w:snapToGrid w:val="0"/>
        </w:rPr>
        <w:t xml:space="preserve"> </w:t>
      </w:r>
    </w:p>
    <w:p>
      <w:pPr>
        <w:pStyle w:val="Subsection"/>
        <w:rPr>
          <w:snapToGrid w:val="0"/>
        </w:rPr>
      </w:pPr>
      <w:r>
        <w:rPr>
          <w:snapToGrid w:val="0"/>
        </w:rPr>
        <w:tab/>
        <w:t>(1)</w:t>
      </w:r>
      <w:r>
        <w:rPr>
          <w:snapToGrid w:val="0"/>
        </w:rPr>
        <w:tab/>
        <w:t>The Council may submit a scheme approved by it to the Minister.</w:t>
      </w:r>
    </w:p>
    <w:p>
      <w:pPr>
        <w:pStyle w:val="Subsection"/>
      </w:pPr>
      <w:bookmarkStart w:id="361" w:name="_Toc418485450"/>
      <w:bookmarkStart w:id="362" w:name="_Toc139338643"/>
      <w:r>
        <w:tab/>
        <w:t>(2)</w:t>
      </w:r>
      <w:r>
        <w:tab/>
        <w:t>If the scheme indicates an intention to operate as a scheme of both this jurisdiction and another jurisdiction, the Council may also submit the scheme to the Minister administering the corresponding law of the other jurisdiction.</w:t>
      </w:r>
    </w:p>
    <w:p>
      <w:pPr>
        <w:pStyle w:val="Footnotesection"/>
      </w:pPr>
      <w:r>
        <w:tab/>
        <w:t>[Section 25 amended by No. 3 of 2010 s. 16.]</w:t>
      </w:r>
    </w:p>
    <w:p>
      <w:pPr>
        <w:pStyle w:val="Heading5"/>
        <w:rPr>
          <w:snapToGrid w:val="0"/>
        </w:rPr>
      </w:pPr>
      <w:bookmarkStart w:id="363" w:name="_Toc274303786"/>
      <w:r>
        <w:rPr>
          <w:rStyle w:val="CharSectno"/>
        </w:rPr>
        <w:t>26</w:t>
      </w:r>
      <w:r>
        <w:rPr>
          <w:snapToGrid w:val="0"/>
        </w:rPr>
        <w:t>.</w:t>
      </w:r>
      <w:r>
        <w:rPr>
          <w:snapToGrid w:val="0"/>
        </w:rPr>
        <w:tab/>
        <w:t>Minister may gazette scheme</w:t>
      </w:r>
      <w:bookmarkEnd w:id="361"/>
      <w:bookmarkEnd w:id="362"/>
      <w:r>
        <w:rPr>
          <w:snapToGrid w:val="0"/>
        </w:rPr>
        <w:t>s</w:t>
      </w:r>
      <w:bookmarkEnd w:id="363"/>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w:t>
      </w:r>
      <w:r>
        <w:t xml:space="preserve"> Council or, in the case of an interstate scheme, by the appropriate Council for the jurisdiction in which the scheme was prepared.</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Subsection"/>
      </w:pPr>
      <w:bookmarkStart w:id="364" w:name="_Toc139338644"/>
      <w:bookmarkStart w:id="365" w:name="_Toc418485452"/>
      <w:r>
        <w:tab/>
        <w:t>(3)</w:t>
      </w:r>
      <w:r>
        <w:tab/>
        <w:t>In this section, a reference to an interstate scheme includes a reference to an instrument amending an interstate scheme.</w:t>
      </w:r>
    </w:p>
    <w:p>
      <w:pPr>
        <w:pStyle w:val="Footnotesection"/>
      </w:pPr>
      <w:r>
        <w:tab/>
        <w:t>[Section 26 amended by No. 3 of 2010 s. 17.]</w:t>
      </w:r>
    </w:p>
    <w:p>
      <w:pPr>
        <w:pStyle w:val="Heading5"/>
      </w:pPr>
      <w:bookmarkStart w:id="366" w:name="_Toc274303787"/>
      <w:r>
        <w:rPr>
          <w:rStyle w:val="CharSectno"/>
        </w:rPr>
        <w:t>27</w:t>
      </w:r>
      <w:r>
        <w:t>.</w:t>
      </w:r>
      <w:r>
        <w:tab/>
        <w:t>Commencement of schemes</w:t>
      </w:r>
      <w:bookmarkEnd w:id="364"/>
      <w:bookmarkEnd w:id="366"/>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 and any order made by the Supreme Court of another jurisdiction under the corresponding law of that jurisdiction.</w:t>
      </w:r>
    </w:p>
    <w:p>
      <w:pPr>
        <w:pStyle w:val="Subsection"/>
      </w:pPr>
      <w:r>
        <w:tab/>
        <w:t>(3)</w:t>
      </w:r>
      <w:r>
        <w:tab/>
        <w:t>In this section, a reference to a scheme includes, in the case of an interstate scheme, a reference to an instrument amending that scheme.</w:t>
      </w:r>
    </w:p>
    <w:p>
      <w:pPr>
        <w:pStyle w:val="Footnotesection"/>
      </w:pPr>
      <w:r>
        <w:tab/>
        <w:t>[Section 27 inserted by No. 25 of 2004 s. 10; amended by No. 3 of 2010 s. 18.]</w:t>
      </w:r>
    </w:p>
    <w:p>
      <w:pPr>
        <w:pStyle w:val="Heading5"/>
        <w:rPr>
          <w:snapToGrid w:val="0"/>
        </w:rPr>
      </w:pPr>
      <w:bookmarkStart w:id="367" w:name="_Toc139338645"/>
      <w:bookmarkStart w:id="368" w:name="_Toc274303788"/>
      <w:r>
        <w:rPr>
          <w:rStyle w:val="CharSectno"/>
        </w:rPr>
        <w:t>28</w:t>
      </w:r>
      <w:r>
        <w:rPr>
          <w:snapToGrid w:val="0"/>
        </w:rPr>
        <w:t>.</w:t>
      </w:r>
      <w:r>
        <w:rPr>
          <w:snapToGrid w:val="0"/>
        </w:rPr>
        <w:tab/>
        <w:t>Challenges to schemes</w:t>
      </w:r>
      <w:bookmarkEnd w:id="365"/>
      <w:bookmarkEnd w:id="367"/>
      <w:bookmarkEnd w:id="368"/>
      <w:r>
        <w:rPr>
          <w:snapToGrid w:val="0"/>
        </w:rPr>
        <w:t xml:space="preserve"> </w:t>
      </w:r>
    </w:p>
    <w:p>
      <w:pPr>
        <w:pStyle w:val="Subsection"/>
      </w:pPr>
      <w:r>
        <w:tab/>
        <w:t>(1A)</w:t>
      </w:r>
      <w:r>
        <w:tab/>
        <w:t xml:space="preserve">In this section — </w:t>
      </w:r>
    </w:p>
    <w:p>
      <w:pPr>
        <w:pStyle w:val="Defstart"/>
      </w:pPr>
      <w:r>
        <w:tab/>
      </w:r>
      <w:r>
        <w:rPr>
          <w:rStyle w:val="CharDefText"/>
        </w:rPr>
        <w:t>scheme</w:t>
      </w:r>
      <w:r>
        <w:t>, in the case of an interstate scheme, includes an instrument amending that scheme.</w:t>
      </w:r>
    </w:p>
    <w:p>
      <w:pPr>
        <w:pStyle w:val="Subsection"/>
        <w:rPr>
          <w:snapToGrid w:val="0"/>
        </w:rPr>
      </w:pPr>
      <w:r>
        <w:rPr>
          <w:snapToGrid w:val="0"/>
        </w:rPr>
        <w:tab/>
        <w:t>(1)</w:t>
      </w:r>
      <w:r>
        <w:rPr>
          <w:snapToGrid w:val="0"/>
        </w:rPr>
        <w:tab/>
        <w:t xml:space="preserve">A person who is or is reasonably likely to be affected by a scheme published as referred to in section 26 </w:t>
      </w:r>
      <w:r>
        <w:t xml:space="preserve">(including a person who is or is reasonably likely to be affected by a scheme that operates as a scheme of another jurisdiction) </w:t>
      </w:r>
      <w:r>
        <w:rPr>
          <w:snapToGrid w:val="0"/>
        </w:rPr>
        <w:t>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Subsection"/>
      </w:pPr>
      <w:bookmarkStart w:id="369" w:name="_Toc139338646"/>
      <w:r>
        <w:tab/>
        <w:t>(4)</w:t>
      </w:r>
      <w:r>
        <w:tab/>
        <w:t>The Court may not make an order that an interstate scheme is void for want of compliance with this Act on the ground that the scheme fails to comply with Division 2, but may do so on the ground that the scheme fails to comply with the provisions of the corresponding law of the jurisdiction in which it was prepared that relate to the contents of schemes prepared in that jurisdiction.</w:t>
      </w:r>
    </w:p>
    <w:p>
      <w:pPr>
        <w:pStyle w:val="Subsection"/>
      </w:pPr>
      <w:r>
        <w:tab/>
        <w:t>(5)</w:t>
      </w:r>
      <w:r>
        <w:tab/>
        <w:t>This section does not prevent a scheme from being challenged or called into question otherwise than under this section.</w:t>
      </w:r>
    </w:p>
    <w:p>
      <w:pPr>
        <w:pStyle w:val="Footnotesection"/>
      </w:pPr>
      <w:r>
        <w:tab/>
        <w:t>[Section 28 amended by No. 3 of 2010 s. 19.]</w:t>
      </w:r>
    </w:p>
    <w:p>
      <w:pPr>
        <w:pStyle w:val="Heading5"/>
        <w:spacing w:before="180"/>
      </w:pPr>
      <w:bookmarkStart w:id="370" w:name="_Toc274303789"/>
      <w:r>
        <w:rPr>
          <w:rStyle w:val="CharSectno"/>
        </w:rPr>
        <w:t>29</w:t>
      </w:r>
      <w:r>
        <w:t>.</w:t>
      </w:r>
      <w:r>
        <w:tab/>
        <w:t>Review of schemes</w:t>
      </w:r>
      <w:bookmarkEnd w:id="369"/>
      <w:bookmarkEnd w:id="370"/>
    </w:p>
    <w:p>
      <w:pPr>
        <w:pStyle w:val="Subsection"/>
        <w:spacing w:before="120"/>
      </w:pPr>
      <w:r>
        <w:tab/>
        <w:t>(1)</w:t>
      </w:r>
      <w:r>
        <w:tab/>
        <w:t>The Minister may direct the Council to review the operation of a scheme.</w:t>
      </w:r>
    </w:p>
    <w:p>
      <w:pPr>
        <w:pStyle w:val="Subsection"/>
        <w:spacing w:before="120"/>
      </w:pPr>
      <w:r>
        <w:tab/>
        <w:t>(2)</w:t>
      </w:r>
      <w:r>
        <w:tab/>
        <w:t>The Council must comply with any direction under subsection (1) but may on its own initiative at any time (whether before or after the scheme ceases to have effect) review the operation of a scheme.</w:t>
      </w:r>
    </w:p>
    <w:p>
      <w:pPr>
        <w:pStyle w:val="Subsection"/>
        <w:spacing w:before="120"/>
      </w:pPr>
      <w:r>
        <w:tab/>
        <w:t>(3)</w:t>
      </w:r>
      <w:r>
        <w:tab/>
        <w:t xml:space="preserve">A review may, but need not, be conducted in order to decide — </w:t>
      </w:r>
    </w:p>
    <w:p>
      <w:pPr>
        <w:pStyle w:val="Indenta"/>
      </w:pPr>
      <w:r>
        <w:tab/>
        <w:t>(a)</w:t>
      </w:r>
      <w:r>
        <w:tab/>
        <w:t>in the case of a scheme prepared under this Act, whether the scheme should be amended or revoked or whether a new scheme should be made; or</w:t>
      </w:r>
    </w:p>
    <w:p>
      <w:pPr>
        <w:pStyle w:val="Indenta"/>
      </w:pPr>
      <w:r>
        <w:tab/>
        <w:t>(b)</w:t>
      </w:r>
      <w:r>
        <w:tab/>
        <w:t>in the case of an interstate scheme, whether the operation of the scheme should be terminated in relation to this jurisdiction.</w:t>
      </w:r>
    </w:p>
    <w:p>
      <w:pPr>
        <w:pStyle w:val="Footnotesection"/>
      </w:pPr>
      <w:r>
        <w:tab/>
        <w:t>[Section 29 inserted by No. 25 of 2004 s. 11; amended by No. 3 of 2010 s. 20.]</w:t>
      </w:r>
    </w:p>
    <w:p>
      <w:pPr>
        <w:pStyle w:val="Heading5"/>
      </w:pPr>
      <w:bookmarkStart w:id="371" w:name="_Toc139338647"/>
      <w:bookmarkStart w:id="372" w:name="_Toc274303790"/>
      <w:r>
        <w:rPr>
          <w:rStyle w:val="CharSectno"/>
        </w:rPr>
        <w:t>29A</w:t>
      </w:r>
      <w:r>
        <w:t>.</w:t>
      </w:r>
      <w:r>
        <w:tab/>
        <w:t>Amendment and revocation of schemes</w:t>
      </w:r>
      <w:bookmarkEnd w:id="371"/>
      <w:bookmarkEnd w:id="372"/>
    </w:p>
    <w:p>
      <w:pPr>
        <w:pStyle w:val="Subsection"/>
      </w:pPr>
      <w:r>
        <w:tab/>
        <w:t>(1)</w:t>
      </w:r>
      <w:r>
        <w:tab/>
        <w:t>An occupational association may prepare an instrument amending or revoking a scheme that relates to its members.</w:t>
      </w:r>
    </w:p>
    <w:p>
      <w:pPr>
        <w:pStyle w:val="Subsection"/>
      </w:pPr>
      <w:r>
        <w:tab/>
        <w:t>(2)</w:t>
      </w:r>
      <w:r>
        <w:tab/>
        <w:t>The Council may, on the application of an occupational association, prepare or approve an instrument amending or revoking a scheme that relates to the members of the association.</w:t>
      </w:r>
    </w:p>
    <w:p>
      <w:pPr>
        <w:pStyle w:val="Subsection"/>
      </w:pPr>
      <w:r>
        <w:tab/>
        <w:t>(3)</w:t>
      </w:r>
      <w:r>
        <w:tab/>
        <w:t>The Minister may direct the Council to prepare an instrument amending or revoking a scheme.</w:t>
      </w:r>
    </w:p>
    <w:p>
      <w:pPr>
        <w:pStyle w:val="Subsection"/>
      </w:pPr>
      <w:r>
        <w:tab/>
        <w:t>(4)</w:t>
      </w:r>
      <w:r>
        <w:tab/>
        <w:t>The Council must comply with any direction under subsection (3) but may on its own initiative, at any time while the scheme remains in force, prepare an instrument amending or revoking a scheme.</w:t>
      </w:r>
    </w:p>
    <w:p>
      <w:pPr>
        <w:pStyle w:val="Subsection"/>
      </w:pPr>
      <w:bookmarkStart w:id="373" w:name="_Toc84237347"/>
      <w:bookmarkStart w:id="374" w:name="_Toc84308778"/>
      <w:bookmarkStart w:id="375" w:name="_Toc89584284"/>
      <w:bookmarkStart w:id="376" w:name="_Toc89584473"/>
      <w:r>
        <w:tab/>
        <w:t>(5)</w:t>
      </w:r>
      <w:r>
        <w:tab/>
        <w:t>The provisions of sections 20 to 28 extend, with any necessary modifications, to the amendment of a scheme by an instrument under this section.</w:t>
      </w:r>
    </w:p>
    <w:p>
      <w:pPr>
        <w:pStyle w:val="Subsection"/>
      </w:pPr>
      <w:r>
        <w:tab/>
        <w:t>(6)</w:t>
      </w:r>
      <w:r>
        <w:tab/>
        <w:t>The provisions of sections 20 to 27 (other than section 25(2)) extend, with any necessary modifications, to the revocation of a scheme by an instrument under this section.</w:t>
      </w:r>
    </w:p>
    <w:p>
      <w:pPr>
        <w:pStyle w:val="Subsection"/>
      </w:pPr>
      <w:r>
        <w:tab/>
        <w:t>(7)</w:t>
      </w:r>
      <w:r>
        <w:tab/>
        <w:t>The amendment or revocation of a scheme does not affect a right or liability arising during the application of the scheme to members of an occupational association before the amendment or revocation.</w:t>
      </w:r>
    </w:p>
    <w:p>
      <w:pPr>
        <w:pStyle w:val="Subsection"/>
      </w:pPr>
      <w:r>
        <w:tab/>
        <w:t>(8)</w:t>
      </w:r>
      <w:r>
        <w:tab/>
        <w:t>This section does not apply to an interstate scheme.</w:t>
      </w:r>
    </w:p>
    <w:p>
      <w:pPr>
        <w:pStyle w:val="Footnotesection"/>
      </w:pPr>
      <w:r>
        <w:tab/>
        <w:t>[Section 29A inserted by No. 25 of 2004 s. 11; amended by No. 3 of 2010 s. 21.]</w:t>
      </w:r>
    </w:p>
    <w:p>
      <w:pPr>
        <w:pStyle w:val="Heading5"/>
      </w:pPr>
      <w:bookmarkStart w:id="377" w:name="_Toc257386423"/>
      <w:bookmarkStart w:id="378" w:name="_Toc258417984"/>
      <w:bookmarkStart w:id="379" w:name="_Toc274303791"/>
      <w:bookmarkStart w:id="380" w:name="_Toc94348689"/>
      <w:bookmarkStart w:id="381" w:name="_Toc94418951"/>
      <w:bookmarkStart w:id="382" w:name="_Toc95890603"/>
      <w:bookmarkStart w:id="383" w:name="_Toc95894128"/>
      <w:bookmarkStart w:id="384" w:name="_Toc97618208"/>
      <w:bookmarkStart w:id="385" w:name="_Toc97622580"/>
      <w:bookmarkStart w:id="386" w:name="_Toc98316135"/>
      <w:bookmarkStart w:id="387" w:name="_Toc98320733"/>
      <w:bookmarkStart w:id="388" w:name="_Toc98648051"/>
      <w:bookmarkStart w:id="389" w:name="_Toc101842700"/>
      <w:bookmarkStart w:id="390" w:name="_Toc102369317"/>
      <w:bookmarkStart w:id="391" w:name="_Toc102453133"/>
      <w:bookmarkStart w:id="392" w:name="_Toc102538334"/>
      <w:bookmarkStart w:id="393" w:name="_Toc139338648"/>
      <w:bookmarkStart w:id="394" w:name="_Toc139338758"/>
      <w:bookmarkStart w:id="395" w:name="_Toc139338871"/>
      <w:bookmarkStart w:id="396" w:name="_Toc139434230"/>
      <w:bookmarkStart w:id="397" w:name="_Toc139439183"/>
      <w:bookmarkStart w:id="398" w:name="_Toc139439293"/>
      <w:bookmarkStart w:id="399" w:name="_Toc139439366"/>
      <w:bookmarkStart w:id="400" w:name="_Toc157997521"/>
      <w:bookmarkStart w:id="401" w:name="_Toc158000467"/>
      <w:bookmarkStart w:id="402" w:name="_Toc241056426"/>
      <w:r>
        <w:rPr>
          <w:rStyle w:val="CharSectno"/>
        </w:rPr>
        <w:t>30A</w:t>
      </w:r>
      <w:r>
        <w:t>.</w:t>
      </w:r>
      <w:r>
        <w:tab/>
        <w:t>Notification of revocation of schemes</w:t>
      </w:r>
      <w:bookmarkEnd w:id="377"/>
      <w:bookmarkEnd w:id="378"/>
      <w:bookmarkEnd w:id="379"/>
    </w:p>
    <w:p>
      <w:pPr>
        <w:pStyle w:val="Subsection"/>
      </w:pPr>
      <w:r>
        <w:tab/>
        <w:t>(1)</w:t>
      </w:r>
      <w:r>
        <w:tab/>
        <w:t xml:space="preserve">On publication in the </w:t>
      </w:r>
      <w:r>
        <w:rPr>
          <w:i/>
          <w:iCs/>
        </w:rPr>
        <w:t>Gazette</w:t>
      </w:r>
      <w:r>
        <w:t xml:space="preserve"> of an instrument revoking a scheme (other than an interstate scheme) that operates as a scheme of another jurisdiction, the Minister must cause notice of that fact to be given to the Minister administering the corresponding law of that jurisdiction.</w:t>
      </w:r>
    </w:p>
    <w:p>
      <w:pPr>
        <w:pStyle w:val="Subsection"/>
      </w:pPr>
      <w:r>
        <w:tab/>
        <w:t>(2)</w:t>
      </w:r>
      <w:r>
        <w:tab/>
        <w:t xml:space="preserve">On receipt of notice that an interstate scheme has been revoked under the corresponding law of the jurisdiction in which it was prepared, the Minister must cause a statement to that effect to be published in the </w:t>
      </w:r>
      <w:r>
        <w:rPr>
          <w:i/>
          <w:iCs/>
        </w:rPr>
        <w:t>Gazette</w:t>
      </w:r>
      <w:r>
        <w:t>.</w:t>
      </w:r>
    </w:p>
    <w:p>
      <w:pPr>
        <w:pStyle w:val="Footnotesection"/>
      </w:pPr>
      <w:bookmarkStart w:id="403" w:name="_Toc257386424"/>
      <w:bookmarkStart w:id="404" w:name="_Toc258417985"/>
      <w:r>
        <w:tab/>
        <w:t>[Section 30A inserted by No. 3 of 2010 s. 22.]</w:t>
      </w:r>
    </w:p>
    <w:p>
      <w:pPr>
        <w:pStyle w:val="Heading5"/>
      </w:pPr>
      <w:bookmarkStart w:id="405" w:name="_Toc274303792"/>
      <w:r>
        <w:rPr>
          <w:rStyle w:val="CharSectno"/>
        </w:rPr>
        <w:t>30B</w:t>
      </w:r>
      <w:r>
        <w:t>.</w:t>
      </w:r>
      <w:r>
        <w:tab/>
        <w:t>Termination of operation of interstate schemes in this jurisdiction</w:t>
      </w:r>
      <w:bookmarkEnd w:id="403"/>
      <w:bookmarkEnd w:id="404"/>
      <w:bookmarkEnd w:id="405"/>
    </w:p>
    <w:p>
      <w:pPr>
        <w:pStyle w:val="Subsection"/>
      </w:pPr>
      <w:r>
        <w:tab/>
        <w:t>(1)</w:t>
      </w:r>
      <w:r>
        <w:tab/>
        <w:t>The Council may, on the application of an occupational association, prepare an instrument terminating, in relation to this jurisdiction, the operation of an interstate scheme that relates to members of the association.</w:t>
      </w:r>
    </w:p>
    <w:p>
      <w:pPr>
        <w:pStyle w:val="Subsection"/>
      </w:pPr>
      <w:r>
        <w:tab/>
        <w:t>(2)</w:t>
      </w:r>
      <w:r>
        <w:tab/>
        <w:t>The Minister may direct the Council to prepare an instrument terminating the operation of an interstate scheme in relation to this jurisdiction.</w:t>
      </w:r>
    </w:p>
    <w:p>
      <w:pPr>
        <w:pStyle w:val="Subsection"/>
      </w:pPr>
      <w:r>
        <w:tab/>
        <w:t>(3)</w:t>
      </w:r>
      <w:r>
        <w:tab/>
        <w:t>The Council must comply with any direction under subsection (2) but may on its own initiative, at any time while an interstate scheme remains in force, prepare an instrument terminating the operation of the scheme in relation to this jurisdiction.</w:t>
      </w:r>
    </w:p>
    <w:p>
      <w:pPr>
        <w:pStyle w:val="Subsection"/>
      </w:pPr>
      <w:r>
        <w:tab/>
        <w:t>(4)</w:t>
      </w:r>
      <w:r>
        <w:tab/>
        <w:t>The provisions of sections 21 to 26 (other than section 25(2)) extend, with any necessary modifications, to the termination of the operation of an interstate scheme under an instrument under this section.</w:t>
      </w:r>
    </w:p>
    <w:p>
      <w:pPr>
        <w:pStyle w:val="Subsection"/>
      </w:pPr>
      <w:r>
        <w:tab/>
        <w:t>(5)</w:t>
      </w:r>
      <w:r>
        <w:tab/>
        <w:t xml:space="preserve">The operation of an interstate scheme in respect of which an instrument under this section is published under section 26 (as applied by subsection (4)) is terminated, in relation to this jurisdiction, as from — </w:t>
      </w:r>
    </w:p>
    <w:p>
      <w:pPr>
        <w:pStyle w:val="Indenta"/>
      </w:pPr>
      <w:r>
        <w:tab/>
        <w:t>(a)</w:t>
      </w:r>
      <w:r>
        <w:tab/>
        <w:t>a day specified in the instrument, being a day that is later than the day of its publication; or</w:t>
      </w:r>
    </w:p>
    <w:p>
      <w:pPr>
        <w:pStyle w:val="Indenta"/>
      </w:pPr>
      <w:r>
        <w:tab/>
        <w:t>(b)</w:t>
      </w:r>
      <w:r>
        <w:tab/>
        <w:t>if no day is specified, 2 months after the day of its publication.</w:t>
      </w:r>
    </w:p>
    <w:p>
      <w:pPr>
        <w:pStyle w:val="Footnotesection"/>
      </w:pPr>
      <w:r>
        <w:tab/>
        <w:t>[Section 30B inserted by No. 3 of 2010 s. 22.]</w:t>
      </w:r>
    </w:p>
    <w:p>
      <w:pPr>
        <w:pStyle w:val="Heading3"/>
        <w:rPr>
          <w:snapToGrid w:val="0"/>
        </w:rPr>
      </w:pPr>
      <w:bookmarkStart w:id="406" w:name="_Toc258420353"/>
      <w:bookmarkStart w:id="407" w:name="_Toc258424824"/>
      <w:bookmarkStart w:id="408" w:name="_Toc259529969"/>
      <w:bookmarkStart w:id="409" w:name="_Toc259530092"/>
      <w:bookmarkStart w:id="410" w:name="_Toc263761858"/>
      <w:bookmarkStart w:id="411" w:name="_Toc263856347"/>
      <w:bookmarkStart w:id="412" w:name="_Toc263856471"/>
      <w:bookmarkStart w:id="413" w:name="_Toc274303793"/>
      <w:r>
        <w:rPr>
          <w:rStyle w:val="CharDivNo"/>
        </w:rPr>
        <w:t>Division 2</w:t>
      </w:r>
      <w:r>
        <w:rPr>
          <w:snapToGrid w:val="0"/>
        </w:rPr>
        <w:t> — </w:t>
      </w:r>
      <w:r>
        <w:rPr>
          <w:rStyle w:val="CharDivText"/>
        </w:rPr>
        <w:t>Contents of schemes</w:t>
      </w:r>
      <w:bookmarkEnd w:id="373"/>
      <w:bookmarkEnd w:id="374"/>
      <w:bookmarkEnd w:id="375"/>
      <w:bookmarkEnd w:id="376"/>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6"/>
      <w:bookmarkEnd w:id="407"/>
      <w:bookmarkEnd w:id="408"/>
      <w:bookmarkEnd w:id="409"/>
      <w:bookmarkEnd w:id="410"/>
      <w:bookmarkEnd w:id="411"/>
      <w:bookmarkEnd w:id="412"/>
      <w:bookmarkEnd w:id="413"/>
      <w:r>
        <w:rPr>
          <w:rStyle w:val="CharDivText"/>
        </w:rPr>
        <w:t xml:space="preserve"> </w:t>
      </w:r>
    </w:p>
    <w:p>
      <w:pPr>
        <w:pStyle w:val="Heading5"/>
      </w:pPr>
      <w:bookmarkStart w:id="414" w:name="_Toc139338649"/>
      <w:bookmarkStart w:id="415" w:name="_Toc274303794"/>
      <w:bookmarkStart w:id="416" w:name="_Toc418485456"/>
      <w:r>
        <w:rPr>
          <w:rStyle w:val="CharSectno"/>
        </w:rPr>
        <w:t>30</w:t>
      </w:r>
      <w:r>
        <w:t>.</w:t>
      </w:r>
      <w:r>
        <w:tab/>
        <w:t>Persons to whom scheme applies</w:t>
      </w:r>
      <w:bookmarkEnd w:id="414"/>
      <w:bookmarkEnd w:id="415"/>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417" w:name="_Toc139338650"/>
      <w:bookmarkStart w:id="418" w:name="_Toc274303795"/>
      <w:r>
        <w:rPr>
          <w:rStyle w:val="CharSectno"/>
        </w:rPr>
        <w:t>31</w:t>
      </w:r>
      <w:r>
        <w:t>.</w:t>
      </w:r>
      <w:r>
        <w:tab/>
        <w:t>Officers or partners of persons to whom scheme applies</w:t>
      </w:r>
      <w:bookmarkEnd w:id="417"/>
      <w:bookmarkEnd w:id="418"/>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r>
        <w:rPr>
          <w:rStyle w:val="CharDefText"/>
        </w:rPr>
        <w:t>officer</w:t>
      </w:r>
      <w:r>
        <w:t xml:space="preserve"> — </w:t>
      </w:r>
    </w:p>
    <w:p>
      <w:pPr>
        <w:pStyle w:val="Defpara"/>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rPr>
          <w:lang w:val="en-US"/>
        </w:rPr>
      </w:pPr>
      <w:r>
        <w:rPr>
          <w:lang w:val="en-US"/>
        </w:rPr>
        <w:tab/>
        <w:t>(b)</w:t>
      </w:r>
      <w:r>
        <w:rPr>
          <w:lang w:val="en-US"/>
        </w:rP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12; amended by No. 3 of 2010 s. 26.]</w:t>
      </w:r>
    </w:p>
    <w:p>
      <w:pPr>
        <w:pStyle w:val="Heading5"/>
        <w:rPr>
          <w:snapToGrid w:val="0"/>
        </w:rPr>
      </w:pPr>
      <w:bookmarkStart w:id="419" w:name="_Toc139338651"/>
      <w:bookmarkStart w:id="420" w:name="_Toc274303796"/>
      <w:r>
        <w:rPr>
          <w:rStyle w:val="CharSectno"/>
        </w:rPr>
        <w:t>32</w:t>
      </w:r>
      <w:r>
        <w:rPr>
          <w:snapToGrid w:val="0"/>
        </w:rPr>
        <w:t>.</w:t>
      </w:r>
      <w:r>
        <w:rPr>
          <w:snapToGrid w:val="0"/>
        </w:rPr>
        <w:tab/>
        <w:t>Employees of persons to whom scheme</w:t>
      </w:r>
      <w:bookmarkEnd w:id="416"/>
      <w:bookmarkEnd w:id="419"/>
      <w:r>
        <w:rPr>
          <w:snapToGrid w:val="0"/>
        </w:rPr>
        <w:t xml:space="preserve"> applies</w:t>
      </w:r>
      <w:bookmarkEnd w:id="420"/>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421" w:name="_Toc418485457"/>
      <w:bookmarkStart w:id="422" w:name="_Toc139338652"/>
      <w:bookmarkStart w:id="423" w:name="_Toc274303797"/>
      <w:r>
        <w:rPr>
          <w:rStyle w:val="CharSectno"/>
        </w:rPr>
        <w:t>33</w:t>
      </w:r>
      <w:r>
        <w:rPr>
          <w:snapToGrid w:val="0"/>
        </w:rPr>
        <w:t>.</w:t>
      </w:r>
      <w:r>
        <w:rPr>
          <w:snapToGrid w:val="0"/>
        </w:rPr>
        <w:tab/>
        <w:t>Other persons to whom scheme</w:t>
      </w:r>
      <w:bookmarkEnd w:id="421"/>
      <w:bookmarkEnd w:id="422"/>
      <w:r>
        <w:rPr>
          <w:snapToGrid w:val="0"/>
        </w:rPr>
        <w:t xml:space="preserve"> applies</w:t>
      </w:r>
      <w:bookmarkEnd w:id="423"/>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pPr>
      <w:bookmarkStart w:id="424" w:name="_Toc257386431"/>
      <w:bookmarkStart w:id="425" w:name="_Toc258417992"/>
      <w:bookmarkStart w:id="426" w:name="_Toc274303798"/>
      <w:bookmarkStart w:id="427" w:name="_Toc418485458"/>
      <w:bookmarkStart w:id="428" w:name="_Toc139338653"/>
      <w:r>
        <w:rPr>
          <w:rStyle w:val="CharSectno"/>
        </w:rPr>
        <w:t>34A</w:t>
      </w:r>
      <w:r>
        <w:t>.</w:t>
      </w:r>
      <w:r>
        <w:tab/>
        <w:t>Extension of liability limitation to other persons to whom scheme applies</w:t>
      </w:r>
      <w:bookmarkEnd w:id="424"/>
      <w:bookmarkEnd w:id="425"/>
      <w:bookmarkEnd w:id="426"/>
    </w:p>
    <w:p>
      <w:pPr>
        <w:pStyle w:val="Subsection"/>
      </w:pPr>
      <w:r>
        <w:tab/>
        <w:t>(1)</w:t>
      </w:r>
      <w:r>
        <w:tab/>
        <w:t xml:space="preserve">In this section — </w:t>
      </w:r>
    </w:p>
    <w:p>
      <w:pPr>
        <w:pStyle w:val="Defstart"/>
      </w:pPr>
      <w:r>
        <w:rPr>
          <w:b/>
        </w:rPr>
        <w:tab/>
      </w:r>
      <w:r>
        <w:rPr>
          <w:rStyle w:val="CharDefText"/>
        </w:rPr>
        <w:t>associate</w:t>
      </w:r>
      <w:r>
        <w:rPr>
          <w:bCs/>
        </w:rPr>
        <w:t xml:space="preserve">, </w:t>
      </w:r>
      <w:r>
        <w:t>of a person, means someone who is associated with the person under the regulations referred to in section 42(4)(b);</w:t>
      </w:r>
    </w:p>
    <w:p>
      <w:pPr>
        <w:pStyle w:val="Defstart"/>
        <w:rPr>
          <w:b/>
        </w:rPr>
      </w:pPr>
      <w:r>
        <w:rPr>
          <w:b/>
        </w:rPr>
        <w:tab/>
      </w:r>
      <w:r>
        <w:rPr>
          <w:rStyle w:val="CharDefText"/>
        </w:rPr>
        <w:t>officer</w:t>
      </w:r>
      <w:r>
        <w:rPr>
          <w:bCs/>
        </w:rPr>
        <w:t> —</w:t>
      </w:r>
      <w:r>
        <w:rPr>
          <w:b/>
        </w:rPr>
        <w:t xml:space="preserve"> </w:t>
      </w:r>
    </w:p>
    <w:p>
      <w:pPr>
        <w:pStyle w:val="Defpara"/>
        <w:spacing w:before="60"/>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spacing w:before="60"/>
      </w:pPr>
      <w:r>
        <w:tab/>
        <w:t>(b)</w:t>
      </w:r>
      <w:r>
        <w:tab/>
        <w:t>in relation to a body corporate that is not a corporation as so defined, means any person (by whatever name called) who is concerned in or takes part in the management of the body corporate.</w:t>
      </w:r>
    </w:p>
    <w:p>
      <w:pPr>
        <w:pStyle w:val="Subsection"/>
        <w:spacing w:before="120"/>
      </w:pPr>
      <w:r>
        <w:tab/>
        <w:t>(2)</w:t>
      </w:r>
      <w:r>
        <w:tab/>
        <w:t xml:space="preserve">limitation that applies under this Act to the occupational liability of a person as a member of an occupational association in respect of a cause of action (the </w:t>
      </w:r>
      <w:r>
        <w:rPr>
          <w:rStyle w:val="CharDefText"/>
        </w:rPr>
        <w:t>principal cause of action</w:t>
      </w:r>
      <w:r>
        <w:t>) also applies, in respect of the principal cause of action and any related cause of action, to the liability of any other person to whom the scheme concerned applies as a partner, officer, employee or associate of the member (whether or not the other person’s liability is an occupational liability).</w:t>
      </w:r>
    </w:p>
    <w:p>
      <w:pPr>
        <w:pStyle w:val="Subsection"/>
        <w:spacing w:before="120"/>
      </w:pPr>
      <w:r>
        <w:tab/>
        <w:t>(3)</w:t>
      </w:r>
      <w:r>
        <w:tab/>
        <w:t xml:space="preserve">A </w:t>
      </w:r>
      <w:r>
        <w:rPr>
          <w:rStyle w:val="CharDefText"/>
        </w:rPr>
        <w:t>related cause of action</w:t>
      </w:r>
      <w:r>
        <w:t xml:space="preserve"> is a cause of action in respect of civil liability of the other person arising (in tort, contract or otherwise) directly or vicariously from anything done or omitted by that person that caused or contributed to the loss or damage with which the principal cause of action is concerned and that resulted from the same or substantially the same event as that from which the principal cause of action arose.</w:t>
      </w:r>
    </w:p>
    <w:p>
      <w:pPr>
        <w:pStyle w:val="Subsection"/>
        <w:spacing w:before="120"/>
      </w:pPr>
      <w:r>
        <w:tab/>
        <w:t>(4)</w:t>
      </w:r>
      <w:r>
        <w:tab/>
        <w:t xml:space="preserve">When this section refers to a person who is a </w:t>
      </w:r>
      <w:r>
        <w:rPr>
          <w:rStyle w:val="CharDefText"/>
        </w:rPr>
        <w:t>partner, officer, employee or associate of a member</w:t>
      </w:r>
      <w:r>
        <w:t xml:space="preserve"> of an occupational association it refers to a person who was such a partner, officer, employee or associate at the time of the event that gave rise to the principal cause of action.</w:t>
      </w:r>
    </w:p>
    <w:p>
      <w:pPr>
        <w:pStyle w:val="Subsection"/>
        <w:spacing w:before="120"/>
      </w:pPr>
      <w:r>
        <w:tab/>
        <w:t>(5)</w:t>
      </w:r>
      <w:r>
        <w:tab/>
        <w:t xml:space="preserve">When this section refers to a </w:t>
      </w:r>
      <w:r>
        <w:rPr>
          <w:rStyle w:val="CharDefText"/>
        </w:rPr>
        <w:t>limitation on liability</w:t>
      </w:r>
      <w:r>
        <w:t xml:space="preserve"> that applies to a person as a member of an occupational association it includes a limitation on liability that would apply to the person if a cause of action relating to the liability were brought against the person.</w:t>
      </w:r>
    </w:p>
    <w:p>
      <w:pPr>
        <w:pStyle w:val="Footnotesection"/>
        <w:spacing w:before="80"/>
        <w:ind w:left="890" w:hanging="890"/>
      </w:pPr>
      <w:r>
        <w:tab/>
        <w:t>[Section 34A inserted by No. 3 of 2010 s. 27.]</w:t>
      </w:r>
    </w:p>
    <w:p>
      <w:pPr>
        <w:pStyle w:val="Heading5"/>
      </w:pPr>
      <w:bookmarkStart w:id="429" w:name="_Toc257386402"/>
      <w:bookmarkStart w:id="430" w:name="_Toc258417963"/>
      <w:bookmarkStart w:id="431" w:name="_Toc274303799"/>
      <w:bookmarkStart w:id="432" w:name="_Toc418485459"/>
      <w:bookmarkStart w:id="433" w:name="_Toc139338654"/>
      <w:bookmarkEnd w:id="427"/>
      <w:bookmarkEnd w:id="428"/>
      <w:r>
        <w:rPr>
          <w:rStyle w:val="CharSectno"/>
        </w:rPr>
        <w:t>34</w:t>
      </w:r>
      <w:r>
        <w:t>.</w:t>
      </w:r>
      <w:r>
        <w:tab/>
        <w:t>Limitation of liability by insurance arrangements</w:t>
      </w:r>
      <w:bookmarkEnd w:id="429"/>
      <w:bookmarkEnd w:id="430"/>
      <w:bookmarkEnd w:id="431"/>
    </w:p>
    <w:p>
      <w:pPr>
        <w:pStyle w:val="Subsection"/>
      </w:pPr>
      <w:r>
        <w:tab/>
      </w:r>
      <w:r>
        <w:tab/>
        <w:t xml:space="preserve">A scheme may provide that if a person to whom the scheme applies and against whom a proceeding relating to occupational liability is brought is able to satisfy the court concerned that — </w:t>
      </w:r>
    </w:p>
    <w:p>
      <w:pPr>
        <w:pStyle w:val="Indenta"/>
      </w:pPr>
      <w:r>
        <w:tab/>
        <w:t>(a)</w:t>
      </w:r>
      <w:r>
        <w:tab/>
        <w:t>that person has the benefit of an insurance policy insuring that person against the occupational liability to which the cause of action relates; and</w:t>
      </w:r>
    </w:p>
    <w:p>
      <w:pPr>
        <w:pStyle w:val="Indenta"/>
      </w:pPr>
      <w:r>
        <w:tab/>
        <w:t>(b)</w:t>
      </w:r>
      <w:r>
        <w:tab/>
        <w:t>the amount payable under the policy in respect of that occupational liability is not less than the amount of the monetary ceiling specified in the scheme in relation to the class of person and the kind of work to which the cause of action relates,</w:t>
      </w:r>
    </w:p>
    <w:p>
      <w:pPr>
        <w:pStyle w:val="Subsection"/>
      </w:pPr>
      <w:r>
        <w:tab/>
      </w:r>
      <w:r>
        <w:tab/>
        <w:t>that person is not liable in damages in relation to that cause of action above the amount of the monetary ceiling so specified.</w:t>
      </w:r>
    </w:p>
    <w:p>
      <w:pPr>
        <w:pStyle w:val="Footnotesection"/>
      </w:pPr>
      <w:r>
        <w:tab/>
        <w:t>[Section 34 inserted by No. 3 of 2010 s. 5.]</w:t>
      </w:r>
    </w:p>
    <w:p>
      <w:pPr>
        <w:pStyle w:val="Heading5"/>
        <w:rPr>
          <w:snapToGrid w:val="0"/>
        </w:rPr>
      </w:pPr>
      <w:bookmarkStart w:id="434" w:name="_Toc274303800"/>
      <w:r>
        <w:rPr>
          <w:rStyle w:val="CharSectno"/>
        </w:rPr>
        <w:t>35</w:t>
      </w:r>
      <w:r>
        <w:rPr>
          <w:snapToGrid w:val="0"/>
        </w:rPr>
        <w:t>.</w:t>
      </w:r>
      <w:r>
        <w:rPr>
          <w:snapToGrid w:val="0"/>
        </w:rPr>
        <w:tab/>
        <w:t>Limitation of liability by reference to amounts of business assets</w:t>
      </w:r>
      <w:bookmarkEnd w:id="432"/>
      <w:bookmarkEnd w:id="433"/>
      <w:bookmarkEnd w:id="434"/>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the class of person and the kind of work to which the cause of action relates; 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amount of the monetary ceiling specified in the scheme in relation to the class of person and the kind of work to which the cause of action relates,</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14; No. 3 of 2010 s. 6.]</w:t>
      </w:r>
    </w:p>
    <w:p>
      <w:pPr>
        <w:pStyle w:val="Heading5"/>
        <w:rPr>
          <w:snapToGrid w:val="0"/>
        </w:rPr>
      </w:pPr>
      <w:bookmarkStart w:id="435" w:name="_Toc418485460"/>
      <w:bookmarkStart w:id="436" w:name="_Toc139338655"/>
      <w:bookmarkStart w:id="437" w:name="_Toc274303801"/>
      <w:r>
        <w:rPr>
          <w:rStyle w:val="CharSectno"/>
        </w:rPr>
        <w:t>36</w:t>
      </w:r>
      <w:r>
        <w:rPr>
          <w:snapToGrid w:val="0"/>
        </w:rPr>
        <w:t>.</w:t>
      </w:r>
      <w:r>
        <w:rPr>
          <w:snapToGrid w:val="0"/>
        </w:rPr>
        <w:tab/>
        <w:t>Limitation of liability by multiple of charges</w:t>
      </w:r>
      <w:bookmarkEnd w:id="435"/>
      <w:bookmarkEnd w:id="436"/>
      <w:bookmarkEnd w:id="437"/>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w:t>
      </w:r>
      <w:r>
        <w:t xml:space="preserve"> the occupational liability to which the cause of action relates; and</w:t>
      </w:r>
    </w:p>
    <w:p>
      <w:pPr>
        <w:pStyle w:val="Indenti"/>
      </w:pPr>
      <w:r>
        <w:tab/>
        <w:t>(ii)</w:t>
      </w:r>
      <w:r>
        <w:tab/>
        <w:t xml:space="preserve">under which the amount payable in respect of that occupational liability is not less than an amount (the </w:t>
      </w:r>
      <w:r>
        <w:rPr>
          <w:rStyle w:val="CharDefText"/>
        </w:rPr>
        <w:t>limitation amount</w:t>
      </w:r>
      <w:r>
        <w:t>), being a reasonable charge for the services which were provided by that person, or which that person failed to provide, and to which the cause of action relates, multiplied by the multiple specified in the scheme in relation to the class of person and the kind of work to which the cause of action relates;</w:t>
      </w:r>
    </w:p>
    <w:p>
      <w:pPr>
        <w:pStyle w:val="Indenta"/>
      </w:pPr>
      <w:r>
        <w:tab/>
      </w:r>
      <w:r>
        <w:tab/>
        <w:t>or</w:t>
      </w:r>
    </w:p>
    <w:p>
      <w:pPr>
        <w:pStyle w:val="Indenta"/>
        <w:rPr>
          <w:snapToGrid w:val="0"/>
        </w:rPr>
      </w:pPr>
      <w:r>
        <w:tab/>
        <w:t>(aa)</w:t>
      </w:r>
      <w:r>
        <w:tab/>
        <w:t>that that person</w:t>
      </w:r>
      <w:r>
        <w:rPr>
          <w:snapToGrid w:val="0"/>
        </w:rPr>
        <w:t xml:space="preserve">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limitation amount,</w:t>
      </w:r>
    </w:p>
    <w:p>
      <w:pPr>
        <w:pStyle w:val="Subsection"/>
        <w:rPr>
          <w:snapToGrid w:val="0"/>
        </w:rPr>
      </w:pPr>
      <w:r>
        <w:rPr>
          <w:snapToGrid w:val="0"/>
        </w:rPr>
        <w:tab/>
      </w:r>
      <w:r>
        <w:rPr>
          <w:snapToGrid w:val="0"/>
        </w:rPr>
        <w:tab/>
        <w:t>the person is not liable in damages in relation to that cause of action above the limitation</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15; No. 3 of 2010 s. 7.]</w:t>
      </w:r>
    </w:p>
    <w:p>
      <w:pPr>
        <w:pStyle w:val="Heading5"/>
      </w:pPr>
      <w:bookmarkStart w:id="438" w:name="_Toc139338656"/>
      <w:bookmarkStart w:id="439" w:name="_Toc274303802"/>
      <w:bookmarkStart w:id="440" w:name="_Toc418485462"/>
      <w:r>
        <w:rPr>
          <w:rStyle w:val="CharSectno"/>
        </w:rPr>
        <w:t>37</w:t>
      </w:r>
      <w:r>
        <w:t>.</w:t>
      </w:r>
      <w:r>
        <w:tab/>
        <w:t>Specification of limits of liability and multiples</w:t>
      </w:r>
      <w:bookmarkEnd w:id="438"/>
      <w:bookmarkEnd w:id="439"/>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441" w:name="_Toc139338657"/>
      <w:bookmarkStart w:id="442" w:name="_Toc274303803"/>
      <w:r>
        <w:rPr>
          <w:rStyle w:val="CharSectno"/>
        </w:rPr>
        <w:t>38</w:t>
      </w:r>
      <w:r>
        <w:rPr>
          <w:snapToGrid w:val="0"/>
        </w:rPr>
        <w:t>.</w:t>
      </w:r>
      <w:r>
        <w:rPr>
          <w:snapToGrid w:val="0"/>
        </w:rPr>
        <w:tab/>
        <w:t>Combination of provisions under s. 34, 35 and 36</w:t>
      </w:r>
      <w:bookmarkEnd w:id="440"/>
      <w:bookmarkEnd w:id="441"/>
      <w:bookmarkEnd w:id="442"/>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443" w:name="_Toc418485463"/>
      <w:bookmarkStart w:id="444" w:name="_Toc139338658"/>
      <w:bookmarkStart w:id="445" w:name="_Toc274303804"/>
      <w:r>
        <w:rPr>
          <w:rStyle w:val="CharSectno"/>
        </w:rPr>
        <w:t>39</w:t>
      </w:r>
      <w:r>
        <w:rPr>
          <w:snapToGrid w:val="0"/>
        </w:rPr>
        <w:t>.</w:t>
      </w:r>
      <w:r>
        <w:rPr>
          <w:snapToGrid w:val="0"/>
        </w:rPr>
        <w:tab/>
        <w:t>Liability that cannot be limited by schemes</w:t>
      </w:r>
      <w:bookmarkEnd w:id="443"/>
      <w:bookmarkEnd w:id="444"/>
      <w:bookmarkEnd w:id="445"/>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pPr>
      <w:bookmarkStart w:id="446" w:name="_Toc257386406"/>
      <w:bookmarkStart w:id="447" w:name="_Toc258417967"/>
      <w:bookmarkStart w:id="448" w:name="_Toc274303805"/>
      <w:bookmarkStart w:id="449" w:name="_Toc418485464"/>
      <w:bookmarkStart w:id="450" w:name="_Toc139338659"/>
      <w:r>
        <w:rPr>
          <w:rStyle w:val="CharSectno"/>
        </w:rPr>
        <w:t>40A</w:t>
      </w:r>
      <w:r>
        <w:t>.</w:t>
      </w:r>
      <w:r>
        <w:tab/>
        <w:t>Liability in damages not reduced to below relevant limit</w:t>
      </w:r>
      <w:bookmarkEnd w:id="446"/>
      <w:bookmarkEnd w:id="447"/>
      <w:bookmarkEnd w:id="448"/>
    </w:p>
    <w:p>
      <w:pPr>
        <w:pStyle w:val="Subsection"/>
      </w:pPr>
      <w:r>
        <w:tab/>
      </w:r>
      <w:r>
        <w:tab/>
        <w:t>The liability in damages of a person to whom a scheme applies is not reduced below the relevant limitation imposed by a scheme in force under this Act because the amount available to be paid to the claimant under the insurance policy required for the purposes of this Act in respect of that liability is less than the relevant limitation.</w:t>
      </w:r>
    </w:p>
    <w:p>
      <w:pPr>
        <w:pStyle w:val="Footnotesection"/>
      </w:pPr>
      <w:r>
        <w:tab/>
        <w:t>[Section 40A inserted by No. 3 of 2010 s. 8.]</w:t>
      </w:r>
    </w:p>
    <w:p>
      <w:pPr>
        <w:pStyle w:val="Heading5"/>
        <w:rPr>
          <w:snapToGrid w:val="0"/>
        </w:rPr>
      </w:pPr>
      <w:bookmarkStart w:id="451" w:name="_Toc274303806"/>
      <w:r>
        <w:rPr>
          <w:rStyle w:val="CharSectno"/>
        </w:rPr>
        <w:t>40</w:t>
      </w:r>
      <w:r>
        <w:rPr>
          <w:snapToGrid w:val="0"/>
        </w:rPr>
        <w:t>.</w:t>
      </w:r>
      <w:r>
        <w:rPr>
          <w:snapToGrid w:val="0"/>
        </w:rPr>
        <w:tab/>
        <w:t>Insurance to be of requisite standard</w:t>
      </w:r>
      <w:bookmarkEnd w:id="449"/>
      <w:bookmarkEnd w:id="450"/>
      <w:bookmarkEnd w:id="451"/>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452" w:name="_Toc84237359"/>
      <w:bookmarkStart w:id="453" w:name="_Toc84308790"/>
      <w:bookmarkStart w:id="454" w:name="_Toc89584296"/>
      <w:bookmarkStart w:id="455" w:name="_Toc89584485"/>
      <w:bookmarkStart w:id="456" w:name="_Toc94348704"/>
      <w:bookmarkStart w:id="457" w:name="_Toc94418963"/>
      <w:bookmarkStart w:id="458" w:name="_Toc95890615"/>
      <w:bookmarkStart w:id="459" w:name="_Toc95894140"/>
      <w:bookmarkStart w:id="460" w:name="_Toc97618220"/>
      <w:bookmarkStart w:id="461" w:name="_Toc97622592"/>
      <w:bookmarkStart w:id="462" w:name="_Toc98316147"/>
      <w:bookmarkStart w:id="463" w:name="_Toc98320745"/>
      <w:bookmarkStart w:id="464" w:name="_Toc98648063"/>
      <w:bookmarkStart w:id="465" w:name="_Toc101842712"/>
      <w:bookmarkStart w:id="466" w:name="_Toc102369329"/>
      <w:bookmarkStart w:id="467" w:name="_Toc102453145"/>
      <w:bookmarkStart w:id="468" w:name="_Toc102538346"/>
      <w:bookmarkStart w:id="469" w:name="_Toc139338660"/>
      <w:bookmarkStart w:id="470" w:name="_Toc139338770"/>
      <w:bookmarkStart w:id="471" w:name="_Toc139338883"/>
      <w:bookmarkStart w:id="472" w:name="_Toc139434242"/>
      <w:bookmarkStart w:id="473" w:name="_Toc139439195"/>
      <w:bookmarkStart w:id="474" w:name="_Toc139439305"/>
      <w:bookmarkStart w:id="475" w:name="_Toc139439378"/>
      <w:bookmarkStart w:id="476" w:name="_Toc157997533"/>
      <w:bookmarkStart w:id="477" w:name="_Toc158000479"/>
      <w:bookmarkStart w:id="478" w:name="_Toc241056438"/>
      <w:bookmarkStart w:id="479" w:name="_Toc258420368"/>
      <w:bookmarkStart w:id="480" w:name="_Toc258424838"/>
      <w:bookmarkStart w:id="481" w:name="_Toc259529983"/>
      <w:bookmarkStart w:id="482" w:name="_Toc259530106"/>
      <w:bookmarkStart w:id="483" w:name="_Toc263761872"/>
      <w:bookmarkStart w:id="484" w:name="_Toc263856361"/>
      <w:bookmarkStart w:id="485" w:name="_Toc263856485"/>
      <w:bookmarkStart w:id="486" w:name="_Toc274303807"/>
      <w:r>
        <w:rPr>
          <w:rStyle w:val="CharDivNo"/>
        </w:rPr>
        <w:t>Division 3</w:t>
      </w:r>
      <w:r>
        <w:rPr>
          <w:snapToGrid w:val="0"/>
        </w:rPr>
        <w:t> — </w:t>
      </w:r>
      <w:r>
        <w:rPr>
          <w:rStyle w:val="CharDivText"/>
        </w:rPr>
        <w:t>Effect of schemes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pPr>
      <w:bookmarkStart w:id="487" w:name="_Toc139338661"/>
      <w:bookmarkStart w:id="488" w:name="_Toc274303808"/>
      <w:bookmarkStart w:id="489" w:name="_Toc418485466"/>
      <w:r>
        <w:rPr>
          <w:rStyle w:val="CharSectno"/>
        </w:rPr>
        <w:t>41</w:t>
      </w:r>
      <w:r>
        <w:t>.</w:t>
      </w:r>
      <w:r>
        <w:tab/>
        <w:t>Limit of occupational liability by schemes</w:t>
      </w:r>
      <w:bookmarkEnd w:id="487"/>
      <w:bookmarkEnd w:id="488"/>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at which the act or omission giving rise to the cause of action concerned occurred.</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19; amended by No. 3 of 2010 s. 9.]</w:t>
      </w:r>
    </w:p>
    <w:p>
      <w:pPr>
        <w:pStyle w:val="Heading5"/>
        <w:rPr>
          <w:snapToGrid w:val="0"/>
        </w:rPr>
      </w:pPr>
      <w:bookmarkStart w:id="490" w:name="_Toc139338662"/>
      <w:bookmarkStart w:id="491" w:name="_Toc274303809"/>
      <w:r>
        <w:rPr>
          <w:rStyle w:val="CharSectno"/>
        </w:rPr>
        <w:t>42</w:t>
      </w:r>
      <w:r>
        <w:rPr>
          <w:snapToGrid w:val="0"/>
        </w:rPr>
        <w:t>.</w:t>
      </w:r>
      <w:r>
        <w:rPr>
          <w:snapToGrid w:val="0"/>
        </w:rPr>
        <w:tab/>
        <w:t>Limitation of amount of damages</w:t>
      </w:r>
      <w:bookmarkEnd w:id="489"/>
      <w:bookmarkEnd w:id="490"/>
      <w:bookmarkEnd w:id="491"/>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pPr>
      <w:r>
        <w:tab/>
        <w:t>(ba)</w:t>
      </w:r>
      <w:r>
        <w:tab/>
        <w:t xml:space="preserve">officers of the same body corporate or in the relationship of body corporate and officer of the body corporate (with </w:t>
      </w:r>
      <w:r>
        <w:rPr>
          <w:rStyle w:val="CharDefText"/>
        </w:rPr>
        <w:t>officer</w:t>
      </w:r>
      <w:r>
        <w:t xml:space="preserve"> having the meaning given in section 31); or</w:t>
      </w:r>
    </w:p>
    <w:p>
      <w:pPr>
        <w:pStyle w:val="Indenta"/>
        <w:rPr>
          <w:snapToGrid w:val="0"/>
        </w:rPr>
      </w:pPr>
      <w:r>
        <w:rPr>
          <w:snapToGrid w:val="0"/>
        </w:rPr>
        <w:tab/>
        <w:t>(b)</w:t>
      </w:r>
      <w:r>
        <w:rPr>
          <w:snapToGrid w:val="0"/>
        </w:rPr>
        <w:tab/>
        <w:t>persons who are prescribed by the regulations for the purposes of this subsection.</w:t>
      </w:r>
    </w:p>
    <w:p>
      <w:pPr>
        <w:pStyle w:val="Footnotesection"/>
      </w:pPr>
      <w:bookmarkStart w:id="492" w:name="_Toc418485467"/>
      <w:bookmarkStart w:id="493" w:name="_Toc139338663"/>
      <w:r>
        <w:tab/>
        <w:t>[Section 42 amended by No. 3 of 2010 s. 28.]</w:t>
      </w:r>
    </w:p>
    <w:p>
      <w:pPr>
        <w:pStyle w:val="Heading5"/>
        <w:rPr>
          <w:snapToGrid w:val="0"/>
        </w:rPr>
      </w:pPr>
      <w:bookmarkStart w:id="494" w:name="_Toc274303810"/>
      <w:r>
        <w:rPr>
          <w:rStyle w:val="CharSectno"/>
        </w:rPr>
        <w:t>43</w:t>
      </w:r>
      <w:r>
        <w:rPr>
          <w:snapToGrid w:val="0"/>
        </w:rPr>
        <w:t>.</w:t>
      </w:r>
      <w:r>
        <w:rPr>
          <w:snapToGrid w:val="0"/>
        </w:rPr>
        <w:tab/>
        <w:t>Effect of schemes on other parties to proceedings</w:t>
      </w:r>
      <w:bookmarkEnd w:id="492"/>
      <w:bookmarkEnd w:id="493"/>
      <w:bookmarkEnd w:id="494"/>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495" w:name="_Toc418485468"/>
      <w:bookmarkStart w:id="496" w:name="_Toc139338664"/>
      <w:bookmarkStart w:id="497" w:name="_Toc274303811"/>
      <w:r>
        <w:rPr>
          <w:rStyle w:val="CharSectno"/>
        </w:rPr>
        <w:t>44</w:t>
      </w:r>
      <w:r>
        <w:rPr>
          <w:snapToGrid w:val="0"/>
        </w:rPr>
        <w:t>.</w:t>
      </w:r>
      <w:r>
        <w:rPr>
          <w:snapToGrid w:val="0"/>
        </w:rPr>
        <w:tab/>
        <w:t>Proceedings to which schemes apply</w:t>
      </w:r>
      <w:bookmarkEnd w:id="495"/>
      <w:bookmarkEnd w:id="496"/>
      <w:bookmarkEnd w:id="497"/>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498" w:name="_Toc139338665"/>
      <w:bookmarkStart w:id="499" w:name="_Toc274303812"/>
      <w:bookmarkStart w:id="500" w:name="_Toc418485469"/>
      <w:r>
        <w:rPr>
          <w:rStyle w:val="CharSectno"/>
        </w:rPr>
        <w:t>44A</w:t>
      </w:r>
      <w:r>
        <w:t>.</w:t>
      </w:r>
      <w:r>
        <w:tab/>
        <w:t>Duration of scheme</w:t>
      </w:r>
      <w:bookmarkEnd w:id="498"/>
      <w:r>
        <w:t>s</w:t>
      </w:r>
      <w:bookmarkEnd w:id="499"/>
    </w:p>
    <w:p>
      <w:pPr>
        <w:pStyle w:val="Subsection"/>
      </w:pPr>
      <w:r>
        <w:tab/>
        <w:t>(1)</w:t>
      </w:r>
      <w:r>
        <w:tab/>
        <w:t>A scheme must specify the period (not exceeding 5 years) for which it is to remain in force after its commencement.</w:t>
      </w:r>
    </w:p>
    <w:p>
      <w:pPr>
        <w:pStyle w:val="Subsection"/>
      </w:pPr>
      <w:r>
        <w:tab/>
        <w:t>(2A)</w:t>
      </w:r>
      <w:r>
        <w:tab/>
        <w:t xml:space="preserve">Subject to subsection (2), a scheme (other than an interstate scheme) remains in force until — </w:t>
      </w:r>
    </w:p>
    <w:p>
      <w:pPr>
        <w:pStyle w:val="Indenta"/>
      </w:pPr>
      <w:r>
        <w:tab/>
        <w:t>(a)</w:t>
      </w:r>
      <w:r>
        <w:tab/>
        <w:t>the period specified under subsection (1) ends; or</w:t>
      </w:r>
    </w:p>
    <w:p>
      <w:pPr>
        <w:pStyle w:val="Indenta"/>
      </w:pPr>
      <w:r>
        <w:tab/>
        <w:t>(b)</w:t>
      </w:r>
      <w:r>
        <w:tab/>
        <w:t>the scheme is revoked; or</w:t>
      </w:r>
    </w:p>
    <w:p>
      <w:pPr>
        <w:pStyle w:val="Indenta"/>
      </w:pPr>
      <w:r>
        <w:tab/>
        <w:t>(c)</w:t>
      </w:r>
      <w:r>
        <w:tab/>
        <w:t>the scheme’s operation ceases because of the operation of another Act; or</w:t>
      </w:r>
    </w:p>
    <w:p>
      <w:pPr>
        <w:pStyle w:val="Indenta"/>
      </w:pPr>
      <w:r>
        <w:tab/>
        <w:t>(d)</w:t>
      </w:r>
      <w:r>
        <w:tab/>
        <w:t>the scheme is declared void, either by an order made by the Supreme Court under section 28 or by an order made by the Supreme Court of another jurisdiction under the corresponding law of that jurisdiction; or</w:t>
      </w:r>
    </w:p>
    <w:p>
      <w:pPr>
        <w:pStyle w:val="Indenta"/>
      </w:pPr>
      <w:r>
        <w:tab/>
        <w:t>(e)</w:t>
      </w:r>
      <w:r>
        <w:tab/>
        <w:t xml:space="preserve">the scheme is disallowed under the </w:t>
      </w:r>
      <w:r>
        <w:rPr>
          <w:i/>
          <w:iCs/>
        </w:rPr>
        <w:t>Interpretation Act 1984</w:t>
      </w:r>
      <w:r>
        <w:t xml:space="preserve"> section 42.</w:t>
      </w:r>
    </w:p>
    <w:p>
      <w:pPr>
        <w:pStyle w:val="Subsection"/>
      </w:pPr>
      <w:r>
        <w:tab/>
        <w:t>(2B)</w:t>
      </w:r>
      <w:r>
        <w:tab/>
        <w:t xml:space="preserve">Subject to subsection (2), an interstate scheme remains in force in this jurisdiction until — </w:t>
      </w:r>
    </w:p>
    <w:p>
      <w:pPr>
        <w:pStyle w:val="Indenta"/>
      </w:pPr>
      <w:r>
        <w:tab/>
        <w:t>(a)</w:t>
      </w:r>
      <w:r>
        <w:tab/>
        <w:t>the period specified under subsection (1) ends; or</w:t>
      </w:r>
    </w:p>
    <w:p>
      <w:pPr>
        <w:pStyle w:val="Indenta"/>
      </w:pPr>
      <w:r>
        <w:tab/>
        <w:t>(b)</w:t>
      </w:r>
      <w:r>
        <w:tab/>
        <w:t>the scheme’s operation in relation to this jurisdiction is terminated under section 30B; or</w:t>
      </w:r>
    </w:p>
    <w:p>
      <w:pPr>
        <w:pStyle w:val="Indenta"/>
      </w:pPr>
      <w:r>
        <w:tab/>
        <w:t>(c)</w:t>
      </w:r>
      <w:r>
        <w:tab/>
        <w:t>the scheme ceases to have effect in the jurisdiction in which it was prepared; or</w:t>
      </w:r>
    </w:p>
    <w:p>
      <w:pPr>
        <w:pStyle w:val="Indenta"/>
      </w:pPr>
      <w:r>
        <w:tab/>
        <w:t>(d)</w:t>
      </w:r>
      <w:r>
        <w:tab/>
        <w:t xml:space="preserve">the scheme is disallowed under the </w:t>
      </w:r>
      <w:r>
        <w:rPr>
          <w:i/>
          <w:iCs/>
        </w:rPr>
        <w:t>Interpretation Act 1984</w:t>
      </w:r>
      <w:r>
        <w:t xml:space="preserve"> section 42.</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20; amended by No. 3 of 2010 s. 23.]</w:t>
      </w:r>
    </w:p>
    <w:p>
      <w:pPr>
        <w:pStyle w:val="Heading5"/>
        <w:rPr>
          <w:snapToGrid w:val="0"/>
        </w:rPr>
      </w:pPr>
      <w:bookmarkStart w:id="501" w:name="_Toc139338666"/>
      <w:bookmarkStart w:id="502" w:name="_Toc274303813"/>
      <w:r>
        <w:rPr>
          <w:rStyle w:val="CharSectno"/>
        </w:rPr>
        <w:t>45</w:t>
      </w:r>
      <w:r>
        <w:rPr>
          <w:snapToGrid w:val="0"/>
        </w:rPr>
        <w:t>.</w:t>
      </w:r>
      <w:r>
        <w:rPr>
          <w:snapToGrid w:val="0"/>
        </w:rPr>
        <w:tab/>
        <w:t>Notification of limitation of liability</w:t>
      </w:r>
      <w:bookmarkEnd w:id="500"/>
      <w:bookmarkEnd w:id="501"/>
      <w:bookmarkEnd w:id="502"/>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503" w:name="_Toc84237365"/>
      <w:bookmarkStart w:id="504" w:name="_Toc84308796"/>
      <w:bookmarkStart w:id="505" w:name="_Toc89584302"/>
      <w:bookmarkStart w:id="506" w:name="_Toc89584491"/>
      <w:bookmarkStart w:id="507" w:name="_Toc94348712"/>
      <w:bookmarkStart w:id="508" w:name="_Toc94418970"/>
      <w:bookmarkStart w:id="509" w:name="_Toc95890622"/>
      <w:bookmarkStart w:id="510" w:name="_Toc95894147"/>
      <w:bookmarkStart w:id="511" w:name="_Toc97618227"/>
      <w:bookmarkStart w:id="512" w:name="_Toc97622599"/>
      <w:bookmarkStart w:id="513" w:name="_Toc98316154"/>
      <w:bookmarkStart w:id="514" w:name="_Toc98320752"/>
      <w:bookmarkStart w:id="515" w:name="_Toc98648070"/>
      <w:bookmarkStart w:id="516" w:name="_Toc101842719"/>
      <w:bookmarkStart w:id="517" w:name="_Toc102369336"/>
      <w:bookmarkStart w:id="518" w:name="_Toc102453152"/>
      <w:bookmarkStart w:id="519" w:name="_Toc102538353"/>
      <w:bookmarkStart w:id="520" w:name="_Toc139338667"/>
      <w:bookmarkStart w:id="521" w:name="_Toc139338777"/>
      <w:bookmarkStart w:id="522" w:name="_Toc139338890"/>
      <w:bookmarkStart w:id="523" w:name="_Toc139434249"/>
      <w:bookmarkStart w:id="524" w:name="_Toc139439202"/>
      <w:bookmarkStart w:id="525" w:name="_Toc139439312"/>
      <w:bookmarkStart w:id="526" w:name="_Toc139439385"/>
      <w:bookmarkStart w:id="527" w:name="_Toc157997540"/>
      <w:bookmarkStart w:id="528" w:name="_Toc158000486"/>
      <w:bookmarkStart w:id="529" w:name="_Toc241056445"/>
      <w:bookmarkStart w:id="530" w:name="_Toc258420375"/>
      <w:bookmarkStart w:id="531" w:name="_Toc258424845"/>
      <w:bookmarkStart w:id="532" w:name="_Toc259529990"/>
      <w:bookmarkStart w:id="533" w:name="_Toc259530113"/>
      <w:bookmarkStart w:id="534" w:name="_Toc263761879"/>
      <w:bookmarkStart w:id="535" w:name="_Toc263856368"/>
      <w:bookmarkStart w:id="536" w:name="_Toc263856492"/>
      <w:bookmarkStart w:id="537" w:name="_Toc274303814"/>
      <w:r>
        <w:rPr>
          <w:rStyle w:val="CharPartNo"/>
        </w:rPr>
        <w:t>Part 4</w:t>
      </w:r>
      <w:r>
        <w:rPr>
          <w:rStyle w:val="CharDivNo"/>
        </w:rPr>
        <w:t> </w:t>
      </w:r>
      <w:r>
        <w:t>—</w:t>
      </w:r>
      <w:r>
        <w:rPr>
          <w:rStyle w:val="CharDivText"/>
        </w:rPr>
        <w:t> </w:t>
      </w:r>
      <w:r>
        <w:rPr>
          <w:rStyle w:val="CharPartText"/>
        </w:rPr>
        <w:t>Compulsory insurance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PartText"/>
        </w:rPr>
        <w:t xml:space="preserve"> </w:t>
      </w:r>
    </w:p>
    <w:p>
      <w:pPr>
        <w:pStyle w:val="Heading5"/>
        <w:rPr>
          <w:snapToGrid w:val="0"/>
        </w:rPr>
      </w:pPr>
      <w:bookmarkStart w:id="538" w:name="_Toc418485470"/>
      <w:bookmarkStart w:id="539" w:name="_Toc139338668"/>
      <w:bookmarkStart w:id="540" w:name="_Toc274303815"/>
      <w:r>
        <w:rPr>
          <w:rStyle w:val="CharSectno"/>
        </w:rPr>
        <w:t>46</w:t>
      </w:r>
      <w:r>
        <w:rPr>
          <w:snapToGrid w:val="0"/>
        </w:rPr>
        <w:t>.</w:t>
      </w:r>
      <w:r>
        <w:rPr>
          <w:snapToGrid w:val="0"/>
        </w:rPr>
        <w:tab/>
        <w:t>Occupational associations may compel their members to insure</w:t>
      </w:r>
      <w:bookmarkEnd w:id="538"/>
      <w:bookmarkEnd w:id="539"/>
      <w:bookmarkEnd w:id="540"/>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p>
    <w:p>
      <w:pPr>
        <w:pStyle w:val="Heading5"/>
        <w:rPr>
          <w:snapToGrid w:val="0"/>
        </w:rPr>
      </w:pPr>
      <w:bookmarkStart w:id="541" w:name="_Toc418485471"/>
      <w:bookmarkStart w:id="542" w:name="_Toc139338669"/>
      <w:bookmarkStart w:id="543" w:name="_Toc274303816"/>
      <w:r>
        <w:rPr>
          <w:rStyle w:val="CharSectno"/>
        </w:rPr>
        <w:t>47</w:t>
      </w:r>
      <w:r>
        <w:rPr>
          <w:snapToGrid w:val="0"/>
        </w:rPr>
        <w:t>.</w:t>
      </w:r>
      <w:r>
        <w:rPr>
          <w:snapToGrid w:val="0"/>
        </w:rPr>
        <w:tab/>
        <w:t>Monitoring claims</w:t>
      </w:r>
      <w:bookmarkEnd w:id="541"/>
      <w:bookmarkEnd w:id="542"/>
      <w:bookmarkEnd w:id="543"/>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544" w:name="_Toc84237368"/>
      <w:bookmarkStart w:id="545" w:name="_Toc84308799"/>
      <w:bookmarkStart w:id="546" w:name="_Toc89584305"/>
      <w:bookmarkStart w:id="547" w:name="_Toc89584494"/>
      <w:bookmarkStart w:id="548" w:name="_Toc94348715"/>
      <w:bookmarkStart w:id="549" w:name="_Toc94418973"/>
      <w:bookmarkStart w:id="550" w:name="_Toc95890625"/>
      <w:bookmarkStart w:id="551" w:name="_Toc95894150"/>
      <w:bookmarkStart w:id="552" w:name="_Toc97618230"/>
      <w:bookmarkStart w:id="553" w:name="_Toc97622602"/>
      <w:bookmarkStart w:id="554" w:name="_Toc98316157"/>
      <w:bookmarkStart w:id="555" w:name="_Toc98320755"/>
      <w:bookmarkStart w:id="556" w:name="_Toc98648073"/>
      <w:bookmarkStart w:id="557" w:name="_Toc101842722"/>
      <w:bookmarkStart w:id="558" w:name="_Toc102369339"/>
      <w:bookmarkStart w:id="559" w:name="_Toc102453155"/>
      <w:bookmarkStart w:id="560" w:name="_Toc102538356"/>
      <w:bookmarkStart w:id="561" w:name="_Toc139338670"/>
      <w:bookmarkStart w:id="562" w:name="_Toc139338780"/>
      <w:bookmarkStart w:id="563" w:name="_Toc139338893"/>
      <w:bookmarkStart w:id="564" w:name="_Toc139434252"/>
      <w:bookmarkStart w:id="565" w:name="_Toc139439205"/>
      <w:bookmarkStart w:id="566" w:name="_Toc139439315"/>
      <w:bookmarkStart w:id="567" w:name="_Toc139439388"/>
      <w:bookmarkStart w:id="568" w:name="_Toc157997543"/>
      <w:bookmarkStart w:id="569" w:name="_Toc158000489"/>
      <w:bookmarkStart w:id="570" w:name="_Toc241056448"/>
      <w:bookmarkStart w:id="571" w:name="_Toc258420378"/>
      <w:bookmarkStart w:id="572" w:name="_Toc258424848"/>
      <w:bookmarkStart w:id="573" w:name="_Toc259529993"/>
      <w:bookmarkStart w:id="574" w:name="_Toc259530116"/>
      <w:bookmarkStart w:id="575" w:name="_Toc263761882"/>
      <w:bookmarkStart w:id="576" w:name="_Toc263856371"/>
      <w:bookmarkStart w:id="577" w:name="_Toc263856495"/>
      <w:bookmarkStart w:id="578" w:name="_Toc274303817"/>
      <w:r>
        <w:rPr>
          <w:rStyle w:val="CharPartNo"/>
        </w:rPr>
        <w:t>Part 5</w:t>
      </w:r>
      <w:r>
        <w:rPr>
          <w:rStyle w:val="CharDivNo"/>
        </w:rPr>
        <w:t> </w:t>
      </w:r>
      <w:r>
        <w:t>—</w:t>
      </w:r>
      <w:r>
        <w:rPr>
          <w:rStyle w:val="CharDivText"/>
        </w:rPr>
        <w:t> </w:t>
      </w:r>
      <w:r>
        <w:rPr>
          <w:rStyle w:val="CharPartText"/>
        </w:rPr>
        <w:t>Risk management</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rPr>
          <w:snapToGrid w:val="0"/>
        </w:rPr>
      </w:pPr>
      <w:bookmarkStart w:id="579" w:name="_Toc418485472"/>
      <w:bookmarkStart w:id="580" w:name="_Toc139338671"/>
      <w:bookmarkStart w:id="581" w:name="_Toc274303818"/>
      <w:r>
        <w:rPr>
          <w:rStyle w:val="CharSectno"/>
        </w:rPr>
        <w:t>48</w:t>
      </w:r>
      <w:r>
        <w:rPr>
          <w:snapToGrid w:val="0"/>
        </w:rPr>
        <w:t>.</w:t>
      </w:r>
      <w:r>
        <w:rPr>
          <w:snapToGrid w:val="0"/>
        </w:rPr>
        <w:tab/>
        <w:t>Risk management strategies</w:t>
      </w:r>
      <w:bookmarkEnd w:id="579"/>
      <w:bookmarkEnd w:id="580"/>
      <w:bookmarkEnd w:id="581"/>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582" w:name="_Toc418485473"/>
      <w:bookmarkStart w:id="583" w:name="_Toc139338672"/>
      <w:bookmarkStart w:id="584" w:name="_Toc274303819"/>
      <w:r>
        <w:rPr>
          <w:rStyle w:val="CharSectno"/>
        </w:rPr>
        <w:t>49</w:t>
      </w:r>
      <w:r>
        <w:rPr>
          <w:snapToGrid w:val="0"/>
        </w:rPr>
        <w:t>.</w:t>
      </w:r>
      <w:r>
        <w:rPr>
          <w:snapToGrid w:val="0"/>
        </w:rPr>
        <w:tab/>
        <w:t>Reporting</w:t>
      </w:r>
      <w:bookmarkEnd w:id="582"/>
      <w:bookmarkEnd w:id="583"/>
      <w:bookmarkEnd w:id="584"/>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585" w:name="_Toc84237371"/>
      <w:bookmarkStart w:id="586" w:name="_Toc84308802"/>
      <w:bookmarkStart w:id="587" w:name="_Toc89584308"/>
      <w:bookmarkStart w:id="588" w:name="_Toc89584497"/>
      <w:bookmarkStart w:id="589" w:name="_Toc94348718"/>
      <w:bookmarkStart w:id="590" w:name="_Toc94418976"/>
      <w:bookmarkStart w:id="591" w:name="_Toc95890628"/>
      <w:bookmarkStart w:id="592" w:name="_Toc95894153"/>
      <w:bookmarkStart w:id="593" w:name="_Toc97618233"/>
      <w:bookmarkStart w:id="594" w:name="_Toc97622605"/>
      <w:bookmarkStart w:id="595" w:name="_Toc98316160"/>
      <w:bookmarkStart w:id="596" w:name="_Toc98320758"/>
      <w:bookmarkStart w:id="597" w:name="_Toc98648076"/>
      <w:bookmarkStart w:id="598" w:name="_Toc101842725"/>
      <w:bookmarkStart w:id="599" w:name="_Toc102369342"/>
      <w:bookmarkStart w:id="600" w:name="_Toc102453158"/>
      <w:bookmarkStart w:id="601" w:name="_Toc102538359"/>
      <w:bookmarkStart w:id="602" w:name="_Toc139338673"/>
      <w:bookmarkStart w:id="603" w:name="_Toc139338783"/>
      <w:bookmarkStart w:id="604" w:name="_Toc139338896"/>
      <w:bookmarkStart w:id="605" w:name="_Toc139434255"/>
      <w:bookmarkStart w:id="606" w:name="_Toc139439208"/>
      <w:bookmarkStart w:id="607" w:name="_Toc139439318"/>
      <w:bookmarkStart w:id="608" w:name="_Toc139439391"/>
      <w:bookmarkStart w:id="609" w:name="_Toc157997546"/>
      <w:bookmarkStart w:id="610" w:name="_Toc158000492"/>
      <w:bookmarkStart w:id="611" w:name="_Toc241056451"/>
      <w:bookmarkStart w:id="612" w:name="_Toc258420381"/>
      <w:bookmarkStart w:id="613" w:name="_Toc258424851"/>
      <w:bookmarkStart w:id="614" w:name="_Toc259529996"/>
      <w:bookmarkStart w:id="615" w:name="_Toc259530119"/>
      <w:bookmarkStart w:id="616" w:name="_Toc263761885"/>
      <w:bookmarkStart w:id="617" w:name="_Toc263856374"/>
      <w:bookmarkStart w:id="618" w:name="_Toc263856498"/>
      <w:bookmarkStart w:id="619" w:name="_Toc274303820"/>
      <w:r>
        <w:rPr>
          <w:rStyle w:val="CharPartNo"/>
        </w:rPr>
        <w:t>Part 6</w:t>
      </w:r>
      <w:r>
        <w:rPr>
          <w:rStyle w:val="CharDivNo"/>
        </w:rPr>
        <w:t> </w:t>
      </w:r>
      <w:r>
        <w:t>—</w:t>
      </w:r>
      <w:r>
        <w:rPr>
          <w:rStyle w:val="CharDivText"/>
        </w:rPr>
        <w:t> </w:t>
      </w:r>
      <w:r>
        <w:rPr>
          <w:rStyle w:val="CharPartText"/>
        </w:rPr>
        <w:t>Complaints and disciplinary matters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Heading5"/>
        <w:rPr>
          <w:snapToGrid w:val="0"/>
        </w:rPr>
      </w:pPr>
      <w:bookmarkStart w:id="620" w:name="_Toc418485474"/>
      <w:bookmarkStart w:id="621" w:name="_Toc139338674"/>
      <w:bookmarkStart w:id="622" w:name="_Toc274303821"/>
      <w:r>
        <w:rPr>
          <w:rStyle w:val="CharSectno"/>
        </w:rPr>
        <w:t>50</w:t>
      </w:r>
      <w:r>
        <w:rPr>
          <w:snapToGrid w:val="0"/>
        </w:rPr>
        <w:t>.</w:t>
      </w:r>
      <w:r>
        <w:rPr>
          <w:snapToGrid w:val="0"/>
        </w:rPr>
        <w:tab/>
        <w:t>Occupational Associations (Complaints and Discipline) Code</w:t>
      </w:r>
      <w:bookmarkEnd w:id="620"/>
      <w:bookmarkEnd w:id="621"/>
      <w:bookmarkEnd w:id="622"/>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623" w:name="_Toc84237373"/>
      <w:bookmarkStart w:id="624" w:name="_Toc84308804"/>
      <w:bookmarkStart w:id="625" w:name="_Toc89584310"/>
      <w:bookmarkStart w:id="626" w:name="_Toc89584499"/>
      <w:bookmarkStart w:id="627" w:name="_Toc94348720"/>
      <w:bookmarkStart w:id="628" w:name="_Toc94418978"/>
      <w:bookmarkStart w:id="629" w:name="_Toc95890630"/>
      <w:bookmarkStart w:id="630" w:name="_Toc95894155"/>
      <w:bookmarkStart w:id="631" w:name="_Toc97618235"/>
      <w:bookmarkStart w:id="632" w:name="_Toc97622607"/>
      <w:bookmarkStart w:id="633" w:name="_Toc98316162"/>
      <w:bookmarkStart w:id="634" w:name="_Toc98320760"/>
      <w:bookmarkStart w:id="635" w:name="_Toc98648078"/>
      <w:bookmarkStart w:id="636" w:name="_Toc101842727"/>
      <w:bookmarkStart w:id="637" w:name="_Toc102369344"/>
      <w:bookmarkStart w:id="638" w:name="_Toc102453160"/>
      <w:bookmarkStart w:id="639" w:name="_Toc102538361"/>
      <w:bookmarkStart w:id="640" w:name="_Toc139338675"/>
      <w:bookmarkStart w:id="641" w:name="_Toc139338785"/>
      <w:bookmarkStart w:id="642" w:name="_Toc139338898"/>
      <w:bookmarkStart w:id="643" w:name="_Toc139434257"/>
      <w:bookmarkStart w:id="644" w:name="_Toc139439210"/>
      <w:bookmarkStart w:id="645" w:name="_Toc139439320"/>
      <w:bookmarkStart w:id="646" w:name="_Toc139439393"/>
      <w:bookmarkStart w:id="647" w:name="_Toc157997548"/>
      <w:bookmarkStart w:id="648" w:name="_Toc158000494"/>
      <w:bookmarkStart w:id="649" w:name="_Toc241056453"/>
      <w:bookmarkStart w:id="650" w:name="_Toc258420383"/>
      <w:bookmarkStart w:id="651" w:name="_Toc258424853"/>
      <w:bookmarkStart w:id="652" w:name="_Toc259529998"/>
      <w:bookmarkStart w:id="653" w:name="_Toc259530121"/>
      <w:bookmarkStart w:id="654" w:name="_Toc263761887"/>
      <w:bookmarkStart w:id="655" w:name="_Toc263856376"/>
      <w:bookmarkStart w:id="656" w:name="_Toc263856500"/>
      <w:bookmarkStart w:id="657" w:name="_Toc274303822"/>
      <w:r>
        <w:rPr>
          <w:rStyle w:val="CharPartNo"/>
        </w:rPr>
        <w:t>Part 7</w:t>
      </w:r>
      <w:r>
        <w:rPr>
          <w:rStyle w:val="CharDivNo"/>
        </w:rPr>
        <w:t> </w:t>
      </w:r>
      <w:r>
        <w:t>—</w:t>
      </w:r>
      <w:r>
        <w:rPr>
          <w:rStyle w:val="CharDivText"/>
        </w:rPr>
        <w:t> </w:t>
      </w:r>
      <w:r>
        <w:rPr>
          <w:rStyle w:val="CharPartText"/>
        </w:rPr>
        <w:t>Miscellaneous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PartText"/>
        </w:rPr>
        <w:t xml:space="preserve"> </w:t>
      </w:r>
    </w:p>
    <w:p>
      <w:pPr>
        <w:pStyle w:val="Heading5"/>
        <w:rPr>
          <w:snapToGrid w:val="0"/>
        </w:rPr>
      </w:pPr>
      <w:bookmarkStart w:id="658" w:name="_Toc418485475"/>
      <w:bookmarkStart w:id="659" w:name="_Toc139338676"/>
      <w:bookmarkStart w:id="660" w:name="_Toc274303823"/>
      <w:r>
        <w:rPr>
          <w:rStyle w:val="CharSectno"/>
        </w:rPr>
        <w:t>51</w:t>
      </w:r>
      <w:r>
        <w:rPr>
          <w:snapToGrid w:val="0"/>
        </w:rPr>
        <w:t>.</w:t>
      </w:r>
      <w:r>
        <w:rPr>
          <w:snapToGrid w:val="0"/>
        </w:rPr>
        <w:tab/>
        <w:t>Characterisation of this Act</w:t>
      </w:r>
      <w:bookmarkEnd w:id="658"/>
      <w:bookmarkEnd w:id="659"/>
      <w:bookmarkEnd w:id="660"/>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661" w:name="_Toc418485476"/>
      <w:bookmarkStart w:id="662" w:name="_Toc139338677"/>
      <w:bookmarkStart w:id="663" w:name="_Toc274303824"/>
      <w:r>
        <w:rPr>
          <w:rStyle w:val="CharSectno"/>
        </w:rPr>
        <w:t>52</w:t>
      </w:r>
      <w:r>
        <w:rPr>
          <w:snapToGrid w:val="0"/>
        </w:rPr>
        <w:t>.</w:t>
      </w:r>
      <w:r>
        <w:rPr>
          <w:snapToGrid w:val="0"/>
        </w:rPr>
        <w:tab/>
        <w:t>No contracting out of this Act</w:t>
      </w:r>
      <w:bookmarkEnd w:id="661"/>
      <w:bookmarkEnd w:id="662"/>
      <w:bookmarkEnd w:id="663"/>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664" w:name="_Toc418485477"/>
      <w:bookmarkStart w:id="665" w:name="_Toc139338678"/>
      <w:bookmarkStart w:id="666" w:name="_Toc274303825"/>
      <w:r>
        <w:rPr>
          <w:rStyle w:val="CharSectno"/>
        </w:rPr>
        <w:t>53</w:t>
      </w:r>
      <w:r>
        <w:rPr>
          <w:snapToGrid w:val="0"/>
        </w:rPr>
        <w:t>.</w:t>
      </w:r>
      <w:r>
        <w:rPr>
          <w:snapToGrid w:val="0"/>
        </w:rPr>
        <w:tab/>
        <w:t>No limitation on other insurance</w:t>
      </w:r>
      <w:bookmarkEnd w:id="664"/>
      <w:bookmarkEnd w:id="665"/>
      <w:bookmarkEnd w:id="666"/>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667" w:name="_Toc139338679"/>
      <w:bookmarkStart w:id="668" w:name="_Toc274303826"/>
      <w:bookmarkStart w:id="669" w:name="_Toc418485479"/>
      <w:r>
        <w:rPr>
          <w:rStyle w:val="CharSectno"/>
        </w:rPr>
        <w:t>54</w:t>
      </w:r>
      <w:r>
        <w:rPr>
          <w:snapToGrid w:val="0"/>
        </w:rPr>
        <w:t>.</w:t>
      </w:r>
      <w:r>
        <w:rPr>
          <w:snapToGrid w:val="0"/>
        </w:rPr>
        <w:tab/>
        <w:t>Offences to be dealt with by magistrate</w:t>
      </w:r>
      <w:bookmarkEnd w:id="667"/>
      <w:bookmarkEnd w:id="668"/>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by No. 59 of 2004 s. 141.] </w:t>
      </w:r>
    </w:p>
    <w:p>
      <w:pPr>
        <w:pStyle w:val="Heading5"/>
        <w:rPr>
          <w:snapToGrid w:val="0"/>
        </w:rPr>
      </w:pPr>
      <w:bookmarkStart w:id="670" w:name="_Toc139338680"/>
      <w:bookmarkStart w:id="671" w:name="_Toc274303827"/>
      <w:r>
        <w:rPr>
          <w:rStyle w:val="CharSectno"/>
        </w:rPr>
        <w:t>55</w:t>
      </w:r>
      <w:r>
        <w:rPr>
          <w:snapToGrid w:val="0"/>
        </w:rPr>
        <w:t>.</w:t>
      </w:r>
      <w:r>
        <w:rPr>
          <w:snapToGrid w:val="0"/>
        </w:rPr>
        <w:tab/>
        <w:t>Regulations</w:t>
      </w:r>
      <w:bookmarkEnd w:id="669"/>
      <w:bookmarkEnd w:id="670"/>
      <w:bookmarkEnd w:id="67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672" w:name="_Toc418485480"/>
      <w:bookmarkStart w:id="673" w:name="_Toc139338681"/>
      <w:bookmarkStart w:id="674" w:name="_Toc274303828"/>
      <w:r>
        <w:rPr>
          <w:rStyle w:val="CharSectno"/>
        </w:rPr>
        <w:t>56</w:t>
      </w:r>
      <w:r>
        <w:rPr>
          <w:snapToGrid w:val="0"/>
        </w:rPr>
        <w:t>.</w:t>
      </w:r>
      <w:r>
        <w:rPr>
          <w:snapToGrid w:val="0"/>
        </w:rPr>
        <w:tab/>
        <w:t>Rules of court</w:t>
      </w:r>
      <w:bookmarkEnd w:id="672"/>
      <w:bookmarkEnd w:id="673"/>
      <w:bookmarkEnd w:id="674"/>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675" w:name="_Toc418485481"/>
      <w:bookmarkStart w:id="676" w:name="_Toc139338682"/>
      <w:bookmarkStart w:id="677" w:name="_Toc274303829"/>
      <w:r>
        <w:rPr>
          <w:rStyle w:val="CharSectno"/>
        </w:rPr>
        <w:t>57</w:t>
      </w:r>
      <w:r>
        <w:rPr>
          <w:snapToGrid w:val="0"/>
        </w:rPr>
        <w:t>.</w:t>
      </w:r>
      <w:r>
        <w:rPr>
          <w:snapToGrid w:val="0"/>
        </w:rPr>
        <w:tab/>
        <w:t>Review of Act</w:t>
      </w:r>
      <w:bookmarkEnd w:id="675"/>
      <w:bookmarkEnd w:id="676"/>
      <w:bookmarkEnd w:id="677"/>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678" w:name="_Toc139338683"/>
      <w:bookmarkStart w:id="679" w:name="_Toc274303830"/>
      <w:r>
        <w:rPr>
          <w:rStyle w:val="CharSectno"/>
        </w:rPr>
        <w:t>58</w:t>
      </w:r>
      <w:r>
        <w:t>.</w:t>
      </w:r>
      <w:r>
        <w:tab/>
        <w:t>Savings, transitional and other provisions</w:t>
      </w:r>
      <w:bookmarkEnd w:id="678"/>
      <w:bookmarkEnd w:id="679"/>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80" w:name="_Toc98648087"/>
      <w:bookmarkStart w:id="681" w:name="_Toc101842736"/>
      <w:bookmarkStart w:id="682" w:name="_Toc139338684"/>
      <w:bookmarkStart w:id="683" w:name="_Toc139338794"/>
      <w:bookmarkStart w:id="684" w:name="_Toc139338907"/>
      <w:bookmarkStart w:id="685" w:name="_Toc139434266"/>
      <w:bookmarkStart w:id="686" w:name="_Toc139439219"/>
      <w:bookmarkStart w:id="687" w:name="_Toc139439329"/>
      <w:bookmarkStart w:id="688" w:name="_Toc139439402"/>
      <w:bookmarkStart w:id="689" w:name="_Toc157997557"/>
      <w:bookmarkStart w:id="690" w:name="_Toc158000503"/>
      <w:bookmarkStart w:id="691" w:name="_Toc241056462"/>
      <w:bookmarkStart w:id="692" w:name="_Toc258420392"/>
      <w:bookmarkStart w:id="693" w:name="_Toc258424862"/>
      <w:bookmarkStart w:id="694" w:name="_Toc259530007"/>
      <w:bookmarkStart w:id="695" w:name="_Toc259530130"/>
      <w:bookmarkStart w:id="696" w:name="_Toc263761896"/>
      <w:bookmarkStart w:id="697" w:name="_Toc263856385"/>
      <w:bookmarkStart w:id="698" w:name="_Toc263856509"/>
      <w:bookmarkStart w:id="699" w:name="_Toc274303831"/>
      <w:r>
        <w:rPr>
          <w:rStyle w:val="CharSchNo"/>
        </w:rPr>
        <w:t>Schedule 1</w:t>
      </w:r>
      <w:r>
        <w:rPr>
          <w:rStyle w:val="CharSDivNo"/>
        </w:rPr>
        <w:t> </w:t>
      </w:r>
      <w:r>
        <w:t>—</w:t>
      </w:r>
      <w:r>
        <w:rPr>
          <w:rStyle w:val="CharSDivText"/>
        </w:rPr>
        <w:t> </w:t>
      </w:r>
      <w:r>
        <w:rPr>
          <w:rStyle w:val="CharSchText"/>
        </w:rPr>
        <w:t>Provisions relating to members of the Council</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ShoulderClause"/>
        <w:rPr>
          <w:snapToGrid w:val="0"/>
        </w:rPr>
      </w:pPr>
      <w:r>
        <w:rPr>
          <w:snapToGrid w:val="0"/>
        </w:rPr>
        <w:t>[Section 10]</w:t>
      </w:r>
    </w:p>
    <w:p>
      <w:pPr>
        <w:pStyle w:val="yHeading5"/>
        <w:outlineLvl w:val="9"/>
        <w:rPr>
          <w:snapToGrid w:val="0"/>
        </w:rPr>
      </w:pPr>
      <w:bookmarkStart w:id="700" w:name="_Toc139338685"/>
      <w:bookmarkStart w:id="701" w:name="_Toc274303832"/>
      <w:r>
        <w:rPr>
          <w:rStyle w:val="CharSClsNo"/>
        </w:rPr>
        <w:t>1</w:t>
      </w:r>
      <w:r>
        <w:rPr>
          <w:snapToGrid w:val="0"/>
        </w:rPr>
        <w:t>.</w:t>
      </w:r>
      <w:r>
        <w:rPr>
          <w:snapToGrid w:val="0"/>
        </w:rPr>
        <w:tab/>
        <w:t>Chairperson and deputy chairperson of Council</w:t>
      </w:r>
      <w:bookmarkEnd w:id="700"/>
      <w:bookmarkEnd w:id="701"/>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702" w:name="_Toc139338686"/>
      <w:bookmarkStart w:id="703" w:name="_Toc274303833"/>
      <w:r>
        <w:rPr>
          <w:rStyle w:val="CharSClsNo"/>
        </w:rPr>
        <w:t>2</w:t>
      </w:r>
      <w:r>
        <w:rPr>
          <w:snapToGrid w:val="0"/>
        </w:rPr>
        <w:t>.</w:t>
      </w:r>
      <w:r>
        <w:rPr>
          <w:snapToGrid w:val="0"/>
        </w:rPr>
        <w:tab/>
        <w:t>Deputies of members</w:t>
      </w:r>
      <w:bookmarkEnd w:id="702"/>
      <w:bookmarkEnd w:id="703"/>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704" w:name="_Toc139338687"/>
      <w:bookmarkStart w:id="705" w:name="_Toc274303834"/>
      <w:r>
        <w:rPr>
          <w:rStyle w:val="CharSClsNo"/>
        </w:rPr>
        <w:t>3</w:t>
      </w:r>
      <w:r>
        <w:rPr>
          <w:snapToGrid w:val="0"/>
        </w:rPr>
        <w:t>.</w:t>
      </w:r>
      <w:r>
        <w:rPr>
          <w:snapToGrid w:val="0"/>
        </w:rPr>
        <w:tab/>
        <w:t>Term of office</w:t>
      </w:r>
      <w:bookmarkEnd w:id="704"/>
      <w:bookmarkEnd w:id="705"/>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706" w:name="_Toc139338688"/>
      <w:bookmarkStart w:id="707" w:name="_Toc274303835"/>
      <w:r>
        <w:rPr>
          <w:rStyle w:val="CharSClsNo"/>
        </w:rPr>
        <w:t>4</w:t>
      </w:r>
      <w:r>
        <w:rPr>
          <w:snapToGrid w:val="0"/>
        </w:rPr>
        <w:t>.</w:t>
      </w:r>
      <w:r>
        <w:rPr>
          <w:snapToGrid w:val="0"/>
        </w:rPr>
        <w:tab/>
        <w:t>Remuneration and allowances</w:t>
      </w:r>
      <w:bookmarkEnd w:id="706"/>
      <w:bookmarkEnd w:id="707"/>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 Minister for Public Sector Management.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 Minister for Public Sector Management.</w:t>
      </w:r>
    </w:p>
    <w:p>
      <w:pPr>
        <w:pStyle w:val="yHeading5"/>
        <w:outlineLvl w:val="9"/>
        <w:rPr>
          <w:snapToGrid w:val="0"/>
        </w:rPr>
      </w:pPr>
      <w:bookmarkStart w:id="708" w:name="_Toc139338689"/>
      <w:bookmarkStart w:id="709" w:name="_Toc274303836"/>
      <w:r>
        <w:rPr>
          <w:rStyle w:val="CharSClsNo"/>
        </w:rPr>
        <w:t>5</w:t>
      </w:r>
      <w:r>
        <w:rPr>
          <w:snapToGrid w:val="0"/>
        </w:rPr>
        <w:t>.</w:t>
      </w:r>
      <w:r>
        <w:rPr>
          <w:snapToGrid w:val="0"/>
        </w:rPr>
        <w:tab/>
        <w:t>Vacancy in office of member</w:t>
      </w:r>
      <w:bookmarkEnd w:id="708"/>
      <w:bookmarkEnd w:id="709"/>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completes a term of office and is not reappointed; or</w:t>
      </w:r>
    </w:p>
    <w:p>
      <w:pPr>
        <w:pStyle w:val="yIndenta"/>
        <w:rPr>
          <w:snapToGrid w:val="0"/>
        </w:rPr>
      </w:pPr>
      <w:r>
        <w:rPr>
          <w:snapToGrid w:val="0"/>
        </w:rPr>
        <w:tab/>
        <w:t>(c)</w:t>
      </w:r>
      <w:r>
        <w:rPr>
          <w:snapToGrid w:val="0"/>
        </w:rPr>
        <w:tab/>
        <w:t>resigns that office by instrument in writing addressed to the Minister; or</w:t>
      </w:r>
    </w:p>
    <w:p>
      <w:pPr>
        <w:pStyle w:val="yIndenta"/>
        <w:rPr>
          <w:snapToGrid w:val="0"/>
        </w:rPr>
      </w:pPr>
      <w:r>
        <w:rPr>
          <w:snapToGrid w:val="0"/>
        </w:rPr>
        <w:tab/>
        <w:t>(d)</w:t>
      </w:r>
      <w:r>
        <w:rPr>
          <w:snapToGrid w:val="0"/>
        </w:rPr>
        <w:tab/>
        <w:t>is removed from office by the Minister under this clause; or</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 xml:space="preserve">before the expiry of 4 weeks after the last of those meetings, the member is excused by the Council for having been absent from those meetings; </w:t>
      </w:r>
    </w:p>
    <w:p>
      <w:pPr>
        <w:pStyle w:val="yIndenta"/>
        <w:rPr>
          <w:snapToGrid w:val="0"/>
        </w:rPr>
      </w:pPr>
      <w:r>
        <w:rPr>
          <w:snapToGrid w:val="0"/>
        </w:rPr>
        <w:tab/>
        <w:t xml:space="preserve"> </w:t>
      </w:r>
      <w:r>
        <w:rPr>
          <w:snapToGrid w:val="0"/>
        </w:rPr>
        <w:tab/>
        <w:t>or</w:t>
      </w:r>
    </w:p>
    <w:p>
      <w:pPr>
        <w:pStyle w:val="yIndenta"/>
      </w:pPr>
      <w:r>
        <w:tab/>
        <w:t>(f)</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Footnotesection"/>
      </w:pPr>
      <w:r>
        <w:tab/>
        <w:t>[Clause 5 amended by No. 18 of 2009 s. 70.]</w:t>
      </w:r>
    </w:p>
    <w:p>
      <w:pPr>
        <w:pStyle w:val="yHeading5"/>
        <w:outlineLvl w:val="9"/>
        <w:rPr>
          <w:snapToGrid w:val="0"/>
        </w:rPr>
      </w:pPr>
      <w:bookmarkStart w:id="710" w:name="_Toc139338690"/>
      <w:bookmarkStart w:id="711" w:name="_Toc274303837"/>
      <w:r>
        <w:rPr>
          <w:rStyle w:val="CharSClsNo"/>
        </w:rPr>
        <w:t>6</w:t>
      </w:r>
      <w:r>
        <w:rPr>
          <w:snapToGrid w:val="0"/>
        </w:rPr>
        <w:t>.</w:t>
      </w:r>
      <w:r>
        <w:rPr>
          <w:snapToGrid w:val="0"/>
        </w:rPr>
        <w:tab/>
        <w:t>Filling of vacancy in office of member</w:t>
      </w:r>
      <w:bookmarkEnd w:id="710"/>
      <w:bookmarkEnd w:id="711"/>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712" w:name="_Toc139338691"/>
      <w:bookmarkStart w:id="713" w:name="_Toc274303838"/>
      <w:r>
        <w:rPr>
          <w:rStyle w:val="CharSClsNo"/>
        </w:rPr>
        <w:t>7</w:t>
      </w:r>
      <w:r>
        <w:rPr>
          <w:snapToGrid w:val="0"/>
        </w:rPr>
        <w:t>.</w:t>
      </w:r>
      <w:r>
        <w:rPr>
          <w:snapToGrid w:val="0"/>
        </w:rPr>
        <w:tab/>
        <w:t>Member not to be public service officer</w:t>
      </w:r>
      <w:bookmarkEnd w:id="712"/>
      <w:bookmarkEnd w:id="713"/>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714" w:name="_Toc139338692"/>
      <w:bookmarkStart w:id="715" w:name="_Toc274303839"/>
      <w:r>
        <w:rPr>
          <w:rStyle w:val="CharSClsNo"/>
        </w:rPr>
        <w:t>8</w:t>
      </w:r>
      <w:r>
        <w:rPr>
          <w:snapToGrid w:val="0"/>
        </w:rPr>
        <w:t>.</w:t>
      </w:r>
      <w:r>
        <w:rPr>
          <w:snapToGrid w:val="0"/>
        </w:rPr>
        <w:tab/>
        <w:t>Personal liability of members</w:t>
      </w:r>
      <w:bookmarkEnd w:id="714"/>
      <w:bookmarkEnd w:id="715"/>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716" w:name="_Toc98648096"/>
      <w:bookmarkStart w:id="717" w:name="_Toc101842745"/>
      <w:bookmarkStart w:id="718" w:name="_Toc139338693"/>
      <w:bookmarkStart w:id="719" w:name="_Toc139338803"/>
      <w:bookmarkStart w:id="720" w:name="_Toc139338916"/>
      <w:bookmarkStart w:id="721" w:name="_Toc139434275"/>
      <w:bookmarkStart w:id="722" w:name="_Toc139439228"/>
      <w:bookmarkStart w:id="723" w:name="_Toc139439338"/>
      <w:bookmarkStart w:id="724" w:name="_Toc139439411"/>
      <w:bookmarkStart w:id="725" w:name="_Toc157997566"/>
      <w:bookmarkStart w:id="726" w:name="_Toc158000512"/>
      <w:bookmarkStart w:id="727" w:name="_Toc241056471"/>
      <w:bookmarkStart w:id="728" w:name="_Toc258420401"/>
      <w:bookmarkStart w:id="729" w:name="_Toc258424871"/>
      <w:bookmarkStart w:id="730" w:name="_Toc259530016"/>
      <w:bookmarkStart w:id="731" w:name="_Toc259530139"/>
      <w:bookmarkStart w:id="732" w:name="_Toc263761905"/>
      <w:bookmarkStart w:id="733" w:name="_Toc263856394"/>
      <w:bookmarkStart w:id="734" w:name="_Toc263856518"/>
      <w:bookmarkStart w:id="735" w:name="_Toc274303840"/>
      <w:r>
        <w:rPr>
          <w:rStyle w:val="CharSchNo"/>
        </w:rPr>
        <w:t>Schedule 2</w:t>
      </w:r>
      <w:r>
        <w:rPr>
          <w:rStyle w:val="CharSDivNo"/>
        </w:rPr>
        <w:t> </w:t>
      </w:r>
      <w:r>
        <w:t>—</w:t>
      </w:r>
      <w:r>
        <w:rPr>
          <w:rStyle w:val="CharSDivText"/>
        </w:rPr>
        <w:t> </w:t>
      </w:r>
      <w:r>
        <w:rPr>
          <w:rStyle w:val="CharSchText"/>
        </w:rPr>
        <w:t>Provisions relating to procedure of the Council</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yShoulderClause"/>
        <w:rPr>
          <w:snapToGrid w:val="0"/>
        </w:rPr>
      </w:pPr>
      <w:r>
        <w:rPr>
          <w:snapToGrid w:val="0"/>
        </w:rPr>
        <w:t>[Section 11]</w:t>
      </w:r>
    </w:p>
    <w:p>
      <w:pPr>
        <w:pStyle w:val="yHeading5"/>
        <w:outlineLvl w:val="9"/>
        <w:rPr>
          <w:snapToGrid w:val="0"/>
        </w:rPr>
      </w:pPr>
      <w:bookmarkStart w:id="736" w:name="_Toc139338694"/>
      <w:bookmarkStart w:id="737" w:name="_Toc274303841"/>
      <w:r>
        <w:rPr>
          <w:rStyle w:val="CharSClsNo"/>
        </w:rPr>
        <w:t>1</w:t>
      </w:r>
      <w:r>
        <w:rPr>
          <w:snapToGrid w:val="0"/>
        </w:rPr>
        <w:t>.</w:t>
      </w:r>
      <w:r>
        <w:rPr>
          <w:snapToGrid w:val="0"/>
        </w:rPr>
        <w:tab/>
        <w:t>General procedure</w:t>
      </w:r>
      <w:bookmarkEnd w:id="736"/>
      <w:bookmarkEnd w:id="737"/>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738" w:name="_Toc139338695"/>
      <w:bookmarkStart w:id="739" w:name="_Toc274303842"/>
      <w:r>
        <w:rPr>
          <w:rStyle w:val="CharSClsNo"/>
        </w:rPr>
        <w:t>2</w:t>
      </w:r>
      <w:r>
        <w:rPr>
          <w:snapToGrid w:val="0"/>
        </w:rPr>
        <w:t>.</w:t>
      </w:r>
      <w:r>
        <w:rPr>
          <w:snapToGrid w:val="0"/>
        </w:rPr>
        <w:tab/>
        <w:t>Quorum</w:t>
      </w:r>
      <w:bookmarkEnd w:id="738"/>
      <w:bookmarkEnd w:id="739"/>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740" w:name="_Toc139338696"/>
      <w:bookmarkStart w:id="741" w:name="_Toc274303843"/>
      <w:r>
        <w:rPr>
          <w:rStyle w:val="CharSClsNo"/>
        </w:rPr>
        <w:t>3</w:t>
      </w:r>
      <w:r>
        <w:rPr>
          <w:snapToGrid w:val="0"/>
        </w:rPr>
        <w:t>.</w:t>
      </w:r>
      <w:r>
        <w:rPr>
          <w:snapToGrid w:val="0"/>
        </w:rPr>
        <w:tab/>
        <w:t>Presiding member</w:t>
      </w:r>
      <w:bookmarkEnd w:id="740"/>
      <w:bookmarkEnd w:id="741"/>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742" w:name="_Toc139338697"/>
      <w:bookmarkStart w:id="743" w:name="_Toc274303844"/>
      <w:r>
        <w:rPr>
          <w:rStyle w:val="CharSClsNo"/>
        </w:rPr>
        <w:t>4</w:t>
      </w:r>
      <w:r>
        <w:rPr>
          <w:snapToGrid w:val="0"/>
        </w:rPr>
        <w:t>.</w:t>
      </w:r>
      <w:r>
        <w:rPr>
          <w:snapToGrid w:val="0"/>
        </w:rPr>
        <w:tab/>
        <w:t>First meeting</w:t>
      </w:r>
      <w:bookmarkEnd w:id="742"/>
      <w:bookmarkEnd w:id="743"/>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744" w:name="_Toc98648101"/>
      <w:bookmarkStart w:id="745" w:name="_Toc101842750"/>
      <w:bookmarkStart w:id="746" w:name="_Toc139338698"/>
      <w:bookmarkStart w:id="747" w:name="_Toc139338808"/>
      <w:bookmarkStart w:id="748" w:name="_Toc139338921"/>
      <w:bookmarkStart w:id="749" w:name="_Toc139434280"/>
      <w:bookmarkStart w:id="750" w:name="_Toc139439233"/>
      <w:bookmarkStart w:id="751" w:name="_Toc139439343"/>
      <w:bookmarkStart w:id="752" w:name="_Toc139439416"/>
      <w:bookmarkStart w:id="753" w:name="_Toc157997571"/>
      <w:bookmarkStart w:id="754" w:name="_Toc158000517"/>
      <w:bookmarkStart w:id="755" w:name="_Toc241056476"/>
      <w:bookmarkStart w:id="756" w:name="_Toc258420406"/>
      <w:bookmarkStart w:id="757" w:name="_Toc258424876"/>
      <w:bookmarkStart w:id="758" w:name="_Toc259530021"/>
      <w:bookmarkStart w:id="759" w:name="_Toc259530144"/>
      <w:bookmarkStart w:id="760" w:name="_Toc263761910"/>
      <w:bookmarkStart w:id="761" w:name="_Toc263856399"/>
      <w:bookmarkStart w:id="762" w:name="_Toc263856523"/>
      <w:bookmarkStart w:id="763" w:name="_Toc274303845"/>
      <w:r>
        <w:rPr>
          <w:rStyle w:val="CharSchNo"/>
        </w:rPr>
        <w:t>Schedule 3</w:t>
      </w:r>
      <w:r>
        <w:t> — </w:t>
      </w:r>
      <w:r>
        <w:rPr>
          <w:rStyle w:val="CharSchText"/>
        </w:rPr>
        <w:t>Model Code</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ShoulderClause"/>
        <w:rPr>
          <w:snapToGrid w:val="0"/>
        </w:rPr>
      </w:pPr>
      <w:r>
        <w:rPr>
          <w:snapToGrid w:val="0"/>
        </w:rPr>
        <w:t>[Section 50]</w:t>
      </w:r>
    </w:p>
    <w:p>
      <w:pPr>
        <w:pStyle w:val="yHeading5"/>
        <w:outlineLvl w:val="9"/>
        <w:rPr>
          <w:snapToGrid w:val="0"/>
        </w:rPr>
      </w:pPr>
      <w:bookmarkStart w:id="764" w:name="_Toc139338699"/>
      <w:bookmarkStart w:id="765" w:name="_Toc274303846"/>
      <w:r>
        <w:rPr>
          <w:rStyle w:val="CharSClsNo"/>
        </w:rPr>
        <w:t>1</w:t>
      </w:r>
      <w:r>
        <w:rPr>
          <w:snapToGrid w:val="0"/>
        </w:rPr>
        <w:t>.</w:t>
      </w:r>
      <w:r>
        <w:rPr>
          <w:snapToGrid w:val="0"/>
        </w:rPr>
        <w:tab/>
        <w:t>Citation</w:t>
      </w:r>
      <w:bookmarkEnd w:id="764"/>
      <w:bookmarkEnd w:id="765"/>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766" w:name="_Toc139338700"/>
      <w:bookmarkStart w:id="767" w:name="_Toc274303847"/>
      <w:r>
        <w:rPr>
          <w:rStyle w:val="CharSClsNo"/>
        </w:rPr>
        <w:t>2</w:t>
      </w:r>
      <w:r>
        <w:rPr>
          <w:snapToGrid w:val="0"/>
        </w:rPr>
        <w:t>.</w:t>
      </w:r>
      <w:r>
        <w:rPr>
          <w:snapToGrid w:val="0"/>
        </w:rPr>
        <w:tab/>
      </w:r>
      <w:bookmarkEnd w:id="766"/>
      <w:r>
        <w:rPr>
          <w:snapToGrid w:val="0"/>
        </w:rPr>
        <w:t>Term used: Council</w:t>
      </w:r>
      <w:bookmarkEnd w:id="767"/>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Council</w:t>
      </w:r>
      <w:r>
        <w:t xml:space="preserve"> means the Professional Standards Council established by the </w:t>
      </w:r>
      <w:r>
        <w:rPr>
          <w:i/>
        </w:rPr>
        <w:t>Professional Standards Act 1997</w:t>
      </w:r>
      <w:r>
        <w:t>.</w:t>
      </w:r>
    </w:p>
    <w:p>
      <w:pPr>
        <w:pStyle w:val="yHeading5"/>
        <w:outlineLvl w:val="9"/>
        <w:rPr>
          <w:snapToGrid w:val="0"/>
        </w:rPr>
      </w:pPr>
      <w:bookmarkStart w:id="768" w:name="_Toc139338701"/>
      <w:bookmarkStart w:id="769" w:name="_Toc274303848"/>
      <w:r>
        <w:rPr>
          <w:rStyle w:val="CharSClsNo"/>
        </w:rPr>
        <w:t>3</w:t>
      </w:r>
      <w:r>
        <w:rPr>
          <w:snapToGrid w:val="0"/>
        </w:rPr>
        <w:t>.</w:t>
      </w:r>
      <w:r>
        <w:rPr>
          <w:snapToGrid w:val="0"/>
        </w:rPr>
        <w:tab/>
        <w:t>Actions that may be the subject of complaint</w:t>
      </w:r>
      <w:bookmarkEnd w:id="768"/>
      <w:bookmarkEnd w:id="769"/>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770" w:name="_Toc139338702"/>
      <w:bookmarkStart w:id="771" w:name="_Toc274303849"/>
      <w:r>
        <w:rPr>
          <w:rStyle w:val="CharSClsNo"/>
        </w:rPr>
        <w:t>4</w:t>
      </w:r>
      <w:r>
        <w:rPr>
          <w:snapToGrid w:val="0"/>
        </w:rPr>
        <w:t>.</w:t>
      </w:r>
      <w:r>
        <w:rPr>
          <w:snapToGrid w:val="0"/>
        </w:rPr>
        <w:tab/>
        <w:t>Who can make complaint</w:t>
      </w:r>
      <w:bookmarkEnd w:id="770"/>
      <w:bookmarkEnd w:id="771"/>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772" w:name="_Toc139338703"/>
      <w:bookmarkStart w:id="773" w:name="_Toc274303850"/>
      <w:r>
        <w:rPr>
          <w:rStyle w:val="CharSClsNo"/>
        </w:rPr>
        <w:t>5</w:t>
      </w:r>
      <w:r>
        <w:rPr>
          <w:snapToGrid w:val="0"/>
        </w:rPr>
        <w:t>.</w:t>
      </w:r>
      <w:r>
        <w:rPr>
          <w:snapToGrid w:val="0"/>
        </w:rPr>
        <w:tab/>
        <w:t>How complaint is made</w:t>
      </w:r>
      <w:bookmarkEnd w:id="772"/>
      <w:bookmarkEnd w:id="773"/>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774" w:name="_Toc139338704"/>
      <w:bookmarkStart w:id="775" w:name="_Toc274303851"/>
      <w:r>
        <w:rPr>
          <w:rStyle w:val="CharSClsNo"/>
        </w:rPr>
        <w:t>6</w:t>
      </w:r>
      <w:r>
        <w:rPr>
          <w:snapToGrid w:val="0"/>
        </w:rPr>
        <w:t>.</w:t>
      </w:r>
      <w:r>
        <w:rPr>
          <w:snapToGrid w:val="0"/>
        </w:rPr>
        <w:tab/>
        <w:t>What happens after complaint is made</w:t>
      </w:r>
      <w:bookmarkEnd w:id="774"/>
      <w:bookmarkEnd w:id="775"/>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776" w:name="_Toc139338705"/>
      <w:bookmarkStart w:id="777" w:name="_Toc274303852"/>
      <w:r>
        <w:rPr>
          <w:rStyle w:val="CharSClsNo"/>
        </w:rPr>
        <w:t>7</w:t>
      </w:r>
      <w:r>
        <w:rPr>
          <w:snapToGrid w:val="0"/>
        </w:rPr>
        <w:t>.</w:t>
      </w:r>
      <w:r>
        <w:rPr>
          <w:snapToGrid w:val="0"/>
        </w:rPr>
        <w:tab/>
        <w:t>What action may be taken after a hearing into complaint</w:t>
      </w:r>
      <w:bookmarkEnd w:id="776"/>
      <w:bookmarkEnd w:id="777"/>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778" w:name="_Toc139338706"/>
      <w:bookmarkStart w:id="779" w:name="_Toc274303853"/>
      <w:r>
        <w:rPr>
          <w:rStyle w:val="CharSClsNo"/>
        </w:rPr>
        <w:t>8</w:t>
      </w:r>
      <w:r>
        <w:rPr>
          <w:snapToGrid w:val="0"/>
        </w:rPr>
        <w:t>.</w:t>
      </w:r>
      <w:r>
        <w:rPr>
          <w:snapToGrid w:val="0"/>
        </w:rPr>
        <w:tab/>
        <w:t>Notices of decisions</w:t>
      </w:r>
      <w:bookmarkEnd w:id="778"/>
      <w:bookmarkEnd w:id="779"/>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780" w:name="_Toc139338707"/>
      <w:bookmarkStart w:id="781" w:name="_Toc274303854"/>
      <w:r>
        <w:rPr>
          <w:rStyle w:val="CharSClsNo"/>
        </w:rPr>
        <w:t>9</w:t>
      </w:r>
      <w:r>
        <w:rPr>
          <w:snapToGrid w:val="0"/>
        </w:rPr>
        <w:t>.</w:t>
      </w:r>
      <w:r>
        <w:rPr>
          <w:snapToGrid w:val="0"/>
        </w:rPr>
        <w:tab/>
        <w:t>Rights of representation of parties to complaint</w:t>
      </w:r>
      <w:bookmarkEnd w:id="780"/>
      <w:bookmarkEnd w:id="781"/>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782" w:name="_Toc139338708"/>
      <w:bookmarkStart w:id="783" w:name="_Toc274303855"/>
      <w:r>
        <w:rPr>
          <w:rStyle w:val="CharSClsNo"/>
        </w:rPr>
        <w:t>10</w:t>
      </w:r>
      <w:r>
        <w:rPr>
          <w:snapToGrid w:val="0"/>
        </w:rPr>
        <w:t>.</w:t>
      </w:r>
      <w:r>
        <w:rPr>
          <w:snapToGrid w:val="0"/>
        </w:rPr>
        <w:tab/>
        <w:t>How occupational association performs functions under this Code</w:t>
      </w:r>
      <w:bookmarkEnd w:id="782"/>
      <w:bookmarkEnd w:id="783"/>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pPr>
      <w:bookmarkStart w:id="784" w:name="_Toc139338709"/>
      <w:bookmarkStart w:id="785" w:name="_Toc274303856"/>
      <w:r>
        <w:rPr>
          <w:rStyle w:val="CharSClsNo"/>
        </w:rPr>
        <w:t>11</w:t>
      </w:r>
      <w:r>
        <w:t>.</w:t>
      </w:r>
      <w:r>
        <w:tab/>
        <w:t>Protection from liability</w:t>
      </w:r>
      <w:bookmarkEnd w:id="784"/>
      <w:bookmarkEnd w:id="785"/>
      <w: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786" w:name="_Toc98648113"/>
      <w:bookmarkStart w:id="787" w:name="_Toc101842762"/>
      <w:bookmarkStart w:id="788" w:name="_Toc139338710"/>
      <w:bookmarkStart w:id="789" w:name="_Toc139338820"/>
      <w:bookmarkStart w:id="790" w:name="_Toc139338933"/>
      <w:bookmarkStart w:id="791" w:name="_Toc139434292"/>
      <w:bookmarkStart w:id="792" w:name="_Toc139439245"/>
      <w:bookmarkStart w:id="793" w:name="_Toc139439355"/>
      <w:bookmarkStart w:id="794" w:name="_Toc139439428"/>
      <w:bookmarkStart w:id="795" w:name="_Toc157997583"/>
      <w:bookmarkStart w:id="796" w:name="_Toc158000529"/>
      <w:bookmarkStart w:id="797" w:name="_Toc241056488"/>
      <w:bookmarkStart w:id="798" w:name="_Toc258420418"/>
      <w:bookmarkStart w:id="799" w:name="_Toc258424888"/>
      <w:bookmarkStart w:id="800" w:name="_Toc259530033"/>
      <w:bookmarkStart w:id="801" w:name="_Toc259530156"/>
      <w:bookmarkStart w:id="802" w:name="_Toc263761922"/>
      <w:bookmarkStart w:id="803" w:name="_Toc263856411"/>
      <w:bookmarkStart w:id="804" w:name="_Toc263856535"/>
      <w:bookmarkStart w:id="805" w:name="_Toc274303857"/>
      <w:r>
        <w:rPr>
          <w:rStyle w:val="CharSchNo"/>
        </w:rPr>
        <w:t>Schedule 4</w:t>
      </w:r>
      <w:r>
        <w:t> — </w:t>
      </w:r>
      <w:r>
        <w:rPr>
          <w:rStyle w:val="CharSchText"/>
        </w:rPr>
        <w:t>Savings, transitional and other provisions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ShoulderClause"/>
      </w:pPr>
      <w:r>
        <w:t>[s. 58]</w:t>
      </w:r>
    </w:p>
    <w:p>
      <w:pPr>
        <w:pStyle w:val="yFootnoteheading"/>
      </w:pPr>
      <w:r>
        <w:tab/>
        <w:t>[Heading inserted by No. 25 of 2004 s. 26.]</w:t>
      </w:r>
    </w:p>
    <w:p>
      <w:pPr>
        <w:pStyle w:val="yHeading3"/>
      </w:pPr>
      <w:bookmarkStart w:id="806" w:name="_Toc229299181"/>
      <w:bookmarkStart w:id="807" w:name="_Toc229456496"/>
      <w:bookmarkStart w:id="808" w:name="_Toc229561217"/>
      <w:bookmarkStart w:id="809" w:name="_Toc229561312"/>
      <w:bookmarkStart w:id="810" w:name="_Toc257386435"/>
      <w:bookmarkStart w:id="811" w:name="_Toc258417996"/>
      <w:bookmarkStart w:id="812" w:name="_Toc258420419"/>
      <w:bookmarkStart w:id="813" w:name="_Toc258424889"/>
      <w:bookmarkStart w:id="814" w:name="_Toc259530034"/>
      <w:bookmarkStart w:id="815" w:name="_Toc259530157"/>
      <w:bookmarkStart w:id="816" w:name="_Toc263761923"/>
      <w:bookmarkStart w:id="817" w:name="_Toc263856412"/>
      <w:bookmarkStart w:id="818" w:name="_Toc263856536"/>
      <w:bookmarkStart w:id="819" w:name="_Toc274303858"/>
      <w:bookmarkStart w:id="820" w:name="_Toc139338711"/>
      <w:r>
        <w:rPr>
          <w:rStyle w:val="CharSDivNo"/>
        </w:rPr>
        <w:t>Division 1</w:t>
      </w:r>
      <w:r>
        <w:rPr>
          <w:b w:val="0"/>
        </w:rPr>
        <w:t> — </w:t>
      </w:r>
      <w:r>
        <w:rPr>
          <w:rStyle w:val="CharSDivText"/>
        </w:rPr>
        <w:t xml:space="preserve">Provisions relating to the </w:t>
      </w:r>
      <w:r>
        <w:rPr>
          <w:rStyle w:val="CharSDivText"/>
          <w:i/>
          <w:iCs/>
        </w:rPr>
        <w:t>Professional Standards Amendment Act 20</w:t>
      </w:r>
      <w:bookmarkEnd w:id="806"/>
      <w:bookmarkEnd w:id="807"/>
      <w:bookmarkEnd w:id="808"/>
      <w:bookmarkEnd w:id="809"/>
      <w:bookmarkEnd w:id="810"/>
      <w:r>
        <w:rPr>
          <w:rStyle w:val="CharSDivText"/>
          <w:i/>
          <w:iCs/>
        </w:rPr>
        <w:t>04</w:t>
      </w:r>
      <w:bookmarkEnd w:id="811"/>
      <w:bookmarkEnd w:id="812"/>
      <w:bookmarkEnd w:id="813"/>
      <w:bookmarkEnd w:id="814"/>
      <w:bookmarkEnd w:id="815"/>
      <w:bookmarkEnd w:id="816"/>
      <w:bookmarkEnd w:id="817"/>
      <w:bookmarkEnd w:id="818"/>
      <w:bookmarkEnd w:id="819"/>
    </w:p>
    <w:p>
      <w:pPr>
        <w:pStyle w:val="yFootnoteheading"/>
      </w:pPr>
      <w:r>
        <w:tab/>
        <w:t>[Heading inserted by No. 3 of 2010 s. 29(2).]</w:t>
      </w:r>
    </w:p>
    <w:p>
      <w:pPr>
        <w:pStyle w:val="yHeading5"/>
        <w:outlineLvl w:val="9"/>
      </w:pPr>
      <w:bookmarkStart w:id="821" w:name="_Toc274303859"/>
      <w:r>
        <w:rPr>
          <w:rStyle w:val="CharSClsNo"/>
        </w:rPr>
        <w:t>1</w:t>
      </w:r>
      <w:r>
        <w:t>.</w:t>
      </w:r>
      <w:r>
        <w:tab/>
        <w:t>Terms used</w:t>
      </w:r>
      <w:bookmarkEnd w:id="820"/>
      <w:bookmarkEnd w:id="821"/>
    </w:p>
    <w:p>
      <w:pPr>
        <w:pStyle w:val="ySubsection"/>
        <w:spacing w:before="120"/>
      </w:pPr>
      <w:r>
        <w:tab/>
      </w:r>
      <w:r>
        <w:tab/>
        <w:t>In this Division —</w:t>
      </w:r>
    </w:p>
    <w:p>
      <w:pPr>
        <w:pStyle w:val="yDefstart"/>
      </w:pPr>
      <w:r>
        <w:tab/>
      </w:r>
      <w:r>
        <w:rPr>
          <w:rStyle w:val="CharDefText"/>
        </w:rPr>
        <w:t>amending Act</w:t>
      </w:r>
      <w:r>
        <w:t xml:space="preserve"> means the </w:t>
      </w:r>
      <w:r>
        <w:rPr>
          <w:i/>
        </w:rPr>
        <w:t>Professional Standards Amendment Act 2004</w:t>
      </w:r>
      <w:r>
        <w:t>;</w:t>
      </w:r>
    </w:p>
    <w:p>
      <w:pPr>
        <w:pStyle w:val="yDefstart"/>
      </w:pPr>
      <w:r>
        <w:tab/>
      </w:r>
      <w:r>
        <w:rPr>
          <w:rStyle w:val="CharDefText"/>
        </w:rPr>
        <w:t>commencement</w:t>
      </w:r>
      <w:r>
        <w:t xml:space="preserve"> means the commencement of the amending Act</w:t>
      </w:r>
      <w:r>
        <w:rPr>
          <w:vertAlign w:val="superscript"/>
        </w:rPr>
        <w:t> 1</w:t>
      </w:r>
      <w:r>
        <w:t>.</w:t>
      </w:r>
    </w:p>
    <w:p>
      <w:pPr>
        <w:pStyle w:val="yFootnotesection"/>
      </w:pPr>
      <w:r>
        <w:tab/>
        <w:t>[Clause 1 inserted by No. 25 of 2004 s. 26; amended by No. 3 of 2010 s. 29(3).]</w:t>
      </w:r>
    </w:p>
    <w:p>
      <w:pPr>
        <w:pStyle w:val="yHeading5"/>
        <w:outlineLvl w:val="9"/>
      </w:pPr>
      <w:bookmarkStart w:id="822" w:name="_Toc139338712"/>
      <w:bookmarkStart w:id="823" w:name="_Toc274303860"/>
      <w:r>
        <w:rPr>
          <w:rStyle w:val="CharSClsNo"/>
        </w:rPr>
        <w:t>2</w:t>
      </w:r>
      <w:r>
        <w:t>.</w:t>
      </w:r>
      <w:r>
        <w:tab/>
        <w:t>Review of schemes</w:t>
      </w:r>
      <w:bookmarkEnd w:id="822"/>
      <w:bookmarkEnd w:id="823"/>
    </w:p>
    <w:p>
      <w:pPr>
        <w:pStyle w:val="ySubsection"/>
        <w:spacing w:before="120"/>
      </w:pPr>
      <w:r>
        <w:tab/>
      </w:r>
      <w:r>
        <w:tab/>
        <w:t>Section 29, as inserted by the amending Act, extends to apply in respect of schemes in force at the commencement.</w:t>
      </w:r>
    </w:p>
    <w:p>
      <w:pPr>
        <w:pStyle w:val="yFootnotesection"/>
      </w:pPr>
      <w:r>
        <w:tab/>
        <w:t>[Clause 2 inserted by No. 25 of 2004 s. 26.]</w:t>
      </w:r>
    </w:p>
    <w:p>
      <w:pPr>
        <w:pStyle w:val="yHeading5"/>
        <w:outlineLvl w:val="9"/>
      </w:pPr>
      <w:bookmarkStart w:id="824" w:name="_Toc139338713"/>
      <w:bookmarkStart w:id="825" w:name="_Toc274303861"/>
      <w:r>
        <w:rPr>
          <w:rStyle w:val="CharSClsNo"/>
        </w:rPr>
        <w:t>3</w:t>
      </w:r>
      <w:r>
        <w:t>.</w:t>
      </w:r>
      <w:r>
        <w:tab/>
        <w:t>Limitation of damages in respect of subsisting causes of action</w:t>
      </w:r>
      <w:bookmarkEnd w:id="824"/>
      <w:bookmarkEnd w:id="825"/>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by No. 25 of 2004 s. 26.]</w:t>
      </w:r>
    </w:p>
    <w:p>
      <w:pPr>
        <w:pStyle w:val="yHeading5"/>
        <w:outlineLvl w:val="9"/>
      </w:pPr>
      <w:bookmarkStart w:id="826" w:name="_Toc139338714"/>
      <w:bookmarkStart w:id="827" w:name="_Toc274303862"/>
      <w:r>
        <w:rPr>
          <w:rStyle w:val="CharSClsNo"/>
        </w:rPr>
        <w:t>4</w:t>
      </w:r>
      <w:r>
        <w:t>.</w:t>
      </w:r>
      <w:r>
        <w:tab/>
        <w:t>Determination of extent of limitation of damages</w:t>
      </w:r>
      <w:bookmarkEnd w:id="826"/>
      <w:bookmarkEnd w:id="827"/>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by No. 25 of 2004 s. 26.]</w:t>
      </w:r>
    </w:p>
    <w:p>
      <w:pPr>
        <w:pStyle w:val="yHeading5"/>
        <w:outlineLvl w:val="9"/>
      </w:pPr>
      <w:bookmarkStart w:id="828" w:name="_Toc139338715"/>
      <w:bookmarkStart w:id="829" w:name="_Toc274303863"/>
      <w:r>
        <w:rPr>
          <w:rStyle w:val="CharSClsNo"/>
        </w:rPr>
        <w:t>5</w:t>
      </w:r>
      <w:r>
        <w:t>.</w:t>
      </w:r>
      <w:r>
        <w:tab/>
        <w:t>Fees for applications for approval of amendment to or revocation of scheme</w:t>
      </w:r>
      <w:bookmarkEnd w:id="828"/>
      <w:bookmarkEnd w:id="829"/>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by No. 25 of 2004 s. 26.]</w:t>
      </w:r>
    </w:p>
    <w:p>
      <w:pPr>
        <w:pStyle w:val="yHeading5"/>
        <w:outlineLvl w:val="9"/>
      </w:pPr>
      <w:bookmarkStart w:id="830" w:name="_Toc139338716"/>
      <w:bookmarkStart w:id="831" w:name="_Toc274303864"/>
      <w:r>
        <w:rPr>
          <w:rStyle w:val="CharSClsNo"/>
        </w:rPr>
        <w:t>6</w:t>
      </w:r>
      <w:r>
        <w:t>.</w:t>
      </w:r>
      <w:r>
        <w:tab/>
        <w:t>Regulations for savings or transitional purposes</w:t>
      </w:r>
      <w:bookmarkEnd w:id="830"/>
      <w:bookmarkEnd w:id="831"/>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subclause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subclause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25 of 2004 s. 26; amended by No. 3 of 2010 s. 29(4).]</w:t>
      </w:r>
    </w:p>
    <w:p>
      <w:pPr>
        <w:pStyle w:val="yHeading3"/>
      </w:pPr>
      <w:bookmarkStart w:id="832" w:name="_Toc229299182"/>
      <w:bookmarkStart w:id="833" w:name="_Toc229456497"/>
      <w:bookmarkStart w:id="834" w:name="_Toc229561218"/>
      <w:bookmarkStart w:id="835" w:name="_Toc229561313"/>
      <w:bookmarkStart w:id="836" w:name="_Toc257386436"/>
      <w:bookmarkStart w:id="837" w:name="_Toc258417997"/>
      <w:bookmarkStart w:id="838" w:name="_Toc258420426"/>
      <w:bookmarkStart w:id="839" w:name="_Toc258424896"/>
      <w:bookmarkStart w:id="840" w:name="_Toc259530041"/>
      <w:bookmarkStart w:id="841" w:name="_Toc259530164"/>
      <w:bookmarkStart w:id="842" w:name="_Toc263761930"/>
      <w:bookmarkStart w:id="843" w:name="_Toc263856419"/>
      <w:bookmarkStart w:id="844" w:name="_Toc263856543"/>
      <w:bookmarkStart w:id="845" w:name="_Toc274303865"/>
      <w:r>
        <w:rPr>
          <w:rStyle w:val="CharSDivNo"/>
        </w:rPr>
        <w:t>Division 2</w:t>
      </w:r>
      <w:r>
        <w:rPr>
          <w:b w:val="0"/>
        </w:rPr>
        <w:t> — </w:t>
      </w:r>
      <w:r>
        <w:rPr>
          <w:rStyle w:val="CharSDivText"/>
        </w:rPr>
        <w:t xml:space="preserve">Provisions relating to the </w:t>
      </w:r>
      <w:r>
        <w:rPr>
          <w:rStyle w:val="CharSDivText"/>
          <w:i/>
          <w:iCs/>
        </w:rPr>
        <w:t>Professional Standards Amendment Act 20</w:t>
      </w:r>
      <w:bookmarkEnd w:id="832"/>
      <w:bookmarkEnd w:id="833"/>
      <w:bookmarkEnd w:id="834"/>
      <w:bookmarkEnd w:id="835"/>
      <w:bookmarkEnd w:id="836"/>
      <w:r>
        <w:rPr>
          <w:rStyle w:val="CharSDivText"/>
          <w:i/>
          <w:iCs/>
        </w:rPr>
        <w:t>10</w:t>
      </w:r>
      <w:bookmarkEnd w:id="837"/>
      <w:bookmarkEnd w:id="838"/>
      <w:bookmarkEnd w:id="839"/>
      <w:bookmarkEnd w:id="840"/>
      <w:bookmarkEnd w:id="841"/>
      <w:bookmarkEnd w:id="842"/>
      <w:bookmarkEnd w:id="843"/>
      <w:bookmarkEnd w:id="844"/>
      <w:bookmarkEnd w:id="845"/>
    </w:p>
    <w:p>
      <w:pPr>
        <w:pStyle w:val="yFootnoteheading"/>
      </w:pPr>
      <w:bookmarkStart w:id="846" w:name="_Toc257386437"/>
      <w:bookmarkStart w:id="847" w:name="_Toc258417998"/>
      <w:r>
        <w:tab/>
        <w:t>[Heading inserted by No. 3 of 2010 s. 29(5).]</w:t>
      </w:r>
    </w:p>
    <w:p>
      <w:pPr>
        <w:pStyle w:val="yHeading5"/>
      </w:pPr>
      <w:bookmarkStart w:id="848" w:name="_Toc274303866"/>
      <w:r>
        <w:rPr>
          <w:rStyle w:val="CharSClsNo"/>
        </w:rPr>
        <w:t>7</w:t>
      </w:r>
      <w:r>
        <w:t>.</w:t>
      </w:r>
      <w:r>
        <w:rPr>
          <w:b w:val="0"/>
        </w:rPr>
        <w:tab/>
      </w:r>
      <w:r>
        <w:t>Terms used</w:t>
      </w:r>
      <w:bookmarkEnd w:id="846"/>
      <w:bookmarkEnd w:id="847"/>
      <w:bookmarkEnd w:id="848"/>
    </w:p>
    <w:p>
      <w:pPr>
        <w:pStyle w:val="ySubsection"/>
        <w:spacing w:before="120"/>
      </w:pPr>
      <w:r>
        <w:tab/>
      </w:r>
      <w:r>
        <w:tab/>
        <w:t xml:space="preserve">In this Division — </w:t>
      </w:r>
    </w:p>
    <w:p>
      <w:pPr>
        <w:pStyle w:val="yDefstart"/>
      </w:pPr>
      <w:r>
        <w:tab/>
      </w:r>
      <w:r>
        <w:rPr>
          <w:rStyle w:val="CharDefText"/>
        </w:rPr>
        <w:t>amending Act</w:t>
      </w:r>
      <w:r>
        <w:t xml:space="preserve"> means the </w:t>
      </w:r>
      <w:r>
        <w:rPr>
          <w:i/>
          <w:iCs/>
        </w:rPr>
        <w:t>Professional Standards Amendment Act 2010</w:t>
      </w:r>
      <w:r>
        <w:t>;</w:t>
      </w:r>
    </w:p>
    <w:p>
      <w:pPr>
        <w:pStyle w:val="yDefstart"/>
        <w:rPr>
          <w:b/>
          <w:bCs/>
          <w:i/>
          <w:iCs/>
        </w:rPr>
      </w:pPr>
      <w:r>
        <w:tab/>
      </w:r>
      <w:r>
        <w:rPr>
          <w:rStyle w:val="CharDefText"/>
        </w:rPr>
        <w:t>commencement day</w:t>
      </w:r>
      <w:r>
        <w:t xml:space="preserve"> means the day mentioned in the amending Act section 2(b)</w:t>
      </w:r>
      <w:r>
        <w:rPr>
          <w:vertAlign w:val="superscript"/>
        </w:rPr>
        <w:t> 1</w:t>
      </w:r>
      <w:r>
        <w:t>.</w:t>
      </w:r>
    </w:p>
    <w:p>
      <w:pPr>
        <w:pStyle w:val="yFootnotesection"/>
      </w:pPr>
      <w:bookmarkStart w:id="849" w:name="_Toc257386438"/>
      <w:bookmarkStart w:id="850" w:name="_Toc258417999"/>
      <w:r>
        <w:tab/>
        <w:t>[Clause 7 inserted by No. 3 of 2010 s. 29(5).]</w:t>
      </w:r>
    </w:p>
    <w:p>
      <w:pPr>
        <w:pStyle w:val="yHeading5"/>
        <w:spacing w:before="180"/>
      </w:pPr>
      <w:bookmarkStart w:id="851" w:name="_Toc274303867"/>
      <w:r>
        <w:rPr>
          <w:rStyle w:val="CharSClsNo"/>
        </w:rPr>
        <w:t>8</w:t>
      </w:r>
      <w:r>
        <w:t>.</w:t>
      </w:r>
      <w:r>
        <w:rPr>
          <w:b w:val="0"/>
        </w:rPr>
        <w:tab/>
      </w:r>
      <w:r>
        <w:t>Personal injury claims</w:t>
      </w:r>
      <w:bookmarkEnd w:id="849"/>
      <w:bookmarkEnd w:id="850"/>
      <w:bookmarkEnd w:id="851"/>
    </w:p>
    <w:p>
      <w:pPr>
        <w:pStyle w:val="ySubsection"/>
        <w:spacing w:before="120"/>
      </w:pPr>
      <w:r>
        <w:tab/>
      </w:r>
      <w:r>
        <w:tab/>
        <w:t>Section 5, as in force immediately before commencement day, continues to apply to a cause of action that arose before commencement day.</w:t>
      </w:r>
    </w:p>
    <w:p>
      <w:pPr>
        <w:pStyle w:val="yFootnotesection"/>
      </w:pPr>
      <w:bookmarkStart w:id="852" w:name="_Toc257386439"/>
      <w:bookmarkStart w:id="853" w:name="_Toc258418000"/>
      <w:r>
        <w:tab/>
        <w:t>[Clause 8 inserted by No. 3 of 2010 s. 29(5).]</w:t>
      </w:r>
    </w:p>
    <w:p>
      <w:pPr>
        <w:pStyle w:val="yHeading5"/>
        <w:spacing w:before="180"/>
      </w:pPr>
      <w:bookmarkStart w:id="854" w:name="_Toc274303868"/>
      <w:r>
        <w:rPr>
          <w:rStyle w:val="CharSClsNo"/>
        </w:rPr>
        <w:t>9</w:t>
      </w:r>
      <w:r>
        <w:t>.</w:t>
      </w:r>
      <w:r>
        <w:rPr>
          <w:b w:val="0"/>
        </w:rPr>
        <w:tab/>
      </w:r>
      <w:r>
        <w:t>Application of schemes to officers, partners, employees and associates</w:t>
      </w:r>
      <w:bookmarkEnd w:id="852"/>
      <w:bookmarkEnd w:id="853"/>
      <w:bookmarkEnd w:id="854"/>
    </w:p>
    <w:p>
      <w:pPr>
        <w:pStyle w:val="ySubsection"/>
        <w:spacing w:before="120"/>
      </w:pPr>
      <w:r>
        <w:tab/>
      </w:r>
      <w:r>
        <w:tab/>
        <w:t>Section 34A, as in force on and from commencement day, does not apply to a cause of action that arose before commencement day.</w:t>
      </w:r>
    </w:p>
    <w:p>
      <w:pPr>
        <w:pStyle w:val="yFootnotesection"/>
      </w:pPr>
      <w:bookmarkStart w:id="855" w:name="_Toc257386440"/>
      <w:bookmarkStart w:id="856" w:name="_Toc258418001"/>
      <w:r>
        <w:tab/>
        <w:t>[Clause 9 inserted by No. 3 of 2010 s. 29(5).]</w:t>
      </w:r>
    </w:p>
    <w:p>
      <w:pPr>
        <w:pStyle w:val="yHeading5"/>
        <w:spacing w:before="180"/>
      </w:pPr>
      <w:bookmarkStart w:id="857" w:name="_Toc274303869"/>
      <w:r>
        <w:rPr>
          <w:rStyle w:val="CharSClsNo"/>
        </w:rPr>
        <w:t>10</w:t>
      </w:r>
      <w:r>
        <w:t>.</w:t>
      </w:r>
      <w:r>
        <w:rPr>
          <w:b w:val="0"/>
        </w:rPr>
        <w:tab/>
      </w:r>
      <w:r>
        <w:t>Associated defendants</w:t>
      </w:r>
      <w:bookmarkEnd w:id="855"/>
      <w:bookmarkEnd w:id="856"/>
      <w:bookmarkEnd w:id="857"/>
    </w:p>
    <w:p>
      <w:pPr>
        <w:pStyle w:val="ySubsection"/>
        <w:spacing w:before="120"/>
      </w:pPr>
      <w:r>
        <w:tab/>
      </w:r>
      <w:r>
        <w:tab/>
        <w:t>The application of section 42, as in force on and from commencement day, extends to a cause of action that arose before commencement day but not so as to affect any decision of a court, or any compromise or settlement made before commencement day.</w:t>
      </w:r>
    </w:p>
    <w:p>
      <w:pPr>
        <w:pStyle w:val="yFootnotesection"/>
      </w:pPr>
      <w:bookmarkStart w:id="858" w:name="_Toc257386441"/>
      <w:bookmarkStart w:id="859" w:name="_Toc258418002"/>
      <w:r>
        <w:tab/>
        <w:t>[Clause 10 inserted by No. 3 of 2010 s. 29(5).]</w:t>
      </w:r>
    </w:p>
    <w:p>
      <w:pPr>
        <w:pStyle w:val="yHeading5"/>
        <w:spacing w:before="180"/>
      </w:pPr>
      <w:bookmarkStart w:id="860" w:name="_Toc274303870"/>
      <w:r>
        <w:rPr>
          <w:rStyle w:val="CharSClsNo"/>
        </w:rPr>
        <w:t>11</w:t>
      </w:r>
      <w:r>
        <w:t>.</w:t>
      </w:r>
      <w:r>
        <w:rPr>
          <w:b w:val="0"/>
        </w:rPr>
        <w:tab/>
      </w:r>
      <w:r>
        <w:t>Expiry date of existing schemes</w:t>
      </w:r>
      <w:bookmarkEnd w:id="858"/>
      <w:bookmarkEnd w:id="859"/>
      <w:bookmarkEnd w:id="860"/>
    </w:p>
    <w:p>
      <w:pPr>
        <w:pStyle w:val="ySubsection"/>
        <w:spacing w:before="120"/>
      </w:pPr>
      <w:r>
        <w:tab/>
      </w:r>
      <w:r>
        <w:tab/>
        <w:t>Any period determined by the Council under section 44A(1), as in force before commencement day, as the period for which a scheme is to remain in force is to be taken to be specified in the scheme.</w:t>
      </w:r>
    </w:p>
    <w:p>
      <w:pPr>
        <w:pStyle w:val="yFootnotesection"/>
      </w:pPr>
      <w:bookmarkStart w:id="861" w:name="_Toc257386442"/>
      <w:bookmarkStart w:id="862" w:name="_Toc258418003"/>
      <w:r>
        <w:tab/>
        <w:t>[Clause 11 inserted by No. 3 of 2010 s. 29(5).]</w:t>
      </w:r>
    </w:p>
    <w:p>
      <w:pPr>
        <w:pStyle w:val="yHeading5"/>
      </w:pPr>
      <w:bookmarkStart w:id="863" w:name="_Toc274303871"/>
      <w:r>
        <w:rPr>
          <w:rStyle w:val="CharSClsNo"/>
        </w:rPr>
        <w:t>12</w:t>
      </w:r>
      <w:r>
        <w:t>.</w:t>
      </w:r>
      <w:r>
        <w:rPr>
          <w:b w:val="0"/>
        </w:rPr>
        <w:tab/>
      </w:r>
      <w:r>
        <w:t>Application of clause 6</w:t>
      </w:r>
      <w:bookmarkEnd w:id="861"/>
      <w:bookmarkEnd w:id="862"/>
      <w:bookmarkEnd w:id="863"/>
    </w:p>
    <w:p>
      <w:pPr>
        <w:pStyle w:val="ySubsection"/>
      </w:pPr>
      <w:r>
        <w:tab/>
      </w:r>
      <w:r>
        <w:tab/>
        <w:t>The provisions of clause 6 apply in relation to the amending Act as if those provisions were part of this Division.</w:t>
      </w:r>
    </w:p>
    <w:p>
      <w:pPr>
        <w:pStyle w:val="yFootnotesection"/>
      </w:pPr>
      <w:r>
        <w:tab/>
        <w:t>[Clause 12 inserted by No. 3 of 2010 s. 29(5).]</w:t>
      </w:r>
    </w:p>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864" w:name="_Toc84237412"/>
      <w:bookmarkStart w:id="865" w:name="_Toc84308843"/>
      <w:bookmarkStart w:id="866" w:name="_Toc89584349"/>
      <w:bookmarkStart w:id="867" w:name="_Toc89584538"/>
      <w:bookmarkStart w:id="868" w:name="_Toc94348767"/>
      <w:bookmarkStart w:id="869" w:name="_Toc94419020"/>
      <w:bookmarkStart w:id="870" w:name="_Toc95890672"/>
      <w:bookmarkStart w:id="871" w:name="_Toc95894197"/>
      <w:bookmarkStart w:id="872" w:name="_Toc97618277"/>
      <w:bookmarkStart w:id="873" w:name="_Toc97622649"/>
      <w:bookmarkStart w:id="874" w:name="_Toc98316204"/>
      <w:bookmarkStart w:id="875" w:name="_Toc98320802"/>
      <w:bookmarkStart w:id="876" w:name="_Toc98648120"/>
      <w:bookmarkStart w:id="877" w:name="_Toc101842769"/>
      <w:bookmarkStart w:id="878" w:name="_Toc102369386"/>
      <w:bookmarkStart w:id="879" w:name="_Toc102453203"/>
      <w:bookmarkStart w:id="880" w:name="_Toc102538403"/>
      <w:bookmarkStart w:id="881" w:name="_Toc139338717"/>
      <w:bookmarkStart w:id="882" w:name="_Toc139338827"/>
      <w:bookmarkStart w:id="883" w:name="_Toc139338940"/>
      <w:bookmarkStart w:id="884" w:name="_Toc139434299"/>
      <w:bookmarkStart w:id="885" w:name="_Toc139439252"/>
      <w:bookmarkStart w:id="886" w:name="_Toc139439362"/>
      <w:bookmarkStart w:id="887" w:name="_Toc139439435"/>
      <w:bookmarkStart w:id="888" w:name="_Toc157997590"/>
      <w:bookmarkStart w:id="889" w:name="_Toc158000536"/>
      <w:bookmarkStart w:id="890" w:name="_Toc241056495"/>
      <w:bookmarkStart w:id="891" w:name="_Toc258420433"/>
      <w:bookmarkStart w:id="892" w:name="_Toc258424903"/>
      <w:bookmarkStart w:id="893" w:name="_Toc259530048"/>
      <w:bookmarkStart w:id="894" w:name="_Toc259530171"/>
      <w:bookmarkStart w:id="895" w:name="_Toc263761937"/>
      <w:bookmarkStart w:id="896" w:name="_Toc263856426"/>
      <w:bookmarkStart w:id="897" w:name="_Toc263856550"/>
      <w:bookmarkStart w:id="898" w:name="_Toc274303872"/>
      <w:r>
        <w:t>Notes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nSubsection"/>
        <w:rPr>
          <w:snapToGrid w:val="0"/>
        </w:rPr>
      </w:pPr>
      <w:r>
        <w:rPr>
          <w:snapToGrid w:val="0"/>
          <w:vertAlign w:val="superscript"/>
        </w:rPr>
        <w:t>1</w:t>
      </w:r>
      <w:r>
        <w:rPr>
          <w:snapToGrid w:val="0"/>
        </w:rPr>
        <w:tab/>
        <w:t xml:space="preserve">This is a compilation of the </w:t>
      </w:r>
      <w:r>
        <w:rPr>
          <w:i/>
        </w:rPr>
        <w:t>Professional Standards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99" w:name="_Toc139338718"/>
      <w:bookmarkStart w:id="900" w:name="_Toc274303873"/>
      <w:r>
        <w:rPr>
          <w:snapToGrid w:val="0"/>
        </w:rPr>
        <w:t>Compilation table</w:t>
      </w:r>
      <w:bookmarkEnd w:id="899"/>
      <w:bookmarkEnd w:id="90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sz w:val="19"/>
              </w:rPr>
              <w:t>Professional Standards Act 1997</w:t>
            </w:r>
          </w:p>
        </w:tc>
        <w:tc>
          <w:tcPr>
            <w:tcW w:w="1134" w:type="dxa"/>
            <w:tcBorders>
              <w:top w:val="single" w:sz="8" w:space="0" w:color="auto"/>
            </w:tcBorders>
          </w:tcPr>
          <w:p>
            <w:pPr>
              <w:pStyle w:val="nTable"/>
              <w:spacing w:after="40"/>
              <w:rPr>
                <w:sz w:val="19"/>
              </w:rPr>
            </w:pPr>
            <w:r>
              <w:rPr>
                <w:sz w:val="19"/>
              </w:rPr>
              <w:t>22 of 1997</w:t>
            </w:r>
          </w:p>
        </w:tc>
        <w:tc>
          <w:tcPr>
            <w:tcW w:w="1134" w:type="dxa"/>
            <w:tcBorders>
              <w:top w:val="single" w:sz="8" w:space="0" w:color="auto"/>
            </w:tcBorders>
          </w:tcPr>
          <w:p>
            <w:pPr>
              <w:pStyle w:val="nTable"/>
              <w:spacing w:after="40"/>
              <w:rPr>
                <w:sz w:val="19"/>
              </w:rPr>
            </w:pPr>
            <w:r>
              <w:rPr>
                <w:sz w:val="19"/>
              </w:rPr>
              <w:t>18 Sep 1997</w:t>
            </w:r>
          </w:p>
        </w:tc>
        <w:tc>
          <w:tcPr>
            <w:tcW w:w="2552" w:type="dxa"/>
            <w:tcBorders>
              <w:top w:val="single" w:sz="8" w:space="0" w:color="auto"/>
            </w:tcBorders>
          </w:tcPr>
          <w:p>
            <w:pPr>
              <w:pStyle w:val="nTable"/>
              <w:spacing w:after="40"/>
              <w:rPr>
                <w:sz w:val="19"/>
              </w:rPr>
            </w:pPr>
            <w:r>
              <w:rPr>
                <w:sz w:val="19"/>
              </w:rPr>
              <w:t>s. 1 and 2: 18 Sep 1997;</w:t>
            </w:r>
            <w:r>
              <w:rPr>
                <w:sz w:val="19"/>
              </w:rPr>
              <w:br/>
              <w:t xml:space="preserve">Act other than s. 1 and 2: 18 Apr 1998 (see s. 2 and </w:t>
            </w:r>
            <w:r>
              <w:rPr>
                <w:i/>
                <w:sz w:val="19"/>
              </w:rPr>
              <w:t>Gazette</w:t>
            </w:r>
            <w:r>
              <w:rPr>
                <w:sz w:val="19"/>
              </w:rPr>
              <w:t xml:space="preserve"> 17 Apr 1998 p. 2045)</w:t>
            </w:r>
          </w:p>
        </w:tc>
      </w:tr>
      <w:tr>
        <w:tc>
          <w:tcPr>
            <w:tcW w:w="2269" w:type="dxa"/>
          </w:tcPr>
          <w:p>
            <w:pPr>
              <w:pStyle w:val="nTable"/>
              <w:spacing w:after="40"/>
              <w:rPr>
                <w:sz w:val="19"/>
              </w:rPr>
            </w:pPr>
            <w:r>
              <w:rPr>
                <w:i/>
                <w:sz w:val="19"/>
              </w:rPr>
              <w:t>Statutes (Repeals and Minor Amendments) Act 2003</w:t>
            </w:r>
            <w:r>
              <w:rPr>
                <w:sz w:val="19"/>
              </w:rPr>
              <w:t xml:space="preserve"> s. 95 and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9"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r>
              <w:rPr>
                <w:sz w:val="19"/>
              </w:rPr>
              <w:t>s. 1 and 2: 28 Sep 2004;</w:t>
            </w:r>
            <w:r>
              <w:rPr>
                <w:sz w:val="19"/>
              </w:rPr>
              <w:br/>
              <w:t xml:space="preserve">Act other than s. 1 and 2: 26 Jan 2005 (see s. 2 and </w:t>
            </w:r>
            <w:r>
              <w:rPr>
                <w:i/>
                <w:sz w:val="19"/>
              </w:rPr>
              <w:t>Gazette</w:t>
            </w:r>
            <w:r>
              <w:rPr>
                <w:sz w:val="19"/>
              </w:rPr>
              <w:t xml:space="preserve"> 25 Jan 2005 p. 339)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 Mar 2005</w:t>
            </w:r>
            <w:r>
              <w:rPr>
                <w:sz w:val="19"/>
              </w:rPr>
              <w:t xml:space="preserve"> (includes amendments listed above except those in the </w:t>
            </w:r>
            <w:r>
              <w:rPr>
                <w:i/>
                <w:sz w:val="19"/>
              </w:rPr>
              <w:t>Courts Legislation Amendment and Repeal Act 2004</w:t>
            </w:r>
            <w:r>
              <w:rPr>
                <w:sz w:val="19"/>
              </w:rPr>
              <w:t>)</w:t>
            </w:r>
          </w:p>
        </w:tc>
      </w:tr>
      <w:tr>
        <w:tc>
          <w:tcPr>
            <w:tcW w:w="2269" w:type="dxa"/>
          </w:tcPr>
          <w:p>
            <w:pPr>
              <w:pStyle w:val="nTable"/>
              <w:spacing w:after="40"/>
              <w:rPr>
                <w:i/>
                <w:sz w:val="19"/>
              </w:rPr>
            </w:pPr>
            <w:r>
              <w:rPr>
                <w:i/>
                <w:sz w:val="19"/>
              </w:rPr>
              <w:t xml:space="preserve">Machinery of Government (Miscellaneous Amendments) Act 2006 </w:t>
            </w:r>
            <w:r>
              <w:rPr>
                <w:sz w:val="19"/>
              </w:rPr>
              <w:t>Pt. 3 Div. 4</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9"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Sch. 1 cl. 134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Professional Standards Amendment Act 2010</w:t>
            </w:r>
          </w:p>
        </w:tc>
        <w:tc>
          <w:tcPr>
            <w:tcW w:w="1134" w:type="dxa"/>
          </w:tcPr>
          <w:p>
            <w:pPr>
              <w:pStyle w:val="nTable"/>
              <w:spacing w:after="40"/>
              <w:rPr>
                <w:sz w:val="19"/>
              </w:rPr>
            </w:pPr>
            <w:r>
              <w:rPr>
                <w:sz w:val="19"/>
              </w:rPr>
              <w:t>3 of 2010</w:t>
            </w:r>
          </w:p>
        </w:tc>
        <w:tc>
          <w:tcPr>
            <w:tcW w:w="1134" w:type="dxa"/>
          </w:tcPr>
          <w:p>
            <w:pPr>
              <w:pStyle w:val="nTable"/>
              <w:spacing w:after="40"/>
              <w:rPr>
                <w:sz w:val="19"/>
              </w:rPr>
            </w:pPr>
            <w:r>
              <w:rPr>
                <w:sz w:val="19"/>
              </w:rPr>
              <w:t>7 Apr 2010</w:t>
            </w:r>
          </w:p>
        </w:tc>
        <w:tc>
          <w:tcPr>
            <w:tcW w:w="2552" w:type="dxa"/>
          </w:tcPr>
          <w:p>
            <w:pPr>
              <w:pStyle w:val="nTable"/>
              <w:spacing w:after="40"/>
              <w:rPr>
                <w:sz w:val="19"/>
              </w:rPr>
            </w:pPr>
            <w:r>
              <w:rPr>
                <w:sz w:val="19"/>
              </w:rPr>
              <w:t>Pt. 1: 7 Apr 2010 (see s. 2(a));</w:t>
            </w:r>
            <w:r>
              <w:rPr>
                <w:sz w:val="19"/>
              </w:rPr>
              <w:br/>
              <w:t>Act other than Pt. 1: 8 Apr 2010 (see s. 2(b))</w:t>
            </w:r>
          </w:p>
        </w:tc>
      </w:tr>
      <w:tr>
        <w:trPr>
          <w:cantSplit/>
        </w:trPr>
        <w:tc>
          <w:tcPr>
            <w:tcW w:w="7089" w:type="dxa"/>
            <w:gridSpan w:val="4"/>
            <w:tcBorders>
              <w:bottom w:val="single" w:sz="4" w:space="0" w:color="auto"/>
            </w:tcBorders>
          </w:tcPr>
          <w:p>
            <w:pPr>
              <w:pStyle w:val="nTable"/>
              <w:spacing w:after="40"/>
              <w:rPr>
                <w:sz w:val="19"/>
              </w:rPr>
            </w:pPr>
            <w:r>
              <w:rPr>
                <w:b/>
                <w:sz w:val="19"/>
              </w:rPr>
              <w:t xml:space="preserve">Reprint 2: The </w:t>
            </w:r>
            <w:r>
              <w:rPr>
                <w:b/>
                <w:i/>
                <w:sz w:val="19"/>
              </w:rPr>
              <w:t xml:space="preserve">Professional Standards Act 1997 </w:t>
            </w:r>
            <w:r>
              <w:rPr>
                <w:b/>
                <w:sz w:val="19"/>
              </w:rPr>
              <w:t>as at 11 Jun 2010</w:t>
            </w:r>
            <w:r>
              <w:rPr>
                <w:sz w:val="19"/>
              </w:rPr>
              <w:t xml:space="preserve"> (includes amendments listed above) </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01" w:name="_Toc534778309"/>
      <w:bookmarkStart w:id="902" w:name="_Toc7405063"/>
      <w:bookmarkStart w:id="903" w:name="_Toc274303874"/>
      <w:r>
        <w:rPr>
          <w:snapToGrid w:val="0"/>
        </w:rPr>
        <w:t>Provisions that have not come into operation</w:t>
      </w:r>
      <w:bookmarkEnd w:id="901"/>
      <w:bookmarkEnd w:id="902"/>
      <w:bookmarkEnd w:id="90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904" w:author="svcMRProcess" w:date="2020-02-18T14:21:00Z">
              <w:r>
                <w:rPr>
                  <w:snapToGrid w:val="0"/>
                  <w:sz w:val="19"/>
                  <w:lang w:val="en-US"/>
                </w:rPr>
                <w:delText>To be proclaimed</w:delText>
              </w:r>
            </w:del>
            <w:ins w:id="905" w:author="svcMRProcess" w:date="2020-02-18T14:21:00Z">
              <w:r>
                <w:rPr>
                  <w:snapToGrid w:val="0"/>
                  <w:sz w:val="19"/>
                  <w:lang w:val="en-US"/>
                </w:rPr>
                <w:t>1 Dec 2010</w:t>
              </w:r>
            </w:ins>
            <w:r>
              <w:rPr>
                <w:snapToGrid w:val="0"/>
                <w:sz w:val="19"/>
                <w:lang w:val="en-US"/>
              </w:rPr>
              <w:t xml:space="preserve"> (see s.</w:t>
            </w:r>
            <w:del w:id="906" w:author="svcMRProcess" w:date="2020-02-18T14:21:00Z">
              <w:r>
                <w:rPr>
                  <w:snapToGrid w:val="0"/>
                  <w:sz w:val="19"/>
                  <w:lang w:val="en-US"/>
                </w:rPr>
                <w:delText xml:space="preserve"> </w:delText>
              </w:r>
            </w:del>
            <w:ins w:id="907" w:author="svcMRProcess" w:date="2020-02-18T14:21:00Z">
              <w:r>
                <w:rPr>
                  <w:snapToGrid w:val="0"/>
                  <w:sz w:val="19"/>
                  <w:lang w:val="en-US"/>
                </w:rPr>
                <w:t> </w:t>
              </w:r>
            </w:ins>
            <w:r>
              <w:rPr>
                <w:snapToGrid w:val="0"/>
                <w:sz w:val="19"/>
                <w:lang w:val="en-US"/>
              </w:rPr>
              <w:t>2(b</w:t>
            </w:r>
            <w:del w:id="908" w:author="svcMRProcess" w:date="2020-02-18T14:21:00Z">
              <w:r>
                <w:rPr>
                  <w:snapToGrid w:val="0"/>
                  <w:sz w:val="19"/>
                  <w:lang w:val="en-US"/>
                </w:rPr>
                <w:delText>))</w:delText>
              </w:r>
            </w:del>
            <w:ins w:id="909" w:author="svcMRProcess" w:date="2020-02-18T14:21: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w:t>
      </w:r>
      <w:bookmarkStart w:id="910" w:name="UpToHere"/>
      <w:bookmarkEnd w:id="910"/>
      <w:r>
        <w:rPr>
          <w:i/>
          <w:snapToGrid w:val="0"/>
          <w:sz w:val="20"/>
        </w:rPr>
        <w:t>ns Act 2001</w:t>
      </w:r>
      <w:r>
        <w:rPr>
          <w:snapToGrid w:val="0"/>
          <w:sz w:val="20"/>
        </w:rPr>
        <w:t xml:space="preserve"> of the Commonwealth, see Part 2 of the </w:t>
      </w:r>
      <w:r>
        <w:rPr>
          <w:i/>
          <w:snapToGrid w:val="0"/>
          <w:sz w:val="20"/>
        </w:rPr>
        <w:t>Corporations (Ancillary Provisions) Act 2001</w:t>
      </w:r>
      <w:r>
        <w:rPr>
          <w:snapToGrid w:val="0"/>
          <w:sz w:val="20"/>
        </w:rPr>
        <w:t>.</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911" w:name="_Toc273538032"/>
      <w:bookmarkStart w:id="912" w:name="_Toc273964959"/>
      <w:bookmarkStart w:id="913" w:name="_Toc273971506"/>
      <w:r>
        <w:rPr>
          <w:rStyle w:val="CharSectno"/>
        </w:rPr>
        <w:t>89</w:t>
      </w:r>
      <w:r>
        <w:t>.</w:t>
      </w:r>
      <w:r>
        <w:tab/>
        <w:t>Various references to “Minister for Public Sector Management” amended</w:t>
      </w:r>
      <w:bookmarkEnd w:id="911"/>
      <w:bookmarkEnd w:id="912"/>
      <w:bookmarkEnd w:id="91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trPr>
        <w:tc>
          <w:tcPr>
            <w:tcW w:w="3287" w:type="dxa"/>
          </w:tcPr>
          <w:p>
            <w:pPr>
              <w:pStyle w:val="nzTable"/>
              <w:rPr>
                <w:i/>
                <w:iCs/>
              </w:rPr>
            </w:pPr>
            <w:r>
              <w:rPr>
                <w:i/>
                <w:iCs/>
              </w:rPr>
              <w:t>Professional Standards Act 1997</w:t>
            </w:r>
          </w:p>
        </w:tc>
        <w:tc>
          <w:tcPr>
            <w:tcW w:w="2944" w:type="dxa"/>
          </w:tcPr>
          <w:p>
            <w:pPr>
              <w:pStyle w:val="nzTable"/>
            </w:pPr>
            <w:r>
              <w:t>Sch. 1 cl. 4(1) and (2) </w:t>
            </w:r>
          </w:p>
        </w:tc>
      </w:tr>
    </w:tbl>
    <w:p>
      <w:pPr>
        <w:pStyle w:val="BlankClose"/>
        <w:rPr>
          <w:snapToGrid w:val="0"/>
        </w:rPr>
      </w:pPr>
    </w:p>
    <w:p>
      <w:pPr>
        <w:spacing w:before="120"/>
        <w:ind w:left="454" w:hanging="454"/>
        <w:rPr>
          <w:snapToGrid w:val="0"/>
          <w:sz w:val="20"/>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FootnoteText"/>
      </w:pPr>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Professional Standards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Standards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41"/>
    <w:docVar w:name="WAFER_20151209085141" w:val="RemoveTrackChanges"/>
    <w:docVar w:name="WAFER_20151209085141_GUID" w:val="f69746e7-d4b3-47c9-ab00-fd01803d1b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11549</Words>
  <Characters>54978</Characters>
  <Application>Microsoft Office Word</Application>
  <DocSecurity>0</DocSecurity>
  <Lines>1446</Lines>
  <Paragraphs>811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65716</CharactersWithSpaces>
  <SharedDoc>false</SharedDoc>
  <HLinks>
    <vt:vector size="12" baseType="variant">
      <vt:variant>
        <vt:i4>5439608</vt:i4>
      </vt:variant>
      <vt:variant>
        <vt:i4>73099</vt:i4>
      </vt:variant>
      <vt:variant>
        <vt:i4>1025</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02-b0-02 - 02-c0-02</dc:title>
  <dc:subject/>
  <dc:creator/>
  <cp:keywords/>
  <dc:description/>
  <cp:lastModifiedBy>svcMRProcess</cp:lastModifiedBy>
  <cp:revision>2</cp:revision>
  <cp:lastPrinted>2010-06-08T04:03:00Z</cp:lastPrinted>
  <dcterms:created xsi:type="dcterms:W3CDTF">2020-02-18T06:21:00Z</dcterms:created>
  <dcterms:modified xsi:type="dcterms:W3CDTF">2020-02-18T06:21:00Z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1820</vt:i4>
  </property>
  <property fmtid="{D5CDD505-2E9C-101B-9397-08002B2CF9AE}" pid="6" name="ReprintedAsAt">
    <vt:filetime>2010-06-10T16:00:00Z</vt:filetime>
  </property>
  <property fmtid="{D5CDD505-2E9C-101B-9397-08002B2CF9AE}" pid="7" name="ReprintNo">
    <vt:lpwstr>2</vt:lpwstr>
  </property>
  <property fmtid="{D5CDD505-2E9C-101B-9397-08002B2CF9AE}" pid="8" name="FromSuffix">
    <vt:lpwstr>02-b0-02</vt:lpwstr>
  </property>
  <property fmtid="{D5CDD505-2E9C-101B-9397-08002B2CF9AE}" pid="9" name="FromAsAtDate">
    <vt:lpwstr>01 Oct 2010</vt:lpwstr>
  </property>
  <property fmtid="{D5CDD505-2E9C-101B-9397-08002B2CF9AE}" pid="10" name="ToSuffix">
    <vt:lpwstr>02-c0-02</vt:lpwstr>
  </property>
  <property fmtid="{D5CDD505-2E9C-101B-9397-08002B2CF9AE}" pid="11" name="ToAsAtDate">
    <vt:lpwstr>05 Nov 2010</vt:lpwstr>
  </property>
</Properties>
</file>