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Bentley Hospital By-laws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Nov 2010</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01 Jan 2011</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p>
    <w:p>
      <w:pPr>
        <w:pStyle w:val="NameofActReg"/>
      </w:pPr>
      <w:r>
        <w:t>Bentley Hospital By-laws 2001</w:t>
      </w:r>
    </w:p>
    <w:p>
      <w:pPr>
        <w:pStyle w:val="Heading2"/>
        <w:pageBreakBefore w:val="0"/>
      </w:pPr>
      <w:bookmarkStart w:id="0" w:name="_Toc377999009"/>
      <w:bookmarkStart w:id="1" w:name="_Toc190576003"/>
      <w:bookmarkStart w:id="2" w:name="_Toc278466602"/>
      <w:r>
        <w:rPr>
          <w:rStyle w:val="CharPartNo"/>
        </w:rPr>
        <w:t>P</w:t>
      </w:r>
      <w:bookmarkStart w:id="3" w:name="_GoBack"/>
      <w:bookmarkEnd w:id="3"/>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p>
    <w:p>
      <w:pPr>
        <w:pStyle w:val="Heading5"/>
      </w:pPr>
      <w:bookmarkStart w:id="4" w:name="_Toc377999010"/>
      <w:bookmarkStart w:id="5" w:name="_Toc278466603"/>
      <w:r>
        <w:rPr>
          <w:rStyle w:val="CharSectno"/>
        </w:rPr>
        <w:t>1</w:t>
      </w:r>
      <w:r>
        <w:t>.</w:t>
      </w:r>
      <w:r>
        <w:tab/>
        <w:t>Citation</w:t>
      </w:r>
      <w:bookmarkEnd w:id="4"/>
      <w:bookmarkEnd w:id="5"/>
    </w:p>
    <w:p>
      <w:pPr>
        <w:pStyle w:val="Subsection"/>
        <w:ind w:right="707"/>
        <w:rPr>
          <w:i/>
        </w:rPr>
      </w:pPr>
      <w:r>
        <w:tab/>
      </w:r>
      <w:r>
        <w:tab/>
      </w:r>
      <w:r>
        <w:rPr>
          <w:spacing w:val="-2"/>
        </w:rPr>
        <w:t>These by-laws</w:t>
      </w:r>
      <w:r>
        <w:t xml:space="preserve"> may be cited as the </w:t>
      </w:r>
      <w:r>
        <w:rPr>
          <w:i/>
        </w:rPr>
        <w:t>Bentley Hospital By</w:t>
      </w:r>
      <w:r>
        <w:rPr>
          <w:i/>
        </w:rPr>
        <w:noBreakHyphen/>
        <w:t>laws 2001.</w:t>
      </w:r>
    </w:p>
    <w:p>
      <w:pPr>
        <w:pStyle w:val="Heading5"/>
      </w:pPr>
      <w:bookmarkStart w:id="6" w:name="_Toc377999011"/>
      <w:bookmarkStart w:id="7" w:name="_Toc278466604"/>
      <w:r>
        <w:rPr>
          <w:rStyle w:val="CharSectno"/>
        </w:rPr>
        <w:t>2</w:t>
      </w:r>
      <w:r>
        <w:t>.</w:t>
      </w:r>
      <w:r>
        <w:tab/>
        <w:t>Interpretation</w:t>
      </w:r>
      <w:bookmarkEnd w:id="6"/>
      <w:bookmarkEnd w:id="7"/>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 to day management of the affairs of the Bentley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lastRenderedPageBreak/>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the site</w:t>
      </w:r>
      <w:r>
        <w:t xml:space="preserve"> means all of the land from time to time within lot 4196 on Part Reserve 43211 and lot 7 on Part Reserve 32081;</w:t>
      </w:r>
    </w:p>
    <w:p>
      <w:pPr>
        <w:pStyle w:val="Defstart"/>
      </w:pPr>
      <w:r>
        <w:rPr>
          <w:b/>
        </w:rPr>
        <w:tab/>
      </w:r>
      <w:r>
        <w:rPr>
          <w:rStyle w:val="CharDefText"/>
        </w:rPr>
        <w:t>vehicle</w:t>
      </w:r>
      <w:r>
        <w:t xml:space="preserve"> has the same definition as in the </w:t>
      </w:r>
      <w:r>
        <w:rPr>
          <w:i/>
        </w:rPr>
        <w:t>Road Traffic Act 1974</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Heading2"/>
      </w:pPr>
      <w:bookmarkStart w:id="8" w:name="_Toc377999012"/>
      <w:bookmarkStart w:id="9" w:name="_Toc190576006"/>
      <w:bookmarkStart w:id="10" w:name="_Toc278466605"/>
      <w:r>
        <w:rPr>
          <w:rStyle w:val="CharPartNo"/>
        </w:rPr>
        <w:t>Part 2</w:t>
      </w:r>
      <w:r>
        <w:rPr>
          <w:rStyle w:val="CharDivText"/>
        </w:rPr>
        <w:t xml:space="preserve"> </w:t>
      </w:r>
      <w:r>
        <w:t>—</w:t>
      </w:r>
      <w:r>
        <w:rPr>
          <w:rStyle w:val="CharDivText"/>
        </w:rPr>
        <w:t xml:space="preserve"> </w:t>
      </w:r>
      <w:r>
        <w:rPr>
          <w:rStyle w:val="CharPartText"/>
        </w:rPr>
        <w:t>Trespass and order</w:t>
      </w:r>
      <w:bookmarkEnd w:id="8"/>
      <w:bookmarkEnd w:id="9"/>
      <w:bookmarkEnd w:id="10"/>
    </w:p>
    <w:p>
      <w:pPr>
        <w:pStyle w:val="Heading5"/>
        <w:rPr>
          <w:snapToGrid w:val="0"/>
        </w:rPr>
      </w:pPr>
      <w:bookmarkStart w:id="11" w:name="_Toc377999013"/>
      <w:bookmarkStart w:id="12" w:name="_Toc278466606"/>
      <w:r>
        <w:rPr>
          <w:rStyle w:val="CharSectno"/>
        </w:rPr>
        <w:t>3.</w:t>
      </w:r>
      <w:r>
        <w:rPr>
          <w:rStyle w:val="CharSectno"/>
        </w:rPr>
        <w:tab/>
      </w:r>
      <w:r>
        <w:rPr>
          <w:snapToGrid w:val="0"/>
        </w:rPr>
        <w:t>No entry without cause</w:t>
      </w:r>
      <w:bookmarkEnd w:id="11"/>
      <w:bookmarkEnd w:id="12"/>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$50.</w:t>
      </w:r>
    </w:p>
    <w:p>
      <w:pPr>
        <w:pStyle w:val="Heading5"/>
        <w:rPr>
          <w:snapToGrid w:val="0"/>
        </w:rPr>
      </w:pPr>
      <w:bookmarkStart w:id="13" w:name="_Toc377999014"/>
      <w:bookmarkStart w:id="14" w:name="_Toc278466607"/>
      <w:r>
        <w:rPr>
          <w:rStyle w:val="CharSectno"/>
        </w:rPr>
        <w:t>4.</w:t>
      </w:r>
      <w:r>
        <w:rPr>
          <w:rStyle w:val="CharSectno"/>
        </w:rPr>
        <w:tab/>
      </w:r>
      <w:r>
        <w:rPr>
          <w:snapToGrid w:val="0"/>
        </w:rPr>
        <w:t>Directions as to use of certain areas</w:t>
      </w:r>
      <w:bookmarkEnd w:id="13"/>
      <w:bookmarkEnd w:id="14"/>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15" w:name="_Toc377999015"/>
      <w:bookmarkStart w:id="16" w:name="_Toc278466608"/>
      <w:r>
        <w:rPr>
          <w:rStyle w:val="CharSectno"/>
        </w:rPr>
        <w:t>5.</w:t>
      </w:r>
      <w:r>
        <w:rPr>
          <w:rStyle w:val="CharSectno"/>
        </w:rPr>
        <w:tab/>
      </w:r>
      <w:r>
        <w:rPr>
          <w:snapToGrid w:val="0"/>
        </w:rPr>
        <w:t>Liquor</w:t>
      </w:r>
      <w:bookmarkEnd w:id="15"/>
      <w:bookmarkEnd w:id="16"/>
      <w:r>
        <w:rPr>
          <w:snapToGrid w:val="0"/>
        </w:rPr>
        <w:t xml:space="preserve"> </w:t>
      </w:r>
    </w:p>
    <w:p>
      <w:pPr>
        <w:pStyle w:val="Subsection"/>
        <w:rPr>
          <w:snapToGrid w:val="0"/>
        </w:rPr>
      </w:pPr>
      <w:r>
        <w:rPr>
          <w:snapToGrid w:val="0"/>
        </w:rPr>
        <w:tab/>
      </w:r>
      <w:r>
        <w:rPr>
          <w:snapToGrid w:val="0"/>
        </w:rPr>
        <w:tab/>
        <w:t>A person must not bring alcoholic beverage onto the site, unless the person has permission to do so.</w:t>
      </w:r>
    </w:p>
    <w:p>
      <w:pPr>
        <w:pStyle w:val="Penstart"/>
        <w:rPr>
          <w:snapToGrid w:val="0"/>
        </w:rPr>
      </w:pPr>
      <w:r>
        <w:rPr>
          <w:snapToGrid w:val="0"/>
        </w:rPr>
        <w:tab/>
        <w:t>Penalty: $50.</w:t>
      </w:r>
    </w:p>
    <w:p>
      <w:pPr>
        <w:pStyle w:val="Heading5"/>
      </w:pPr>
      <w:bookmarkStart w:id="17" w:name="_Toc377999016"/>
      <w:bookmarkStart w:id="18" w:name="_Toc278466609"/>
      <w:r>
        <w:rPr>
          <w:rStyle w:val="CharSectno"/>
        </w:rPr>
        <w:t>6</w:t>
      </w:r>
      <w:r>
        <w:t>.</w:t>
      </w:r>
      <w:r>
        <w:tab/>
        <w:t>Smoking</w:t>
      </w:r>
      <w:bookmarkEnd w:id="17"/>
      <w:bookmarkEnd w:id="18"/>
    </w:p>
    <w:p>
      <w:pPr>
        <w:pStyle w:val="Subsection"/>
        <w:rPr>
          <w:snapToGrid w:val="0"/>
        </w:rPr>
      </w:pPr>
      <w:r>
        <w:tab/>
      </w:r>
      <w:r>
        <w:tab/>
      </w:r>
      <w:r>
        <w:rPr>
          <w:snapToGrid w:val="0"/>
        </w:rPr>
        <w:t>A person must not smoke on the site.</w:t>
      </w:r>
    </w:p>
    <w:p>
      <w:pPr>
        <w:pStyle w:val="Penstart"/>
      </w:pPr>
      <w:r>
        <w:tab/>
        <w:t>Penalty: $50.</w:t>
      </w:r>
    </w:p>
    <w:p>
      <w:pPr>
        <w:pStyle w:val="Footnotesection"/>
      </w:pPr>
      <w:r>
        <w:tab/>
        <w:t>[By-law 6 inserted in Gazette 12 Feb 2008 p. 339</w:t>
      </w:r>
      <w:r>
        <w:noBreakHyphen/>
        <w:t>40.]</w:t>
      </w:r>
    </w:p>
    <w:p>
      <w:pPr>
        <w:pStyle w:val="Heading5"/>
        <w:rPr>
          <w:snapToGrid w:val="0"/>
        </w:rPr>
      </w:pPr>
      <w:bookmarkStart w:id="19" w:name="_Toc377999017"/>
      <w:bookmarkStart w:id="20" w:name="_Toc278466610"/>
      <w:r>
        <w:rPr>
          <w:rStyle w:val="CharSectno"/>
        </w:rPr>
        <w:t>7.</w:t>
      </w:r>
      <w:r>
        <w:rPr>
          <w:rStyle w:val="CharSectno"/>
        </w:rPr>
        <w:tab/>
      </w:r>
      <w:r>
        <w:rPr>
          <w:snapToGrid w:val="0"/>
        </w:rPr>
        <w:t>Disorderly persons may be removed from site</w:t>
      </w:r>
      <w:bookmarkEnd w:id="19"/>
      <w:bookmarkEnd w:id="20"/>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uses abusive language; or </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21" w:name="_Toc377999018"/>
      <w:bookmarkStart w:id="22" w:name="_Toc190576012"/>
      <w:bookmarkStart w:id="23" w:name="_Toc278466611"/>
      <w:r>
        <w:rPr>
          <w:rStyle w:val="CharPartNo"/>
        </w:rPr>
        <w:t>Part 3</w:t>
      </w:r>
      <w:r>
        <w:t xml:space="preserve"> — </w:t>
      </w:r>
      <w:r>
        <w:rPr>
          <w:rStyle w:val="CharPartText"/>
        </w:rPr>
        <w:t>Traffic control</w:t>
      </w:r>
      <w:bookmarkEnd w:id="21"/>
      <w:bookmarkEnd w:id="22"/>
      <w:bookmarkEnd w:id="23"/>
    </w:p>
    <w:p>
      <w:pPr>
        <w:pStyle w:val="Heading3"/>
      </w:pPr>
      <w:bookmarkStart w:id="24" w:name="_Toc377999019"/>
      <w:bookmarkStart w:id="25" w:name="_Toc190576013"/>
      <w:bookmarkStart w:id="26" w:name="_Toc278466612"/>
      <w:r>
        <w:rPr>
          <w:rStyle w:val="CharDivNo"/>
        </w:rPr>
        <w:t>Division 1</w:t>
      </w:r>
      <w:r>
        <w:t xml:space="preserve"> — </w:t>
      </w:r>
      <w:r>
        <w:rPr>
          <w:rStyle w:val="CharDivText"/>
        </w:rPr>
        <w:t>Driving and use of vehicles</w:t>
      </w:r>
      <w:bookmarkEnd w:id="24"/>
      <w:bookmarkEnd w:id="25"/>
      <w:bookmarkEnd w:id="26"/>
    </w:p>
    <w:p>
      <w:pPr>
        <w:pStyle w:val="Heading5"/>
        <w:rPr>
          <w:snapToGrid w:val="0"/>
        </w:rPr>
      </w:pPr>
      <w:bookmarkStart w:id="27" w:name="_Toc377999020"/>
      <w:bookmarkStart w:id="28" w:name="_Toc278466613"/>
      <w:r>
        <w:rPr>
          <w:rStyle w:val="CharSectno"/>
        </w:rPr>
        <w:t>8.</w:t>
      </w:r>
      <w:r>
        <w:rPr>
          <w:rStyle w:val="CharSectno"/>
        </w:rPr>
        <w:tab/>
      </w:r>
      <w:r>
        <w:rPr>
          <w:snapToGrid w:val="0"/>
        </w:rPr>
        <w:t>Driving of vehicles</w:t>
      </w:r>
      <w:bookmarkEnd w:id="27"/>
      <w:bookmarkEnd w:id="28"/>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that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$50.</w:t>
      </w:r>
    </w:p>
    <w:p>
      <w:pPr>
        <w:pStyle w:val="Heading5"/>
        <w:rPr>
          <w:snapToGrid w:val="0"/>
        </w:rPr>
      </w:pPr>
      <w:bookmarkStart w:id="29" w:name="_Toc377999021"/>
      <w:bookmarkStart w:id="30" w:name="_Toc278466614"/>
      <w:r>
        <w:rPr>
          <w:rStyle w:val="CharSectno"/>
        </w:rPr>
        <w:t>9.</w:t>
      </w:r>
      <w:r>
        <w:rPr>
          <w:rStyle w:val="CharSectno"/>
        </w:rPr>
        <w:tab/>
      </w:r>
      <w:r>
        <w:rPr>
          <w:snapToGrid w:val="0"/>
        </w:rPr>
        <w:t>Driver to obey reasonable direction</w:t>
      </w:r>
      <w:bookmarkEnd w:id="29"/>
      <w:bookmarkEnd w:id="30"/>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$50.</w:t>
      </w:r>
    </w:p>
    <w:p>
      <w:pPr>
        <w:pStyle w:val="Heading5"/>
        <w:rPr>
          <w:snapToGrid w:val="0"/>
        </w:rPr>
      </w:pPr>
      <w:bookmarkStart w:id="31" w:name="_Toc377999022"/>
      <w:bookmarkStart w:id="32" w:name="_Toc278466615"/>
      <w:r>
        <w:rPr>
          <w:rStyle w:val="CharSectno"/>
        </w:rPr>
        <w:t>10.</w:t>
      </w:r>
      <w:r>
        <w:rPr>
          <w:rStyle w:val="CharSectno"/>
        </w:rPr>
        <w:tab/>
      </w:r>
      <w:r>
        <w:rPr>
          <w:snapToGrid w:val="0"/>
        </w:rPr>
        <w:t>Speed limits</w:t>
      </w:r>
      <w:bookmarkEnd w:id="31"/>
      <w:bookmarkEnd w:id="32"/>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kilometres an hour; or</w:t>
      </w:r>
    </w:p>
    <w:p>
      <w:pPr>
        <w:pStyle w:val="Indenta"/>
        <w:keepNext/>
        <w:keepLines/>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spacing w:before="160"/>
        <w:rPr>
          <w:snapToGrid w:val="0"/>
        </w:rPr>
      </w:pPr>
      <w:bookmarkStart w:id="33" w:name="_Toc377999023"/>
      <w:bookmarkStart w:id="34" w:name="_Toc278466616"/>
      <w:r>
        <w:rPr>
          <w:rStyle w:val="CharSectno"/>
        </w:rPr>
        <w:t>11.</w:t>
      </w:r>
      <w:r>
        <w:rPr>
          <w:rStyle w:val="CharSectno"/>
        </w:rPr>
        <w:tab/>
      </w:r>
      <w:r>
        <w:rPr>
          <w:snapToGrid w:val="0"/>
        </w:rPr>
        <w:t>Giving way</w:t>
      </w:r>
      <w:bookmarkEnd w:id="33"/>
      <w:bookmarkEnd w:id="34"/>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spacing w:before="160"/>
        <w:rPr>
          <w:snapToGrid w:val="0"/>
        </w:rPr>
      </w:pPr>
      <w:bookmarkStart w:id="35" w:name="_Toc377999024"/>
      <w:bookmarkStart w:id="36" w:name="_Toc278466617"/>
      <w:r>
        <w:rPr>
          <w:rStyle w:val="CharSectno"/>
        </w:rPr>
        <w:t>12.</w:t>
      </w:r>
      <w:r>
        <w:rPr>
          <w:rStyle w:val="CharSectno"/>
        </w:rPr>
        <w:tab/>
      </w:r>
      <w:r>
        <w:rPr>
          <w:snapToGrid w:val="0"/>
        </w:rPr>
        <w:t>No instruction or repairs on site</w:t>
      </w:r>
      <w:bookmarkEnd w:id="35"/>
      <w:bookmarkEnd w:id="36"/>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37" w:name="_Toc377999025"/>
      <w:bookmarkStart w:id="38" w:name="_Toc190576019"/>
      <w:bookmarkStart w:id="39" w:name="_Toc278466618"/>
      <w:r>
        <w:rPr>
          <w:rStyle w:val="CharDivNo"/>
        </w:rPr>
        <w:t>Division 2</w:t>
      </w:r>
      <w:r>
        <w:rPr>
          <w:snapToGrid w:val="0"/>
        </w:rPr>
        <w:t xml:space="preserve"> — </w:t>
      </w:r>
      <w:r>
        <w:rPr>
          <w:rStyle w:val="CharDivText"/>
        </w:rPr>
        <w:t>Parking</w:t>
      </w:r>
      <w:bookmarkEnd w:id="37"/>
      <w:bookmarkEnd w:id="38"/>
      <w:bookmarkEnd w:id="39"/>
    </w:p>
    <w:p>
      <w:pPr>
        <w:pStyle w:val="Heading5"/>
        <w:rPr>
          <w:snapToGrid w:val="0"/>
        </w:rPr>
      </w:pPr>
      <w:bookmarkStart w:id="40" w:name="_Toc377999026"/>
      <w:bookmarkStart w:id="41" w:name="_Toc278466619"/>
      <w:r>
        <w:rPr>
          <w:rStyle w:val="CharSectno"/>
        </w:rPr>
        <w:t>13.</w:t>
      </w:r>
      <w:r>
        <w:rPr>
          <w:rStyle w:val="CharSectno"/>
        </w:rPr>
        <w:tab/>
      </w:r>
      <w:r>
        <w:rPr>
          <w:snapToGrid w:val="0"/>
        </w:rPr>
        <w:t>Parking to be in parking spaces only</w:t>
      </w:r>
      <w:bookmarkEnd w:id="40"/>
      <w:bookmarkEnd w:id="41"/>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42" w:name="_Toc377999027"/>
      <w:bookmarkStart w:id="43" w:name="_Toc278466620"/>
      <w:r>
        <w:rPr>
          <w:rStyle w:val="CharSectno"/>
        </w:rPr>
        <w:t>14.</w:t>
      </w:r>
      <w:r>
        <w:rPr>
          <w:rStyle w:val="CharSectno"/>
        </w:rPr>
        <w:tab/>
      </w:r>
      <w:r>
        <w:rPr>
          <w:snapToGrid w:val="0"/>
        </w:rPr>
        <w:t>Signs to be obeyed</w:t>
      </w:r>
      <w:bookmarkEnd w:id="42"/>
      <w:bookmarkEnd w:id="43"/>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44" w:name="_Toc377999028"/>
      <w:bookmarkStart w:id="45" w:name="_Toc278466621"/>
      <w:r>
        <w:rPr>
          <w:rStyle w:val="CharSectno"/>
        </w:rPr>
        <w:t>15.</w:t>
      </w:r>
      <w:r>
        <w:rPr>
          <w:rStyle w:val="CharSectno"/>
        </w:rPr>
        <w:tab/>
      </w:r>
      <w:r>
        <w:rPr>
          <w:snapToGrid w:val="0"/>
        </w:rPr>
        <w:t>Parking in parking spaces</w:t>
      </w:r>
      <w:bookmarkEnd w:id="44"/>
      <w:bookmarkEnd w:id="45"/>
      <w:r>
        <w:rPr>
          <w:snapToGrid w:val="0"/>
        </w:rPr>
        <w:t xml:space="preserve"> </w:t>
      </w:r>
    </w:p>
    <w:p>
      <w:pPr>
        <w:pStyle w:val="Subsection"/>
        <w:spacing w:before="120"/>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parking of vehicles for a specified period of time;</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spacing w:before="120"/>
        <w:rPr>
          <w:snapToGrid w:val="0"/>
        </w:rPr>
      </w:pPr>
      <w:r>
        <w:rPr>
          <w:snapToGrid w:val="0"/>
        </w:rPr>
        <w:tab/>
        <w:t>(2)</w:t>
      </w:r>
      <w:r>
        <w:rPr>
          <w:snapToGrid w:val="0"/>
        </w:rPr>
        <w:tab/>
        <w:t>In this by</w:t>
      </w:r>
      <w:r>
        <w:rPr>
          <w:snapToGrid w:val="0"/>
        </w:rPr>
        <w:noBreakHyphen/>
        <w:t xml:space="preserve">law, </w:t>
      </w:r>
      <w:r>
        <w:rPr>
          <w:b/>
          <w:snapToGrid w:val="0"/>
        </w:rPr>
        <w:t>“specified”</w:t>
      </w:r>
      <w:r>
        <w:rPr>
          <w:snapToGrid w:val="0"/>
        </w:rPr>
        <w:t xml:space="preserve"> means specified in a sign.</w:t>
      </w:r>
    </w:p>
    <w:p>
      <w:pPr>
        <w:pStyle w:val="Subsection"/>
        <w:spacing w:before="120"/>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spacing w:before="120"/>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$50.</w:t>
      </w:r>
    </w:p>
    <w:p>
      <w:pPr>
        <w:pStyle w:val="Heading5"/>
        <w:spacing w:before="160"/>
        <w:rPr>
          <w:snapToGrid w:val="0"/>
        </w:rPr>
      </w:pPr>
      <w:bookmarkStart w:id="46" w:name="_Toc377999029"/>
      <w:bookmarkStart w:id="47" w:name="_Toc278466622"/>
      <w:r>
        <w:rPr>
          <w:rStyle w:val="CharSectno"/>
        </w:rPr>
        <w:t>16.</w:t>
      </w:r>
      <w:r>
        <w:rPr>
          <w:rStyle w:val="CharSectno"/>
        </w:rPr>
        <w:tab/>
      </w:r>
      <w:r>
        <w:rPr>
          <w:snapToGrid w:val="0"/>
        </w:rPr>
        <w:t>Permit</w:t>
      </w:r>
      <w:bookmarkEnd w:id="46"/>
      <w:bookmarkEnd w:id="47"/>
      <w:r>
        <w:rPr>
          <w:snapToGrid w:val="0"/>
        </w:rPr>
        <w:t xml:space="preserve"> </w:t>
      </w:r>
    </w:p>
    <w:p>
      <w:pPr>
        <w:pStyle w:val="Subsection"/>
        <w:spacing w:before="120"/>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rPr>
          <w:ins w:id="48" w:author="Master Repository Process" w:date="2021-07-31T09:36:00Z"/>
        </w:rPr>
      </w:pPr>
      <w:r>
        <w:tab/>
        <w:t>(2)</w:t>
      </w:r>
      <w:r>
        <w:tab/>
        <w:t>An application under sub</w:t>
      </w:r>
      <w:r>
        <w:noBreakHyphen/>
        <w:t>bylaw (1) </w:t>
      </w:r>
      <w:ins w:id="49" w:author="Master Repository Process" w:date="2021-07-31T09:36:00Z">
        <w:r>
          <w:t xml:space="preserve">— </w:t>
        </w:r>
      </w:ins>
    </w:p>
    <w:p>
      <w:pPr>
        <w:pStyle w:val="Indenta"/>
        <w:rPr>
          <w:ins w:id="50" w:author="Master Repository Process" w:date="2021-07-31T09:36:00Z"/>
        </w:rPr>
      </w:pPr>
      <w:ins w:id="51" w:author="Master Repository Process" w:date="2021-07-31T09:36:00Z">
        <w:r>
          <w:tab/>
          <w:t>(a)</w:t>
        </w:r>
        <w:r>
          <w:tab/>
        </w:r>
      </w:ins>
      <w:r>
        <w:t>is to be in a form approved by the chief executive officer or an authorised person</w:t>
      </w:r>
      <w:ins w:id="52" w:author="Master Repository Process" w:date="2021-07-31T09:36:00Z">
        <w:r>
          <w:t>; and</w:t>
        </w:r>
      </w:ins>
    </w:p>
    <w:p>
      <w:pPr>
        <w:pStyle w:val="Indenta"/>
      </w:pPr>
      <w:ins w:id="53" w:author="Master Repository Process" w:date="2021-07-31T09:36:00Z">
        <w:r>
          <w:tab/>
          <w:t>(b)</w:t>
        </w:r>
        <w:r>
          <w:tab/>
          <w:t>is to be accompanied by a fee of $2.00 per week for the period for which the permit is sought</w:t>
        </w:r>
      </w:ins>
      <w:r>
        <w:t>.</w:t>
      </w:r>
    </w:p>
    <w:p>
      <w:pPr>
        <w:pStyle w:val="Subsection"/>
        <w:spacing w:before="120"/>
        <w:rPr>
          <w:snapToGrid w:val="0"/>
        </w:rPr>
      </w:pPr>
      <w:r>
        <w:rPr>
          <w:snapToGrid w:val="0"/>
        </w:rPr>
        <w:tab/>
        <w:t>(3)</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Footnotesection"/>
        <w:rPr>
          <w:ins w:id="54" w:author="Master Repository Process" w:date="2021-07-31T09:36:00Z"/>
        </w:rPr>
      </w:pPr>
      <w:ins w:id="55" w:author="Master Repository Process" w:date="2021-07-31T09:36:00Z">
        <w:r>
          <w:tab/>
          <w:t>[By-law 16 amended in Gazette 26 Nov 2010 p. 5936.]</w:t>
        </w:r>
      </w:ins>
    </w:p>
    <w:p>
      <w:pPr>
        <w:pStyle w:val="Heading2"/>
      </w:pPr>
      <w:bookmarkStart w:id="56" w:name="_Toc377999030"/>
      <w:bookmarkStart w:id="57" w:name="_Toc190576024"/>
      <w:bookmarkStart w:id="58" w:name="_Toc278466623"/>
      <w:r>
        <w:rPr>
          <w:rStyle w:val="CharPartNo"/>
        </w:rPr>
        <w:t>Part 4</w:t>
      </w:r>
      <w:r>
        <w:rPr>
          <w:rStyle w:val="CharDivNo"/>
        </w:rPr>
        <w:t xml:space="preserve"> </w:t>
      </w:r>
      <w:r>
        <w:t>—</w:t>
      </w:r>
      <w:r>
        <w:rPr>
          <w:rStyle w:val="CharDivText"/>
        </w:rPr>
        <w:t xml:space="preserve"> </w:t>
      </w:r>
      <w:r>
        <w:rPr>
          <w:rStyle w:val="CharPartText"/>
        </w:rPr>
        <w:t>Infringement notices</w:t>
      </w:r>
      <w:bookmarkEnd w:id="56"/>
      <w:bookmarkEnd w:id="57"/>
      <w:bookmarkEnd w:id="58"/>
    </w:p>
    <w:p>
      <w:pPr>
        <w:pStyle w:val="Heading5"/>
        <w:rPr>
          <w:snapToGrid w:val="0"/>
        </w:rPr>
      </w:pPr>
      <w:bookmarkStart w:id="59" w:name="_Toc377999031"/>
      <w:bookmarkStart w:id="60" w:name="_Toc278466624"/>
      <w:r>
        <w:rPr>
          <w:rStyle w:val="CharSectno"/>
        </w:rPr>
        <w:t>17.</w:t>
      </w:r>
      <w:r>
        <w:rPr>
          <w:rStyle w:val="CharSectno"/>
        </w:rPr>
        <w:tab/>
      </w:r>
      <w:r>
        <w:rPr>
          <w:snapToGrid w:val="0"/>
        </w:rPr>
        <w:t>Interpretation</w:t>
      </w:r>
      <w:bookmarkEnd w:id="59"/>
      <w:bookmarkEnd w:id="60"/>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61" w:name="endcomma"/>
      <w:bookmarkEnd w:id="61"/>
      <w:r>
        <w:t xml:space="preserve"> </w:t>
      </w:r>
      <w:bookmarkStart w:id="62" w:name="comma"/>
      <w:bookmarkEnd w:id="62"/>
      <w:r>
        <w:t>means a penalty prescribed in Schedule 1 for an offence under Part 3 or 4.</w:t>
      </w:r>
    </w:p>
    <w:p>
      <w:pPr>
        <w:pStyle w:val="Heading5"/>
        <w:rPr>
          <w:snapToGrid w:val="0"/>
        </w:rPr>
      </w:pPr>
      <w:bookmarkStart w:id="63" w:name="_Toc377999032"/>
      <w:bookmarkStart w:id="64" w:name="_Toc278466625"/>
      <w:r>
        <w:rPr>
          <w:rStyle w:val="CharSectno"/>
        </w:rPr>
        <w:t>18.</w:t>
      </w:r>
      <w:r>
        <w:rPr>
          <w:rStyle w:val="CharSectno"/>
        </w:rPr>
        <w:tab/>
      </w:r>
      <w:r>
        <w:rPr>
          <w:snapToGrid w:val="0"/>
        </w:rPr>
        <w:t>Infringement notices</w:t>
      </w:r>
      <w:bookmarkEnd w:id="63"/>
      <w:bookmarkEnd w:id="64"/>
      <w:r>
        <w:rPr>
          <w:snapToGrid w:val="0"/>
        </w:rPr>
        <w:t xml:space="preserve"> </w:t>
      </w:r>
    </w:p>
    <w:p>
      <w:pPr>
        <w:pStyle w:val="Subsection"/>
        <w:spacing w:before="120"/>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spacing w:before="120"/>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rPr>
          <w:snapToGrid w:val="0"/>
        </w:rPr>
        <w:tab/>
        <w:t>(3)</w:t>
      </w:r>
      <w:r>
        <w:rPr>
          <w:snapToGrid w:val="0"/>
        </w:rPr>
        <w:tab/>
        <w:t>An infringement notice is to be in the form of Form 1 in Schedule 2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w:t>
      </w:r>
      <w:del w:id="65" w:author="Master Repository Process" w:date="2021-07-31T09:36:00Z">
        <w:r>
          <w:rPr>
            <w:snapToGrid w:val="0"/>
          </w:rPr>
          <w:delText xml:space="preserve"> a complaint of</w:delText>
        </w:r>
      </w:del>
      <w:r>
        <w:rPr>
          <w:snapToGrid w:val="0"/>
        </w:rPr>
        <w:t xml:space="preserve"> the alleged offence heard and determined by a court, the amount of money specified in the notice as being the modified penalty for the offence may be paid to the cashier of the Bentley Hospital or an authorised person, within a period of 28 days after the giving of the notice.</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rPr>
          <w:ins w:id="66" w:author="Master Repository Process" w:date="2021-07-31T09:36:00Z"/>
        </w:rPr>
      </w:pPr>
      <w:ins w:id="67" w:author="Master Repository Process" w:date="2021-07-31T09:36:00Z">
        <w:r>
          <w:tab/>
          <w:t>[By-law 18 amended in Gazette 26 Nov 2010 p. 5936.]</w:t>
        </w:r>
      </w:ins>
    </w:p>
    <w:p>
      <w:pPr>
        <w:pStyle w:val="Heading5"/>
        <w:rPr>
          <w:snapToGrid w:val="0"/>
        </w:rPr>
      </w:pPr>
      <w:bookmarkStart w:id="68" w:name="_Toc377999033"/>
      <w:bookmarkStart w:id="69" w:name="_Toc278466626"/>
      <w:r>
        <w:rPr>
          <w:rStyle w:val="CharSectno"/>
        </w:rPr>
        <w:t>19.</w:t>
      </w:r>
      <w:r>
        <w:rPr>
          <w:rStyle w:val="CharSectno"/>
        </w:rPr>
        <w:tab/>
      </w:r>
      <w:r>
        <w:rPr>
          <w:snapToGrid w:val="0"/>
        </w:rPr>
        <w:t>Withdrawal of infringement notice</w:t>
      </w:r>
      <w:bookmarkEnd w:id="68"/>
      <w:bookmarkEnd w:id="69"/>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70" w:name="_Toc377999034"/>
      <w:bookmarkStart w:id="71" w:name="_Toc278466627"/>
      <w:r>
        <w:rPr>
          <w:rStyle w:val="CharSectno"/>
        </w:rPr>
        <w:t>20.</w:t>
      </w:r>
      <w:r>
        <w:rPr>
          <w:rStyle w:val="CharSectno"/>
        </w:rPr>
        <w:tab/>
      </w:r>
      <w:r>
        <w:rPr>
          <w:snapToGrid w:val="0"/>
        </w:rPr>
        <w:t>Authorised person to have certificate</w:t>
      </w:r>
      <w:bookmarkEnd w:id="70"/>
      <w:bookmarkEnd w:id="71"/>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72" w:name="_Toc377999035"/>
      <w:bookmarkStart w:id="73" w:name="_Toc278466628"/>
      <w:r>
        <w:rPr>
          <w:rStyle w:val="CharSectno"/>
        </w:rPr>
        <w:t>21.</w:t>
      </w:r>
      <w:r>
        <w:rPr>
          <w:rStyle w:val="CharSectno"/>
        </w:rPr>
        <w:tab/>
      </w:r>
      <w:r>
        <w:rPr>
          <w:snapToGrid w:val="0"/>
        </w:rPr>
        <w:t>Authorised persons only to endorse and alter infringement notices</w:t>
      </w:r>
      <w:bookmarkEnd w:id="72"/>
      <w:bookmarkEnd w:id="73"/>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74" w:name="_Toc377999036"/>
      <w:bookmarkStart w:id="75" w:name="_Toc278466629"/>
      <w:r>
        <w:rPr>
          <w:rStyle w:val="CharSectno"/>
        </w:rPr>
        <w:t>22.</w:t>
      </w:r>
      <w:r>
        <w:rPr>
          <w:rStyle w:val="CharSectno"/>
        </w:rPr>
        <w:tab/>
      </w:r>
      <w:r>
        <w:rPr>
          <w:snapToGrid w:val="0"/>
        </w:rPr>
        <w:t>Restriction on removal of infringement notices</w:t>
      </w:r>
      <w:bookmarkEnd w:id="74"/>
      <w:bookmarkEnd w:id="75"/>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$50.</w:t>
      </w:r>
    </w:p>
    <w:p>
      <w:pPr>
        <w:pStyle w:val="Heading2"/>
      </w:pPr>
      <w:bookmarkStart w:id="76" w:name="_Toc377999037"/>
      <w:bookmarkStart w:id="77" w:name="_Toc190576031"/>
      <w:bookmarkStart w:id="78" w:name="_Toc278466630"/>
      <w:r>
        <w:rPr>
          <w:rStyle w:val="CharPartNo"/>
        </w:rPr>
        <w:t>Part 5</w:t>
      </w:r>
      <w:r>
        <w:rPr>
          <w:rStyle w:val="CharDivNo"/>
        </w:rPr>
        <w:t xml:space="preserve"> </w:t>
      </w:r>
      <w:r>
        <w:t>—</w:t>
      </w:r>
      <w:r>
        <w:rPr>
          <w:rStyle w:val="CharDivText"/>
        </w:rPr>
        <w:t xml:space="preserve"> </w:t>
      </w:r>
      <w:r>
        <w:rPr>
          <w:rStyle w:val="CharPartText"/>
        </w:rPr>
        <w:t>General</w:t>
      </w:r>
      <w:bookmarkEnd w:id="76"/>
      <w:bookmarkEnd w:id="77"/>
      <w:bookmarkEnd w:id="78"/>
    </w:p>
    <w:p>
      <w:pPr>
        <w:pStyle w:val="Heading5"/>
        <w:rPr>
          <w:snapToGrid w:val="0"/>
        </w:rPr>
      </w:pPr>
      <w:bookmarkStart w:id="79" w:name="_Toc377999038"/>
      <w:bookmarkStart w:id="80" w:name="_Toc278466631"/>
      <w:r>
        <w:rPr>
          <w:rStyle w:val="CharSectno"/>
        </w:rPr>
        <w:t>23.</w:t>
      </w:r>
      <w:r>
        <w:rPr>
          <w:rStyle w:val="CharSectno"/>
        </w:rPr>
        <w:tab/>
      </w:r>
      <w:r>
        <w:rPr>
          <w:snapToGrid w:val="0"/>
        </w:rPr>
        <w:t>Removal of vehicles</w:t>
      </w:r>
      <w:bookmarkEnd w:id="79"/>
      <w:bookmarkEnd w:id="80"/>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is obstructing other vehicles or activities of the Bentley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Bentley Hospital or an authorised person, fees to recover the vehicle at the rate of $50 for the first 24 hours or part thereof and $5 for each 7 days or part thereof thereafter.</w:t>
      </w:r>
    </w:p>
    <w:p>
      <w:pPr>
        <w:pStyle w:val="Heading5"/>
        <w:keepNext w:val="0"/>
        <w:keepLines w:val="0"/>
        <w:rPr>
          <w:snapToGrid w:val="0"/>
        </w:rPr>
      </w:pPr>
      <w:bookmarkStart w:id="81" w:name="_Toc377999039"/>
      <w:bookmarkStart w:id="82" w:name="_Toc278466632"/>
      <w:r>
        <w:rPr>
          <w:rStyle w:val="CharSectno"/>
        </w:rPr>
        <w:t>24.</w:t>
      </w:r>
      <w:r>
        <w:rPr>
          <w:rStyle w:val="CharSectno"/>
        </w:rPr>
        <w:tab/>
      </w:r>
      <w:r>
        <w:rPr>
          <w:snapToGrid w:val="0"/>
        </w:rPr>
        <w:t>Registered owner may be treated as being driver or person in charge of vehicle at time of offence</w:t>
      </w:r>
      <w:bookmarkEnd w:id="81"/>
      <w:bookmarkEnd w:id="82"/>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83" w:name="_Toc377999040"/>
      <w:bookmarkStart w:id="84" w:name="_Toc278466633"/>
      <w:r>
        <w:rPr>
          <w:rStyle w:val="CharSectno"/>
        </w:rPr>
        <w:t>25.</w:t>
      </w:r>
      <w:r>
        <w:rPr>
          <w:rStyle w:val="CharSectno"/>
        </w:rPr>
        <w:tab/>
      </w:r>
      <w:r>
        <w:rPr>
          <w:snapToGrid w:val="0"/>
        </w:rPr>
        <w:t>Other offences</w:t>
      </w:r>
      <w:bookmarkEnd w:id="83"/>
      <w:bookmarkEnd w:id="84"/>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$50.</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85" w:name="_Toc377999041"/>
      <w:bookmarkStart w:id="86" w:name="_Toc190576035"/>
      <w:bookmarkStart w:id="87" w:name="_Toc278466634"/>
      <w:r>
        <w:rPr>
          <w:rStyle w:val="CharSchNo"/>
        </w:rPr>
        <w:t>Schedule 1</w:t>
      </w:r>
      <w:r>
        <w:t xml:space="preserve"> —</w:t>
      </w:r>
      <w:bookmarkStart w:id="88" w:name="AutoSch"/>
      <w:bookmarkEnd w:id="88"/>
      <w:r>
        <w:t xml:space="preserve"> </w:t>
      </w:r>
      <w:r>
        <w:rPr>
          <w:rStyle w:val="CharSchText"/>
        </w:rPr>
        <w:t>Infringement Notices and Modified Penalties</w:t>
      </w:r>
      <w:bookmarkEnd w:id="85"/>
      <w:bookmarkEnd w:id="86"/>
      <w:bookmarkEnd w:id="87"/>
    </w:p>
    <w:p>
      <w:pPr>
        <w:pStyle w:val="yShoulderClause"/>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985"/>
        <w:gridCol w:w="3544"/>
        <w:gridCol w:w="1559"/>
      </w:tblGrid>
      <w:tr>
        <w:trPr>
          <w:cantSplit/>
          <w:tblHeader/>
        </w:trPr>
        <w:tc>
          <w:tcPr>
            <w:tcW w:w="1985" w:type="dxa"/>
            <w:tcBorders>
              <w:top w:val="single" w:sz="4" w:space="0" w:color="auto"/>
              <w:bottom w:val="single" w:sz="4" w:space="0" w:color="auto"/>
            </w:tcBorders>
          </w:tcPr>
          <w:p>
            <w:pPr>
              <w:pStyle w:val="yTable"/>
              <w:jc w:val="center"/>
              <w:rPr>
                <w:b/>
              </w:rPr>
            </w:pPr>
            <w:r>
              <w:rPr>
                <w:b/>
              </w:rPr>
              <w:t>By</w:t>
            </w:r>
            <w:r>
              <w:rPr>
                <w:b/>
              </w:rPr>
              <w:noBreakHyphen/>
              <w:t>law</w:t>
            </w:r>
          </w:p>
        </w:tc>
        <w:tc>
          <w:tcPr>
            <w:tcW w:w="3544" w:type="dxa"/>
            <w:tcBorders>
              <w:top w:val="single" w:sz="4" w:space="0" w:color="auto"/>
              <w:bottom w:val="single" w:sz="4" w:space="0" w:color="auto"/>
            </w:tcBorders>
          </w:tcPr>
          <w:p>
            <w:pPr>
              <w:pStyle w:val="yTable"/>
              <w:jc w:val="center"/>
              <w:rPr>
                <w:b/>
              </w:rPr>
            </w:pPr>
            <w:r>
              <w:rPr>
                <w:b/>
              </w:rPr>
              <w:t>Description of offence</w:t>
            </w:r>
          </w:p>
        </w:tc>
        <w:tc>
          <w:tcPr>
            <w:tcW w:w="1559" w:type="dxa"/>
            <w:tcBorders>
              <w:top w:val="single" w:sz="4" w:space="0" w:color="auto"/>
              <w:bottom w:val="single" w:sz="4" w:space="0" w:color="auto"/>
            </w:tcBorders>
          </w:tcPr>
          <w:p>
            <w:pPr>
              <w:pStyle w:val="yTable"/>
              <w:jc w:val="center"/>
              <w:rPr>
                <w:b/>
              </w:rPr>
            </w:pPr>
            <w:r>
              <w:rPr>
                <w:b/>
              </w:rPr>
              <w:t>Modified</w:t>
            </w:r>
          </w:p>
          <w:p>
            <w:pPr>
              <w:pStyle w:val="yTable"/>
              <w:jc w:val="center"/>
              <w:rPr>
                <w:b/>
              </w:rPr>
            </w:pPr>
            <w:r>
              <w:rPr>
                <w:b/>
              </w:rPr>
              <w:t>Penalty</w:t>
            </w:r>
          </w:p>
          <w:p>
            <w:pPr>
              <w:pStyle w:val="yTable"/>
              <w:jc w:val="center"/>
              <w:rPr>
                <w:b/>
              </w:rPr>
            </w:pPr>
            <w:r>
              <w:rPr>
                <w:b/>
              </w:rPr>
              <w:t>$</w:t>
            </w:r>
          </w:p>
        </w:tc>
      </w:tr>
      <w:tr>
        <w:trPr>
          <w:cantSplit/>
        </w:trPr>
        <w:tc>
          <w:tcPr>
            <w:tcW w:w="1985" w:type="dxa"/>
          </w:tcPr>
          <w:p>
            <w:pPr>
              <w:pStyle w:val="yTable"/>
              <w:jc w:val="center"/>
            </w:pPr>
            <w:r>
              <w:t>8(1)</w:t>
            </w:r>
          </w:p>
        </w:tc>
        <w:tc>
          <w:tcPr>
            <w:tcW w:w="3544" w:type="dxa"/>
          </w:tcPr>
          <w:p>
            <w:pPr>
              <w:pStyle w:val="yTable"/>
            </w:pPr>
            <w:r>
              <w:t>Driving or bringing vehicle on part of site other than on roadway or parking facility, without permission</w:t>
            </w:r>
          </w:p>
        </w:tc>
        <w:tc>
          <w:tcPr>
            <w:tcW w:w="1559" w:type="dxa"/>
          </w:tcPr>
          <w:p>
            <w:pPr>
              <w:pStyle w:val="yTable"/>
              <w:jc w:val="center"/>
            </w:pPr>
            <w:r>
              <w:br/>
            </w:r>
            <w:r>
              <w:br/>
              <w:t>40</w:t>
            </w:r>
          </w:p>
        </w:tc>
      </w:tr>
      <w:tr>
        <w:trPr>
          <w:cantSplit/>
        </w:trPr>
        <w:tc>
          <w:tcPr>
            <w:tcW w:w="1985" w:type="dxa"/>
          </w:tcPr>
          <w:p>
            <w:pPr>
              <w:pStyle w:val="yTable"/>
              <w:jc w:val="center"/>
            </w:pPr>
            <w:r>
              <w:t>8(2)</w:t>
            </w:r>
          </w:p>
        </w:tc>
        <w:tc>
          <w:tcPr>
            <w:tcW w:w="3544" w:type="dxa"/>
          </w:tcPr>
          <w:p>
            <w:pPr>
              <w:pStyle w:val="yTable"/>
            </w:pPr>
            <w:r>
              <w:t xml:space="preserve">Driving or bringing onto the site, a vehicle with an unladen weight of more than 4 tonnes, without permission </w:t>
            </w:r>
          </w:p>
        </w:tc>
        <w:tc>
          <w:tcPr>
            <w:tcW w:w="1559" w:type="dxa"/>
          </w:tcPr>
          <w:p>
            <w:pPr>
              <w:pStyle w:val="yTable"/>
              <w:jc w:val="center"/>
            </w:pPr>
            <w:r>
              <w:br/>
            </w:r>
            <w:r>
              <w:br/>
            </w:r>
            <w:r>
              <w:br/>
              <w:t>20</w:t>
            </w:r>
          </w:p>
        </w:tc>
      </w:tr>
      <w:tr>
        <w:trPr>
          <w:cantSplit/>
        </w:trPr>
        <w:tc>
          <w:tcPr>
            <w:tcW w:w="1985" w:type="dxa"/>
          </w:tcPr>
          <w:p>
            <w:pPr>
              <w:pStyle w:val="yTable"/>
              <w:jc w:val="center"/>
            </w:pPr>
            <w:r>
              <w:t>8(3)</w:t>
            </w:r>
          </w:p>
        </w:tc>
        <w:tc>
          <w:tcPr>
            <w:tcW w:w="3544" w:type="dxa"/>
          </w:tcPr>
          <w:p>
            <w:pPr>
              <w:pStyle w:val="yTable"/>
            </w:pPr>
            <w:r>
              <w:t>Driving, using, or standing on part of site, a vehicle contrary to a sign</w:t>
            </w:r>
          </w:p>
        </w:tc>
        <w:tc>
          <w:tcPr>
            <w:tcW w:w="1559" w:type="dxa"/>
          </w:tcPr>
          <w:p>
            <w:pPr>
              <w:pStyle w:val="yTable"/>
              <w:jc w:val="center"/>
            </w:pPr>
            <w:r>
              <w:br/>
              <w:t>40</w:t>
            </w:r>
          </w:p>
        </w:tc>
      </w:tr>
      <w:tr>
        <w:trPr>
          <w:cantSplit/>
        </w:trPr>
        <w:tc>
          <w:tcPr>
            <w:tcW w:w="1985" w:type="dxa"/>
          </w:tcPr>
          <w:p>
            <w:pPr>
              <w:pStyle w:val="yTable"/>
              <w:jc w:val="center"/>
            </w:pPr>
            <w:r>
              <w:t>9</w:t>
            </w:r>
          </w:p>
        </w:tc>
        <w:tc>
          <w:tcPr>
            <w:tcW w:w="3544" w:type="dxa"/>
          </w:tcPr>
          <w:p>
            <w:pPr>
              <w:pStyle w:val="yTable"/>
            </w:pPr>
            <w:r>
              <w:t>Disobeying an authorised person’s reasonable direction</w:t>
            </w:r>
          </w:p>
        </w:tc>
        <w:tc>
          <w:tcPr>
            <w:tcW w:w="1559" w:type="dxa"/>
          </w:tcPr>
          <w:p>
            <w:pPr>
              <w:pStyle w:val="yTable"/>
              <w:jc w:val="center"/>
            </w:pPr>
            <w:r>
              <w:br/>
              <w:t>20</w:t>
            </w:r>
          </w:p>
        </w:tc>
      </w:tr>
      <w:tr>
        <w:trPr>
          <w:cantSplit/>
        </w:trPr>
        <w:tc>
          <w:tcPr>
            <w:tcW w:w="1985" w:type="dxa"/>
          </w:tcPr>
          <w:p>
            <w:pPr>
              <w:pStyle w:val="yTable"/>
              <w:jc w:val="center"/>
            </w:pPr>
            <w:r>
              <w:t>10(1)(a)</w:t>
            </w:r>
          </w:p>
        </w:tc>
        <w:tc>
          <w:tcPr>
            <w:tcW w:w="3544" w:type="dxa"/>
          </w:tcPr>
          <w:p>
            <w:pPr>
              <w:pStyle w:val="yTable"/>
            </w:pPr>
            <w:r>
              <w:t>Driving in excess of 30 kph</w:t>
            </w:r>
          </w:p>
        </w:tc>
        <w:tc>
          <w:tcPr>
            <w:tcW w:w="1559" w:type="dxa"/>
          </w:tcPr>
          <w:p>
            <w:pPr>
              <w:pStyle w:val="yTable"/>
              <w:jc w:val="center"/>
            </w:pPr>
            <w:r>
              <w:t>40</w:t>
            </w:r>
          </w:p>
        </w:tc>
      </w:tr>
      <w:tr>
        <w:trPr>
          <w:cantSplit/>
        </w:trPr>
        <w:tc>
          <w:tcPr>
            <w:tcW w:w="1985" w:type="dxa"/>
          </w:tcPr>
          <w:p>
            <w:pPr>
              <w:pStyle w:val="yTable"/>
              <w:jc w:val="center"/>
            </w:pPr>
            <w:r>
              <w:t>10(1)(b)</w:t>
            </w:r>
          </w:p>
        </w:tc>
        <w:tc>
          <w:tcPr>
            <w:tcW w:w="3544" w:type="dxa"/>
          </w:tcPr>
          <w:p>
            <w:pPr>
              <w:pStyle w:val="yTable"/>
            </w:pPr>
            <w:r>
              <w:t>Driving in excess of speed limit indicated by speed restriction sign</w:t>
            </w:r>
          </w:p>
        </w:tc>
        <w:tc>
          <w:tcPr>
            <w:tcW w:w="1559" w:type="dxa"/>
          </w:tcPr>
          <w:p>
            <w:pPr>
              <w:pStyle w:val="yTable"/>
              <w:jc w:val="center"/>
            </w:pPr>
            <w:r>
              <w:br/>
              <w:t>40</w:t>
            </w:r>
          </w:p>
        </w:tc>
      </w:tr>
      <w:tr>
        <w:trPr>
          <w:cantSplit/>
        </w:trPr>
        <w:tc>
          <w:tcPr>
            <w:tcW w:w="1985" w:type="dxa"/>
          </w:tcPr>
          <w:p>
            <w:pPr>
              <w:pStyle w:val="yTable"/>
              <w:jc w:val="center"/>
            </w:pPr>
            <w:r>
              <w:t>11</w:t>
            </w:r>
          </w:p>
        </w:tc>
        <w:tc>
          <w:tcPr>
            <w:tcW w:w="3544" w:type="dxa"/>
          </w:tcPr>
          <w:p>
            <w:pPr>
              <w:pStyle w:val="yTable"/>
            </w:pPr>
            <w:r>
              <w:t>Failing to give way when entering parking facility</w:t>
            </w:r>
          </w:p>
        </w:tc>
        <w:tc>
          <w:tcPr>
            <w:tcW w:w="1559" w:type="dxa"/>
          </w:tcPr>
          <w:p>
            <w:pPr>
              <w:pStyle w:val="yTable"/>
              <w:jc w:val="center"/>
            </w:pPr>
            <w:r>
              <w:br/>
              <w:t>20</w:t>
            </w:r>
          </w:p>
        </w:tc>
      </w:tr>
      <w:tr>
        <w:trPr>
          <w:cantSplit/>
        </w:trPr>
        <w:tc>
          <w:tcPr>
            <w:tcW w:w="1985" w:type="dxa"/>
          </w:tcPr>
          <w:p>
            <w:pPr>
              <w:pStyle w:val="yTable"/>
              <w:jc w:val="center"/>
            </w:pPr>
            <w:r>
              <w:t>12(a)</w:t>
            </w:r>
          </w:p>
        </w:tc>
        <w:tc>
          <w:tcPr>
            <w:tcW w:w="3544" w:type="dxa"/>
          </w:tcPr>
          <w:p>
            <w:pPr>
              <w:pStyle w:val="yTable"/>
            </w:pPr>
            <w:r>
              <w:t>Driving on site for the giving or receiving of driving instruction</w:t>
            </w:r>
          </w:p>
        </w:tc>
        <w:tc>
          <w:tcPr>
            <w:tcW w:w="1559" w:type="dxa"/>
          </w:tcPr>
          <w:p>
            <w:pPr>
              <w:pStyle w:val="yTable"/>
              <w:jc w:val="center"/>
            </w:pPr>
            <w:r>
              <w:br/>
              <w:t>20</w:t>
            </w:r>
          </w:p>
        </w:tc>
      </w:tr>
      <w:tr>
        <w:trPr>
          <w:cantSplit/>
        </w:trPr>
        <w:tc>
          <w:tcPr>
            <w:tcW w:w="1985" w:type="dxa"/>
          </w:tcPr>
          <w:p>
            <w:pPr>
              <w:pStyle w:val="yTable"/>
              <w:jc w:val="center"/>
            </w:pPr>
            <w:r>
              <w:t>12(b)</w:t>
            </w:r>
          </w:p>
        </w:tc>
        <w:tc>
          <w:tcPr>
            <w:tcW w:w="3544" w:type="dxa"/>
          </w:tcPr>
          <w:p>
            <w:pPr>
              <w:pStyle w:val="yTable"/>
            </w:pPr>
            <w:r>
              <w:t>Repairing or adjusting a vehicle on site</w:t>
            </w:r>
          </w:p>
        </w:tc>
        <w:tc>
          <w:tcPr>
            <w:tcW w:w="1559" w:type="dxa"/>
          </w:tcPr>
          <w:p>
            <w:pPr>
              <w:pStyle w:val="yTable"/>
              <w:jc w:val="center"/>
            </w:pPr>
            <w:r>
              <w:br/>
              <w:t>10</w:t>
            </w:r>
          </w:p>
        </w:tc>
      </w:tr>
      <w:tr>
        <w:trPr>
          <w:cantSplit/>
        </w:trPr>
        <w:tc>
          <w:tcPr>
            <w:tcW w:w="1985" w:type="dxa"/>
          </w:tcPr>
          <w:p>
            <w:pPr>
              <w:pStyle w:val="yTable"/>
              <w:jc w:val="center"/>
            </w:pPr>
            <w:r>
              <w:t>13</w:t>
            </w:r>
          </w:p>
        </w:tc>
        <w:tc>
          <w:tcPr>
            <w:tcW w:w="3544" w:type="dxa"/>
          </w:tcPr>
          <w:p>
            <w:pPr>
              <w:pStyle w:val="yTable"/>
            </w:pPr>
            <w:r>
              <w:t>Parking a vehicle on site not in a parking space</w:t>
            </w:r>
          </w:p>
        </w:tc>
        <w:tc>
          <w:tcPr>
            <w:tcW w:w="1559" w:type="dxa"/>
          </w:tcPr>
          <w:p>
            <w:pPr>
              <w:pStyle w:val="yTable"/>
              <w:jc w:val="center"/>
            </w:pPr>
            <w:r>
              <w:br/>
              <w:t>40</w:t>
            </w:r>
          </w:p>
        </w:tc>
      </w:tr>
      <w:tr>
        <w:trPr>
          <w:cantSplit/>
        </w:trPr>
        <w:tc>
          <w:tcPr>
            <w:tcW w:w="1985" w:type="dxa"/>
          </w:tcPr>
          <w:p>
            <w:pPr>
              <w:pStyle w:val="yTable"/>
              <w:jc w:val="center"/>
            </w:pPr>
            <w:r>
              <w:t>14</w:t>
            </w:r>
          </w:p>
        </w:tc>
        <w:tc>
          <w:tcPr>
            <w:tcW w:w="3544" w:type="dxa"/>
          </w:tcPr>
          <w:p>
            <w:pPr>
              <w:pStyle w:val="yTable"/>
            </w:pPr>
            <w:r>
              <w:t>Failing to obey a stop sign on site</w:t>
            </w:r>
          </w:p>
        </w:tc>
        <w:tc>
          <w:tcPr>
            <w:tcW w:w="1559" w:type="dxa"/>
          </w:tcPr>
          <w:p>
            <w:pPr>
              <w:pStyle w:val="yTable"/>
              <w:jc w:val="center"/>
            </w:pPr>
            <w:r>
              <w:t>45</w:t>
            </w:r>
          </w:p>
        </w:tc>
      </w:tr>
      <w:tr>
        <w:trPr>
          <w:cantSplit/>
        </w:trPr>
        <w:tc>
          <w:tcPr>
            <w:tcW w:w="1985" w:type="dxa"/>
          </w:tcPr>
          <w:p>
            <w:pPr>
              <w:pStyle w:val="yTable"/>
              <w:keepNext/>
              <w:keepLines/>
              <w:jc w:val="center"/>
            </w:pPr>
            <w:r>
              <w:t>14</w:t>
            </w:r>
          </w:p>
        </w:tc>
        <w:tc>
          <w:tcPr>
            <w:tcW w:w="3544" w:type="dxa"/>
          </w:tcPr>
          <w:p>
            <w:pPr>
              <w:pStyle w:val="yTable"/>
              <w:keepNext/>
              <w:keepLines/>
            </w:pPr>
            <w:r>
              <w:t>Parking, standing, or moving a vehicle on site contrary to a sign other than a stop sign</w:t>
            </w:r>
          </w:p>
        </w:tc>
        <w:tc>
          <w:tcPr>
            <w:tcW w:w="1559" w:type="dxa"/>
          </w:tcPr>
          <w:p>
            <w:pPr>
              <w:pStyle w:val="yTable"/>
              <w:keepNext/>
              <w:keepLines/>
              <w:jc w:val="center"/>
            </w:pPr>
            <w:r>
              <w:br/>
            </w:r>
            <w:r>
              <w:br/>
              <w:t>40</w:t>
            </w:r>
          </w:p>
        </w:tc>
      </w:tr>
      <w:tr>
        <w:trPr>
          <w:cantSplit/>
        </w:trPr>
        <w:tc>
          <w:tcPr>
            <w:tcW w:w="1985" w:type="dxa"/>
          </w:tcPr>
          <w:p>
            <w:pPr>
              <w:pStyle w:val="yTable"/>
              <w:jc w:val="center"/>
            </w:pPr>
            <w:r>
              <w:t>15(3) &amp; 15(1)(b)</w:t>
            </w:r>
          </w:p>
        </w:tc>
        <w:tc>
          <w:tcPr>
            <w:tcW w:w="3544" w:type="dxa"/>
          </w:tcPr>
          <w:p>
            <w:pPr>
              <w:pStyle w:val="yTable"/>
            </w:pPr>
            <w:r>
              <w:t>Parking in an area on site set aside for vehicles of disabled persons identified in the manner specified in a sign, contrary to the sign</w:t>
            </w:r>
          </w:p>
        </w:tc>
        <w:tc>
          <w:tcPr>
            <w:tcW w:w="1559" w:type="dxa"/>
          </w:tcPr>
          <w:p>
            <w:pPr>
              <w:pStyle w:val="yTable"/>
              <w:jc w:val="center"/>
            </w:pPr>
            <w:r>
              <w:br/>
            </w:r>
            <w:r>
              <w:br/>
            </w:r>
            <w:r>
              <w:br/>
              <w:t>45</w:t>
            </w:r>
          </w:p>
        </w:tc>
      </w:tr>
      <w:tr>
        <w:trPr>
          <w:cantSplit/>
        </w:trPr>
        <w:tc>
          <w:tcPr>
            <w:tcW w:w="1985" w:type="dxa"/>
          </w:tcPr>
          <w:p>
            <w:pPr>
              <w:pStyle w:val="yTable"/>
              <w:jc w:val="center"/>
            </w:pPr>
            <w:r>
              <w:t>15(3) &amp; 15(1)(e)</w:t>
            </w:r>
          </w:p>
        </w:tc>
        <w:tc>
          <w:tcPr>
            <w:tcW w:w="3544" w:type="dxa"/>
          </w:tcPr>
          <w:p>
            <w:pPr>
              <w:pStyle w:val="yTable"/>
            </w:pPr>
            <w:r>
              <w:t>Displaying a permit in a manner other than that specified in a sign</w:t>
            </w:r>
          </w:p>
        </w:tc>
        <w:tc>
          <w:tcPr>
            <w:tcW w:w="1559" w:type="dxa"/>
          </w:tcPr>
          <w:p>
            <w:pPr>
              <w:pStyle w:val="yTable"/>
              <w:jc w:val="center"/>
            </w:pPr>
            <w:r>
              <w:br/>
              <w:t>10</w:t>
            </w:r>
          </w:p>
        </w:tc>
      </w:tr>
      <w:tr>
        <w:trPr>
          <w:cantSplit/>
        </w:trPr>
        <w:tc>
          <w:tcPr>
            <w:tcW w:w="1985" w:type="dxa"/>
          </w:tcPr>
          <w:p>
            <w:pPr>
              <w:pStyle w:val="yTable"/>
              <w:jc w:val="center"/>
            </w:pPr>
            <w:r>
              <w:t>15(3) &amp; 15(1)(e)</w:t>
            </w:r>
          </w:p>
        </w:tc>
        <w:tc>
          <w:tcPr>
            <w:tcW w:w="3544" w:type="dxa"/>
          </w:tcPr>
          <w:p>
            <w:pPr>
              <w:pStyle w:val="yTable"/>
            </w:pPr>
            <w:r>
              <w:t>Failing to display a permit, contrary to a sign</w:t>
            </w:r>
          </w:p>
        </w:tc>
        <w:tc>
          <w:tcPr>
            <w:tcW w:w="1559" w:type="dxa"/>
          </w:tcPr>
          <w:p>
            <w:pPr>
              <w:pStyle w:val="yTable"/>
              <w:jc w:val="center"/>
            </w:pPr>
            <w:r>
              <w:br/>
              <w:t>20</w:t>
            </w:r>
          </w:p>
        </w:tc>
      </w:tr>
      <w:tr>
        <w:trPr>
          <w:cantSplit/>
        </w:trPr>
        <w:tc>
          <w:tcPr>
            <w:tcW w:w="1985" w:type="dxa"/>
          </w:tcPr>
          <w:p>
            <w:pPr>
              <w:pStyle w:val="yTable"/>
              <w:jc w:val="center"/>
            </w:pPr>
            <w:r>
              <w:t>15(3)</w:t>
            </w:r>
          </w:p>
        </w:tc>
        <w:tc>
          <w:tcPr>
            <w:tcW w:w="3544" w:type="dxa"/>
          </w:tcPr>
          <w:p>
            <w:pPr>
              <w:pStyle w:val="yTable"/>
            </w:pPr>
            <w:r>
              <w:t>Parking, standing, or moving a vehicle in a parking space or parking facility contrary to a sign in relation to vehicles of disabled persons or contrary to any sign other than sign with a direction under by</w:t>
            </w:r>
            <w:r>
              <w:noBreakHyphen/>
              <w:t>law 15(1)(e)</w:t>
            </w:r>
          </w:p>
        </w:tc>
        <w:tc>
          <w:tcPr>
            <w:tcW w:w="1559" w:type="dxa"/>
          </w:tcPr>
          <w:p>
            <w:pPr>
              <w:pStyle w:val="yTable"/>
              <w:jc w:val="center"/>
            </w:pPr>
            <w:r>
              <w:br/>
            </w:r>
            <w:r>
              <w:br/>
            </w:r>
            <w:r>
              <w:br/>
            </w:r>
            <w:r>
              <w:br/>
            </w:r>
            <w:r>
              <w:br/>
            </w:r>
            <w:r>
              <w:br/>
              <w:t>40</w:t>
            </w:r>
          </w:p>
        </w:tc>
      </w:tr>
      <w:tr>
        <w:trPr>
          <w:cantSplit/>
        </w:trPr>
        <w:tc>
          <w:tcPr>
            <w:tcW w:w="1985" w:type="dxa"/>
          </w:tcPr>
          <w:p>
            <w:pPr>
              <w:pStyle w:val="yTable"/>
              <w:jc w:val="center"/>
            </w:pPr>
            <w:r>
              <w:t>16(8)</w:t>
            </w:r>
          </w:p>
        </w:tc>
        <w:tc>
          <w:tcPr>
            <w:tcW w:w="3544" w:type="dxa"/>
          </w:tcPr>
          <w:p>
            <w:pPr>
              <w:pStyle w:val="yTable"/>
            </w:pPr>
            <w:r>
              <w:t>Parking in an area on the site set apart for permit holders only, without a current permit</w:t>
            </w:r>
          </w:p>
        </w:tc>
        <w:tc>
          <w:tcPr>
            <w:tcW w:w="1559" w:type="dxa"/>
          </w:tcPr>
          <w:p>
            <w:pPr>
              <w:pStyle w:val="yTable"/>
              <w:jc w:val="center"/>
            </w:pPr>
            <w:r>
              <w:br/>
            </w:r>
            <w:r>
              <w:br/>
              <w:t>30</w:t>
            </w:r>
          </w:p>
        </w:tc>
      </w:tr>
      <w:tr>
        <w:trPr>
          <w:cantSplit/>
        </w:trPr>
        <w:tc>
          <w:tcPr>
            <w:tcW w:w="1985" w:type="dxa"/>
          </w:tcPr>
          <w:p>
            <w:pPr>
              <w:pStyle w:val="yTable"/>
              <w:jc w:val="center"/>
            </w:pPr>
            <w:r>
              <w:t>21</w:t>
            </w:r>
          </w:p>
        </w:tc>
        <w:tc>
          <w:tcPr>
            <w:tcW w:w="3544" w:type="dxa"/>
          </w:tcPr>
          <w:p>
            <w:pPr>
              <w:pStyle w:val="yTable"/>
            </w:pPr>
            <w:r>
              <w:t>Unauthorised person endorsing or altering an infringement notice</w:t>
            </w:r>
          </w:p>
        </w:tc>
        <w:tc>
          <w:tcPr>
            <w:tcW w:w="1559" w:type="dxa"/>
          </w:tcPr>
          <w:p>
            <w:pPr>
              <w:pStyle w:val="yTable"/>
              <w:jc w:val="center"/>
            </w:pPr>
            <w:r>
              <w:br/>
              <w:t>20</w:t>
            </w:r>
          </w:p>
        </w:tc>
      </w:tr>
      <w:tr>
        <w:trPr>
          <w:cantSplit/>
        </w:trPr>
        <w:tc>
          <w:tcPr>
            <w:tcW w:w="1985" w:type="dxa"/>
          </w:tcPr>
          <w:p>
            <w:pPr>
              <w:pStyle w:val="yTable"/>
              <w:jc w:val="center"/>
            </w:pPr>
            <w:r>
              <w:t>22</w:t>
            </w:r>
          </w:p>
        </w:tc>
        <w:tc>
          <w:tcPr>
            <w:tcW w:w="3544" w:type="dxa"/>
          </w:tcPr>
          <w:p>
            <w:pPr>
              <w:pStyle w:val="yTable"/>
            </w:pPr>
            <w:r>
              <w:t>Removing an infringement notice when not authorised to do so</w:t>
            </w:r>
          </w:p>
        </w:tc>
        <w:tc>
          <w:tcPr>
            <w:tcW w:w="1559" w:type="dxa"/>
          </w:tcPr>
          <w:p>
            <w:pPr>
              <w:pStyle w:val="yTable"/>
              <w:jc w:val="center"/>
            </w:pPr>
            <w:r>
              <w:br/>
              <w:t>20</w:t>
            </w:r>
          </w:p>
        </w:tc>
      </w:tr>
    </w:tbl>
    <w:p>
      <w:pPr>
        <w:pStyle w:val="yScheduleHeading"/>
      </w:pPr>
      <w:bookmarkStart w:id="89" w:name="_Toc377999042"/>
      <w:bookmarkStart w:id="90" w:name="_Toc190576036"/>
      <w:bookmarkStart w:id="91" w:name="_Toc278466635"/>
      <w:r>
        <w:rPr>
          <w:rStyle w:val="CharSchNo"/>
        </w:rPr>
        <w:t>Schedule 2</w:t>
      </w:r>
      <w:r>
        <w:t xml:space="preserve"> — </w:t>
      </w:r>
      <w:r>
        <w:rPr>
          <w:rStyle w:val="CharSchText"/>
        </w:rPr>
        <w:t>Forms</w:t>
      </w:r>
      <w:bookmarkEnd w:id="89"/>
      <w:bookmarkEnd w:id="90"/>
      <w:bookmarkEnd w:id="91"/>
    </w:p>
    <w:p>
      <w:pPr>
        <w:pStyle w:val="yShoulderClause"/>
        <w:rPr>
          <w:snapToGrid w:val="0"/>
        </w:rPr>
      </w:pPr>
      <w:r>
        <w:t>[bls. 18(3) and 19]</w:t>
      </w:r>
    </w:p>
    <w:p>
      <w:pPr>
        <w:pStyle w:val="MiscellaneousHeading"/>
        <w:rPr>
          <w:snapToGrid w:val="0"/>
        </w:rPr>
      </w:pPr>
      <w:r>
        <w:rPr>
          <w:snapToGrid w:val="0"/>
        </w:rPr>
        <w:t>Form 1</w:t>
      </w:r>
    </w:p>
    <w:p>
      <w:pPr>
        <w:pStyle w:val="MiscellaneousHeading"/>
        <w:rPr>
          <w:i/>
          <w:snapToGrid w:val="0"/>
        </w:rPr>
      </w:pPr>
      <w:r>
        <w:rPr>
          <w:i/>
          <w:snapToGrid w:val="0"/>
        </w:rPr>
        <w:t>Hospitals and Health Services Act 1927</w:t>
      </w:r>
    </w:p>
    <w:p>
      <w:pPr>
        <w:pStyle w:val="MiscellaneousHeading"/>
        <w:rPr>
          <w:b/>
          <w:snapToGrid w:val="0"/>
        </w:rPr>
      </w:pPr>
      <w:r>
        <w:rPr>
          <w:b/>
          <w:i/>
          <w:snapToGrid w:val="0"/>
        </w:rPr>
        <w:t>Bentley Hospital By</w:t>
      </w:r>
      <w:r>
        <w:rPr>
          <w:b/>
          <w:i/>
          <w:snapToGrid w:val="0"/>
        </w:rPr>
        <w:noBreakHyphen/>
        <w:t>laws 2001</w:t>
      </w:r>
    </w:p>
    <w:p>
      <w:pPr>
        <w:pStyle w:val="MiscellaneousHeading"/>
        <w:tabs>
          <w:tab w:val="left" w:pos="1134"/>
          <w:tab w:val="left" w:pos="4536"/>
        </w:tabs>
        <w:rPr>
          <w:snapToGrid w:val="0"/>
        </w:rPr>
      </w:pPr>
      <w:r>
        <w:rPr>
          <w:b/>
          <w:snapToGrid w:val="0"/>
        </w:rPr>
        <w:tab/>
        <w:t>INFRINGEMENT NOTICE</w:t>
      </w:r>
      <w:r>
        <w:rPr>
          <w:snapToGrid w:val="0"/>
        </w:rPr>
        <w:tab/>
        <w:t>No..............</w:t>
      </w:r>
    </w:p>
    <w:p>
      <w:pPr>
        <w:pStyle w:val="yTable"/>
        <w:jc w:val="right"/>
        <w:rPr>
          <w:snapToGrid w:val="0"/>
        </w:rPr>
      </w:pPr>
      <w:r>
        <w:rPr>
          <w:snapToGrid w:val="0"/>
        </w:rPr>
        <w:t>Date of service .... / .... / ......</w:t>
      </w:r>
    </w:p>
    <w:p>
      <w:pPr>
        <w:pStyle w:val="yTable"/>
        <w:rPr>
          <w:snapToGrid w:val="0"/>
          <w:sz w:val="16"/>
        </w:rPr>
      </w:pPr>
      <w:r>
        <w:rPr>
          <w:snapToGrid w:val="0"/>
          <w:sz w:val="16"/>
        </w:rPr>
        <w:t>TO: THE OWNER / DRIVER / PERSON IN CHARGE OF VEHICLE</w:t>
      </w:r>
    </w:p>
    <w:p>
      <w:pPr>
        <w:pStyle w:val="yTable"/>
        <w:rPr>
          <w:snapToGrid w:val="0"/>
          <w:sz w:val="16"/>
        </w:rPr>
      </w:pPr>
      <w:r>
        <w:rPr>
          <w:snapToGrid w:val="0"/>
          <w:sz w:val="16"/>
        </w:rPr>
        <w:t>MAKE ................................................ TYPE .....................................................</w:t>
      </w:r>
    </w:p>
    <w:p>
      <w:pPr>
        <w:pStyle w:val="yTable"/>
        <w:rPr>
          <w:snapToGrid w:val="0"/>
          <w:sz w:val="16"/>
        </w:rPr>
      </w:pPr>
      <w:r>
        <w:rPr>
          <w:snapToGrid w:val="0"/>
          <w:sz w:val="16"/>
        </w:rPr>
        <w:t>PLATE NO. ........................................... COLOUR..............................................</w:t>
      </w:r>
    </w:p>
    <w:p>
      <w:pPr>
        <w:pStyle w:val="yTable"/>
        <w:rPr>
          <w:snapToGrid w:val="0"/>
          <w:sz w:val="16"/>
        </w:rPr>
      </w:pPr>
      <w:r>
        <w:rPr>
          <w:snapToGrid w:val="0"/>
          <w:sz w:val="16"/>
        </w:rPr>
        <w:t>IT IS ALLEGED THAT AT ABOUT ....... HRS ON THE ............ DAY OF ...............,</w:t>
      </w:r>
    </w:p>
    <w:p>
      <w:pPr>
        <w:pStyle w:val="yTable"/>
        <w:rPr>
          <w:snapToGrid w:val="0"/>
          <w:sz w:val="16"/>
        </w:rPr>
      </w:pPr>
      <w:r>
        <w:rPr>
          <w:snapToGrid w:val="0"/>
          <w:sz w:val="16"/>
        </w:rPr>
        <w:t>YOU CONTRAVENED THE BY</w:t>
      </w:r>
      <w:r>
        <w:rPr>
          <w:snapToGrid w:val="0"/>
          <w:sz w:val="16"/>
        </w:rPr>
        <w:noBreakHyphen/>
        <w:t>LAW SPECIFIED AND BRIEFLY DESCRIBED AS FOLLOWS:</w:t>
      </w:r>
    </w:p>
    <w:p>
      <w:pPr>
        <w:pStyle w:val="yTable"/>
        <w:jc w:val="right"/>
        <w:rPr>
          <w:snapToGrid w:val="0"/>
        </w:rPr>
      </w:pPr>
      <w:r>
        <w:rPr>
          <w:snapToGrid w:val="0"/>
        </w:rPr>
        <w:t>..............................................</w:t>
      </w:r>
    </w:p>
    <w:p>
      <w:pPr>
        <w:pStyle w:val="yTable"/>
        <w:jc w:val="right"/>
        <w:rPr>
          <w:snapToGrid w:val="0"/>
          <w:sz w:val="18"/>
        </w:rPr>
      </w:pPr>
      <w:r>
        <w:rPr>
          <w:snapToGrid w:val="0"/>
          <w:sz w:val="20"/>
        </w:rPr>
        <w:t>Authorised person</w:t>
      </w:r>
      <w:r>
        <w:rPr>
          <w:snapToGrid w:val="0"/>
          <w:sz w:val="18"/>
        </w:rPr>
        <w:t xml:space="preserve"> </w:t>
      </w:r>
    </w:p>
    <w:p>
      <w:pPr>
        <w:pStyle w:val="yTable"/>
        <w:rPr>
          <w:snapToGrid w:val="0"/>
          <w:sz w:val="16"/>
        </w:rPr>
      </w:pPr>
      <w:r>
        <w:rPr>
          <w:snapToGrid w:val="0"/>
          <w:sz w:val="16"/>
        </w:rPr>
        <w:t>BY</w:t>
      </w:r>
      <w:r>
        <w:rPr>
          <w:snapToGrid w:val="0"/>
          <w:sz w:val="16"/>
        </w:rPr>
        <w:noBreakHyphen/>
        <w:t>LAW NO. ......................................................................................................</w:t>
      </w:r>
    </w:p>
    <w:p>
      <w:pPr>
        <w:pStyle w:val="yTable"/>
        <w:rPr>
          <w:snapToGrid w:val="0"/>
          <w:sz w:val="16"/>
        </w:rPr>
      </w:pPr>
      <w:r>
        <w:rPr>
          <w:snapToGrid w:val="0"/>
          <w:sz w:val="16"/>
        </w:rPr>
        <w:t>DESCRIPTION OF OFFENCE ..............................................................................</w:t>
      </w:r>
    </w:p>
    <w:p>
      <w:pPr>
        <w:pStyle w:val="yTable"/>
        <w:rPr>
          <w:snapToGrid w:val="0"/>
          <w:sz w:val="16"/>
        </w:rPr>
      </w:pPr>
      <w:r>
        <w:rPr>
          <w:snapToGrid w:val="0"/>
          <w:sz w:val="16"/>
        </w:rPr>
        <w:t>....................................................................... ....................................................</w:t>
      </w:r>
    </w:p>
    <w:p>
      <w:pPr>
        <w:pStyle w:val="yTable"/>
        <w:rPr>
          <w:snapToGrid w:val="0"/>
          <w:sz w:val="16"/>
        </w:rPr>
      </w:pPr>
      <w:r>
        <w:rPr>
          <w:snapToGrid w:val="0"/>
          <w:sz w:val="16"/>
        </w:rPr>
        <w:t>MODIFIED PENALTY ..........................................................................................</w:t>
      </w:r>
    </w:p>
    <w:p>
      <w:pPr>
        <w:pStyle w:val="yTable"/>
        <w:rPr>
          <w:snapToGrid w:val="0"/>
          <w:sz w:val="18"/>
        </w:rPr>
      </w:pPr>
      <w:r>
        <w:rPr>
          <w:snapToGrid w:val="0"/>
          <w:sz w:val="18"/>
        </w:rPr>
        <w:t>You may dispose of this matter either — </w:t>
      </w:r>
    </w:p>
    <w:p>
      <w:pPr>
        <w:pStyle w:val="yTable"/>
        <w:tabs>
          <w:tab w:val="left" w:pos="567"/>
          <w:tab w:val="left" w:pos="1134"/>
        </w:tabs>
        <w:ind w:left="1134" w:hanging="1134"/>
        <w:rPr>
          <w:snapToGrid w:val="0"/>
          <w:sz w:val="18"/>
        </w:rPr>
      </w:pPr>
      <w:r>
        <w:rPr>
          <w:snapToGrid w:val="0"/>
          <w:sz w:val="18"/>
        </w:rPr>
        <w:tab/>
        <w:t>(a)</w:t>
      </w:r>
      <w:r>
        <w:rPr>
          <w:snapToGrid w:val="0"/>
          <w:sz w:val="18"/>
        </w:rPr>
        <w:tab/>
        <w:t>by paying the modified penalty within 28 days of the date you received this notice, or such further time as an authorised person allows, to the Cashier Bentley Hospital or an authorised person, Bentley Hospital; or</w:t>
      </w:r>
    </w:p>
    <w:p>
      <w:pPr>
        <w:pStyle w:val="yTable"/>
        <w:tabs>
          <w:tab w:val="left" w:pos="567"/>
          <w:tab w:val="left" w:pos="1134"/>
        </w:tabs>
        <w:ind w:left="1134" w:hanging="1134"/>
        <w:rPr>
          <w:snapToGrid w:val="0"/>
          <w:sz w:val="18"/>
        </w:rPr>
      </w:pPr>
      <w:r>
        <w:rPr>
          <w:snapToGrid w:val="0"/>
          <w:sz w:val="18"/>
        </w:rPr>
        <w:tab/>
        <w:t>(b)</w:t>
      </w:r>
      <w:r>
        <w:rPr>
          <w:snapToGrid w:val="0"/>
          <w:sz w:val="18"/>
        </w:rPr>
        <w:tab/>
        <w:t>by having it heard and determined by a court.</w:t>
      </w:r>
    </w:p>
    <w:p>
      <w:pPr>
        <w:pStyle w:val="yTable"/>
        <w:tabs>
          <w:tab w:val="left" w:pos="567"/>
        </w:tabs>
        <w:rPr>
          <w:snapToGrid w:val="0"/>
          <w:sz w:val="18"/>
        </w:rPr>
      </w:pPr>
      <w:r>
        <w:rPr>
          <w:snapToGrid w:val="0"/>
          <w:sz w:val="18"/>
        </w:rPr>
        <w:t>If the modified penalty is not paid within the period referred to above, court proceedings may be taken against you. If convicted, you may be liable to a penalty not exceeding $50.</w:t>
      </w:r>
    </w:p>
    <w:p>
      <w:pPr>
        <w:pStyle w:val="yTable"/>
        <w:rPr>
          <w:snapToGrid w:val="0"/>
          <w:sz w:val="18"/>
        </w:rPr>
      </w:pPr>
      <w:r>
        <w:rPr>
          <w:snapToGrid w:val="0"/>
          <w:sz w:val="18"/>
        </w:rPr>
        <w:t>Payment of the modified penalty is not to be regarded as an admission for the purposes of any proceedings, whether civil or criminal. Retain the receipt for proof of payment.</w:t>
      </w:r>
    </w:p>
    <w:p>
      <w:pPr>
        <w:pStyle w:val="yTable"/>
        <w:rPr>
          <w:snapToGrid w:val="0"/>
          <w:sz w:val="18"/>
        </w:rPr>
      </w:pPr>
      <w:r>
        <w:rPr>
          <w:snapToGrid w:val="0"/>
          <w:sz w:val="18"/>
        </w:rPr>
        <w:t>Date ......./......./........</w:t>
      </w:r>
    </w:p>
    <w:p>
      <w:pPr>
        <w:pStyle w:val="yTable"/>
        <w:rPr>
          <w:snapToGrid w:val="0"/>
          <w:sz w:val="18"/>
        </w:rPr>
      </w:pPr>
      <w:r>
        <w:rPr>
          <w:snapToGrid w:val="0"/>
          <w:sz w:val="18"/>
        </w:rPr>
        <w:t>Received from ...............................................................................................….</w:t>
      </w:r>
    </w:p>
    <w:p>
      <w:pPr>
        <w:pStyle w:val="yTable"/>
        <w:rPr>
          <w:snapToGrid w:val="0"/>
          <w:sz w:val="18"/>
        </w:rPr>
      </w:pPr>
      <w:r>
        <w:rPr>
          <w:snapToGrid w:val="0"/>
          <w:sz w:val="18"/>
        </w:rPr>
        <w:t>of.........................................................................................................................</w:t>
      </w:r>
    </w:p>
    <w:p>
      <w:pPr>
        <w:pStyle w:val="yTable"/>
        <w:rPr>
          <w:snapToGrid w:val="0"/>
          <w:sz w:val="18"/>
        </w:rPr>
      </w:pPr>
      <w:r>
        <w:rPr>
          <w:snapToGrid w:val="0"/>
          <w:sz w:val="18"/>
        </w:rPr>
        <w:t>the sum of $............. in payment of the modified penalty referred to above.</w:t>
      </w:r>
      <w:r>
        <w:rPr>
          <w:snapToGrid w:val="0"/>
          <w:sz w:val="18"/>
        </w:rPr>
        <w:br/>
      </w:r>
    </w:p>
    <w:p>
      <w:pPr>
        <w:pStyle w:val="yTable"/>
        <w:jc w:val="right"/>
        <w:rPr>
          <w:snapToGrid w:val="0"/>
          <w:sz w:val="18"/>
        </w:rPr>
      </w:pPr>
      <w:r>
        <w:rPr>
          <w:snapToGrid w:val="0"/>
          <w:sz w:val="18"/>
        </w:rPr>
        <w:t>…………………………………………….</w:t>
      </w:r>
    </w:p>
    <w:p>
      <w:pPr>
        <w:pStyle w:val="yTable"/>
        <w:jc w:val="right"/>
        <w:rPr>
          <w:snapToGrid w:val="0"/>
          <w:sz w:val="20"/>
        </w:rPr>
      </w:pPr>
      <w:r>
        <w:rPr>
          <w:snapToGrid w:val="0"/>
          <w:sz w:val="20"/>
        </w:rPr>
        <w:t>Authorised person</w:t>
      </w:r>
    </w:p>
    <w:p>
      <w:pPr>
        <w:pStyle w:val="MiscellaneousHeading"/>
        <w:pageBreakBefore/>
        <w:rPr>
          <w:snapToGrid w:val="0"/>
        </w:rPr>
      </w:pPr>
      <w:r>
        <w:rPr>
          <w:snapToGrid w:val="0"/>
        </w:rPr>
        <w:t>Form 2</w:t>
      </w:r>
    </w:p>
    <w:p>
      <w:pPr>
        <w:pStyle w:val="MiscellaneousHeading"/>
        <w:rPr>
          <w:i/>
          <w:snapToGrid w:val="0"/>
        </w:rPr>
      </w:pPr>
      <w:r>
        <w:rPr>
          <w:i/>
          <w:snapToGrid w:val="0"/>
        </w:rPr>
        <w:t>Hospitals and Health Services Act 1927</w:t>
      </w:r>
    </w:p>
    <w:p>
      <w:pPr>
        <w:pStyle w:val="MiscellaneousHeading"/>
        <w:rPr>
          <w:b/>
          <w:snapToGrid w:val="0"/>
        </w:rPr>
      </w:pPr>
      <w:r>
        <w:rPr>
          <w:b/>
          <w:i/>
          <w:snapToGrid w:val="0"/>
        </w:rPr>
        <w:t>Bentley Hospital By</w:t>
      </w:r>
      <w:r>
        <w:rPr>
          <w:b/>
          <w:i/>
          <w:snapToGrid w:val="0"/>
        </w:rPr>
        <w:noBreakHyphen/>
        <w:t>laws 2001</w:t>
      </w:r>
    </w:p>
    <w:p>
      <w:pPr>
        <w:pStyle w:val="MiscellaneousHeading"/>
        <w:rPr>
          <w:b/>
          <w:snapToGrid w:val="0"/>
        </w:rPr>
      </w:pPr>
      <w:r>
        <w:rPr>
          <w:b/>
          <w:snapToGrid w:val="0"/>
        </w:rPr>
        <w:t>WITHDRAWAL OF INFRINGEMENT NOTICE</w:t>
      </w:r>
    </w:p>
    <w:p>
      <w:pPr>
        <w:pStyle w:val="yTable"/>
        <w:rPr>
          <w:snapToGrid w:val="0"/>
          <w:sz w:val="20"/>
        </w:rPr>
      </w:pPr>
      <w:r>
        <w:rPr>
          <w:snapToGrid w:val="0"/>
          <w:sz w:val="20"/>
        </w:rPr>
        <w:t>Date .... / .... / ......</w:t>
      </w:r>
    </w:p>
    <w:p>
      <w:pPr>
        <w:pStyle w:val="yTable"/>
        <w:rPr>
          <w:snapToGrid w:val="0"/>
          <w:sz w:val="20"/>
        </w:rPr>
      </w:pPr>
      <w:r>
        <w:rPr>
          <w:snapToGrid w:val="0"/>
          <w:sz w:val="20"/>
        </w:rPr>
        <w:t>To: …………………………………………………………………………..</w:t>
      </w:r>
    </w:p>
    <w:p>
      <w:pPr>
        <w:pStyle w:val="yTable"/>
        <w:rPr>
          <w:snapToGrid w:val="0"/>
          <w:sz w:val="20"/>
        </w:rPr>
      </w:pPr>
      <w:r>
        <w:rPr>
          <w:snapToGrid w:val="0"/>
          <w:sz w:val="20"/>
        </w:rPr>
        <w:t>of  ……………………………………………………………………………</w:t>
      </w:r>
    </w:p>
    <w:p>
      <w:pPr>
        <w:pStyle w:val="yTable"/>
        <w:rPr>
          <w:snapToGrid w:val="0"/>
          <w:sz w:val="20"/>
        </w:rPr>
      </w:pPr>
      <w:r>
        <w:rPr>
          <w:snapToGrid w:val="0"/>
          <w:sz w:val="20"/>
        </w:rPr>
        <w:t>Infringement notice No. ................. served on you on the .... day of.............. , ……….....</w:t>
      </w:r>
    </w:p>
    <w:p>
      <w:pPr>
        <w:pStyle w:val="yTable"/>
        <w:rPr>
          <w:snapToGrid w:val="0"/>
          <w:sz w:val="20"/>
        </w:rPr>
      </w:pPr>
      <w:r>
        <w:rPr>
          <w:snapToGrid w:val="0"/>
          <w:sz w:val="20"/>
        </w:rPr>
        <w:t>for the alleged offence of ……………………………………………………..</w:t>
      </w:r>
    </w:p>
    <w:p>
      <w:pPr>
        <w:pStyle w:val="yTable"/>
        <w:rPr>
          <w:snapToGrid w:val="0"/>
          <w:sz w:val="20"/>
        </w:rPr>
      </w:pPr>
      <w:r>
        <w:rPr>
          <w:snapToGrid w:val="0"/>
          <w:sz w:val="20"/>
        </w:rPr>
        <w:t>…………………………………………………………………………………</w:t>
      </w:r>
    </w:p>
    <w:p>
      <w:pPr>
        <w:pStyle w:val="yTable"/>
        <w:rPr>
          <w:snapToGrid w:val="0"/>
          <w:sz w:val="20"/>
        </w:rPr>
      </w:pPr>
      <w:r>
        <w:rPr>
          <w:snapToGrid w:val="0"/>
          <w:sz w:val="20"/>
        </w:rPr>
        <w:t xml:space="preserve">is hereby withdrawn and no further action will be taken against you in respect of the alleged offence. </w:t>
      </w:r>
    </w:p>
    <w:p>
      <w:pPr>
        <w:pStyle w:val="yTable"/>
        <w:rPr>
          <w:snapToGrid w:val="0"/>
          <w:sz w:val="20"/>
        </w:rPr>
      </w:pPr>
      <w:r>
        <w:rPr>
          <w:snapToGrid w:val="0"/>
          <w:sz w:val="20"/>
        </w:rPr>
        <w:t>If you have paid the modified penalty before receiving this notice, the amount of the payment will be refunded to you on presentation of the receipt issued by the cashier or an authorised person of the Bentley Hospital for the payment.</w:t>
      </w:r>
      <w:r>
        <w:rPr>
          <w:snapToGrid w:val="0"/>
          <w:sz w:val="20"/>
        </w:rPr>
        <w:br/>
      </w:r>
    </w:p>
    <w:p>
      <w:pPr>
        <w:pStyle w:val="yTable"/>
        <w:jc w:val="right"/>
        <w:rPr>
          <w:snapToGrid w:val="0"/>
          <w:sz w:val="20"/>
        </w:rPr>
      </w:pPr>
      <w:r>
        <w:rPr>
          <w:snapToGrid w:val="0"/>
          <w:sz w:val="20"/>
        </w:rPr>
        <w:t>…………………………………………….</w:t>
      </w:r>
    </w:p>
    <w:p>
      <w:pPr>
        <w:pStyle w:val="yTable"/>
        <w:jc w:val="right"/>
        <w:rPr>
          <w:snapToGrid w:val="0"/>
          <w:sz w:val="20"/>
        </w:rPr>
      </w:pPr>
      <w:r>
        <w:rPr>
          <w:snapToGrid w:val="0"/>
          <w:sz w:val="20"/>
        </w:rPr>
        <w:t>Authorised person</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92" w:name="_Toc377999043"/>
      <w:bookmarkStart w:id="93" w:name="_Toc190576037"/>
      <w:bookmarkStart w:id="94" w:name="_Toc278466636"/>
      <w:r>
        <w:t>Notes</w:t>
      </w:r>
      <w:bookmarkEnd w:id="92"/>
      <w:bookmarkEnd w:id="93"/>
      <w:bookmarkEnd w:id="94"/>
    </w:p>
    <w:p>
      <w:pPr>
        <w:pStyle w:val="nSubsection"/>
        <w:rPr>
          <w:snapToGrid w:val="0"/>
        </w:rPr>
      </w:pPr>
      <w:r>
        <w:rPr>
          <w:snapToGrid w:val="0"/>
          <w:vertAlign w:val="superscript"/>
        </w:rPr>
        <w:t>1</w:t>
      </w:r>
      <w:r>
        <w:rPr>
          <w:snapToGrid w:val="0"/>
        </w:rPr>
        <w:tab/>
        <w:t xml:space="preserve">This is a compilation of the </w:t>
      </w:r>
      <w:r>
        <w:rPr>
          <w:i/>
          <w:snapToGrid w:val="0"/>
        </w:rPr>
        <w:t xml:space="preserve">Bentley Hospital By-laws </w:t>
      </w:r>
      <w:r>
        <w:rPr>
          <w:i/>
        </w:rPr>
        <w:t>2001</w:t>
      </w:r>
      <w:r>
        <w:t xml:space="preserve"> and</w:t>
      </w:r>
      <w:r>
        <w:rPr>
          <w:snapToGrid w:val="0"/>
        </w:rPr>
        <w:t> includes the amendments made by the other written laws referred to in the following table</w:t>
      </w:r>
      <w:del w:id="95" w:author="Master Repository Process" w:date="2021-07-31T09:36:00Z">
        <w:r>
          <w:rPr>
            <w:snapToGrid w:val="0"/>
            <w:vertAlign w:val="superscript"/>
          </w:rPr>
          <w:delText> 1a</w:delText>
        </w:r>
      </w:del>
      <w:r>
        <w:rPr>
          <w:snapToGrid w:val="0"/>
        </w:rPr>
        <w:t>.</w:t>
      </w:r>
    </w:p>
    <w:p>
      <w:pPr>
        <w:pStyle w:val="nHeading3"/>
      </w:pPr>
      <w:bookmarkStart w:id="96" w:name="_Toc377999044"/>
      <w:bookmarkStart w:id="97" w:name="_Toc278466637"/>
      <w:r>
        <w:t>Compilation table</w:t>
      </w:r>
      <w:bookmarkEnd w:id="96"/>
      <w:bookmarkEnd w:id="9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snapToGrid w:val="0"/>
              </w:rPr>
              <w:t xml:space="preserve">Bentley Hospital By-laws </w:t>
            </w:r>
            <w:r>
              <w:rPr>
                <w:i/>
              </w:rPr>
              <w:t>2001</w:t>
            </w:r>
          </w:p>
        </w:tc>
        <w:tc>
          <w:tcPr>
            <w:tcW w:w="1276" w:type="dxa"/>
            <w:tcBorders>
              <w:top w:val="single" w:sz="8" w:space="0" w:color="auto"/>
            </w:tcBorders>
          </w:tcPr>
          <w:p>
            <w:pPr>
              <w:pStyle w:val="nTable"/>
            </w:pPr>
            <w:r>
              <w:t>21 Dec 2001 p. 6521-39</w:t>
            </w:r>
          </w:p>
        </w:tc>
        <w:tc>
          <w:tcPr>
            <w:tcW w:w="2693" w:type="dxa"/>
            <w:tcBorders>
              <w:top w:val="single" w:sz="8" w:space="0" w:color="auto"/>
            </w:tcBorders>
          </w:tcPr>
          <w:p>
            <w:pPr>
              <w:pStyle w:val="nTable"/>
            </w:pPr>
            <w:r>
              <w:t>21 Dec 2001</w:t>
            </w:r>
          </w:p>
        </w:tc>
      </w:tr>
      <w:tr>
        <w:tc>
          <w:tcPr>
            <w:tcW w:w="3119" w:type="dxa"/>
          </w:tcPr>
          <w:p>
            <w:pPr>
              <w:pStyle w:val="nTable"/>
              <w:rPr>
                <w:i/>
                <w:snapToGrid w:val="0"/>
              </w:rPr>
            </w:pPr>
            <w:r>
              <w:rPr>
                <w:i/>
                <w:snapToGrid w:val="0"/>
              </w:rPr>
              <w:t>Bentley Hospital Amendment By</w:t>
            </w:r>
            <w:r>
              <w:rPr>
                <w:i/>
                <w:snapToGrid w:val="0"/>
              </w:rPr>
              <w:noBreakHyphen/>
              <w:t>laws </w:t>
            </w:r>
            <w:r>
              <w:rPr>
                <w:i/>
              </w:rPr>
              <w:t>2008</w:t>
            </w:r>
          </w:p>
        </w:tc>
        <w:tc>
          <w:tcPr>
            <w:tcW w:w="1276" w:type="dxa"/>
          </w:tcPr>
          <w:p>
            <w:pPr>
              <w:pStyle w:val="nTable"/>
            </w:pPr>
            <w:r>
              <w:t>12 Feb 2008 p. 339</w:t>
            </w:r>
            <w:r>
              <w:noBreakHyphen/>
              <w:t>40</w:t>
            </w:r>
          </w:p>
        </w:tc>
        <w:tc>
          <w:tcPr>
            <w:tcW w:w="2693" w:type="dxa"/>
          </w:tcPr>
          <w:p>
            <w:pPr>
              <w:pStyle w:val="nTable"/>
            </w:pPr>
            <w:r>
              <w:rPr>
                <w:snapToGrid w:val="0"/>
                <w:sz w:val="19"/>
              </w:rPr>
              <w:t>bl. 1 and 2: 12 Feb 2008 (see bl. 2(a));</w:t>
            </w:r>
            <w:r>
              <w:rPr>
                <w:snapToGrid w:val="0"/>
                <w:sz w:val="19"/>
              </w:rPr>
              <w:br/>
              <w:t>By-laws other than bl. 1 and 2: 13 Feb 2008 (see bl. 2(b))</w:t>
            </w:r>
          </w:p>
        </w:tc>
      </w:tr>
    </w:tbl>
    <w:p>
      <w:pPr>
        <w:rPr>
          <w:del w:id="98" w:author="Master Repository Process" w:date="2021-07-31T09:36:00Z"/>
        </w:rPr>
      </w:pPr>
    </w:p>
    <w:p>
      <w:pPr>
        <w:pStyle w:val="nSubsection"/>
        <w:tabs>
          <w:tab w:val="clear" w:pos="454"/>
          <w:tab w:val="left" w:pos="567"/>
        </w:tabs>
        <w:spacing w:before="120"/>
        <w:ind w:left="567" w:hanging="567"/>
        <w:rPr>
          <w:del w:id="99" w:author="Master Repository Process" w:date="2021-07-31T09:36:00Z"/>
          <w:snapToGrid w:val="0"/>
        </w:rPr>
      </w:pPr>
      <w:del w:id="100" w:author="Master Repository Process" w:date="2021-07-31T09:3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1" w:author="Master Repository Process" w:date="2021-07-31T09:36:00Z"/>
        </w:rPr>
      </w:pPr>
      <w:bookmarkStart w:id="102" w:name="_Toc7405065"/>
      <w:bookmarkStart w:id="103" w:name="_Toc278466638"/>
      <w:del w:id="104" w:author="Master Repository Process" w:date="2021-07-31T09:36:00Z">
        <w:r>
          <w:delText>Provisions that have not come into operation</w:delText>
        </w:r>
        <w:bookmarkEnd w:id="102"/>
        <w:bookmarkEnd w:id="103"/>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del w:id="105" w:author="Master Repository Process" w:date="2021-07-31T09:36:00Z"/>
        </w:trPr>
        <w:tc>
          <w:tcPr>
            <w:tcW w:w="3119" w:type="dxa"/>
            <w:tcBorders>
              <w:top w:val="single" w:sz="8" w:space="0" w:color="auto"/>
              <w:bottom w:val="single" w:sz="8" w:space="0" w:color="auto"/>
            </w:tcBorders>
          </w:tcPr>
          <w:p>
            <w:pPr>
              <w:pStyle w:val="nTable"/>
              <w:spacing w:before="60" w:after="60"/>
              <w:rPr>
                <w:del w:id="106" w:author="Master Repository Process" w:date="2021-07-31T09:36:00Z"/>
                <w:b/>
              </w:rPr>
            </w:pPr>
            <w:del w:id="107" w:author="Master Repository Process" w:date="2021-07-31T09:36:00Z">
              <w:r>
                <w:rPr>
                  <w:b/>
                </w:rPr>
                <w:delText>Citation</w:delText>
              </w:r>
            </w:del>
          </w:p>
        </w:tc>
        <w:tc>
          <w:tcPr>
            <w:tcW w:w="1276" w:type="dxa"/>
            <w:tcBorders>
              <w:top w:val="single" w:sz="8" w:space="0" w:color="auto"/>
              <w:bottom w:val="single" w:sz="8" w:space="0" w:color="auto"/>
            </w:tcBorders>
          </w:tcPr>
          <w:p>
            <w:pPr>
              <w:pStyle w:val="nTable"/>
              <w:spacing w:before="60" w:after="60"/>
              <w:rPr>
                <w:del w:id="108" w:author="Master Repository Process" w:date="2021-07-31T09:36:00Z"/>
                <w:b/>
              </w:rPr>
            </w:pPr>
            <w:del w:id="109" w:author="Master Repository Process" w:date="2021-07-31T09:36:00Z">
              <w:r>
                <w:rPr>
                  <w:b/>
                </w:rPr>
                <w:delText>Gazettal</w:delText>
              </w:r>
            </w:del>
          </w:p>
        </w:tc>
        <w:tc>
          <w:tcPr>
            <w:tcW w:w="2693" w:type="dxa"/>
            <w:tcBorders>
              <w:top w:val="single" w:sz="8" w:space="0" w:color="auto"/>
              <w:bottom w:val="single" w:sz="8" w:space="0" w:color="auto"/>
            </w:tcBorders>
          </w:tcPr>
          <w:p>
            <w:pPr>
              <w:pStyle w:val="nTable"/>
              <w:spacing w:before="60" w:after="60"/>
              <w:rPr>
                <w:del w:id="110" w:author="Master Repository Process" w:date="2021-07-31T09:36:00Z"/>
                <w:b/>
              </w:rPr>
            </w:pPr>
            <w:del w:id="111" w:author="Master Repository Process" w:date="2021-07-31T09:36:00Z">
              <w:r>
                <w:rPr>
                  <w:b/>
                </w:rPr>
                <w:delText>Commencement</w:delText>
              </w:r>
            </w:del>
          </w:p>
        </w:tc>
      </w:tr>
      <w:tr>
        <w:tc>
          <w:tcPr>
            <w:tcW w:w="3119" w:type="dxa"/>
            <w:tcBorders>
              <w:bottom w:val="single" w:sz="4" w:space="0" w:color="auto"/>
            </w:tcBorders>
          </w:tcPr>
          <w:p>
            <w:pPr>
              <w:pStyle w:val="nTable"/>
              <w:rPr>
                <w:i/>
                <w:snapToGrid w:val="0"/>
              </w:rPr>
            </w:pPr>
            <w:r>
              <w:rPr>
                <w:i/>
                <w:snapToGrid w:val="0"/>
              </w:rPr>
              <w:t>Bentley Hospital Amendment By</w:t>
            </w:r>
            <w:r>
              <w:rPr>
                <w:i/>
                <w:snapToGrid w:val="0"/>
              </w:rPr>
              <w:noBreakHyphen/>
              <w:t>laws </w:t>
            </w:r>
            <w:r>
              <w:rPr>
                <w:i/>
              </w:rPr>
              <w:t>2010</w:t>
            </w:r>
            <w:r>
              <w:rPr>
                <w:iCs/>
              </w:rPr>
              <w:t xml:space="preserve"> </w:t>
            </w:r>
            <w:del w:id="112" w:author="Master Repository Process" w:date="2021-07-31T09:36:00Z">
              <w:r>
                <w:rPr>
                  <w:iCs/>
                  <w:noProof/>
                  <w:snapToGrid w:val="0"/>
                </w:rPr>
                <w:delText>bl</w:delText>
              </w:r>
              <w:r>
                <w:rPr>
                  <w:iCs/>
                </w:rPr>
                <w:delText>. 3-5</w:delText>
              </w:r>
              <w:r>
                <w:rPr>
                  <w:iCs/>
                  <w:vertAlign w:val="superscript"/>
                </w:rPr>
                <w:delText xml:space="preserve"> 2</w:delText>
              </w:r>
            </w:del>
          </w:p>
        </w:tc>
        <w:tc>
          <w:tcPr>
            <w:tcW w:w="1276" w:type="dxa"/>
            <w:tcBorders>
              <w:bottom w:val="single" w:sz="4" w:space="0" w:color="auto"/>
            </w:tcBorders>
          </w:tcPr>
          <w:p>
            <w:pPr>
              <w:pStyle w:val="nTable"/>
            </w:pPr>
            <w:r>
              <w:t>26 Nov 2010 p. 5935-6</w:t>
            </w:r>
          </w:p>
        </w:tc>
        <w:tc>
          <w:tcPr>
            <w:tcW w:w="2693" w:type="dxa"/>
            <w:tcBorders>
              <w:bottom w:val="single" w:sz="4" w:space="0" w:color="auto"/>
            </w:tcBorders>
          </w:tcPr>
          <w:p>
            <w:pPr>
              <w:pStyle w:val="nTable"/>
              <w:rPr>
                <w:snapToGrid w:val="0"/>
                <w:sz w:val="19"/>
              </w:rPr>
            </w:pPr>
            <w:ins w:id="113" w:author="Master Repository Process" w:date="2021-07-31T09:36:00Z">
              <w:r>
                <w:rPr>
                  <w:snapToGrid w:val="0"/>
                  <w:spacing w:val="-2"/>
                  <w:sz w:val="19"/>
                </w:rPr>
                <w:t>bl. 1 and 2: 26 Nov 2010 (see bl. 2(a));</w:t>
              </w:r>
              <w:r>
                <w:rPr>
                  <w:snapToGrid w:val="0"/>
                  <w:spacing w:val="-2"/>
                  <w:sz w:val="19"/>
                </w:rPr>
                <w:br/>
                <w:t xml:space="preserve">By-laws other than bl. 1 and 2: </w:t>
              </w:r>
            </w:ins>
            <w:r>
              <w:rPr>
                <w:snapToGrid w:val="0"/>
                <w:sz w:val="19"/>
              </w:rPr>
              <w:t>1 Jan 2011 (see bl. 2(b))</w:t>
            </w:r>
          </w:p>
        </w:tc>
      </w:tr>
    </w:tbl>
    <w:p>
      <w:pPr>
        <w:rPr>
          <w:del w:id="114" w:author="Master Repository Process" w:date="2021-07-31T09:36:00Z"/>
        </w:rPr>
      </w:pPr>
    </w:p>
    <w:p>
      <w:pPr>
        <w:pStyle w:val="nSubsection"/>
        <w:keepLines/>
        <w:spacing w:before="0"/>
        <w:rPr>
          <w:del w:id="115" w:author="Master Repository Process" w:date="2021-07-31T09:36:00Z"/>
        </w:rPr>
      </w:pPr>
      <w:del w:id="116" w:author="Master Repository Process" w:date="2021-07-31T09:36: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Bentley Hospital Amendment By-laws 2010</w:delText>
        </w:r>
        <w:r>
          <w:rPr>
            <w:iCs/>
            <w:snapToGrid w:val="0"/>
            <w:u w:val="words"/>
          </w:rPr>
          <w:delText xml:space="preserve"> </w:delText>
        </w:r>
        <w:r>
          <w:rPr>
            <w:iCs/>
            <w:snapToGrid w:val="0"/>
          </w:rPr>
          <w:delText>bl. 3-5</w:delText>
        </w:r>
        <w:r>
          <w:rPr>
            <w:snapToGrid w:val="0"/>
          </w:rPr>
          <w:delText xml:space="preserve"> had not come into operation.  They read as follows:</w:delText>
        </w:r>
        <w:bookmarkStart w:id="117" w:name="UpToHere"/>
        <w:bookmarkEnd w:id="117"/>
      </w:del>
    </w:p>
    <w:p>
      <w:pPr>
        <w:pStyle w:val="BlankOpen"/>
        <w:rPr>
          <w:del w:id="118" w:author="Master Repository Process" w:date="2021-07-31T09:36:00Z"/>
        </w:rPr>
      </w:pPr>
    </w:p>
    <w:p>
      <w:pPr>
        <w:pStyle w:val="nzHeading5"/>
        <w:rPr>
          <w:del w:id="119" w:author="Master Repository Process" w:date="2021-07-31T09:36:00Z"/>
          <w:snapToGrid w:val="0"/>
        </w:rPr>
      </w:pPr>
      <w:bookmarkStart w:id="120" w:name="_Toc423332724"/>
      <w:bookmarkStart w:id="121" w:name="_Toc425219443"/>
      <w:bookmarkStart w:id="122" w:name="_Toc426249310"/>
      <w:bookmarkStart w:id="123" w:name="_Toc449924706"/>
      <w:bookmarkStart w:id="124" w:name="_Toc449947724"/>
      <w:bookmarkStart w:id="125" w:name="_Toc454185715"/>
      <w:bookmarkStart w:id="126" w:name="_Toc515958688"/>
      <w:del w:id="127" w:author="Master Repository Process" w:date="2021-07-31T09:36:00Z">
        <w:r>
          <w:rPr>
            <w:rStyle w:val="CharSectno"/>
          </w:rPr>
          <w:delText>3</w:delText>
        </w:r>
        <w:r>
          <w:rPr>
            <w:snapToGrid w:val="0"/>
          </w:rPr>
          <w:delText>.</w:delText>
        </w:r>
        <w:r>
          <w:rPr>
            <w:snapToGrid w:val="0"/>
          </w:rPr>
          <w:tab/>
          <w:delText>By-laws amended</w:delText>
        </w:r>
        <w:bookmarkEnd w:id="120"/>
        <w:bookmarkEnd w:id="121"/>
        <w:bookmarkEnd w:id="122"/>
        <w:bookmarkEnd w:id="123"/>
        <w:bookmarkEnd w:id="124"/>
        <w:bookmarkEnd w:id="125"/>
        <w:bookmarkEnd w:id="126"/>
      </w:del>
    </w:p>
    <w:p>
      <w:pPr>
        <w:pStyle w:val="nzSubsection"/>
        <w:rPr>
          <w:del w:id="128" w:author="Master Repository Process" w:date="2021-07-31T09:36:00Z"/>
        </w:rPr>
      </w:pPr>
      <w:del w:id="129" w:author="Master Repository Process" w:date="2021-07-31T09:36:00Z">
        <w:r>
          <w:tab/>
        </w:r>
        <w:r>
          <w:tab/>
        </w:r>
        <w:r>
          <w:rPr>
            <w:spacing w:val="-2"/>
          </w:rPr>
          <w:delText>These</w:delText>
        </w:r>
        <w:r>
          <w:delText xml:space="preserve"> by-laws amend the </w:delText>
        </w:r>
        <w:r>
          <w:rPr>
            <w:i/>
          </w:rPr>
          <w:delText>Bentley Hospital By</w:delText>
        </w:r>
        <w:r>
          <w:rPr>
            <w:i/>
          </w:rPr>
          <w:noBreakHyphen/>
          <w:delText>laws 2001</w:delText>
        </w:r>
        <w:r>
          <w:delText>.</w:delText>
        </w:r>
      </w:del>
    </w:p>
    <w:p>
      <w:pPr>
        <w:pStyle w:val="nzHeading5"/>
        <w:rPr>
          <w:del w:id="130" w:author="Master Repository Process" w:date="2021-07-31T09:36:00Z"/>
        </w:rPr>
      </w:pPr>
      <w:del w:id="131" w:author="Master Repository Process" w:date="2021-07-31T09:36:00Z">
        <w:r>
          <w:rPr>
            <w:rStyle w:val="CharSectno"/>
          </w:rPr>
          <w:delText>4</w:delText>
        </w:r>
        <w:r>
          <w:delText>.</w:delText>
        </w:r>
        <w:r>
          <w:tab/>
          <w:delText>By</w:delText>
        </w:r>
        <w:r>
          <w:noBreakHyphen/>
          <w:delText>law 16 amended</w:delText>
        </w:r>
      </w:del>
    </w:p>
    <w:p>
      <w:pPr>
        <w:pStyle w:val="nzSubsection"/>
        <w:rPr>
          <w:del w:id="132" w:author="Master Repository Process" w:date="2021-07-31T09:36:00Z"/>
        </w:rPr>
      </w:pPr>
      <w:del w:id="133" w:author="Master Repository Process" w:date="2021-07-31T09:36:00Z">
        <w:r>
          <w:tab/>
        </w:r>
        <w:r>
          <w:tab/>
          <w:delText>Delete by</w:delText>
        </w:r>
        <w:r>
          <w:noBreakHyphen/>
          <w:delText>law 16(2) and insert:</w:delText>
        </w:r>
      </w:del>
    </w:p>
    <w:p>
      <w:pPr>
        <w:pStyle w:val="BlankOpen"/>
        <w:rPr>
          <w:del w:id="134" w:author="Master Repository Process" w:date="2021-07-31T09:36:00Z"/>
        </w:rPr>
      </w:pPr>
    </w:p>
    <w:p>
      <w:pPr>
        <w:pStyle w:val="nzSubsection"/>
        <w:rPr>
          <w:del w:id="135" w:author="Master Repository Process" w:date="2021-07-31T09:36:00Z"/>
        </w:rPr>
      </w:pPr>
      <w:del w:id="136" w:author="Master Repository Process" w:date="2021-07-31T09:36:00Z">
        <w:r>
          <w:tab/>
          <w:delText>(2)</w:delText>
        </w:r>
        <w:r>
          <w:tab/>
          <w:delText>An application under sub</w:delText>
        </w:r>
        <w:r>
          <w:noBreakHyphen/>
          <w:delText xml:space="preserve">bylaw (1) — </w:delText>
        </w:r>
      </w:del>
    </w:p>
    <w:p>
      <w:pPr>
        <w:pStyle w:val="nzIndenta"/>
        <w:rPr>
          <w:del w:id="137" w:author="Master Repository Process" w:date="2021-07-31T09:36:00Z"/>
        </w:rPr>
      </w:pPr>
      <w:del w:id="138" w:author="Master Repository Process" w:date="2021-07-31T09:36:00Z">
        <w:r>
          <w:tab/>
          <w:delText>(a)</w:delText>
        </w:r>
        <w:r>
          <w:tab/>
          <w:delText>is to be in a form approved by the chief executive officer or an authorised person; and</w:delText>
        </w:r>
      </w:del>
    </w:p>
    <w:p>
      <w:pPr>
        <w:pStyle w:val="nzIndenta"/>
        <w:rPr>
          <w:del w:id="139" w:author="Master Repository Process" w:date="2021-07-31T09:36:00Z"/>
        </w:rPr>
      </w:pPr>
      <w:del w:id="140" w:author="Master Repository Process" w:date="2021-07-31T09:36:00Z">
        <w:r>
          <w:tab/>
          <w:delText>(b)</w:delText>
        </w:r>
        <w:r>
          <w:tab/>
          <w:delText>is to be accompanied by a fee of $2.00 per week for the period for which the permit is sought.</w:delText>
        </w:r>
      </w:del>
    </w:p>
    <w:p>
      <w:pPr>
        <w:pStyle w:val="BlankClose"/>
        <w:rPr>
          <w:del w:id="141" w:author="Master Repository Process" w:date="2021-07-31T09:36:00Z"/>
        </w:rPr>
      </w:pPr>
    </w:p>
    <w:p>
      <w:pPr>
        <w:pStyle w:val="nzHeading5"/>
        <w:rPr>
          <w:del w:id="142" w:author="Master Repository Process" w:date="2021-07-31T09:36:00Z"/>
        </w:rPr>
      </w:pPr>
      <w:del w:id="143" w:author="Master Repository Process" w:date="2021-07-31T09:36:00Z">
        <w:r>
          <w:rPr>
            <w:rStyle w:val="CharSectno"/>
          </w:rPr>
          <w:delText>5</w:delText>
        </w:r>
        <w:r>
          <w:delText>.</w:delText>
        </w:r>
        <w:r>
          <w:tab/>
          <w:delText>By</w:delText>
        </w:r>
        <w:r>
          <w:noBreakHyphen/>
          <w:delText>law 18 amended</w:delText>
        </w:r>
      </w:del>
    </w:p>
    <w:p>
      <w:pPr>
        <w:pStyle w:val="nzSubsection"/>
        <w:rPr>
          <w:del w:id="144" w:author="Master Repository Process" w:date="2021-07-31T09:36:00Z"/>
        </w:rPr>
      </w:pPr>
      <w:del w:id="145" w:author="Master Repository Process" w:date="2021-07-31T09:36:00Z">
        <w:r>
          <w:tab/>
        </w:r>
        <w:r>
          <w:tab/>
          <w:delText>In by</w:delText>
        </w:r>
        <w:r>
          <w:noBreakHyphen/>
          <w:delText>law 18(3)(b) delete “a complaint o</w:delText>
        </w:r>
        <w:r>
          <w:rPr>
            <w:spacing w:val="40"/>
          </w:rPr>
          <w:delText>f</w:delText>
        </w:r>
        <w:r>
          <w:delText>”.</w:delText>
        </w:r>
      </w:del>
    </w:p>
    <w:p>
      <w:pPr>
        <w:pStyle w:val="BlankClose"/>
        <w:rPr>
          <w:del w:id="146" w:author="Master Repository Process" w:date="2021-07-31T09:36:00Z"/>
          <w:u w:val="words"/>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Bentley Hospital By-laws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Bentley Hospital By-laws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Bentley Hospital By-laws 2001</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Bentley Hospital By-laws 2001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Bentley Hospital By-laws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Bentley Hospital By-laws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66C4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5CE29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CB8AC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28E49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B62D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4692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568EA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7E2B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FA61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6A20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47420A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89AABF4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2FCC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A16F68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092452"/>
    <w:docVar w:name="WAFER_20140120161623" w:val="RemoveTocBookmarks,RemoveUnusedBookmarks,RemoveLanguageTags,UsedStyles,ResetPageSize,UpdateArrangement"/>
    <w:docVar w:name="WAFER_20140120161623_GUID" w:val="f4612724-e8ed-45f2-9c66-c927f1c32ce7"/>
    <w:docVar w:name="WAFER_20140120162411" w:val="RemoveTocBookmarks,RunningHeaders"/>
    <w:docVar w:name="WAFER_20140120162411_GUID" w:val="1f32bfb7-8d70-4368-8433-eb01a3bacdb2"/>
    <w:docVar w:name="WAFER_20151207092452" w:val="RemoveTrackChanges"/>
    <w:docVar w:name="WAFER_20151207092452_GUID" w:val="e30b7f48-fe05-4bda-95d1-32543e332b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34CD683-2AD5-4C49-9BB5-84280E62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3535</Words>
  <Characters>17254</Characters>
  <Application>Microsoft Office Word</Application>
  <DocSecurity>0</DocSecurity>
  <Lines>575</Lines>
  <Paragraphs>371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    Schedule 1 — Infringement Notices and Modified Penalties</vt:lpstr>
      <vt:lpstr>    Schedule 2 — Forms</vt:lpstr>
      <vt:lpstr>    Notes</vt:lpstr>
    </vt:vector>
  </TitlesOfParts>
  <Manager/>
  <Company/>
  <LinksUpToDate>false</LinksUpToDate>
  <CharactersWithSpaces>20418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Bentley Hospital By-laws 2001 00-c0-01 - 00-d0-03</dc:title>
  <dc:subject/>
  <dc:creator/>
  <cp:keywords/>
  <dc:description/>
  <cp:lastModifiedBy>Master Repository Process</cp:lastModifiedBy>
  <cp:revision>2</cp:revision>
  <cp:lastPrinted>2001-12-21T03:59:00Z</cp:lastPrinted>
  <dcterms:created xsi:type="dcterms:W3CDTF">2021-07-31T01:36:00Z</dcterms:created>
  <dcterms:modified xsi:type="dcterms:W3CDTF">2021-07-31T01:36:00Z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2001 p. 6521-39</vt:lpwstr>
  </property>
  <property fmtid="{D5CDD505-2E9C-101B-9397-08002B2CF9AE}" pid="3" name="CommencementDate">
    <vt:lpwstr>20110101</vt:lpwstr>
  </property>
  <property fmtid="{D5CDD505-2E9C-101B-9397-08002B2CF9AE}" pid="4" name="DocumentType">
    <vt:lpwstr>Reg</vt:lpwstr>
  </property>
  <property fmtid="{D5CDD505-2E9C-101B-9397-08002B2CF9AE}" pid="5" name="OwlsUID">
    <vt:i4>2535</vt:i4>
  </property>
  <property fmtid="{D5CDD505-2E9C-101B-9397-08002B2CF9AE}" pid="6" name="FromSuffix">
    <vt:lpwstr>00-c0-01</vt:lpwstr>
  </property>
  <property fmtid="{D5CDD505-2E9C-101B-9397-08002B2CF9AE}" pid="7" name="FromAsAtDate">
    <vt:lpwstr>26 Nov 2010</vt:lpwstr>
  </property>
  <property fmtid="{D5CDD505-2E9C-101B-9397-08002B2CF9AE}" pid="8" name="ToSuffix">
    <vt:lpwstr>00-d0-03</vt:lpwstr>
  </property>
  <property fmtid="{D5CDD505-2E9C-101B-9397-08002B2CF9AE}" pid="9" name="ToAsAtDate">
    <vt:lpwstr>01 Jan 2011</vt:lpwstr>
  </property>
</Properties>
</file>