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04 Feb 2011</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5T15:53:00Z"/>
        </w:trPr>
        <w:tc>
          <w:tcPr>
            <w:tcW w:w="2434" w:type="dxa"/>
            <w:vMerge w:val="restart"/>
          </w:tcPr>
          <w:p>
            <w:pPr>
              <w:rPr>
                <w:ins w:id="1" w:author="svcMRProcess" w:date="2015-12-15T15:53:00Z"/>
              </w:rPr>
            </w:pPr>
          </w:p>
        </w:tc>
        <w:tc>
          <w:tcPr>
            <w:tcW w:w="2434" w:type="dxa"/>
            <w:vMerge w:val="restart"/>
          </w:tcPr>
          <w:p>
            <w:pPr>
              <w:jc w:val="center"/>
              <w:rPr>
                <w:ins w:id="2" w:author="svcMRProcess" w:date="2015-12-15T15:53:00Z"/>
              </w:rPr>
            </w:pPr>
            <w:ins w:id="3" w:author="svcMRProcess" w:date="2015-12-15T15:53: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5-12-15T15:53:00Z"/>
              </w:rPr>
            </w:pPr>
            <w:ins w:id="5" w:author="svcMRProcess" w:date="2015-12-15T15:53:00Z">
              <w:r>
                <w:rPr>
                  <w:b/>
                  <w:sz w:val="22"/>
                </w:rPr>
                <w:t xml:space="preserve">Reprinted under the </w:t>
              </w:r>
              <w:r>
                <w:rPr>
                  <w:b/>
                  <w:i/>
                  <w:sz w:val="22"/>
                </w:rPr>
                <w:t>Reprints Act 1984</w:t>
              </w:r>
              <w:r>
                <w:rPr>
                  <w:b/>
                  <w:sz w:val="22"/>
                </w:rPr>
                <w:t xml:space="preserve"> as</w:t>
              </w:r>
            </w:ins>
          </w:p>
        </w:tc>
      </w:tr>
      <w:tr>
        <w:trPr>
          <w:cantSplit/>
          <w:ins w:id="6" w:author="svcMRProcess" w:date="2015-12-15T15:53:00Z"/>
        </w:trPr>
        <w:tc>
          <w:tcPr>
            <w:tcW w:w="2434" w:type="dxa"/>
            <w:vMerge/>
          </w:tcPr>
          <w:p>
            <w:pPr>
              <w:rPr>
                <w:ins w:id="7" w:author="svcMRProcess" w:date="2015-12-15T15:53:00Z"/>
              </w:rPr>
            </w:pPr>
          </w:p>
        </w:tc>
        <w:tc>
          <w:tcPr>
            <w:tcW w:w="2434" w:type="dxa"/>
            <w:vMerge/>
          </w:tcPr>
          <w:p>
            <w:pPr>
              <w:jc w:val="center"/>
              <w:rPr>
                <w:ins w:id="8" w:author="svcMRProcess" w:date="2015-12-15T15:53:00Z"/>
              </w:rPr>
            </w:pPr>
          </w:p>
        </w:tc>
        <w:tc>
          <w:tcPr>
            <w:tcW w:w="2434" w:type="dxa"/>
          </w:tcPr>
          <w:p>
            <w:pPr>
              <w:keepNext/>
              <w:rPr>
                <w:ins w:id="9" w:author="svcMRProcess" w:date="2015-12-15T15:53:00Z"/>
                <w:b/>
                <w:sz w:val="22"/>
              </w:rPr>
            </w:pPr>
            <w:ins w:id="10" w:author="svcMRProcess" w:date="2015-12-15T15:53:00Z">
              <w:r>
                <w:rPr>
                  <w:b/>
                  <w:sz w:val="22"/>
                </w:rPr>
                <w:t>at 4</w:t>
              </w:r>
              <w:r>
                <w:rPr>
                  <w:b/>
                  <w:snapToGrid w:val="0"/>
                  <w:sz w:val="22"/>
                </w:rPr>
                <w:t xml:space="preserve"> February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680"/>
      </w:pPr>
      <w:r>
        <w:t xml:space="preserve">Retail Trading Hours Act 1987 </w:t>
      </w:r>
    </w:p>
    <w:p>
      <w:pPr>
        <w:pStyle w:val="LongTitle"/>
        <w:rPr>
          <w:snapToGrid w:val="0"/>
        </w:rPr>
      </w:pPr>
      <w:r>
        <w:rPr>
          <w:snapToGrid w:val="0"/>
        </w:rPr>
        <w:t>A</w:t>
      </w:r>
      <w:bookmarkStart w:id="11" w:name="_GoBack"/>
      <w:bookmarkEnd w:id="11"/>
      <w:r>
        <w:rPr>
          <w:snapToGrid w:val="0"/>
        </w:rPr>
        <w:t xml:space="preserve">n Act relating to the hours of trading for retail shops and for other and incidental purposes. </w:t>
      </w:r>
    </w:p>
    <w:p>
      <w:pPr>
        <w:pStyle w:val="Heading2"/>
      </w:pPr>
      <w:bookmarkStart w:id="12" w:name="_Toc90440057"/>
      <w:bookmarkStart w:id="13" w:name="_Toc96939327"/>
      <w:bookmarkStart w:id="14" w:name="_Toc102961885"/>
      <w:bookmarkStart w:id="15" w:name="_Toc147910156"/>
      <w:bookmarkStart w:id="16" w:name="_Toc147912244"/>
      <w:bookmarkStart w:id="17" w:name="_Toc166298005"/>
      <w:bookmarkStart w:id="18" w:name="_Toc166668567"/>
      <w:bookmarkStart w:id="19" w:name="_Toc179868142"/>
      <w:bookmarkStart w:id="20" w:name="_Toc179872961"/>
      <w:bookmarkStart w:id="21" w:name="_Toc179873017"/>
      <w:bookmarkStart w:id="22" w:name="_Toc232398931"/>
      <w:bookmarkStart w:id="23" w:name="_Toc241285889"/>
      <w:bookmarkStart w:id="24" w:name="_Toc266356254"/>
      <w:bookmarkStart w:id="25" w:name="_Toc272927728"/>
      <w:bookmarkStart w:id="26" w:name="_Toc272927795"/>
      <w:bookmarkStart w:id="27" w:name="_Toc274311550"/>
      <w:bookmarkStart w:id="28" w:name="_Toc275513739"/>
      <w:bookmarkStart w:id="29" w:name="_Toc278374672"/>
      <w:bookmarkStart w:id="30" w:name="_Toc278374730"/>
      <w:bookmarkStart w:id="31" w:name="_Toc278450667"/>
      <w:bookmarkStart w:id="32" w:name="_Toc284410433"/>
      <w:bookmarkStart w:id="33" w:name="_Toc284491882"/>
      <w:bookmarkStart w:id="34" w:name="_Toc284926030"/>
      <w:bookmarkStart w:id="35" w:name="_Toc284928394"/>
      <w:bookmarkStart w:id="36" w:name="_Toc284929778"/>
      <w:bookmarkStart w:id="37" w:name="_Toc278982320"/>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11743907"/>
      <w:bookmarkStart w:id="39" w:name="_Toc535828834"/>
      <w:bookmarkStart w:id="40" w:name="_Toc536343664"/>
      <w:bookmarkStart w:id="41" w:name="_Toc102961886"/>
      <w:bookmarkStart w:id="42" w:name="_Toc284929779"/>
      <w:bookmarkStart w:id="43" w:name="_Toc278982321"/>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44" w:name="_Toc411743908"/>
      <w:bookmarkStart w:id="45" w:name="_Toc535828835"/>
      <w:bookmarkStart w:id="46" w:name="_Toc536343665"/>
      <w:bookmarkStart w:id="47" w:name="_Toc102961887"/>
      <w:bookmarkStart w:id="48" w:name="_Toc284929780"/>
      <w:bookmarkStart w:id="49" w:name="_Toc278982322"/>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50" w:name="_Toc411743909"/>
      <w:bookmarkStart w:id="51" w:name="_Toc535828836"/>
      <w:bookmarkStart w:id="52" w:name="_Toc536343666"/>
      <w:bookmarkStart w:id="53" w:name="_Toc102961888"/>
      <w:bookmarkStart w:id="54" w:name="_Toc284929781"/>
      <w:bookmarkStart w:id="55" w:name="_Toc278982323"/>
      <w:r>
        <w:rPr>
          <w:rStyle w:val="CharSectno"/>
        </w:rPr>
        <w:t>3</w:t>
      </w:r>
      <w:r>
        <w:rPr>
          <w:snapToGrid w:val="0"/>
        </w:rPr>
        <w:t>.</w:t>
      </w:r>
      <w:r>
        <w:rPr>
          <w:snapToGrid w:val="0"/>
        </w:rPr>
        <w:tab/>
      </w:r>
      <w:bookmarkEnd w:id="50"/>
      <w:bookmarkEnd w:id="51"/>
      <w:bookmarkEnd w:id="52"/>
      <w:bookmarkEnd w:id="53"/>
      <w:r>
        <w:rPr>
          <w:snapToGrid w:val="0"/>
        </w:rPr>
        <w:t>Terms used</w:t>
      </w:r>
      <w:bookmarkEnd w:id="54"/>
      <w:r>
        <w:rPr>
          <w:snapToGrid w:val="0"/>
        </w:rPr>
        <w:t xml:space="preserve"> </w:t>
      </w:r>
      <w:del w:id="56" w:author="svcMRProcess" w:date="2015-12-15T15:53:00Z">
        <w:r>
          <w:rPr>
            <w:snapToGrid w:val="0"/>
          </w:rPr>
          <w:delText>in this Act</w:delText>
        </w:r>
        <w:bookmarkEnd w:id="55"/>
        <w:r>
          <w:rPr>
            <w:snapToGrid w:val="0"/>
          </w:rPr>
          <w:delText xml:space="preserve"> </w:delText>
        </w:r>
      </w:del>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ins w:id="57" w:author="svcMRProcess" w:date="2015-12-15T15:53:00Z">
        <w:r>
          <w:t xml:space="preserve"> or</w:t>
        </w:r>
      </w:ins>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ins w:id="58" w:author="svcMRProcess" w:date="2015-12-15T15:53:00Z">
        <w:r>
          <w:t xml:space="preserve"> or</w:t>
        </w:r>
      </w:ins>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ins w:id="59" w:author="svcMRProcess" w:date="2015-12-15T15:53:00Z">
        <w:r>
          <w:t xml:space="preserve"> or</w:t>
        </w:r>
      </w:ins>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spacing w:before="180"/>
        <w:rPr>
          <w:snapToGrid w:val="0"/>
        </w:rPr>
      </w:pPr>
      <w:bookmarkStart w:id="60" w:name="_Toc411743910"/>
      <w:bookmarkStart w:id="61" w:name="_Toc535828837"/>
      <w:bookmarkStart w:id="62" w:name="_Toc536343667"/>
      <w:bookmarkStart w:id="63" w:name="_Toc102961889"/>
      <w:bookmarkStart w:id="64" w:name="_Toc284929782"/>
      <w:bookmarkStart w:id="65" w:name="_Toc278982324"/>
      <w:r>
        <w:rPr>
          <w:rStyle w:val="CharSectno"/>
        </w:rPr>
        <w:t>4</w:t>
      </w:r>
      <w:r>
        <w:rPr>
          <w:snapToGrid w:val="0"/>
        </w:rPr>
        <w:t>.</w:t>
      </w:r>
      <w:r>
        <w:rPr>
          <w:snapToGrid w:val="0"/>
        </w:rPr>
        <w:tab/>
        <w:t>Application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ins w:id="66" w:author="svcMRProcess" w:date="2015-12-15T15:53:00Z">
        <w:r>
          <w:rPr>
            <w:snapToGrid w:val="0"/>
          </w:rPr>
          <w:t xml:space="preserve"> or</w:t>
        </w:r>
      </w:ins>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ins w:id="67" w:author="svcMRProcess" w:date="2015-12-15T15:53:00Z">
        <w:r>
          <w:rPr>
            <w:snapToGrid w:val="0"/>
          </w:rPr>
          <w:t xml:space="preserve"> or</w:t>
        </w:r>
      </w:ins>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68" w:name="_Toc166554182"/>
      <w:bookmarkStart w:id="69" w:name="_Toc284929783"/>
      <w:bookmarkStart w:id="70" w:name="_Toc278982325"/>
      <w:bookmarkStart w:id="71" w:name="_Toc90440063"/>
      <w:bookmarkStart w:id="72" w:name="_Toc96939333"/>
      <w:bookmarkStart w:id="73" w:name="_Toc102961891"/>
      <w:bookmarkStart w:id="74" w:name="_Toc147910162"/>
      <w:bookmarkStart w:id="75" w:name="_Toc147912250"/>
      <w:bookmarkStart w:id="76" w:name="_Toc166298011"/>
      <w:r>
        <w:rPr>
          <w:rStyle w:val="CharSectno"/>
        </w:rPr>
        <w:t>5</w:t>
      </w:r>
      <w:r>
        <w:t>.</w:t>
      </w:r>
      <w:r>
        <w:tab/>
      </w:r>
      <w:ins w:id="77" w:author="svcMRProcess" w:date="2015-12-15T15:53:00Z">
        <w:r>
          <w:t xml:space="preserve">Application of </w:t>
        </w:r>
      </w:ins>
      <w:r>
        <w:rPr>
          <w:i/>
        </w:rPr>
        <w:t xml:space="preserve">Interpretation Act </w:t>
      </w:r>
      <w:del w:id="78" w:author="svcMRProcess" w:date="2015-12-15T15:53:00Z">
        <w:r>
          <w:delText>applies</w:delText>
        </w:r>
      </w:del>
      <w:ins w:id="79" w:author="svcMRProcess" w:date="2015-12-15T15:53:00Z">
        <w:r>
          <w:rPr>
            <w:i/>
          </w:rPr>
          <w:t>1984</w:t>
        </w:r>
      </w:ins>
      <w:r>
        <w:t xml:space="preserve"> to orders</w:t>
      </w:r>
      <w:bookmarkEnd w:id="68"/>
      <w:bookmarkEnd w:id="69"/>
      <w:bookmarkEnd w:id="70"/>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80" w:name="_Toc166668573"/>
      <w:bookmarkStart w:id="81" w:name="_Toc179868148"/>
      <w:bookmarkStart w:id="82" w:name="_Toc179872967"/>
      <w:bookmarkStart w:id="83" w:name="_Toc179873023"/>
      <w:bookmarkStart w:id="84" w:name="_Toc232398937"/>
      <w:bookmarkStart w:id="85" w:name="_Toc241285895"/>
      <w:bookmarkStart w:id="86" w:name="_Toc266356260"/>
      <w:bookmarkStart w:id="87" w:name="_Toc272927734"/>
      <w:bookmarkStart w:id="88" w:name="_Toc272927801"/>
      <w:bookmarkStart w:id="89" w:name="_Toc274311556"/>
      <w:bookmarkStart w:id="90" w:name="_Toc275513745"/>
      <w:bookmarkStart w:id="91" w:name="_Toc278374678"/>
      <w:bookmarkStart w:id="92" w:name="_Toc278374736"/>
      <w:bookmarkStart w:id="93" w:name="_Toc278450673"/>
      <w:bookmarkStart w:id="94" w:name="_Toc284410439"/>
      <w:bookmarkStart w:id="95" w:name="_Toc284491888"/>
      <w:bookmarkStart w:id="96" w:name="_Toc284926036"/>
      <w:bookmarkStart w:id="97" w:name="_Toc284928400"/>
      <w:bookmarkStart w:id="98" w:name="_Toc284929784"/>
      <w:bookmarkStart w:id="99" w:name="_Toc278982326"/>
      <w:r>
        <w:rPr>
          <w:rStyle w:val="CharPartNo"/>
        </w:rPr>
        <w:t>Part II</w:t>
      </w:r>
      <w:r>
        <w:rPr>
          <w:rStyle w:val="CharDivNo"/>
        </w:rPr>
        <w:t> </w:t>
      </w:r>
      <w:r>
        <w:t>—</w:t>
      </w:r>
      <w:r>
        <w:rPr>
          <w:rStyle w:val="CharDivText"/>
        </w:rPr>
        <w:t> </w:t>
      </w:r>
      <w:r>
        <w:rPr>
          <w:rStyle w:val="CharPartText"/>
        </w:rPr>
        <w:t>Administration</w:t>
      </w:r>
      <w:bookmarkEnd w:id="71"/>
      <w:bookmarkEnd w:id="72"/>
      <w:bookmarkEnd w:id="73"/>
      <w:bookmarkEnd w:id="74"/>
      <w:bookmarkEnd w:id="75"/>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11743912"/>
      <w:bookmarkStart w:id="101" w:name="_Toc535828839"/>
      <w:bookmarkStart w:id="102" w:name="_Toc536343669"/>
      <w:bookmarkStart w:id="103" w:name="_Toc102961892"/>
      <w:bookmarkStart w:id="104" w:name="_Toc284929785"/>
      <w:bookmarkStart w:id="105" w:name="_Toc278982327"/>
      <w:r>
        <w:rPr>
          <w:rStyle w:val="CharSectno"/>
        </w:rPr>
        <w:t>6</w:t>
      </w:r>
      <w:r>
        <w:rPr>
          <w:snapToGrid w:val="0"/>
        </w:rPr>
        <w:t>.</w:t>
      </w:r>
      <w:r>
        <w:rPr>
          <w:snapToGrid w:val="0"/>
        </w:rPr>
        <w:tab/>
        <w:t>Officers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106" w:name="_Toc411743913"/>
      <w:bookmarkStart w:id="107" w:name="_Toc535828840"/>
      <w:bookmarkStart w:id="108" w:name="_Toc536343670"/>
      <w:bookmarkStart w:id="109" w:name="_Toc102961893"/>
      <w:bookmarkStart w:id="110" w:name="_Toc284929786"/>
      <w:bookmarkStart w:id="111" w:name="_Toc278982328"/>
      <w:r>
        <w:rPr>
          <w:rStyle w:val="CharSectno"/>
        </w:rPr>
        <w:t>7</w:t>
      </w:r>
      <w:r>
        <w:rPr>
          <w:snapToGrid w:val="0"/>
        </w:rPr>
        <w:t>.</w:t>
      </w:r>
      <w:r>
        <w:rPr>
          <w:snapToGrid w:val="0"/>
        </w:rPr>
        <w:tab/>
        <w:t>Inspectors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del w:id="112" w:author="svcMRProcess" w:date="2015-12-15T15:53:00Z"/>
          <w:snapToGrid w:val="0"/>
        </w:rPr>
      </w:pPr>
      <w:bookmarkStart w:id="113" w:name="_Toc278982329"/>
      <w:bookmarkStart w:id="114" w:name="_Toc411743914"/>
      <w:bookmarkStart w:id="115" w:name="_Toc535828841"/>
      <w:bookmarkStart w:id="116" w:name="_Toc536343671"/>
      <w:bookmarkStart w:id="117" w:name="_Toc102961894"/>
      <w:bookmarkStart w:id="118" w:name="_Toc284929787"/>
      <w:del w:id="119" w:author="svcMRProcess" w:date="2015-12-15T15:53:00Z">
        <w:r>
          <w:rPr>
            <w:rStyle w:val="CharSectno"/>
          </w:rPr>
          <w:delText>8</w:delText>
        </w:r>
        <w:r>
          <w:rPr>
            <w:snapToGrid w:val="0"/>
          </w:rPr>
          <w:delText>.</w:delText>
        </w:r>
        <w:r>
          <w:rPr>
            <w:snapToGrid w:val="0"/>
          </w:rPr>
          <w:tab/>
          <w:delText>Certificate of identity</w:delText>
        </w:r>
        <w:bookmarkEnd w:id="113"/>
        <w:r>
          <w:rPr>
            <w:snapToGrid w:val="0"/>
          </w:rPr>
          <w:delText xml:space="preserve"> </w:delText>
        </w:r>
      </w:del>
    </w:p>
    <w:p>
      <w:pPr>
        <w:pStyle w:val="Heading5"/>
        <w:rPr>
          <w:ins w:id="120" w:author="svcMRProcess" w:date="2015-12-15T15:53:00Z"/>
          <w:snapToGrid w:val="0"/>
        </w:rPr>
      </w:pPr>
      <w:ins w:id="121" w:author="svcMRProcess" w:date="2015-12-15T15:53:00Z">
        <w:r>
          <w:rPr>
            <w:rStyle w:val="CharSectno"/>
          </w:rPr>
          <w:t>8</w:t>
        </w:r>
        <w:r>
          <w:rPr>
            <w:snapToGrid w:val="0"/>
          </w:rPr>
          <w:t>.</w:t>
        </w:r>
        <w:r>
          <w:rPr>
            <w:snapToGrid w:val="0"/>
          </w:rPr>
          <w:tab/>
          <w:t>Inspector’s certificate</w:t>
        </w:r>
        <w:bookmarkEnd w:id="114"/>
        <w:bookmarkEnd w:id="115"/>
        <w:bookmarkEnd w:id="116"/>
        <w:bookmarkEnd w:id="117"/>
        <w:bookmarkEnd w:id="118"/>
      </w:ins>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122" w:name="_Toc411743915"/>
      <w:bookmarkStart w:id="123" w:name="_Toc535828842"/>
      <w:bookmarkStart w:id="124" w:name="_Toc536343672"/>
      <w:bookmarkStart w:id="125" w:name="_Toc102961895"/>
      <w:bookmarkStart w:id="126" w:name="_Toc284929788"/>
      <w:bookmarkStart w:id="127" w:name="_Toc278982330"/>
      <w:r>
        <w:rPr>
          <w:rStyle w:val="CharSectno"/>
        </w:rPr>
        <w:t>9</w:t>
      </w:r>
      <w:r>
        <w:rPr>
          <w:snapToGrid w:val="0"/>
        </w:rPr>
        <w:t>.</w:t>
      </w:r>
      <w:r>
        <w:rPr>
          <w:snapToGrid w:val="0"/>
        </w:rPr>
        <w:tab/>
        <w:t>Inspector subject to chief executive officer</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128" w:name="_Toc90440068"/>
      <w:bookmarkStart w:id="129" w:name="_Toc96939338"/>
      <w:bookmarkStart w:id="130" w:name="_Toc102961896"/>
      <w:bookmarkStart w:id="131" w:name="_Toc147910167"/>
      <w:bookmarkStart w:id="132" w:name="_Toc147912255"/>
      <w:bookmarkStart w:id="133" w:name="_Toc166298016"/>
      <w:bookmarkStart w:id="134" w:name="_Toc166668578"/>
      <w:bookmarkStart w:id="135" w:name="_Toc179868153"/>
      <w:bookmarkStart w:id="136" w:name="_Toc179872972"/>
      <w:bookmarkStart w:id="137" w:name="_Toc179873028"/>
      <w:bookmarkStart w:id="138" w:name="_Toc232398942"/>
      <w:bookmarkStart w:id="139" w:name="_Toc241285900"/>
      <w:bookmarkStart w:id="140" w:name="_Toc266356265"/>
      <w:bookmarkStart w:id="141" w:name="_Toc272927739"/>
      <w:bookmarkStart w:id="142" w:name="_Toc272927806"/>
      <w:bookmarkStart w:id="143" w:name="_Toc274311561"/>
      <w:bookmarkStart w:id="144" w:name="_Toc275513750"/>
      <w:bookmarkStart w:id="145" w:name="_Toc278374683"/>
      <w:bookmarkStart w:id="146" w:name="_Toc278374741"/>
      <w:bookmarkStart w:id="147" w:name="_Toc278450678"/>
      <w:bookmarkStart w:id="148" w:name="_Toc284410444"/>
      <w:bookmarkStart w:id="149" w:name="_Toc284491893"/>
      <w:bookmarkStart w:id="150" w:name="_Toc284926041"/>
      <w:bookmarkStart w:id="151" w:name="_Toc284928405"/>
      <w:bookmarkStart w:id="152" w:name="_Toc284929789"/>
      <w:bookmarkStart w:id="153" w:name="_Toc278982331"/>
      <w:r>
        <w:rPr>
          <w:rStyle w:val="CharPartNo"/>
        </w:rPr>
        <w:t>Part III</w:t>
      </w:r>
      <w:r>
        <w:rPr>
          <w:rStyle w:val="CharDivNo"/>
        </w:rPr>
        <w:t> </w:t>
      </w:r>
      <w:r>
        <w:t>—</w:t>
      </w:r>
      <w:r>
        <w:rPr>
          <w:rStyle w:val="CharDivText"/>
        </w:rPr>
        <w:t> </w:t>
      </w:r>
      <w:r>
        <w:rPr>
          <w:rStyle w:val="CharPartText"/>
        </w:rPr>
        <w:t>Retail trading hours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5"/>
        <w:spacing w:before="200"/>
        <w:rPr>
          <w:snapToGrid w:val="0"/>
        </w:rPr>
      </w:pPr>
      <w:bookmarkStart w:id="154" w:name="_Toc411743916"/>
      <w:bookmarkStart w:id="155" w:name="_Toc535828843"/>
      <w:bookmarkStart w:id="156" w:name="_Toc536343673"/>
      <w:bookmarkStart w:id="157" w:name="_Toc102961897"/>
      <w:bookmarkStart w:id="158" w:name="_Toc284929790"/>
      <w:bookmarkStart w:id="159" w:name="_Toc278982332"/>
      <w:r>
        <w:rPr>
          <w:rStyle w:val="CharSectno"/>
        </w:rPr>
        <w:t>10</w:t>
      </w:r>
      <w:r>
        <w:rPr>
          <w:snapToGrid w:val="0"/>
        </w:rPr>
        <w:t>.</w:t>
      </w:r>
      <w:r>
        <w:rPr>
          <w:snapToGrid w:val="0"/>
        </w:rPr>
        <w:tab/>
        <w:t>Categories of retail shops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ins w:id="160" w:author="svcMRProcess" w:date="2015-12-15T15:53:00Z">
        <w:r>
          <w:rPr>
            <w:snapToGrid w:val="0"/>
          </w:rPr>
          <w:t xml:space="preserve"> and</w:t>
        </w:r>
      </w:ins>
    </w:p>
    <w:p>
      <w:pPr>
        <w:pStyle w:val="Indenta"/>
        <w:rPr>
          <w:snapToGrid w:val="0"/>
        </w:rPr>
      </w:pPr>
      <w:r>
        <w:rPr>
          <w:snapToGrid w:val="0"/>
        </w:rPr>
        <w:tab/>
        <w:t>(b)</w:t>
      </w:r>
      <w:r>
        <w:rPr>
          <w:snapToGrid w:val="0"/>
        </w:rPr>
        <w:tab/>
        <w:t>small retail shops;</w:t>
      </w:r>
      <w:ins w:id="161" w:author="svcMRProcess" w:date="2015-12-15T15:53:00Z">
        <w:r>
          <w:rPr>
            <w:snapToGrid w:val="0"/>
          </w:rPr>
          <w:t xml:space="preserve"> and</w:t>
        </w:r>
      </w:ins>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ins w:id="162" w:author="svcMRProcess" w:date="2015-12-15T15:53:00Z">
        <w:r>
          <w:t xml:space="preserve"> and</w:t>
        </w:r>
      </w:ins>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ins w:id="163" w:author="svcMRProcess" w:date="2015-12-15T15:53:00Z">
        <w:r>
          <w:rPr>
            <w:snapToGrid w:val="0"/>
          </w:rPr>
          <w:t xml:space="preserve"> and</w:t>
        </w:r>
      </w:ins>
    </w:p>
    <w:p>
      <w:pPr>
        <w:pStyle w:val="Indenta"/>
        <w:rPr>
          <w:snapToGrid w:val="0"/>
        </w:rPr>
      </w:pPr>
      <w:r>
        <w:rPr>
          <w:snapToGrid w:val="0"/>
        </w:rPr>
        <w:tab/>
        <w:t>(ba)</w:t>
      </w:r>
      <w:r>
        <w:rPr>
          <w:snapToGrid w:val="0"/>
        </w:rPr>
        <w:tab/>
        <w:t>the retail shop is operated for the benefit of the eligible persons referred to in paragraph (b);</w:t>
      </w:r>
      <w:ins w:id="164" w:author="svcMRProcess" w:date="2015-12-15T15:53:00Z">
        <w:r>
          <w:rPr>
            <w:snapToGrid w:val="0"/>
          </w:rPr>
          <w:t xml:space="preserve"> and</w:t>
        </w:r>
      </w:ins>
    </w:p>
    <w:p>
      <w:pPr>
        <w:pStyle w:val="Indenta"/>
        <w:rPr>
          <w:snapToGrid w:val="0"/>
        </w:rPr>
      </w:pPr>
      <w:r>
        <w:rPr>
          <w:snapToGrid w:val="0"/>
        </w:rPr>
        <w:tab/>
        <w:t>(bb)</w:t>
      </w:r>
      <w:r>
        <w:rPr>
          <w:snapToGrid w:val="0"/>
        </w:rPr>
        <w:tab/>
        <w:t>the eligible persons referred to in paragraph (b) are personally and actively engaged in the retail shop;</w:t>
      </w:r>
      <w:ins w:id="165" w:author="svcMRProcess" w:date="2015-12-15T15:53:00Z">
        <w:r>
          <w:rPr>
            <w:snapToGrid w:val="0"/>
          </w:rPr>
          <w:t xml:space="preserve"> and</w:t>
        </w:r>
      </w:ins>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ins w:id="166" w:author="svcMRProcess" w:date="2015-12-15T15:53:00Z">
        <w:r>
          <w:rPr>
            <w:snapToGrid w:val="0"/>
          </w:rPr>
          <w:t xml:space="preserve"> and</w:t>
        </w:r>
      </w:ins>
    </w:p>
    <w:p>
      <w:pPr>
        <w:pStyle w:val="Indenta"/>
        <w:keepNext/>
        <w:rPr>
          <w:snapToGrid w:val="0"/>
        </w:rPr>
      </w:pPr>
      <w:r>
        <w:rPr>
          <w:snapToGrid w:val="0"/>
        </w:rPr>
        <w:tab/>
        <w:t>(bd)</w:t>
      </w:r>
      <w:r>
        <w:rPr>
          <w:snapToGrid w:val="0"/>
        </w:rPr>
        <w:tab/>
        <w:t>the retail shop is owned and operated in accordance with the directions given under subsection (3b);</w:t>
      </w:r>
      <w:ins w:id="167" w:author="svcMRProcess" w:date="2015-12-15T15:53:00Z">
        <w:r>
          <w:rPr>
            <w:snapToGrid w:val="0"/>
          </w:rPr>
          <w:t xml:space="preserve"> and</w:t>
        </w:r>
      </w:ins>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ins w:id="168" w:author="svcMRProcess" w:date="2015-12-15T15:53:00Z">
        <w:r>
          <w:rPr>
            <w:snapToGrid w:val="0"/>
          </w:rPr>
          <w:t xml:space="preserve"> and</w:t>
        </w:r>
      </w:ins>
    </w:p>
    <w:p>
      <w:pPr>
        <w:pStyle w:val="Indenti"/>
        <w:rPr>
          <w:snapToGrid w:val="0"/>
        </w:rPr>
      </w:pPr>
      <w:r>
        <w:rPr>
          <w:snapToGrid w:val="0"/>
        </w:rPr>
        <w:tab/>
        <w:t>(ii)</w:t>
      </w:r>
      <w:r>
        <w:rPr>
          <w:snapToGrid w:val="0"/>
        </w:rPr>
        <w:tab/>
        <w:t>does not own or operate another retail shop together with a person who is outside that group of persons;</w:t>
      </w:r>
      <w:ins w:id="169" w:author="svcMRProcess" w:date="2015-12-15T15:53:00Z">
        <w:r>
          <w:rPr>
            <w:snapToGrid w:val="0"/>
          </w:rPr>
          <w:t xml:space="preserve"> and</w:t>
        </w:r>
      </w:ins>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ins w:id="170" w:author="svcMRProcess" w:date="2015-12-15T15:53:00Z">
        <w:r>
          <w:t xml:space="preserve"> or</w:t>
        </w:r>
      </w:ins>
    </w:p>
    <w:p>
      <w:pPr>
        <w:pStyle w:val="Indenti"/>
      </w:pPr>
      <w:r>
        <w:tab/>
        <w:t>(ii)</w:t>
      </w:r>
      <w:r>
        <w:tab/>
        <w:t>a child of the other owner or of the spouse or de facto partner of the other owner;</w:t>
      </w:r>
      <w:ins w:id="171" w:author="svcMRProcess" w:date="2015-12-15T15:53:00Z">
        <w:r>
          <w:t xml:space="preserve"> or</w:t>
        </w:r>
      </w:ins>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rPr>
          <w:ins w:id="172" w:author="svcMRProcess" w:date="2015-12-15T15:53:00Z"/>
        </w:rPr>
      </w:pPr>
      <w:ins w:id="173" w:author="svcMRProcess" w:date="2015-12-15T15:53:00Z">
        <w:r>
          <w:tab/>
        </w:r>
        <w:r>
          <w:tab/>
          <w:t>and</w:t>
        </w:r>
      </w:ins>
    </w:p>
    <w:p>
      <w:pPr>
        <w:pStyle w:val="Indenta"/>
      </w:pPr>
      <w:r>
        <w:tab/>
        <w:t>(b)</w:t>
      </w:r>
      <w:r>
        <w:tab/>
        <w:t>whether one owner is a related body corporate in relation to the other owner;</w:t>
      </w:r>
      <w:ins w:id="174" w:author="svcMRProcess" w:date="2015-12-15T15:53:00Z">
        <w:r>
          <w:t xml:space="preserve"> and</w:t>
        </w:r>
      </w:ins>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rPr>
          <w:ins w:id="175" w:author="svcMRProcess" w:date="2015-12-15T15:53:00Z"/>
        </w:rPr>
      </w:pPr>
      <w:ins w:id="176" w:author="svcMRProcess" w:date="2015-12-15T15:53:00Z">
        <w:r>
          <w:tab/>
        </w:r>
        <w:r>
          <w:tab/>
          <w:t>and</w:t>
        </w:r>
      </w:ins>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ins w:id="177" w:author="svcMRProcess" w:date="2015-12-15T15:53:00Z">
        <w:r>
          <w:t xml:space="preserve"> and</w:t>
        </w:r>
      </w:ins>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ins w:id="178" w:author="svcMRProcess" w:date="2015-12-15T15:53:00Z">
        <w:r>
          <w:rPr>
            <w:snapToGrid w:val="0"/>
          </w:rPr>
          <w:t xml:space="preserve"> and</w:t>
        </w:r>
      </w:ins>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ins w:id="179" w:author="svcMRProcess" w:date="2015-12-15T15:53:00Z">
        <w:r>
          <w:rPr>
            <w:snapToGrid w:val="0"/>
          </w:rPr>
          <w:t xml:space="preserve"> and</w:t>
        </w:r>
      </w:ins>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w:t>
      </w:r>
      <w:ins w:id="180" w:author="svcMRProcess" w:date="2015-12-15T15:53:00Z">
        <w:r>
          <w:rPr>
            <w:snapToGrid w:val="0"/>
          </w:rPr>
          <w:t xml:space="preserve"> and</w:t>
        </w:r>
      </w:ins>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181" w:name="_Toc411743917"/>
      <w:bookmarkStart w:id="182" w:name="_Toc535828844"/>
      <w:bookmarkStart w:id="183" w:name="_Toc536343674"/>
      <w:bookmarkStart w:id="184" w:name="_Toc102961898"/>
      <w:bookmarkStart w:id="185" w:name="_Toc284929791"/>
      <w:bookmarkStart w:id="186" w:name="_Toc278982333"/>
      <w:r>
        <w:rPr>
          <w:rStyle w:val="CharSectno"/>
        </w:rPr>
        <w:t>11</w:t>
      </w:r>
      <w:r>
        <w:rPr>
          <w:snapToGrid w:val="0"/>
        </w:rPr>
        <w:t>.</w:t>
      </w:r>
      <w:r>
        <w:rPr>
          <w:snapToGrid w:val="0"/>
        </w:rPr>
        <w:tab/>
      </w:r>
      <w:bookmarkEnd w:id="181"/>
      <w:bookmarkEnd w:id="182"/>
      <w:bookmarkEnd w:id="183"/>
      <w:bookmarkEnd w:id="184"/>
      <w:del w:id="187" w:author="svcMRProcess" w:date="2015-12-15T15:53:00Z">
        <w:r>
          <w:rPr>
            <w:snapToGrid w:val="0"/>
          </w:rPr>
          <w:delText>Issue and cancellation of certificates for</w:delText>
        </w:r>
      </w:del>
      <w:ins w:id="188" w:author="svcMRProcess" w:date="2015-12-15T15:53:00Z">
        <w:r>
          <w:rPr>
            <w:snapToGrid w:val="0"/>
          </w:rPr>
          <w:t>Certifying shops as</w:t>
        </w:r>
      </w:ins>
      <w:r>
        <w:rPr>
          <w:snapToGrid w:val="0"/>
        </w:rPr>
        <w:t xml:space="preserve"> small retail shops </w:t>
      </w:r>
      <w:del w:id="189" w:author="svcMRProcess" w:date="2015-12-15T15:53:00Z">
        <w:r>
          <w:rPr>
            <w:snapToGrid w:val="0"/>
          </w:rPr>
          <w:delText>and</w:delText>
        </w:r>
      </w:del>
      <w:ins w:id="190" w:author="svcMRProcess" w:date="2015-12-15T15:53:00Z">
        <w:r>
          <w:rPr>
            <w:snapToGrid w:val="0"/>
          </w:rPr>
          <w:t>or</w:t>
        </w:r>
      </w:ins>
      <w:r>
        <w:rPr>
          <w:snapToGrid w:val="0"/>
        </w:rPr>
        <w:t xml:space="preserve"> special retail shops</w:t>
      </w:r>
      <w:bookmarkEnd w:id="185"/>
      <w:bookmarkEnd w:id="186"/>
      <w:del w:id="191" w:author="svcMRProcess" w:date="2015-12-15T15:53:00Z">
        <w:r>
          <w:rPr>
            <w:snapToGrid w:val="0"/>
          </w:rPr>
          <w:delText xml:space="preserve"> </w:delText>
        </w:r>
      </w:del>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w:t>
      </w:r>
      <w:ins w:id="192" w:author="svcMRProcess" w:date="2015-12-15T15:53:00Z">
        <w:r>
          <w:t xml:space="preserve"> or</w:t>
        </w:r>
      </w:ins>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193" w:name="_Toc411743918"/>
      <w:bookmarkStart w:id="194" w:name="_Toc535828845"/>
      <w:bookmarkStart w:id="195" w:name="_Toc536343675"/>
      <w:bookmarkStart w:id="196" w:name="_Toc102961899"/>
      <w:bookmarkStart w:id="197" w:name="_Toc284929792"/>
      <w:bookmarkStart w:id="198" w:name="_Toc278982334"/>
      <w:r>
        <w:rPr>
          <w:rStyle w:val="CharSectno"/>
        </w:rPr>
        <w:t>12</w:t>
      </w:r>
      <w:r>
        <w:rPr>
          <w:snapToGrid w:val="0"/>
        </w:rPr>
        <w:t>.</w:t>
      </w:r>
      <w:r>
        <w:rPr>
          <w:snapToGrid w:val="0"/>
        </w:rPr>
        <w:tab/>
        <w:t xml:space="preserve">Trading hours for </w:t>
      </w:r>
      <w:ins w:id="199" w:author="svcMRProcess" w:date="2015-12-15T15:53:00Z">
        <w:r>
          <w:rPr>
            <w:snapToGrid w:val="0"/>
          </w:rPr>
          <w:t xml:space="preserve">some general </w:t>
        </w:r>
      </w:ins>
      <w:r>
        <w:rPr>
          <w:snapToGrid w:val="0"/>
        </w:rPr>
        <w:t>retail shops</w:t>
      </w:r>
      <w:bookmarkEnd w:id="193"/>
      <w:bookmarkEnd w:id="194"/>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spacing w:before="240"/>
      </w:pPr>
      <w:bookmarkStart w:id="200" w:name="_Toc166554187"/>
      <w:bookmarkStart w:id="201" w:name="_Toc284929793"/>
      <w:bookmarkStart w:id="202" w:name="_Toc278982335"/>
      <w:bookmarkStart w:id="203" w:name="_Toc411743919"/>
      <w:bookmarkStart w:id="204" w:name="_Toc535828846"/>
      <w:bookmarkStart w:id="205" w:name="_Toc536343676"/>
      <w:bookmarkStart w:id="206" w:name="_Toc102961900"/>
      <w:r>
        <w:rPr>
          <w:rStyle w:val="CharSectno"/>
        </w:rPr>
        <w:t>12A</w:t>
      </w:r>
      <w:r>
        <w:t>.</w:t>
      </w:r>
      <w:r>
        <w:tab/>
        <w:t>Trading hours for general retail shops in special trading precincts and holiday resorts</w:t>
      </w:r>
      <w:bookmarkEnd w:id="200"/>
      <w:bookmarkEnd w:id="201"/>
      <w:bookmarkEnd w:id="202"/>
    </w:p>
    <w:p>
      <w:pPr>
        <w:pStyle w:val="Subsection"/>
        <w:spacing w:before="180"/>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special trading precinct or holiday resort;</w:t>
      </w:r>
      <w:ins w:id="207" w:author="svcMRProcess" w:date="2015-12-15T15:53:00Z">
        <w:r>
          <w:t xml:space="preserve"> or</w:t>
        </w:r>
      </w:ins>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keepNext/>
        <w:spacing w:before="180"/>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w:t>
      </w:r>
      <w:bookmarkStart w:id="208" w:name="RuleErr_1"/>
      <w:r>
        <w:t xml:space="preserve"> of this definition</w:t>
      </w:r>
      <w:bookmarkEnd w:id="208"/>
      <w:r>
        <w:t>;</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tab/>
      </w:r>
      <w:r>
        <w:rPr>
          <w:rStyle w:val="CharDefText"/>
        </w:rPr>
        <w:t>Joondalup special trading precinct</w:t>
      </w:r>
      <w:r>
        <w:t xml:space="preserve"> means the area or areas prescribed for the purposes</w:t>
      </w:r>
      <w:bookmarkStart w:id="209" w:name="RuleErr_2"/>
      <w:r>
        <w:t xml:space="preserve"> of this definition</w:t>
      </w:r>
      <w:bookmarkEnd w:id="209"/>
      <w:r>
        <w:t>;</w:t>
      </w:r>
    </w:p>
    <w:p>
      <w:pPr>
        <w:pStyle w:val="Defstart"/>
      </w:pPr>
      <w:r>
        <w:tab/>
      </w:r>
      <w:r>
        <w:rPr>
          <w:rStyle w:val="CharDefText"/>
        </w:rPr>
        <w:t>Midland special trading precinct</w:t>
      </w:r>
      <w:r>
        <w:t xml:space="preserve"> means the area or areas prescribed for the purposes of this definition;</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special trading precinct</w:t>
      </w:r>
      <w:r>
        <w:t xml:space="preserve"> means the area or areas prescribed for the purposes</w:t>
      </w:r>
      <w:bookmarkStart w:id="210" w:name="RuleErr_3"/>
      <w:r>
        <w:t xml:space="preserve"> of this definition</w:t>
      </w:r>
      <w:bookmarkEnd w:id="210"/>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w:t>
      </w:r>
      <w:del w:id="211" w:author="svcMRProcess" w:date="2015-12-15T15:53:00Z">
        <w:r>
          <w:rPr>
            <w:i/>
          </w:rPr>
          <w:delText xml:space="preserve"> </w:delText>
        </w:r>
      </w:del>
      <w:ins w:id="212" w:author="svcMRProcess" w:date="2015-12-15T15:53:00Z">
        <w:r>
          <w:rPr>
            <w:i/>
          </w:rPr>
          <w:t> </w:t>
        </w:r>
      </w:ins>
      <w:r>
        <w:rPr>
          <w:i/>
        </w:rPr>
        <w:t>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 xml:space="preserve">in the case of a reference to the </w:t>
      </w:r>
      <w:smartTag w:uri="urn:schemas-microsoft-com:office:smarttags" w:element="City">
        <w:r>
          <w:t>Perth</w:t>
        </w:r>
      </w:smartTag>
      <w:r>
        <w:t xml:space="preserve"> tourism precinct, as if it were a reference to the </w:t>
      </w:r>
      <w:smartTag w:uri="urn:schemas-microsoft-com:office:smarttags" w:element="place">
        <w:smartTag w:uri="urn:schemas-microsoft-com:office:smarttags" w:element="City">
          <w:r>
            <w:t>Perth</w:t>
          </w:r>
        </w:smartTag>
      </w:smartTag>
      <w:r>
        <w:t xml:space="preserve">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213" w:name="_Toc166554188"/>
      <w:bookmarkStart w:id="214" w:name="_Toc284929794"/>
      <w:bookmarkStart w:id="215" w:name="_Toc278982336"/>
      <w:r>
        <w:rPr>
          <w:rStyle w:val="CharSectno"/>
        </w:rPr>
        <w:t>12B</w:t>
      </w:r>
      <w:r>
        <w:t>.</w:t>
      </w:r>
      <w:r>
        <w:tab/>
        <w:t>Trading hours for motor vehicle shops</w:t>
      </w:r>
      <w:bookmarkEnd w:id="213"/>
      <w:bookmarkEnd w:id="214"/>
      <w:bookmarkEnd w:id="215"/>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ins w:id="216" w:author="svcMRProcess" w:date="2015-12-15T15:53:00Z">
        <w:r>
          <w:t xml:space="preserve"> and</w:t>
        </w:r>
      </w:ins>
    </w:p>
    <w:p>
      <w:pPr>
        <w:pStyle w:val="Indenta"/>
      </w:pPr>
      <w:r>
        <w:tab/>
        <w:t>(b)</w:t>
      </w:r>
      <w:r>
        <w:tab/>
        <w:t>on Wednesday in each week — until 8 a.m. and from and after 9 p.m.;</w:t>
      </w:r>
      <w:ins w:id="217" w:author="svcMRProcess" w:date="2015-12-15T15:53:00Z">
        <w:r>
          <w:t xml:space="preserve"> and</w:t>
        </w:r>
      </w:ins>
    </w:p>
    <w:p>
      <w:pPr>
        <w:pStyle w:val="Indenta"/>
      </w:pPr>
      <w:r>
        <w:tab/>
        <w:t>(c)</w:t>
      </w:r>
      <w:r>
        <w:tab/>
        <w:t>on Saturday in each week — until 8 a.m. and from and after 1 p.m.;</w:t>
      </w:r>
      <w:ins w:id="218" w:author="svcMRProcess" w:date="2015-12-15T15:53:00Z">
        <w:r>
          <w:t xml:space="preserve"> and</w:t>
        </w:r>
      </w:ins>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219" w:name="_Toc166554189"/>
      <w:r>
        <w:tab/>
        <w:t>[Section 12B inserted by No. 47 of 2006 s. 9.]</w:t>
      </w:r>
    </w:p>
    <w:p>
      <w:pPr>
        <w:pStyle w:val="Heading5"/>
      </w:pPr>
      <w:bookmarkStart w:id="220" w:name="_Toc284929795"/>
      <w:bookmarkStart w:id="221" w:name="_Toc278982337"/>
      <w:r>
        <w:rPr>
          <w:rStyle w:val="CharSectno"/>
        </w:rPr>
        <w:t>12C</w:t>
      </w:r>
      <w:r>
        <w:t>.</w:t>
      </w:r>
      <w:r>
        <w:tab/>
        <w:t>No restriction on trading hours for small retail shops</w:t>
      </w:r>
      <w:bookmarkEnd w:id="219"/>
      <w:bookmarkEnd w:id="220"/>
      <w:bookmarkEnd w:id="221"/>
    </w:p>
    <w:p>
      <w:pPr>
        <w:pStyle w:val="Subsection"/>
      </w:pPr>
      <w:r>
        <w:tab/>
      </w:r>
      <w:r>
        <w:tab/>
        <w:t>A small retail shop may be open at any time.</w:t>
      </w:r>
    </w:p>
    <w:p>
      <w:pPr>
        <w:pStyle w:val="Footnotesection"/>
      </w:pPr>
      <w:bookmarkStart w:id="222" w:name="_Toc166554190"/>
      <w:r>
        <w:tab/>
        <w:t>[Section 12C inserted by No. 47 of 2006 s. 9.]</w:t>
      </w:r>
    </w:p>
    <w:p>
      <w:pPr>
        <w:pStyle w:val="Heading5"/>
      </w:pPr>
      <w:bookmarkStart w:id="223" w:name="_Toc284929796"/>
      <w:bookmarkStart w:id="224" w:name="_Toc278982338"/>
      <w:r>
        <w:rPr>
          <w:rStyle w:val="CharSectno"/>
        </w:rPr>
        <w:t>12D</w:t>
      </w:r>
      <w:r>
        <w:t>.</w:t>
      </w:r>
      <w:r>
        <w:tab/>
        <w:t>Trading hours for special retail shops</w:t>
      </w:r>
      <w:bookmarkEnd w:id="222"/>
      <w:bookmarkEnd w:id="223"/>
      <w:bookmarkEnd w:id="224"/>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225" w:name="_Toc166554191"/>
      <w:r>
        <w:tab/>
        <w:t>[Section 12D inserted by No. 47 of 2006 s. 9.]</w:t>
      </w:r>
    </w:p>
    <w:p>
      <w:pPr>
        <w:pStyle w:val="Heading5"/>
      </w:pPr>
      <w:bookmarkStart w:id="226" w:name="_Toc284929797"/>
      <w:bookmarkStart w:id="227" w:name="_Toc278982339"/>
      <w:r>
        <w:rPr>
          <w:rStyle w:val="CharSectno"/>
        </w:rPr>
        <w:t>12E</w:t>
      </w:r>
      <w:r>
        <w:t>.</w:t>
      </w:r>
      <w:r>
        <w:tab/>
        <w:t>Variation of trading hours</w:t>
      </w:r>
      <w:bookmarkEnd w:id="225"/>
      <w:bookmarkEnd w:id="226"/>
      <w:bookmarkEnd w:id="227"/>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ins w:id="228" w:author="svcMRProcess" w:date="2015-12-15T15:53:00Z">
        <w:r>
          <w:t xml:space="preserve"> or</w:t>
        </w:r>
      </w:ins>
    </w:p>
    <w:p>
      <w:pPr>
        <w:pStyle w:val="Indenta"/>
      </w:pPr>
      <w:r>
        <w:tab/>
        <w:t>(b)</w:t>
      </w:r>
      <w:r>
        <w:tab/>
        <w:t>general retail shops of a specified class;</w:t>
      </w:r>
      <w:ins w:id="229" w:author="svcMRProcess" w:date="2015-12-15T15:53:00Z">
        <w:r>
          <w:t xml:space="preserve"> or</w:t>
        </w:r>
      </w:ins>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ins w:id="230" w:author="svcMRProcess" w:date="2015-12-15T15:53:00Z">
        <w:r>
          <w:t xml:space="preserve"> or</w:t>
        </w:r>
      </w:ins>
    </w:p>
    <w:p>
      <w:pPr>
        <w:pStyle w:val="Indenta"/>
      </w:pPr>
      <w:r>
        <w:tab/>
        <w:t>(b)</w:t>
      </w:r>
      <w:r>
        <w:tab/>
        <w:t>motor vehicle shops of a specified class;</w:t>
      </w:r>
      <w:ins w:id="231" w:author="svcMRProcess" w:date="2015-12-15T15:53:00Z">
        <w:r>
          <w:t xml:space="preserve"> or</w:t>
        </w:r>
      </w:ins>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ins w:id="232" w:author="svcMRProcess" w:date="2015-12-15T15:53:00Z">
        <w:r>
          <w:t xml:space="preserve"> or</w:t>
        </w:r>
      </w:ins>
    </w:p>
    <w:p>
      <w:pPr>
        <w:pStyle w:val="Indenta"/>
      </w:pPr>
      <w:r>
        <w:tab/>
        <w:t>(b)</w:t>
      </w:r>
      <w:r>
        <w:tab/>
        <w:t>special retail shops of a specified class;</w:t>
      </w:r>
      <w:ins w:id="233" w:author="svcMRProcess" w:date="2015-12-15T15:53:00Z">
        <w:r>
          <w:t xml:space="preserve"> or</w:t>
        </w:r>
      </w:ins>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w:t>
      </w:r>
      <w:del w:id="234" w:author="svcMRProcess" w:date="2015-12-15T15:53:00Z">
        <w:r>
          <w:delText xml:space="preserve"> </w:delText>
        </w:r>
      </w:del>
      <w:ins w:id="235" w:author="svcMRProcess" w:date="2015-12-15T15:53:00Z">
        <w:r>
          <w:t> </w:t>
        </w:r>
      </w:ins>
      <w:r>
        <w:t>5.]</w:t>
      </w:r>
    </w:p>
    <w:bookmarkEnd w:id="203"/>
    <w:bookmarkEnd w:id="204"/>
    <w:bookmarkEnd w:id="205"/>
    <w:bookmarkEnd w:id="206"/>
    <w:p>
      <w:pPr>
        <w:pStyle w:val="Ednotesection"/>
      </w:pPr>
      <w:r>
        <w:t>[</w:t>
      </w:r>
      <w:r>
        <w:rPr>
          <w:b/>
          <w:bCs/>
        </w:rPr>
        <w:t>13.</w:t>
      </w:r>
      <w:r>
        <w:tab/>
        <w:t>Deleted by No. 47 of 2006 s. 10.]</w:t>
      </w:r>
    </w:p>
    <w:p>
      <w:pPr>
        <w:pStyle w:val="Heading5"/>
      </w:pPr>
      <w:bookmarkStart w:id="236" w:name="_Toc166554194"/>
      <w:bookmarkStart w:id="237" w:name="_Toc284929798"/>
      <w:bookmarkStart w:id="238" w:name="_Toc278982340"/>
      <w:bookmarkStart w:id="239" w:name="_Toc411743921"/>
      <w:bookmarkStart w:id="240" w:name="_Toc535828848"/>
      <w:bookmarkStart w:id="241" w:name="_Toc536343678"/>
      <w:bookmarkStart w:id="242" w:name="_Toc102961902"/>
      <w:r>
        <w:rPr>
          <w:rStyle w:val="CharSectno"/>
        </w:rPr>
        <w:t>14</w:t>
      </w:r>
      <w:r>
        <w:t>.</w:t>
      </w:r>
      <w:r>
        <w:tab/>
        <w:t>No restriction on trading hours for filling stations</w:t>
      </w:r>
      <w:bookmarkEnd w:id="236"/>
      <w:bookmarkEnd w:id="237"/>
      <w:bookmarkEnd w:id="238"/>
    </w:p>
    <w:p>
      <w:pPr>
        <w:pStyle w:val="Subsection"/>
      </w:pPr>
      <w:r>
        <w:tab/>
      </w:r>
      <w:r>
        <w:tab/>
        <w:t>A filling station may be open at any time.</w:t>
      </w:r>
    </w:p>
    <w:p>
      <w:pPr>
        <w:pStyle w:val="Footnotesection"/>
      </w:pPr>
      <w:bookmarkStart w:id="243" w:name="_Toc166554195"/>
      <w:r>
        <w:tab/>
        <w:t>[Section 14 inserted by No. 47 of 2006 s. 11.]</w:t>
      </w:r>
    </w:p>
    <w:p>
      <w:pPr>
        <w:pStyle w:val="Heading5"/>
      </w:pPr>
      <w:bookmarkStart w:id="244" w:name="_Toc284929799"/>
      <w:bookmarkStart w:id="245" w:name="_Toc278982341"/>
      <w:r>
        <w:rPr>
          <w:rStyle w:val="CharSectno"/>
        </w:rPr>
        <w:t>14A</w:t>
      </w:r>
      <w:r>
        <w:t>.</w:t>
      </w:r>
      <w:r>
        <w:tab/>
      </w:r>
      <w:del w:id="246" w:author="svcMRProcess" w:date="2015-12-15T15:53:00Z">
        <w:r>
          <w:delText>Sale of goods</w:delText>
        </w:r>
      </w:del>
      <w:ins w:id="247" w:author="svcMRProcess" w:date="2015-12-15T15:53:00Z">
        <w:r>
          <w:t>Goods that can be sold</w:t>
        </w:r>
      </w:ins>
      <w:r>
        <w:t xml:space="preserve"> at filling stations</w:t>
      </w:r>
      <w:bookmarkEnd w:id="243"/>
      <w:bookmarkEnd w:id="244"/>
      <w:bookmarkEnd w:id="245"/>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w:t>
      </w:r>
      <w:ins w:id="248" w:author="svcMRProcess" w:date="2015-12-15T15:53:00Z">
        <w:r>
          <w:t xml:space="preserve"> or</w:t>
        </w:r>
      </w:ins>
    </w:p>
    <w:p>
      <w:pPr>
        <w:pStyle w:val="Indenta"/>
      </w:pPr>
      <w:r>
        <w:tab/>
        <w:t>(b)</w:t>
      </w:r>
      <w:r>
        <w:tab/>
        <w:t>one of the goods prescribed for the purposes of this paragraph;</w:t>
      </w:r>
      <w:ins w:id="249" w:author="svcMRProcess" w:date="2015-12-15T15:53:00Z">
        <w:r>
          <w:t xml:space="preserve"> or</w:t>
        </w:r>
      </w:ins>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250" w:name="_Toc166554196"/>
      <w:r>
        <w:tab/>
        <w:t>[Section 14A inserted by No. 47 of 2006 s. 11; amended by No. 38 of 2010 s.</w:t>
      </w:r>
      <w:del w:id="251" w:author="svcMRProcess" w:date="2015-12-15T15:53:00Z">
        <w:r>
          <w:delText xml:space="preserve"> </w:delText>
        </w:r>
      </w:del>
      <w:ins w:id="252" w:author="svcMRProcess" w:date="2015-12-15T15:53:00Z">
        <w:r>
          <w:t> </w:t>
        </w:r>
      </w:ins>
      <w:r>
        <w:t>6.]</w:t>
      </w:r>
    </w:p>
    <w:p>
      <w:pPr>
        <w:pStyle w:val="Heading5"/>
      </w:pPr>
      <w:bookmarkStart w:id="253" w:name="_Toc278982342"/>
      <w:bookmarkStart w:id="254" w:name="_Toc284929800"/>
      <w:r>
        <w:rPr>
          <w:rStyle w:val="CharSectno"/>
        </w:rPr>
        <w:t>14B</w:t>
      </w:r>
      <w:r>
        <w:t>.</w:t>
      </w:r>
      <w:r>
        <w:tab/>
        <w:t>Small filling stations</w:t>
      </w:r>
      <w:bookmarkEnd w:id="250"/>
      <w:bookmarkEnd w:id="253"/>
      <w:ins w:id="255" w:author="svcMRProcess" w:date="2015-12-15T15:53:00Z">
        <w:r>
          <w:t>, general provisions about</w:t>
        </w:r>
      </w:ins>
      <w:bookmarkEnd w:id="254"/>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ins w:id="256" w:author="svcMRProcess" w:date="2015-12-15T15:53:00Z">
        <w:r>
          <w:t xml:space="preserve"> or</w:t>
        </w:r>
      </w:ins>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rPr>
          <w:ins w:id="257" w:author="svcMRProcess" w:date="2015-12-15T15:53:00Z"/>
        </w:rPr>
      </w:pPr>
      <w:ins w:id="258" w:author="svcMRProcess" w:date="2015-12-15T15:53:00Z">
        <w:r>
          <w:tab/>
        </w:r>
        <w:r>
          <w:tab/>
          <w:t>and</w:t>
        </w:r>
      </w:ins>
    </w:p>
    <w:p>
      <w:pPr>
        <w:pStyle w:val="Indenta"/>
      </w:pPr>
      <w:r>
        <w:tab/>
        <w:t>(b)</w:t>
      </w:r>
      <w:r>
        <w:tab/>
        <w:t>the filling station is operated for the benefit of the eligible persons referred to in paragraph (a);</w:t>
      </w:r>
      <w:ins w:id="259" w:author="svcMRProcess" w:date="2015-12-15T15:53:00Z">
        <w:r>
          <w:t xml:space="preserve"> and</w:t>
        </w:r>
      </w:ins>
    </w:p>
    <w:p>
      <w:pPr>
        <w:pStyle w:val="Indenta"/>
      </w:pPr>
      <w:r>
        <w:tab/>
        <w:t>(c)</w:t>
      </w:r>
      <w:r>
        <w:tab/>
        <w:t>the eligible persons referred to in paragraph (a) are personally and actively engaged in the filling station;</w:t>
      </w:r>
      <w:ins w:id="260" w:author="svcMRProcess" w:date="2015-12-15T15:53:00Z">
        <w:r>
          <w:t xml:space="preserve"> and</w:t>
        </w:r>
      </w:ins>
    </w:p>
    <w:p>
      <w:pPr>
        <w:pStyle w:val="Indenta"/>
      </w:pPr>
      <w:r>
        <w:tab/>
        <w:t>(d)</w:t>
      </w:r>
      <w:r>
        <w:tab/>
        <w:t>not more than 10 persons (including the eligible persons who own and operate the filling station) work in the filling station at any one and the same time;</w:t>
      </w:r>
      <w:ins w:id="261" w:author="svcMRProcess" w:date="2015-12-15T15:53:00Z">
        <w:r>
          <w:t xml:space="preserve"> and</w:t>
        </w:r>
      </w:ins>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ins w:id="262" w:author="svcMRProcess" w:date="2015-12-15T15:53:00Z">
        <w:r>
          <w:t xml:space="preserve"> and</w:t>
        </w:r>
      </w:ins>
    </w:p>
    <w:p>
      <w:pPr>
        <w:pStyle w:val="Indenti"/>
      </w:pPr>
      <w:r>
        <w:tab/>
        <w:t>(ii)</w:t>
      </w:r>
      <w:r>
        <w:tab/>
        <w:t>does not own or operate another filling station together with a person who is outside that group of persons;</w:t>
      </w:r>
      <w:ins w:id="263" w:author="svcMRProcess" w:date="2015-12-15T15:53:00Z">
        <w:r>
          <w:t xml:space="preserve"> and</w:t>
        </w:r>
      </w:ins>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264" w:name="_Toc166554197"/>
      <w:r>
        <w:tab/>
        <w:t>[Section 14B inserted by No. 47 of 2006 s. 11.]</w:t>
      </w:r>
    </w:p>
    <w:p>
      <w:pPr>
        <w:pStyle w:val="Heading5"/>
      </w:pPr>
      <w:bookmarkStart w:id="265" w:name="_Toc284929801"/>
      <w:bookmarkStart w:id="266" w:name="_Toc278982343"/>
      <w:del w:id="267" w:author="svcMRProcess" w:date="2015-12-15T15:53:00Z">
        <w:r>
          <w:rPr>
            <w:rStyle w:val="CharSectno"/>
          </w:rPr>
          <w:delText>14C</w:delText>
        </w:r>
        <w:r>
          <w:delText>.</w:delText>
        </w:r>
        <w:r>
          <w:tab/>
          <w:delText>Issue and cancellation of certificates for</w:delText>
        </w:r>
      </w:del>
      <w:ins w:id="268" w:author="svcMRProcess" w:date="2015-12-15T15:53:00Z">
        <w:r>
          <w:rPr>
            <w:rStyle w:val="CharSectno"/>
          </w:rPr>
          <w:t>14C</w:t>
        </w:r>
        <w:r>
          <w:t>.</w:t>
        </w:r>
        <w:r>
          <w:tab/>
          <w:t>Certifying filling stations as</w:t>
        </w:r>
      </w:ins>
      <w:r>
        <w:t xml:space="preserve"> small filling stations</w:t>
      </w:r>
      <w:bookmarkEnd w:id="264"/>
      <w:bookmarkEnd w:id="265"/>
      <w:bookmarkEnd w:id="266"/>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269" w:name="_Toc284929802"/>
      <w:bookmarkStart w:id="270" w:name="_Toc278982344"/>
      <w:r>
        <w:rPr>
          <w:rStyle w:val="CharSectno"/>
        </w:rPr>
        <w:t>15</w:t>
      </w:r>
      <w:r>
        <w:rPr>
          <w:snapToGrid w:val="0"/>
        </w:rPr>
        <w:t>.</w:t>
      </w:r>
      <w:r>
        <w:rPr>
          <w:snapToGrid w:val="0"/>
        </w:rPr>
        <w:tab/>
        <w:t>Permits</w:t>
      </w:r>
      <w:bookmarkEnd w:id="239"/>
      <w:bookmarkEnd w:id="240"/>
      <w:bookmarkEnd w:id="241"/>
      <w:bookmarkEnd w:id="242"/>
      <w:bookmarkEnd w:id="269"/>
      <w:bookmarkEnd w:id="270"/>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ins w:id="271" w:author="svcMRProcess" w:date="2015-12-15T15:53:00Z">
        <w:r>
          <w:t xml:space="preserve"> or</w:t>
        </w:r>
      </w:ins>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ins w:id="272" w:author="svcMRProcess" w:date="2015-12-15T15:53:00Z">
        <w:r>
          <w:t xml:space="preserve"> or</w:t>
        </w:r>
      </w:ins>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273" w:name="_Toc411743922"/>
      <w:bookmarkStart w:id="274" w:name="_Toc535828849"/>
      <w:bookmarkStart w:id="275" w:name="_Toc536343679"/>
      <w:bookmarkStart w:id="276" w:name="_Toc102961903"/>
      <w:bookmarkStart w:id="277" w:name="_Toc284929803"/>
      <w:bookmarkStart w:id="278" w:name="_Toc278982345"/>
      <w:r>
        <w:rPr>
          <w:rStyle w:val="CharSectno"/>
        </w:rPr>
        <w:t>16</w:t>
      </w:r>
      <w:r>
        <w:rPr>
          <w:snapToGrid w:val="0"/>
        </w:rPr>
        <w:t>.</w:t>
      </w:r>
      <w:r>
        <w:rPr>
          <w:snapToGrid w:val="0"/>
        </w:rPr>
        <w:tab/>
        <w:t>Covenants relating to opening of retail shops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279" w:name="_Toc411743923"/>
      <w:bookmarkStart w:id="280" w:name="_Toc535828850"/>
      <w:bookmarkStart w:id="281" w:name="_Toc536343680"/>
      <w:bookmarkStart w:id="282" w:name="_Toc102961904"/>
      <w:bookmarkStart w:id="283" w:name="_Toc284929804"/>
      <w:bookmarkStart w:id="284" w:name="_Toc278982346"/>
      <w:r>
        <w:rPr>
          <w:rStyle w:val="CharSectno"/>
        </w:rPr>
        <w:t>17</w:t>
      </w:r>
      <w:r>
        <w:rPr>
          <w:snapToGrid w:val="0"/>
        </w:rPr>
        <w:t>.</w:t>
      </w:r>
      <w:r>
        <w:rPr>
          <w:snapToGrid w:val="0"/>
        </w:rPr>
        <w:tab/>
        <w:t>Retail Shops Advisory Committee</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[Section 17 amended by No. 1 of 1991 s. 12 and 14; No.</w:t>
      </w:r>
      <w:del w:id="285" w:author="svcMRProcess" w:date="2015-12-15T15:53:00Z">
        <w:r>
          <w:delText> </w:delText>
        </w:r>
      </w:del>
      <w:ins w:id="286" w:author="svcMRProcess" w:date="2015-12-15T15:53:00Z">
        <w:r>
          <w:t xml:space="preserve"> </w:t>
        </w:r>
      </w:ins>
      <w:r>
        <w:t xml:space="preserve">39 of 2010 s. 89.] </w:t>
      </w:r>
    </w:p>
    <w:p>
      <w:pPr>
        <w:pStyle w:val="Heading5"/>
        <w:rPr>
          <w:snapToGrid w:val="0"/>
        </w:rPr>
      </w:pPr>
      <w:bookmarkStart w:id="287" w:name="_Toc411743924"/>
      <w:bookmarkStart w:id="288" w:name="_Toc535828851"/>
      <w:bookmarkStart w:id="289" w:name="_Toc536343681"/>
      <w:bookmarkStart w:id="290" w:name="_Toc102961905"/>
      <w:bookmarkStart w:id="291" w:name="_Toc284929805"/>
      <w:bookmarkStart w:id="292" w:name="_Toc278982347"/>
      <w:r>
        <w:rPr>
          <w:rStyle w:val="CharSectno"/>
        </w:rPr>
        <w:t>18</w:t>
      </w:r>
      <w:r>
        <w:rPr>
          <w:snapToGrid w:val="0"/>
        </w:rPr>
        <w:t>.</w:t>
      </w:r>
      <w:r>
        <w:rPr>
          <w:snapToGrid w:val="0"/>
        </w:rPr>
        <w:tab/>
        <w:t>Temporary members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293" w:name="_Toc411743925"/>
      <w:bookmarkStart w:id="294" w:name="_Toc535828852"/>
      <w:bookmarkStart w:id="295" w:name="_Toc536343682"/>
      <w:bookmarkStart w:id="296" w:name="_Toc102961906"/>
      <w:bookmarkStart w:id="297" w:name="_Toc284929806"/>
      <w:bookmarkStart w:id="298" w:name="_Toc278982348"/>
      <w:r>
        <w:rPr>
          <w:rStyle w:val="CharSectno"/>
        </w:rPr>
        <w:t>19</w:t>
      </w:r>
      <w:r>
        <w:rPr>
          <w:snapToGrid w:val="0"/>
        </w:rPr>
        <w:t>.</w:t>
      </w:r>
      <w:r>
        <w:rPr>
          <w:snapToGrid w:val="0"/>
        </w:rPr>
        <w:tab/>
        <w:t>Vacation of office of member</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w:t>
      </w:r>
      <w:del w:id="299" w:author="svcMRProcess" w:date="2015-12-15T15:53:00Z">
        <w:r>
          <w:delText xml:space="preserve"> </w:delText>
        </w:r>
      </w:del>
      <w:ins w:id="300" w:author="svcMRProcess" w:date="2015-12-15T15:53:00Z">
        <w:r>
          <w:t> </w:t>
        </w:r>
      </w:ins>
      <w:r>
        <w:t>19 amended by No. 18 of 2009 s. 75.]</w:t>
      </w:r>
    </w:p>
    <w:p>
      <w:pPr>
        <w:pStyle w:val="Heading5"/>
        <w:rPr>
          <w:snapToGrid w:val="0"/>
        </w:rPr>
      </w:pPr>
      <w:bookmarkStart w:id="301" w:name="_Toc411743926"/>
      <w:bookmarkStart w:id="302" w:name="_Toc535828853"/>
      <w:bookmarkStart w:id="303" w:name="_Toc536343683"/>
      <w:bookmarkStart w:id="304" w:name="_Toc102961907"/>
      <w:bookmarkStart w:id="305" w:name="_Toc284929807"/>
      <w:bookmarkStart w:id="306" w:name="_Toc278982349"/>
      <w:r>
        <w:rPr>
          <w:rStyle w:val="CharSectno"/>
        </w:rPr>
        <w:t>20</w:t>
      </w:r>
      <w:r>
        <w:rPr>
          <w:snapToGrid w:val="0"/>
        </w:rPr>
        <w:t>.</w:t>
      </w:r>
      <w:r>
        <w:rPr>
          <w:snapToGrid w:val="0"/>
        </w:rPr>
        <w:tab/>
        <w:t>Sub</w:t>
      </w:r>
      <w:r>
        <w:rPr>
          <w:snapToGrid w:val="0"/>
        </w:rPr>
        <w:noBreakHyphen/>
        <w:t>committees</w:t>
      </w:r>
      <w:bookmarkEnd w:id="301"/>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ins w:id="307" w:author="svcMRProcess" w:date="2015-12-15T15:53:00Z">
        <w:r>
          <w:rPr>
            <w:snapToGrid w:val="0"/>
          </w:rPr>
          <w:t xml:space="preserve"> and</w:t>
        </w:r>
      </w:ins>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308" w:name="_Toc411743927"/>
      <w:bookmarkStart w:id="309" w:name="_Toc535828854"/>
      <w:bookmarkStart w:id="310" w:name="_Toc536343684"/>
      <w:bookmarkStart w:id="311" w:name="_Toc102961908"/>
      <w:bookmarkStart w:id="312" w:name="_Toc284929808"/>
      <w:bookmarkStart w:id="313" w:name="_Toc278982350"/>
      <w:r>
        <w:rPr>
          <w:rStyle w:val="CharSectno"/>
        </w:rPr>
        <w:t>21</w:t>
      </w:r>
      <w:r>
        <w:rPr>
          <w:snapToGrid w:val="0"/>
        </w:rPr>
        <w:t>.</w:t>
      </w:r>
      <w:r>
        <w:rPr>
          <w:snapToGrid w:val="0"/>
        </w:rPr>
        <w:tab/>
        <w:t xml:space="preserve">Functions of </w:t>
      </w:r>
      <w:del w:id="314" w:author="svcMRProcess" w:date="2015-12-15T15:53:00Z">
        <w:r>
          <w:rPr>
            <w:snapToGrid w:val="0"/>
          </w:rPr>
          <w:delText xml:space="preserve">the </w:delText>
        </w:r>
      </w:del>
      <w:r>
        <w:rPr>
          <w:snapToGrid w:val="0"/>
        </w:rPr>
        <w:t>Committee</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ins w:id="315" w:author="svcMRProcess" w:date="2015-12-15T15:53:00Z">
        <w:r>
          <w:rPr>
            <w:snapToGrid w:val="0"/>
          </w:rPr>
          <w:t xml:space="preserve"> and</w:t>
        </w:r>
      </w:ins>
    </w:p>
    <w:p>
      <w:pPr>
        <w:pStyle w:val="Indenta"/>
        <w:rPr>
          <w:snapToGrid w:val="0"/>
        </w:rPr>
      </w:pPr>
      <w:r>
        <w:rPr>
          <w:snapToGrid w:val="0"/>
        </w:rPr>
        <w:tab/>
        <w:t>(b)</w:t>
      </w:r>
      <w:r>
        <w:rPr>
          <w:snapToGrid w:val="0"/>
        </w:rPr>
        <w:tab/>
        <w:t>consult with any person or body with respect to the operation and administration of this Act;</w:t>
      </w:r>
      <w:ins w:id="316" w:author="svcMRProcess" w:date="2015-12-15T15:53:00Z">
        <w:r>
          <w:rPr>
            <w:snapToGrid w:val="0"/>
          </w:rPr>
          <w:t xml:space="preserve"> and</w:t>
        </w:r>
      </w:ins>
    </w:p>
    <w:p>
      <w:pPr>
        <w:pStyle w:val="Indenta"/>
        <w:rPr>
          <w:snapToGrid w:val="0"/>
        </w:rPr>
      </w:pPr>
      <w:r>
        <w:rPr>
          <w:snapToGrid w:val="0"/>
        </w:rPr>
        <w:tab/>
        <w:t>(c)</w:t>
      </w:r>
      <w:r>
        <w:rPr>
          <w:snapToGrid w:val="0"/>
        </w:rPr>
        <w:tab/>
        <w:t>consider any submissions made by any person or body on the operation or administration of this Act;</w:t>
      </w:r>
      <w:ins w:id="317" w:author="svcMRProcess" w:date="2015-12-15T15:53:00Z">
        <w:r>
          <w:rPr>
            <w:snapToGrid w:val="0"/>
          </w:rPr>
          <w:t xml:space="preserve"> and</w:t>
        </w:r>
      </w:ins>
    </w:p>
    <w:p>
      <w:pPr>
        <w:pStyle w:val="Indenta"/>
        <w:rPr>
          <w:snapToGrid w:val="0"/>
        </w:rPr>
      </w:pPr>
      <w:r>
        <w:rPr>
          <w:snapToGrid w:val="0"/>
        </w:rPr>
        <w:tab/>
        <w:t>(d)</w:t>
      </w:r>
      <w:r>
        <w:rPr>
          <w:snapToGrid w:val="0"/>
        </w:rPr>
        <w:tab/>
        <w:t>make recommendations to the chief executive officer on the issue of permits under section 15;</w:t>
      </w:r>
      <w:ins w:id="318" w:author="svcMRProcess" w:date="2015-12-15T15:53:00Z">
        <w:r>
          <w:rPr>
            <w:snapToGrid w:val="0"/>
          </w:rPr>
          <w:t xml:space="preserve"> and</w:t>
        </w:r>
      </w:ins>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ins w:id="319" w:author="svcMRProcess" w:date="2015-12-15T15:53:00Z">
        <w:r>
          <w:rPr>
            <w:snapToGrid w:val="0"/>
          </w:rPr>
          <w:t xml:space="preserve"> and</w:t>
        </w:r>
      </w:ins>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320" w:name="_Toc90440081"/>
      <w:bookmarkStart w:id="321" w:name="_Toc96939351"/>
      <w:bookmarkStart w:id="322" w:name="_Toc102961909"/>
      <w:bookmarkStart w:id="323" w:name="_Toc147910180"/>
      <w:bookmarkStart w:id="324" w:name="_Toc147912268"/>
      <w:bookmarkStart w:id="325" w:name="_Toc166298029"/>
      <w:bookmarkStart w:id="326" w:name="_Toc166668598"/>
      <w:bookmarkStart w:id="327" w:name="_Toc179868173"/>
      <w:bookmarkStart w:id="328" w:name="_Toc179872992"/>
      <w:bookmarkStart w:id="329" w:name="_Toc179873048"/>
      <w:bookmarkStart w:id="330" w:name="_Toc232398962"/>
      <w:bookmarkStart w:id="331" w:name="_Toc241285920"/>
      <w:bookmarkStart w:id="332" w:name="_Toc266356285"/>
      <w:bookmarkStart w:id="333" w:name="_Toc272927759"/>
      <w:bookmarkStart w:id="334" w:name="_Toc272927826"/>
      <w:bookmarkStart w:id="335" w:name="_Toc274311581"/>
      <w:bookmarkStart w:id="336" w:name="_Toc275513770"/>
      <w:bookmarkStart w:id="337" w:name="_Toc278374703"/>
      <w:bookmarkStart w:id="338" w:name="_Toc278374761"/>
      <w:bookmarkStart w:id="339" w:name="_Toc278450698"/>
      <w:bookmarkStart w:id="340" w:name="_Toc284410464"/>
      <w:bookmarkStart w:id="341" w:name="_Toc284491913"/>
      <w:bookmarkStart w:id="342" w:name="_Toc284926061"/>
      <w:bookmarkStart w:id="343" w:name="_Toc284928425"/>
      <w:bookmarkStart w:id="344" w:name="_Toc284929809"/>
      <w:bookmarkStart w:id="345" w:name="_Toc278982351"/>
      <w:r>
        <w:rPr>
          <w:rStyle w:val="CharPartNo"/>
        </w:rPr>
        <w:t>Part IV</w:t>
      </w:r>
      <w:r>
        <w:rPr>
          <w:rStyle w:val="CharDivNo"/>
        </w:rPr>
        <w:t> </w:t>
      </w:r>
      <w:r>
        <w:t>—</w:t>
      </w:r>
      <w:r>
        <w:rPr>
          <w:rStyle w:val="CharDivText"/>
        </w:rPr>
        <w:t> </w:t>
      </w:r>
      <w:r>
        <w:rPr>
          <w:rStyle w:val="CharPartText"/>
        </w:rPr>
        <w:t>Miscellaneous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411743928"/>
      <w:bookmarkStart w:id="347" w:name="_Toc535828855"/>
      <w:bookmarkStart w:id="348" w:name="_Toc536343685"/>
      <w:bookmarkStart w:id="349" w:name="_Toc102961910"/>
      <w:bookmarkStart w:id="350" w:name="_Toc284929810"/>
      <w:bookmarkStart w:id="351" w:name="_Toc278982352"/>
      <w:r>
        <w:rPr>
          <w:rStyle w:val="CharSectno"/>
        </w:rPr>
        <w:t>22</w:t>
      </w:r>
      <w:r>
        <w:rPr>
          <w:snapToGrid w:val="0"/>
        </w:rPr>
        <w:t>.</w:t>
      </w:r>
      <w:r>
        <w:rPr>
          <w:snapToGrid w:val="0"/>
        </w:rPr>
        <w:tab/>
        <w:t>Covenants contrary to this Act negated</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352" w:name="_Toc411743929"/>
      <w:bookmarkStart w:id="353" w:name="_Toc535828856"/>
      <w:bookmarkStart w:id="354" w:name="_Toc536343686"/>
      <w:bookmarkStart w:id="355" w:name="_Toc102961911"/>
      <w:bookmarkStart w:id="356" w:name="_Toc284929811"/>
      <w:bookmarkStart w:id="357" w:name="_Toc278982353"/>
      <w:r>
        <w:rPr>
          <w:rStyle w:val="CharSectno"/>
        </w:rPr>
        <w:t>23</w:t>
      </w:r>
      <w:r>
        <w:rPr>
          <w:snapToGrid w:val="0"/>
        </w:rPr>
        <w:t>.</w:t>
      </w:r>
      <w:r>
        <w:rPr>
          <w:snapToGrid w:val="0"/>
        </w:rPr>
        <w:tab/>
        <w:t>Auctions of domestic furniture at a dwelling house</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358" w:name="_Toc411743930"/>
      <w:bookmarkStart w:id="359" w:name="_Toc535828857"/>
      <w:bookmarkStart w:id="360" w:name="_Toc536343687"/>
      <w:bookmarkStart w:id="361" w:name="_Toc102961912"/>
      <w:bookmarkStart w:id="362" w:name="_Toc284929812"/>
      <w:bookmarkStart w:id="363" w:name="_Toc278982354"/>
      <w:r>
        <w:rPr>
          <w:rStyle w:val="CharSectno"/>
        </w:rPr>
        <w:t>24</w:t>
      </w:r>
      <w:r>
        <w:rPr>
          <w:snapToGrid w:val="0"/>
        </w:rPr>
        <w:t>.</w:t>
      </w:r>
      <w:r>
        <w:rPr>
          <w:snapToGrid w:val="0"/>
        </w:rPr>
        <w:tab/>
      </w:r>
      <w:del w:id="364" w:author="svcMRProcess" w:date="2015-12-15T15:53:00Z">
        <w:r>
          <w:rPr>
            <w:snapToGrid w:val="0"/>
          </w:rPr>
          <w:delText>Retail</w:delText>
        </w:r>
      </w:del>
      <w:ins w:id="365" w:author="svcMRProcess" w:date="2015-12-15T15:53:00Z">
        <w:r>
          <w:rPr>
            <w:snapToGrid w:val="0"/>
          </w:rPr>
          <w:t>When retail</w:t>
        </w:r>
      </w:ins>
      <w:r>
        <w:rPr>
          <w:snapToGrid w:val="0"/>
        </w:rPr>
        <w:t xml:space="preserve"> shop deemed not to be closed</w:t>
      </w:r>
      <w:bookmarkEnd w:id="358"/>
      <w:bookmarkEnd w:id="359"/>
      <w:bookmarkEnd w:id="360"/>
      <w:bookmarkEnd w:id="361"/>
      <w:bookmarkEnd w:id="362"/>
      <w:bookmarkEnd w:id="363"/>
      <w:del w:id="366" w:author="svcMRProcess" w:date="2015-12-15T15:53:00Z">
        <w:r>
          <w:rPr>
            <w:snapToGrid w:val="0"/>
          </w:rPr>
          <w:delText xml:space="preserve"> </w:delText>
        </w:r>
      </w:del>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del w:id="367" w:author="svcMRProcess" w:date="2015-12-15T15:53:00Z"/>
          <w:snapToGrid w:val="0"/>
        </w:rPr>
      </w:pPr>
      <w:bookmarkStart w:id="368" w:name="_Toc278982355"/>
      <w:bookmarkStart w:id="369" w:name="_Toc411743931"/>
      <w:bookmarkStart w:id="370" w:name="_Toc535828858"/>
      <w:bookmarkStart w:id="371" w:name="_Toc536343688"/>
      <w:bookmarkStart w:id="372" w:name="_Toc102961913"/>
      <w:bookmarkStart w:id="373" w:name="_Toc284929813"/>
      <w:del w:id="374" w:author="svcMRProcess" w:date="2015-12-15T15:53:00Z">
        <w:r>
          <w:rPr>
            <w:rStyle w:val="CharSectno"/>
          </w:rPr>
          <w:delText>25</w:delText>
        </w:r>
        <w:r>
          <w:rPr>
            <w:snapToGrid w:val="0"/>
          </w:rPr>
          <w:delText>.</w:delText>
        </w:r>
        <w:r>
          <w:rPr>
            <w:snapToGrid w:val="0"/>
          </w:rPr>
          <w:tab/>
          <w:delText>Offence</w:delText>
        </w:r>
        <w:bookmarkEnd w:id="368"/>
        <w:r>
          <w:rPr>
            <w:snapToGrid w:val="0"/>
          </w:rPr>
          <w:delText xml:space="preserve"> </w:delText>
        </w:r>
      </w:del>
    </w:p>
    <w:p>
      <w:pPr>
        <w:pStyle w:val="Heading5"/>
        <w:rPr>
          <w:ins w:id="375" w:author="svcMRProcess" w:date="2015-12-15T15:53:00Z"/>
          <w:snapToGrid w:val="0"/>
        </w:rPr>
      </w:pPr>
      <w:ins w:id="376" w:author="svcMRProcess" w:date="2015-12-15T15:53:00Z">
        <w:r>
          <w:rPr>
            <w:rStyle w:val="CharSectno"/>
          </w:rPr>
          <w:t>25</w:t>
        </w:r>
        <w:r>
          <w:rPr>
            <w:snapToGrid w:val="0"/>
          </w:rPr>
          <w:t>.</w:t>
        </w:r>
        <w:r>
          <w:rPr>
            <w:snapToGrid w:val="0"/>
          </w:rPr>
          <w:tab/>
          <w:t>Offence</w:t>
        </w:r>
        <w:bookmarkEnd w:id="369"/>
        <w:bookmarkEnd w:id="370"/>
        <w:bookmarkEnd w:id="371"/>
        <w:bookmarkEnd w:id="372"/>
        <w:r>
          <w:rPr>
            <w:snapToGrid w:val="0"/>
          </w:rPr>
          <w:t>s as to operating retail shops</w:t>
        </w:r>
        <w:bookmarkEnd w:id="373"/>
      </w:ins>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377" w:name="_Toc411743932"/>
      <w:bookmarkStart w:id="378" w:name="_Toc535828859"/>
      <w:bookmarkStart w:id="379" w:name="_Toc536343689"/>
      <w:bookmarkStart w:id="380" w:name="_Toc102961914"/>
      <w:bookmarkStart w:id="381" w:name="_Toc278982356"/>
      <w:bookmarkStart w:id="382" w:name="_Toc284929814"/>
      <w:r>
        <w:rPr>
          <w:rStyle w:val="CharSectno"/>
        </w:rPr>
        <w:t>26</w:t>
      </w:r>
      <w:r>
        <w:rPr>
          <w:snapToGrid w:val="0"/>
        </w:rPr>
        <w:t>.</w:t>
      </w:r>
      <w:r>
        <w:rPr>
          <w:snapToGrid w:val="0"/>
        </w:rPr>
        <w:tab/>
      </w:r>
      <w:del w:id="383" w:author="svcMRProcess" w:date="2015-12-15T15:53:00Z">
        <w:r>
          <w:rPr>
            <w:snapToGrid w:val="0"/>
          </w:rPr>
          <w:delText>Control of advertising</w:delText>
        </w:r>
      </w:del>
      <w:ins w:id="384" w:author="svcMRProcess" w:date="2015-12-15T15:53:00Z">
        <w:r>
          <w:rPr>
            <w:snapToGrid w:val="0"/>
          </w:rPr>
          <w:t>Advertisements</w:t>
        </w:r>
      </w:ins>
      <w:r>
        <w:rPr>
          <w:snapToGrid w:val="0"/>
        </w:rPr>
        <w:t xml:space="preserve"> of retail shopping hours</w:t>
      </w:r>
      <w:bookmarkEnd w:id="377"/>
      <w:bookmarkEnd w:id="378"/>
      <w:bookmarkEnd w:id="379"/>
      <w:bookmarkEnd w:id="380"/>
      <w:bookmarkEnd w:id="381"/>
      <w:del w:id="385" w:author="svcMRProcess" w:date="2015-12-15T15:53:00Z">
        <w:r>
          <w:rPr>
            <w:snapToGrid w:val="0"/>
          </w:rPr>
          <w:delText xml:space="preserve"> </w:delText>
        </w:r>
      </w:del>
      <w:ins w:id="386" w:author="svcMRProcess" w:date="2015-12-15T15:53:00Z">
        <w:r>
          <w:rPr>
            <w:snapToGrid w:val="0"/>
          </w:rPr>
          <w:t>, restrictions on</w:t>
        </w:r>
      </w:ins>
      <w:bookmarkEnd w:id="382"/>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ins w:id="387" w:author="svcMRProcess" w:date="2015-12-15T15:53:00Z">
        <w:r>
          <w:rPr>
            <w:snapToGrid w:val="0"/>
          </w:rPr>
          <w:t xml:space="preserve"> or</w:t>
        </w:r>
      </w:ins>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ins w:id="388" w:author="svcMRProcess" w:date="2015-12-15T15:53:00Z">
        <w:r>
          <w:rPr>
            <w:snapToGrid w:val="0"/>
          </w:rPr>
          <w:t xml:space="preserve"> and</w:t>
        </w:r>
      </w:ins>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ins w:id="389" w:author="svcMRProcess" w:date="2015-12-15T15:53:00Z"/>
          <w:snapToGrid w:val="0"/>
        </w:rPr>
      </w:pPr>
      <w:ins w:id="390" w:author="svcMRProcess" w:date="2015-12-15T15:53:00Z">
        <w:r>
          <w:rPr>
            <w:snapToGrid w:val="0"/>
          </w:rPr>
          <w:tab/>
        </w:r>
        <w:r>
          <w:rPr>
            <w:snapToGrid w:val="0"/>
          </w:rPr>
          <w:tab/>
          <w:t>and</w:t>
        </w:r>
      </w:ins>
    </w:p>
    <w:p>
      <w:pPr>
        <w:pStyle w:val="Indenta"/>
        <w:rPr>
          <w:snapToGrid w:val="0"/>
        </w:rPr>
      </w:pPr>
      <w:r>
        <w:rPr>
          <w:snapToGrid w:val="0"/>
        </w:rPr>
        <w:tab/>
        <w:t>(c)</w:t>
      </w:r>
      <w:r>
        <w:rPr>
          <w:snapToGrid w:val="0"/>
        </w:rPr>
        <w:tab/>
        <w:t>contain in any document sent or delivered to any person or thrown or left upon any premises;</w:t>
      </w:r>
      <w:ins w:id="391" w:author="svcMRProcess" w:date="2015-12-15T15:53:00Z">
        <w:r>
          <w:rPr>
            <w:snapToGrid w:val="0"/>
          </w:rPr>
          <w:t xml:space="preserve"> and</w:t>
        </w:r>
      </w:ins>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392" w:name="_Toc278982357"/>
      <w:bookmarkStart w:id="393" w:name="_Toc411743933"/>
      <w:bookmarkStart w:id="394" w:name="_Toc535828860"/>
      <w:bookmarkStart w:id="395" w:name="_Toc536343690"/>
      <w:bookmarkStart w:id="396" w:name="_Toc102961915"/>
      <w:bookmarkStart w:id="397" w:name="_Toc284929815"/>
      <w:r>
        <w:rPr>
          <w:rStyle w:val="CharSectno"/>
        </w:rPr>
        <w:t>27</w:t>
      </w:r>
      <w:r>
        <w:rPr>
          <w:snapToGrid w:val="0"/>
        </w:rPr>
        <w:t>.</w:t>
      </w:r>
      <w:r>
        <w:rPr>
          <w:snapToGrid w:val="0"/>
        </w:rPr>
        <w:tab/>
      </w:r>
      <w:del w:id="398" w:author="svcMRProcess" w:date="2015-12-15T15:53:00Z">
        <w:r>
          <w:rPr>
            <w:snapToGrid w:val="0"/>
          </w:rPr>
          <w:delText>Powers of chief</w:delText>
        </w:r>
      </w:del>
      <w:ins w:id="399" w:author="svcMRProcess" w:date="2015-12-15T15:53:00Z">
        <w:r>
          <w:rPr>
            <w:snapToGrid w:val="0"/>
          </w:rPr>
          <w:t>Chief</w:t>
        </w:r>
      </w:ins>
      <w:r>
        <w:rPr>
          <w:snapToGrid w:val="0"/>
        </w:rPr>
        <w:t xml:space="preserve"> executive </w:t>
      </w:r>
      <w:del w:id="400" w:author="svcMRProcess" w:date="2015-12-15T15:53:00Z">
        <w:r>
          <w:rPr>
            <w:snapToGrid w:val="0"/>
          </w:rPr>
          <w:delText>officer</w:delText>
        </w:r>
        <w:bookmarkEnd w:id="392"/>
        <w:r>
          <w:rPr>
            <w:snapToGrid w:val="0"/>
          </w:rPr>
          <w:delText xml:space="preserve"> </w:delText>
        </w:r>
      </w:del>
      <w:ins w:id="401" w:author="svcMRProcess" w:date="2015-12-15T15:53:00Z">
        <w:r>
          <w:rPr>
            <w:snapToGrid w:val="0"/>
          </w:rPr>
          <w:t>officer</w:t>
        </w:r>
        <w:bookmarkEnd w:id="393"/>
        <w:bookmarkEnd w:id="394"/>
        <w:bookmarkEnd w:id="395"/>
        <w:bookmarkEnd w:id="396"/>
        <w:r>
          <w:rPr>
            <w:snapToGrid w:val="0"/>
          </w:rPr>
          <w:t>’s powers</w:t>
        </w:r>
      </w:ins>
      <w:bookmarkEnd w:id="397"/>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402" w:name="_Toc411743934"/>
      <w:bookmarkStart w:id="403" w:name="_Toc535828861"/>
      <w:bookmarkStart w:id="404" w:name="_Toc536343691"/>
      <w:bookmarkStart w:id="405" w:name="_Toc102961916"/>
      <w:bookmarkStart w:id="406" w:name="_Toc284929816"/>
      <w:bookmarkStart w:id="407" w:name="_Toc278982358"/>
      <w:r>
        <w:rPr>
          <w:rStyle w:val="CharSectno"/>
        </w:rPr>
        <w:t>27A</w:t>
      </w:r>
      <w:r>
        <w:rPr>
          <w:snapToGrid w:val="0"/>
        </w:rPr>
        <w:t>.</w:t>
      </w:r>
      <w:r>
        <w:rPr>
          <w:snapToGrid w:val="0"/>
        </w:rPr>
        <w:tab/>
        <w:t>Delegation</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408" w:name="_Toc411743935"/>
      <w:bookmarkStart w:id="409" w:name="_Toc535828862"/>
      <w:bookmarkStart w:id="410" w:name="_Toc536343692"/>
      <w:bookmarkStart w:id="411" w:name="_Toc102961917"/>
      <w:bookmarkStart w:id="412" w:name="_Toc284929817"/>
      <w:bookmarkStart w:id="413" w:name="_Toc278982359"/>
      <w:r>
        <w:rPr>
          <w:rStyle w:val="CharSectno"/>
        </w:rPr>
        <w:t>28</w:t>
      </w:r>
      <w:r>
        <w:rPr>
          <w:snapToGrid w:val="0"/>
        </w:rPr>
        <w:t>.</w:t>
      </w:r>
      <w:r>
        <w:rPr>
          <w:snapToGrid w:val="0"/>
        </w:rPr>
        <w:tab/>
        <w:t xml:space="preserve">Access to </w:t>
      </w:r>
      <w:ins w:id="414" w:author="svcMRProcess" w:date="2015-12-15T15:53:00Z">
        <w:r>
          <w:rPr>
            <w:snapToGrid w:val="0"/>
          </w:rPr>
          <w:t xml:space="preserve">places, </w:t>
        </w:r>
      </w:ins>
      <w:r>
        <w:rPr>
          <w:snapToGrid w:val="0"/>
        </w:rPr>
        <w:t>books etc.</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415" w:name="_Toc411743936"/>
      <w:bookmarkStart w:id="416" w:name="_Toc535828863"/>
      <w:bookmarkStart w:id="417" w:name="_Toc536343693"/>
      <w:bookmarkStart w:id="418" w:name="_Toc102961918"/>
      <w:bookmarkStart w:id="419" w:name="_Toc284929818"/>
      <w:bookmarkStart w:id="420" w:name="_Toc278982360"/>
      <w:r>
        <w:rPr>
          <w:rStyle w:val="CharSectno"/>
        </w:rPr>
        <w:t>29</w:t>
      </w:r>
      <w:r>
        <w:rPr>
          <w:snapToGrid w:val="0"/>
        </w:rPr>
        <w:t>.</w:t>
      </w:r>
      <w:r>
        <w:rPr>
          <w:snapToGrid w:val="0"/>
        </w:rPr>
        <w:tab/>
        <w:t>Inspector or authorised person may require information</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421" w:name="_Toc411743937"/>
      <w:bookmarkStart w:id="422" w:name="_Toc535828864"/>
      <w:bookmarkStart w:id="423" w:name="_Toc536343694"/>
      <w:bookmarkStart w:id="424" w:name="_Toc102961919"/>
      <w:bookmarkStart w:id="425" w:name="_Toc284929819"/>
      <w:bookmarkStart w:id="426" w:name="_Toc278982361"/>
      <w:r>
        <w:rPr>
          <w:rStyle w:val="CharSectno"/>
        </w:rPr>
        <w:t>30</w:t>
      </w:r>
      <w:r>
        <w:rPr>
          <w:snapToGrid w:val="0"/>
        </w:rPr>
        <w:t>.</w:t>
      </w:r>
      <w:r>
        <w:rPr>
          <w:snapToGrid w:val="0"/>
        </w:rPr>
        <w:tab/>
        <w:t xml:space="preserve">Obstructing </w:t>
      </w:r>
      <w:del w:id="427" w:author="svcMRProcess" w:date="2015-12-15T15:53:00Z">
        <w:r>
          <w:rPr>
            <w:snapToGrid w:val="0"/>
          </w:rPr>
          <w:delText>an</w:delText>
        </w:r>
      </w:del>
      <w:ins w:id="428" w:author="svcMRProcess" w:date="2015-12-15T15:53:00Z">
        <w:r>
          <w:rPr>
            <w:snapToGrid w:val="0"/>
          </w:rPr>
          <w:t>etc.</w:t>
        </w:r>
      </w:ins>
      <w:r>
        <w:rPr>
          <w:snapToGrid w:val="0"/>
        </w:rPr>
        <w:t xml:space="preserve"> inspector</w:t>
      </w:r>
      <w:ins w:id="429" w:author="svcMRProcess" w:date="2015-12-15T15:53:00Z">
        <w:r>
          <w:rPr>
            <w:snapToGrid w:val="0"/>
          </w:rPr>
          <w:t>, authorised person</w:t>
        </w:r>
      </w:ins>
      <w:r>
        <w:rPr>
          <w:snapToGrid w:val="0"/>
        </w:rPr>
        <w:t xml:space="preserve"> etc.</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ins w:id="430" w:author="svcMRProcess" w:date="2015-12-15T15:53:00Z">
        <w:r>
          <w:rPr>
            <w:snapToGrid w:val="0"/>
          </w:rPr>
          <w:t xml:space="preserve"> or</w:t>
        </w:r>
      </w:ins>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ins w:id="431" w:author="svcMRProcess" w:date="2015-12-15T15:53:00Z">
        <w:r>
          <w:rPr>
            <w:snapToGrid w:val="0"/>
          </w:rPr>
          <w:t xml:space="preserve"> or</w:t>
        </w:r>
      </w:ins>
    </w:p>
    <w:p>
      <w:pPr>
        <w:pStyle w:val="Indenta"/>
        <w:rPr>
          <w:snapToGrid w:val="0"/>
        </w:rPr>
      </w:pPr>
      <w:r>
        <w:rPr>
          <w:snapToGrid w:val="0"/>
        </w:rPr>
        <w:tab/>
        <w:t>(c)</w:t>
      </w:r>
      <w:r>
        <w:rPr>
          <w:snapToGrid w:val="0"/>
        </w:rPr>
        <w:tab/>
        <w:t>fail to comply in any respect with the lawful request, requirement, direction or order of an inspector or authorised person;</w:t>
      </w:r>
      <w:ins w:id="432" w:author="svcMRProcess" w:date="2015-12-15T15:53:00Z">
        <w:r>
          <w:rPr>
            <w:snapToGrid w:val="0"/>
          </w:rPr>
          <w:t xml:space="preserve"> or</w:t>
        </w:r>
      </w:ins>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ins w:id="433" w:author="svcMRProcess" w:date="2015-12-15T15:53:00Z">
        <w:r>
          <w:rPr>
            <w:snapToGrid w:val="0"/>
          </w:rPr>
          <w:t xml:space="preserve"> or</w:t>
        </w:r>
      </w:ins>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ins w:id="434" w:author="svcMRProcess" w:date="2015-12-15T15:53:00Z">
        <w:r>
          <w:rPr>
            <w:snapToGrid w:val="0"/>
          </w:rPr>
          <w:t xml:space="preserve"> or</w:t>
        </w:r>
      </w:ins>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ins w:id="435" w:author="svcMRProcess" w:date="2015-12-15T15:53:00Z">
        <w:r>
          <w:rPr>
            <w:snapToGrid w:val="0"/>
          </w:rPr>
          <w:t xml:space="preserve"> or</w:t>
        </w:r>
      </w:ins>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436" w:name="_Toc411743938"/>
      <w:bookmarkStart w:id="437" w:name="_Toc535828865"/>
      <w:bookmarkStart w:id="438" w:name="_Toc536343695"/>
      <w:bookmarkStart w:id="439" w:name="_Toc102961920"/>
      <w:bookmarkStart w:id="440" w:name="_Toc284929820"/>
      <w:bookmarkStart w:id="441" w:name="_Toc278982362"/>
      <w:r>
        <w:rPr>
          <w:rStyle w:val="CharSectno"/>
        </w:rPr>
        <w:t>31</w:t>
      </w:r>
      <w:r>
        <w:rPr>
          <w:snapToGrid w:val="0"/>
        </w:rPr>
        <w:t>.</w:t>
      </w:r>
      <w:r>
        <w:rPr>
          <w:snapToGrid w:val="0"/>
        </w:rPr>
        <w:tab/>
        <w:t>Protection of person questioned</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del w:id="442" w:author="svcMRProcess" w:date="2015-12-15T15:53:00Z"/>
          <w:snapToGrid w:val="0"/>
        </w:rPr>
      </w:pPr>
      <w:bookmarkStart w:id="443" w:name="_Toc278982363"/>
      <w:bookmarkStart w:id="444" w:name="_Toc411743939"/>
      <w:bookmarkStart w:id="445" w:name="_Toc535828866"/>
      <w:bookmarkStart w:id="446" w:name="_Toc536343696"/>
      <w:bookmarkStart w:id="447" w:name="_Toc102961921"/>
      <w:bookmarkStart w:id="448" w:name="_Toc284929821"/>
      <w:del w:id="449" w:author="svcMRProcess" w:date="2015-12-15T15:53:00Z">
        <w:r>
          <w:rPr>
            <w:rStyle w:val="CharSectno"/>
          </w:rPr>
          <w:delText>32</w:delText>
        </w:r>
        <w:r>
          <w:rPr>
            <w:snapToGrid w:val="0"/>
          </w:rPr>
          <w:delText>.</w:delText>
        </w:r>
        <w:r>
          <w:rPr>
            <w:snapToGrid w:val="0"/>
          </w:rPr>
          <w:tab/>
          <w:delText>Secrecy</w:delText>
        </w:r>
        <w:bookmarkEnd w:id="443"/>
        <w:r>
          <w:rPr>
            <w:snapToGrid w:val="0"/>
          </w:rPr>
          <w:delText xml:space="preserve"> </w:delText>
        </w:r>
      </w:del>
    </w:p>
    <w:p>
      <w:pPr>
        <w:pStyle w:val="Heading5"/>
        <w:keepLines w:val="0"/>
        <w:spacing w:before="180"/>
        <w:rPr>
          <w:ins w:id="450" w:author="svcMRProcess" w:date="2015-12-15T15:53:00Z"/>
          <w:snapToGrid w:val="0"/>
        </w:rPr>
      </w:pPr>
      <w:ins w:id="451" w:author="svcMRProcess" w:date="2015-12-15T15:53:00Z">
        <w:r>
          <w:rPr>
            <w:rStyle w:val="CharSectno"/>
          </w:rPr>
          <w:t>32</w:t>
        </w:r>
        <w:r>
          <w:rPr>
            <w:snapToGrid w:val="0"/>
          </w:rPr>
          <w:t>.</w:t>
        </w:r>
        <w:r>
          <w:rPr>
            <w:snapToGrid w:val="0"/>
          </w:rPr>
          <w:tab/>
        </w:r>
        <w:bookmarkEnd w:id="444"/>
        <w:bookmarkEnd w:id="445"/>
        <w:bookmarkEnd w:id="446"/>
        <w:bookmarkEnd w:id="447"/>
        <w:r>
          <w:rPr>
            <w:snapToGrid w:val="0"/>
          </w:rPr>
          <w:t>Unauthorised disclosure of information</w:t>
        </w:r>
        <w:bookmarkEnd w:id="448"/>
      </w:ins>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452" w:name="_Toc411743940"/>
      <w:bookmarkStart w:id="453" w:name="_Toc535828867"/>
      <w:bookmarkStart w:id="454" w:name="_Toc536343697"/>
      <w:bookmarkStart w:id="455" w:name="_Toc102961922"/>
      <w:r>
        <w:tab/>
        <w:t>[Section 32 amended by No. 47 of 2006 s. 17.]</w:t>
      </w:r>
    </w:p>
    <w:p>
      <w:pPr>
        <w:pStyle w:val="Heading5"/>
        <w:rPr>
          <w:del w:id="456" w:author="svcMRProcess" w:date="2015-12-15T15:53:00Z"/>
          <w:snapToGrid w:val="0"/>
        </w:rPr>
      </w:pPr>
      <w:bookmarkStart w:id="457" w:name="_Toc278982364"/>
      <w:bookmarkStart w:id="458" w:name="_Toc284929822"/>
      <w:del w:id="459" w:author="svcMRProcess" w:date="2015-12-15T15:53:00Z">
        <w:r>
          <w:rPr>
            <w:rStyle w:val="CharSectno"/>
          </w:rPr>
          <w:delText>33</w:delText>
        </w:r>
        <w:r>
          <w:rPr>
            <w:snapToGrid w:val="0"/>
          </w:rPr>
          <w:delText>.</w:delText>
        </w:r>
        <w:r>
          <w:rPr>
            <w:snapToGrid w:val="0"/>
          </w:rPr>
          <w:tab/>
          <w:delText>False information</w:delText>
        </w:r>
        <w:bookmarkEnd w:id="457"/>
        <w:r>
          <w:rPr>
            <w:snapToGrid w:val="0"/>
          </w:rPr>
          <w:delText xml:space="preserve"> </w:delText>
        </w:r>
      </w:del>
    </w:p>
    <w:p>
      <w:pPr>
        <w:pStyle w:val="Heading5"/>
        <w:rPr>
          <w:ins w:id="460" w:author="svcMRProcess" w:date="2015-12-15T15:53:00Z"/>
          <w:snapToGrid w:val="0"/>
        </w:rPr>
      </w:pPr>
      <w:ins w:id="461" w:author="svcMRProcess" w:date="2015-12-15T15:53:00Z">
        <w:r>
          <w:rPr>
            <w:rStyle w:val="CharSectno"/>
          </w:rPr>
          <w:t>33</w:t>
        </w:r>
        <w:r>
          <w:rPr>
            <w:snapToGrid w:val="0"/>
          </w:rPr>
          <w:t>.</w:t>
        </w:r>
        <w:r>
          <w:rPr>
            <w:snapToGrid w:val="0"/>
          </w:rPr>
          <w:tab/>
        </w:r>
        <w:bookmarkEnd w:id="452"/>
        <w:bookmarkEnd w:id="453"/>
        <w:bookmarkEnd w:id="454"/>
        <w:bookmarkEnd w:id="455"/>
        <w:r>
          <w:rPr>
            <w:snapToGrid w:val="0"/>
          </w:rPr>
          <w:t>Offences as to dishonesty or damage</w:t>
        </w:r>
        <w:bookmarkEnd w:id="458"/>
      </w:ins>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ins w:id="462" w:author="svcMRProcess" w:date="2015-12-15T15:53:00Z">
        <w:r>
          <w:rPr>
            <w:snapToGrid w:val="0"/>
          </w:rPr>
          <w:t xml:space="preserve"> or</w:t>
        </w:r>
      </w:ins>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463" w:name="_Toc411743941"/>
      <w:bookmarkStart w:id="464" w:name="_Toc535828868"/>
      <w:bookmarkStart w:id="465" w:name="_Toc536343698"/>
      <w:bookmarkStart w:id="466" w:name="_Toc102961923"/>
      <w:r>
        <w:tab/>
        <w:t>[Section 33 amended by No. 47 of 2006 s. 17.]</w:t>
      </w:r>
    </w:p>
    <w:p>
      <w:pPr>
        <w:pStyle w:val="Heading5"/>
        <w:rPr>
          <w:del w:id="467" w:author="svcMRProcess" w:date="2015-12-15T15:53:00Z"/>
          <w:snapToGrid w:val="0"/>
        </w:rPr>
      </w:pPr>
      <w:bookmarkStart w:id="468" w:name="_Toc278982365"/>
      <w:bookmarkStart w:id="469" w:name="_Toc284929823"/>
      <w:del w:id="470" w:author="svcMRProcess" w:date="2015-12-15T15:53:00Z">
        <w:r>
          <w:rPr>
            <w:rStyle w:val="CharSectno"/>
          </w:rPr>
          <w:delText>34</w:delText>
        </w:r>
        <w:r>
          <w:rPr>
            <w:snapToGrid w:val="0"/>
          </w:rPr>
          <w:delText>.</w:delText>
        </w:r>
        <w:r>
          <w:rPr>
            <w:snapToGrid w:val="0"/>
          </w:rPr>
          <w:tab/>
          <w:delText>Vicarious liability</w:delText>
        </w:r>
        <w:bookmarkEnd w:id="468"/>
        <w:r>
          <w:rPr>
            <w:snapToGrid w:val="0"/>
          </w:rPr>
          <w:delText xml:space="preserve"> </w:delText>
        </w:r>
      </w:del>
    </w:p>
    <w:p>
      <w:pPr>
        <w:pStyle w:val="Heading5"/>
        <w:rPr>
          <w:ins w:id="471" w:author="svcMRProcess" w:date="2015-12-15T15:53:00Z"/>
          <w:snapToGrid w:val="0"/>
        </w:rPr>
      </w:pPr>
      <w:ins w:id="472" w:author="svcMRProcess" w:date="2015-12-15T15:53:00Z">
        <w:r>
          <w:rPr>
            <w:rStyle w:val="CharSectno"/>
          </w:rPr>
          <w:t>34</w:t>
        </w:r>
        <w:r>
          <w:rPr>
            <w:snapToGrid w:val="0"/>
          </w:rPr>
          <w:t>.</w:t>
        </w:r>
        <w:r>
          <w:rPr>
            <w:snapToGrid w:val="0"/>
          </w:rPr>
          <w:tab/>
          <w:t>Liability</w:t>
        </w:r>
        <w:bookmarkEnd w:id="463"/>
        <w:bookmarkEnd w:id="464"/>
        <w:bookmarkEnd w:id="465"/>
        <w:bookmarkEnd w:id="466"/>
        <w:r>
          <w:rPr>
            <w:snapToGrid w:val="0"/>
          </w:rPr>
          <w:t xml:space="preserve"> of directors etc. of bodies corporate</w:t>
        </w:r>
        <w:bookmarkEnd w:id="469"/>
      </w:ins>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473" w:name="_Toc411743942"/>
      <w:bookmarkStart w:id="474" w:name="_Toc535828869"/>
      <w:bookmarkStart w:id="475" w:name="_Toc536343699"/>
      <w:bookmarkStart w:id="476" w:name="_Toc102961924"/>
      <w:bookmarkStart w:id="477" w:name="_Toc284929824"/>
      <w:bookmarkStart w:id="478" w:name="_Toc278982366"/>
      <w:r>
        <w:rPr>
          <w:rStyle w:val="CharSectno"/>
        </w:rPr>
        <w:t>35</w:t>
      </w:r>
      <w:r>
        <w:rPr>
          <w:snapToGrid w:val="0"/>
        </w:rPr>
        <w:t>.</w:t>
      </w:r>
      <w:r>
        <w:rPr>
          <w:snapToGrid w:val="0"/>
        </w:rPr>
        <w:tab/>
      </w:r>
      <w:del w:id="479" w:author="svcMRProcess" w:date="2015-12-15T15:53:00Z">
        <w:r>
          <w:rPr>
            <w:snapToGrid w:val="0"/>
          </w:rPr>
          <w:delText>Printing</w:delText>
        </w:r>
      </w:del>
      <w:ins w:id="480" w:author="svcMRProcess" w:date="2015-12-15T15:53:00Z">
        <w:r>
          <w:rPr>
            <w:snapToGrid w:val="0"/>
          </w:rPr>
          <w:t>Records</w:t>
        </w:r>
        <w:bookmarkEnd w:id="473"/>
        <w:bookmarkEnd w:id="474"/>
        <w:bookmarkEnd w:id="475"/>
        <w:bookmarkEnd w:id="476"/>
        <w:r>
          <w:rPr>
            <w:snapToGrid w:val="0"/>
          </w:rPr>
          <w:t xml:space="preserve"> etc. for this Act, availability</w:t>
        </w:r>
      </w:ins>
      <w:r>
        <w:rPr>
          <w:snapToGrid w:val="0"/>
        </w:rPr>
        <w:t xml:space="preserve"> of</w:t>
      </w:r>
      <w:bookmarkEnd w:id="477"/>
      <w:del w:id="481" w:author="svcMRProcess" w:date="2015-12-15T15:53:00Z">
        <w:r>
          <w:rPr>
            <w:snapToGrid w:val="0"/>
          </w:rPr>
          <w:delText xml:space="preserve"> forms and records</w:delText>
        </w:r>
        <w:bookmarkEnd w:id="478"/>
        <w:r>
          <w:rPr>
            <w:snapToGrid w:val="0"/>
          </w:rPr>
          <w:delText xml:space="preserve"> </w:delText>
        </w:r>
      </w:del>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482" w:name="_Toc411743943"/>
      <w:bookmarkStart w:id="483" w:name="_Toc535828870"/>
      <w:bookmarkStart w:id="484" w:name="_Toc536343700"/>
      <w:bookmarkStart w:id="485" w:name="_Toc102961925"/>
      <w:bookmarkStart w:id="486" w:name="_Toc284929825"/>
      <w:bookmarkStart w:id="487" w:name="_Toc278982367"/>
      <w:r>
        <w:rPr>
          <w:rStyle w:val="CharSectno"/>
        </w:rPr>
        <w:t>36</w:t>
      </w:r>
      <w:r>
        <w:rPr>
          <w:snapToGrid w:val="0"/>
        </w:rPr>
        <w:t>.</w:t>
      </w:r>
      <w:r>
        <w:rPr>
          <w:snapToGrid w:val="0"/>
        </w:rPr>
        <w:tab/>
      </w:r>
      <w:bookmarkEnd w:id="482"/>
      <w:bookmarkEnd w:id="483"/>
      <w:bookmarkEnd w:id="484"/>
      <w:bookmarkEnd w:id="485"/>
      <w:ins w:id="488" w:author="svcMRProcess" w:date="2015-12-15T15:53:00Z">
        <w:r>
          <w:rPr>
            <w:snapToGrid w:val="0"/>
          </w:rPr>
          <w:t xml:space="preserve">Records etc. for this Act to be in </w:t>
        </w:r>
      </w:ins>
      <w:r>
        <w:rPr>
          <w:snapToGrid w:val="0"/>
        </w:rPr>
        <w:t>English</w:t>
      </w:r>
      <w:bookmarkEnd w:id="486"/>
      <w:del w:id="489" w:author="svcMRProcess" w:date="2015-12-15T15:53:00Z">
        <w:r>
          <w:rPr>
            <w:snapToGrid w:val="0"/>
          </w:rPr>
          <w:delText xml:space="preserve"> language to be used</w:delText>
        </w:r>
        <w:bookmarkEnd w:id="487"/>
        <w:r>
          <w:rPr>
            <w:snapToGrid w:val="0"/>
          </w:rPr>
          <w:delText xml:space="preserve"> </w:delText>
        </w:r>
      </w:del>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490" w:name="_Toc411743944"/>
      <w:bookmarkStart w:id="491" w:name="_Toc535828871"/>
      <w:bookmarkStart w:id="492" w:name="_Toc536343701"/>
      <w:bookmarkStart w:id="493" w:name="_Toc102961926"/>
      <w:bookmarkStart w:id="494" w:name="_Toc278982368"/>
      <w:bookmarkStart w:id="495" w:name="_Toc284929826"/>
      <w:r>
        <w:rPr>
          <w:rStyle w:val="CharSectno"/>
        </w:rPr>
        <w:t>37</w:t>
      </w:r>
      <w:r>
        <w:rPr>
          <w:snapToGrid w:val="0"/>
        </w:rPr>
        <w:t>.</w:t>
      </w:r>
      <w:r>
        <w:rPr>
          <w:snapToGrid w:val="0"/>
        </w:rPr>
        <w:tab/>
      </w:r>
      <w:bookmarkEnd w:id="490"/>
      <w:bookmarkEnd w:id="491"/>
      <w:bookmarkEnd w:id="492"/>
      <w:bookmarkEnd w:id="493"/>
      <w:del w:id="496" w:author="svcMRProcess" w:date="2015-12-15T15:53:00Z">
        <w:r>
          <w:rPr>
            <w:snapToGrid w:val="0"/>
          </w:rPr>
          <w:delText>Consent</w:delText>
        </w:r>
      </w:del>
      <w:ins w:id="497" w:author="svcMRProcess" w:date="2015-12-15T15:53:00Z">
        <w:r>
          <w:rPr>
            <w:snapToGrid w:val="0"/>
          </w:rPr>
          <w:t>Prosecutions</w:t>
        </w:r>
      </w:ins>
      <w:r>
        <w:rPr>
          <w:snapToGrid w:val="0"/>
        </w:rPr>
        <w:t xml:space="preserve"> of </w:t>
      </w:r>
      <w:del w:id="498" w:author="svcMRProcess" w:date="2015-12-15T15:53:00Z">
        <w:r>
          <w:rPr>
            <w:snapToGrid w:val="0"/>
          </w:rPr>
          <w:delText>the</w:delText>
        </w:r>
      </w:del>
      <w:ins w:id="499" w:author="svcMRProcess" w:date="2015-12-15T15:53:00Z">
        <w:r>
          <w:rPr>
            <w:snapToGrid w:val="0"/>
          </w:rPr>
          <w:t>offences need</w:t>
        </w:r>
      </w:ins>
      <w:r>
        <w:rPr>
          <w:snapToGrid w:val="0"/>
        </w:rPr>
        <w:t xml:space="preserve"> chief executive </w:t>
      </w:r>
      <w:del w:id="500" w:author="svcMRProcess" w:date="2015-12-15T15:53:00Z">
        <w:r>
          <w:rPr>
            <w:snapToGrid w:val="0"/>
          </w:rPr>
          <w:delText>officer</w:delText>
        </w:r>
        <w:bookmarkEnd w:id="494"/>
        <w:r>
          <w:rPr>
            <w:snapToGrid w:val="0"/>
          </w:rPr>
          <w:delText xml:space="preserve"> </w:delText>
        </w:r>
      </w:del>
      <w:ins w:id="501" w:author="svcMRProcess" w:date="2015-12-15T15:53:00Z">
        <w:r>
          <w:rPr>
            <w:snapToGrid w:val="0"/>
          </w:rPr>
          <w:t>officer’s consent</w:t>
        </w:r>
      </w:ins>
      <w:bookmarkEnd w:id="495"/>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502" w:name="_Toc411743945"/>
      <w:bookmarkStart w:id="503" w:name="_Toc535828872"/>
      <w:bookmarkStart w:id="504" w:name="_Toc536343702"/>
      <w:bookmarkStart w:id="505" w:name="_Toc102961927"/>
      <w:bookmarkStart w:id="506" w:name="_Toc284929827"/>
      <w:bookmarkStart w:id="507" w:name="_Toc278982369"/>
      <w:r>
        <w:rPr>
          <w:rStyle w:val="CharSectno"/>
        </w:rPr>
        <w:t>38</w:t>
      </w:r>
      <w:r>
        <w:rPr>
          <w:snapToGrid w:val="0"/>
        </w:rPr>
        <w:t>.</w:t>
      </w:r>
      <w:r>
        <w:rPr>
          <w:snapToGrid w:val="0"/>
        </w:rPr>
        <w:tab/>
        <w:t>Protection of officers, members and others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508" w:name="_Toc411743946"/>
      <w:bookmarkStart w:id="509" w:name="_Toc535828873"/>
      <w:bookmarkStart w:id="510" w:name="_Toc536343703"/>
      <w:bookmarkStart w:id="511" w:name="_Toc102961928"/>
      <w:bookmarkStart w:id="512" w:name="_Toc278982370"/>
      <w:bookmarkStart w:id="513" w:name="_Toc284929828"/>
      <w:r>
        <w:rPr>
          <w:rStyle w:val="CharSectno"/>
        </w:rPr>
        <w:t>39</w:t>
      </w:r>
      <w:r>
        <w:rPr>
          <w:snapToGrid w:val="0"/>
        </w:rPr>
        <w:t>.</w:t>
      </w:r>
      <w:r>
        <w:rPr>
          <w:snapToGrid w:val="0"/>
        </w:rPr>
        <w:tab/>
        <w:t>Evidentiary</w:t>
      </w:r>
      <w:bookmarkEnd w:id="508"/>
      <w:bookmarkEnd w:id="509"/>
      <w:bookmarkEnd w:id="510"/>
      <w:bookmarkEnd w:id="511"/>
      <w:bookmarkEnd w:id="512"/>
      <w:r>
        <w:rPr>
          <w:snapToGrid w:val="0"/>
        </w:rPr>
        <w:t xml:space="preserve"> </w:t>
      </w:r>
      <w:ins w:id="514" w:author="svcMRProcess" w:date="2015-12-15T15:53:00Z">
        <w:r>
          <w:rPr>
            <w:snapToGrid w:val="0"/>
          </w:rPr>
          <w:t>provisions</w:t>
        </w:r>
      </w:ins>
      <w:bookmarkEnd w:id="513"/>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ins w:id="515" w:author="svcMRProcess" w:date="2015-12-15T15:53:00Z">
        <w:r>
          <w:rPr>
            <w:snapToGrid w:val="0"/>
          </w:rPr>
          <w:t xml:space="preserve"> and</w:t>
        </w:r>
      </w:ins>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ins w:id="516" w:author="svcMRProcess" w:date="2015-12-15T15:53:00Z">
        <w:r>
          <w:rPr>
            <w:snapToGrid w:val="0"/>
          </w:rPr>
          <w:t xml:space="preserve"> and</w:t>
        </w:r>
      </w:ins>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ins w:id="517" w:author="svcMRProcess" w:date="2015-12-15T15:53:00Z">
        <w:r>
          <w:rPr>
            <w:snapToGrid w:val="0"/>
          </w:rPr>
          <w:t xml:space="preserve"> and</w:t>
        </w:r>
      </w:ins>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ins w:id="518" w:author="svcMRProcess" w:date="2015-12-15T15:53:00Z">
        <w:r>
          <w:rPr>
            <w:snapToGrid w:val="0"/>
          </w:rPr>
          <w:t xml:space="preserve"> and</w:t>
        </w:r>
      </w:ins>
    </w:p>
    <w:p>
      <w:pPr>
        <w:pStyle w:val="Indenta"/>
        <w:rPr>
          <w:snapToGrid w:val="0"/>
        </w:rPr>
      </w:pPr>
      <w:r>
        <w:rPr>
          <w:snapToGrid w:val="0"/>
        </w:rPr>
        <w:tab/>
        <w:t>(e)</w:t>
      </w:r>
      <w:r>
        <w:rPr>
          <w:snapToGrid w:val="0"/>
        </w:rPr>
        <w:tab/>
        <w:t>evidence of a person being found in any shop is proof that the person was employed therein unless the contrary is proved;</w:t>
      </w:r>
      <w:ins w:id="519" w:author="svcMRProcess" w:date="2015-12-15T15:53:00Z">
        <w:r>
          <w:rPr>
            <w:snapToGrid w:val="0"/>
          </w:rPr>
          <w:t xml:space="preserve"> and</w:t>
        </w:r>
      </w:ins>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ins w:id="520" w:author="svcMRProcess" w:date="2015-12-15T15:53:00Z">
        <w:r>
          <w:rPr>
            <w:snapToGrid w:val="0"/>
          </w:rPr>
          <w:t xml:space="preserve"> and</w:t>
        </w:r>
      </w:ins>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521" w:name="_Toc411743947"/>
      <w:bookmarkStart w:id="522" w:name="_Toc535828874"/>
      <w:bookmarkStart w:id="523" w:name="_Toc536343704"/>
      <w:bookmarkStart w:id="524" w:name="_Toc102961929"/>
      <w:bookmarkStart w:id="525" w:name="_Toc284929829"/>
      <w:bookmarkStart w:id="526" w:name="_Toc278982371"/>
      <w:r>
        <w:rPr>
          <w:rStyle w:val="CharSectno"/>
        </w:rPr>
        <w:t>40</w:t>
      </w:r>
      <w:r>
        <w:rPr>
          <w:snapToGrid w:val="0"/>
        </w:rPr>
        <w:t>.</w:t>
      </w:r>
      <w:r>
        <w:rPr>
          <w:snapToGrid w:val="0"/>
        </w:rPr>
        <w:tab/>
        <w:t>Regulations</w:t>
      </w:r>
      <w:bookmarkEnd w:id="521"/>
      <w:bookmarkEnd w:id="522"/>
      <w:bookmarkEnd w:id="523"/>
      <w:bookmarkEnd w:id="524"/>
      <w:bookmarkEnd w:id="525"/>
      <w:bookmarkEnd w:id="526"/>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527" w:name="_Toc166554201"/>
      <w:bookmarkStart w:id="528" w:name="_Toc284929830"/>
      <w:bookmarkStart w:id="529" w:name="_Toc278982372"/>
      <w:bookmarkStart w:id="530" w:name="_Toc411743949"/>
      <w:bookmarkStart w:id="531" w:name="_Toc535828876"/>
      <w:bookmarkStart w:id="532" w:name="_Toc536343706"/>
      <w:bookmarkStart w:id="533" w:name="_Toc102961931"/>
      <w:r>
        <w:rPr>
          <w:rStyle w:val="CharSectno"/>
        </w:rPr>
        <w:t>41</w:t>
      </w:r>
      <w:r>
        <w:t>.</w:t>
      </w:r>
      <w:r>
        <w:tab/>
      </w:r>
      <w:del w:id="534" w:author="svcMRProcess" w:date="2015-12-15T15:53:00Z">
        <w:r>
          <w:delText>Minister to review and report on</w:delText>
        </w:r>
      </w:del>
      <w:ins w:id="535" w:author="svcMRProcess" w:date="2015-12-15T15:53:00Z">
        <w:r>
          <w:t>Review of</w:t>
        </w:r>
      </w:ins>
      <w:r>
        <w:t xml:space="preserve"> Act</w:t>
      </w:r>
      <w:bookmarkEnd w:id="527"/>
      <w:bookmarkEnd w:id="528"/>
      <w:bookmarkEnd w:id="529"/>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536" w:name="_Toc284929831"/>
      <w:bookmarkStart w:id="537" w:name="_Toc278982373"/>
      <w:r>
        <w:rPr>
          <w:rStyle w:val="CharSectno"/>
        </w:rPr>
        <w:t>42</w:t>
      </w:r>
      <w:r>
        <w:rPr>
          <w:snapToGrid w:val="0"/>
        </w:rPr>
        <w:t>.</w:t>
      </w:r>
      <w:r>
        <w:rPr>
          <w:snapToGrid w:val="0"/>
        </w:rPr>
        <w:tab/>
        <w:t>Savings</w:t>
      </w:r>
      <w:bookmarkEnd w:id="530"/>
      <w:bookmarkEnd w:id="531"/>
      <w:bookmarkEnd w:id="532"/>
      <w:bookmarkEnd w:id="533"/>
      <w:bookmarkEnd w:id="536"/>
      <w:bookmarkEnd w:id="537"/>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del w:id="538" w:author="svcMRProcess" w:date="2015-12-15T15:53:00Z">
        <w:r>
          <w:rPr>
            <w:snapToGrid w:val="0"/>
            <w:vertAlign w:val="superscript"/>
          </w:rPr>
          <w:delText>3</w:delText>
        </w:r>
      </w:del>
      <w:ins w:id="539" w:author="svcMRProcess" w:date="2015-12-15T15:53:00Z">
        <w:r>
          <w:rPr>
            <w:snapToGrid w:val="0"/>
            <w:vertAlign w:val="superscript"/>
          </w:rPr>
          <w:t>2</w:t>
        </w:r>
      </w:ins>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ins w:id="540" w:author="svcMRProcess" w:date="2015-12-15T15:53:00Z">
        <w:r>
          <w:rPr>
            <w:vertAlign w:val="superscript"/>
          </w:rPr>
          <w:t> 1</w:t>
        </w:r>
      </w:ins>
      <w:r>
        <w:t>.</w:t>
      </w:r>
    </w:p>
    <w:p>
      <w:pPr>
        <w:pStyle w:val="Footnotesection"/>
      </w:pPr>
      <w:r>
        <w:tab/>
        <w:t xml:space="preserve">[Section 42 amended by No. 73 of 1994 s. 4.] </w:t>
      </w:r>
    </w:p>
    <w:p>
      <w:pPr>
        <w:pStyle w:val="Ednotesection"/>
      </w:pPr>
      <w:r>
        <w:t>[</w:t>
      </w:r>
      <w:r>
        <w:rPr>
          <w:b/>
          <w:bCs/>
        </w:rPr>
        <w:t>43.</w:t>
      </w:r>
      <w:r>
        <w:tab/>
        <w:t>Deleted by No. 47 of 2006 s. 15.]</w:t>
      </w:r>
    </w:p>
    <w:p>
      <w:pPr>
        <w:rPr>
          <w:ins w:id="541" w:author="svcMRProcess" w:date="2015-12-15T15:53:00Z"/>
        </w:rPr>
      </w:pPr>
    </w:p>
    <w:p>
      <w:pPr>
        <w:pStyle w:val="CentredBaseLine"/>
        <w:jc w:val="center"/>
        <w:rPr>
          <w:ins w:id="542" w:author="svcMRProcess" w:date="2015-12-15T15:53:00Z"/>
        </w:rPr>
      </w:pPr>
      <w:ins w:id="543" w:author="svcMRProcess" w:date="2015-12-15T15:5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544" w:name="UpToHere"/>
      <w:bookmarkStart w:id="545" w:name="_Toc90440105"/>
      <w:bookmarkStart w:id="546" w:name="_Toc96939375"/>
      <w:bookmarkStart w:id="547" w:name="_Toc102961933"/>
      <w:bookmarkStart w:id="548" w:name="_Toc147910204"/>
      <w:bookmarkStart w:id="549" w:name="_Toc147912292"/>
      <w:bookmarkStart w:id="550" w:name="_Toc166298053"/>
      <w:bookmarkStart w:id="551" w:name="_Toc166668621"/>
      <w:bookmarkStart w:id="552" w:name="_Toc179868196"/>
      <w:bookmarkStart w:id="553" w:name="_Toc179873015"/>
      <w:bookmarkStart w:id="554" w:name="_Toc179873071"/>
      <w:bookmarkStart w:id="555" w:name="_Toc232398985"/>
      <w:bookmarkStart w:id="556" w:name="_Toc241285943"/>
      <w:bookmarkStart w:id="557" w:name="_Toc266356308"/>
      <w:bookmarkStart w:id="558" w:name="_Toc272927782"/>
      <w:bookmarkStart w:id="559" w:name="_Toc272927849"/>
      <w:bookmarkStart w:id="560" w:name="_Toc274311604"/>
      <w:bookmarkStart w:id="561" w:name="_Toc275513793"/>
      <w:bookmarkStart w:id="562" w:name="_Toc278374726"/>
      <w:bookmarkStart w:id="563" w:name="_Toc278374784"/>
      <w:bookmarkStart w:id="564" w:name="_Toc278450721"/>
      <w:bookmarkStart w:id="565" w:name="_Toc284410487"/>
      <w:bookmarkStart w:id="566" w:name="_Toc284491936"/>
      <w:bookmarkStart w:id="567" w:name="_Toc284926084"/>
      <w:bookmarkStart w:id="568" w:name="_Toc284928448"/>
      <w:bookmarkStart w:id="569" w:name="_Toc284929832"/>
      <w:bookmarkStart w:id="570" w:name="_Toc278982374"/>
      <w:bookmarkEnd w:id="544"/>
      <w:r>
        <w:t>Notes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w:t>
      </w:r>
      <w:ins w:id="571" w:author="svcMRProcess" w:date="2015-12-15T15:53:00Z">
        <w:r>
          <w:rPr>
            <w:snapToGrid w:val="0"/>
          </w:rPr>
          <w:t xml:space="preserve">reprint </w:t>
        </w:r>
      </w:ins>
      <w:r>
        <w:rPr>
          <w:snapToGrid w:val="0"/>
        </w:rPr>
        <w:t>is a compilation</w:t>
      </w:r>
      <w:ins w:id="572" w:author="svcMRProcess" w:date="2015-12-15T15:53:00Z">
        <w:r>
          <w:rPr>
            <w:snapToGrid w:val="0"/>
          </w:rPr>
          <w:t xml:space="preserve"> as at 4 February 2011</w:t>
        </w:r>
      </w:ins>
      <w:r>
        <w:rPr>
          <w:snapToGrid w:val="0"/>
        </w:rPr>
        <w:t xml:space="preserve">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573" w:name="_Toc284929833"/>
      <w:bookmarkStart w:id="574" w:name="_Toc278982375"/>
      <w:r>
        <w:t>Compilation table</w:t>
      </w:r>
      <w:bookmarkEnd w:id="573"/>
      <w:bookmarkEnd w:id="57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w:t>
            </w:r>
            <w:del w:id="575" w:author="svcMRProcess" w:date="2015-12-15T15:53:00Z">
              <w:r>
                <w:rPr>
                  <w:sz w:val="19"/>
                </w:rPr>
                <w:delText xml:space="preserve"> </w:delText>
              </w:r>
            </w:del>
            <w:ins w:id="576" w:author="svcMRProcess" w:date="2015-12-15T15:53:00Z">
              <w:r>
                <w:rPr>
                  <w:sz w:val="19"/>
                </w:rPr>
                <w:t> </w:t>
              </w:r>
            </w:ins>
            <w:r>
              <w:rPr>
                <w:sz w:val="19"/>
              </w:rPr>
              <w:t>1987;</w:t>
            </w:r>
            <w:r>
              <w:rPr>
                <w:sz w:val="19"/>
              </w:rPr>
              <w:br/>
              <w:t>Act other than s.</w:t>
            </w:r>
            <w:del w:id="577" w:author="svcMRProcess" w:date="2015-12-15T15:53:00Z">
              <w:r>
                <w:rPr>
                  <w:sz w:val="19"/>
                </w:rPr>
                <w:delText xml:space="preserve"> </w:delText>
              </w:r>
            </w:del>
            <w:ins w:id="578" w:author="svcMRProcess" w:date="2015-12-15T15:53:00Z">
              <w:r>
                <w:rPr>
                  <w:sz w:val="19"/>
                </w:rPr>
                <w:t> </w:t>
              </w:r>
            </w:ins>
            <w:r>
              <w:rPr>
                <w:sz w:val="19"/>
              </w:rPr>
              <w:t xml:space="preserve">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del w:id="579" w:author="svcMRProcess" w:date="2015-12-15T15:53:00Z">
              <w:r>
                <w:rPr>
                  <w:snapToGrid w:val="0"/>
                  <w:sz w:val="19"/>
                  <w:vertAlign w:val="superscript"/>
                  <w:lang w:val="en-US"/>
                </w:rPr>
                <w:delText>4</w:delText>
              </w:r>
            </w:del>
            <w:ins w:id="580" w:author="svcMRProcess" w:date="2015-12-15T15:53:00Z">
              <w:r>
                <w:rPr>
                  <w:snapToGrid w:val="0"/>
                  <w:sz w:val="19"/>
                  <w:vertAlign w:val="superscript"/>
                  <w:lang w:val="en-US"/>
                </w:rPr>
                <w:t>3</w:t>
              </w:r>
            </w:ins>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w:t>
            </w:r>
            <w:del w:id="581" w:author="svcMRProcess" w:date="2015-12-15T15:53:00Z">
              <w:r>
                <w:rPr>
                  <w:b/>
                  <w:sz w:val="19"/>
                </w:rPr>
                <w:delText xml:space="preserve"> </w:delText>
              </w:r>
            </w:del>
            <w:ins w:id="582" w:author="svcMRProcess" w:date="2015-12-15T15:53:00Z">
              <w:r>
                <w:rPr>
                  <w:b/>
                  <w:sz w:val="19"/>
                </w:rPr>
                <w:t> </w:t>
              </w:r>
            </w:ins>
            <w:r>
              <w:rPr>
                <w:b/>
                <w:sz w:val="19"/>
              </w:rPr>
              <w:t>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w:t>
            </w:r>
            <w:del w:id="583" w:author="svcMRProcess" w:date="2015-12-15T15:53:00Z">
              <w:r>
                <w:rPr>
                  <w:snapToGrid w:val="0"/>
                  <w:sz w:val="19"/>
                  <w:lang w:val="en-US"/>
                </w:rPr>
                <w:delText xml:space="preserve"> </w:delText>
              </w:r>
            </w:del>
            <w:ins w:id="584" w:author="svcMRProcess" w:date="2015-12-15T15:53:00Z">
              <w:r>
                <w:rPr>
                  <w:snapToGrid w:val="0"/>
                  <w:sz w:val="19"/>
                  <w:lang w:val="en-US"/>
                </w:rPr>
                <w:t> </w:t>
              </w:r>
            </w:ins>
            <w:r>
              <w:rPr>
                <w:snapToGrid w:val="0"/>
                <w:sz w:val="19"/>
                <w:lang w:val="en-US"/>
              </w:rPr>
              <w:t>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w:t>
            </w:r>
            <w:del w:id="585" w:author="svcMRProcess" w:date="2015-12-15T15:53:00Z">
              <w:r>
                <w:rPr>
                  <w:snapToGrid w:val="0"/>
                  <w:sz w:val="19"/>
                  <w:lang w:val="en-US"/>
                </w:rPr>
                <w:delText xml:space="preserve"> </w:delText>
              </w:r>
            </w:del>
            <w:ins w:id="586" w:author="svcMRProcess" w:date="2015-12-15T15:53:00Z">
              <w:r>
                <w:rPr>
                  <w:snapToGrid w:val="0"/>
                  <w:sz w:val="19"/>
                  <w:lang w:val="en-US"/>
                </w:rPr>
                <w:t> </w:t>
              </w:r>
            </w:ins>
            <w:r>
              <w:rPr>
                <w:snapToGrid w:val="0"/>
                <w:sz w:val="19"/>
                <w:lang w:val="en-US"/>
              </w:rPr>
              <w:t>2008</w:t>
            </w:r>
          </w:p>
        </w:tc>
        <w:tc>
          <w:tcPr>
            <w:tcW w:w="2552" w:type="dxa"/>
          </w:tcPr>
          <w:p>
            <w:pPr>
              <w:pStyle w:val="nTable"/>
              <w:spacing w:after="40"/>
              <w:rPr>
                <w:snapToGrid w:val="0"/>
                <w:sz w:val="19"/>
                <w:lang w:val="en-US"/>
              </w:rPr>
            </w:pPr>
            <w:r>
              <w:rPr>
                <w:snapToGrid w:val="0"/>
                <w:sz w:val="19"/>
                <w:lang w:val="en-US"/>
              </w:rPr>
              <w:t>10 Jun</w:t>
            </w:r>
            <w:del w:id="587" w:author="svcMRProcess" w:date="2015-12-15T15:53:00Z">
              <w:r>
                <w:rPr>
                  <w:snapToGrid w:val="0"/>
                  <w:sz w:val="19"/>
                  <w:lang w:val="en-US"/>
                </w:rPr>
                <w:delText xml:space="preserve"> </w:delText>
              </w:r>
            </w:del>
            <w:ins w:id="588" w:author="svcMRProcess" w:date="2015-12-15T15:53:00Z">
              <w:r>
                <w:rPr>
                  <w:snapToGrid w:val="0"/>
                  <w:sz w:val="19"/>
                  <w:lang w:val="en-US"/>
                </w:rPr>
                <w:t> </w:t>
              </w:r>
            </w:ins>
            <w:r>
              <w:rPr>
                <w:snapToGrid w:val="0"/>
                <w:sz w:val="19"/>
                <w:lang w:val="en-US"/>
              </w:rPr>
              <w:t>2009 (see s. 2(2))</w:t>
            </w:r>
          </w:p>
        </w:tc>
      </w:tr>
      <w:tr>
        <w:trPr>
          <w:cantSplit/>
        </w:trPr>
        <w:tc>
          <w:tcPr>
            <w:tcW w:w="2269" w:type="dxa"/>
          </w:tcPr>
          <w:p>
            <w:pPr>
              <w:pStyle w:val="nTable"/>
              <w:spacing w:after="40"/>
              <w:rPr>
                <w:iCs/>
                <w:snapToGrid w:val="0"/>
                <w:sz w:val="19"/>
              </w:rPr>
            </w:pPr>
            <w:r>
              <w:rPr>
                <w:i/>
                <w:snapToGrid w:val="0"/>
                <w:sz w:val="19"/>
              </w:rPr>
              <w:t>Acts Amendment (Bankruptcy) Act</w:t>
            </w:r>
            <w:del w:id="589" w:author="svcMRProcess" w:date="2015-12-15T15:53:00Z">
              <w:r>
                <w:rPr>
                  <w:i/>
                  <w:snapToGrid w:val="0"/>
                  <w:sz w:val="19"/>
                </w:rPr>
                <w:delText xml:space="preserve"> </w:delText>
              </w:r>
            </w:del>
            <w:ins w:id="590" w:author="svcMRProcess" w:date="2015-12-15T15:53:00Z">
              <w:r>
                <w:rPr>
                  <w:i/>
                  <w:snapToGrid w:val="0"/>
                  <w:sz w:val="19"/>
                </w:rPr>
                <w:t> </w:t>
              </w:r>
            </w:ins>
            <w:r>
              <w:rPr>
                <w:i/>
                <w:snapToGrid w:val="0"/>
                <w:sz w:val="19"/>
              </w:rPr>
              <w:t>2009</w:t>
            </w:r>
            <w:r>
              <w:rPr>
                <w:iCs/>
                <w:snapToGrid w:val="0"/>
                <w:sz w:val="19"/>
              </w:rPr>
              <w:t xml:space="preserve"> s.</w:t>
            </w:r>
            <w:del w:id="591" w:author="svcMRProcess" w:date="2015-12-15T15:53:00Z">
              <w:r>
                <w:rPr>
                  <w:iCs/>
                  <w:snapToGrid w:val="0"/>
                  <w:sz w:val="19"/>
                </w:rPr>
                <w:delText xml:space="preserve"> </w:delText>
              </w:r>
            </w:del>
            <w:ins w:id="592" w:author="svcMRProcess" w:date="2015-12-15T15:53:00Z">
              <w:r>
                <w:rPr>
                  <w:iCs/>
                  <w:snapToGrid w:val="0"/>
                  <w:sz w:val="19"/>
                </w:rPr>
                <w:t> </w:t>
              </w:r>
            </w:ins>
            <w:r>
              <w:rPr>
                <w:iCs/>
                <w:snapToGrid w:val="0"/>
                <w:sz w:val="19"/>
              </w:rPr>
              <w:t>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593" w:author="svcMRProcess" w:date="2015-12-15T15:53:00Z">
              <w:r>
                <w:rPr>
                  <w:sz w:val="19"/>
                </w:rPr>
                <w:delText xml:space="preserve"> </w:delText>
              </w:r>
            </w:del>
            <w:ins w:id="594" w:author="svcMRProcess" w:date="2015-12-15T15:53:00Z">
              <w:r>
                <w:rPr>
                  <w:sz w:val="19"/>
                </w:rPr>
                <w:t> </w:t>
              </w:r>
            </w:ins>
            <w:r>
              <w:rPr>
                <w:sz w:val="19"/>
              </w:rPr>
              <w:t>Sep 2009</w:t>
            </w:r>
          </w:p>
        </w:tc>
        <w:tc>
          <w:tcPr>
            <w:tcW w:w="2552" w:type="dxa"/>
          </w:tcPr>
          <w:p>
            <w:pPr>
              <w:pStyle w:val="nTable"/>
              <w:spacing w:after="40"/>
              <w:rPr>
                <w:sz w:val="19"/>
              </w:rPr>
            </w:pPr>
            <w:r>
              <w:rPr>
                <w:sz w:val="19"/>
              </w:rPr>
              <w:t>17</w:t>
            </w:r>
            <w:del w:id="595" w:author="svcMRProcess" w:date="2015-12-15T15:53:00Z">
              <w:r>
                <w:rPr>
                  <w:sz w:val="19"/>
                </w:rPr>
                <w:delText xml:space="preserve"> </w:delText>
              </w:r>
            </w:del>
            <w:ins w:id="596" w:author="svcMRProcess" w:date="2015-12-15T15:53:00Z">
              <w:r>
                <w:rPr>
                  <w:sz w:val="19"/>
                </w:rPr>
                <w:t> </w:t>
              </w:r>
            </w:ins>
            <w:r>
              <w:rPr>
                <w:sz w:val="19"/>
              </w:rPr>
              <w:t>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w:t>
            </w:r>
            <w:del w:id="597" w:author="svcMRProcess" w:date="2015-12-15T15:53:00Z">
              <w:r>
                <w:rPr>
                  <w:sz w:val="19"/>
                </w:rPr>
                <w:delText xml:space="preserve"> </w:delText>
              </w:r>
            </w:del>
            <w:ins w:id="598" w:author="svcMRProcess" w:date="2015-12-15T15:53:00Z">
              <w:r>
                <w:rPr>
                  <w:sz w:val="19"/>
                </w:rPr>
                <w:t> </w:t>
              </w:r>
            </w:ins>
            <w:r>
              <w:rPr>
                <w:sz w:val="19"/>
              </w:rPr>
              <w:t>Jul</w:t>
            </w:r>
            <w:del w:id="599" w:author="svcMRProcess" w:date="2015-12-15T15:53:00Z">
              <w:r>
                <w:rPr>
                  <w:sz w:val="19"/>
                </w:rPr>
                <w:delText xml:space="preserve"> </w:delText>
              </w:r>
            </w:del>
            <w:ins w:id="600" w:author="svcMRProcess" w:date="2015-12-15T15:53:00Z">
              <w:r>
                <w:rPr>
                  <w:sz w:val="19"/>
                </w:rPr>
                <w:t> </w:t>
              </w:r>
            </w:ins>
            <w:r>
              <w:rPr>
                <w:sz w:val="19"/>
              </w:rPr>
              <w:t>2010</w:t>
            </w:r>
          </w:p>
        </w:tc>
        <w:tc>
          <w:tcPr>
            <w:tcW w:w="2552" w:type="dxa"/>
          </w:tcPr>
          <w:p>
            <w:pPr>
              <w:pStyle w:val="nTable"/>
              <w:spacing w:after="40"/>
              <w:rPr>
                <w:sz w:val="19"/>
              </w:rPr>
            </w:pPr>
            <w:r>
              <w:rPr>
                <w:snapToGrid w:val="0"/>
                <w:spacing w:val="-2"/>
                <w:sz w:val="19"/>
                <w:lang w:val="en-US"/>
              </w:rPr>
              <w:t>s.</w:t>
            </w:r>
            <w:del w:id="601" w:author="svcMRProcess" w:date="2015-12-15T15:53:00Z">
              <w:r>
                <w:rPr>
                  <w:snapToGrid w:val="0"/>
                  <w:spacing w:val="-2"/>
                  <w:sz w:val="19"/>
                  <w:lang w:val="en-US"/>
                </w:rPr>
                <w:delText xml:space="preserve"> </w:delText>
              </w:r>
            </w:del>
            <w:ins w:id="602" w:author="svcMRProcess" w:date="2015-12-15T15:53:00Z">
              <w:r>
                <w:rPr>
                  <w:snapToGrid w:val="0"/>
                  <w:spacing w:val="-2"/>
                  <w:sz w:val="19"/>
                  <w:lang w:val="en-US"/>
                </w:rPr>
                <w:t> </w:t>
              </w:r>
            </w:ins>
            <w:r>
              <w:rPr>
                <w:snapToGrid w:val="0"/>
                <w:spacing w:val="-2"/>
                <w:sz w:val="19"/>
                <w:lang w:val="en-US"/>
              </w:rPr>
              <w:t>1 and 2: 7</w:t>
            </w:r>
            <w:del w:id="603" w:author="svcMRProcess" w:date="2015-12-15T15:53:00Z">
              <w:r>
                <w:rPr>
                  <w:snapToGrid w:val="0"/>
                  <w:spacing w:val="-2"/>
                  <w:sz w:val="19"/>
                  <w:lang w:val="en-US"/>
                </w:rPr>
                <w:delText xml:space="preserve"> </w:delText>
              </w:r>
            </w:del>
            <w:ins w:id="604" w:author="svcMRProcess" w:date="2015-12-15T15:53:00Z">
              <w:r>
                <w:rPr>
                  <w:snapToGrid w:val="0"/>
                  <w:spacing w:val="-2"/>
                  <w:sz w:val="19"/>
                  <w:lang w:val="en-US"/>
                </w:rPr>
                <w:t> </w:t>
              </w:r>
            </w:ins>
            <w:r>
              <w:rPr>
                <w:snapToGrid w:val="0"/>
                <w:spacing w:val="-2"/>
                <w:sz w:val="19"/>
                <w:lang w:val="en-US"/>
              </w:rPr>
              <w:t>Jul</w:t>
            </w:r>
            <w:del w:id="605" w:author="svcMRProcess" w:date="2015-12-15T15:53:00Z">
              <w:r>
                <w:rPr>
                  <w:snapToGrid w:val="0"/>
                  <w:spacing w:val="-2"/>
                  <w:sz w:val="19"/>
                  <w:lang w:val="en-US"/>
                </w:rPr>
                <w:delText xml:space="preserve"> </w:delText>
              </w:r>
            </w:del>
            <w:ins w:id="606" w:author="svcMRProcess" w:date="2015-12-15T15:53:00Z">
              <w:r>
                <w:rPr>
                  <w:snapToGrid w:val="0"/>
                  <w:spacing w:val="-2"/>
                  <w:sz w:val="19"/>
                  <w:lang w:val="en-US"/>
                </w:rPr>
                <w:t> </w:t>
              </w:r>
            </w:ins>
            <w:r>
              <w:rPr>
                <w:snapToGrid w:val="0"/>
                <w:spacing w:val="-2"/>
                <w:sz w:val="19"/>
                <w:lang w:val="en-US"/>
              </w:rPr>
              <w:t>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w:t>
            </w:r>
            <w:del w:id="607" w:author="svcMRProcess" w:date="2015-12-15T15:53:00Z">
              <w:r>
                <w:rPr>
                  <w:sz w:val="19"/>
                </w:rPr>
                <w:delText xml:space="preserve"> </w:delText>
              </w:r>
            </w:del>
            <w:ins w:id="608" w:author="svcMRProcess" w:date="2015-12-15T15:53:00Z">
              <w:r>
                <w:rPr>
                  <w:sz w:val="19"/>
                </w:rPr>
                <w:t> </w:t>
              </w:r>
            </w:ins>
            <w:r>
              <w:rPr>
                <w:sz w:val="19"/>
              </w:rPr>
              <w:t>Sep 2010</w:t>
            </w:r>
          </w:p>
        </w:tc>
        <w:tc>
          <w:tcPr>
            <w:tcW w:w="2552" w:type="dxa"/>
          </w:tcPr>
          <w:p>
            <w:pPr>
              <w:pStyle w:val="nTable"/>
              <w:spacing w:after="40"/>
              <w:rPr>
                <w:snapToGrid w:val="0"/>
                <w:spacing w:val="-2"/>
                <w:sz w:val="19"/>
                <w:lang w:val="en-US"/>
              </w:rPr>
            </w:pPr>
            <w:r>
              <w:rPr>
                <w:snapToGrid w:val="0"/>
                <w:spacing w:val="-2"/>
                <w:sz w:val="19"/>
                <w:lang w:val="en-US"/>
              </w:rPr>
              <w:t>s.</w:t>
            </w:r>
            <w:del w:id="609" w:author="svcMRProcess" w:date="2015-12-15T15:53:00Z">
              <w:r>
                <w:rPr>
                  <w:snapToGrid w:val="0"/>
                  <w:spacing w:val="-2"/>
                  <w:sz w:val="19"/>
                  <w:lang w:val="en-US"/>
                </w:rPr>
                <w:delText xml:space="preserve"> </w:delText>
              </w:r>
            </w:del>
            <w:ins w:id="610" w:author="svcMRProcess" w:date="2015-12-15T15:53:00Z">
              <w:r>
                <w:rPr>
                  <w:snapToGrid w:val="0"/>
                  <w:spacing w:val="-2"/>
                  <w:sz w:val="19"/>
                  <w:lang w:val="en-US"/>
                </w:rPr>
                <w:t> </w:t>
              </w:r>
            </w:ins>
            <w:r>
              <w:rPr>
                <w:snapToGrid w:val="0"/>
                <w:spacing w:val="-2"/>
                <w:sz w:val="19"/>
                <w:lang w:val="en-US"/>
              </w:rPr>
              <w:t>1 and 2: 22</w:t>
            </w:r>
            <w:del w:id="611" w:author="svcMRProcess" w:date="2015-12-15T15:53:00Z">
              <w:r>
                <w:rPr>
                  <w:snapToGrid w:val="0"/>
                  <w:spacing w:val="-2"/>
                  <w:sz w:val="19"/>
                  <w:lang w:val="en-US"/>
                </w:rPr>
                <w:delText xml:space="preserve"> </w:delText>
              </w:r>
            </w:del>
            <w:ins w:id="612" w:author="svcMRProcess" w:date="2015-12-15T15:53:00Z">
              <w:r>
                <w:rPr>
                  <w:snapToGrid w:val="0"/>
                  <w:spacing w:val="-2"/>
                  <w:sz w:val="19"/>
                  <w:lang w:val="en-US"/>
                </w:rPr>
                <w:t> </w:t>
              </w:r>
            </w:ins>
            <w:r>
              <w:rPr>
                <w:snapToGrid w:val="0"/>
                <w:spacing w:val="-2"/>
                <w:sz w:val="19"/>
                <w:lang w:val="en-US"/>
              </w:rPr>
              <w:t>Sep 2010 (see s. 2(a));</w:t>
            </w:r>
            <w:r>
              <w:rPr>
                <w:snapToGrid w:val="0"/>
                <w:spacing w:val="-2"/>
                <w:sz w:val="19"/>
                <w:lang w:val="en-US"/>
              </w:rPr>
              <w:br/>
              <w:t>Act other than s. 1 and 2: 23 Sep</w:t>
            </w:r>
            <w:del w:id="613" w:author="svcMRProcess" w:date="2015-12-15T15:53:00Z">
              <w:r>
                <w:rPr>
                  <w:snapToGrid w:val="0"/>
                  <w:spacing w:val="-2"/>
                  <w:sz w:val="19"/>
                  <w:lang w:val="en-US"/>
                </w:rPr>
                <w:delText xml:space="preserve"> </w:delText>
              </w:r>
            </w:del>
            <w:ins w:id="614" w:author="svcMRProcess" w:date="2015-12-15T15:53:00Z">
              <w:r>
                <w:rPr>
                  <w:snapToGrid w:val="0"/>
                  <w:spacing w:val="-2"/>
                  <w:sz w:val="19"/>
                  <w:lang w:val="en-US"/>
                </w:rPr>
                <w:t> </w:t>
              </w:r>
            </w:ins>
            <w:r>
              <w:rPr>
                <w:snapToGrid w:val="0"/>
                <w:spacing w:val="-2"/>
                <w:sz w:val="19"/>
                <w:lang w:val="en-US"/>
              </w:rPr>
              <w:t>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w:t>
            </w:r>
            <w:del w:id="615" w:author="svcMRProcess" w:date="2015-12-15T15:53:00Z">
              <w:r>
                <w:rPr>
                  <w:sz w:val="19"/>
                </w:rPr>
                <w:delText xml:space="preserve"> </w:delText>
              </w:r>
            </w:del>
            <w:ins w:id="616" w:author="svcMRProcess" w:date="2015-12-15T15:53:00Z">
              <w:r>
                <w:rPr>
                  <w:sz w:val="19"/>
                </w:rPr>
                <w:t> </w:t>
              </w:r>
            </w:ins>
            <w:r>
              <w:rPr>
                <w:sz w:val="19"/>
              </w:rPr>
              <w:t>Sep 2010</w:t>
            </w:r>
          </w:p>
        </w:tc>
        <w:tc>
          <w:tcPr>
            <w:tcW w:w="2552" w:type="dxa"/>
          </w:tcPr>
          <w:p>
            <w:pPr>
              <w:pStyle w:val="nTable"/>
              <w:spacing w:after="40"/>
              <w:rPr>
                <w:snapToGrid w:val="0"/>
                <w:spacing w:val="-2"/>
                <w:sz w:val="19"/>
                <w:lang w:val="en-US"/>
              </w:rPr>
            </w:pPr>
            <w:r>
              <w:rPr>
                <w:snapToGrid w:val="0"/>
                <w:spacing w:val="-2"/>
                <w:sz w:val="19"/>
                <w:lang w:val="en-US"/>
              </w:rPr>
              <w:t>s.</w:t>
            </w:r>
            <w:del w:id="617" w:author="svcMRProcess" w:date="2015-12-15T15:53:00Z">
              <w:r>
                <w:rPr>
                  <w:snapToGrid w:val="0"/>
                  <w:spacing w:val="-2"/>
                  <w:sz w:val="19"/>
                  <w:lang w:val="en-US"/>
                </w:rPr>
                <w:delText xml:space="preserve"> </w:delText>
              </w:r>
            </w:del>
            <w:ins w:id="618" w:author="svcMRProcess" w:date="2015-12-15T15:53:00Z">
              <w:r>
                <w:rPr>
                  <w:snapToGrid w:val="0"/>
                  <w:spacing w:val="-2"/>
                  <w:sz w:val="19"/>
                  <w:lang w:val="en-US"/>
                </w:rPr>
                <w:t> </w:t>
              </w:r>
            </w:ins>
            <w:r>
              <w:rPr>
                <w:snapToGrid w:val="0"/>
                <w:spacing w:val="-2"/>
                <w:sz w:val="19"/>
                <w:lang w:val="en-US"/>
              </w:rPr>
              <w:t>1 and 2: 22</w:t>
            </w:r>
            <w:del w:id="619" w:author="svcMRProcess" w:date="2015-12-15T15:53:00Z">
              <w:r>
                <w:rPr>
                  <w:snapToGrid w:val="0"/>
                  <w:spacing w:val="-2"/>
                  <w:sz w:val="19"/>
                  <w:lang w:val="en-US"/>
                </w:rPr>
                <w:delText xml:space="preserve"> </w:delText>
              </w:r>
            </w:del>
            <w:ins w:id="620" w:author="svcMRProcess" w:date="2015-12-15T15:53:00Z">
              <w:r>
                <w:rPr>
                  <w:snapToGrid w:val="0"/>
                  <w:spacing w:val="-2"/>
                  <w:sz w:val="19"/>
                  <w:lang w:val="en-US"/>
                </w:rPr>
                <w:t> </w:t>
              </w:r>
            </w:ins>
            <w:r>
              <w:rPr>
                <w:snapToGrid w:val="0"/>
                <w:spacing w:val="-2"/>
                <w:sz w:val="19"/>
                <w:lang w:val="en-US"/>
              </w:rPr>
              <w:t>Sep 2010 (see s. 2(a));</w:t>
            </w:r>
            <w:r>
              <w:rPr>
                <w:snapToGrid w:val="0"/>
                <w:spacing w:val="-2"/>
                <w:sz w:val="19"/>
                <w:lang w:val="en-US"/>
              </w:rPr>
              <w:br/>
              <w:t>Act other than s. 1 and 2: 23 Sep</w:t>
            </w:r>
            <w:del w:id="621" w:author="svcMRProcess" w:date="2015-12-15T15:53:00Z">
              <w:r>
                <w:rPr>
                  <w:snapToGrid w:val="0"/>
                  <w:spacing w:val="-2"/>
                  <w:sz w:val="19"/>
                  <w:lang w:val="en-US"/>
                </w:rPr>
                <w:delText xml:space="preserve"> </w:delText>
              </w:r>
            </w:del>
            <w:ins w:id="622" w:author="svcMRProcess" w:date="2015-12-15T15:53:00Z">
              <w:r>
                <w:rPr>
                  <w:snapToGrid w:val="0"/>
                  <w:spacing w:val="-2"/>
                  <w:sz w:val="19"/>
                  <w:lang w:val="en-US"/>
                </w:rPr>
                <w:t> </w:t>
              </w:r>
            </w:ins>
            <w:r>
              <w:rPr>
                <w:snapToGrid w:val="0"/>
                <w:spacing w:val="-2"/>
                <w:sz w:val="19"/>
                <w:lang w:val="en-US"/>
              </w:rPr>
              <w:t>2010 (see s. 2(b))</w:t>
            </w:r>
          </w:p>
        </w:tc>
      </w:tr>
      <w:tr>
        <w:trPr>
          <w:cantSplit/>
        </w:trPr>
        <w:tc>
          <w:tcPr>
            <w:tcW w:w="2269" w:type="dxa"/>
          </w:tcPr>
          <w:p>
            <w:pPr>
              <w:pStyle w:val="nTable"/>
              <w:spacing w:after="40"/>
              <w:rPr>
                <w:i/>
                <w:snapToGrid w:val="0"/>
                <w:sz w:val="19"/>
              </w:rPr>
            </w:pPr>
            <w:r>
              <w:rPr>
                <w:i/>
                <w:snapToGrid w:val="0"/>
                <w:sz w:val="19"/>
              </w:rPr>
              <w:t>Retail Trading Hours Amendment Act</w:t>
            </w:r>
            <w:del w:id="623" w:author="svcMRProcess" w:date="2015-12-15T15:53:00Z">
              <w:r>
                <w:rPr>
                  <w:i/>
                  <w:snapToGrid w:val="0"/>
                  <w:sz w:val="19"/>
                </w:rPr>
                <w:delText xml:space="preserve"> </w:delText>
              </w:r>
            </w:del>
            <w:ins w:id="624" w:author="svcMRProcess" w:date="2015-12-15T15:53:00Z">
              <w:r>
                <w:rPr>
                  <w:i/>
                  <w:snapToGrid w:val="0"/>
                  <w:sz w:val="19"/>
                </w:rPr>
                <w:t> </w:t>
              </w:r>
            </w:ins>
            <w:r>
              <w:rPr>
                <w:i/>
                <w:snapToGrid w:val="0"/>
                <w:sz w:val="19"/>
              </w:rPr>
              <w:t>2010</w:t>
            </w:r>
          </w:p>
        </w:tc>
        <w:tc>
          <w:tcPr>
            <w:tcW w:w="1134" w:type="dxa"/>
          </w:tcPr>
          <w:p>
            <w:pPr>
              <w:pStyle w:val="nTable"/>
              <w:spacing w:after="40"/>
              <w:rPr>
                <w:sz w:val="19"/>
              </w:rPr>
            </w:pPr>
            <w:r>
              <w:rPr>
                <w:sz w:val="19"/>
              </w:rPr>
              <w:t xml:space="preserve">38 of 2010 </w:t>
            </w:r>
          </w:p>
        </w:tc>
        <w:tc>
          <w:tcPr>
            <w:tcW w:w="1134" w:type="dxa"/>
          </w:tcPr>
          <w:p>
            <w:pPr>
              <w:pStyle w:val="nTable"/>
              <w:spacing w:after="40"/>
              <w:rPr>
                <w:sz w:val="19"/>
              </w:rPr>
            </w:pPr>
            <w:r>
              <w:rPr>
                <w:sz w:val="19"/>
              </w:rPr>
              <w:t>1</w:t>
            </w:r>
            <w:del w:id="625" w:author="svcMRProcess" w:date="2015-12-15T15:53:00Z">
              <w:r>
                <w:rPr>
                  <w:sz w:val="19"/>
                </w:rPr>
                <w:delText xml:space="preserve"> </w:delText>
              </w:r>
            </w:del>
            <w:ins w:id="626" w:author="svcMRProcess" w:date="2015-12-15T15:53:00Z">
              <w:r>
                <w:rPr>
                  <w:sz w:val="19"/>
                </w:rPr>
                <w:t> </w:t>
              </w:r>
            </w:ins>
            <w:r>
              <w:rPr>
                <w:sz w:val="19"/>
              </w:rPr>
              <w:t>Oct</w:t>
            </w:r>
            <w:del w:id="627" w:author="svcMRProcess" w:date="2015-12-15T15:53:00Z">
              <w:r>
                <w:rPr>
                  <w:sz w:val="19"/>
                </w:rPr>
                <w:delText xml:space="preserve"> </w:delText>
              </w:r>
            </w:del>
            <w:ins w:id="628" w:author="svcMRProcess" w:date="2015-12-15T15:53:00Z">
              <w:r>
                <w:rPr>
                  <w:sz w:val="19"/>
                </w:rPr>
                <w:t> </w:t>
              </w:r>
            </w:ins>
            <w:r>
              <w:rPr>
                <w:sz w:val="19"/>
              </w:rPr>
              <w:t>2010</w:t>
            </w:r>
          </w:p>
        </w:tc>
        <w:tc>
          <w:tcPr>
            <w:tcW w:w="2552" w:type="dxa"/>
          </w:tcPr>
          <w:p>
            <w:pPr>
              <w:pStyle w:val="nTable"/>
              <w:spacing w:after="40"/>
              <w:rPr>
                <w:snapToGrid w:val="0"/>
                <w:spacing w:val="-2"/>
                <w:sz w:val="19"/>
                <w:lang w:val="en-US"/>
              </w:rPr>
            </w:pPr>
            <w:r>
              <w:rPr>
                <w:snapToGrid w:val="0"/>
                <w:spacing w:val="-2"/>
                <w:sz w:val="19"/>
                <w:lang w:val="en-US"/>
              </w:rPr>
              <w:t>s.</w:t>
            </w:r>
            <w:del w:id="629" w:author="svcMRProcess" w:date="2015-12-15T15:53:00Z">
              <w:r>
                <w:rPr>
                  <w:snapToGrid w:val="0"/>
                  <w:spacing w:val="-2"/>
                  <w:sz w:val="19"/>
                  <w:lang w:val="en-US"/>
                </w:rPr>
                <w:delText xml:space="preserve"> </w:delText>
              </w:r>
            </w:del>
            <w:ins w:id="630" w:author="svcMRProcess" w:date="2015-12-15T15:53:00Z">
              <w:r>
                <w:rPr>
                  <w:snapToGrid w:val="0"/>
                  <w:spacing w:val="-2"/>
                  <w:sz w:val="19"/>
                  <w:lang w:val="en-US"/>
                </w:rPr>
                <w:t> </w:t>
              </w:r>
            </w:ins>
            <w:r>
              <w:rPr>
                <w:snapToGrid w:val="0"/>
                <w:spacing w:val="-2"/>
                <w:sz w:val="19"/>
                <w:lang w:val="en-US"/>
              </w:rPr>
              <w:t>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r>
        <w:trPr>
          <w:cantSplit/>
        </w:trPr>
        <w:tc>
          <w:tcPr>
            <w:tcW w:w="2269" w:type="dxa"/>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z w:val="19"/>
                <w:lang w:val="en-US"/>
              </w:rPr>
              <w:t>1</w:t>
            </w:r>
            <w:del w:id="631" w:author="svcMRProcess" w:date="2015-12-15T15:53:00Z">
              <w:r>
                <w:rPr>
                  <w:snapToGrid w:val="0"/>
                  <w:spacing w:val="-2"/>
                  <w:sz w:val="19"/>
                  <w:lang w:val="en-US"/>
                </w:rPr>
                <w:delText xml:space="preserve"> </w:delText>
              </w:r>
            </w:del>
            <w:ins w:id="632" w:author="svcMRProcess" w:date="2015-12-15T15:53: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cantSplit/>
          <w:ins w:id="633" w:author="svcMRProcess" w:date="2015-12-15T15:53:00Z"/>
        </w:trPr>
        <w:tc>
          <w:tcPr>
            <w:tcW w:w="7087" w:type="dxa"/>
            <w:gridSpan w:val="4"/>
            <w:tcBorders>
              <w:bottom w:val="single" w:sz="8" w:space="0" w:color="auto"/>
            </w:tcBorders>
          </w:tcPr>
          <w:p>
            <w:pPr>
              <w:pStyle w:val="nTable"/>
              <w:spacing w:after="40"/>
              <w:rPr>
                <w:ins w:id="634" w:author="svcMRProcess" w:date="2015-12-15T15:53:00Z"/>
                <w:snapToGrid w:val="0"/>
                <w:spacing w:val="-2"/>
                <w:sz w:val="19"/>
                <w:lang w:val="en-US"/>
              </w:rPr>
            </w:pPr>
            <w:ins w:id="635" w:author="svcMRProcess" w:date="2015-12-15T15:53:00Z">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ins>
          </w:p>
        </w:tc>
      </w:tr>
    </w:tbl>
    <w:p>
      <w:pPr>
        <w:pStyle w:val="nSubsection"/>
        <w:spacing w:before="160"/>
        <w:rPr>
          <w:del w:id="636" w:author="svcMRProcess" w:date="2015-12-15T15:53:00Z"/>
        </w:rPr>
      </w:pPr>
      <w:del w:id="637" w:author="svcMRProcess" w:date="2015-12-15T15:53:00Z">
        <w:r>
          <w:rPr>
            <w:vertAlign w:val="superscript"/>
          </w:rPr>
          <w:delText>2</w:delText>
        </w:r>
        <w:r>
          <w:tab/>
          <w:delText>Footnote no longer applicable.</w:delText>
        </w:r>
      </w:del>
    </w:p>
    <w:p>
      <w:pPr>
        <w:pStyle w:val="nSubsection"/>
        <w:spacing w:before="160"/>
      </w:pPr>
      <w:del w:id="638" w:author="svcMRProcess" w:date="2015-12-15T15:53:00Z">
        <w:r>
          <w:rPr>
            <w:vertAlign w:val="superscript"/>
          </w:rPr>
          <w:delText>3</w:delText>
        </w:r>
      </w:del>
      <w:ins w:id="639" w:author="svcMRProcess" w:date="2015-12-15T15:53:00Z">
        <w:r>
          <w:rPr>
            <w:vertAlign w:val="superscript"/>
          </w:rPr>
          <w:t>2</w:t>
        </w:r>
      </w:ins>
      <w:r>
        <w:tab/>
        <w:t xml:space="preserve">Repealed by the </w:t>
      </w:r>
      <w:r>
        <w:rPr>
          <w:i/>
        </w:rPr>
        <w:t>Industrial Relations Legislation Amendment and Repeal Act 1995</w:t>
      </w:r>
      <w:r>
        <w:t>.</w:t>
      </w:r>
    </w:p>
    <w:p>
      <w:pPr>
        <w:pStyle w:val="nSubsection"/>
        <w:keepNext/>
        <w:rPr>
          <w:snapToGrid w:val="0"/>
        </w:rPr>
      </w:pPr>
      <w:del w:id="640" w:author="svcMRProcess" w:date="2015-12-15T15:53:00Z">
        <w:r>
          <w:rPr>
            <w:snapToGrid w:val="0"/>
            <w:vertAlign w:val="superscript"/>
          </w:rPr>
          <w:delText>4</w:delText>
        </w:r>
      </w:del>
      <w:ins w:id="641" w:author="svcMRProcess" w:date="2015-12-15T15:53:00Z">
        <w:r>
          <w:rPr>
            <w:snapToGrid w:val="0"/>
            <w:vertAlign w:val="superscript"/>
          </w:rPr>
          <w:t>3</w:t>
        </w:r>
      </w:ins>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BlankOpen"/>
        <w:rPr>
          <w:snapToGrid w:val="0"/>
        </w:rPr>
      </w:pPr>
      <w:del w:id="642" w:author="svcMRProcess" w:date="2015-12-15T15:53:00Z">
        <w:r>
          <w:rPr>
            <w:snapToGrid w:val="0"/>
          </w:rPr>
          <w:delText>“</w:delText>
        </w:r>
      </w:del>
    </w:p>
    <w:p>
      <w:pPr>
        <w:pStyle w:val="nzHeading5"/>
      </w:pPr>
      <w:bookmarkStart w:id="643" w:name="_Toc114980038"/>
      <w:bookmarkStart w:id="644" w:name="_Toc147138232"/>
      <w:bookmarkStart w:id="645" w:name="_Toc147812549"/>
      <w:r>
        <w:rPr>
          <w:rStyle w:val="CharSectno"/>
        </w:rPr>
        <w:t>18</w:t>
      </w:r>
      <w:r>
        <w:t>.</w:t>
      </w:r>
      <w:r>
        <w:tab/>
        <w:t>Validation</w:t>
      </w:r>
      <w:bookmarkEnd w:id="643"/>
      <w:bookmarkEnd w:id="644"/>
      <w:bookmarkEnd w:id="645"/>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rPr>
          <w:del w:id="646" w:author="svcMRProcess" w:date="2015-12-15T15:53:00Z"/>
        </w:rPr>
      </w:pPr>
      <w:del w:id="647" w:author="svcMRProcess" w:date="2015-12-15T15:53:00Z">
        <w:r>
          <w:delText>”.</w:delText>
        </w:r>
      </w:del>
    </w:p>
    <w:p>
      <w:pPr>
        <w:rPr>
          <w:del w:id="648" w:author="svcMRProcess" w:date="2015-12-15T15:53:00Z"/>
        </w:rPr>
      </w:pPr>
    </w:p>
    <w:p>
      <w:pPr>
        <w:rPr>
          <w:del w:id="649" w:author="svcMRProcess" w:date="2015-12-15T15:53: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BlankClose"/>
        <w:rPr>
          <w:ins w:id="650" w:author="svcMRProcess" w:date="2015-12-15T15:53:00Z"/>
        </w:rPr>
      </w:pPr>
    </w:p>
    <w:p>
      <w:pPr>
        <w:rPr>
          <w:ins w:id="651" w:author="svcMRProcess" w:date="2015-12-15T15:53:00Z"/>
        </w:rPr>
      </w:pPr>
    </w:p>
    <w:p>
      <w:pPr>
        <w:rPr>
          <w:ins w:id="652" w:author="svcMRProcess" w:date="2015-12-15T15:53: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sz w:val="12"/>
        </w:rPr>
      </w:pPr>
      <w:ins w:id="653" w:author="svcMRProcess" w:date="2015-12-15T15:53:00Z">
        <w:r>
          <w:rPr>
            <w:rFonts w:ascii="Arial" w:hAnsi="Arial"/>
            <w:sz w:val="12"/>
          </w:rPr>
          <w:t>By Authority: JOHN A. STRIJK, Government Printer</w:t>
        </w:r>
      </w:ins>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47"/>
    <w:docVar w:name="WAFER_20151209114347" w:val="RemoveTrackChanges"/>
    <w:docVar w:name="WAFER_20151209114347_GUID" w:val="8facd857-0706-4dc8-9438-10cb80a5fd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10861</Words>
  <Characters>49313</Characters>
  <Application>Microsoft Office Word</Application>
  <DocSecurity>0</DocSecurity>
  <Lines>1369</Lines>
  <Paragraphs>742</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02-j0-02 - 03-a0-03</dc:title>
  <dc:subject/>
  <dc:creator/>
  <cp:keywords/>
  <dc:description/>
  <cp:lastModifiedBy>svcMRProcess</cp:lastModifiedBy>
  <cp:revision>2</cp:revision>
  <cp:lastPrinted>2011-02-08T04:01:00Z</cp:lastPrinted>
  <dcterms:created xsi:type="dcterms:W3CDTF">2015-12-15T07:53:00Z</dcterms:created>
  <dcterms:modified xsi:type="dcterms:W3CDTF">2015-12-15T07:53:00Z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20110204</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ReprintedAsAt">
    <vt:filetime>2011-02-03T16:00:00Z</vt:filetime>
  </property>
  <property fmtid="{D5CDD505-2E9C-101B-9397-08002B2CF9AE}" pid="8" name="FromSuffix">
    <vt:lpwstr>02-j0-02</vt:lpwstr>
  </property>
  <property fmtid="{D5CDD505-2E9C-101B-9397-08002B2CF9AE}" pid="9" name="FromAsAtDate">
    <vt:lpwstr>01 Dec 2010</vt:lpwstr>
  </property>
  <property fmtid="{D5CDD505-2E9C-101B-9397-08002B2CF9AE}" pid="10" name="ToSuffix">
    <vt:lpwstr>03-a0-03</vt:lpwstr>
  </property>
  <property fmtid="{D5CDD505-2E9C-101B-9397-08002B2CF9AE}" pid="11" name="ToAsAtDate">
    <vt:lpwstr>04 Feb 2011</vt:lpwstr>
  </property>
</Properties>
</file>