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2006</w:t>
      </w:r>
      <w:r>
        <w:fldChar w:fldCharType="end"/>
      </w:r>
      <w:r>
        <w:t xml:space="preserve">, </w:t>
      </w:r>
      <w:r>
        <w:fldChar w:fldCharType="begin"/>
      </w:r>
      <w:r>
        <w:instrText xml:space="preserve"> DocProperty FromSuffix </w:instrText>
      </w:r>
      <w:r>
        <w:fldChar w:fldCharType="separate"/>
      </w:r>
      <w:r>
        <w:t>04-f0-03</w:t>
      </w:r>
      <w:r>
        <w:fldChar w:fldCharType="end"/>
      </w:r>
      <w:r>
        <w:t>] and [</w:t>
      </w:r>
      <w:r>
        <w:fldChar w:fldCharType="begin"/>
      </w:r>
      <w:r>
        <w:instrText xml:space="preserve"> DocProperty ToAsAtDate</w:instrText>
      </w:r>
      <w:r>
        <w:fldChar w:fldCharType="separate"/>
      </w:r>
      <w:r>
        <w:t>28 Jan 2007</w:t>
      </w:r>
      <w:r>
        <w:fldChar w:fldCharType="end"/>
      </w:r>
      <w:r>
        <w:t xml:space="preserve">, </w:t>
      </w:r>
      <w:r>
        <w:fldChar w:fldCharType="begin"/>
      </w:r>
      <w:r>
        <w:instrText xml:space="preserve"> DocProperty ToSuffix</w:instrText>
      </w:r>
      <w:r>
        <w:fldChar w:fldCharType="separate"/>
      </w:r>
      <w:r>
        <w:t>04-g0-04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Spent Convictions Act 1988 </w:t>
      </w:r>
    </w:p>
    <w:p>
      <w:pPr>
        <w:pStyle w:val="LongTitle"/>
        <w:rPr>
          <w:snapToGrid w:val="0"/>
        </w:rPr>
      </w:pPr>
      <w:r>
        <w:rPr>
          <w:snapToGrid w:val="0"/>
        </w:rPr>
        <w:t>A</w:t>
      </w:r>
      <w:bookmarkStart w:id="0" w:name="_GoBack"/>
      <w:bookmarkEnd w:id="0"/>
      <w:r>
        <w:rPr>
          <w:snapToGrid w:val="0"/>
        </w:rPr>
        <w:t>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84505177"/>
      <w:bookmarkStart w:id="31" w:name="_Toc237328"/>
      <w:bookmarkStart w:id="32" w:name="_Toc118857404"/>
      <w:bookmarkStart w:id="33" w:name="_Toc157478994"/>
      <w:bookmarkStart w:id="34" w:name="_Toc153617628"/>
      <w:r>
        <w:rPr>
          <w:rStyle w:val="CharSectno"/>
        </w:rPr>
        <w:t>1</w:t>
      </w:r>
      <w:r>
        <w:rPr>
          <w:snapToGrid w:val="0"/>
        </w:rPr>
        <w:t>.</w:t>
      </w:r>
      <w:r>
        <w:rPr>
          <w:snapToGrid w:val="0"/>
        </w:rPr>
        <w:tab/>
        <w:t>Short title</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35" w:name="_Toc484505178"/>
      <w:bookmarkStart w:id="36" w:name="_Toc237329"/>
      <w:bookmarkStart w:id="37" w:name="_Toc118857405"/>
      <w:bookmarkStart w:id="38" w:name="_Toc157478995"/>
      <w:bookmarkStart w:id="39" w:name="_Toc153617629"/>
      <w:r>
        <w:rPr>
          <w:rStyle w:val="CharSectno"/>
        </w:rPr>
        <w:t>2</w:t>
      </w:r>
      <w:r>
        <w:rPr>
          <w:snapToGrid w:val="0"/>
        </w:rPr>
        <w:t>.</w:t>
      </w:r>
      <w:r>
        <w:rPr>
          <w:snapToGrid w:val="0"/>
        </w:rPr>
        <w:tab/>
      </w:r>
      <w:bookmarkEnd w:id="35"/>
      <w:r>
        <w:rPr>
          <w:snapToGrid w:val="0"/>
        </w:rPr>
        <w:t>Commencement</w:t>
      </w:r>
      <w:bookmarkEnd w:id="36"/>
      <w:bookmarkEnd w:id="37"/>
      <w:bookmarkEnd w:id="38"/>
      <w:bookmarkEnd w:id="39"/>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0" w:name="_Toc484505179"/>
      <w:bookmarkStart w:id="41" w:name="_Toc237330"/>
      <w:bookmarkStart w:id="42" w:name="_Toc118857406"/>
      <w:bookmarkStart w:id="43" w:name="_Toc157478996"/>
      <w:bookmarkStart w:id="44" w:name="_Toc153617630"/>
      <w:r>
        <w:rPr>
          <w:rStyle w:val="CharSectno"/>
        </w:rPr>
        <w:t>3</w:t>
      </w:r>
      <w:r>
        <w:rPr>
          <w:snapToGrid w:val="0"/>
        </w:rPr>
        <w:t>.</w:t>
      </w:r>
      <w:r>
        <w:rPr>
          <w:snapToGrid w:val="0"/>
        </w:rPr>
        <w:tab/>
      </w:r>
      <w:bookmarkEnd w:id="40"/>
      <w:r>
        <w:rPr>
          <w:snapToGrid w:val="0"/>
        </w:rPr>
        <w:t>Interpretation</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Defstart"/>
      </w:pPr>
      <w:r>
        <w:rPr>
          <w:b/>
        </w:rPr>
        <w:tab/>
        <w:t>“</w:t>
      </w:r>
      <w:r>
        <w:rPr>
          <w:rStyle w:val="CharDefText"/>
        </w:rPr>
        <w:t>Commonwealth law</w:t>
      </w:r>
      <w:r>
        <w:rPr>
          <w:b/>
        </w:rPr>
        <w:t>”</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rPr>
          <w:spacing w:val="-4"/>
        </w:rPr>
      </w:pPr>
      <w:r>
        <w:rPr>
          <w:b/>
        </w:rPr>
        <w:tab/>
      </w:r>
      <w:r>
        <w:rPr>
          <w:b/>
          <w:spacing w:val="-4"/>
        </w:rPr>
        <w:t>“</w:t>
      </w:r>
      <w:r>
        <w:rPr>
          <w:rStyle w:val="CharDefText"/>
          <w:spacing w:val="-4"/>
        </w:rPr>
        <w:t>conviction</w:t>
      </w:r>
      <w:r>
        <w:rPr>
          <w:b/>
          <w:spacing w:val="-4"/>
        </w:rPr>
        <w:t>”</w:t>
      </w:r>
      <w:r>
        <w:rPr>
          <w:spacing w:val="-4"/>
        </w:rPr>
        <w:t xml:space="preserve"> means a conviction incurred by a natural person for an offence against the law of this State or of a foreign country;</w:t>
      </w:r>
    </w:p>
    <w:p>
      <w:pPr>
        <w:pStyle w:val="Defstart"/>
      </w:pPr>
      <w:r>
        <w:rPr>
          <w:b/>
        </w:rPr>
        <w:tab/>
        <w:t>“</w:t>
      </w:r>
      <w:r>
        <w:rPr>
          <w:rStyle w:val="CharDefText"/>
        </w:rPr>
        <w:t>life imprisonment</w:t>
      </w:r>
      <w:r>
        <w:rPr>
          <w:b/>
        </w:rPr>
        <w:t>”</w:t>
      </w:r>
      <w:r>
        <w:t xml:space="preserve"> includes strict security life imprisonment;</w:t>
      </w:r>
    </w:p>
    <w:p>
      <w:pPr>
        <w:pStyle w:val="Defstart"/>
      </w:pPr>
      <w:r>
        <w:rPr>
          <w:b/>
        </w:rPr>
        <w:tab/>
        <w:t>“</w:t>
      </w:r>
      <w:r>
        <w:rPr>
          <w:rStyle w:val="CharDefText"/>
        </w:rPr>
        <w:t>minor punishment</w:t>
      </w:r>
      <w:r>
        <w:rPr>
          <w:b/>
        </w:rPr>
        <w:t>”</w:t>
      </w:r>
      <w:r>
        <w:t xml:space="preserve"> means a fine not exceeding $100 or such amount as may be prescribed;</w:t>
      </w:r>
    </w:p>
    <w:p>
      <w:pPr>
        <w:pStyle w:val="Defstart"/>
        <w:rPr>
          <w:spacing w:val="-4"/>
        </w:rPr>
      </w:pPr>
      <w:r>
        <w:rPr>
          <w:b/>
        </w:rPr>
        <w:tab/>
      </w:r>
      <w:r>
        <w:rPr>
          <w:b/>
          <w:spacing w:val="-4"/>
        </w:rPr>
        <w:t>“</w:t>
      </w:r>
      <w:r>
        <w:rPr>
          <w:rStyle w:val="CharDefText"/>
          <w:spacing w:val="-4"/>
        </w:rPr>
        <w:t>spent conviction</w:t>
      </w:r>
      <w:r>
        <w:rPr>
          <w:b/>
          <w:spacing w:val="-4"/>
        </w:rPr>
        <w:t>”</w:t>
      </w:r>
      <w:r>
        <w:rPr>
          <w:spacing w:val="-4"/>
        </w:rPr>
        <w:t xml:space="preserve"> means a conviction that is spent under section 6, 7 or 8 or that is spent by virtue of a spent conviction order made under section 39 of the </w:t>
      </w:r>
      <w:r>
        <w:rPr>
          <w:i/>
          <w:spacing w:val="-4"/>
        </w:rPr>
        <w:t>Sentencing Act 1995</w:t>
      </w:r>
      <w:r>
        <w:rPr>
          <w:spacing w:val="-4"/>
        </w:rP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spacing w:val="-4"/>
        </w:rPr>
      </w:pPr>
      <w:r>
        <w:rPr>
          <w:snapToGrid w:val="0"/>
        </w:rPr>
        <w:tab/>
      </w:r>
      <w:r>
        <w:rPr>
          <w:snapToGrid w:val="0"/>
          <w:spacing w:val="-4"/>
        </w:rPr>
        <w:t>(ii)</w:t>
      </w:r>
      <w:r>
        <w:rPr>
          <w:snapToGrid w:val="0"/>
          <w:spacing w:val="-4"/>
        </w:rPr>
        <w:tab/>
        <w:t xml:space="preserve">a sentence of imprisonment until a fine is paid or a recognisance is entered into, that was imposed under section 19(5) or (6) of </w:t>
      </w:r>
      <w:r>
        <w:rPr>
          <w:i/>
          <w:snapToGrid w:val="0"/>
          <w:spacing w:val="-4"/>
        </w:rPr>
        <w:t>The Criminal Code</w:t>
      </w:r>
      <w:r>
        <w:rPr>
          <w:snapToGrid w:val="0"/>
          <w:spacing w:val="-4"/>
        </w:rPr>
        <w:t> </w:t>
      </w:r>
      <w:r>
        <w:rPr>
          <w:snapToGrid w:val="0"/>
          <w:spacing w:val="-4"/>
          <w:vertAlign w:val="superscript"/>
        </w:rPr>
        <w:t>2</w:t>
      </w:r>
      <w:r>
        <w:rPr>
          <w:snapToGrid w:val="0"/>
          <w:spacing w:val="-4"/>
        </w:rPr>
        <w:t>;</w:t>
      </w:r>
    </w:p>
    <w:p>
      <w:pPr>
        <w:pStyle w:val="Indenta"/>
        <w:rPr>
          <w:snapToGrid w:val="0"/>
        </w:rPr>
      </w:pPr>
      <w:r>
        <w:rPr>
          <w:snapToGrid w:val="0"/>
        </w:rPr>
        <w:lastRenderedPageBreak/>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rPr>
          <w:snapToGrid w:val="0"/>
        </w:rPr>
      </w:pPr>
      <w:bookmarkStart w:id="45" w:name="_Toc484505180"/>
      <w:bookmarkStart w:id="46" w:name="_Toc237331"/>
      <w:bookmarkStart w:id="47" w:name="_Toc118857407"/>
      <w:bookmarkStart w:id="48" w:name="_Toc157478997"/>
      <w:bookmarkStart w:id="49" w:name="_Toc153617631"/>
      <w:r>
        <w:rPr>
          <w:rStyle w:val="CharSectno"/>
        </w:rPr>
        <w:t>4</w:t>
      </w:r>
      <w:r>
        <w:rPr>
          <w:snapToGrid w:val="0"/>
        </w:rPr>
        <w:t>.</w:t>
      </w:r>
      <w:r>
        <w:rPr>
          <w:snapToGrid w:val="0"/>
        </w:rPr>
        <w:tab/>
        <w:t>Convictions to which Act does not apply</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rPr>
          <w:snapToGrid w:val="0"/>
        </w:rPr>
      </w:pPr>
      <w:bookmarkStart w:id="50" w:name="_Toc484505181"/>
      <w:bookmarkStart w:id="51" w:name="_Toc237332"/>
      <w:bookmarkStart w:id="52" w:name="_Toc118857408"/>
      <w:bookmarkStart w:id="53" w:name="_Toc157478998"/>
      <w:bookmarkStart w:id="54" w:name="_Toc153617632"/>
      <w:r>
        <w:rPr>
          <w:rStyle w:val="CharSectno"/>
        </w:rPr>
        <w:t>5</w:t>
      </w:r>
      <w:r>
        <w:rPr>
          <w:snapToGrid w:val="0"/>
        </w:rPr>
        <w:t>.</w:t>
      </w:r>
      <w:r>
        <w:rPr>
          <w:snapToGrid w:val="0"/>
        </w:rPr>
        <w:tab/>
        <w:t>Act binds Crown</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5" w:name="_Toc77413876"/>
      <w:bookmarkStart w:id="56" w:name="_Toc86555426"/>
      <w:bookmarkStart w:id="57" w:name="_Toc89229701"/>
      <w:bookmarkStart w:id="58" w:name="_Toc89247031"/>
      <w:bookmarkStart w:id="59" w:name="_Toc96923232"/>
      <w:bookmarkStart w:id="60" w:name="_Toc102530409"/>
      <w:bookmarkStart w:id="61" w:name="_Toc103134798"/>
      <w:bookmarkStart w:id="62" w:name="_Toc105300599"/>
      <w:bookmarkStart w:id="63" w:name="_Toc106440428"/>
      <w:bookmarkStart w:id="64" w:name="_Toc106506258"/>
      <w:bookmarkStart w:id="65" w:name="_Toc107204237"/>
      <w:bookmarkStart w:id="66" w:name="_Toc108239586"/>
      <w:bookmarkStart w:id="67" w:name="_Toc108247942"/>
      <w:bookmarkStart w:id="68" w:name="_Toc108249616"/>
      <w:bookmarkStart w:id="69" w:name="_Toc108251218"/>
      <w:bookmarkStart w:id="70" w:name="_Toc108428809"/>
      <w:bookmarkStart w:id="71" w:name="_Toc108495619"/>
      <w:bookmarkStart w:id="72" w:name="_Toc109469587"/>
      <w:bookmarkStart w:id="73" w:name="_Toc109469850"/>
      <w:bookmarkStart w:id="74" w:name="_Toc118797448"/>
      <w:bookmarkStart w:id="75" w:name="_Toc118857409"/>
      <w:bookmarkStart w:id="76" w:name="_Toc139773892"/>
      <w:bookmarkStart w:id="77" w:name="_Toc147055107"/>
      <w:bookmarkStart w:id="78" w:name="_Toc147133402"/>
      <w:bookmarkStart w:id="79" w:name="_Toc149450975"/>
      <w:bookmarkStart w:id="80" w:name="_Toc153610285"/>
      <w:bookmarkStart w:id="81" w:name="_Toc153617633"/>
      <w:bookmarkStart w:id="82" w:name="_Toc156724168"/>
      <w:bookmarkStart w:id="83" w:name="_Toc157478999"/>
      <w:r>
        <w:rPr>
          <w:rStyle w:val="CharPartNo"/>
        </w:rPr>
        <w:t>Part 2</w:t>
      </w:r>
      <w:r>
        <w:rPr>
          <w:rStyle w:val="CharDivNo"/>
        </w:rPr>
        <w:t> </w:t>
      </w:r>
      <w:r>
        <w:t>—</w:t>
      </w:r>
      <w:r>
        <w:rPr>
          <w:rStyle w:val="CharDivText"/>
        </w:rPr>
        <w:t> </w:t>
      </w:r>
      <w:r>
        <w:rPr>
          <w:rStyle w:val="CharPartText"/>
        </w:rPr>
        <w:t>Requirements for convictions to become spent</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Heading5"/>
        <w:rPr>
          <w:snapToGrid w:val="0"/>
        </w:rPr>
      </w:pPr>
      <w:bookmarkStart w:id="84" w:name="_Toc484505182"/>
      <w:bookmarkStart w:id="85" w:name="_Toc237333"/>
      <w:bookmarkStart w:id="86" w:name="_Toc118857410"/>
      <w:bookmarkStart w:id="87" w:name="_Toc157479000"/>
      <w:bookmarkStart w:id="88" w:name="_Toc153617634"/>
      <w:r>
        <w:rPr>
          <w:rStyle w:val="CharSectno"/>
        </w:rPr>
        <w:t>6</w:t>
      </w:r>
      <w:r>
        <w:rPr>
          <w:snapToGrid w:val="0"/>
        </w:rPr>
        <w:t>.</w:t>
      </w:r>
      <w:r>
        <w:rPr>
          <w:snapToGrid w:val="0"/>
        </w:rPr>
        <w:tab/>
        <w:t>Serious convictions</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89" w:name="_Toc484505183"/>
      <w:bookmarkStart w:id="90" w:name="_Toc237334"/>
      <w:bookmarkStart w:id="91" w:name="_Toc118857411"/>
      <w:bookmarkStart w:id="92" w:name="_Toc157479001"/>
      <w:bookmarkStart w:id="93" w:name="_Toc153617635"/>
      <w:r>
        <w:rPr>
          <w:rStyle w:val="CharSectno"/>
        </w:rPr>
        <w:t>7</w:t>
      </w:r>
      <w:r>
        <w:rPr>
          <w:snapToGrid w:val="0"/>
        </w:rPr>
        <w:t>.</w:t>
      </w:r>
      <w:r>
        <w:rPr>
          <w:snapToGrid w:val="0"/>
        </w:rPr>
        <w:tab/>
        <w:t>Lesser convictions</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94" w:name="_Toc484505184"/>
      <w:bookmarkStart w:id="95" w:name="_Toc237335"/>
      <w:bookmarkStart w:id="96" w:name="_Toc118857412"/>
      <w:bookmarkStart w:id="97" w:name="_Toc157479002"/>
      <w:bookmarkStart w:id="98" w:name="_Toc153617636"/>
      <w:r>
        <w:rPr>
          <w:rStyle w:val="CharSectno"/>
        </w:rPr>
        <w:t>8</w:t>
      </w:r>
      <w:r>
        <w:rPr>
          <w:snapToGrid w:val="0"/>
        </w:rPr>
        <w:t>.</w:t>
      </w:r>
      <w:r>
        <w:rPr>
          <w:snapToGrid w:val="0"/>
        </w:rPr>
        <w:tab/>
        <w:t>Convictions in other jurisdictions</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99" w:name="_Toc484505185"/>
      <w:bookmarkStart w:id="100" w:name="_Toc237336"/>
      <w:bookmarkStart w:id="101" w:name="_Toc118857413"/>
      <w:bookmarkStart w:id="102" w:name="_Toc157479003"/>
      <w:bookmarkStart w:id="103" w:name="_Toc153617637"/>
      <w:r>
        <w:rPr>
          <w:rStyle w:val="CharSectno"/>
        </w:rPr>
        <w:t>9</w:t>
      </w:r>
      <w:r>
        <w:rPr>
          <w:snapToGrid w:val="0"/>
        </w:rPr>
        <w:t>.</w:t>
      </w:r>
      <w:r>
        <w:rPr>
          <w:snapToGrid w:val="0"/>
        </w:rPr>
        <w:tab/>
        <w:t>Meaning of “serious conviction”</w:t>
      </w:r>
      <w:bookmarkEnd w:id="99"/>
      <w:bookmarkEnd w:id="100"/>
      <w:bookmarkEnd w:id="101"/>
      <w:bookmarkEnd w:id="102"/>
      <w:bookmarkEnd w:id="103"/>
      <w:r>
        <w:rPr>
          <w:snapToGrid w:val="0"/>
        </w:rPr>
        <w:t xml:space="preserve"> </w:t>
      </w:r>
    </w:p>
    <w:p>
      <w:pPr>
        <w:pStyle w:val="Subsection"/>
        <w:keepNext/>
        <w:rPr>
          <w:snapToGrid w:val="0"/>
        </w:rPr>
      </w:pPr>
      <w:r>
        <w:rPr>
          <w:snapToGrid w:val="0"/>
        </w:rPr>
        <w:tab/>
      </w:r>
      <w:r>
        <w:rPr>
          <w:snapToGrid w:val="0"/>
        </w:rPr>
        <w:tab/>
        <w:t xml:space="preserve">For the purposes of this Act </w:t>
      </w:r>
      <w:r>
        <w:rPr>
          <w:b/>
          <w:snapToGrid w:val="0"/>
        </w:rPr>
        <w:t>“</w:t>
      </w:r>
      <w:r>
        <w:rPr>
          <w:rStyle w:val="CharDefText"/>
        </w:rPr>
        <w:t>serious conviction</w:t>
      </w:r>
      <w:r>
        <w:rPr>
          <w:b/>
          <w:snapToGrid w:val="0"/>
        </w:rPr>
        <w:t>”</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04" w:name="_Toc484505186"/>
      <w:bookmarkStart w:id="105" w:name="_Toc237337"/>
      <w:bookmarkStart w:id="106" w:name="_Toc118857414"/>
      <w:bookmarkStart w:id="107" w:name="_Toc157479004"/>
      <w:bookmarkStart w:id="108" w:name="_Toc153617638"/>
      <w:r>
        <w:rPr>
          <w:rStyle w:val="CharSectno"/>
        </w:rPr>
        <w:t>10</w:t>
      </w:r>
      <w:r>
        <w:rPr>
          <w:snapToGrid w:val="0"/>
        </w:rPr>
        <w:t>.</w:t>
      </w:r>
      <w:r>
        <w:rPr>
          <w:snapToGrid w:val="0"/>
        </w:rPr>
        <w:tab/>
        <w:t>Meaning of “lesser conviction”</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For the purposes of this Act </w:t>
      </w:r>
      <w:r>
        <w:rPr>
          <w:b/>
          <w:snapToGrid w:val="0"/>
        </w:rPr>
        <w:t>“</w:t>
      </w:r>
      <w:r>
        <w:rPr>
          <w:rStyle w:val="CharDefText"/>
        </w:rPr>
        <w:t>lesser conviction</w:t>
      </w:r>
      <w:r>
        <w:rPr>
          <w:b/>
          <w:snapToGrid w:val="0"/>
        </w:rPr>
        <w:t>”</w:t>
      </w:r>
      <w:r>
        <w:rPr>
          <w:snapToGrid w:val="0"/>
        </w:rPr>
        <w:t xml:space="preserve"> means a conviction in respect of which the sentence imposed is not a sentence referred to in section 9 or a sentence of life imprisonment.</w:t>
      </w:r>
    </w:p>
    <w:p>
      <w:pPr>
        <w:pStyle w:val="Subsection"/>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rPr>
          <w:snapToGrid w:val="0"/>
        </w:rPr>
      </w:pPr>
      <w:bookmarkStart w:id="109" w:name="_Toc484505187"/>
      <w:bookmarkStart w:id="110" w:name="_Toc237338"/>
      <w:bookmarkStart w:id="111" w:name="_Toc118857415"/>
      <w:bookmarkStart w:id="112" w:name="_Toc157479005"/>
      <w:bookmarkStart w:id="113" w:name="_Toc153617639"/>
      <w:r>
        <w:rPr>
          <w:rStyle w:val="CharSectno"/>
        </w:rPr>
        <w:t>11</w:t>
      </w:r>
      <w:r>
        <w:rPr>
          <w:snapToGrid w:val="0"/>
        </w:rPr>
        <w:t>.</w:t>
      </w:r>
      <w:r>
        <w:rPr>
          <w:snapToGrid w:val="0"/>
        </w:rPr>
        <w:tab/>
        <w:t>Meaning of “</w:t>
      </w:r>
      <w:r>
        <w:rPr>
          <w:rStyle w:val="CharDefText"/>
          <w:b/>
        </w:rPr>
        <w:t>prescribed period</w:t>
      </w:r>
      <w:r>
        <w:rPr>
          <w:snapToGrid w:val="0"/>
        </w:rPr>
        <w:t>”</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Next/>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b/>
          <w:snapToGrid w:val="0"/>
        </w:rPr>
        <w:t>“</w:t>
      </w:r>
      <w:r>
        <w:rPr>
          <w:rStyle w:val="CharDefText"/>
        </w:rPr>
        <w:t>the latest conviction</w:t>
      </w:r>
      <w:r>
        <w:rPr>
          <w:b/>
          <w:snapToGrid w:val="0"/>
        </w:rPr>
        <w:t>”</w:t>
      </w:r>
      <w:r>
        <w:rPr>
          <w:snapToGrid w:val="0"/>
        </w:rPr>
        <w:t xml:space="preserve">) he has any other conviction that is not a spent conviction (in this subsection called </w:t>
      </w:r>
      <w:r>
        <w:rPr>
          <w:b/>
          <w:snapToGrid w:val="0"/>
        </w:rPr>
        <w:t>“</w:t>
      </w:r>
      <w:r>
        <w:rPr>
          <w:rStyle w:val="CharDefText"/>
        </w:rPr>
        <w:t>any previous conviction</w:t>
      </w:r>
      <w:r>
        <w:rPr>
          <w:b/>
          <w:snapToGrid w:val="0"/>
        </w:rPr>
        <w:t>”</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b/>
          <w:snapToGrid w:val="0"/>
        </w:rPr>
        <w:t>“</w:t>
      </w:r>
      <w:r>
        <w:rPr>
          <w:rStyle w:val="CharDefText"/>
        </w:rPr>
        <w:t>the latest conviction</w:t>
      </w:r>
      <w:r>
        <w:rPr>
          <w:b/>
          <w:snapToGrid w:val="0"/>
        </w:rPr>
        <w:t>”</w:t>
      </w:r>
      <w:r>
        <w:rPr>
          <w:snapToGrid w:val="0"/>
        </w:rPr>
        <w:t xml:space="preserve"> does not include a conviction for which no punishment, or only minor punishment, was imposed.</w:t>
      </w:r>
    </w:p>
    <w:p>
      <w:pPr>
        <w:pStyle w:val="Heading2"/>
      </w:pPr>
      <w:bookmarkStart w:id="114" w:name="_Toc77413883"/>
      <w:bookmarkStart w:id="115" w:name="_Toc86555433"/>
      <w:bookmarkStart w:id="116" w:name="_Toc89229708"/>
      <w:bookmarkStart w:id="117" w:name="_Toc89247038"/>
      <w:bookmarkStart w:id="118" w:name="_Toc96923239"/>
      <w:bookmarkStart w:id="119" w:name="_Toc102530416"/>
      <w:bookmarkStart w:id="120" w:name="_Toc103134805"/>
      <w:bookmarkStart w:id="121" w:name="_Toc105300606"/>
      <w:bookmarkStart w:id="122" w:name="_Toc106440435"/>
      <w:bookmarkStart w:id="123" w:name="_Toc106506265"/>
      <w:bookmarkStart w:id="124" w:name="_Toc107204244"/>
      <w:bookmarkStart w:id="125" w:name="_Toc108239593"/>
      <w:bookmarkStart w:id="126" w:name="_Toc108247949"/>
      <w:bookmarkStart w:id="127" w:name="_Toc108249623"/>
      <w:bookmarkStart w:id="128" w:name="_Toc108251225"/>
      <w:bookmarkStart w:id="129" w:name="_Toc108428816"/>
      <w:bookmarkStart w:id="130" w:name="_Toc108495626"/>
      <w:bookmarkStart w:id="131" w:name="_Toc109469594"/>
      <w:bookmarkStart w:id="132" w:name="_Toc109469857"/>
      <w:bookmarkStart w:id="133" w:name="_Toc118797455"/>
      <w:bookmarkStart w:id="134" w:name="_Toc118857416"/>
      <w:bookmarkStart w:id="135" w:name="_Toc139773899"/>
      <w:bookmarkStart w:id="136" w:name="_Toc147055114"/>
      <w:bookmarkStart w:id="137" w:name="_Toc147133409"/>
      <w:bookmarkStart w:id="138" w:name="_Toc149450982"/>
      <w:bookmarkStart w:id="139" w:name="_Toc153610292"/>
      <w:bookmarkStart w:id="140" w:name="_Toc153617640"/>
      <w:bookmarkStart w:id="141" w:name="_Toc156724175"/>
      <w:bookmarkStart w:id="142" w:name="_Toc157479006"/>
      <w:r>
        <w:rPr>
          <w:rStyle w:val="CharPartNo"/>
        </w:rPr>
        <w:t>Part 3</w:t>
      </w:r>
      <w:r>
        <w:t> — </w:t>
      </w:r>
      <w:r>
        <w:rPr>
          <w:rStyle w:val="CharPartText"/>
        </w:rPr>
        <w:t>Effect of a conviction becoming spent</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Heading3"/>
        <w:spacing w:before="180"/>
        <w:rPr>
          <w:snapToGrid w:val="0"/>
        </w:rPr>
      </w:pPr>
      <w:bookmarkStart w:id="143" w:name="_Toc77413884"/>
      <w:bookmarkStart w:id="144" w:name="_Toc86555434"/>
      <w:bookmarkStart w:id="145" w:name="_Toc89229709"/>
      <w:bookmarkStart w:id="146" w:name="_Toc89247039"/>
      <w:bookmarkStart w:id="147" w:name="_Toc96923240"/>
      <w:bookmarkStart w:id="148" w:name="_Toc102530417"/>
      <w:bookmarkStart w:id="149" w:name="_Toc103134806"/>
      <w:bookmarkStart w:id="150" w:name="_Toc105300607"/>
      <w:bookmarkStart w:id="151" w:name="_Toc106440436"/>
      <w:bookmarkStart w:id="152" w:name="_Toc106506266"/>
      <w:bookmarkStart w:id="153" w:name="_Toc107204245"/>
      <w:bookmarkStart w:id="154" w:name="_Toc108239594"/>
      <w:bookmarkStart w:id="155" w:name="_Toc108247950"/>
      <w:bookmarkStart w:id="156" w:name="_Toc108249624"/>
      <w:bookmarkStart w:id="157" w:name="_Toc108251226"/>
      <w:bookmarkStart w:id="158" w:name="_Toc108428817"/>
      <w:bookmarkStart w:id="159" w:name="_Toc108495627"/>
      <w:bookmarkStart w:id="160" w:name="_Toc109469595"/>
      <w:bookmarkStart w:id="161" w:name="_Toc109469858"/>
      <w:bookmarkStart w:id="162" w:name="_Toc118797456"/>
      <w:bookmarkStart w:id="163" w:name="_Toc118857417"/>
      <w:bookmarkStart w:id="164" w:name="_Toc139773900"/>
      <w:bookmarkStart w:id="165" w:name="_Toc147055115"/>
      <w:bookmarkStart w:id="166" w:name="_Toc147133410"/>
      <w:bookmarkStart w:id="167" w:name="_Toc149450983"/>
      <w:bookmarkStart w:id="168" w:name="_Toc153610293"/>
      <w:bookmarkStart w:id="169" w:name="_Toc153617641"/>
      <w:bookmarkStart w:id="170" w:name="_Toc156724176"/>
      <w:bookmarkStart w:id="171" w:name="_Toc157479007"/>
      <w:r>
        <w:rPr>
          <w:rStyle w:val="CharDivNo"/>
        </w:rPr>
        <w:t>Division 1</w:t>
      </w:r>
      <w:r>
        <w:rPr>
          <w:snapToGrid w:val="0"/>
        </w:rPr>
        <w:t> — </w:t>
      </w:r>
      <w:r>
        <w:rPr>
          <w:rStyle w:val="CharDivText"/>
        </w:rPr>
        <w:t>Application</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Heading5"/>
        <w:spacing w:before="180"/>
        <w:rPr>
          <w:snapToGrid w:val="0"/>
        </w:rPr>
      </w:pPr>
      <w:bookmarkStart w:id="172" w:name="_Toc484505188"/>
      <w:bookmarkStart w:id="173" w:name="_Toc237339"/>
      <w:bookmarkStart w:id="174" w:name="_Toc118857418"/>
      <w:bookmarkStart w:id="175" w:name="_Toc157479008"/>
      <w:bookmarkStart w:id="176" w:name="_Toc153617642"/>
      <w:r>
        <w:rPr>
          <w:rStyle w:val="CharSectno"/>
        </w:rPr>
        <w:t>12</w:t>
      </w:r>
      <w:r>
        <w:rPr>
          <w:snapToGrid w:val="0"/>
        </w:rPr>
        <w:t>.</w:t>
      </w:r>
      <w:r>
        <w:rPr>
          <w:snapToGrid w:val="0"/>
        </w:rPr>
        <w:tab/>
        <w:t>Application</w:t>
      </w:r>
      <w:bookmarkEnd w:id="172"/>
      <w:r>
        <w:rPr>
          <w:snapToGrid w:val="0"/>
        </w:rPr>
        <w:t xml:space="preserve"> of Part </w:t>
      </w:r>
      <w:bookmarkEnd w:id="173"/>
      <w:r>
        <w:rPr>
          <w:snapToGrid w:val="0"/>
        </w:rPr>
        <w:t>3</w:t>
      </w:r>
      <w:bookmarkEnd w:id="174"/>
      <w:bookmarkEnd w:id="175"/>
      <w:bookmarkEnd w:id="176"/>
      <w:r>
        <w:rPr>
          <w:snapToGrid w:val="0"/>
        </w:rPr>
        <w:t xml:space="preserve"> </w:t>
      </w:r>
    </w:p>
    <w:p>
      <w:pPr>
        <w:pStyle w:val="Subsection"/>
        <w:spacing w:before="120"/>
        <w:rPr>
          <w:snapToGrid w:val="0"/>
        </w:rPr>
      </w:pPr>
      <w:r>
        <w:rPr>
          <w:snapToGrid w:val="0"/>
        </w:rPr>
        <w:tab/>
      </w:r>
      <w:r>
        <w:rPr>
          <w:snapToGrid w:val="0"/>
        </w:rPr>
        <w:tab/>
        <w:t>This Part applies to — </w:t>
      </w:r>
    </w:p>
    <w:p>
      <w:pPr>
        <w:pStyle w:val="Indenta"/>
        <w:rPr>
          <w:snapToGrid w:val="0"/>
        </w:rPr>
      </w:pPr>
      <w:r>
        <w:rPr>
          <w:snapToGrid w:val="0"/>
        </w:rPr>
        <w:tab/>
        <w:t>(a)</w:t>
      </w:r>
      <w:r>
        <w:rPr>
          <w:snapToGrid w:val="0"/>
        </w:rPr>
        <w:tab/>
        <w:t>a dismissal under — </w:t>
      </w:r>
    </w:p>
    <w:p>
      <w:pPr>
        <w:pStyle w:val="Indenti"/>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rPr>
          <w:snapToGrid w:val="0"/>
        </w:rPr>
      </w:pPr>
      <w:r>
        <w:rPr>
          <w:snapToGrid w:val="0"/>
        </w:rPr>
        <w:tab/>
        <w:t>(ii)</w:t>
      </w:r>
      <w:r>
        <w:rPr>
          <w:snapToGrid w:val="0"/>
        </w:rPr>
        <w:tab/>
      </w:r>
      <w:r>
        <w:rPr>
          <w:snapToGrid w:val="0"/>
          <w:spacing w:val="-4"/>
        </w:rPr>
        <w:t xml:space="preserve">section 34 or 34B of the </w:t>
      </w:r>
      <w:r>
        <w:rPr>
          <w:i/>
          <w:snapToGrid w:val="0"/>
          <w:spacing w:val="-4"/>
        </w:rPr>
        <w:t>Child Welfare Act 1947</w:t>
      </w:r>
      <w:r>
        <w:rPr>
          <w:snapToGrid w:val="0"/>
          <w:spacing w:val="-4"/>
        </w:rPr>
        <w:t> </w:t>
      </w:r>
      <w:r>
        <w:rPr>
          <w:snapToGrid w:val="0"/>
          <w:spacing w:val="-4"/>
          <w:vertAlign w:val="superscript"/>
        </w:rPr>
        <w:t>4</w:t>
      </w:r>
      <w:r>
        <w:rPr>
          <w:snapToGrid w:val="0"/>
          <w:spacing w:val="-4"/>
        </w:rPr>
        <w:t>;</w:t>
      </w:r>
    </w:p>
    <w:p>
      <w:pPr>
        <w:pStyle w:val="Indenta"/>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rPr>
          <w:snapToGrid w:val="0"/>
        </w:rPr>
      </w:pPr>
      <w:r>
        <w:rPr>
          <w:snapToGrid w:val="0"/>
        </w:rPr>
        <w:tab/>
        <w:t>(ac)</w:t>
      </w:r>
      <w:r>
        <w:rPr>
          <w:snapToGrid w:val="0"/>
        </w:rPr>
        <w:tab/>
      </w:r>
      <w:r>
        <w:rPr>
          <w:snapToGrid w:val="0"/>
          <w:spacing w:val="-4"/>
        </w:rPr>
        <w:t xml:space="preserve">a conviction that under section 40(2) of the </w:t>
      </w:r>
      <w:r>
        <w:rPr>
          <w:i/>
          <w:snapToGrid w:val="0"/>
          <w:spacing w:val="-4"/>
        </w:rPr>
        <w:t>Child Welfare Act 1947</w:t>
      </w:r>
      <w:r>
        <w:rPr>
          <w:snapToGrid w:val="0"/>
          <w:spacing w:val="-4"/>
        </w:rPr>
        <w:t xml:space="preserve"> </w:t>
      </w:r>
      <w:r>
        <w:rPr>
          <w:snapToGrid w:val="0"/>
          <w:spacing w:val="-4"/>
          <w:vertAlign w:val="superscript"/>
        </w:rPr>
        <w:t>4</w:t>
      </w:r>
      <w:r>
        <w:rPr>
          <w:snapToGrid w:val="0"/>
          <w:spacing w:val="-4"/>
        </w:rPr>
        <w:t xml:space="preserve"> was deemed not to be a conviction; and</w:t>
      </w:r>
    </w:p>
    <w:p>
      <w:pPr>
        <w:pStyle w:val="Indenta"/>
        <w:rPr>
          <w:snapToGrid w:val="0"/>
        </w:rPr>
      </w:pPr>
      <w:r>
        <w:rPr>
          <w:snapToGrid w:val="0"/>
        </w:rPr>
        <w:tab/>
        <w:t>(b)</w:t>
      </w:r>
      <w:r>
        <w:rPr>
          <w:snapToGrid w:val="0"/>
        </w:rPr>
        <w:tab/>
        <w:t>a charge formally made in court that a person has committed an offence where — </w:t>
      </w:r>
    </w:p>
    <w:p>
      <w:pPr>
        <w:pStyle w:val="Indenti"/>
        <w:rPr>
          <w:snapToGrid w:val="0"/>
        </w:rPr>
      </w:pPr>
      <w:r>
        <w:rPr>
          <w:snapToGrid w:val="0"/>
        </w:rPr>
        <w:tab/>
        <w:t>(i)</w:t>
      </w:r>
      <w:r>
        <w:rPr>
          <w:snapToGrid w:val="0"/>
        </w:rPr>
        <w:tab/>
        <w:t>the charge is withdrawn; or</w:t>
      </w:r>
    </w:p>
    <w:p>
      <w:pPr>
        <w:pStyle w:val="Indenti"/>
        <w:rPr>
          <w:snapToGrid w:val="0"/>
        </w:rPr>
      </w:pPr>
      <w:r>
        <w:rPr>
          <w:snapToGrid w:val="0"/>
        </w:rPr>
        <w:tab/>
        <w:t>(ii)</w:t>
      </w:r>
      <w:r>
        <w:rPr>
          <w:snapToGrid w:val="0"/>
        </w:rPr>
        <w:tab/>
        <w:t>the charge is disposed of without a conviction being recorded,</w:t>
      </w:r>
    </w:p>
    <w:p>
      <w:pPr>
        <w:pStyle w:val="Subsection"/>
        <w:spacing w:before="120"/>
        <w:rPr>
          <w:snapToGrid w:val="0"/>
        </w:rPr>
      </w:pPr>
      <w:r>
        <w:rPr>
          <w:snapToGrid w:val="0"/>
        </w:rPr>
        <w:tab/>
      </w:r>
      <w:r>
        <w:rPr>
          <w:snapToGrid w:val="0"/>
        </w:rPr>
        <w:tab/>
        <w:t>as if the dismissal or charge were a spent conviction.</w:t>
      </w:r>
    </w:p>
    <w:p>
      <w:pPr>
        <w:pStyle w:val="Footnotesection"/>
      </w:pPr>
      <w:r>
        <w:tab/>
        <w:t xml:space="preserve">[Section 12 amended by No. 78 of 1995 s. 122; No. 10 of 1998 s. 65(1).] </w:t>
      </w:r>
    </w:p>
    <w:p>
      <w:pPr>
        <w:pStyle w:val="Heading5"/>
        <w:spacing w:before="180"/>
        <w:rPr>
          <w:snapToGrid w:val="0"/>
        </w:rPr>
      </w:pPr>
      <w:bookmarkStart w:id="177" w:name="_Toc484505189"/>
      <w:bookmarkStart w:id="178" w:name="_Toc237340"/>
      <w:bookmarkStart w:id="179" w:name="_Toc118857419"/>
      <w:bookmarkStart w:id="180" w:name="_Toc157479009"/>
      <w:bookmarkStart w:id="181" w:name="_Toc153617643"/>
      <w:r>
        <w:rPr>
          <w:rStyle w:val="CharSectno"/>
        </w:rPr>
        <w:t>13</w:t>
      </w:r>
      <w:r>
        <w:rPr>
          <w:snapToGrid w:val="0"/>
        </w:rPr>
        <w:t>.</w:t>
      </w:r>
      <w:r>
        <w:rPr>
          <w:snapToGrid w:val="0"/>
        </w:rPr>
        <w:tab/>
        <w:t>Effect of Part 3 on other laws</w:t>
      </w:r>
      <w:bookmarkEnd w:id="177"/>
      <w:bookmarkEnd w:id="178"/>
      <w:bookmarkEnd w:id="179"/>
      <w:bookmarkEnd w:id="180"/>
      <w:bookmarkEnd w:id="181"/>
      <w:r>
        <w:rPr>
          <w:snapToGrid w:val="0"/>
        </w:rPr>
        <w:t xml:space="preserve"> </w:t>
      </w:r>
    </w:p>
    <w:p>
      <w:pPr>
        <w:pStyle w:val="Subsection"/>
        <w:spacing w:before="120"/>
        <w:rPr>
          <w:snapToGrid w:val="0"/>
        </w:rPr>
      </w:pPr>
      <w:r>
        <w:rPr>
          <w:snapToGrid w:val="0"/>
        </w:rPr>
        <w:tab/>
      </w:r>
      <w:r>
        <w:rPr>
          <w:snapToGrid w:val="0"/>
        </w:rPr>
        <w:tab/>
        <w:t>This Part has effect notwithstanding any other written law.</w:t>
      </w:r>
    </w:p>
    <w:p>
      <w:pPr>
        <w:pStyle w:val="Heading3"/>
        <w:keepNext w:val="0"/>
        <w:spacing w:before="180"/>
        <w:rPr>
          <w:snapToGrid w:val="0"/>
        </w:rPr>
      </w:pPr>
      <w:bookmarkStart w:id="182" w:name="_Toc77413887"/>
      <w:bookmarkStart w:id="183" w:name="_Toc86555437"/>
      <w:bookmarkStart w:id="184" w:name="_Toc89229712"/>
      <w:bookmarkStart w:id="185" w:name="_Toc89247042"/>
      <w:bookmarkStart w:id="186" w:name="_Toc96923243"/>
      <w:bookmarkStart w:id="187" w:name="_Toc102530420"/>
      <w:bookmarkStart w:id="188" w:name="_Toc103134809"/>
      <w:bookmarkStart w:id="189" w:name="_Toc105300610"/>
      <w:bookmarkStart w:id="190" w:name="_Toc106440439"/>
      <w:bookmarkStart w:id="191" w:name="_Toc106506269"/>
      <w:bookmarkStart w:id="192" w:name="_Toc107204248"/>
      <w:bookmarkStart w:id="193" w:name="_Toc108239597"/>
      <w:bookmarkStart w:id="194" w:name="_Toc108247953"/>
      <w:bookmarkStart w:id="195" w:name="_Toc108249627"/>
      <w:bookmarkStart w:id="196" w:name="_Toc108251229"/>
      <w:bookmarkStart w:id="197" w:name="_Toc108428820"/>
      <w:bookmarkStart w:id="198" w:name="_Toc108495630"/>
      <w:bookmarkStart w:id="199" w:name="_Toc109469598"/>
      <w:bookmarkStart w:id="200" w:name="_Toc109469861"/>
      <w:bookmarkStart w:id="201" w:name="_Toc118797459"/>
      <w:bookmarkStart w:id="202" w:name="_Toc118857420"/>
      <w:bookmarkStart w:id="203" w:name="_Toc139773903"/>
      <w:bookmarkStart w:id="204" w:name="_Toc147055118"/>
      <w:bookmarkStart w:id="205" w:name="_Toc147133413"/>
      <w:bookmarkStart w:id="206" w:name="_Toc149450986"/>
      <w:bookmarkStart w:id="207" w:name="_Toc153610296"/>
      <w:bookmarkStart w:id="208" w:name="_Toc153617644"/>
      <w:bookmarkStart w:id="209" w:name="_Toc156724179"/>
      <w:bookmarkStart w:id="210" w:name="_Toc157479010"/>
      <w:r>
        <w:rPr>
          <w:rStyle w:val="CharDivNo"/>
        </w:rPr>
        <w:t>Division 2</w:t>
      </w:r>
      <w:r>
        <w:rPr>
          <w:snapToGrid w:val="0"/>
        </w:rPr>
        <w:t> — </w:t>
      </w:r>
      <w:r>
        <w:rPr>
          <w:rStyle w:val="CharDivText"/>
        </w:rPr>
        <w:t>Exceptions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Heading5"/>
        <w:keepNext w:val="0"/>
        <w:spacing w:before="180"/>
        <w:rPr>
          <w:snapToGrid w:val="0"/>
        </w:rPr>
      </w:pPr>
      <w:bookmarkStart w:id="211" w:name="_Toc484505190"/>
      <w:bookmarkStart w:id="212" w:name="_Toc237341"/>
      <w:bookmarkStart w:id="213" w:name="_Toc118857421"/>
      <w:bookmarkStart w:id="214" w:name="_Toc157479011"/>
      <w:bookmarkStart w:id="215" w:name="_Toc153617645"/>
      <w:r>
        <w:rPr>
          <w:rStyle w:val="CharSectno"/>
        </w:rPr>
        <w:t>14.</w:t>
      </w:r>
      <w:r>
        <w:rPr>
          <w:snapToGrid w:val="0"/>
        </w:rPr>
        <w:tab/>
      </w:r>
      <w:bookmarkEnd w:id="211"/>
      <w:r>
        <w:rPr>
          <w:snapToGrid w:val="0"/>
        </w:rPr>
        <w:t>Proceedings in courts not affected by Division </w:t>
      </w:r>
      <w:bookmarkEnd w:id="212"/>
      <w:r>
        <w:rPr>
          <w:snapToGrid w:val="0"/>
        </w:rPr>
        <w:t>4</w:t>
      </w:r>
      <w:bookmarkEnd w:id="213"/>
      <w:bookmarkEnd w:id="214"/>
      <w:bookmarkEnd w:id="215"/>
      <w:r>
        <w:rPr>
          <w:snapToGrid w:val="0"/>
        </w:rPr>
        <w:t xml:space="preserve"> </w:t>
      </w:r>
    </w:p>
    <w:p>
      <w:pPr>
        <w:pStyle w:val="Subsection"/>
        <w:spacing w:before="120"/>
        <w:rPr>
          <w:snapToGrid w:val="0"/>
        </w:rPr>
      </w:pPr>
      <w:r>
        <w:rPr>
          <w:snapToGrid w:val="0"/>
        </w:rPr>
        <w:tab/>
        <w:t>(1)</w:t>
      </w:r>
      <w:r>
        <w:rPr>
          <w:snapToGrid w:val="0"/>
        </w:rPr>
        <w:tab/>
        <w:t>Nothing in Division 4 affects — </w:t>
      </w:r>
    </w:p>
    <w:p>
      <w:pPr>
        <w:pStyle w:val="Indenta"/>
        <w:spacing w:before="6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rPr>
          <w:snapToGrid w:val="0"/>
        </w:rPr>
      </w:pPr>
      <w:r>
        <w:rPr>
          <w:snapToGrid w:val="0"/>
        </w:rPr>
        <w:tab/>
        <w:t>(b)</w:t>
      </w:r>
      <w:r>
        <w:rPr>
          <w:snapToGrid w:val="0"/>
        </w:rPr>
        <w:tab/>
        <w:t>the Commissioner of Police acting under section 7.</w:t>
      </w:r>
    </w:p>
    <w:p>
      <w:pPr>
        <w:pStyle w:val="Subsection"/>
        <w:rPr>
          <w:snapToGrid w:val="0"/>
        </w:rPr>
      </w:pPr>
      <w:r>
        <w:rPr>
          <w:snapToGrid w:val="0"/>
        </w:rPr>
        <w:tab/>
        <w:t>(2)</w:t>
      </w:r>
      <w:r>
        <w:rPr>
          <w:snapToGrid w:val="0"/>
        </w:rPr>
        <w:tab/>
        <w:t>Without limiting subsection (1) — </w:t>
      </w:r>
    </w:p>
    <w:p>
      <w:pPr>
        <w:pStyle w:val="Indenta"/>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rPr>
          <w:snapToGrid w:val="0"/>
        </w:rPr>
      </w:pPr>
      <w:r>
        <w:rPr>
          <w:snapToGrid w:val="0"/>
        </w:rPr>
        <w:tab/>
        <w:t>(b)</w:t>
      </w:r>
      <w:r>
        <w:rPr>
          <w:snapToGrid w:val="0"/>
        </w:rPr>
        <w:tab/>
        <w:t>section 25(1) does not apply in a court or tribunal for the purpose of — </w:t>
      </w:r>
    </w:p>
    <w:p>
      <w:pPr>
        <w:pStyle w:val="Indenti"/>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rPr>
          <w:snapToGrid w:val="0"/>
        </w:rPr>
      </w:pPr>
      <w:r>
        <w:rPr>
          <w:snapToGrid w:val="0"/>
        </w:rPr>
        <w:tab/>
        <w:t>(ii)</w:t>
      </w:r>
      <w:r>
        <w:rPr>
          <w:snapToGrid w:val="0"/>
        </w:rPr>
        <w:tab/>
      </w:r>
      <w:r>
        <w:rPr>
          <w:snapToGrid w:val="0"/>
          <w:spacing w:val="-4"/>
        </w:rPr>
        <w:t>a determination of the appropriate punishment to be imposed by that court or tribunal for an offence.</w:t>
      </w:r>
    </w:p>
    <w:p>
      <w:pPr>
        <w:pStyle w:val="Subsection"/>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rPr>
          <w:snapToGrid w:val="0"/>
        </w:rPr>
      </w:pPr>
      <w:bookmarkStart w:id="216" w:name="_Toc484505191"/>
      <w:bookmarkStart w:id="217" w:name="_Toc237342"/>
      <w:bookmarkStart w:id="218" w:name="_Toc118857422"/>
      <w:bookmarkStart w:id="219" w:name="_Toc157479012"/>
      <w:bookmarkStart w:id="220" w:name="_Toc153617646"/>
      <w:r>
        <w:rPr>
          <w:rStyle w:val="CharSectno"/>
        </w:rPr>
        <w:t>15</w:t>
      </w:r>
      <w:r>
        <w:rPr>
          <w:snapToGrid w:val="0"/>
        </w:rPr>
        <w:t>.</w:t>
      </w:r>
      <w:r>
        <w:rPr>
          <w:snapToGrid w:val="0"/>
        </w:rPr>
        <w:tab/>
        <w:t>Bail decisions</w:t>
      </w:r>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rPr>
          <w:snapToGrid w:val="0"/>
        </w:rPr>
      </w:pPr>
      <w:bookmarkStart w:id="221" w:name="_Toc484505192"/>
      <w:bookmarkStart w:id="222" w:name="_Toc237343"/>
      <w:bookmarkStart w:id="223" w:name="_Toc118857423"/>
      <w:bookmarkStart w:id="224" w:name="_Toc157479013"/>
      <w:bookmarkStart w:id="225" w:name="_Toc153617647"/>
      <w:r>
        <w:rPr>
          <w:rStyle w:val="CharSectno"/>
        </w:rPr>
        <w:t>16</w:t>
      </w:r>
      <w:r>
        <w:rPr>
          <w:snapToGrid w:val="0"/>
        </w:rPr>
        <w:t>.</w:t>
      </w:r>
      <w:r>
        <w:rPr>
          <w:snapToGrid w:val="0"/>
        </w:rPr>
        <w:tab/>
        <w:t>Further exceptions</w:t>
      </w:r>
      <w:bookmarkEnd w:id="221"/>
      <w:bookmarkEnd w:id="222"/>
      <w:bookmarkEnd w:id="223"/>
      <w:bookmarkEnd w:id="224"/>
      <w:bookmarkEnd w:id="225"/>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spacing w:val="-4"/>
        </w:rPr>
      </w:pPr>
      <w:r>
        <w:rPr>
          <w:snapToGrid w:val="0"/>
        </w:rPr>
        <w:tab/>
      </w:r>
      <w:r>
        <w:rPr>
          <w:snapToGrid w:val="0"/>
          <w:spacing w:val="-4"/>
        </w:rPr>
        <w:t>(i)</w:t>
      </w:r>
      <w:r>
        <w:rPr>
          <w:snapToGrid w:val="0"/>
          <w:spacing w:val="-4"/>
        </w:rPr>
        <w:tab/>
        <w:t>an employer, principal, organisation, authority, agency or other person who would otherwise be bound by this Part, or any class thereof;</w:t>
      </w:r>
    </w:p>
    <w:p>
      <w:pPr>
        <w:pStyle w:val="Indenti"/>
        <w:rPr>
          <w:snapToGrid w:val="0"/>
          <w:spacing w:val="-4"/>
        </w:rPr>
      </w:pPr>
      <w:r>
        <w:rPr>
          <w:snapToGrid w:val="0"/>
          <w:spacing w:val="-4"/>
        </w:rPr>
        <w:tab/>
        <w:t>(ii)</w:t>
      </w:r>
      <w:r>
        <w:rPr>
          <w:snapToGrid w:val="0"/>
          <w:spacing w:val="-4"/>
        </w:rPr>
        <w:tab/>
        <w:t>an employee, contract worker, or other person who would otherwise have the benefit of this Part, or any class thereof;</w:t>
      </w:r>
    </w:p>
    <w:p>
      <w:pPr>
        <w:pStyle w:val="Indenti"/>
        <w:rPr>
          <w:snapToGrid w:val="0"/>
          <w:spacing w:val="-4"/>
        </w:rPr>
      </w:pPr>
      <w:r>
        <w:rPr>
          <w:snapToGrid w:val="0"/>
          <w:spacing w:val="-4"/>
        </w:rPr>
        <w:tab/>
        <w:t>(iii)</w:t>
      </w:r>
      <w:r>
        <w:rPr>
          <w:snapToGrid w:val="0"/>
          <w:spacing w:val="-4"/>
        </w:rPr>
        <w:tab/>
        <w:t>a type of employment or legal relationship to which this Part relates, or any class thereof;</w:t>
      </w:r>
    </w:p>
    <w:p>
      <w:pPr>
        <w:pStyle w:val="Indenta"/>
        <w:rPr>
          <w:snapToGrid w:val="0"/>
          <w:spacing w:val="-4"/>
        </w:rPr>
      </w:pPr>
      <w:r>
        <w:rPr>
          <w:snapToGrid w:val="0"/>
          <w:spacing w:val="-4"/>
        </w:rPr>
        <w:tab/>
        <w:t>(b)</w:t>
      </w:r>
      <w:r>
        <w:rPr>
          <w:snapToGrid w:val="0"/>
          <w:spacing w:val="-4"/>
        </w:rPr>
        <w:tab/>
        <w:t>to apply to — </w:t>
      </w:r>
    </w:p>
    <w:p>
      <w:pPr>
        <w:pStyle w:val="Indenti"/>
        <w:rPr>
          <w:snapToGrid w:val="0"/>
          <w:spacing w:val="-4"/>
        </w:rPr>
      </w:pPr>
      <w:r>
        <w:rPr>
          <w:snapToGrid w:val="0"/>
          <w:spacing w:val="-4"/>
        </w:rPr>
        <w:tab/>
        <w:t>(i)</w:t>
      </w:r>
      <w:r>
        <w:rPr>
          <w:snapToGrid w:val="0"/>
          <w:spacing w:val="-4"/>
        </w:rPr>
        <w:tab/>
        <w:t>the whole, or any specified provision, of this Part; or</w:t>
      </w:r>
    </w:p>
    <w:p>
      <w:pPr>
        <w:pStyle w:val="Indenti"/>
        <w:rPr>
          <w:snapToGrid w:val="0"/>
          <w:spacing w:val="-4"/>
        </w:rPr>
      </w:pPr>
      <w:r>
        <w:rPr>
          <w:snapToGrid w:val="0"/>
          <w:spacing w:val="-4"/>
        </w:rPr>
        <w:tab/>
        <w:t>(ii)</w:t>
      </w:r>
      <w:r>
        <w:rPr>
          <w:snapToGrid w:val="0"/>
          <w:spacing w:val="-4"/>
        </w:rPr>
        <w:tab/>
        <w:t>all spent convictions or spent convictions for specified offences or classes of offences,</w:t>
      </w:r>
    </w:p>
    <w:p>
      <w:pPr>
        <w:pStyle w:val="Subsection"/>
        <w:rPr>
          <w:snapToGrid w:val="0"/>
          <w:spacing w:val="-4"/>
        </w:rPr>
      </w:pPr>
      <w:r>
        <w:rPr>
          <w:snapToGrid w:val="0"/>
          <w:spacing w:val="-4"/>
        </w:rPr>
        <w:tab/>
      </w:r>
      <w:r>
        <w:rPr>
          <w:snapToGrid w:val="0"/>
          <w:spacing w:val="-4"/>
        </w:rPr>
        <w:tab/>
        <w:t>or in terms that are a combination of any 2 or more of the foregoing.</w:t>
      </w:r>
    </w:p>
    <w:p>
      <w:pPr>
        <w:pStyle w:val="Heading3"/>
        <w:rPr>
          <w:snapToGrid w:val="0"/>
          <w:spacing w:val="-4"/>
        </w:rPr>
      </w:pPr>
      <w:bookmarkStart w:id="226" w:name="_Toc77413891"/>
      <w:bookmarkStart w:id="227" w:name="_Toc86555441"/>
      <w:bookmarkStart w:id="228" w:name="_Toc89229716"/>
      <w:bookmarkStart w:id="229" w:name="_Toc89247046"/>
      <w:bookmarkStart w:id="230" w:name="_Toc96923247"/>
      <w:bookmarkStart w:id="231" w:name="_Toc102530424"/>
      <w:bookmarkStart w:id="232" w:name="_Toc103134813"/>
      <w:bookmarkStart w:id="233" w:name="_Toc105300614"/>
      <w:bookmarkStart w:id="234" w:name="_Toc106440443"/>
      <w:bookmarkStart w:id="235" w:name="_Toc106506273"/>
      <w:bookmarkStart w:id="236" w:name="_Toc107204252"/>
      <w:bookmarkStart w:id="237" w:name="_Toc108239601"/>
      <w:bookmarkStart w:id="238" w:name="_Toc108247957"/>
      <w:bookmarkStart w:id="239" w:name="_Toc108249631"/>
      <w:bookmarkStart w:id="240" w:name="_Toc108251233"/>
      <w:bookmarkStart w:id="241" w:name="_Toc108428824"/>
      <w:bookmarkStart w:id="242" w:name="_Toc108495634"/>
      <w:bookmarkStart w:id="243" w:name="_Toc109469602"/>
      <w:bookmarkStart w:id="244" w:name="_Toc109469865"/>
      <w:bookmarkStart w:id="245" w:name="_Toc118797463"/>
      <w:bookmarkStart w:id="246" w:name="_Toc118857424"/>
      <w:bookmarkStart w:id="247" w:name="_Toc139773907"/>
      <w:bookmarkStart w:id="248" w:name="_Toc147055122"/>
      <w:bookmarkStart w:id="249" w:name="_Toc147133417"/>
      <w:bookmarkStart w:id="250" w:name="_Toc149450990"/>
      <w:bookmarkStart w:id="251" w:name="_Toc153610300"/>
      <w:bookmarkStart w:id="252" w:name="_Toc153617648"/>
      <w:bookmarkStart w:id="253" w:name="_Toc156724183"/>
      <w:bookmarkStart w:id="254" w:name="_Toc157479014"/>
      <w:r>
        <w:rPr>
          <w:rStyle w:val="CharDivNo"/>
          <w:spacing w:val="-4"/>
        </w:rPr>
        <w:t>Division 3</w:t>
      </w:r>
      <w:r>
        <w:rPr>
          <w:snapToGrid w:val="0"/>
          <w:spacing w:val="-4"/>
        </w:rPr>
        <w:t> — </w:t>
      </w:r>
      <w:r>
        <w:rPr>
          <w:rStyle w:val="CharDivText"/>
          <w:spacing w:val="-4"/>
        </w:rPr>
        <w:t>Discrimination on ground of spent conviction</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DivText"/>
          <w:spacing w:val="-4"/>
        </w:rPr>
        <w:t xml:space="preserve"> </w:t>
      </w:r>
    </w:p>
    <w:p>
      <w:pPr>
        <w:pStyle w:val="Heading5"/>
        <w:rPr>
          <w:snapToGrid w:val="0"/>
          <w:spacing w:val="-4"/>
        </w:rPr>
      </w:pPr>
      <w:bookmarkStart w:id="255" w:name="_Toc484505193"/>
      <w:bookmarkStart w:id="256" w:name="_Toc237344"/>
      <w:bookmarkStart w:id="257" w:name="_Toc118857425"/>
      <w:bookmarkStart w:id="258" w:name="_Toc157479015"/>
      <w:bookmarkStart w:id="259" w:name="_Toc153617649"/>
      <w:r>
        <w:rPr>
          <w:rStyle w:val="CharSectno"/>
          <w:spacing w:val="-4"/>
        </w:rPr>
        <w:t>17</w:t>
      </w:r>
      <w:r>
        <w:rPr>
          <w:snapToGrid w:val="0"/>
          <w:spacing w:val="-4"/>
        </w:rPr>
        <w:t>.</w:t>
      </w:r>
      <w:r>
        <w:rPr>
          <w:snapToGrid w:val="0"/>
          <w:spacing w:val="-4"/>
        </w:rPr>
        <w:tab/>
        <w:t>Interpretation</w:t>
      </w:r>
      <w:bookmarkEnd w:id="255"/>
      <w:bookmarkEnd w:id="256"/>
      <w:bookmarkEnd w:id="257"/>
      <w:bookmarkEnd w:id="258"/>
      <w:bookmarkEnd w:id="259"/>
      <w:r>
        <w:rPr>
          <w:snapToGrid w:val="0"/>
          <w:spacing w:val="-4"/>
        </w:rPr>
        <w:t xml:space="preserve"> </w:t>
      </w:r>
    </w:p>
    <w:p>
      <w:pPr>
        <w:pStyle w:val="Subsection"/>
        <w:rPr>
          <w:snapToGrid w:val="0"/>
          <w:spacing w:val="-4"/>
        </w:rPr>
      </w:pPr>
      <w:r>
        <w:rPr>
          <w:snapToGrid w:val="0"/>
          <w:spacing w:val="-4"/>
        </w:rPr>
        <w:tab/>
        <w:t>(1)</w:t>
      </w:r>
      <w:r>
        <w:rPr>
          <w:snapToGrid w:val="0"/>
          <w:spacing w:val="-4"/>
        </w:rPr>
        <w:tab/>
        <w:t xml:space="preserve">In this Division </w:t>
      </w:r>
      <w:r>
        <w:rPr>
          <w:b/>
          <w:snapToGrid w:val="0"/>
          <w:spacing w:val="-4"/>
        </w:rPr>
        <w:t>“</w:t>
      </w:r>
      <w:r>
        <w:rPr>
          <w:rStyle w:val="CharDefText"/>
          <w:spacing w:val="-4"/>
        </w:rPr>
        <w:t>commission agent</w:t>
      </w:r>
      <w:r>
        <w:rPr>
          <w:b/>
          <w:snapToGrid w:val="0"/>
          <w:spacing w:val="-4"/>
        </w:rPr>
        <w:t>”</w:t>
      </w:r>
      <w:r>
        <w:rPr>
          <w:snapToGrid w:val="0"/>
          <w:spacing w:val="-4"/>
        </w:rPr>
        <w:t xml:space="preserve">, </w:t>
      </w:r>
      <w:r>
        <w:rPr>
          <w:b/>
          <w:snapToGrid w:val="0"/>
          <w:spacing w:val="-4"/>
        </w:rPr>
        <w:t>“</w:t>
      </w:r>
      <w:r>
        <w:rPr>
          <w:rStyle w:val="CharDefText"/>
          <w:spacing w:val="-4"/>
        </w:rPr>
        <w:t>committee of management</w:t>
      </w:r>
      <w:r>
        <w:rPr>
          <w:b/>
          <w:snapToGrid w:val="0"/>
          <w:spacing w:val="-4"/>
        </w:rPr>
        <w:t>”</w:t>
      </w:r>
      <w:r>
        <w:rPr>
          <w:snapToGrid w:val="0"/>
          <w:spacing w:val="-4"/>
        </w:rPr>
        <w:t xml:space="preserve">, </w:t>
      </w:r>
      <w:r>
        <w:rPr>
          <w:b/>
          <w:snapToGrid w:val="0"/>
          <w:spacing w:val="-4"/>
        </w:rPr>
        <w:t>“</w:t>
      </w:r>
      <w:r>
        <w:rPr>
          <w:rStyle w:val="CharDefText"/>
          <w:spacing w:val="-4"/>
        </w:rPr>
        <w:t>contract worker</w:t>
      </w:r>
      <w:r>
        <w:rPr>
          <w:b/>
          <w:snapToGrid w:val="0"/>
          <w:spacing w:val="-4"/>
        </w:rPr>
        <w:t>”</w:t>
      </w:r>
      <w:r>
        <w:rPr>
          <w:snapToGrid w:val="0"/>
          <w:spacing w:val="-4"/>
        </w:rPr>
        <w:t xml:space="preserve">, </w:t>
      </w:r>
      <w:r>
        <w:rPr>
          <w:b/>
          <w:snapToGrid w:val="0"/>
          <w:spacing w:val="-4"/>
        </w:rPr>
        <w:t>“</w:t>
      </w:r>
      <w:r>
        <w:rPr>
          <w:rStyle w:val="CharDefText"/>
          <w:spacing w:val="-4"/>
        </w:rPr>
        <w:t>employment</w:t>
      </w:r>
      <w:r>
        <w:rPr>
          <w:b/>
          <w:snapToGrid w:val="0"/>
          <w:spacing w:val="-4"/>
        </w:rPr>
        <w:t>”</w:t>
      </w:r>
      <w:r>
        <w:rPr>
          <w:snapToGrid w:val="0"/>
          <w:spacing w:val="-4"/>
        </w:rPr>
        <w:t xml:space="preserve">, </w:t>
      </w:r>
      <w:r>
        <w:rPr>
          <w:b/>
          <w:snapToGrid w:val="0"/>
          <w:spacing w:val="-4"/>
        </w:rPr>
        <w:t>“</w:t>
      </w:r>
      <w:r>
        <w:rPr>
          <w:rStyle w:val="CharDefText"/>
          <w:spacing w:val="-4"/>
        </w:rPr>
        <w:t>employment agency</w:t>
      </w:r>
      <w:r>
        <w:rPr>
          <w:b/>
          <w:snapToGrid w:val="0"/>
          <w:spacing w:val="-4"/>
        </w:rPr>
        <w:t>”</w:t>
      </w:r>
      <w:r>
        <w:rPr>
          <w:snapToGrid w:val="0"/>
          <w:spacing w:val="-4"/>
        </w:rPr>
        <w:t xml:space="preserve"> and </w:t>
      </w:r>
      <w:r>
        <w:rPr>
          <w:b/>
          <w:snapToGrid w:val="0"/>
          <w:spacing w:val="-4"/>
        </w:rPr>
        <w:t>“</w:t>
      </w:r>
      <w:r>
        <w:rPr>
          <w:rStyle w:val="CharDefText"/>
          <w:spacing w:val="-4"/>
        </w:rPr>
        <w:t>principal</w:t>
      </w:r>
      <w:r>
        <w:rPr>
          <w:b/>
          <w:snapToGrid w:val="0"/>
          <w:spacing w:val="-4"/>
        </w:rPr>
        <w:t>”</w:t>
      </w:r>
      <w:r>
        <w:rPr>
          <w:snapToGrid w:val="0"/>
          <w:spacing w:val="-4"/>
        </w:rPr>
        <w:t xml:space="preserve"> have the respective meanings assigned to them by the </w:t>
      </w:r>
      <w:r>
        <w:rPr>
          <w:i/>
          <w:snapToGrid w:val="0"/>
          <w:spacing w:val="-4"/>
        </w:rPr>
        <w:t>Equal Opportunity Act 1984</w:t>
      </w:r>
      <w:r>
        <w:rPr>
          <w:snapToGrid w:val="0"/>
          <w:spacing w:val="-4"/>
        </w:rPr>
        <w:t>.</w:t>
      </w:r>
    </w:p>
    <w:p>
      <w:pPr>
        <w:pStyle w:val="Subsection"/>
        <w:rPr>
          <w:snapToGrid w:val="0"/>
          <w:spacing w:val="-4"/>
        </w:rPr>
      </w:pPr>
      <w:r>
        <w:rPr>
          <w:snapToGrid w:val="0"/>
          <w:spacing w:val="-4"/>
        </w:rPr>
        <w:tab/>
        <w:t>(2)</w:t>
      </w:r>
      <w:r>
        <w:rPr>
          <w:snapToGrid w:val="0"/>
          <w:spacing w:val="-4"/>
        </w:rPr>
        <w:tab/>
        <w:t xml:space="preserve">For the purposes of this Division, a person (in this subsection referred to as the </w:t>
      </w:r>
      <w:r>
        <w:rPr>
          <w:b/>
          <w:snapToGrid w:val="0"/>
          <w:spacing w:val="-4"/>
        </w:rPr>
        <w:t>“</w:t>
      </w:r>
      <w:r>
        <w:rPr>
          <w:rStyle w:val="CharDefText"/>
          <w:spacing w:val="-4"/>
        </w:rPr>
        <w:t>discriminator</w:t>
      </w:r>
      <w:r>
        <w:rPr>
          <w:b/>
          <w:snapToGrid w:val="0"/>
          <w:spacing w:val="-4"/>
        </w:rPr>
        <w:t>”</w:t>
      </w:r>
      <w:r>
        <w:rPr>
          <w:snapToGrid w:val="0"/>
          <w:spacing w:val="-4"/>
        </w:rPr>
        <w:t xml:space="preserve">) discriminates against another person (in this subsection referred to as the </w:t>
      </w:r>
      <w:r>
        <w:rPr>
          <w:b/>
          <w:snapToGrid w:val="0"/>
          <w:spacing w:val="-4"/>
        </w:rPr>
        <w:t>“</w:t>
      </w:r>
      <w:r>
        <w:rPr>
          <w:rStyle w:val="CharDefText"/>
          <w:spacing w:val="-4"/>
        </w:rPr>
        <w:t>aggrieved person</w:t>
      </w:r>
      <w:r>
        <w:rPr>
          <w:b/>
          <w:snapToGrid w:val="0"/>
          <w:spacing w:val="-4"/>
        </w:rPr>
        <w:t>”</w:t>
      </w:r>
      <w:r>
        <w:rPr>
          <w:snapToGrid w:val="0"/>
          <w:spacing w:val="-4"/>
        </w:rPr>
        <w:t>) on the ground of a spent conviction if — </w:t>
      </w:r>
    </w:p>
    <w:p>
      <w:pPr>
        <w:pStyle w:val="Indenta"/>
        <w:rPr>
          <w:snapToGrid w:val="0"/>
          <w:spacing w:val="-4"/>
        </w:rPr>
      </w:pPr>
      <w:r>
        <w:rPr>
          <w:snapToGrid w:val="0"/>
          <w:spacing w:val="-4"/>
        </w:rPr>
        <w:tab/>
        <w:t>(a)</w:t>
      </w:r>
      <w:r>
        <w:rPr>
          <w:snapToGrid w:val="0"/>
          <w:spacing w:val="-4"/>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spacing w:val="-4"/>
        </w:rPr>
        <w:tab/>
        <w:t>(b)</w:t>
      </w:r>
      <w:r>
        <w:rPr>
          <w:snapToGrid w:val="0"/>
          <w:spacing w:val="-4"/>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260" w:name="_Toc484505194"/>
      <w:bookmarkStart w:id="261" w:name="_Toc237345"/>
      <w:bookmarkStart w:id="262" w:name="_Toc118857426"/>
      <w:bookmarkStart w:id="263" w:name="_Toc157479016"/>
      <w:bookmarkStart w:id="264" w:name="_Toc153617650"/>
      <w:r>
        <w:rPr>
          <w:rStyle w:val="CharSectno"/>
        </w:rPr>
        <w:t>18</w:t>
      </w:r>
      <w:r>
        <w:rPr>
          <w:snapToGrid w:val="0"/>
        </w:rPr>
        <w:t>.</w:t>
      </w:r>
      <w:r>
        <w:rPr>
          <w:snapToGrid w:val="0"/>
        </w:rPr>
        <w:tab/>
        <w:t>Discrimination against job applicants and employees</w:t>
      </w:r>
      <w:bookmarkEnd w:id="260"/>
      <w:bookmarkEnd w:id="261"/>
      <w:bookmarkEnd w:id="262"/>
      <w:bookmarkEnd w:id="263"/>
      <w:bookmarkEnd w:id="264"/>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 </w:t>
      </w:r>
    </w:p>
    <w:p>
      <w:pPr>
        <w:pStyle w:val="Indenta"/>
        <w:spacing w:before="70"/>
        <w:rPr>
          <w:snapToGrid w:val="0"/>
        </w:rPr>
      </w:pPr>
      <w:r>
        <w:rPr>
          <w:snapToGrid w:val="0"/>
        </w:rPr>
        <w:tab/>
        <w:t>(a)</w:t>
      </w:r>
      <w:r>
        <w:rPr>
          <w:snapToGrid w:val="0"/>
        </w:rPr>
        <w:tab/>
        <w:t>in the arrangements made for the purpose of determining who should be offered employment;</w:t>
      </w:r>
    </w:p>
    <w:p>
      <w:pPr>
        <w:pStyle w:val="Indenta"/>
        <w:spacing w:before="70"/>
        <w:rPr>
          <w:snapToGrid w:val="0"/>
        </w:rPr>
      </w:pPr>
      <w:r>
        <w:rPr>
          <w:snapToGrid w:val="0"/>
        </w:rPr>
        <w:tab/>
        <w:t>(b)</w:t>
      </w:r>
      <w:r>
        <w:rPr>
          <w:snapToGrid w:val="0"/>
        </w:rPr>
        <w:tab/>
        <w:t>in determining who should be offered employment; or</w:t>
      </w:r>
    </w:p>
    <w:p>
      <w:pPr>
        <w:pStyle w:val="Indenta"/>
        <w:spacing w:before="70"/>
        <w:rPr>
          <w:snapToGrid w:val="0"/>
          <w:spacing w:val="-4"/>
        </w:rPr>
      </w:pPr>
      <w:r>
        <w:rPr>
          <w:snapToGrid w:val="0"/>
        </w:rPr>
        <w:tab/>
        <w:t>(c)</w:t>
      </w:r>
      <w:r>
        <w:rPr>
          <w:snapToGrid w:val="0"/>
        </w:rPr>
        <w:tab/>
      </w:r>
      <w:r>
        <w:rPr>
          <w:snapToGrid w:val="0"/>
          <w:spacing w:val="-4"/>
        </w:rPr>
        <w:t>in the terms or conditions on which employment is offered.</w:t>
      </w:r>
    </w:p>
    <w:p>
      <w:pPr>
        <w:pStyle w:val="Subsection"/>
        <w:spacing w:before="120"/>
        <w:rPr>
          <w:snapToGrid w:val="0"/>
        </w:rPr>
      </w:pPr>
      <w:r>
        <w:rPr>
          <w:snapToGrid w:val="0"/>
          <w:spacing w:val="-4"/>
        </w:rPr>
        <w:tab/>
      </w:r>
      <w:r>
        <w:rPr>
          <w:snapToGrid w:val="0"/>
        </w:rPr>
        <w:t>(2)</w:t>
      </w:r>
      <w:r>
        <w:rPr>
          <w:snapToGrid w:val="0"/>
          <w:spacing w:val="-4"/>
        </w:rPr>
        <w:tab/>
        <w:t>It is unlawful for an employer to discriminate against an employee on the ground of a spent conviction of the employee —</w:t>
      </w:r>
      <w:r>
        <w:rPr>
          <w:snapToGrid w:val="0"/>
        </w:rPr>
        <w:t> </w:t>
      </w:r>
    </w:p>
    <w:p>
      <w:pPr>
        <w:pStyle w:val="Indenta"/>
        <w:spacing w:before="70"/>
        <w:rPr>
          <w:snapToGrid w:val="0"/>
        </w:rPr>
      </w:pPr>
      <w:r>
        <w:rPr>
          <w:snapToGrid w:val="0"/>
        </w:rPr>
        <w:tab/>
        <w:t>(a)</w:t>
      </w:r>
      <w:r>
        <w:rPr>
          <w:snapToGrid w:val="0"/>
        </w:rPr>
        <w:tab/>
        <w:t>in the terms or conditions of employment that the employer affords the employee;</w:t>
      </w:r>
    </w:p>
    <w:p>
      <w:pPr>
        <w:pStyle w:val="Indenta"/>
        <w:spacing w:before="7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70"/>
        <w:rPr>
          <w:snapToGrid w:val="0"/>
        </w:rPr>
      </w:pPr>
      <w:r>
        <w:rPr>
          <w:snapToGrid w:val="0"/>
        </w:rPr>
        <w:tab/>
        <w:t>(c)</w:t>
      </w:r>
      <w:r>
        <w:rPr>
          <w:snapToGrid w:val="0"/>
        </w:rPr>
        <w:tab/>
        <w:t>by dismissing the employee; or</w:t>
      </w:r>
    </w:p>
    <w:p>
      <w:pPr>
        <w:pStyle w:val="Indenta"/>
        <w:spacing w:before="70"/>
        <w:rPr>
          <w:snapToGrid w:val="0"/>
        </w:rPr>
      </w:pPr>
      <w:r>
        <w:rPr>
          <w:snapToGrid w:val="0"/>
        </w:rPr>
        <w:tab/>
        <w:t>(d)</w:t>
      </w:r>
      <w:r>
        <w:rPr>
          <w:snapToGrid w:val="0"/>
        </w:rPr>
        <w:tab/>
        <w:t>by subjecting the employee to any other detriment.</w:t>
      </w:r>
    </w:p>
    <w:p>
      <w:pPr>
        <w:pStyle w:val="Heading5"/>
        <w:rPr>
          <w:snapToGrid w:val="0"/>
        </w:rPr>
      </w:pPr>
      <w:bookmarkStart w:id="265" w:name="_Toc484505195"/>
      <w:bookmarkStart w:id="266" w:name="_Toc237346"/>
      <w:bookmarkStart w:id="267" w:name="_Toc118857427"/>
      <w:bookmarkStart w:id="268" w:name="_Toc157479017"/>
      <w:bookmarkStart w:id="269" w:name="_Toc153617651"/>
      <w:r>
        <w:rPr>
          <w:rStyle w:val="CharSectno"/>
        </w:rPr>
        <w:t>19</w:t>
      </w:r>
      <w:r>
        <w:rPr>
          <w:snapToGrid w:val="0"/>
        </w:rPr>
        <w:t>.</w:t>
      </w:r>
      <w:r>
        <w:rPr>
          <w:snapToGrid w:val="0"/>
        </w:rPr>
        <w:tab/>
        <w:t>Discrimination against commission agents</w:t>
      </w:r>
      <w:bookmarkEnd w:id="265"/>
      <w:bookmarkEnd w:id="266"/>
      <w:bookmarkEnd w:id="267"/>
      <w:bookmarkEnd w:id="268"/>
      <w:bookmarkEnd w:id="269"/>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spacing w:before="120"/>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270" w:name="_Toc484505196"/>
      <w:bookmarkStart w:id="271" w:name="_Toc237347"/>
      <w:bookmarkStart w:id="272" w:name="_Toc118857428"/>
      <w:bookmarkStart w:id="273" w:name="_Toc157479018"/>
      <w:bookmarkStart w:id="274" w:name="_Toc153617652"/>
      <w:r>
        <w:rPr>
          <w:rStyle w:val="CharSectno"/>
        </w:rPr>
        <w:t>20</w:t>
      </w:r>
      <w:r>
        <w:rPr>
          <w:snapToGrid w:val="0"/>
        </w:rPr>
        <w:t>.</w:t>
      </w:r>
      <w:r>
        <w:rPr>
          <w:snapToGrid w:val="0"/>
        </w:rPr>
        <w:tab/>
        <w:t>Discrimination against contract workers</w:t>
      </w:r>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275" w:name="_Toc484505197"/>
      <w:bookmarkStart w:id="276" w:name="_Toc237348"/>
      <w:bookmarkStart w:id="277" w:name="_Toc118857429"/>
      <w:bookmarkStart w:id="278" w:name="_Toc157479019"/>
      <w:bookmarkStart w:id="279" w:name="_Toc153617653"/>
      <w:r>
        <w:rPr>
          <w:rStyle w:val="CharSectno"/>
        </w:rPr>
        <w:t>21</w:t>
      </w:r>
      <w:r>
        <w:rPr>
          <w:snapToGrid w:val="0"/>
        </w:rPr>
        <w:t>.</w:t>
      </w:r>
      <w:r>
        <w:rPr>
          <w:snapToGrid w:val="0"/>
        </w:rPr>
        <w:tab/>
      </w:r>
      <w:bookmarkEnd w:id="275"/>
      <w:r>
        <w:rPr>
          <w:snapToGrid w:val="0"/>
        </w:rPr>
        <w:t>Discrimination by organisations of workers and employers</w:t>
      </w:r>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280" w:name="_Toc484505198"/>
      <w:bookmarkStart w:id="281" w:name="_Toc237349"/>
      <w:bookmarkStart w:id="282" w:name="_Toc118857430"/>
      <w:bookmarkStart w:id="283" w:name="_Toc157479020"/>
      <w:bookmarkStart w:id="284" w:name="_Toc153617654"/>
      <w:r>
        <w:rPr>
          <w:rStyle w:val="CharSectno"/>
        </w:rPr>
        <w:t>22</w:t>
      </w:r>
      <w:r>
        <w:rPr>
          <w:snapToGrid w:val="0"/>
        </w:rPr>
        <w:t>.</w:t>
      </w:r>
      <w:r>
        <w:rPr>
          <w:snapToGrid w:val="0"/>
        </w:rPr>
        <w:tab/>
      </w:r>
      <w:bookmarkEnd w:id="280"/>
      <w:r>
        <w:rPr>
          <w:snapToGrid w:val="0"/>
        </w:rPr>
        <w:t>Discrimination by authorities that confer qualifications etc.</w:t>
      </w:r>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285" w:name="_Toc484505199"/>
      <w:bookmarkStart w:id="286" w:name="_Toc237350"/>
      <w:bookmarkStart w:id="287" w:name="_Toc118857431"/>
      <w:bookmarkStart w:id="288" w:name="_Toc157479021"/>
      <w:bookmarkStart w:id="289" w:name="_Toc153617655"/>
      <w:r>
        <w:rPr>
          <w:rStyle w:val="CharSectno"/>
        </w:rPr>
        <w:t>23</w:t>
      </w:r>
      <w:r>
        <w:rPr>
          <w:snapToGrid w:val="0"/>
        </w:rPr>
        <w:t>.</w:t>
      </w:r>
      <w:r>
        <w:rPr>
          <w:snapToGrid w:val="0"/>
        </w:rPr>
        <w:tab/>
        <w:t>Discrimination by employment agencies</w:t>
      </w:r>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290" w:name="_Toc484505200"/>
      <w:bookmarkStart w:id="291" w:name="_Toc237351"/>
      <w:bookmarkStart w:id="292" w:name="_Toc118857432"/>
      <w:bookmarkStart w:id="293" w:name="_Toc157479022"/>
      <w:bookmarkStart w:id="294" w:name="_Toc153617656"/>
      <w:r>
        <w:rPr>
          <w:rStyle w:val="CharSectno"/>
        </w:rPr>
        <w:t>24</w:t>
      </w:r>
      <w:r>
        <w:rPr>
          <w:snapToGrid w:val="0"/>
        </w:rPr>
        <w:t>.</w:t>
      </w:r>
      <w:r>
        <w:rPr>
          <w:snapToGrid w:val="0"/>
        </w:rPr>
        <w:tab/>
        <w:t>Enforcement of this Division</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295" w:name="_Toc77413900"/>
      <w:bookmarkStart w:id="296" w:name="_Toc86555450"/>
      <w:bookmarkStart w:id="297" w:name="_Toc89229725"/>
      <w:bookmarkStart w:id="298" w:name="_Toc89247055"/>
      <w:bookmarkStart w:id="299" w:name="_Toc96923256"/>
      <w:bookmarkStart w:id="300" w:name="_Toc102530433"/>
      <w:bookmarkStart w:id="301" w:name="_Toc103134822"/>
      <w:bookmarkStart w:id="302" w:name="_Toc105300623"/>
      <w:bookmarkStart w:id="303" w:name="_Toc106440452"/>
      <w:bookmarkStart w:id="304" w:name="_Toc106506282"/>
      <w:bookmarkStart w:id="305" w:name="_Toc107204261"/>
      <w:bookmarkStart w:id="306" w:name="_Toc108239610"/>
      <w:bookmarkStart w:id="307" w:name="_Toc108247966"/>
      <w:bookmarkStart w:id="308" w:name="_Toc108249640"/>
      <w:bookmarkStart w:id="309" w:name="_Toc108251242"/>
      <w:bookmarkStart w:id="310" w:name="_Toc108428833"/>
      <w:bookmarkStart w:id="311" w:name="_Toc108495643"/>
      <w:bookmarkStart w:id="312" w:name="_Toc109469611"/>
      <w:bookmarkStart w:id="313" w:name="_Toc109469874"/>
      <w:bookmarkStart w:id="314" w:name="_Toc118797472"/>
      <w:bookmarkStart w:id="315" w:name="_Toc118857433"/>
      <w:bookmarkStart w:id="316" w:name="_Toc139773916"/>
      <w:bookmarkStart w:id="317" w:name="_Toc147055131"/>
      <w:bookmarkStart w:id="318" w:name="_Toc147133426"/>
      <w:bookmarkStart w:id="319" w:name="_Toc149450999"/>
      <w:bookmarkStart w:id="320" w:name="_Toc153610309"/>
      <w:bookmarkStart w:id="321" w:name="_Toc153617657"/>
      <w:bookmarkStart w:id="322" w:name="_Toc156724192"/>
      <w:bookmarkStart w:id="323" w:name="_Toc157479023"/>
      <w:r>
        <w:rPr>
          <w:rStyle w:val="CharDivNo"/>
        </w:rPr>
        <w:t>Division 4</w:t>
      </w:r>
      <w:r>
        <w:rPr>
          <w:snapToGrid w:val="0"/>
        </w:rPr>
        <w:t> — </w:t>
      </w:r>
      <w:r>
        <w:rPr>
          <w:rStyle w:val="CharDivText"/>
        </w:rPr>
        <w:t>Other effects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DivText"/>
        </w:rPr>
        <w:t xml:space="preserve"> </w:t>
      </w:r>
    </w:p>
    <w:p>
      <w:pPr>
        <w:pStyle w:val="Heading5"/>
        <w:rPr>
          <w:snapToGrid w:val="0"/>
        </w:rPr>
      </w:pPr>
      <w:bookmarkStart w:id="324" w:name="_Toc484505201"/>
      <w:bookmarkStart w:id="325" w:name="_Toc237352"/>
      <w:bookmarkStart w:id="326" w:name="_Toc118857434"/>
      <w:bookmarkStart w:id="327" w:name="_Toc157479024"/>
      <w:bookmarkStart w:id="328" w:name="_Toc153617658"/>
      <w:r>
        <w:rPr>
          <w:rStyle w:val="CharSectno"/>
        </w:rPr>
        <w:t>25</w:t>
      </w:r>
      <w:r>
        <w:rPr>
          <w:snapToGrid w:val="0"/>
        </w:rPr>
        <w:t>.</w:t>
      </w:r>
      <w:r>
        <w:rPr>
          <w:snapToGrid w:val="0"/>
        </w:rPr>
        <w:tab/>
        <w:t>Interpretation of written laws</w:t>
      </w:r>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329" w:name="_Toc484505202"/>
      <w:bookmarkStart w:id="330" w:name="_Toc237353"/>
      <w:bookmarkStart w:id="331" w:name="_Toc118857435"/>
      <w:bookmarkStart w:id="332" w:name="_Toc157479025"/>
      <w:bookmarkStart w:id="333" w:name="_Toc153617659"/>
      <w:r>
        <w:rPr>
          <w:rStyle w:val="CharSectno"/>
        </w:rPr>
        <w:t>26</w:t>
      </w:r>
      <w:r>
        <w:rPr>
          <w:snapToGrid w:val="0"/>
        </w:rPr>
        <w:t>.</w:t>
      </w:r>
      <w:r>
        <w:rPr>
          <w:snapToGrid w:val="0"/>
        </w:rPr>
        <w:tab/>
        <w:t>Assessment of character</w:t>
      </w:r>
      <w:bookmarkEnd w:id="329"/>
      <w:r>
        <w:rPr>
          <w:snapToGrid w:val="0"/>
        </w:rPr>
        <w:t xml:space="preserve"> not to have regard to spent convictions</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334" w:name="_Toc484505203"/>
      <w:bookmarkStart w:id="335" w:name="_Toc237354"/>
      <w:bookmarkStart w:id="336" w:name="_Toc118857436"/>
      <w:bookmarkStart w:id="337" w:name="_Toc157479026"/>
      <w:bookmarkStart w:id="338" w:name="_Toc153617660"/>
      <w:r>
        <w:rPr>
          <w:rStyle w:val="CharSectno"/>
        </w:rPr>
        <w:t>27</w:t>
      </w:r>
      <w:r>
        <w:rPr>
          <w:snapToGrid w:val="0"/>
        </w:rPr>
        <w:t>.</w:t>
      </w:r>
      <w:r>
        <w:rPr>
          <w:snapToGrid w:val="0"/>
        </w:rPr>
        <w:tab/>
        <w:t>Disclosure or acknowledgement of spent convictions</w:t>
      </w:r>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acknowledgement of matters relating to a convicted person does not require the disclosure or acknowledgement of a spent conviction or the charge to which the conviction relates.</w:t>
      </w:r>
    </w:p>
    <w:p>
      <w:pPr>
        <w:pStyle w:val="Heading5"/>
        <w:rPr>
          <w:snapToGrid w:val="0"/>
        </w:rPr>
      </w:pPr>
      <w:bookmarkStart w:id="339" w:name="_Toc484505204"/>
      <w:bookmarkStart w:id="340" w:name="_Toc237355"/>
      <w:bookmarkStart w:id="341" w:name="_Toc118857437"/>
      <w:bookmarkStart w:id="342" w:name="_Toc157479027"/>
      <w:bookmarkStart w:id="343" w:name="_Toc153617661"/>
      <w:r>
        <w:rPr>
          <w:rStyle w:val="CharSectno"/>
        </w:rPr>
        <w:t>28</w:t>
      </w:r>
      <w:r>
        <w:rPr>
          <w:snapToGrid w:val="0"/>
        </w:rPr>
        <w:t>.</w:t>
      </w:r>
      <w:r>
        <w:rPr>
          <w:snapToGrid w:val="0"/>
        </w:rPr>
        <w:tab/>
        <w:t>Unlawful access to criminal records</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official criminal record</w:t>
      </w:r>
      <w:r>
        <w:rPr>
          <w:b/>
          <w:snapToGrid w:val="0"/>
        </w:rPr>
        <w:t>”</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344" w:name="_Toc77413905"/>
      <w:bookmarkStart w:id="345" w:name="_Toc86555455"/>
      <w:bookmarkStart w:id="346" w:name="_Toc89229730"/>
      <w:bookmarkStart w:id="347" w:name="_Toc89247060"/>
      <w:bookmarkStart w:id="348" w:name="_Toc96923261"/>
      <w:bookmarkStart w:id="349" w:name="_Toc102530438"/>
      <w:bookmarkStart w:id="350" w:name="_Toc103134827"/>
      <w:bookmarkStart w:id="351" w:name="_Toc105300628"/>
      <w:bookmarkStart w:id="352" w:name="_Toc106440457"/>
      <w:bookmarkStart w:id="353" w:name="_Toc106506287"/>
      <w:bookmarkStart w:id="354" w:name="_Toc107204266"/>
      <w:bookmarkStart w:id="355" w:name="_Toc108239615"/>
      <w:bookmarkStart w:id="356" w:name="_Toc108247971"/>
      <w:bookmarkStart w:id="357" w:name="_Toc108249645"/>
      <w:bookmarkStart w:id="358" w:name="_Toc108251247"/>
      <w:bookmarkStart w:id="359" w:name="_Toc108428838"/>
      <w:bookmarkStart w:id="360" w:name="_Toc108495648"/>
      <w:bookmarkStart w:id="361" w:name="_Toc109469616"/>
      <w:bookmarkStart w:id="362" w:name="_Toc109469879"/>
      <w:bookmarkStart w:id="363" w:name="_Toc118797477"/>
      <w:bookmarkStart w:id="364" w:name="_Toc118857438"/>
      <w:bookmarkStart w:id="365" w:name="_Toc139773921"/>
      <w:bookmarkStart w:id="366" w:name="_Toc147055136"/>
      <w:bookmarkStart w:id="367" w:name="_Toc147133431"/>
      <w:bookmarkStart w:id="368" w:name="_Toc149451004"/>
      <w:bookmarkStart w:id="369" w:name="_Toc153610314"/>
      <w:bookmarkStart w:id="370" w:name="_Toc153617662"/>
      <w:bookmarkStart w:id="371" w:name="_Toc156724197"/>
      <w:bookmarkStart w:id="372" w:name="_Toc157479028"/>
      <w:r>
        <w:rPr>
          <w:rStyle w:val="CharPartNo"/>
        </w:rPr>
        <w:t>Part 4</w:t>
      </w:r>
      <w:r>
        <w:rPr>
          <w:rStyle w:val="CharDivNo"/>
        </w:rPr>
        <w:t> </w:t>
      </w:r>
      <w:r>
        <w:t>—</w:t>
      </w:r>
      <w:r>
        <w:rPr>
          <w:rStyle w:val="CharDivText"/>
        </w:rPr>
        <w:t> </w:t>
      </w:r>
      <w:r>
        <w:rPr>
          <w:rStyle w:val="CharPartText"/>
        </w:rPr>
        <w:t>Miscellaneous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PartText"/>
        </w:rPr>
        <w:t xml:space="preserve"> </w:t>
      </w:r>
    </w:p>
    <w:p>
      <w:pPr>
        <w:pStyle w:val="Heading5"/>
        <w:rPr>
          <w:snapToGrid w:val="0"/>
        </w:rPr>
      </w:pPr>
      <w:bookmarkStart w:id="373" w:name="_Toc484505205"/>
      <w:bookmarkStart w:id="374" w:name="_Toc237356"/>
      <w:bookmarkStart w:id="375" w:name="_Toc118857439"/>
      <w:bookmarkStart w:id="376" w:name="_Toc157479029"/>
      <w:bookmarkStart w:id="377" w:name="_Toc153617663"/>
      <w:r>
        <w:rPr>
          <w:rStyle w:val="CharSectno"/>
        </w:rPr>
        <w:t>29</w:t>
      </w:r>
      <w:r>
        <w:rPr>
          <w:snapToGrid w:val="0"/>
        </w:rPr>
        <w:t>.</w:t>
      </w:r>
      <w:r>
        <w:rPr>
          <w:snapToGrid w:val="0"/>
        </w:rPr>
        <w:tab/>
        <w:t xml:space="preserve">Application of certain provisions of </w:t>
      </w:r>
      <w:r>
        <w:rPr>
          <w:i/>
          <w:snapToGrid w:val="0"/>
        </w:rPr>
        <w:t>Equal Opportunity Act 1984</w:t>
      </w:r>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378" w:name="_Toc484505206"/>
      <w:bookmarkStart w:id="379" w:name="_Toc237357"/>
      <w:bookmarkStart w:id="380" w:name="_Toc118857440"/>
      <w:bookmarkStart w:id="381" w:name="_Toc157479030"/>
      <w:bookmarkStart w:id="382" w:name="_Toc153617664"/>
      <w:r>
        <w:rPr>
          <w:rStyle w:val="CharSectno"/>
        </w:rPr>
        <w:t>30</w:t>
      </w:r>
      <w:r>
        <w:rPr>
          <w:snapToGrid w:val="0"/>
        </w:rPr>
        <w:t>.</w:t>
      </w:r>
      <w:r>
        <w:rPr>
          <w:snapToGrid w:val="0"/>
        </w:rPr>
        <w:tab/>
        <w:t>Revival of sentence after parole etc.</w:t>
      </w:r>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383" w:name="_Toc484505207"/>
      <w:bookmarkStart w:id="384" w:name="_Toc237358"/>
      <w:bookmarkStart w:id="385" w:name="_Toc118857441"/>
      <w:bookmarkStart w:id="386" w:name="_Toc157479031"/>
      <w:bookmarkStart w:id="387" w:name="_Toc153617665"/>
      <w:r>
        <w:rPr>
          <w:rStyle w:val="CharSectno"/>
        </w:rPr>
        <w:t>31</w:t>
      </w:r>
      <w:r>
        <w:rPr>
          <w:snapToGrid w:val="0"/>
        </w:rPr>
        <w:t>.</w:t>
      </w:r>
      <w:r>
        <w:rPr>
          <w:snapToGrid w:val="0"/>
        </w:rPr>
        <w:tab/>
        <w:t>Prerogative of mercy</w:t>
      </w:r>
      <w:bookmarkEnd w:id="383"/>
      <w:r>
        <w:rPr>
          <w:snapToGrid w:val="0"/>
        </w:rPr>
        <w:t xml:space="preserve"> not affected</w:t>
      </w:r>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388" w:name="_Toc484505208"/>
      <w:bookmarkStart w:id="389" w:name="_Toc237359"/>
      <w:bookmarkStart w:id="390" w:name="_Toc118857442"/>
      <w:bookmarkStart w:id="391" w:name="_Toc157479032"/>
      <w:bookmarkStart w:id="392" w:name="_Toc153617666"/>
      <w:r>
        <w:rPr>
          <w:rStyle w:val="CharSectno"/>
        </w:rPr>
        <w:t>32</w:t>
      </w:r>
      <w:r>
        <w:rPr>
          <w:snapToGrid w:val="0"/>
        </w:rPr>
        <w:t>.</w:t>
      </w:r>
      <w:r>
        <w:rPr>
          <w:snapToGrid w:val="0"/>
        </w:rPr>
        <w:tab/>
        <w:t>Act applies to convictions incurred before commencement</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393" w:name="_Toc484505209"/>
      <w:bookmarkStart w:id="394" w:name="_Toc237360"/>
      <w:bookmarkStart w:id="395" w:name="_Toc118857443"/>
      <w:bookmarkStart w:id="396" w:name="_Toc157479033"/>
      <w:bookmarkStart w:id="397" w:name="_Toc153617667"/>
      <w:r>
        <w:rPr>
          <w:rStyle w:val="CharSectno"/>
        </w:rPr>
        <w:t>33</w:t>
      </w:r>
      <w:r>
        <w:rPr>
          <w:snapToGrid w:val="0"/>
        </w:rPr>
        <w:t>.</w:t>
      </w:r>
      <w:r>
        <w:rPr>
          <w:snapToGrid w:val="0"/>
        </w:rPr>
        <w:tab/>
        <w:t>Regulations</w:t>
      </w:r>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98" w:name="_Toc108239621"/>
      <w:bookmarkStart w:id="399" w:name="_Toc108428844"/>
      <w:bookmarkStart w:id="400" w:name="_Toc108495654"/>
      <w:bookmarkStart w:id="401" w:name="_Toc109469885"/>
      <w:bookmarkStart w:id="402" w:name="_Toc118857444"/>
      <w:bookmarkStart w:id="403" w:name="_Toc139773927"/>
      <w:bookmarkStart w:id="404" w:name="_Toc147055142"/>
      <w:bookmarkStart w:id="405" w:name="_Toc147133437"/>
      <w:bookmarkStart w:id="406" w:name="_Toc149451010"/>
      <w:bookmarkStart w:id="407" w:name="_Toc153610320"/>
      <w:bookmarkStart w:id="408" w:name="_Toc153617668"/>
      <w:bookmarkStart w:id="409" w:name="_Toc156724203"/>
      <w:bookmarkStart w:id="410" w:name="_Toc157479034"/>
      <w:r>
        <w:rPr>
          <w:rStyle w:val="CharSchNo"/>
        </w:rPr>
        <w:t>Schedule 1</w:t>
      </w:r>
      <w:bookmarkEnd w:id="398"/>
      <w:bookmarkEnd w:id="399"/>
      <w:bookmarkEnd w:id="400"/>
      <w:bookmarkEnd w:id="401"/>
      <w:bookmarkEnd w:id="402"/>
      <w:bookmarkEnd w:id="403"/>
      <w:bookmarkEnd w:id="404"/>
      <w:bookmarkEnd w:id="405"/>
      <w:bookmarkEnd w:id="406"/>
      <w:bookmarkEnd w:id="407"/>
      <w:bookmarkEnd w:id="408"/>
      <w:bookmarkEnd w:id="409"/>
      <w:bookmarkEnd w:id="410"/>
      <w:r>
        <w:t xml:space="preserve"> </w:t>
      </w:r>
    </w:p>
    <w:p>
      <w:pPr>
        <w:pStyle w:val="yShoulderClause"/>
        <w:rPr>
          <w:snapToGrid w:val="0"/>
        </w:rPr>
      </w:pPr>
      <w:r>
        <w:rPr>
          <w:snapToGrid w:val="0"/>
        </w:rPr>
        <w:t>[s. 6(3)]</w:t>
      </w:r>
    </w:p>
    <w:p>
      <w:pPr>
        <w:pStyle w:val="yHeading2"/>
      </w:pPr>
      <w:bookmarkStart w:id="411" w:name="_Toc118857445"/>
      <w:bookmarkStart w:id="412" w:name="_Toc139773928"/>
      <w:bookmarkStart w:id="413" w:name="_Toc147055143"/>
      <w:bookmarkStart w:id="414" w:name="_Toc147133438"/>
      <w:bookmarkStart w:id="415" w:name="_Toc149451011"/>
      <w:bookmarkStart w:id="416" w:name="_Toc153610321"/>
      <w:bookmarkStart w:id="417" w:name="_Toc153617669"/>
      <w:bookmarkStart w:id="418" w:name="_Toc156724204"/>
      <w:bookmarkStart w:id="419" w:name="_Toc157479035"/>
      <w:r>
        <w:rPr>
          <w:rStyle w:val="CharSchText"/>
        </w:rPr>
        <w:t>Provisions relating to application under section 6(1)</w:t>
      </w:r>
      <w:bookmarkEnd w:id="411"/>
      <w:bookmarkEnd w:id="412"/>
      <w:bookmarkEnd w:id="413"/>
      <w:bookmarkEnd w:id="414"/>
      <w:bookmarkEnd w:id="415"/>
      <w:bookmarkEnd w:id="416"/>
      <w:bookmarkEnd w:id="417"/>
      <w:bookmarkEnd w:id="418"/>
      <w:bookmarkEnd w:id="419"/>
      <w:r>
        <w:rPr>
          <w:rStyle w:val="CharSDivNo"/>
          <w:sz w:val="28"/>
        </w:rPr>
        <w:t xml:space="preserve"> </w:t>
      </w:r>
      <w:r>
        <w:rPr>
          <w:rStyle w:val="CharSDivText"/>
          <w:sz w:val="28"/>
        </w:rPr>
        <w:t xml:space="preserve"> </w:t>
      </w:r>
    </w:p>
    <w:p>
      <w:pPr>
        <w:pStyle w:val="yHeading5"/>
      </w:pPr>
      <w:bookmarkStart w:id="420" w:name="_Toc492695667"/>
      <w:bookmarkStart w:id="421" w:name="_Toc492955914"/>
      <w:bookmarkStart w:id="422" w:name="_Toc493045072"/>
      <w:bookmarkStart w:id="423" w:name="_Toc237361"/>
      <w:bookmarkStart w:id="424" w:name="_Toc118857446"/>
      <w:bookmarkStart w:id="425" w:name="_Toc157479036"/>
      <w:bookmarkStart w:id="426" w:name="_Toc153617670"/>
      <w:r>
        <w:rPr>
          <w:rStyle w:val="CharSClsNo"/>
        </w:rPr>
        <w:t>1</w:t>
      </w:r>
      <w:r>
        <w:t xml:space="preserve">. </w:t>
      </w:r>
      <w:r>
        <w:tab/>
        <w:t>The application</w:t>
      </w:r>
      <w:bookmarkEnd w:id="420"/>
      <w:bookmarkEnd w:id="421"/>
      <w:bookmarkEnd w:id="422"/>
      <w:bookmarkEnd w:id="423"/>
      <w:bookmarkEnd w:id="424"/>
      <w:bookmarkEnd w:id="425"/>
      <w:bookmarkEnd w:id="426"/>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427" w:name="_Toc492695668"/>
      <w:bookmarkStart w:id="428" w:name="_Toc492955915"/>
      <w:bookmarkStart w:id="429" w:name="_Toc493045073"/>
      <w:bookmarkStart w:id="430" w:name="_Toc237362"/>
      <w:bookmarkStart w:id="431" w:name="_Toc118857447"/>
      <w:bookmarkStart w:id="432" w:name="_Toc157479037"/>
      <w:bookmarkStart w:id="433" w:name="_Toc153617671"/>
      <w:r>
        <w:rPr>
          <w:rStyle w:val="CharSClsNo"/>
        </w:rPr>
        <w:t>2</w:t>
      </w:r>
      <w:r>
        <w:rPr>
          <w:snapToGrid w:val="0"/>
        </w:rPr>
        <w:t xml:space="preserve">. </w:t>
      </w:r>
      <w:r>
        <w:rPr>
          <w:snapToGrid w:val="0"/>
        </w:rPr>
        <w:tab/>
        <w:t>Parties to the application</w:t>
      </w:r>
      <w:bookmarkEnd w:id="427"/>
      <w:bookmarkEnd w:id="428"/>
      <w:bookmarkEnd w:id="429"/>
      <w:bookmarkEnd w:id="430"/>
      <w:bookmarkEnd w:id="431"/>
      <w:bookmarkEnd w:id="432"/>
      <w:bookmarkEnd w:id="433"/>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434" w:name="_Toc492695669"/>
      <w:bookmarkStart w:id="435" w:name="_Toc492955916"/>
      <w:bookmarkStart w:id="436" w:name="_Toc493045074"/>
      <w:bookmarkStart w:id="437" w:name="_Toc237363"/>
      <w:bookmarkStart w:id="438" w:name="_Toc118857448"/>
      <w:bookmarkStart w:id="439" w:name="_Toc157479038"/>
      <w:bookmarkStart w:id="440" w:name="_Toc153617672"/>
      <w:r>
        <w:rPr>
          <w:rStyle w:val="CharSClsNo"/>
        </w:rPr>
        <w:t>3</w:t>
      </w:r>
      <w:r>
        <w:rPr>
          <w:snapToGrid w:val="0"/>
        </w:rPr>
        <w:t xml:space="preserve">. </w:t>
      </w:r>
      <w:r>
        <w:rPr>
          <w:snapToGrid w:val="0"/>
        </w:rPr>
        <w:tab/>
        <w:t>The hearing</w:t>
      </w:r>
      <w:bookmarkEnd w:id="434"/>
      <w:bookmarkEnd w:id="435"/>
      <w:bookmarkEnd w:id="436"/>
      <w:bookmarkEnd w:id="437"/>
      <w:bookmarkEnd w:id="438"/>
      <w:bookmarkEnd w:id="439"/>
      <w:bookmarkEnd w:id="440"/>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441" w:name="_Toc492695670"/>
      <w:bookmarkStart w:id="442" w:name="_Toc492955917"/>
      <w:bookmarkStart w:id="443" w:name="_Toc493045075"/>
      <w:bookmarkStart w:id="444" w:name="_Toc237364"/>
      <w:bookmarkStart w:id="445" w:name="_Toc118857449"/>
      <w:bookmarkStart w:id="446" w:name="_Toc157479039"/>
      <w:bookmarkStart w:id="447" w:name="_Toc153617673"/>
      <w:r>
        <w:rPr>
          <w:rStyle w:val="CharSClsNo"/>
        </w:rPr>
        <w:t>4</w:t>
      </w:r>
      <w:r>
        <w:rPr>
          <w:snapToGrid w:val="0"/>
        </w:rPr>
        <w:t xml:space="preserve">. </w:t>
      </w:r>
      <w:r>
        <w:rPr>
          <w:snapToGrid w:val="0"/>
        </w:rPr>
        <w:tab/>
        <w:t>Rules of evidence not to apply</w:t>
      </w:r>
      <w:bookmarkEnd w:id="441"/>
      <w:bookmarkEnd w:id="442"/>
      <w:bookmarkEnd w:id="443"/>
      <w:bookmarkEnd w:id="444"/>
      <w:bookmarkEnd w:id="445"/>
      <w:bookmarkEnd w:id="446"/>
      <w:bookmarkEnd w:id="447"/>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448" w:name="_Toc492695671"/>
      <w:bookmarkStart w:id="449" w:name="_Toc492955918"/>
      <w:bookmarkStart w:id="450" w:name="_Toc493045076"/>
      <w:bookmarkStart w:id="451" w:name="_Toc237365"/>
      <w:bookmarkStart w:id="452" w:name="_Toc118857450"/>
      <w:bookmarkStart w:id="453" w:name="_Toc157479040"/>
      <w:bookmarkStart w:id="454" w:name="_Toc153617674"/>
      <w:r>
        <w:rPr>
          <w:rStyle w:val="CharSClsNo"/>
        </w:rPr>
        <w:t>5</w:t>
      </w:r>
      <w:r>
        <w:rPr>
          <w:snapToGrid w:val="0"/>
        </w:rPr>
        <w:t xml:space="preserve">. </w:t>
      </w:r>
      <w:r>
        <w:rPr>
          <w:snapToGrid w:val="0"/>
        </w:rPr>
        <w:tab/>
        <w:t>Powers of judge and officers</w:t>
      </w:r>
      <w:bookmarkEnd w:id="448"/>
      <w:bookmarkEnd w:id="449"/>
      <w:bookmarkEnd w:id="450"/>
      <w:bookmarkEnd w:id="451"/>
      <w:bookmarkEnd w:id="452"/>
      <w:bookmarkEnd w:id="453"/>
      <w:bookmarkEnd w:id="454"/>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455" w:name="_Toc492695672"/>
      <w:bookmarkStart w:id="456" w:name="_Toc492955919"/>
      <w:bookmarkStart w:id="457" w:name="_Toc493045077"/>
      <w:bookmarkStart w:id="458" w:name="_Toc237366"/>
      <w:bookmarkStart w:id="459" w:name="_Toc118857451"/>
      <w:bookmarkStart w:id="460" w:name="_Toc157479041"/>
      <w:bookmarkStart w:id="461" w:name="_Toc153617675"/>
      <w:r>
        <w:rPr>
          <w:rStyle w:val="CharSClsNo"/>
        </w:rPr>
        <w:t>6</w:t>
      </w:r>
      <w:r>
        <w:rPr>
          <w:snapToGrid w:val="0"/>
        </w:rPr>
        <w:t xml:space="preserve">. </w:t>
      </w:r>
      <w:r>
        <w:rPr>
          <w:snapToGrid w:val="0"/>
        </w:rPr>
        <w:tab/>
        <w:t>Witnesses</w:t>
      </w:r>
      <w:bookmarkEnd w:id="455"/>
      <w:bookmarkEnd w:id="456"/>
      <w:bookmarkEnd w:id="457"/>
      <w:bookmarkEnd w:id="458"/>
      <w:bookmarkEnd w:id="459"/>
      <w:bookmarkEnd w:id="460"/>
      <w:bookmarkEnd w:id="461"/>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462" w:name="_Toc492695673"/>
      <w:bookmarkStart w:id="463" w:name="_Toc492955920"/>
      <w:bookmarkStart w:id="464" w:name="_Toc493045078"/>
      <w:bookmarkStart w:id="465" w:name="_Toc237367"/>
      <w:bookmarkStart w:id="466" w:name="_Toc118857452"/>
      <w:bookmarkStart w:id="467" w:name="_Toc157479042"/>
      <w:bookmarkStart w:id="468" w:name="_Toc153617676"/>
      <w:r>
        <w:rPr>
          <w:rStyle w:val="CharSClsNo"/>
        </w:rPr>
        <w:t>7</w:t>
      </w:r>
      <w:r>
        <w:rPr>
          <w:snapToGrid w:val="0"/>
        </w:rPr>
        <w:t xml:space="preserve">. </w:t>
      </w:r>
      <w:r>
        <w:rPr>
          <w:snapToGrid w:val="0"/>
        </w:rPr>
        <w:tab/>
        <w:t>Alternatives to holding a hearing</w:t>
      </w:r>
      <w:bookmarkEnd w:id="462"/>
      <w:bookmarkEnd w:id="463"/>
      <w:bookmarkEnd w:id="464"/>
      <w:bookmarkEnd w:id="465"/>
      <w:bookmarkEnd w:id="466"/>
      <w:bookmarkEnd w:id="467"/>
      <w:bookmarkEnd w:id="468"/>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469" w:name="_Toc492695674"/>
      <w:bookmarkStart w:id="470" w:name="_Toc492955921"/>
      <w:bookmarkStart w:id="471" w:name="_Toc493045079"/>
      <w:bookmarkStart w:id="472" w:name="_Toc237368"/>
      <w:bookmarkStart w:id="473" w:name="_Toc118857453"/>
      <w:bookmarkStart w:id="474" w:name="_Toc157479043"/>
      <w:bookmarkStart w:id="475" w:name="_Toc153617677"/>
      <w:r>
        <w:rPr>
          <w:rStyle w:val="CharSClsNo"/>
        </w:rPr>
        <w:t>8</w:t>
      </w:r>
      <w:r>
        <w:rPr>
          <w:snapToGrid w:val="0"/>
        </w:rPr>
        <w:t xml:space="preserve">. </w:t>
      </w:r>
      <w:r>
        <w:rPr>
          <w:snapToGrid w:val="0"/>
        </w:rPr>
        <w:tab/>
        <w:t>Costs</w:t>
      </w:r>
      <w:bookmarkEnd w:id="469"/>
      <w:bookmarkEnd w:id="470"/>
      <w:bookmarkEnd w:id="471"/>
      <w:bookmarkEnd w:id="472"/>
      <w:bookmarkEnd w:id="473"/>
      <w:bookmarkEnd w:id="474"/>
      <w:bookmarkEnd w:id="475"/>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476" w:name="_Toc492695675"/>
      <w:bookmarkStart w:id="477" w:name="_Toc492955922"/>
      <w:bookmarkStart w:id="478" w:name="_Toc493045080"/>
      <w:bookmarkStart w:id="479" w:name="_Toc237369"/>
      <w:bookmarkStart w:id="480" w:name="_Toc118857454"/>
      <w:bookmarkStart w:id="481" w:name="_Toc157479044"/>
      <w:bookmarkStart w:id="482" w:name="_Toc153617678"/>
      <w:r>
        <w:rPr>
          <w:rStyle w:val="CharSClsNo"/>
        </w:rPr>
        <w:t>9</w:t>
      </w:r>
      <w:r>
        <w:rPr>
          <w:snapToGrid w:val="0"/>
        </w:rPr>
        <w:t xml:space="preserve">. </w:t>
      </w:r>
      <w:r>
        <w:rPr>
          <w:snapToGrid w:val="0"/>
        </w:rPr>
        <w:tab/>
        <w:t>Copy of order to be furnished</w:t>
      </w:r>
      <w:bookmarkEnd w:id="476"/>
      <w:bookmarkEnd w:id="477"/>
      <w:bookmarkEnd w:id="478"/>
      <w:bookmarkEnd w:id="479"/>
      <w:bookmarkEnd w:id="480"/>
      <w:bookmarkEnd w:id="481"/>
      <w:bookmarkEnd w:id="482"/>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483" w:name="_Toc108239631"/>
      <w:bookmarkStart w:id="484" w:name="_Toc108428855"/>
      <w:bookmarkStart w:id="485" w:name="_Toc108495665"/>
      <w:bookmarkStart w:id="486" w:name="_Toc109469896"/>
      <w:bookmarkStart w:id="487" w:name="_Toc118857455"/>
      <w:bookmarkStart w:id="488" w:name="_Toc139773938"/>
      <w:bookmarkStart w:id="489" w:name="_Toc147055153"/>
      <w:bookmarkStart w:id="490" w:name="_Toc147133448"/>
      <w:bookmarkStart w:id="491" w:name="_Toc149451021"/>
      <w:bookmarkStart w:id="492" w:name="_Toc153610331"/>
      <w:bookmarkStart w:id="493" w:name="_Toc153617679"/>
      <w:bookmarkStart w:id="494" w:name="_Toc156724214"/>
      <w:bookmarkStart w:id="495" w:name="_Toc157479045"/>
      <w:r>
        <w:rPr>
          <w:rStyle w:val="CharSchNo"/>
        </w:rPr>
        <w:t>Schedule 2</w:t>
      </w:r>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yShoulderClause"/>
        <w:rPr>
          <w:snapToGrid w:val="0"/>
        </w:rPr>
      </w:pPr>
      <w:r>
        <w:rPr>
          <w:snapToGrid w:val="0"/>
        </w:rPr>
        <w:t>[s. 8]</w:t>
      </w:r>
    </w:p>
    <w:p>
      <w:pPr>
        <w:pStyle w:val="yHeading2"/>
      </w:pPr>
      <w:bookmarkStart w:id="496" w:name="_Toc118857456"/>
      <w:bookmarkStart w:id="497" w:name="_Toc139773939"/>
      <w:bookmarkStart w:id="498" w:name="_Toc147055154"/>
      <w:bookmarkStart w:id="499" w:name="_Toc147133449"/>
      <w:bookmarkStart w:id="500" w:name="_Toc149451022"/>
      <w:bookmarkStart w:id="501" w:name="_Toc153610332"/>
      <w:bookmarkStart w:id="502" w:name="_Toc153617680"/>
      <w:bookmarkStart w:id="503" w:name="_Toc156724215"/>
      <w:bookmarkStart w:id="504" w:name="_Toc157479046"/>
      <w:r>
        <w:rPr>
          <w:rStyle w:val="CharSchText"/>
        </w:rPr>
        <w:t>Convictions in other jurisdictions</w:t>
      </w:r>
      <w:bookmarkEnd w:id="496"/>
      <w:bookmarkEnd w:id="497"/>
      <w:bookmarkEnd w:id="498"/>
      <w:bookmarkEnd w:id="499"/>
      <w:bookmarkEnd w:id="500"/>
      <w:bookmarkEnd w:id="501"/>
      <w:bookmarkEnd w:id="502"/>
      <w:bookmarkEnd w:id="503"/>
      <w:bookmarkEnd w:id="504"/>
    </w:p>
    <w:p>
      <w:pPr>
        <w:pStyle w:val="yHeading5"/>
        <w:rPr>
          <w:snapToGrid w:val="0"/>
        </w:rPr>
      </w:pPr>
      <w:bookmarkStart w:id="505" w:name="_Toc492695676"/>
      <w:bookmarkStart w:id="506" w:name="_Toc492955923"/>
      <w:bookmarkStart w:id="507" w:name="_Toc493045081"/>
      <w:bookmarkStart w:id="508" w:name="_Toc237370"/>
      <w:bookmarkStart w:id="509" w:name="_Toc118857457"/>
      <w:bookmarkStart w:id="510" w:name="_Toc157479047"/>
      <w:bookmarkStart w:id="511" w:name="_Toc153617681"/>
      <w:r>
        <w:rPr>
          <w:rStyle w:val="CharSClsNo"/>
        </w:rPr>
        <w:t>1</w:t>
      </w:r>
      <w:r>
        <w:rPr>
          <w:snapToGrid w:val="0"/>
        </w:rPr>
        <w:t xml:space="preserve">. </w:t>
      </w:r>
      <w:r>
        <w:rPr>
          <w:snapToGrid w:val="0"/>
        </w:rPr>
        <w:tab/>
        <w:t>Queensland</w:t>
      </w:r>
      <w:bookmarkEnd w:id="505"/>
      <w:bookmarkEnd w:id="506"/>
      <w:bookmarkEnd w:id="507"/>
      <w:bookmarkEnd w:id="508"/>
      <w:bookmarkEnd w:id="509"/>
      <w:bookmarkEnd w:id="510"/>
      <w:bookmarkEnd w:id="511"/>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512" w:name="_Toc492695677"/>
      <w:bookmarkStart w:id="513" w:name="_Toc492955924"/>
      <w:bookmarkStart w:id="514" w:name="_Toc493045082"/>
      <w:bookmarkStart w:id="515" w:name="_Toc237371"/>
      <w:bookmarkStart w:id="516" w:name="_Toc118857458"/>
      <w:bookmarkStart w:id="517" w:name="_Toc157479048"/>
      <w:bookmarkStart w:id="518" w:name="_Toc153617682"/>
      <w:r>
        <w:rPr>
          <w:rStyle w:val="CharSClsNo"/>
        </w:rPr>
        <w:t>2</w:t>
      </w:r>
      <w:r>
        <w:rPr>
          <w:snapToGrid w:val="0"/>
        </w:rPr>
        <w:t xml:space="preserve">. </w:t>
      </w:r>
      <w:r>
        <w:rPr>
          <w:snapToGrid w:val="0"/>
        </w:rPr>
        <w:tab/>
        <w:t>Commonwealth and Norfolk Island</w:t>
      </w:r>
      <w:bookmarkEnd w:id="512"/>
      <w:bookmarkEnd w:id="513"/>
      <w:bookmarkEnd w:id="514"/>
      <w:bookmarkEnd w:id="515"/>
      <w:bookmarkEnd w:id="516"/>
      <w:bookmarkEnd w:id="517"/>
      <w:bookmarkEnd w:id="518"/>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519" w:name="_Toc492695678"/>
      <w:bookmarkStart w:id="520" w:name="_Toc492955925"/>
      <w:bookmarkStart w:id="521" w:name="_Toc493045083"/>
      <w:bookmarkStart w:id="522" w:name="_Toc237372"/>
      <w:bookmarkStart w:id="523" w:name="_Toc118857459"/>
      <w:bookmarkStart w:id="524" w:name="_Toc157479049"/>
      <w:bookmarkStart w:id="525" w:name="_Toc153617683"/>
      <w:r>
        <w:rPr>
          <w:rStyle w:val="CharSClsNo"/>
        </w:rPr>
        <w:t>3</w:t>
      </w:r>
      <w:r>
        <w:rPr>
          <w:snapToGrid w:val="0"/>
        </w:rPr>
        <w:t xml:space="preserve">. </w:t>
      </w:r>
      <w:r>
        <w:rPr>
          <w:snapToGrid w:val="0"/>
        </w:rPr>
        <w:tab/>
      </w:r>
      <w:r>
        <w:rPr>
          <w:rStyle w:val="CharSClsNo"/>
        </w:rPr>
        <w:t>New</w:t>
      </w:r>
      <w:r>
        <w:rPr>
          <w:snapToGrid w:val="0"/>
        </w:rPr>
        <w:t xml:space="preserve"> South Wales</w:t>
      </w:r>
      <w:bookmarkEnd w:id="519"/>
      <w:bookmarkEnd w:id="520"/>
      <w:bookmarkEnd w:id="521"/>
      <w:bookmarkEnd w:id="522"/>
      <w:bookmarkEnd w:id="523"/>
      <w:bookmarkEnd w:id="524"/>
      <w:bookmarkEnd w:id="525"/>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526" w:name="_Toc108239635"/>
      <w:bookmarkStart w:id="527" w:name="_Toc108428860"/>
      <w:bookmarkStart w:id="528" w:name="_Toc108495670"/>
      <w:bookmarkStart w:id="529" w:name="_Toc109469901"/>
      <w:bookmarkStart w:id="530" w:name="_Toc118857460"/>
      <w:bookmarkStart w:id="531" w:name="_Toc139773943"/>
      <w:bookmarkStart w:id="532" w:name="_Toc147055158"/>
      <w:bookmarkStart w:id="533" w:name="_Toc147133453"/>
      <w:bookmarkStart w:id="534" w:name="_Toc149451026"/>
      <w:bookmarkStart w:id="535" w:name="_Toc153610336"/>
      <w:bookmarkStart w:id="536" w:name="_Toc153617684"/>
      <w:bookmarkStart w:id="537" w:name="_Toc156724219"/>
      <w:bookmarkStart w:id="538" w:name="_Toc157479050"/>
      <w:r>
        <w:rPr>
          <w:rStyle w:val="CharSchNo"/>
        </w:rPr>
        <w:t>Schedule 3</w:t>
      </w:r>
      <w:bookmarkEnd w:id="526"/>
      <w:bookmarkEnd w:id="527"/>
      <w:bookmarkEnd w:id="528"/>
      <w:bookmarkEnd w:id="529"/>
      <w:bookmarkEnd w:id="530"/>
      <w:bookmarkEnd w:id="531"/>
      <w:bookmarkEnd w:id="532"/>
      <w:bookmarkEnd w:id="533"/>
      <w:bookmarkEnd w:id="534"/>
      <w:bookmarkEnd w:id="535"/>
      <w:bookmarkEnd w:id="536"/>
      <w:bookmarkEnd w:id="537"/>
      <w:bookmarkEnd w:id="538"/>
      <w:r>
        <w:t xml:space="preserve"> </w:t>
      </w:r>
    </w:p>
    <w:p>
      <w:pPr>
        <w:pStyle w:val="yShoulderClause"/>
        <w:rPr>
          <w:snapToGrid w:val="0"/>
        </w:rPr>
      </w:pPr>
      <w:r>
        <w:rPr>
          <w:snapToGrid w:val="0"/>
        </w:rPr>
        <w:t>[s. 16 and 33]</w:t>
      </w:r>
    </w:p>
    <w:p>
      <w:pPr>
        <w:pStyle w:val="yHeading2"/>
      </w:pPr>
      <w:bookmarkStart w:id="539" w:name="_Toc118857461"/>
      <w:bookmarkStart w:id="540" w:name="_Toc139773944"/>
      <w:bookmarkStart w:id="541" w:name="_Toc147055159"/>
      <w:bookmarkStart w:id="542" w:name="_Toc147133454"/>
      <w:bookmarkStart w:id="543" w:name="_Toc149451027"/>
      <w:bookmarkStart w:id="544" w:name="_Toc153610337"/>
      <w:bookmarkStart w:id="545" w:name="_Toc153617685"/>
      <w:bookmarkStart w:id="546" w:name="_Toc156724220"/>
      <w:bookmarkStart w:id="547" w:name="_Toc157479051"/>
      <w:r>
        <w:rPr>
          <w:rStyle w:val="CharSchText"/>
        </w:rPr>
        <w:t>Exceptions to Part 3</w:t>
      </w:r>
      <w:bookmarkEnd w:id="539"/>
      <w:bookmarkEnd w:id="540"/>
      <w:bookmarkEnd w:id="541"/>
      <w:bookmarkEnd w:id="542"/>
      <w:bookmarkEnd w:id="543"/>
      <w:bookmarkEnd w:id="544"/>
      <w:bookmarkEnd w:id="545"/>
      <w:bookmarkEnd w:id="546"/>
      <w:bookmarkEnd w:id="547"/>
    </w:p>
    <w:p>
      <w:pPr>
        <w:pStyle w:val="yFootnoteheading"/>
        <w:rPr>
          <w:b/>
          <w:snapToGrid w:val="0"/>
        </w:rPr>
      </w:pPr>
      <w:r>
        <w:tab/>
        <w:t>[Heading inserted in Gazette 26 Jun 1992 p. 2716.]</w:t>
      </w:r>
    </w:p>
    <w:p>
      <w:pPr>
        <w:pStyle w:val="yHeading5"/>
        <w:rPr>
          <w:snapToGrid w:val="0"/>
        </w:rPr>
      </w:pPr>
      <w:bookmarkStart w:id="548" w:name="_Toc492695679"/>
      <w:bookmarkStart w:id="549" w:name="_Toc492955926"/>
      <w:bookmarkStart w:id="550" w:name="_Toc493045084"/>
      <w:bookmarkStart w:id="551" w:name="_Toc237373"/>
      <w:bookmarkStart w:id="552" w:name="_Toc118857462"/>
      <w:bookmarkStart w:id="553" w:name="_Toc157479052"/>
      <w:bookmarkStart w:id="554" w:name="_Toc153617686"/>
      <w:r>
        <w:rPr>
          <w:rStyle w:val="CharSClsNo"/>
        </w:rPr>
        <w:t>1</w:t>
      </w:r>
      <w:r>
        <w:rPr>
          <w:snapToGrid w:val="0"/>
        </w:rPr>
        <w:t>.</w:t>
      </w:r>
      <w:r>
        <w:rPr>
          <w:snapToGrid w:val="0"/>
        </w:rPr>
        <w:tab/>
      </w:r>
      <w:r>
        <w:rPr>
          <w:rStyle w:val="CharSClsNo"/>
        </w:rPr>
        <w:t>Exceptions</w:t>
      </w:r>
      <w:r>
        <w:rPr>
          <w:snapToGrid w:val="0"/>
        </w:rPr>
        <w:t xml:space="preserve"> as to all spent convictions</w:t>
      </w:r>
      <w:bookmarkEnd w:id="548"/>
      <w:bookmarkEnd w:id="549"/>
      <w:bookmarkEnd w:id="550"/>
      <w:bookmarkEnd w:id="551"/>
      <w:bookmarkEnd w:id="552"/>
      <w:bookmarkEnd w:id="553"/>
      <w:bookmarkEnd w:id="554"/>
      <w:r>
        <w:rPr>
          <w:snapToGrid w:val="0"/>
        </w:rPr>
        <w:t xml:space="preserve"> </w:t>
      </w:r>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pPr>
            <w:r>
              <w:t>1.</w:t>
            </w:r>
            <w:r>
              <w:tab/>
              <w:t xml:space="preserve">The </w:t>
            </w:r>
            <w:del w:id="555" w:author="svcMRProcess" w:date="2018-09-08T15:53:00Z">
              <w:r>
                <w:delText>Parole</w:delText>
              </w:r>
            </w:del>
            <w:ins w:id="556" w:author="svcMRProcess" w:date="2018-09-08T15:53:00Z">
              <w:r>
                <w:t>Prisoners Review</w:t>
              </w:r>
            </w:ins>
            <w:r>
              <w:t xml:space="preserve"> Board established by the</w:t>
            </w:r>
            <w:r>
              <w:rPr>
                <w:i/>
              </w:rPr>
              <w:t xml:space="preserve"> Sentence Administration Act 2003</w:t>
            </w:r>
            <w:r>
              <w:t>.</w:t>
            </w:r>
          </w:p>
        </w:tc>
        <w:tc>
          <w:tcPr>
            <w:tcW w:w="1701" w:type="dxa"/>
          </w:tcPr>
          <w:p>
            <w:pPr>
              <w:pStyle w:val="yTable"/>
            </w:pPr>
            <w:r>
              <w:t>Division 4</w:t>
            </w:r>
          </w:p>
        </w:tc>
      </w:tr>
      <w:tr>
        <w:tc>
          <w:tcPr>
            <w:tcW w:w="4536" w:type="dxa"/>
          </w:tcPr>
          <w:p>
            <w:pPr>
              <w:pStyle w:val="yTable"/>
              <w:ind w:left="568" w:hanging="568"/>
            </w:pPr>
            <w:r>
              <w:t>1A.</w:t>
            </w:r>
            <w:r>
              <w:tab/>
              <w:t xml:space="preserve">The Supervised Release Review Board established under the </w:t>
            </w:r>
            <w:r>
              <w:rPr>
                <w:i/>
              </w:rPr>
              <w:t>Young Offenders Act 1994</w:t>
            </w:r>
            <w:r>
              <w:t>.</w:t>
            </w:r>
          </w:p>
        </w:tc>
        <w:tc>
          <w:tcPr>
            <w:tcW w:w="1701" w:type="dxa"/>
          </w:tcPr>
          <w:p>
            <w:pPr>
              <w:pStyle w:val="yTable"/>
            </w:pPr>
            <w:r>
              <w:t>Division 4</w:t>
            </w:r>
          </w:p>
        </w:tc>
      </w:tr>
      <w:tr>
        <w:trPr>
          <w:ins w:id="557" w:author="svcMRProcess" w:date="2018-09-08T15:53:00Z"/>
        </w:trPr>
        <w:tc>
          <w:tcPr>
            <w:tcW w:w="4536" w:type="dxa"/>
          </w:tcPr>
          <w:p>
            <w:pPr>
              <w:pStyle w:val="yTable"/>
              <w:ind w:left="568" w:hanging="568"/>
              <w:rPr>
                <w:ins w:id="558" w:author="svcMRProcess" w:date="2018-09-08T15:53:00Z"/>
              </w:rPr>
            </w:pPr>
            <w:ins w:id="559" w:author="svcMRProcess" w:date="2018-09-08T15:53:00Z">
              <w:r>
                <w:t>1B.</w:t>
              </w:r>
              <w:r>
                <w:tab/>
                <w:t xml:space="preserve">The Mentally Impaired Accused Review Board established by the </w:t>
              </w:r>
              <w:r>
                <w:rPr>
                  <w:i/>
                </w:rPr>
                <w:t>Criminal Law (Mentally Impaired Accused) Act 1996</w:t>
              </w:r>
              <w:r>
                <w:t>.</w:t>
              </w:r>
            </w:ins>
          </w:p>
        </w:tc>
        <w:tc>
          <w:tcPr>
            <w:tcW w:w="1701" w:type="dxa"/>
          </w:tcPr>
          <w:p>
            <w:pPr>
              <w:pStyle w:val="yTable"/>
              <w:rPr>
                <w:ins w:id="560" w:author="svcMRProcess" w:date="2018-09-08T15:53:00Z"/>
              </w:rPr>
            </w:pPr>
            <w:ins w:id="561" w:author="svcMRProcess" w:date="2018-09-08T15:53:00Z">
              <w:r>
                <w:t>Division 4</w:t>
              </w:r>
            </w:ins>
          </w:p>
        </w:tc>
      </w:tr>
      <w:tr>
        <w:tc>
          <w:tcPr>
            <w:tcW w:w="4536" w:type="dxa"/>
          </w:tcPr>
          <w:p>
            <w:pPr>
              <w:pStyle w:val="yTable"/>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
            </w:pPr>
            <w:r>
              <w:t>Division 4</w:t>
            </w:r>
          </w:p>
        </w:tc>
      </w:tr>
      <w:tr>
        <w:tc>
          <w:tcPr>
            <w:tcW w:w="4536" w:type="dxa"/>
          </w:tcPr>
          <w:p>
            <w:pPr>
              <w:pStyle w:val="yTable"/>
              <w:ind w:left="568" w:hanging="568"/>
            </w:pPr>
            <w:r>
              <w:t>3.</w:t>
            </w:r>
            <w:r>
              <w:tab/>
              <w:t xml:space="preserve">A person appointed as or being considered for appointment as a constable or aboriginal aide under the </w:t>
            </w:r>
            <w:r>
              <w:rPr>
                <w:i/>
              </w:rPr>
              <w:t>Police Act 1892</w:t>
            </w:r>
            <w:r>
              <w:t>.</w:t>
            </w:r>
          </w:p>
        </w:tc>
        <w:tc>
          <w:tcPr>
            <w:tcW w:w="1701" w:type="dxa"/>
          </w:tcPr>
          <w:p>
            <w:pPr>
              <w:pStyle w:val="yTable"/>
            </w:pPr>
            <w:r>
              <w:t>Section 18 and Division 4</w:t>
            </w:r>
          </w:p>
        </w:tc>
      </w:tr>
      <w:tr>
        <w:tc>
          <w:tcPr>
            <w:tcW w:w="4536" w:type="dxa"/>
          </w:tcPr>
          <w:p>
            <w:pPr>
              <w:pStyle w:val="yTable"/>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
            </w:pPr>
            <w:r>
              <w:t>Division 4</w:t>
            </w:r>
          </w:p>
        </w:tc>
      </w:tr>
      <w:tr>
        <w:tc>
          <w:tcPr>
            <w:tcW w:w="4536" w:type="dxa"/>
          </w:tcPr>
          <w:p>
            <w:pPr>
              <w:pStyle w:val="yTable"/>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
            </w:pPr>
            <w:r>
              <w:t>Section 18 and Division 4</w:t>
            </w:r>
          </w:p>
        </w:tc>
      </w:tr>
      <w:tr>
        <w:tc>
          <w:tcPr>
            <w:tcW w:w="4536" w:type="dxa"/>
          </w:tcPr>
          <w:p>
            <w:pPr>
              <w:pStyle w:val="yTable"/>
              <w:ind w:left="568" w:hanging="568"/>
            </w:pPr>
            <w:r>
              <w:t>5.</w:t>
            </w:r>
            <w:r>
              <w:tab/>
              <w:t>A person —</w:t>
            </w:r>
          </w:p>
          <w:p>
            <w:pPr>
              <w:pStyle w:val="yTable"/>
              <w:tabs>
                <w:tab w:val="left" w:pos="601"/>
              </w:tabs>
              <w:ind w:left="1027" w:hanging="1027"/>
            </w:pPr>
            <w:r>
              <w:tab/>
              <w:t>(a)</w:t>
            </w:r>
            <w:r>
              <w:tab/>
              <w:t xml:space="preserve">who is employed, or who is being considered for employment, as a prison officer under the </w:t>
            </w:r>
            <w:r>
              <w:rPr>
                <w:i/>
              </w:rPr>
              <w:t>Prisons Act 1981</w:t>
            </w:r>
            <w:r>
              <w:t xml:space="preserve">; or </w:t>
            </w:r>
          </w:p>
          <w:p>
            <w:pPr>
              <w:pStyle w:val="yTable"/>
              <w:tabs>
                <w:tab w:val="left" w:pos="601"/>
              </w:tabs>
              <w:ind w:left="1027" w:hanging="1027"/>
            </w:pPr>
            <w:r>
              <w:tab/>
              <w:t>(b)</w:t>
            </w:r>
            <w:r>
              <w:tab/>
              <w:t>who holds, or who is applying to be issued with, a permit to do high</w:t>
            </w:r>
            <w:r>
              <w:noBreakHyphen/>
              <w:t>level security work as defined in that Act.</w:t>
            </w:r>
          </w:p>
        </w:tc>
        <w:tc>
          <w:tcPr>
            <w:tcW w:w="1701" w:type="dxa"/>
          </w:tcPr>
          <w:p>
            <w:pPr>
              <w:pStyle w:val="yTable"/>
            </w:pPr>
            <w:r>
              <w:t>Section 18, 19, 20, 22 and Division 4</w:t>
            </w:r>
          </w:p>
        </w:tc>
      </w:tr>
      <w:tr>
        <w:tc>
          <w:tcPr>
            <w:tcW w:w="4536" w:type="dxa"/>
          </w:tcPr>
          <w:p>
            <w:pPr>
              <w:pStyle w:val="yTable"/>
              <w:ind w:left="568" w:hanging="568"/>
            </w:pPr>
            <w:r>
              <w:t>6.</w:t>
            </w:r>
            <w:r>
              <w:tab/>
              <w:t xml:space="preserve">A person employed or being considered for employment under the </w:t>
            </w:r>
            <w:r>
              <w:rPr>
                <w:i/>
              </w:rPr>
              <w:t>Gold Corporation Act 1987</w:t>
            </w:r>
            <w:r>
              <w:t>.</w:t>
            </w:r>
          </w:p>
        </w:tc>
        <w:tc>
          <w:tcPr>
            <w:tcW w:w="1701" w:type="dxa"/>
          </w:tcPr>
          <w:p>
            <w:pPr>
              <w:pStyle w:val="yTable"/>
            </w:pPr>
            <w:r>
              <w:t>Section 18 and Division 4</w:t>
            </w:r>
          </w:p>
        </w:tc>
      </w:tr>
      <w:tr>
        <w:tc>
          <w:tcPr>
            <w:tcW w:w="4536" w:type="dxa"/>
          </w:tcPr>
          <w:p>
            <w:pPr>
              <w:pStyle w:val="yTable"/>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
            </w:pPr>
            <w:r>
              <w:t>Section 22 and Division 4</w:t>
            </w:r>
          </w:p>
        </w:tc>
      </w:tr>
      <w:tr>
        <w:tc>
          <w:tcPr>
            <w:tcW w:w="4536" w:type="dxa"/>
          </w:tcPr>
          <w:p>
            <w:pPr>
              <w:pStyle w:val="yTable"/>
              <w:keepNext/>
              <w:ind w:left="568" w:hanging="568"/>
            </w:pPr>
            <w:r>
              <w:t>8.</w:t>
            </w:r>
            <w:r>
              <w:tab/>
              <w:t xml:space="preserve">A person applying to be licensed as a security agent, security officer, security consultant or security installer under the </w:t>
            </w:r>
            <w:r>
              <w:rPr>
                <w:i/>
              </w:rPr>
              <w:t>Security and Related Activities (Control) Act 1996</w:t>
            </w:r>
            <w:r>
              <w:t>.</w:t>
            </w:r>
          </w:p>
        </w:tc>
        <w:tc>
          <w:tcPr>
            <w:tcW w:w="1701" w:type="dxa"/>
          </w:tcPr>
          <w:p>
            <w:pPr>
              <w:pStyle w:val="yTable"/>
              <w:keepNext/>
            </w:pPr>
            <w:r>
              <w:t>Section 22 and Division 4</w:t>
            </w:r>
          </w:p>
        </w:tc>
      </w:tr>
      <w:tr>
        <w:tc>
          <w:tcPr>
            <w:tcW w:w="4536" w:type="dxa"/>
          </w:tcPr>
          <w:p>
            <w:pPr>
              <w:pStyle w:val="yTable"/>
              <w:ind w:left="568" w:hanging="568"/>
            </w:pPr>
            <w:r>
              <w:t>9.</w:t>
            </w:r>
            <w:r>
              <w:tab/>
              <w:t xml:space="preserve">A person applying for the issue of a licence under the </w:t>
            </w:r>
            <w:r>
              <w:rPr>
                <w:i/>
              </w:rPr>
              <w:t>Firearms Act 1973</w:t>
            </w:r>
            <w:r>
              <w:t>.</w:t>
            </w:r>
          </w:p>
        </w:tc>
        <w:tc>
          <w:tcPr>
            <w:tcW w:w="1701" w:type="dxa"/>
          </w:tcPr>
          <w:p>
            <w:pPr>
              <w:pStyle w:val="yTable"/>
            </w:pPr>
            <w:r>
              <w:t>Division 4</w:t>
            </w:r>
          </w:p>
        </w:tc>
      </w:tr>
      <w:tr>
        <w:tc>
          <w:tcPr>
            <w:tcW w:w="4536" w:type="dxa"/>
          </w:tcPr>
          <w:p>
            <w:pPr>
              <w:pStyle w:val="yTable"/>
              <w:ind w:left="568" w:hanging="568"/>
            </w:pPr>
            <w:r>
              <w:t>10.</w:t>
            </w:r>
            <w:r>
              <w:tab/>
              <w:t>A person employed in the Community and Juvenile Justice Division or the Prisons Division of the Department of Justice when (in the course of the person’s duties) assessing, reporting about or classifying persons charged with or convicted of offences.</w:t>
            </w:r>
          </w:p>
        </w:tc>
        <w:tc>
          <w:tcPr>
            <w:tcW w:w="1701" w:type="dxa"/>
          </w:tcPr>
          <w:p>
            <w:pPr>
              <w:pStyle w:val="yTable"/>
            </w:pPr>
            <w:r>
              <w:t>Division 4</w:t>
            </w:r>
          </w:p>
        </w:tc>
      </w:tr>
      <w:tr>
        <w:tc>
          <w:tcPr>
            <w:tcW w:w="4536" w:type="dxa"/>
          </w:tcPr>
          <w:p>
            <w:pPr>
              <w:pStyle w:val="yTable"/>
              <w:keepNext/>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
              <w:keepNext/>
              <w:ind w:left="568" w:hanging="568"/>
            </w:pPr>
            <w:r>
              <w:t>Division 4</w:t>
            </w:r>
          </w:p>
        </w:tc>
      </w:tr>
      <w:tr>
        <w:tblPrEx>
          <w:tblCellMar>
            <w:left w:w="108" w:type="dxa"/>
            <w:right w:w="108" w:type="dxa"/>
          </w:tblCellMar>
        </w:tblPrEx>
        <w:trPr>
          <w:cantSplit/>
        </w:trPr>
        <w:tc>
          <w:tcPr>
            <w:tcW w:w="4536" w:type="dxa"/>
          </w:tcPr>
          <w:p>
            <w:pPr>
              <w:pStyle w:val="zytable"/>
              <w:tabs>
                <w:tab w:val="left" w:pos="551"/>
              </w:tabs>
              <w:ind w:left="0"/>
            </w:pPr>
            <w:r>
              <w:t>10B.</w:t>
            </w:r>
            <w:r>
              <w:tab/>
              <w:t xml:space="preserve">A person — </w:t>
            </w:r>
          </w:p>
          <w:p>
            <w:pPr>
              <w:pStyle w:val="zytable"/>
              <w:tabs>
                <w:tab w:val="left" w:pos="537"/>
                <w:tab w:val="left" w:pos="1096"/>
              </w:tabs>
              <w:ind w:left="1110" w:hanging="1252"/>
            </w:pPr>
            <w:r>
              <w:tab/>
              <w:t>(a)</w:t>
            </w:r>
            <w:r>
              <w:tab/>
              <w:t xml:space="preserve">appointed as or being considered for appointment as the Commissioner under the </w:t>
            </w:r>
            <w:r>
              <w:rPr>
                <w:i/>
              </w:rPr>
              <w:t>Corruption and Crime Commission Act 2003</w:t>
            </w:r>
            <w:r>
              <w:t>;</w:t>
            </w:r>
          </w:p>
        </w:tc>
        <w:tc>
          <w:tcPr>
            <w:tcW w:w="1701" w:type="dxa"/>
          </w:tcPr>
          <w:p>
            <w:pPr>
              <w:pStyle w:val="zytable"/>
              <w:ind w:left="0"/>
              <w:rPr>
                <w:spacing w:val="-8"/>
              </w:rPr>
            </w:pPr>
            <w:r>
              <w:rPr>
                <w:spacing w:val="-8"/>
              </w:rPr>
              <w:t>Section 18 and Division 4</w:t>
            </w: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zytable"/>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zytable"/>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zytable"/>
              <w:keepNext/>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zytable"/>
              <w:ind w:left="0"/>
            </w:pPr>
          </w:p>
        </w:tc>
      </w:tr>
      <w:tr>
        <w:tblPrEx>
          <w:tblCellMar>
            <w:left w:w="108" w:type="dxa"/>
            <w:right w:w="108" w:type="dxa"/>
          </w:tblCellMar>
        </w:tblPrEx>
        <w:trPr>
          <w:cantSplit/>
        </w:trPr>
        <w:tc>
          <w:tcPr>
            <w:tcW w:w="4536" w:type="dxa"/>
          </w:tcPr>
          <w:p>
            <w:pPr>
              <w:pStyle w:val="yTable"/>
              <w:tabs>
                <w:tab w:val="left" w:pos="601"/>
              </w:tabs>
              <w:ind w:left="1027" w:hanging="1027"/>
              <w:rPr>
                <w:i/>
              </w:rPr>
            </w:pPr>
            <w:r>
              <w:rPr>
                <w:i/>
              </w:rPr>
              <w:t>[(11)</w:t>
            </w:r>
            <w:r>
              <w:rPr>
                <w:i/>
              </w:rPr>
              <w:tab/>
              <w:t>deleted]</w:t>
            </w:r>
          </w:p>
        </w:tc>
        <w:tc>
          <w:tcPr>
            <w:tcW w:w="1701" w:type="dxa"/>
          </w:tcPr>
          <w:p>
            <w:pPr>
              <w:pStyle w:val="yTable"/>
              <w:rPr>
                <w:i/>
              </w:rPr>
            </w:pPr>
          </w:p>
        </w:tc>
      </w:tr>
      <w:tr>
        <w:tc>
          <w:tcPr>
            <w:tcW w:w="4536" w:type="dxa"/>
          </w:tcPr>
          <w:p>
            <w:pPr>
              <w:pStyle w:val="yTable"/>
              <w:tabs>
                <w:tab w:val="left" w:pos="601"/>
                <w:tab w:val="left" w:pos="1168"/>
              </w:tabs>
              <w:ind w:left="1168" w:hanging="1168"/>
            </w:pPr>
            <w:r>
              <w:t>12.</w:t>
            </w:r>
            <w:r>
              <w:tab/>
              <w:t>A person —</w:t>
            </w:r>
          </w:p>
          <w:p>
            <w:pPr>
              <w:pStyle w:val="yTable"/>
              <w:keepNext/>
              <w:keepLines/>
              <w:tabs>
                <w:tab w:val="left" w:pos="601"/>
              </w:tabs>
              <w:ind w:left="992" w:hanging="992"/>
            </w:pPr>
            <w:r>
              <w:tab/>
              <w:t>(a)</w:t>
            </w:r>
            <w:r>
              <w:tab/>
              <w:t xml:space="preserve">who is authorised, or who is being considered for authorisation, to exercise a Schedule power as defined in the </w:t>
            </w:r>
            <w:r>
              <w:rPr>
                <w:i/>
              </w:rPr>
              <w:t>Court Security and Custodial Services Act 1999</w:t>
            </w:r>
            <w:r>
              <w:t>; or</w:t>
            </w:r>
          </w:p>
          <w:p>
            <w:pPr>
              <w:pStyle w:val="yTable"/>
              <w:keepNext/>
              <w:keepLines/>
              <w:tabs>
                <w:tab w:val="left" w:pos="568"/>
              </w:tabs>
              <w:ind w:left="994" w:hanging="994"/>
            </w:pPr>
            <w:r>
              <w:tab/>
              <w:t>(b)</w:t>
            </w:r>
            <w:r>
              <w:tab/>
              <w:t>who holds, or who is applying to be issued with, a permit to do high</w:t>
            </w:r>
            <w:r>
              <w:noBreakHyphen/>
              <w:t>level security work as defined in that Act.</w:t>
            </w:r>
          </w:p>
        </w:tc>
        <w:tc>
          <w:tcPr>
            <w:tcW w:w="1701" w:type="dxa"/>
          </w:tcPr>
          <w:p>
            <w:pPr>
              <w:pStyle w:val="yTable"/>
              <w:keepNext/>
              <w:keepLines/>
            </w:pPr>
            <w:r>
              <w:t>Section 18, 19, 20, 22 and Division 4</w:t>
            </w:r>
          </w:p>
        </w:tc>
      </w:tr>
      <w:tr>
        <w:tc>
          <w:tcPr>
            <w:tcW w:w="4536" w:type="dxa"/>
            <w:tcBorders>
              <w:bottom w:val="single" w:sz="4" w:space="0" w:color="auto"/>
            </w:tcBorders>
          </w:tcPr>
          <w:p>
            <w:pPr>
              <w:pStyle w:val="yTable"/>
              <w:keepLines/>
              <w:tabs>
                <w:tab w:val="left" w:pos="601"/>
              </w:tabs>
              <w:ind w:left="567" w:hanging="567"/>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Borders>
              <w:bottom w:val="single" w:sz="4" w:space="0" w:color="auto"/>
            </w:tcBorders>
          </w:tcPr>
          <w:p>
            <w:pPr>
              <w:pStyle w:val="yTable"/>
              <w:keepNext/>
              <w:keepLines/>
            </w:pPr>
            <w:r>
              <w:t>Division 4</w:t>
            </w:r>
          </w:p>
        </w:tc>
      </w:tr>
    </w:tbl>
    <w:p>
      <w:pPr>
        <w:pStyle w:val="ySubsection"/>
      </w:pPr>
      <w:bookmarkStart w:id="562" w:name="_Toc492695680"/>
      <w:bookmarkStart w:id="563" w:name="_Toc492955927"/>
      <w:bookmarkStart w:id="564" w:name="_Toc493045085"/>
      <w:bookmarkStart w:id="565" w:name="_Toc237374"/>
      <w:r>
        <w:tab/>
        <w:t>(2)</w:t>
      </w:r>
      <w:r>
        <w:tab/>
        <w:t xml:space="preserve">In the case of a person referred to in item 2 to 9, 10B or 12 of the table to subclause (1), the exception in that subclause extends to any other person who — </w:t>
      </w:r>
    </w:p>
    <w:p>
      <w:pPr>
        <w:pStyle w:val="yIndenta"/>
      </w:pPr>
      <w:r>
        <w:tab/>
        <w:t>(a)</w:t>
      </w:r>
      <w:r>
        <w:tab/>
        <w:t>has appointed, employed, seconded or engaged the person or is considering the person for appointment, employment, secondment or engagement;</w:t>
      </w:r>
    </w:p>
    <w:p>
      <w:pPr>
        <w:pStyle w:val="yIndenta"/>
      </w:pPr>
      <w:r>
        <w:tab/>
        <w:t>(b)</w:t>
      </w:r>
      <w:r>
        <w:tab/>
        <w:t>has issued a permit to the person or is considering issuing a permit to the person;</w:t>
      </w:r>
    </w:p>
    <w:p>
      <w:pPr>
        <w:pStyle w:val="yIndenta"/>
      </w:pPr>
      <w:r>
        <w:tab/>
        <w:t>(c)</w:t>
      </w:r>
      <w:r>
        <w:tab/>
        <w:t>is considering granting or issuing a licence to the person; or</w:t>
      </w:r>
    </w:p>
    <w:p>
      <w:pPr>
        <w:pStyle w:val="yIndenta"/>
      </w:pPr>
      <w:r>
        <w:tab/>
        <w:t>(d)</w:t>
      </w:r>
      <w:r>
        <w:tab/>
        <w:t>has authorised the person or is considering the person for authorisation,</w:t>
      </w:r>
    </w:p>
    <w:p>
      <w:pPr>
        <w:pStyle w:val="ySubsection"/>
      </w:pPr>
      <w:r>
        <w:tab/>
      </w:r>
      <w:r>
        <w:tab/>
        <w:t>whichever is relevant for the purposes of the item.</w:t>
      </w:r>
    </w:p>
    <w:p>
      <w:pPr>
        <w:pStyle w:val="ySubsection"/>
      </w:pPr>
      <w:r>
        <w:tab/>
        <w:t>(3)</w:t>
      </w:r>
      <w:r>
        <w:tab/>
        <w:t>The persons specified in the table to this subclause are excepted from the provisions of sections 18, 19, 20 and 22 and Division 4 of Part 3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A person who is employed, or who is being considered for employment, in the Department of Education and Training.</w:t>
            </w:r>
          </w:p>
        </w:tc>
      </w:tr>
      <w:tr>
        <w:tc>
          <w:tcPr>
            <w:tcW w:w="6237" w:type="dxa"/>
          </w:tcPr>
          <w:p>
            <w:pPr>
              <w:pStyle w:val="yTable"/>
              <w:ind w:left="568" w:hanging="568"/>
            </w:pPr>
            <w:r>
              <w:t>2.</w:t>
            </w:r>
            <w:r>
              <w:tab/>
              <w:t>A person who is employed, or who is being considered for employment, in the Department of Education Services.</w:t>
            </w:r>
          </w:p>
        </w:tc>
      </w:tr>
      <w:tr>
        <w:tc>
          <w:tcPr>
            <w:tcW w:w="6237" w:type="dxa"/>
          </w:tcPr>
          <w:p>
            <w:pPr>
              <w:pStyle w:val="yTable"/>
              <w:keepNext/>
              <w:keepLines/>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
              <w:keepNext/>
              <w:keepLines/>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
              <w:ind w:left="568" w:hanging="568"/>
            </w:pPr>
            <w:r>
              <w:t>13.</w:t>
            </w:r>
            <w:r>
              <w:tab/>
              <w:t>A person who is employed, or who is being considered for employment, by the Country High Schools Hostels Authority.</w:t>
            </w:r>
          </w:p>
        </w:tc>
      </w:tr>
      <w:tr>
        <w:tc>
          <w:tcPr>
            <w:tcW w:w="6237" w:type="dxa"/>
          </w:tcPr>
          <w:p>
            <w:pPr>
              <w:pStyle w:val="yTable"/>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
              <w:ind w:left="568" w:hanging="568"/>
            </w:pPr>
            <w:r>
              <w:t>15.</w:t>
            </w:r>
            <w:r>
              <w:tab/>
              <w:t>A person who is employed, or who is being considered for employment, by the Western Australian College of Teaching.</w:t>
            </w:r>
          </w:p>
        </w:tc>
      </w:tr>
      <w:tr>
        <w:tc>
          <w:tcPr>
            <w:tcW w:w="6237" w:type="dxa"/>
          </w:tcPr>
          <w:p>
            <w:pPr>
              <w:pStyle w:val="yTable"/>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c>
          <w:tcPr>
            <w:tcW w:w="6237" w:type="dxa"/>
          </w:tcPr>
          <w:p>
            <w:pPr>
              <w:pStyle w:val="yTable"/>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
              <w:ind w:left="568" w:hanging="568"/>
            </w:pPr>
            <w:r>
              <w:t>18.</w:t>
            </w:r>
            <w:r>
              <w:tab/>
              <w:t>A person who is placed, or who is being considered for placement, in a school as part of a course of training that the person is undertaking for the purpose of obtaining a vocational qualification.</w:t>
            </w:r>
          </w:p>
        </w:tc>
      </w:tr>
      <w:tr>
        <w:tc>
          <w:tcPr>
            <w:tcW w:w="6237" w:type="dxa"/>
          </w:tcPr>
          <w:p>
            <w:pPr>
              <w:pStyle w:val="yTable"/>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pPr>
      <w:r>
        <w:tab/>
      </w:r>
      <w:r>
        <w:tab/>
        <w:t>whichever is relevant for the purposes of the item.</w:t>
      </w:r>
    </w:p>
    <w:p>
      <w:pPr>
        <w:pStyle w:val="ySubsection"/>
      </w:pPr>
      <w:r>
        <w:tab/>
        <w:t>(5)</w:t>
      </w:r>
      <w:r>
        <w:tab/>
        <w:t>The persons specified in the first column of the table to this subclause are excepted from the provisions of Part 3 specified in the second column in respect of all spent convictions.</w:t>
      </w:r>
    </w:p>
    <w:p>
      <w:pPr>
        <w:pStyle w:val="y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
              <w:ind w:left="568" w:hanging="568"/>
              <w:jc w:val="center"/>
              <w:rPr>
                <w:b/>
              </w:rPr>
            </w:pPr>
            <w:r>
              <w:rPr>
                <w:b/>
              </w:rPr>
              <w:t>Person excepted</w:t>
            </w:r>
          </w:p>
        </w:tc>
        <w:tc>
          <w:tcPr>
            <w:tcW w:w="1559" w:type="dxa"/>
            <w:tcBorders>
              <w:top w:val="single" w:sz="4" w:space="0" w:color="auto"/>
              <w:bottom w:val="single" w:sz="4" w:space="0" w:color="auto"/>
            </w:tcBorders>
          </w:tcPr>
          <w:p>
            <w:pPr>
              <w:pStyle w:val="yTable"/>
            </w:pPr>
            <w:r>
              <w:rPr>
                <w:b/>
              </w:rPr>
              <w:t>Provisions of Part 3</w:t>
            </w:r>
          </w:p>
        </w:tc>
      </w:tr>
      <w:tr>
        <w:tc>
          <w:tcPr>
            <w:tcW w:w="4536" w:type="dxa"/>
            <w:tcBorders>
              <w:top w:val="single" w:sz="4" w:space="0" w:color="auto"/>
            </w:tcBorders>
          </w:tcPr>
          <w:p>
            <w:pPr>
              <w:pStyle w:val="yTable"/>
              <w:ind w:left="567" w:hanging="567"/>
            </w:pPr>
            <w:r>
              <w:t>1.</w:t>
            </w:r>
            <w:r>
              <w:tab/>
              <w:t>A person who is employed, or who is being considered for employment, by the Director General of the Department for Community Development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
            </w:pPr>
            <w:r>
              <w:t>Sections 18 and 20 and Division 4</w:t>
            </w:r>
          </w:p>
        </w:tc>
      </w:tr>
      <w:tr>
        <w:tc>
          <w:tcPr>
            <w:tcW w:w="4536" w:type="dxa"/>
          </w:tcPr>
          <w:p>
            <w:pPr>
              <w:pStyle w:val="yTable"/>
              <w:keepNext/>
              <w:ind w:left="568" w:hanging="568"/>
            </w:pPr>
            <w:r>
              <w:t>2.</w:t>
            </w:r>
            <w:r>
              <w:tab/>
              <w:t xml:space="preserve">A person — </w:t>
            </w:r>
          </w:p>
          <w:p>
            <w:pPr>
              <w:pStyle w:val="yTable"/>
              <w:keepNext/>
              <w:tabs>
                <w:tab w:val="left" w:pos="601"/>
              </w:tabs>
              <w:ind w:left="1027" w:hanging="1027"/>
            </w:pPr>
            <w:r>
              <w:tab/>
              <w:t>(a)</w:t>
            </w:r>
            <w:r>
              <w:tab/>
              <w:t>who is placed, or who is being considered for placement, as a student or trainee; or</w:t>
            </w:r>
          </w:p>
          <w:p>
            <w:pPr>
              <w:pStyle w:val="yTable"/>
              <w:keepNext/>
              <w:tabs>
                <w:tab w:val="left" w:pos="601"/>
              </w:tabs>
              <w:ind w:left="1027" w:hanging="1027"/>
            </w:pPr>
            <w:r>
              <w:tab/>
              <w:t>(b)</w:t>
            </w:r>
            <w:r>
              <w:tab/>
              <w:t>who is engaged, or who is being considered for engagement, in an unpaid capacity,</w:t>
            </w:r>
          </w:p>
          <w:p>
            <w:pPr>
              <w:pStyle w:val="yTable"/>
              <w:keepNext/>
              <w:ind w:left="568" w:firstLine="32"/>
            </w:pPr>
            <w:r>
              <w:t>in the Department for Community Development if the person may in the course of the person’s service deal with children and their families or with sensitive and confidential information about children and their families.</w:t>
            </w:r>
          </w:p>
        </w:tc>
        <w:tc>
          <w:tcPr>
            <w:tcW w:w="1559" w:type="dxa"/>
          </w:tcPr>
          <w:p>
            <w:pPr>
              <w:pStyle w:val="yTable"/>
              <w:keepNext/>
            </w:pPr>
            <w:r>
              <w:t>Sections 18 and 20 and Division 4</w:t>
            </w:r>
          </w:p>
        </w:tc>
      </w:tr>
      <w:tr>
        <w:tc>
          <w:tcPr>
            <w:tcW w:w="4536" w:type="dxa"/>
          </w:tcPr>
          <w:p>
            <w:pPr>
              <w:pStyle w:val="yTable"/>
              <w:ind w:left="568" w:hanging="568"/>
            </w:pPr>
            <w:r>
              <w:t>3.</w:t>
            </w:r>
            <w:r>
              <w:tab/>
              <w:t>A person who is a member, or who is being considered for membership, of a committee or other body advising the Minister for Community Development or the Director General of the Department for Community Development if the committee or body may in the course of performing its functions deal with children and their families or with sensitive and confidential information about children and their families.</w:t>
            </w:r>
          </w:p>
        </w:tc>
        <w:tc>
          <w:tcPr>
            <w:tcW w:w="1559" w:type="dxa"/>
          </w:tcPr>
          <w:p>
            <w:pPr>
              <w:pStyle w:val="yTable"/>
            </w:pPr>
            <w:r>
              <w:t>Sections 18 and 20 and Division 4</w:t>
            </w:r>
          </w:p>
        </w:tc>
      </w:tr>
      <w:tr>
        <w:tc>
          <w:tcPr>
            <w:tcW w:w="4536" w:type="dxa"/>
          </w:tcPr>
          <w:p>
            <w:pPr>
              <w:pStyle w:val="yTable"/>
              <w:ind w:left="568" w:hanging="568"/>
            </w:pPr>
            <w:r>
              <w:t>4.</w:t>
            </w:r>
            <w:r>
              <w:tab/>
              <w:t>A person who has been engaged, or who is being considered for engagement, either for reward or in an unpaid capacity by the Department for Community Development to provide overnight care for a child or children, whether in the person’s home or otherwise.</w:t>
            </w:r>
          </w:p>
        </w:tc>
        <w:tc>
          <w:tcPr>
            <w:tcW w:w="1559" w:type="dxa"/>
          </w:tcPr>
          <w:p>
            <w:pPr>
              <w:pStyle w:val="yTable"/>
            </w:pPr>
            <w:r>
              <w:t>Sections 18 and 20 and Division 4</w:t>
            </w:r>
          </w:p>
        </w:tc>
      </w:tr>
      <w:tr>
        <w:tc>
          <w:tcPr>
            <w:tcW w:w="4536" w:type="dxa"/>
          </w:tcPr>
          <w:p>
            <w:pPr>
              <w:pStyle w:val="yTable"/>
              <w:ind w:left="568" w:hanging="568"/>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
            </w:pPr>
            <w:r>
              <w:t>Sections 18 and 20 and Division 4</w:t>
            </w:r>
          </w:p>
        </w:tc>
      </w:tr>
      <w:tr>
        <w:tc>
          <w:tcPr>
            <w:tcW w:w="4536" w:type="dxa"/>
          </w:tcPr>
          <w:p>
            <w:pPr>
              <w:pStyle w:val="yTable"/>
              <w:ind w:left="568" w:hanging="568"/>
            </w:pPr>
            <w:r>
              <w:t>5.</w:t>
            </w:r>
            <w:r>
              <w:tab/>
              <w:t xml:space="preserve">A person applying for a licence or permit to provide a child care service under the </w:t>
            </w:r>
            <w:r>
              <w:rPr>
                <w:i/>
              </w:rPr>
              <w:t>Community Services Act 1972</w:t>
            </w:r>
            <w:r>
              <w:t>.</w:t>
            </w:r>
          </w:p>
        </w:tc>
        <w:tc>
          <w:tcPr>
            <w:tcW w:w="1559" w:type="dxa"/>
          </w:tcPr>
          <w:p>
            <w:pPr>
              <w:pStyle w:val="yTable"/>
            </w:pPr>
            <w:r>
              <w:t>Sections 18 and 20 and Division 4</w:t>
            </w:r>
          </w:p>
        </w:tc>
      </w:tr>
      <w:tr>
        <w:tc>
          <w:tcPr>
            <w:tcW w:w="4536" w:type="dxa"/>
            <w:tcBorders>
              <w:bottom w:val="single" w:sz="4" w:space="0" w:color="auto"/>
            </w:tcBorders>
          </w:tcPr>
          <w:p>
            <w:pPr>
              <w:pStyle w:val="yTable"/>
              <w:keepNext/>
              <w:ind w:left="568" w:hanging="568"/>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
            </w:pPr>
            <w:r>
              <w:t>Division 4</w:t>
            </w:r>
          </w:p>
        </w:tc>
      </w:tr>
    </w:tbl>
    <w:p>
      <w:pPr>
        <w:pStyle w:val="ySubsection"/>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pPr>
      <w:r>
        <w:tab/>
      </w:r>
      <w:r>
        <w:tab/>
        <w:t>whichever is relevant for the purposes of the item.</w:t>
      </w:r>
    </w:p>
    <w:p>
      <w:pPr>
        <w:pStyle w:val="ySubsection"/>
      </w:pPr>
      <w:r>
        <w:tab/>
        <w:t>(7)</w:t>
      </w:r>
      <w:r>
        <w:tab/>
        <w:t>The persons specified in the table to this subclause are excepted from the provisions of sections 18, 19, 20 and 22 and Division 4 of Part 3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seconded, or who is being considered for employment or secondment, by the Director General of the Department of Health under the — </w:t>
            </w:r>
          </w:p>
          <w:p>
            <w:pPr>
              <w:pStyle w:val="yTable"/>
              <w:tabs>
                <w:tab w:val="left" w:pos="601"/>
              </w:tabs>
              <w:ind w:left="1027" w:hanging="1027"/>
              <w:rPr>
                <w:i/>
              </w:rPr>
            </w:pPr>
            <w:r>
              <w:tab/>
              <w:t>(a)</w:t>
            </w:r>
            <w:r>
              <w:tab/>
            </w:r>
            <w:r>
              <w:rPr>
                <w:i/>
              </w:rPr>
              <w:t>Health Act 1911</w:t>
            </w:r>
            <w:r>
              <w:t>;</w:t>
            </w:r>
          </w:p>
          <w:p>
            <w:pPr>
              <w:pStyle w:val="yTable"/>
              <w:tabs>
                <w:tab w:val="left" w:pos="601"/>
              </w:tabs>
              <w:ind w:left="1027" w:hanging="1027"/>
            </w:pPr>
            <w:r>
              <w:tab/>
              <w:t>(b)</w:t>
            </w:r>
            <w:r>
              <w:tab/>
            </w:r>
            <w:r>
              <w:rPr>
                <w:i/>
              </w:rPr>
              <w:t>Hospitals and Health Services Act 1927</w:t>
            </w:r>
            <w:r>
              <w:t>;</w:t>
            </w:r>
          </w:p>
          <w:p>
            <w:pPr>
              <w:pStyle w:val="yTable"/>
              <w:tabs>
                <w:tab w:val="left" w:pos="601"/>
              </w:tabs>
              <w:ind w:left="1027" w:hanging="1027"/>
            </w:pPr>
            <w:r>
              <w:tab/>
              <w:t>(c)</w:t>
            </w:r>
            <w:r>
              <w:tab/>
            </w:r>
            <w:r>
              <w:rPr>
                <w:i/>
              </w:rPr>
              <w:t>Mental Health Act 1996</w:t>
            </w:r>
            <w:r>
              <w:t>; or</w:t>
            </w:r>
          </w:p>
          <w:p>
            <w:pPr>
              <w:pStyle w:val="yTable"/>
              <w:tabs>
                <w:tab w:val="left" w:pos="601"/>
              </w:tabs>
              <w:ind w:left="1027" w:hanging="1027"/>
            </w:pPr>
            <w:r>
              <w:tab/>
              <w:t>(d)</w:t>
            </w:r>
            <w:r>
              <w:tab/>
            </w:r>
            <w:r>
              <w:rPr>
                <w:i/>
              </w:rPr>
              <w:t>Alcohol and Drug Authority Act 1974</w:t>
            </w:r>
            <w:r>
              <w:t>.</w:t>
            </w:r>
          </w:p>
        </w:tc>
      </w:tr>
      <w:tr>
        <w:tc>
          <w:tcPr>
            <w:tcW w:w="6237" w:type="dxa"/>
          </w:tcPr>
          <w:p>
            <w:pPr>
              <w:pStyle w:val="yTable"/>
              <w:ind w:left="568" w:hanging="568"/>
            </w:pPr>
            <w:r>
              <w:t>2.</w:t>
            </w:r>
            <w:r>
              <w:tab/>
              <w:t>A person who is placed, or who is being considered for placement, as a student undertaking a practicum or in an unpaid capacity in the Department of Health.</w:t>
            </w:r>
          </w:p>
        </w:tc>
      </w:tr>
    </w:tbl>
    <w:p>
      <w:pPr>
        <w:pStyle w:val="ySubsection"/>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pPr>
      <w:r>
        <w:tab/>
        <w:t>(9)</w:t>
      </w:r>
      <w:r>
        <w:tab/>
        <w:t>The persons specified in the table to this subclause are excepted from the provisions of sections 18, 19, 20 and 22 and Division 4 of Part 3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c>
          <w:tcPr>
            <w:tcW w:w="6237" w:type="dxa"/>
          </w:tcPr>
          <w:p>
            <w:pPr>
              <w:pStyle w:val="yTable"/>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or 12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w:t>
      </w:r>
      <w:del w:id="566" w:author="svcMRProcess" w:date="2018-09-08T15:53:00Z">
        <w:r>
          <w:delText xml:space="preserve"> </w:delText>
        </w:r>
      </w:del>
      <w:ins w:id="567" w:author="svcMRProcess" w:date="2018-09-08T15:53:00Z">
        <w:r>
          <w:t> </w:t>
        </w:r>
      </w:ins>
      <w:r>
        <w:t>exception in the relevant subclause extends to any other person who is or may become the principal of that person for the purposes of section 20.</w:t>
      </w:r>
    </w:p>
    <w:p>
      <w:pPr>
        <w:pStyle w:val="yFootnotesection"/>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w:t>
      </w:r>
      <w:ins w:id="568" w:author="svcMRProcess" w:date="2018-09-08T15:53:00Z">
        <w:r>
          <w:t xml:space="preserve"> No. 41 of 2006 s. 96; </w:t>
        </w:r>
      </w:ins>
      <w:r>
        <w:t xml:space="preserve"> amended in Gazette 27 Feb 1998 p. 1035; 9 Oct 1998 p. 5594; 2 Jun 2000 p. 2667; 28 Jul 2000 p. 4013; 17 Aug 2001 p. 4346; 1 Feb 2002 p. 517; 26 Nov 2004 p. 5312</w:t>
      </w:r>
      <w:r>
        <w:noBreakHyphen/>
        <w:t>13; 31 May 2005 p. 2414</w:t>
      </w:r>
      <w:r>
        <w:noBreakHyphen/>
        <w:t>19; 24 Oct 2006 p. 4491</w:t>
      </w:r>
      <w:r>
        <w:noBreakHyphen/>
        <w:t>2.]</w:t>
      </w:r>
    </w:p>
    <w:p>
      <w:pPr>
        <w:pStyle w:val="yHeading5"/>
        <w:rPr>
          <w:snapToGrid w:val="0"/>
        </w:rPr>
      </w:pPr>
      <w:bookmarkStart w:id="569" w:name="_Toc118857463"/>
      <w:bookmarkStart w:id="570" w:name="_Toc157479053"/>
      <w:bookmarkStart w:id="571" w:name="_Toc153617687"/>
      <w:r>
        <w:rPr>
          <w:rStyle w:val="CharSClsNo"/>
        </w:rPr>
        <w:t>2</w:t>
      </w:r>
      <w:r>
        <w:rPr>
          <w:snapToGrid w:val="0"/>
        </w:rPr>
        <w:t xml:space="preserve">. </w:t>
      </w:r>
      <w:r>
        <w:rPr>
          <w:snapToGrid w:val="0"/>
        </w:rPr>
        <w:tab/>
        <w:t>Exceptions as to spent convictions for certain offences in order to protect children</w:t>
      </w:r>
      <w:bookmarkEnd w:id="562"/>
      <w:bookmarkEnd w:id="563"/>
      <w:bookmarkEnd w:id="564"/>
      <w:bookmarkEnd w:id="565"/>
      <w:bookmarkEnd w:id="569"/>
      <w:bookmarkEnd w:id="570"/>
      <w:bookmarkEnd w:id="571"/>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rPr>
                <w:i/>
              </w:rPr>
            </w:pPr>
            <w:r>
              <w:rPr>
                <w:i/>
              </w:rPr>
              <w:t>[1</w:t>
            </w:r>
            <w:r>
              <w:rPr>
                <w:i/>
              </w:rPr>
              <w:noBreakHyphen/>
              <w:t>3.</w:t>
            </w:r>
            <w:r>
              <w:rPr>
                <w:i/>
              </w:rPr>
              <w:tab/>
              <w:t>deleted]</w:t>
            </w:r>
          </w:p>
        </w:tc>
        <w:tc>
          <w:tcPr>
            <w:tcW w:w="1701" w:type="dxa"/>
          </w:tcPr>
          <w:p>
            <w:pPr>
              <w:pStyle w:val="yTable"/>
              <w:ind w:left="1" w:hanging="1"/>
            </w:pPr>
          </w:p>
        </w:tc>
      </w:tr>
      <w:tr>
        <w:tc>
          <w:tcPr>
            <w:tcW w:w="4536" w:type="dxa"/>
          </w:tcPr>
          <w:p>
            <w:pPr>
              <w:pStyle w:val="yTable"/>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
              <w:ind w:left="1" w:hanging="1"/>
            </w:pPr>
            <w:r>
              <w:t>Section 18 and</w:t>
            </w:r>
            <w:r>
              <w:br/>
              <w:t>Division 4</w:t>
            </w:r>
          </w:p>
        </w:tc>
      </w:tr>
      <w:tr>
        <w:tc>
          <w:tcPr>
            <w:tcW w:w="4536" w:type="dxa"/>
          </w:tcPr>
          <w:p>
            <w:pPr>
              <w:pStyle w:val="yTable"/>
              <w:keepNext/>
              <w:keepLines/>
              <w:ind w:left="568" w:hanging="568"/>
              <w:rPr>
                <w:i/>
              </w:rPr>
            </w:pPr>
            <w:r>
              <w:rPr>
                <w:i/>
              </w:rPr>
              <w:t>[5.</w:t>
            </w:r>
            <w:r>
              <w:rPr>
                <w:i/>
              </w:rPr>
              <w:tab/>
              <w:t>deleted]</w:t>
            </w:r>
          </w:p>
        </w:tc>
        <w:tc>
          <w:tcPr>
            <w:tcW w:w="1701" w:type="dxa"/>
          </w:tcPr>
          <w:p>
            <w:pPr>
              <w:pStyle w:val="yTable"/>
              <w:ind w:left="1" w:hanging="1"/>
            </w:pPr>
          </w:p>
        </w:tc>
      </w:tr>
      <w:tr>
        <w:tc>
          <w:tcPr>
            <w:tcW w:w="4536" w:type="dxa"/>
          </w:tcPr>
          <w:p>
            <w:pPr>
              <w:pStyle w:val="yTable"/>
              <w:ind w:left="568" w:hanging="568"/>
            </w:pPr>
            <w:r>
              <w:t>6.</w:t>
            </w:r>
            <w:r>
              <w:tab/>
              <w:t>A person being considered for participation in the safety house scheme organised by the Safety House Association of Western Australia Incorporated.</w:t>
            </w:r>
          </w:p>
        </w:tc>
        <w:tc>
          <w:tcPr>
            <w:tcW w:w="1701" w:type="dxa"/>
          </w:tcPr>
          <w:p>
            <w:pPr>
              <w:pStyle w:val="yTable"/>
              <w:ind w:left="1" w:hanging="1"/>
            </w:pPr>
            <w:r>
              <w:t>Division 4</w:t>
            </w:r>
          </w:p>
        </w:tc>
      </w:tr>
      <w:tr>
        <w:tc>
          <w:tcPr>
            <w:tcW w:w="4536" w:type="dxa"/>
          </w:tcPr>
          <w:p>
            <w:pPr>
              <w:pStyle w:val="yTable"/>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
              <w:ind w:left="1" w:hanging="1"/>
            </w:pPr>
            <w:r>
              <w:t>Division 4</w:t>
            </w:r>
          </w:p>
        </w:tc>
      </w:tr>
      <w:tr>
        <w:tc>
          <w:tcPr>
            <w:tcW w:w="4536" w:type="dxa"/>
          </w:tcPr>
          <w:p>
            <w:pPr>
              <w:pStyle w:val="yTable"/>
              <w:ind w:left="568" w:hanging="568"/>
            </w:pPr>
            <w:r>
              <w:t>8.</w:t>
            </w:r>
            <w:r>
              <w:tab/>
              <w:t>A person who is employed or who is being considered for employment in the Department of Sport and Recreation.</w:t>
            </w:r>
          </w:p>
        </w:tc>
        <w:tc>
          <w:tcPr>
            <w:tcW w:w="1701" w:type="dxa"/>
          </w:tcPr>
          <w:p>
            <w:pPr>
              <w:pStyle w:val="yTable"/>
              <w:ind w:left="1" w:hanging="1"/>
            </w:pPr>
            <w:r>
              <w:t>Sections 18 and 20 and Division 4</w:t>
            </w:r>
          </w:p>
        </w:tc>
      </w:tr>
      <w:tr>
        <w:tc>
          <w:tcPr>
            <w:tcW w:w="4536" w:type="dxa"/>
            <w:tcBorders>
              <w:bottom w:val="single" w:sz="4" w:space="0" w:color="auto"/>
            </w:tcBorders>
          </w:tcPr>
          <w:p>
            <w:pPr>
              <w:pStyle w:val="yTable"/>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
              <w:ind w:left="1" w:hanging="1"/>
            </w:pPr>
            <w:r>
              <w:t>Sections 18 and 20 and Division 4</w:t>
            </w:r>
          </w:p>
        </w:tc>
      </w:tr>
    </w:tbl>
    <w:p>
      <w:pPr>
        <w:pStyle w:val="ySubsection"/>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572" w:name="_Toc492695681"/>
      <w:bookmarkStart w:id="573" w:name="_Toc492955928"/>
      <w:bookmarkStart w:id="574" w:name="_Toc493045086"/>
      <w:bookmarkStart w:id="575"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
              <w:keepNext/>
              <w:keepLines/>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Footnotesection"/>
      </w:pPr>
      <w:r>
        <w:tab/>
        <w:t>[Clause 2 inserted in Gazette 26 Jun 1992 p. 2716-17; amended by Act No. 9 of 1994 s. 145; No. 10 of 1998 s. 65(2); No. 36 of 1999 s. 247; amended in Gazette 30 Dec 2003 p. 5727; 26 Nov 2004 p. 5313; 31 May 2005 p. 2420; 24 Oct 2006 p. 4492.]</w:t>
      </w:r>
    </w:p>
    <w:p>
      <w:pPr>
        <w:pStyle w:val="yEdnotesection"/>
      </w:pPr>
      <w:bookmarkStart w:id="576" w:name="_Toc83627255"/>
      <w:bookmarkStart w:id="577" w:name="_Toc83791562"/>
      <w:bookmarkStart w:id="578" w:name="_Toc106508130"/>
      <w:bookmarkStart w:id="579" w:name="_Toc108249669"/>
      <w:bookmarkStart w:id="580" w:name="_Toc108251271"/>
      <w:bookmarkEnd w:id="572"/>
      <w:bookmarkEnd w:id="573"/>
      <w:bookmarkEnd w:id="574"/>
      <w:bookmarkEnd w:id="575"/>
      <w:r>
        <w:t>[</w:t>
      </w:r>
      <w:r>
        <w:rPr>
          <w:b/>
        </w:rPr>
        <w:t>3.</w:t>
      </w:r>
      <w:r>
        <w:tab/>
        <w:t>Repealed in Gazette 24 Oct 2006 p. 4492.]</w:t>
      </w:r>
    </w:p>
    <w:p>
      <w:pPr>
        <w:tabs>
          <w:tab w:val="left" w:pos="570"/>
        </w:tabs>
        <w:ind w:left="584" w:hanging="584"/>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81" w:name="_Toc108428865"/>
      <w:bookmarkStart w:id="582" w:name="_Toc108495675"/>
      <w:bookmarkStart w:id="583" w:name="_Toc109469643"/>
      <w:bookmarkStart w:id="584" w:name="_Toc109469906"/>
      <w:bookmarkStart w:id="585" w:name="_Toc118797504"/>
      <w:bookmarkStart w:id="586" w:name="_Toc118857465"/>
      <w:bookmarkStart w:id="587" w:name="_Toc139773948"/>
      <w:bookmarkStart w:id="588" w:name="_Toc147055163"/>
      <w:bookmarkStart w:id="589" w:name="_Toc147133458"/>
      <w:bookmarkStart w:id="590" w:name="_Toc149451031"/>
      <w:bookmarkStart w:id="591" w:name="_Toc153610340"/>
      <w:bookmarkStart w:id="592" w:name="_Toc153617688"/>
      <w:bookmarkStart w:id="593" w:name="_Toc156724223"/>
      <w:bookmarkStart w:id="594" w:name="_Toc157479054"/>
      <w:r>
        <w:t>Notes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95" w:name="_Toc118857466"/>
      <w:bookmarkStart w:id="596" w:name="_Toc157479055"/>
      <w:bookmarkStart w:id="597" w:name="_Toc153617689"/>
      <w:r>
        <w:t>Compilation table</w:t>
      </w:r>
      <w:bookmarkEnd w:id="595"/>
      <w:bookmarkEnd w:id="596"/>
      <w:bookmarkEnd w:id="5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Spent Convictions Act 1988</w:t>
            </w:r>
          </w:p>
        </w:tc>
        <w:tc>
          <w:tcPr>
            <w:tcW w:w="1134" w:type="dxa"/>
          </w:tcPr>
          <w:p>
            <w:pPr>
              <w:pStyle w:val="nTable"/>
              <w:spacing w:after="40"/>
              <w:rPr>
                <w:sz w:val="19"/>
              </w:rPr>
            </w:pPr>
            <w:r>
              <w:rPr>
                <w:sz w:val="19"/>
              </w:rPr>
              <w:t>55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26 Jun 1992 p. 2644)</w:t>
            </w:r>
          </w:p>
        </w:tc>
      </w:tr>
      <w:tr>
        <w:trPr>
          <w:cantSplit/>
        </w:trPr>
        <w:tc>
          <w:tcPr>
            <w:tcW w:w="2268" w:type="dxa"/>
          </w:tcPr>
          <w:p>
            <w:pPr>
              <w:pStyle w:val="nTable"/>
              <w:spacing w:after="40"/>
              <w:ind w:right="113"/>
              <w:rPr>
                <w:sz w:val="19"/>
              </w:rPr>
            </w:pPr>
            <w:r>
              <w:rPr>
                <w:i/>
                <w:sz w:val="19"/>
              </w:rPr>
              <w:t>Spent Convictions Amendment Act 1989</w:t>
            </w:r>
          </w:p>
        </w:tc>
        <w:tc>
          <w:tcPr>
            <w:tcW w:w="1134" w:type="dxa"/>
          </w:tcPr>
          <w:p>
            <w:pPr>
              <w:pStyle w:val="nTable"/>
              <w:spacing w:after="40"/>
              <w:rPr>
                <w:sz w:val="19"/>
              </w:rPr>
            </w:pPr>
            <w:r>
              <w:rPr>
                <w:sz w:val="19"/>
              </w:rPr>
              <w:t>24 of 1989</w:t>
            </w:r>
          </w:p>
        </w:tc>
        <w:tc>
          <w:tcPr>
            <w:tcW w:w="1134" w:type="dxa"/>
          </w:tcPr>
          <w:p>
            <w:pPr>
              <w:pStyle w:val="nTable"/>
              <w:spacing w:after="40"/>
              <w:rPr>
                <w:sz w:val="19"/>
              </w:rPr>
            </w:pPr>
            <w:r>
              <w:rPr>
                <w:sz w:val="19"/>
              </w:rPr>
              <w:t>8 Dec 1989</w:t>
            </w:r>
          </w:p>
        </w:tc>
        <w:tc>
          <w:tcPr>
            <w:tcW w:w="2551" w:type="dxa"/>
          </w:tcPr>
          <w:p>
            <w:pPr>
              <w:pStyle w:val="nTable"/>
              <w:spacing w:after="40"/>
              <w:rPr>
                <w:sz w:val="19"/>
              </w:rPr>
            </w:pPr>
            <w:r>
              <w:rPr>
                <w:sz w:val="19"/>
              </w:rPr>
              <w:t>8 Dec 1989 (see s. 2)</w:t>
            </w:r>
          </w:p>
        </w:tc>
      </w:tr>
      <w:tr>
        <w:trPr>
          <w:cantSplit/>
        </w:trPr>
        <w:tc>
          <w:tcPr>
            <w:tcW w:w="4536" w:type="dxa"/>
            <w:gridSpan w:val="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51" w:type="dxa"/>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cantSplit/>
        </w:trPr>
        <w:tc>
          <w:tcPr>
            <w:tcW w:w="2268" w:type="dxa"/>
          </w:tcPr>
          <w:p>
            <w:pPr>
              <w:pStyle w:val="nTable"/>
              <w:spacing w:after="40"/>
              <w:ind w:right="113"/>
              <w:rPr>
                <w:sz w:val="19"/>
              </w:rPr>
            </w:pPr>
            <w:r>
              <w:rPr>
                <w:i/>
                <w:sz w:val="19"/>
              </w:rPr>
              <w:t>Adoption Act 1994</w:t>
            </w:r>
            <w:r>
              <w:rPr>
                <w:sz w:val="19"/>
              </w:rPr>
              <w:t xml:space="preserve"> s. 145 </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4536" w:type="dxa"/>
            <w:gridSpan w:val="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51" w:type="dxa"/>
          </w:tcPr>
          <w:p>
            <w:pPr>
              <w:pStyle w:val="nTable"/>
              <w:spacing w:after="40"/>
              <w:rPr>
                <w:sz w:val="19"/>
              </w:rPr>
            </w:pPr>
            <w:r>
              <w:rPr>
                <w:rFonts w:ascii="Times" w:hAnsi="Times"/>
                <w:sz w:val="19"/>
              </w:rPr>
              <w:t>12 Jul 1994</w:t>
            </w:r>
          </w:p>
        </w:tc>
      </w:tr>
      <w:tr>
        <w:trPr>
          <w:cantSplit/>
        </w:trPr>
        <w:tc>
          <w:tcPr>
            <w:tcW w:w="2268" w:type="dxa"/>
          </w:tcPr>
          <w:p>
            <w:pPr>
              <w:pStyle w:val="nTable"/>
              <w:spacing w:after="40"/>
              <w:ind w:right="113"/>
              <w:rPr>
                <w:sz w:val="19"/>
              </w:rPr>
            </w:pPr>
            <w:r>
              <w:rPr>
                <w:i/>
                <w:sz w:val="19"/>
              </w:rPr>
              <w:t>Young Offenders Act 1994</w:t>
            </w:r>
            <w:r>
              <w:rPr>
                <w:sz w:val="19"/>
              </w:rPr>
              <w:t xml:space="preserve"> s. 236 </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74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cantSplit/>
        </w:trPr>
        <w:tc>
          <w:tcPr>
            <w:tcW w:w="4536" w:type="dxa"/>
            <w:gridSpan w:val="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51" w:type="dxa"/>
          </w:tcPr>
          <w:p>
            <w:pPr>
              <w:pStyle w:val="nTable"/>
              <w:spacing w:after="40"/>
              <w:rPr>
                <w:rFonts w:ascii="Times" w:hAnsi="Times"/>
                <w:sz w:val="19"/>
              </w:rPr>
            </w:pPr>
            <w:r>
              <w:rPr>
                <w:rFonts w:ascii="Times" w:hAnsi="Times"/>
                <w:sz w:val="19"/>
              </w:rPr>
              <w:t>27 Feb 1998</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65</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4536" w:type="dxa"/>
            <w:gridSpan w:val="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51" w:type="dxa"/>
          </w:tcPr>
          <w:p>
            <w:pPr>
              <w:pStyle w:val="nTable"/>
              <w:spacing w:after="40"/>
              <w:rPr>
                <w:rFonts w:ascii="Times" w:hAnsi="Times"/>
                <w:sz w:val="19"/>
              </w:rPr>
            </w:pPr>
            <w:r>
              <w:rPr>
                <w:rFonts w:ascii="Times" w:hAnsi="Times"/>
                <w:sz w:val="19"/>
              </w:rPr>
              <w:t>5 May 1998</w:t>
            </w:r>
          </w:p>
        </w:tc>
      </w:tr>
      <w:tr>
        <w:trPr>
          <w:cantSplit/>
        </w:trPr>
        <w:tc>
          <w:tcPr>
            <w:tcW w:w="4536" w:type="dxa"/>
            <w:gridSpan w:val="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51" w:type="dxa"/>
          </w:tcPr>
          <w:p>
            <w:pPr>
              <w:pStyle w:val="nTable"/>
              <w:spacing w:after="40"/>
              <w:rPr>
                <w:rFonts w:ascii="Times" w:hAnsi="Times"/>
                <w:sz w:val="19"/>
              </w:rPr>
            </w:pPr>
            <w:r>
              <w:rPr>
                <w:sz w:val="19"/>
              </w:rPr>
              <w:t>9 Oct 1998</w:t>
            </w:r>
          </w:p>
        </w:tc>
      </w:tr>
      <w:tr>
        <w:trPr>
          <w:cantSplit/>
        </w:trPr>
        <w:tc>
          <w:tcPr>
            <w:tcW w:w="2268"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4536" w:type="dxa"/>
            <w:gridSpan w:val="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51" w:type="dxa"/>
          </w:tcPr>
          <w:p>
            <w:pPr>
              <w:pStyle w:val="nTable"/>
              <w:spacing w:after="40"/>
              <w:rPr>
                <w:sz w:val="19"/>
              </w:rPr>
            </w:pPr>
            <w:r>
              <w:rPr>
                <w:sz w:val="19"/>
              </w:rPr>
              <w:t>2 Jun 2000</w:t>
            </w:r>
          </w:p>
        </w:tc>
      </w:tr>
      <w:tr>
        <w:trPr>
          <w:cantSplit/>
        </w:trPr>
        <w:tc>
          <w:tcPr>
            <w:tcW w:w="4536" w:type="dxa"/>
            <w:gridSpan w:val="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51" w:type="dxa"/>
          </w:tcPr>
          <w:p>
            <w:pPr>
              <w:pStyle w:val="nTable"/>
              <w:spacing w:after="40"/>
              <w:rPr>
                <w:sz w:val="19"/>
              </w:rPr>
            </w:pPr>
            <w:r>
              <w:rPr>
                <w:sz w:val="19"/>
              </w:rPr>
              <w:t>28 Jul 2000</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cantSplit/>
        </w:trPr>
        <w:tc>
          <w:tcPr>
            <w:tcW w:w="4536" w:type="dxa"/>
            <w:gridSpan w:val="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51" w:type="dxa"/>
          </w:tcPr>
          <w:p>
            <w:pPr>
              <w:pStyle w:val="nTable"/>
              <w:spacing w:after="40"/>
              <w:rPr>
                <w:sz w:val="19"/>
              </w:rPr>
            </w:pPr>
            <w:r>
              <w:rPr>
                <w:sz w:val="19"/>
              </w:rPr>
              <w:t>17 Aug 2001</w:t>
            </w:r>
          </w:p>
        </w:tc>
      </w:tr>
      <w:tr>
        <w:trPr>
          <w:cantSplit/>
        </w:trPr>
        <w:tc>
          <w:tcPr>
            <w:tcW w:w="4536" w:type="dxa"/>
            <w:gridSpan w:val="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51" w:type="dxa"/>
          </w:tcPr>
          <w:p>
            <w:pPr>
              <w:pStyle w:val="nTable"/>
              <w:spacing w:after="40"/>
              <w:rPr>
                <w:sz w:val="19"/>
              </w:rPr>
            </w:pPr>
            <w:r>
              <w:rPr>
                <w:sz w:val="19"/>
              </w:rPr>
              <w:t>1 Feb 2002</w:t>
            </w:r>
          </w:p>
        </w:tc>
      </w:tr>
      <w:tr>
        <w:trPr>
          <w:cantSplit/>
        </w:trPr>
        <w:tc>
          <w:tcPr>
            <w:tcW w:w="2268" w:type="dxa"/>
          </w:tcPr>
          <w:p>
            <w:pPr>
              <w:pStyle w:val="nTable"/>
              <w:spacing w:after="40"/>
              <w:rPr>
                <w:i/>
                <w:sz w:val="19"/>
              </w:rPr>
            </w:pPr>
            <w:r>
              <w:rPr>
                <w:i/>
                <w:sz w:val="19"/>
              </w:rPr>
              <w:t>Corruption and Crime Commission Act 2003</w:t>
            </w:r>
            <w:r>
              <w:rPr>
                <w:sz w:val="19"/>
              </w:rPr>
              <w:t xml:space="preserve"> s. 62</w:t>
            </w:r>
          </w:p>
        </w:tc>
        <w:tc>
          <w:tcPr>
            <w:tcW w:w="1134" w:type="dxa"/>
          </w:tcPr>
          <w:p>
            <w:pPr>
              <w:pStyle w:val="nTable"/>
              <w:keepLines/>
              <w:spacing w:after="40"/>
              <w:rPr>
                <w:sz w:val="19"/>
              </w:rPr>
            </w:pPr>
            <w:r>
              <w:rPr>
                <w:sz w:val="19"/>
              </w:rPr>
              <w:t>48 of 2003 (as amended by No. 78 of 2003 s. 35(13))</w:t>
            </w:r>
          </w:p>
        </w:tc>
        <w:tc>
          <w:tcPr>
            <w:tcW w:w="1134" w:type="dxa"/>
          </w:tcPr>
          <w:p>
            <w:pPr>
              <w:pStyle w:val="nTable"/>
              <w:keepLines/>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29(3)</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keepLines/>
              <w:spacing w:after="40"/>
              <w:rPr>
                <w:sz w:val="19"/>
              </w:rPr>
            </w:pPr>
            <w:r>
              <w:rPr>
                <w:sz w:val="19"/>
              </w:rPr>
              <w:t>78 of 2003</w:t>
            </w:r>
          </w:p>
        </w:tc>
        <w:tc>
          <w:tcPr>
            <w:tcW w:w="1134" w:type="dxa"/>
          </w:tcPr>
          <w:p>
            <w:pPr>
              <w:pStyle w:val="nTable"/>
              <w:keepLines/>
              <w:spacing w:after="40"/>
              <w:rPr>
                <w:sz w:val="19"/>
              </w:rPr>
            </w:pPr>
            <w:r>
              <w:rPr>
                <w:sz w:val="19"/>
              </w:rPr>
              <w:t>22 Dec 2003</w:t>
            </w:r>
          </w:p>
        </w:tc>
        <w:tc>
          <w:tcPr>
            <w:tcW w:w="2551" w:type="dxa"/>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4536" w:type="dxa"/>
            <w:gridSpan w:val="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51" w:type="dxa"/>
          </w:tcPr>
          <w:p>
            <w:pPr>
              <w:pStyle w:val="nTable"/>
              <w:keepLines/>
              <w:spacing w:after="40"/>
              <w:rPr>
                <w:sz w:val="19"/>
              </w:rPr>
            </w:pPr>
            <w:r>
              <w:rPr>
                <w:sz w:val="19"/>
              </w:rPr>
              <w:t>30 Dec 2003</w:t>
            </w:r>
          </w:p>
        </w:tc>
      </w:tr>
      <w:tr>
        <w:trPr>
          <w:cantSplit/>
        </w:trPr>
        <w:tc>
          <w:tcPr>
            <w:tcW w:w="2268" w:type="dxa"/>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keepLines/>
              <w:spacing w:after="40"/>
              <w:rPr>
                <w:sz w:val="19"/>
              </w:rPr>
            </w:pPr>
            <w:r>
              <w:rPr>
                <w:snapToGrid w:val="0"/>
                <w:sz w:val="19"/>
                <w:lang w:val="en-US"/>
              </w:rPr>
              <w:t>59 of 2004</w:t>
            </w:r>
          </w:p>
        </w:tc>
        <w:tc>
          <w:tcPr>
            <w:tcW w:w="1134" w:type="dxa"/>
          </w:tcPr>
          <w:p>
            <w:pPr>
              <w:pStyle w:val="nTable"/>
              <w:keepLines/>
              <w:spacing w:after="40"/>
              <w:rPr>
                <w:sz w:val="19"/>
              </w:rPr>
            </w:pPr>
            <w:r>
              <w:rPr>
                <w:snapToGrid w:val="0"/>
                <w:sz w:val="19"/>
                <w:lang w:val="en-US"/>
              </w:rPr>
              <w:t>23 Nov 2004</w:t>
            </w:r>
          </w:p>
        </w:tc>
        <w:tc>
          <w:tcPr>
            <w:tcW w:w="2551" w:type="dxa"/>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4536" w:type="dxa"/>
            <w:gridSpan w:val="3"/>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51" w:type="dxa"/>
          </w:tcPr>
          <w:p>
            <w:pPr>
              <w:pStyle w:val="nTable"/>
              <w:keepLines/>
              <w:spacing w:after="40"/>
              <w:rPr>
                <w:snapToGrid w:val="0"/>
                <w:sz w:val="19"/>
                <w:lang w:val="en-US"/>
              </w:rPr>
            </w:pPr>
            <w:r>
              <w:rPr>
                <w:sz w:val="19"/>
              </w:rPr>
              <w:t>26 Nov 2004</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Lines/>
              <w:spacing w:after="40"/>
              <w:rPr>
                <w:snapToGrid w:val="0"/>
                <w:sz w:val="19"/>
                <w:lang w:val="en-US"/>
              </w:rPr>
            </w:pPr>
            <w:r>
              <w:rPr>
                <w:snapToGrid w:val="0"/>
                <w:sz w:val="19"/>
                <w:lang w:val="en-US"/>
              </w:rPr>
              <w:t>84 of 2004</w:t>
            </w:r>
          </w:p>
        </w:tc>
        <w:tc>
          <w:tcPr>
            <w:tcW w:w="1134" w:type="dxa"/>
          </w:tcPr>
          <w:p>
            <w:pPr>
              <w:pStyle w:val="nTable"/>
              <w:keepLines/>
              <w:spacing w:after="40"/>
              <w:rPr>
                <w:snapToGrid w:val="0"/>
                <w:sz w:val="19"/>
                <w:lang w:val="en-US"/>
              </w:rPr>
            </w:pPr>
            <w:r>
              <w:rPr>
                <w:sz w:val="19"/>
              </w:rPr>
              <w:t>16 Dec 2004</w:t>
            </w:r>
          </w:p>
        </w:tc>
        <w:tc>
          <w:tcPr>
            <w:tcW w:w="2551" w:type="dxa"/>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6" w:type="dxa"/>
            <w:gridSpan w:val="3"/>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51" w:type="dxa"/>
          </w:tcPr>
          <w:p>
            <w:pPr>
              <w:pStyle w:val="nTable"/>
              <w:keepLines/>
              <w:spacing w:after="40"/>
              <w:rPr>
                <w:snapToGrid w:val="0"/>
                <w:sz w:val="19"/>
                <w:lang w:val="en-US"/>
              </w:rPr>
            </w:pPr>
            <w:r>
              <w:rPr>
                <w:sz w:val="19"/>
              </w:rPr>
              <w:t>31 May 2005</w:t>
            </w:r>
          </w:p>
        </w:tc>
      </w:tr>
      <w:tr>
        <w:trPr>
          <w:cantSplit/>
        </w:trPr>
        <w:tc>
          <w:tcPr>
            <w:tcW w:w="7087" w:type="dxa"/>
            <w:gridSpan w:val="4"/>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cantSplit/>
        </w:trPr>
        <w:tc>
          <w:tcPr>
            <w:tcW w:w="4536" w:type="dxa"/>
            <w:gridSpan w:val="3"/>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51" w:type="dxa"/>
          </w:tcPr>
          <w:p>
            <w:pPr>
              <w:pStyle w:val="nTable"/>
              <w:keepLines/>
              <w:spacing w:after="40"/>
              <w:rPr>
                <w:snapToGrid w:val="0"/>
                <w:sz w:val="19"/>
                <w:lang w:val="en-US"/>
              </w:rPr>
            </w:pPr>
            <w:r>
              <w:rPr>
                <w:sz w:val="19"/>
              </w:rPr>
              <w:t>4 Nov 2005</w:t>
            </w:r>
          </w:p>
        </w:tc>
      </w:tr>
      <w:tr>
        <w:trPr>
          <w:cantSplit/>
          <w:ins w:id="598" w:author="svcMRProcess" w:date="2018-09-08T15:53:00Z"/>
        </w:trPr>
        <w:tc>
          <w:tcPr>
            <w:tcW w:w="2268" w:type="dxa"/>
          </w:tcPr>
          <w:p>
            <w:pPr>
              <w:pStyle w:val="nTable"/>
              <w:spacing w:after="40"/>
              <w:rPr>
                <w:ins w:id="599" w:author="svcMRProcess" w:date="2018-09-08T15:53:00Z"/>
                <w:i/>
                <w:sz w:val="19"/>
              </w:rPr>
            </w:pPr>
            <w:ins w:id="600" w:author="svcMRProcess" w:date="2018-09-08T15:53:00Z">
              <w:r>
                <w:rPr>
                  <w:i/>
                  <w:snapToGrid w:val="0"/>
                  <w:sz w:val="19"/>
                  <w:lang w:val="en-US"/>
                </w:rPr>
                <w:t xml:space="preserve">Parole and Sentencing Legislation Amendment Act 2006 </w:t>
              </w:r>
              <w:r>
                <w:rPr>
                  <w:snapToGrid w:val="0"/>
                  <w:sz w:val="19"/>
                  <w:lang w:val="en-US"/>
                </w:rPr>
                <w:t>s. 96</w:t>
              </w:r>
            </w:ins>
          </w:p>
        </w:tc>
        <w:tc>
          <w:tcPr>
            <w:tcW w:w="1134" w:type="dxa"/>
          </w:tcPr>
          <w:p>
            <w:pPr>
              <w:pStyle w:val="nTable"/>
              <w:keepLines/>
              <w:spacing w:after="40"/>
              <w:rPr>
                <w:ins w:id="601" w:author="svcMRProcess" w:date="2018-09-08T15:53:00Z"/>
                <w:sz w:val="19"/>
              </w:rPr>
            </w:pPr>
            <w:ins w:id="602" w:author="svcMRProcess" w:date="2018-09-08T15:53:00Z">
              <w:r>
                <w:rPr>
                  <w:sz w:val="19"/>
                </w:rPr>
                <w:t>41 of 2006</w:t>
              </w:r>
            </w:ins>
          </w:p>
        </w:tc>
        <w:tc>
          <w:tcPr>
            <w:tcW w:w="1134" w:type="dxa"/>
          </w:tcPr>
          <w:p>
            <w:pPr>
              <w:pStyle w:val="nTable"/>
              <w:keepLines/>
              <w:spacing w:after="40"/>
              <w:rPr>
                <w:ins w:id="603" w:author="svcMRProcess" w:date="2018-09-08T15:53:00Z"/>
                <w:sz w:val="19"/>
              </w:rPr>
            </w:pPr>
            <w:ins w:id="604" w:author="svcMRProcess" w:date="2018-09-08T15:53:00Z">
              <w:r>
                <w:rPr>
                  <w:sz w:val="19"/>
                </w:rPr>
                <w:t>22 Sep 2006</w:t>
              </w:r>
            </w:ins>
          </w:p>
        </w:tc>
        <w:tc>
          <w:tcPr>
            <w:tcW w:w="2551" w:type="dxa"/>
          </w:tcPr>
          <w:p>
            <w:pPr>
              <w:pStyle w:val="nTable"/>
              <w:keepLines/>
              <w:spacing w:after="40"/>
              <w:rPr>
                <w:ins w:id="605" w:author="svcMRProcess" w:date="2018-09-08T15:53:00Z"/>
                <w:sz w:val="19"/>
              </w:rPr>
            </w:pPr>
            <w:ins w:id="606" w:author="svcMRProcess" w:date="2018-09-08T15:53:00Z">
              <w:r>
                <w:rPr>
                  <w:sz w:val="19"/>
                </w:rPr>
                <w:t xml:space="preserve">28 Jan 2007 (see s. 2 and </w:t>
              </w:r>
              <w:r>
                <w:rPr>
                  <w:i/>
                  <w:sz w:val="19"/>
                </w:rPr>
                <w:t>Gazette</w:t>
              </w:r>
              <w:r>
                <w:rPr>
                  <w:sz w:val="19"/>
                </w:rPr>
                <w:t xml:space="preserve"> 29 Dec 2006 p. 5867)</w:t>
              </w:r>
            </w:ins>
          </w:p>
        </w:tc>
      </w:tr>
      <w:tr>
        <w:trPr>
          <w:cantSplit/>
        </w:trPr>
        <w:tc>
          <w:tcPr>
            <w:tcW w:w="4536" w:type="dxa"/>
            <w:gridSpan w:val="3"/>
            <w:tcBorders>
              <w:bottom w:val="single" w:sz="4" w:space="0" w:color="auto"/>
            </w:tcBorders>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51" w:type="dxa"/>
            <w:tcBorders>
              <w:bottom w:val="single" w:sz="4" w:space="0" w:color="auto"/>
            </w:tcBorders>
          </w:tcPr>
          <w:p>
            <w:pPr>
              <w:pStyle w:val="nTable"/>
              <w:keepLines/>
              <w:spacing w:after="40"/>
              <w:rPr>
                <w:sz w:val="19"/>
              </w:rPr>
            </w:pPr>
            <w:r>
              <w:rPr>
                <w:sz w:val="19"/>
              </w:rPr>
              <w:t>24 Oct 2006</w:t>
            </w:r>
          </w:p>
        </w:tc>
      </w:tr>
    </w:tbl>
    <w:p>
      <w:pPr>
        <w:pStyle w:val="nSubsection"/>
        <w:spacing w:before="360"/>
        <w:ind w:left="482" w:hanging="482"/>
      </w:pPr>
      <w:r>
        <w:rPr>
          <w:vertAlign w:val="superscript"/>
        </w:rPr>
        <w:t>1a</w:t>
      </w:r>
      <w:r>
        <w:tab/>
        <w:t>On the date as at which thi</w:t>
      </w:r>
      <w:bookmarkStart w:id="607" w:name="_Hlt507390729"/>
      <w:bookmarkEnd w:id="60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08" w:name="_Toc118857467"/>
      <w:bookmarkStart w:id="609" w:name="_Toc157479056"/>
      <w:bookmarkStart w:id="610" w:name="_Toc153617690"/>
      <w:r>
        <w:rPr>
          <w:snapToGrid w:val="0"/>
        </w:rPr>
        <w:t>Provisions that have not come into operation</w:t>
      </w:r>
      <w:bookmarkEnd w:id="608"/>
      <w:bookmarkEnd w:id="609"/>
      <w:bookmarkEnd w:id="61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144"/>
        <w:gridCol w:w="2410"/>
      </w:tblGrid>
      <w:tr>
        <w:tc>
          <w:tcPr>
            <w:tcW w:w="2268" w:type="dxa"/>
            <w:gridSpan w:val="2"/>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278"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410"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gridSpan w:val="2"/>
            <w:tcBorders>
              <w:bottom w:val="nil"/>
            </w:tcBorders>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r>
              <w:rPr>
                <w:snapToGrid w:val="0"/>
                <w:sz w:val="19"/>
                <w:vertAlign w:val="superscript"/>
                <w:lang w:val="en-US"/>
              </w:rPr>
              <w:t> 5</w:t>
            </w:r>
          </w:p>
        </w:tc>
        <w:tc>
          <w:tcPr>
            <w:tcW w:w="1134" w:type="dxa"/>
            <w:gridSpan w:val="2"/>
            <w:tcBorders>
              <w:bottom w:val="nil"/>
            </w:tcBorders>
          </w:tcPr>
          <w:p>
            <w:pPr>
              <w:pStyle w:val="nTable"/>
              <w:spacing w:after="40"/>
              <w:rPr>
                <w:snapToGrid w:val="0"/>
                <w:sz w:val="19"/>
                <w:lang w:val="en-US"/>
              </w:rPr>
            </w:pPr>
            <w:r>
              <w:rPr>
                <w:snapToGrid w:val="0"/>
                <w:sz w:val="19"/>
                <w:lang w:val="en-US"/>
              </w:rPr>
              <w:t>34 of 2004</w:t>
            </w:r>
          </w:p>
        </w:tc>
        <w:tc>
          <w:tcPr>
            <w:tcW w:w="1278" w:type="dxa"/>
            <w:gridSpan w:val="2"/>
            <w:tcBorders>
              <w:bottom w:val="nil"/>
            </w:tcBorders>
          </w:tcPr>
          <w:p>
            <w:pPr>
              <w:pStyle w:val="nTable"/>
              <w:spacing w:after="40"/>
              <w:rPr>
                <w:snapToGrid w:val="0"/>
                <w:sz w:val="19"/>
                <w:lang w:val="en-US"/>
              </w:rPr>
            </w:pPr>
            <w:r>
              <w:rPr>
                <w:sz w:val="19"/>
              </w:rPr>
              <w:t>20 Oct 2004</w:t>
            </w:r>
          </w:p>
        </w:tc>
        <w:tc>
          <w:tcPr>
            <w:tcW w:w="2410" w:type="dxa"/>
            <w:tcBorders>
              <w:bottom w:val="nil"/>
            </w:tcBorders>
          </w:tcPr>
          <w:p>
            <w:pPr>
              <w:pStyle w:val="nTable"/>
              <w:spacing w:after="40"/>
              <w:rPr>
                <w:snapToGrid w:val="0"/>
                <w:sz w:val="19"/>
                <w:lang w:val="en-US"/>
              </w:rPr>
            </w:pPr>
            <w:r>
              <w:rPr>
                <w:snapToGrid w:val="0"/>
                <w:sz w:val="19"/>
                <w:lang w:val="en-US"/>
              </w:rPr>
              <w:t>To be proclaimed (see s. 2)</w:t>
            </w:r>
          </w:p>
        </w:tc>
      </w:tr>
      <w:tr>
        <w:tc>
          <w:tcPr>
            <w:tcW w:w="2223" w:type="dxa"/>
            <w:tcBorders>
              <w:top w:val="nil"/>
              <w:bottom w:val="nil"/>
            </w:tcBorders>
          </w:tcPr>
          <w:p>
            <w:pPr>
              <w:pStyle w:val="nTable"/>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r>
              <w:rPr>
                <w:snapToGrid w:val="0"/>
                <w:sz w:val="19"/>
                <w:vertAlign w:val="superscript"/>
                <w:lang w:val="en-US"/>
              </w:rPr>
              <w:t>6</w:t>
            </w:r>
          </w:p>
        </w:tc>
        <w:tc>
          <w:tcPr>
            <w:tcW w:w="1118" w:type="dxa"/>
            <w:gridSpan w:val="2"/>
            <w:tcBorders>
              <w:top w:val="nil"/>
              <w:bottom w:val="nil"/>
            </w:tcBorders>
          </w:tcPr>
          <w:p>
            <w:pPr>
              <w:pStyle w:val="nTable"/>
              <w:rPr>
                <w:snapToGrid w:val="0"/>
                <w:sz w:val="19"/>
                <w:lang w:val="en-US"/>
              </w:rPr>
            </w:pPr>
            <w:r>
              <w:rPr>
                <w:snapToGrid w:val="0"/>
                <w:sz w:val="19"/>
                <w:lang w:val="en-US"/>
              </w:rPr>
              <w:t>28 of 2006</w:t>
            </w:r>
          </w:p>
        </w:tc>
        <w:tc>
          <w:tcPr>
            <w:tcW w:w="1195" w:type="dxa"/>
            <w:gridSpan w:val="2"/>
            <w:tcBorders>
              <w:top w:val="nil"/>
              <w:bottom w:val="nil"/>
            </w:tcBorders>
          </w:tcPr>
          <w:p>
            <w:pPr>
              <w:pStyle w:val="nTable"/>
              <w:rPr>
                <w:snapToGrid w:val="0"/>
                <w:sz w:val="19"/>
                <w:lang w:val="en-US"/>
              </w:rPr>
            </w:pPr>
            <w:r>
              <w:rPr>
                <w:snapToGrid w:val="0"/>
                <w:sz w:val="19"/>
                <w:lang w:val="en-US"/>
              </w:rPr>
              <w:t>26 Jun 2006</w:t>
            </w:r>
          </w:p>
        </w:tc>
        <w:tc>
          <w:tcPr>
            <w:tcW w:w="2554" w:type="dxa"/>
            <w:gridSpan w:val="2"/>
            <w:tcBorders>
              <w:top w:val="nil"/>
              <w:bottom w:val="nil"/>
            </w:tcBorders>
          </w:tcPr>
          <w:p>
            <w:pPr>
              <w:pStyle w:val="nTable"/>
              <w:rPr>
                <w:snapToGrid w:val="0"/>
                <w:sz w:val="19"/>
                <w:lang w:val="en-US"/>
              </w:rPr>
            </w:pPr>
            <w:r>
              <w:rPr>
                <w:snapToGrid w:val="0"/>
                <w:sz w:val="19"/>
                <w:lang w:val="en-US"/>
              </w:rPr>
              <w:t>To be proclaimed (see s. 2)</w:t>
            </w:r>
          </w:p>
        </w:tc>
      </w:tr>
      <w:tr>
        <w:trPr>
          <w:del w:id="611" w:author="svcMRProcess" w:date="2018-09-08T15:53:00Z"/>
        </w:trPr>
        <w:tc>
          <w:tcPr>
            <w:tcW w:w="2223" w:type="dxa"/>
            <w:tcBorders>
              <w:top w:val="nil"/>
              <w:bottom w:val="nil"/>
            </w:tcBorders>
          </w:tcPr>
          <w:p>
            <w:pPr>
              <w:pStyle w:val="nTable"/>
              <w:rPr>
                <w:del w:id="612" w:author="svcMRProcess" w:date="2018-09-08T15:53:00Z"/>
                <w:snapToGrid w:val="0"/>
                <w:sz w:val="19"/>
                <w:vertAlign w:val="superscript"/>
                <w:lang w:val="en-US"/>
              </w:rPr>
            </w:pPr>
            <w:del w:id="613" w:author="svcMRProcess" w:date="2018-09-08T15:53:00Z">
              <w:r>
                <w:rPr>
                  <w:i/>
                  <w:iCs/>
                  <w:snapToGrid w:val="0"/>
                  <w:sz w:val="19"/>
                  <w:lang w:val="en-US"/>
                </w:rPr>
                <w:delText xml:space="preserve">Parole and Sentencing Legislation Amendment Act 2006 </w:delText>
              </w:r>
              <w:r>
                <w:rPr>
                  <w:snapToGrid w:val="0"/>
                  <w:sz w:val="19"/>
                  <w:lang w:val="en-US"/>
                </w:rPr>
                <w:delText>s. 96 </w:delText>
              </w:r>
              <w:r>
                <w:rPr>
                  <w:snapToGrid w:val="0"/>
                  <w:sz w:val="19"/>
                  <w:vertAlign w:val="superscript"/>
                  <w:lang w:val="en-US"/>
                </w:rPr>
                <w:delText>7</w:delText>
              </w:r>
            </w:del>
          </w:p>
        </w:tc>
        <w:tc>
          <w:tcPr>
            <w:tcW w:w="1118" w:type="dxa"/>
            <w:gridSpan w:val="2"/>
            <w:tcBorders>
              <w:top w:val="nil"/>
              <w:bottom w:val="nil"/>
            </w:tcBorders>
          </w:tcPr>
          <w:p>
            <w:pPr>
              <w:pStyle w:val="nTable"/>
              <w:rPr>
                <w:del w:id="614" w:author="svcMRProcess" w:date="2018-09-08T15:53:00Z"/>
                <w:snapToGrid w:val="0"/>
                <w:sz w:val="19"/>
                <w:lang w:val="en-US"/>
              </w:rPr>
            </w:pPr>
            <w:del w:id="615" w:author="svcMRProcess" w:date="2018-09-08T15:53:00Z">
              <w:r>
                <w:rPr>
                  <w:snapToGrid w:val="0"/>
                  <w:sz w:val="19"/>
                  <w:lang w:val="en-US"/>
                </w:rPr>
                <w:delText>41 of 2006</w:delText>
              </w:r>
            </w:del>
          </w:p>
        </w:tc>
        <w:tc>
          <w:tcPr>
            <w:tcW w:w="1195" w:type="dxa"/>
            <w:gridSpan w:val="2"/>
            <w:tcBorders>
              <w:top w:val="nil"/>
              <w:bottom w:val="nil"/>
            </w:tcBorders>
          </w:tcPr>
          <w:p>
            <w:pPr>
              <w:pStyle w:val="nTable"/>
              <w:rPr>
                <w:del w:id="616" w:author="svcMRProcess" w:date="2018-09-08T15:53:00Z"/>
                <w:snapToGrid w:val="0"/>
                <w:sz w:val="19"/>
                <w:lang w:val="en-US"/>
              </w:rPr>
            </w:pPr>
            <w:del w:id="617" w:author="svcMRProcess" w:date="2018-09-08T15:53:00Z">
              <w:r>
                <w:rPr>
                  <w:snapToGrid w:val="0"/>
                  <w:sz w:val="19"/>
                  <w:lang w:val="en-US"/>
                </w:rPr>
                <w:delText>22 Sep 2006</w:delText>
              </w:r>
            </w:del>
          </w:p>
        </w:tc>
        <w:tc>
          <w:tcPr>
            <w:tcW w:w="2554" w:type="dxa"/>
            <w:gridSpan w:val="2"/>
            <w:tcBorders>
              <w:top w:val="nil"/>
              <w:bottom w:val="nil"/>
            </w:tcBorders>
          </w:tcPr>
          <w:p>
            <w:pPr>
              <w:pStyle w:val="nTable"/>
              <w:rPr>
                <w:del w:id="618" w:author="svcMRProcess" w:date="2018-09-08T15:53:00Z"/>
                <w:snapToGrid w:val="0"/>
                <w:sz w:val="19"/>
                <w:lang w:val="en-US"/>
              </w:rPr>
            </w:pPr>
            <w:del w:id="619" w:author="svcMRProcess" w:date="2018-09-08T15:53:00Z">
              <w:r>
                <w:rPr>
                  <w:snapToGrid w:val="0"/>
                  <w:sz w:val="19"/>
                  <w:lang w:val="en-US"/>
                </w:rPr>
                <w:delText>To be proclaimed (see s. 2)</w:delText>
              </w:r>
            </w:del>
          </w:p>
        </w:tc>
      </w:tr>
      <w:tr>
        <w:tc>
          <w:tcPr>
            <w:tcW w:w="2223" w:type="dxa"/>
            <w:tcBorders>
              <w:top w:val="nil"/>
            </w:tcBorders>
          </w:tcPr>
          <w:p>
            <w:pPr>
              <w:pStyle w:val="nTable"/>
              <w:rPr>
                <w:i/>
                <w:snapToGrid w:val="0"/>
                <w:sz w:val="19"/>
                <w:lang w:val="en-US"/>
              </w:rPr>
            </w:pPr>
            <w:r>
              <w:rPr>
                <w:i/>
                <w:snapToGrid w:val="0"/>
                <w:sz w:val="19"/>
              </w:rPr>
              <w:t>Prisons and Sentencing Legislation Amendment Act 2006</w:t>
            </w:r>
            <w:r>
              <w:rPr>
                <w:snapToGrid w:val="0"/>
                <w:sz w:val="19"/>
              </w:rPr>
              <w:t> Pt. 11 </w:t>
            </w:r>
            <w:r>
              <w:rPr>
                <w:snapToGrid w:val="0"/>
                <w:sz w:val="19"/>
                <w:vertAlign w:val="superscript"/>
              </w:rPr>
              <w:t>8</w:t>
            </w:r>
          </w:p>
        </w:tc>
        <w:tc>
          <w:tcPr>
            <w:tcW w:w="1118" w:type="dxa"/>
            <w:gridSpan w:val="2"/>
            <w:tcBorders>
              <w:top w:val="nil"/>
            </w:tcBorders>
          </w:tcPr>
          <w:p>
            <w:pPr>
              <w:pStyle w:val="nTable"/>
              <w:rPr>
                <w:snapToGrid w:val="0"/>
                <w:sz w:val="19"/>
                <w:lang w:val="en-US"/>
              </w:rPr>
            </w:pPr>
            <w:r>
              <w:rPr>
                <w:snapToGrid w:val="0"/>
                <w:sz w:val="19"/>
                <w:lang w:val="en-US"/>
              </w:rPr>
              <w:t>65 of 2006</w:t>
            </w:r>
          </w:p>
        </w:tc>
        <w:tc>
          <w:tcPr>
            <w:tcW w:w="1195" w:type="dxa"/>
            <w:gridSpan w:val="2"/>
            <w:tcBorders>
              <w:top w:val="nil"/>
            </w:tcBorders>
          </w:tcPr>
          <w:p>
            <w:pPr>
              <w:pStyle w:val="nTable"/>
              <w:rPr>
                <w:snapToGrid w:val="0"/>
                <w:sz w:val="19"/>
                <w:lang w:val="en-US"/>
              </w:rPr>
            </w:pPr>
            <w:r>
              <w:rPr>
                <w:snapToGrid w:val="0"/>
                <w:sz w:val="19"/>
                <w:lang w:val="en-US"/>
              </w:rPr>
              <w:t>8 Dec 2006</w:t>
            </w:r>
          </w:p>
        </w:tc>
        <w:tc>
          <w:tcPr>
            <w:tcW w:w="2554" w:type="dxa"/>
            <w:gridSpan w:val="2"/>
            <w:tcBorders>
              <w:top w:val="nil"/>
            </w:tcBorders>
          </w:tcPr>
          <w:p>
            <w:pPr>
              <w:pStyle w:val="nTable"/>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w:t>
      </w:r>
    </w:p>
    <w:p>
      <w:pPr>
        <w:pStyle w:val="nSubsection"/>
        <w:rPr>
          <w:snapToGrid w:val="0"/>
        </w:rPr>
      </w:pPr>
      <w:r>
        <w:rPr>
          <w:vertAlign w:val="superscript"/>
        </w:rPr>
        <w:t>5</w:t>
      </w:r>
      <w:r>
        <w:tab/>
      </w:r>
      <w:r>
        <w:rPr>
          <w:snapToGrid w:val="0"/>
        </w:rPr>
        <w:t xml:space="preserve">On the date as at which this compilation was prepared, the </w:t>
      </w:r>
      <w:r>
        <w:rPr>
          <w:i/>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620" w:name="_Toc85881464"/>
      <w:bookmarkStart w:id="621" w:name="_Toc86208422"/>
      <w:r>
        <w:rPr>
          <w:rStyle w:val="CharSectno"/>
        </w:rPr>
        <w:t>251</w:t>
      </w:r>
      <w:r>
        <w:t>.</w:t>
      </w:r>
      <w:r>
        <w:tab/>
      </w:r>
      <w:bookmarkStart w:id="622" w:name="_Toc55275771"/>
      <w:r>
        <w:t>Other Acts amended</w:t>
      </w:r>
      <w:bookmarkEnd w:id="620"/>
      <w:bookmarkEnd w:id="621"/>
      <w:bookmarkEnd w:id="622"/>
    </w:p>
    <w:p>
      <w:pPr>
        <w:pStyle w:val="nzSubsection"/>
      </w:pPr>
      <w:r>
        <w:tab/>
      </w:r>
      <w:r>
        <w:tab/>
        <w:t>Other Acts are amended as set out in Schedule </w:t>
      </w:r>
      <w:bookmarkStart w:id="623" w:name="_Hlt55630175"/>
      <w:r>
        <w:t>2</w:t>
      </w:r>
      <w:bookmarkEnd w:id="623"/>
      <w:r>
        <w:t>.</w:t>
      </w:r>
    </w:p>
    <w:p>
      <w:pPr>
        <w:pStyle w:val="MiscClose"/>
        <w:ind w:right="294"/>
        <w:rPr>
          <w:snapToGrid w:val="0"/>
        </w:rPr>
      </w:pPr>
      <w:r>
        <w:rPr>
          <w:snapToGrid w:val="0"/>
        </w:rPr>
        <w:t>”.</w:t>
      </w:r>
    </w:p>
    <w:p>
      <w:pPr>
        <w:pStyle w:val="nSubsection"/>
        <w:keepNext/>
        <w:rPr>
          <w:snapToGrid w:val="0"/>
        </w:rPr>
      </w:pPr>
      <w:r>
        <w:rPr>
          <w:snapToGrid w:val="0"/>
        </w:rPr>
        <w:tab/>
        <w:t>Schedule 2 cl. 25 reads as follows:</w:t>
      </w:r>
    </w:p>
    <w:p>
      <w:pPr>
        <w:pStyle w:val="MiscOpen"/>
        <w:rPr>
          <w:snapToGrid w:val="0"/>
        </w:rPr>
      </w:pPr>
      <w:r>
        <w:rPr>
          <w:snapToGrid w:val="0"/>
        </w:rPr>
        <w:t>“</w:t>
      </w:r>
    </w:p>
    <w:p>
      <w:pPr>
        <w:pStyle w:val="nzHeading2"/>
      </w:pPr>
      <w:bookmarkStart w:id="624" w:name="_Toc55113541"/>
      <w:bookmarkStart w:id="625" w:name="_Toc86208454"/>
      <w:r>
        <w:rPr>
          <w:rStyle w:val="CharSchNo"/>
        </w:rPr>
        <w:t>Schedule 2</w:t>
      </w:r>
      <w:r>
        <w:t> — </w:t>
      </w:r>
      <w:bookmarkEnd w:id="624"/>
      <w:r>
        <w:rPr>
          <w:rStyle w:val="CharSchText"/>
        </w:rPr>
        <w:t>Amendments to other Acts</w:t>
      </w:r>
      <w:bookmarkEnd w:id="625"/>
    </w:p>
    <w:p>
      <w:pPr>
        <w:pStyle w:val="nzMiscellaneousBody"/>
        <w:jc w:val="right"/>
      </w:pPr>
      <w:r>
        <w:t>[s. 251]</w:t>
      </w:r>
    </w:p>
    <w:p>
      <w:pPr>
        <w:pStyle w:val="nzHeading5"/>
      </w:pPr>
      <w:bookmarkStart w:id="626" w:name="_Toc85881514"/>
      <w:bookmarkStart w:id="627" w:name="_Toc86208479"/>
      <w:r>
        <w:t>25.</w:t>
      </w:r>
      <w:r>
        <w:tab/>
      </w:r>
      <w:r>
        <w:rPr>
          <w:i/>
        </w:rPr>
        <w:t>Spent Convictions Act 1988</w:t>
      </w:r>
      <w:r>
        <w:t xml:space="preserve"> amended</w:t>
      </w:r>
      <w:bookmarkEnd w:id="626"/>
      <w:bookmarkEnd w:id="627"/>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4"/>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tabs>
          <w:tab w:val="left" w:pos="6804"/>
        </w:tabs>
        <w:ind w:right="294"/>
      </w:pPr>
      <w:r>
        <w:t xml:space="preserve">    ”.</w:t>
      </w:r>
    </w:p>
    <w:p>
      <w:pPr>
        <w:pStyle w:val="MiscClose"/>
      </w:pPr>
      <w:r>
        <w:t>”.</w:t>
      </w:r>
    </w:p>
    <w:p>
      <w:pPr>
        <w:pStyle w:val="nSubsection"/>
      </w:pPr>
      <w:r>
        <w:rPr>
          <w:snapToGrid w:val="0"/>
        </w:rPr>
        <w:tab/>
        <w:t xml:space="preserve">The items in clause 2(1) that it seeks to amend were deleted by the </w:t>
      </w:r>
      <w:r>
        <w:rPr>
          <w:i/>
          <w:snapToGrid w:val="0"/>
        </w:rPr>
        <w:t>Spent Convictions (Act Amendment) Regulations 2005</w:t>
      </w:r>
      <w:r>
        <w:rPr>
          <w:snapToGrid w:val="0"/>
        </w:rPr>
        <w:t xml:space="preserve"> (see </w:t>
      </w:r>
      <w:r>
        <w:rPr>
          <w:i/>
          <w:snapToGrid w:val="0"/>
        </w:rPr>
        <w:t>Gazette</w:t>
      </w:r>
      <w:r>
        <w:rPr>
          <w:snapToGrid w:val="0"/>
        </w:rPr>
        <w:t xml:space="preserve"> 31 May 2005 p. 2420).</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5</w:t>
      </w:r>
      <w:r>
        <w:rPr>
          <w:snapToGrid w:val="0"/>
        </w:rPr>
        <w:t xml:space="preserve"> had not come into operation.  It reads as follows:</w:t>
      </w:r>
    </w:p>
    <w:p>
      <w:pPr>
        <w:pStyle w:val="MiscOpen"/>
        <w:rPr>
          <w:snapToGrid w:val="0"/>
        </w:rPr>
      </w:pPr>
      <w:r>
        <w:rPr>
          <w:snapToGrid w:val="0"/>
        </w:rPr>
        <w:t>“</w:t>
      </w:r>
    </w:p>
    <w:p>
      <w:pPr>
        <w:pStyle w:val="nzHeading2"/>
      </w:pPr>
      <w:bookmarkStart w:id="628" w:name="_Toc101002858"/>
      <w:bookmarkStart w:id="629" w:name="_Toc101066760"/>
      <w:bookmarkStart w:id="630" w:name="_Toc101067576"/>
      <w:bookmarkStart w:id="631" w:name="_Toc101068210"/>
      <w:bookmarkStart w:id="632" w:name="_Toc101068727"/>
      <w:bookmarkStart w:id="633" w:name="_Toc101070322"/>
      <w:bookmarkStart w:id="634" w:name="_Toc101072906"/>
      <w:bookmarkStart w:id="635" w:name="_Toc101080089"/>
      <w:bookmarkStart w:id="636" w:name="_Toc101080752"/>
      <w:bookmarkStart w:id="637" w:name="_Toc101173714"/>
      <w:bookmarkStart w:id="638" w:name="_Toc101256390"/>
      <w:bookmarkStart w:id="639" w:name="_Toc101260442"/>
      <w:bookmarkStart w:id="640" w:name="_Toc101329223"/>
      <w:bookmarkStart w:id="641" w:name="_Toc101350664"/>
      <w:bookmarkStart w:id="642" w:name="_Toc101578544"/>
      <w:bookmarkStart w:id="643" w:name="_Toc101599519"/>
      <w:bookmarkStart w:id="644" w:name="_Toc101666351"/>
      <w:bookmarkStart w:id="645" w:name="_Toc101672313"/>
      <w:bookmarkStart w:id="646" w:name="_Toc101674823"/>
      <w:bookmarkStart w:id="647" w:name="_Toc101682549"/>
      <w:bookmarkStart w:id="648" w:name="_Toc101689819"/>
      <w:bookmarkStart w:id="649" w:name="_Toc101769151"/>
      <w:bookmarkStart w:id="650" w:name="_Toc101770437"/>
      <w:bookmarkStart w:id="651" w:name="_Toc101773894"/>
      <w:bookmarkStart w:id="652" w:name="_Toc101844861"/>
      <w:bookmarkStart w:id="653" w:name="_Toc102981514"/>
      <w:bookmarkStart w:id="654" w:name="_Toc103569620"/>
      <w:bookmarkStart w:id="655" w:name="_Toc106088856"/>
      <w:bookmarkStart w:id="656" w:name="_Toc106096911"/>
      <w:bookmarkStart w:id="657" w:name="_Toc136050124"/>
      <w:bookmarkStart w:id="658" w:name="_Toc138660503"/>
      <w:bookmarkStart w:id="659" w:name="_Toc138661082"/>
      <w:bookmarkStart w:id="660" w:name="_Toc138661661"/>
      <w:bookmarkStart w:id="661" w:name="_Toc138749993"/>
      <w:bookmarkStart w:id="662" w:name="_Toc138750678"/>
      <w:bookmarkStart w:id="663" w:name="_Toc139166419"/>
      <w:bookmarkStart w:id="664" w:name="_Toc139266139"/>
      <w:bookmarkStart w:id="665" w:name="_Toc101002894"/>
      <w:bookmarkStart w:id="666" w:name="_Toc101066796"/>
      <w:bookmarkStart w:id="667" w:name="_Toc101067612"/>
      <w:bookmarkStart w:id="668" w:name="_Toc101068246"/>
      <w:bookmarkStart w:id="669" w:name="_Toc101068763"/>
      <w:bookmarkStart w:id="670" w:name="_Toc101070358"/>
      <w:bookmarkStart w:id="671" w:name="_Toc101072942"/>
      <w:bookmarkStart w:id="672" w:name="_Toc101080125"/>
      <w:bookmarkStart w:id="673" w:name="_Toc101080788"/>
      <w:bookmarkStart w:id="674" w:name="_Toc101173750"/>
      <w:bookmarkStart w:id="675" w:name="_Toc101256426"/>
      <w:bookmarkStart w:id="676" w:name="_Toc101260478"/>
      <w:bookmarkStart w:id="677" w:name="_Toc101329259"/>
      <w:bookmarkStart w:id="678" w:name="_Toc101350700"/>
      <w:bookmarkStart w:id="679" w:name="_Toc101578580"/>
      <w:bookmarkStart w:id="680" w:name="_Toc101599555"/>
      <w:bookmarkStart w:id="681" w:name="_Toc101666387"/>
      <w:bookmarkStart w:id="682" w:name="_Toc101672349"/>
      <w:bookmarkStart w:id="683" w:name="_Toc101674859"/>
      <w:bookmarkStart w:id="684" w:name="_Toc101682585"/>
      <w:bookmarkStart w:id="685" w:name="_Toc101689855"/>
      <w:bookmarkStart w:id="686" w:name="_Toc101769187"/>
      <w:bookmarkStart w:id="687" w:name="_Toc101770473"/>
      <w:bookmarkStart w:id="688" w:name="_Toc101773930"/>
      <w:bookmarkStart w:id="689" w:name="_Toc101844897"/>
      <w:bookmarkStart w:id="690" w:name="_Toc102981550"/>
      <w:bookmarkStart w:id="691" w:name="_Toc103569656"/>
      <w:bookmarkStart w:id="692" w:name="_Toc106088892"/>
      <w:bookmarkStart w:id="693" w:name="_Toc106096947"/>
      <w:bookmarkStart w:id="694" w:name="_Toc136050141"/>
      <w:bookmarkStart w:id="695" w:name="_Toc138660520"/>
      <w:bookmarkStart w:id="696" w:name="_Toc138661099"/>
      <w:bookmarkStart w:id="697" w:name="_Toc138661678"/>
      <w:bookmarkStart w:id="698" w:name="_Toc138750010"/>
      <w:bookmarkStart w:id="699" w:name="_Toc138750695"/>
      <w:bookmarkStart w:id="700" w:name="_Toc139166436"/>
      <w:bookmarkStart w:id="701" w:name="_Toc139266156"/>
      <w:r>
        <w:rPr>
          <w:rStyle w:val="CharPartNo"/>
        </w:rPr>
        <w:t>Part 3</w:t>
      </w:r>
      <w:r>
        <w:t> — </w:t>
      </w:r>
      <w:r>
        <w:rPr>
          <w:rStyle w:val="CharPartText"/>
        </w:rPr>
        <w:t>Attorney General, and Justice</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nzHeading3"/>
      </w:pPr>
      <w:r>
        <w:rPr>
          <w:rStyle w:val="CharDivNo"/>
        </w:rPr>
        <w:t>Division 5</w:t>
      </w:r>
      <w:r>
        <w:t> — </w:t>
      </w:r>
      <w:r>
        <w:rPr>
          <w:rStyle w:val="CharDivText"/>
          <w:i/>
        </w:rPr>
        <w:t>Spent Convictions Act 1988</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nzHeading5"/>
        <w:rPr>
          <w:snapToGrid w:val="0"/>
        </w:rPr>
      </w:pPr>
      <w:bookmarkStart w:id="702" w:name="_Toc100544257"/>
      <w:bookmarkStart w:id="703" w:name="_Toc138661100"/>
      <w:bookmarkStart w:id="704" w:name="_Toc138750696"/>
      <w:bookmarkStart w:id="705" w:name="_Toc139166437"/>
      <w:bookmarkStart w:id="706" w:name="_Toc139266157"/>
      <w:r>
        <w:rPr>
          <w:rStyle w:val="CharSectno"/>
        </w:rPr>
        <w:t>42</w:t>
      </w:r>
      <w:r>
        <w:rPr>
          <w:snapToGrid w:val="0"/>
        </w:rPr>
        <w:t>.</w:t>
      </w:r>
      <w:r>
        <w:rPr>
          <w:snapToGrid w:val="0"/>
        </w:rPr>
        <w:tab/>
        <w:t>The Act amended</w:t>
      </w:r>
      <w:bookmarkEnd w:id="702"/>
      <w:bookmarkEnd w:id="703"/>
      <w:bookmarkEnd w:id="704"/>
      <w:bookmarkEnd w:id="705"/>
      <w:bookmarkEnd w:id="706"/>
    </w:p>
    <w:p>
      <w:pPr>
        <w:pStyle w:val="nzSubsection"/>
      </w:pPr>
      <w:r>
        <w:tab/>
      </w:r>
      <w:r>
        <w:tab/>
        <w:t xml:space="preserve">The amendments in this Division are to the </w:t>
      </w:r>
      <w:r>
        <w:rPr>
          <w:i/>
        </w:rPr>
        <w:t>Spent Convictions Act 1988</w:t>
      </w:r>
      <w:r>
        <w:t>.</w:t>
      </w:r>
    </w:p>
    <w:p>
      <w:pPr>
        <w:pStyle w:val="nzHeading5"/>
      </w:pPr>
      <w:bookmarkStart w:id="707" w:name="_Toc100544258"/>
      <w:bookmarkStart w:id="708" w:name="_Toc138661101"/>
      <w:bookmarkStart w:id="709" w:name="_Toc138750697"/>
      <w:bookmarkStart w:id="710" w:name="_Toc139166438"/>
      <w:bookmarkStart w:id="711" w:name="_Toc139266158"/>
      <w:r>
        <w:rPr>
          <w:rStyle w:val="CharSectno"/>
        </w:rPr>
        <w:t>43</w:t>
      </w:r>
      <w:r>
        <w:t>.</w:t>
      </w:r>
      <w:r>
        <w:tab/>
        <w:t>Schedule 3 amended</w:t>
      </w:r>
      <w:bookmarkEnd w:id="707"/>
      <w:bookmarkEnd w:id="708"/>
      <w:bookmarkEnd w:id="709"/>
      <w:bookmarkEnd w:id="710"/>
      <w:bookmarkEnd w:id="711"/>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MiscOpen"/>
        <w:spacing w:before="60"/>
        <w:ind w:firstLine="1134"/>
      </w:pPr>
      <w:r>
        <w:t xml:space="preserve">“    </w:t>
      </w: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MiscClose"/>
        <w:keepLines w:val="0"/>
        <w:ind w:right="256"/>
      </w:pPr>
      <w:r>
        <w:t xml:space="preserve">    ”.</w:t>
      </w:r>
    </w:p>
    <w:p>
      <w:pPr>
        <w:pStyle w:val="MiscClose"/>
      </w:pPr>
      <w:r>
        <w:t>”.</w:t>
      </w:r>
    </w:p>
    <w:p>
      <w:pPr>
        <w:pStyle w:val="nSubsection"/>
        <w:rPr>
          <w:del w:id="712" w:author="svcMRProcess" w:date="2018-09-08T15:53:00Z"/>
          <w:snapToGrid w:val="0"/>
        </w:rPr>
      </w:pPr>
      <w:del w:id="713" w:author="svcMRProcess" w:date="2018-09-08T15:53:00Z">
        <w:r>
          <w:rPr>
            <w:snapToGrid w:val="0"/>
            <w:vertAlign w:val="superscript"/>
          </w:rPr>
          <w:delText>7</w:delText>
        </w:r>
        <w:r>
          <w:rPr>
            <w:snapToGrid w:val="0"/>
          </w:rPr>
          <w:tab/>
          <w:delText xml:space="preserve">On the date as at which this compilation was prepared, the </w:delText>
        </w:r>
        <w:r>
          <w:rPr>
            <w:i/>
            <w:snapToGrid w:val="0"/>
          </w:rPr>
          <w:delText xml:space="preserve">Parole and Sentencing Legislation Amendment Act 2006 </w:delText>
        </w:r>
        <w:r>
          <w:rPr>
            <w:iCs/>
            <w:snapToGrid w:val="0"/>
          </w:rPr>
          <w:delText>s. 96</w:delText>
        </w:r>
        <w:r>
          <w:rPr>
            <w:snapToGrid w:val="0"/>
          </w:rPr>
          <w:delText xml:space="preserve"> had not come into operation.  It reads as follows:</w:delText>
        </w:r>
      </w:del>
    </w:p>
    <w:p>
      <w:pPr>
        <w:pStyle w:val="MiscOpen"/>
        <w:rPr>
          <w:del w:id="714" w:author="svcMRProcess" w:date="2018-09-08T15:53:00Z"/>
          <w:snapToGrid w:val="0"/>
        </w:rPr>
      </w:pPr>
      <w:del w:id="715" w:author="svcMRProcess" w:date="2018-09-08T15:53:00Z">
        <w:r>
          <w:rPr>
            <w:snapToGrid w:val="0"/>
          </w:rPr>
          <w:delText>“</w:delText>
        </w:r>
      </w:del>
    </w:p>
    <w:p>
      <w:pPr>
        <w:pStyle w:val="nzHeading5"/>
        <w:rPr>
          <w:del w:id="716" w:author="svcMRProcess" w:date="2018-09-08T15:53:00Z"/>
        </w:rPr>
      </w:pPr>
      <w:bookmarkStart w:id="717" w:name="_Toc146359147"/>
      <w:bookmarkStart w:id="718" w:name="_Toc146707245"/>
      <w:del w:id="719" w:author="svcMRProcess" w:date="2018-09-08T15:53:00Z">
        <w:r>
          <w:rPr>
            <w:rStyle w:val="CharSectno"/>
          </w:rPr>
          <w:delText>96</w:delText>
        </w:r>
        <w:r>
          <w:delText>.</w:delText>
        </w:r>
        <w:r>
          <w:tab/>
        </w:r>
        <w:r>
          <w:rPr>
            <w:i/>
          </w:rPr>
          <w:delText xml:space="preserve">Spent Convictions Act 1988 </w:delText>
        </w:r>
        <w:r>
          <w:delText>amended</w:delText>
        </w:r>
        <w:bookmarkEnd w:id="717"/>
        <w:bookmarkEnd w:id="718"/>
      </w:del>
    </w:p>
    <w:p>
      <w:pPr>
        <w:pStyle w:val="nzSubsection"/>
        <w:rPr>
          <w:del w:id="720" w:author="svcMRProcess" w:date="2018-09-08T15:53:00Z"/>
        </w:rPr>
      </w:pPr>
      <w:del w:id="721" w:author="svcMRProcess" w:date="2018-09-08T15:53:00Z">
        <w:r>
          <w:tab/>
          <w:delText>(1)</w:delText>
        </w:r>
        <w:r>
          <w:tab/>
          <w:delText xml:space="preserve">The amendments in this section are to the </w:delText>
        </w:r>
        <w:r>
          <w:rPr>
            <w:i/>
          </w:rPr>
          <w:delText>Spent Convictions Act 1988.</w:delText>
        </w:r>
      </w:del>
    </w:p>
    <w:p>
      <w:pPr>
        <w:pStyle w:val="nzSubsection"/>
        <w:rPr>
          <w:del w:id="722" w:author="svcMRProcess" w:date="2018-09-08T15:53:00Z"/>
        </w:rPr>
      </w:pPr>
      <w:del w:id="723" w:author="svcMRProcess" w:date="2018-09-08T15:53:00Z">
        <w:r>
          <w:tab/>
          <w:delText>(2)</w:delText>
        </w:r>
        <w:r>
          <w:tab/>
          <w:delText>Schedule 3 clause 1(1) is amended in the Table as follows:</w:delText>
        </w:r>
      </w:del>
    </w:p>
    <w:p>
      <w:pPr>
        <w:pStyle w:val="nzIndenta"/>
        <w:rPr>
          <w:del w:id="724" w:author="svcMRProcess" w:date="2018-09-08T15:53:00Z"/>
        </w:rPr>
      </w:pPr>
      <w:del w:id="725" w:author="svcMRProcess" w:date="2018-09-08T15:53:00Z">
        <w:r>
          <w:tab/>
          <w:delText>(a)</w:delText>
        </w:r>
        <w:r>
          <w:tab/>
          <w:delText>in item 1 by deleting “Parole Board” and inserting instead —</w:delText>
        </w:r>
      </w:del>
    </w:p>
    <w:p>
      <w:pPr>
        <w:pStyle w:val="nzIndenta"/>
        <w:rPr>
          <w:del w:id="726" w:author="svcMRProcess" w:date="2018-09-08T15:53:00Z"/>
        </w:rPr>
      </w:pPr>
      <w:del w:id="727" w:author="svcMRProcess" w:date="2018-09-08T15:53:00Z">
        <w:r>
          <w:tab/>
        </w:r>
        <w:r>
          <w:tab/>
          <w:delText xml:space="preserve">“    </w:delText>
        </w:r>
        <w:r>
          <w:rPr>
            <w:sz w:val="22"/>
          </w:rPr>
          <w:delText>Prisoners Review Board</w:delText>
        </w:r>
        <w:r>
          <w:delText xml:space="preserve">    ”;</w:delText>
        </w:r>
      </w:del>
    </w:p>
    <w:p>
      <w:pPr>
        <w:pStyle w:val="nzIndenta"/>
        <w:rPr>
          <w:del w:id="728" w:author="svcMRProcess" w:date="2018-09-08T15:53:00Z"/>
        </w:rPr>
      </w:pPr>
      <w:del w:id="729" w:author="svcMRProcess" w:date="2018-09-08T15:53:00Z">
        <w:r>
          <w:tab/>
          <w:delText>(b)</w:delText>
        </w:r>
        <w:r>
          <w:tab/>
          <w:delText>by inserting after item 1A the following item —</w:delText>
        </w:r>
      </w:del>
    </w:p>
    <w:p>
      <w:pPr>
        <w:pStyle w:val="MiscOpen"/>
        <w:ind w:firstLine="284"/>
        <w:rPr>
          <w:del w:id="730" w:author="svcMRProcess" w:date="2018-09-08T15:53:00Z"/>
        </w:rPr>
      </w:pPr>
      <w:del w:id="731" w:author="svcMRProcess" w:date="2018-09-08T15:53:00Z">
        <w:r>
          <w:delText>“</w:delText>
        </w:r>
      </w:del>
    </w:p>
    <w:tbl>
      <w:tblPr>
        <w:tblW w:w="0" w:type="auto"/>
        <w:tblInd w:w="675" w:type="dxa"/>
        <w:tblLayout w:type="fixed"/>
        <w:tblLook w:val="0000" w:firstRow="0" w:lastRow="0" w:firstColumn="0" w:lastColumn="0" w:noHBand="0" w:noVBand="0"/>
      </w:tblPr>
      <w:tblGrid>
        <w:gridCol w:w="709"/>
        <w:gridCol w:w="3969"/>
        <w:gridCol w:w="1559"/>
      </w:tblGrid>
      <w:tr>
        <w:trPr>
          <w:del w:id="732" w:author="svcMRProcess" w:date="2018-09-08T15:53:00Z"/>
        </w:trPr>
        <w:tc>
          <w:tcPr>
            <w:tcW w:w="709" w:type="dxa"/>
          </w:tcPr>
          <w:p>
            <w:pPr>
              <w:pStyle w:val="nzTable"/>
              <w:rPr>
                <w:del w:id="733" w:author="svcMRProcess" w:date="2018-09-08T15:53:00Z"/>
              </w:rPr>
            </w:pPr>
            <w:del w:id="734" w:author="svcMRProcess" w:date="2018-09-08T15:53:00Z">
              <w:r>
                <w:delText>1B.</w:delText>
              </w:r>
            </w:del>
          </w:p>
        </w:tc>
        <w:tc>
          <w:tcPr>
            <w:tcW w:w="3969" w:type="dxa"/>
          </w:tcPr>
          <w:p>
            <w:pPr>
              <w:pStyle w:val="nzTable"/>
              <w:rPr>
                <w:del w:id="735" w:author="svcMRProcess" w:date="2018-09-08T15:53:00Z"/>
              </w:rPr>
            </w:pPr>
            <w:del w:id="736" w:author="svcMRProcess" w:date="2018-09-08T15:53:00Z">
              <w:r>
                <w:delText xml:space="preserve">The Mentally Impaired Accused Review Board established by the </w:delText>
              </w:r>
              <w:r>
                <w:rPr>
                  <w:i/>
                </w:rPr>
                <w:delText>Criminal Law (Mentally Impaired Accused) Act 1996</w:delText>
              </w:r>
              <w:r>
                <w:delText>.</w:delText>
              </w:r>
            </w:del>
          </w:p>
        </w:tc>
        <w:tc>
          <w:tcPr>
            <w:tcW w:w="1559" w:type="dxa"/>
          </w:tcPr>
          <w:p>
            <w:pPr>
              <w:pStyle w:val="nzTable"/>
              <w:rPr>
                <w:del w:id="737" w:author="svcMRProcess" w:date="2018-09-08T15:53:00Z"/>
              </w:rPr>
            </w:pPr>
            <w:del w:id="738" w:author="svcMRProcess" w:date="2018-09-08T15:53:00Z">
              <w:r>
                <w:delText>Division 4</w:delText>
              </w:r>
            </w:del>
          </w:p>
        </w:tc>
      </w:tr>
    </w:tbl>
    <w:p>
      <w:pPr>
        <w:pStyle w:val="MiscClose"/>
        <w:ind w:right="136"/>
        <w:rPr>
          <w:del w:id="739" w:author="svcMRProcess" w:date="2018-09-08T15:53:00Z"/>
        </w:rPr>
      </w:pPr>
      <w:del w:id="740" w:author="svcMRProcess" w:date="2018-09-08T15:53:00Z">
        <w:r>
          <w:delText>”.</w:delText>
        </w:r>
      </w:del>
    </w:p>
    <w:p>
      <w:pPr>
        <w:pStyle w:val="MiscClose"/>
        <w:rPr>
          <w:del w:id="741" w:author="svcMRProcess" w:date="2018-09-08T15:53:00Z"/>
        </w:rPr>
      </w:pPr>
      <w:del w:id="742" w:author="svcMRProcess" w:date="2018-09-08T15:53:00Z">
        <w:r>
          <w:delText>”.</w:delText>
        </w:r>
      </w:del>
    </w:p>
    <w:p>
      <w:pPr>
        <w:pStyle w:val="nSubsection"/>
        <w:rPr>
          <w:ins w:id="743" w:author="svcMRProcess" w:date="2018-09-08T15:53:00Z"/>
          <w:snapToGrid w:val="0"/>
        </w:rPr>
      </w:pPr>
      <w:ins w:id="744" w:author="svcMRProcess" w:date="2018-09-08T15:53:00Z">
        <w:r>
          <w:rPr>
            <w:snapToGrid w:val="0"/>
            <w:vertAlign w:val="superscript"/>
          </w:rPr>
          <w:t>7</w:t>
        </w:r>
        <w:r>
          <w:rPr>
            <w:snapToGrid w:val="0"/>
          </w:rPr>
          <w:tab/>
          <w:t>Footnote no longer applicable.</w:t>
        </w:r>
      </w:ins>
    </w:p>
    <w:p>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11 had not come into operation.  It reads as follows:</w:t>
      </w:r>
    </w:p>
    <w:p>
      <w:pPr>
        <w:pStyle w:val="MiscOpen"/>
        <w:keepNext w:val="0"/>
        <w:spacing w:before="60"/>
        <w:rPr>
          <w:sz w:val="20"/>
        </w:rPr>
      </w:pPr>
      <w:r>
        <w:rPr>
          <w:sz w:val="20"/>
        </w:rPr>
        <w:t>“</w:t>
      </w:r>
    </w:p>
    <w:p>
      <w:pPr>
        <w:pStyle w:val="nzHeading2"/>
      </w:pPr>
      <w:bookmarkStart w:id="745" w:name="_Toc129677719"/>
      <w:bookmarkStart w:id="746" w:name="_Toc129678198"/>
      <w:bookmarkStart w:id="747" w:name="_Toc129678423"/>
      <w:bookmarkStart w:id="748" w:name="_Toc129689763"/>
      <w:bookmarkStart w:id="749" w:name="_Toc129754012"/>
      <w:bookmarkStart w:id="750" w:name="_Toc129767710"/>
      <w:bookmarkStart w:id="751" w:name="_Toc129769331"/>
      <w:bookmarkStart w:id="752" w:name="_Toc129769533"/>
      <w:bookmarkStart w:id="753" w:name="_Toc129769644"/>
      <w:bookmarkStart w:id="754" w:name="_Toc129769756"/>
      <w:bookmarkStart w:id="755" w:name="_Toc129773022"/>
      <w:bookmarkStart w:id="756" w:name="_Toc130015241"/>
      <w:bookmarkStart w:id="757" w:name="_Toc130015355"/>
      <w:bookmarkStart w:id="758" w:name="_Toc130017683"/>
      <w:bookmarkStart w:id="759" w:name="_Toc130642644"/>
      <w:bookmarkStart w:id="760" w:name="_Toc130713796"/>
      <w:bookmarkStart w:id="761" w:name="_Toc130728819"/>
      <w:bookmarkStart w:id="762" w:name="_Toc130784650"/>
      <w:bookmarkStart w:id="763" w:name="_Toc130814420"/>
      <w:bookmarkStart w:id="764" w:name="_Toc130873067"/>
      <w:bookmarkStart w:id="765" w:name="_Toc130874922"/>
      <w:bookmarkStart w:id="766" w:name="_Toc130878703"/>
      <w:bookmarkStart w:id="767" w:name="_Toc130878820"/>
      <w:bookmarkStart w:id="768" w:name="_Toc130891727"/>
      <w:bookmarkStart w:id="769" w:name="_Toc130894458"/>
      <w:bookmarkStart w:id="770" w:name="_Toc131302431"/>
      <w:bookmarkStart w:id="771" w:name="_Toc131414918"/>
      <w:bookmarkStart w:id="772" w:name="_Toc131907220"/>
      <w:bookmarkStart w:id="773" w:name="_Toc131907462"/>
      <w:bookmarkStart w:id="774" w:name="_Toc131915076"/>
      <w:bookmarkStart w:id="775" w:name="_Toc131916252"/>
      <w:bookmarkStart w:id="776" w:name="_Toc131923528"/>
      <w:bookmarkStart w:id="777" w:name="_Toc131924263"/>
      <w:bookmarkStart w:id="778" w:name="_Toc131926325"/>
      <w:bookmarkStart w:id="779" w:name="_Toc132103021"/>
      <w:bookmarkStart w:id="780" w:name="_Toc132103371"/>
      <w:bookmarkStart w:id="781" w:name="_Toc132105271"/>
      <w:bookmarkStart w:id="782" w:name="_Toc132105393"/>
      <w:bookmarkStart w:id="783" w:name="_Toc132431509"/>
      <w:bookmarkStart w:id="784" w:name="_Toc132431631"/>
      <w:bookmarkStart w:id="785" w:name="_Toc132431860"/>
      <w:bookmarkStart w:id="786" w:name="_Toc132454260"/>
      <w:bookmarkStart w:id="787" w:name="_Toc132530759"/>
      <w:bookmarkStart w:id="788" w:name="_Toc139352191"/>
      <w:bookmarkStart w:id="789" w:name="_Toc139352316"/>
      <w:bookmarkStart w:id="790" w:name="_Toc150151351"/>
      <w:bookmarkStart w:id="791" w:name="_Toc150152237"/>
      <w:bookmarkStart w:id="792" w:name="_Toc153009140"/>
      <w:bookmarkStart w:id="793" w:name="_Toc153601690"/>
      <w:r>
        <w:rPr>
          <w:rStyle w:val="CharPartNo"/>
        </w:rPr>
        <w:t>Part 11</w:t>
      </w:r>
      <w:r>
        <w:rPr>
          <w:rStyle w:val="CharDivNo"/>
        </w:rPr>
        <w:t> </w:t>
      </w:r>
      <w:r>
        <w:t>—</w:t>
      </w:r>
      <w:r>
        <w:rPr>
          <w:rStyle w:val="CharDivText"/>
        </w:rPr>
        <w:t> </w:t>
      </w:r>
      <w:r>
        <w:rPr>
          <w:rStyle w:val="CharPartText"/>
          <w:i/>
        </w:rPr>
        <w:t>Spent Convictions Act 1988</w:t>
      </w:r>
      <w:r>
        <w:rPr>
          <w:rStyle w:val="CharPartText"/>
        </w:rPr>
        <w:t xml:space="preserve"> amended</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nzHeading5"/>
      </w:pPr>
      <w:bookmarkStart w:id="794" w:name="_Toc129517627"/>
      <w:bookmarkStart w:id="795" w:name="_Toc153009141"/>
      <w:bookmarkStart w:id="796" w:name="_Toc153601691"/>
      <w:r>
        <w:rPr>
          <w:rStyle w:val="CharSectno"/>
        </w:rPr>
        <w:t>69</w:t>
      </w:r>
      <w:r>
        <w:t>.</w:t>
      </w:r>
      <w:r>
        <w:tab/>
      </w:r>
      <w:bookmarkEnd w:id="794"/>
      <w:r>
        <w:rPr>
          <w:snapToGrid w:val="0"/>
        </w:rPr>
        <w:t>The Act amended in this Part</w:t>
      </w:r>
      <w:bookmarkEnd w:id="795"/>
      <w:bookmarkEnd w:id="796"/>
    </w:p>
    <w:p>
      <w:pPr>
        <w:pStyle w:val="nzSubsection"/>
      </w:pPr>
      <w:r>
        <w:tab/>
      </w:r>
      <w:r>
        <w:tab/>
        <w:t xml:space="preserve">The amendments in this Part are to the </w:t>
      </w:r>
      <w:r>
        <w:rPr>
          <w:i/>
        </w:rPr>
        <w:t>Spent Convictions Act 1988.</w:t>
      </w:r>
    </w:p>
    <w:p>
      <w:pPr>
        <w:pStyle w:val="nzHeading5"/>
      </w:pPr>
      <w:bookmarkStart w:id="797" w:name="_Toc153009142"/>
      <w:bookmarkStart w:id="798" w:name="_Toc153601692"/>
      <w:r>
        <w:rPr>
          <w:rStyle w:val="CharSectno"/>
        </w:rPr>
        <w:t>70</w:t>
      </w:r>
      <w:r>
        <w:t>.</w:t>
      </w:r>
      <w:r>
        <w:tab/>
        <w:t>Schedule 3 amended</w:t>
      </w:r>
      <w:bookmarkEnd w:id="797"/>
      <w:bookmarkEnd w:id="798"/>
    </w:p>
    <w:p>
      <w:pPr>
        <w:pStyle w:val="nzSubsection"/>
      </w:pPr>
      <w:r>
        <w:tab/>
      </w:r>
      <w:r>
        <w:tab/>
        <w:t xml:space="preserve">Schedule 3 clause 1(1) item 10 is amended by deleting “Community and Juvenile Justice Division or the Prisons Division of the Department of Justice” and inserting instead — </w:t>
      </w:r>
    </w:p>
    <w:p>
      <w:pPr>
        <w:pStyle w:val="nzSubsection"/>
      </w:pPr>
      <w:r>
        <w:tab/>
      </w:r>
      <w:r>
        <w:tab/>
        <w:t xml:space="preserve">“    </w:t>
      </w:r>
      <w:r>
        <w:rPr>
          <w:sz w:val="22"/>
        </w:rPr>
        <w:t>Department of Corrective Services</w:t>
      </w:r>
      <w:r>
        <w:t xml:space="preserve">    ”.</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265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50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B0A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5A2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245F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92A4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6641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A0A7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B031EA"/>
    <w:lvl w:ilvl="0">
      <w:start w:val="1"/>
      <w:numFmt w:val="decimal"/>
      <w:pStyle w:val="ListNumber"/>
      <w:lvlText w:val="%1."/>
      <w:lvlJc w:val="left"/>
      <w:pPr>
        <w:tabs>
          <w:tab w:val="num" w:pos="360"/>
        </w:tabs>
        <w:ind w:left="360" w:hanging="360"/>
      </w:pPr>
    </w:lvl>
  </w:abstractNum>
  <w:abstractNum w:abstractNumId="9">
    <w:nsid w:val="FFFFFF89"/>
    <w:multiLevelType w:val="singleLevel"/>
    <w:tmpl w:val="373C5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3A75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66B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10019</Words>
  <Characters>47493</Characters>
  <Application>Microsoft Office Word</Application>
  <DocSecurity>0</DocSecurity>
  <Lines>1484</Lines>
  <Paragraphs>787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04-f0-03 - 04-g0-04</dc:title>
  <dc:subject/>
  <dc:creator/>
  <cp:keywords/>
  <dc:description/>
  <cp:lastModifiedBy>svcMRProcess</cp:lastModifiedBy>
  <cp:revision>2</cp:revision>
  <cp:lastPrinted>2005-07-07T02:37:00Z</cp:lastPrinted>
  <dcterms:created xsi:type="dcterms:W3CDTF">2018-09-08T07:53:00Z</dcterms:created>
  <dcterms:modified xsi:type="dcterms:W3CDTF">2018-09-08T07:53:00Z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20070128</vt:lpwstr>
  </property>
  <property fmtid="{D5CDD505-2E9C-101B-9397-08002B2CF9AE}" pid="4" name="DocumentType">
    <vt:lpwstr>Act</vt:lpwstr>
  </property>
  <property fmtid="{D5CDD505-2E9C-101B-9397-08002B2CF9AE}" pid="5" name="OwlsUID">
    <vt:i4>769</vt:i4>
  </property>
  <property fmtid="{D5CDD505-2E9C-101B-9397-08002B2CF9AE}" pid="6" name="ReprintNo">
    <vt:lpwstr>4</vt:lpwstr>
  </property>
  <property fmtid="{D5CDD505-2E9C-101B-9397-08002B2CF9AE}" pid="7" name="FromSuffix">
    <vt:lpwstr>04-f0-03</vt:lpwstr>
  </property>
  <property fmtid="{D5CDD505-2E9C-101B-9397-08002B2CF9AE}" pid="8" name="FromAsAtDate">
    <vt:lpwstr>08 Dec 2006</vt:lpwstr>
  </property>
  <property fmtid="{D5CDD505-2E9C-101B-9397-08002B2CF9AE}" pid="9" name="ToSuffix">
    <vt:lpwstr>04-g0-04</vt:lpwstr>
  </property>
  <property fmtid="{D5CDD505-2E9C-101B-9397-08002B2CF9AE}" pid="10" name="ToAsAtDate">
    <vt:lpwstr>28 Jan 2007</vt:lpwstr>
  </property>
</Properties>
</file>