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Jan 2011</w:t>
      </w:r>
      <w:r>
        <w:fldChar w:fldCharType="end"/>
      </w:r>
      <w:r>
        <w:t xml:space="preserve">, </w:t>
      </w:r>
      <w:r>
        <w:fldChar w:fldCharType="begin"/>
      </w:r>
      <w:r>
        <w:instrText xml:space="preserve"> DocProperty FromSuffix </w:instrText>
      </w:r>
      <w:r>
        <w:fldChar w:fldCharType="separate"/>
      </w:r>
      <w:r>
        <w:t>04-m0-01</w:t>
      </w:r>
      <w:r>
        <w:fldChar w:fldCharType="end"/>
      </w:r>
      <w:r>
        <w:t>] and [</w:t>
      </w:r>
      <w:r>
        <w:fldChar w:fldCharType="begin"/>
      </w:r>
      <w:r>
        <w:instrText xml:space="preserve"> DocProperty ToAsAtDate</w:instrText>
      </w:r>
      <w:r>
        <w:fldChar w:fldCharType="separate"/>
      </w:r>
      <w:r>
        <w:t>16 Apr 2011</w:t>
      </w:r>
      <w:r>
        <w:fldChar w:fldCharType="end"/>
      </w:r>
      <w:r>
        <w:t xml:space="preserve">, </w:t>
      </w:r>
      <w:r>
        <w:fldChar w:fldCharType="begin"/>
      </w:r>
      <w:r>
        <w:instrText xml:space="preserve"> DocProperty ToSuffix</w:instrText>
      </w:r>
      <w:r>
        <w:fldChar w:fldCharType="separate"/>
      </w:r>
      <w:r>
        <w:t>04-n0-01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rPr>
          <w:rStyle w:val="CharDivText"/>
        </w:rPr>
      </w:pPr>
      <w:r>
        <w:lastRenderedPageBreak/>
        <w:t>Western Australia</w:t>
      </w:r>
    </w:p>
    <w:p>
      <w:pPr>
        <w:pStyle w:val="NameofActReg"/>
        <w:spacing w:before="1200" w:after="1200"/>
      </w:pPr>
      <w:r>
        <w:t xml:space="preserve">Misuse of Drugs Act 1981 </w:t>
      </w:r>
    </w:p>
    <w:p>
      <w:pPr>
        <w:pStyle w:val="LongTitle"/>
        <w:rPr>
          <w:snapToGrid w:val="0"/>
        </w:rPr>
      </w:pPr>
      <w:r>
        <w:rPr>
          <w:snapToGrid w:val="0"/>
        </w:rPr>
        <w:t>A</w:t>
      </w:r>
      <w:bookmarkStart w:id="0" w:name="_GoBack"/>
      <w:bookmarkEnd w:id="0"/>
      <w:r>
        <w:rPr>
          <w:snapToGrid w:val="0"/>
        </w:rPr>
        <w:t xml:space="preserve">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bookmarkStart w:id="25" w:name="_Toc177873268"/>
      <w:bookmarkStart w:id="26" w:name="_Toc177873393"/>
      <w:bookmarkStart w:id="27" w:name="_Toc184707350"/>
      <w:bookmarkStart w:id="28" w:name="_Toc189464681"/>
      <w:bookmarkStart w:id="29" w:name="_Toc190249245"/>
      <w:bookmarkStart w:id="30" w:name="_Toc191703139"/>
      <w:bookmarkStart w:id="31" w:name="_Toc193692056"/>
      <w:bookmarkStart w:id="32" w:name="_Toc199817238"/>
      <w:bookmarkStart w:id="33" w:name="_Toc215543711"/>
      <w:bookmarkStart w:id="34" w:name="_Toc215543971"/>
      <w:bookmarkStart w:id="35" w:name="_Toc248029008"/>
      <w:bookmarkStart w:id="36" w:name="_Toc256085057"/>
      <w:bookmarkStart w:id="37" w:name="_Toc256092122"/>
      <w:bookmarkStart w:id="38" w:name="_Toc268600308"/>
      <w:bookmarkStart w:id="39" w:name="_Toc272237437"/>
      <w:bookmarkStart w:id="40" w:name="_Toc275253516"/>
      <w:bookmarkStart w:id="41" w:name="_Toc283287440"/>
      <w:bookmarkStart w:id="42" w:name="_Toc290558426"/>
      <w:bookmarkStart w:id="43" w:name="_Toc29055850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rPr>
          <w:snapToGrid w:val="0"/>
        </w:rPr>
      </w:pPr>
      <w:bookmarkStart w:id="44" w:name="_Toc503149534"/>
      <w:bookmarkStart w:id="45" w:name="_Toc534613829"/>
      <w:bookmarkStart w:id="46" w:name="_Toc535053868"/>
      <w:bookmarkStart w:id="47" w:name="_Toc109615226"/>
      <w:bookmarkStart w:id="48" w:name="_Toc215543712"/>
      <w:bookmarkStart w:id="49" w:name="_Toc290558503"/>
      <w:bookmarkStart w:id="50" w:name="_Toc283287441"/>
      <w:r>
        <w:rPr>
          <w:rStyle w:val="CharSectno"/>
        </w:rPr>
        <w:t>1</w:t>
      </w:r>
      <w:r>
        <w:rPr>
          <w:snapToGrid w:val="0"/>
        </w:rPr>
        <w:t>.</w:t>
      </w:r>
      <w:r>
        <w:rPr>
          <w:snapToGrid w:val="0"/>
        </w:rPr>
        <w:tab/>
        <w:t>Short title</w:t>
      </w:r>
      <w:bookmarkEnd w:id="44"/>
      <w:bookmarkEnd w:id="45"/>
      <w:bookmarkEnd w:id="46"/>
      <w:bookmarkEnd w:id="47"/>
      <w:bookmarkEnd w:id="48"/>
      <w:bookmarkEnd w:id="49"/>
      <w:bookmarkEnd w:id="50"/>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51" w:name="_Toc503149535"/>
      <w:bookmarkStart w:id="52" w:name="_Toc534613830"/>
      <w:bookmarkStart w:id="53" w:name="_Toc535053869"/>
      <w:bookmarkStart w:id="54" w:name="_Toc109615227"/>
      <w:bookmarkStart w:id="55" w:name="_Toc215543713"/>
      <w:bookmarkStart w:id="56" w:name="_Toc290558504"/>
      <w:bookmarkStart w:id="57" w:name="_Toc283287442"/>
      <w:r>
        <w:rPr>
          <w:rStyle w:val="CharSectno"/>
        </w:rPr>
        <w:t>2</w:t>
      </w:r>
      <w:r>
        <w:rPr>
          <w:snapToGrid w:val="0"/>
        </w:rPr>
        <w:t>.</w:t>
      </w:r>
      <w:r>
        <w:rPr>
          <w:snapToGrid w:val="0"/>
        </w:rPr>
        <w:tab/>
        <w:t>Commencement</w:t>
      </w:r>
      <w:bookmarkEnd w:id="51"/>
      <w:bookmarkEnd w:id="52"/>
      <w:bookmarkEnd w:id="53"/>
      <w:bookmarkEnd w:id="54"/>
      <w:bookmarkEnd w:id="55"/>
      <w:bookmarkEnd w:id="56"/>
      <w:bookmarkEnd w:id="57"/>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58" w:name="_Toc503149536"/>
      <w:bookmarkStart w:id="59" w:name="_Toc534613831"/>
      <w:bookmarkStart w:id="60" w:name="_Toc535053870"/>
      <w:bookmarkStart w:id="61" w:name="_Toc109615228"/>
      <w:bookmarkStart w:id="62" w:name="_Toc215543714"/>
      <w:bookmarkStart w:id="63" w:name="_Toc290558505"/>
      <w:bookmarkStart w:id="64" w:name="_Toc283287443"/>
      <w:r>
        <w:rPr>
          <w:rStyle w:val="CharSectno"/>
        </w:rPr>
        <w:t>3</w:t>
      </w:r>
      <w:r>
        <w:rPr>
          <w:snapToGrid w:val="0"/>
        </w:rPr>
        <w:t>.</w:t>
      </w:r>
      <w:r>
        <w:rPr>
          <w:snapToGrid w:val="0"/>
        </w:rPr>
        <w:tab/>
      </w:r>
      <w:bookmarkEnd w:id="58"/>
      <w:bookmarkEnd w:id="59"/>
      <w:bookmarkEnd w:id="60"/>
      <w:bookmarkEnd w:id="61"/>
      <w:r>
        <w:rPr>
          <w:snapToGrid w:val="0"/>
        </w:rPr>
        <w:t>Terms used in this Act</w:t>
      </w:r>
      <w:bookmarkEnd w:id="62"/>
      <w:bookmarkEnd w:id="63"/>
      <w:bookmarkEnd w:id="64"/>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 xml:space="preserve">a university in </w:t>
      </w:r>
      <w:smartTag w:uri="urn:schemas-microsoft-com:office:smarttags" w:element="country-region">
        <w:r>
          <w:rPr>
            <w:snapToGrid w:val="0"/>
          </w:rPr>
          <w:t>Australia</w:t>
        </w:r>
      </w:smartTag>
      <w:r>
        <w:rPr>
          <w:snapToGrid w:val="0"/>
        </w:rPr>
        <w:t>;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lastRenderedPageBreak/>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 xml:space="preserve">the </w:t>
      </w:r>
      <w:r>
        <w:rPr>
          <w:rStyle w:val="CharDefText"/>
          <w:i w:val="0"/>
        </w:rPr>
        <w:t>Poisons Act 1964</w:t>
      </w:r>
      <w:r>
        <w:t xml:space="preserve"> includes any regulations made and in force under that Act;</w:t>
      </w:r>
    </w:p>
    <w:p>
      <w:pPr>
        <w:pStyle w:val="Defstart"/>
      </w:pPr>
      <w:r>
        <w:rPr>
          <w:b/>
        </w:rPr>
        <w:tab/>
      </w:r>
      <w:r>
        <w:rPr>
          <w:rStyle w:val="CharDefText"/>
        </w:rPr>
        <w:t>the regulations</w:t>
      </w:r>
      <w:r>
        <w:t xml:space="preserve"> means the regulations made and in force under this Act;</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millilitre of the substance, if a liquid, is contained in every 100 millilitres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 114; No. 22 of 2008 s. 162; No. 42 of 2009 s. 21; No. 35 of 2010 s. 118.]</w:t>
      </w:r>
    </w:p>
    <w:p>
      <w:pPr>
        <w:pStyle w:val="Heading5"/>
        <w:rPr>
          <w:snapToGrid w:val="0"/>
        </w:rPr>
      </w:pPr>
      <w:bookmarkStart w:id="65" w:name="_Toc503149537"/>
      <w:bookmarkStart w:id="66" w:name="_Toc534613832"/>
      <w:bookmarkStart w:id="67" w:name="_Toc535053871"/>
      <w:bookmarkStart w:id="68" w:name="_Toc109615229"/>
      <w:bookmarkStart w:id="69" w:name="_Toc215543715"/>
      <w:bookmarkStart w:id="70" w:name="_Toc290558506"/>
      <w:bookmarkStart w:id="71" w:name="_Toc283287444"/>
      <w:r>
        <w:rPr>
          <w:rStyle w:val="CharSectno"/>
        </w:rPr>
        <w:t>3A</w:t>
      </w:r>
      <w:r>
        <w:rPr>
          <w:snapToGrid w:val="0"/>
        </w:rPr>
        <w:t xml:space="preserve">. </w:t>
      </w:r>
      <w:r>
        <w:rPr>
          <w:snapToGrid w:val="0"/>
        </w:rPr>
        <w:tab/>
        <w:t>Approved analysts and botanists</w:t>
      </w:r>
      <w:bookmarkEnd w:id="65"/>
      <w:bookmarkEnd w:id="66"/>
      <w:bookmarkEnd w:id="67"/>
      <w:bookmarkEnd w:id="68"/>
      <w:bookmarkEnd w:id="69"/>
      <w:bookmarkEnd w:id="70"/>
      <w:bookmarkEnd w:id="71"/>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72" w:name="_Toc503149538"/>
      <w:bookmarkStart w:id="73" w:name="_Toc534613833"/>
      <w:bookmarkStart w:id="74" w:name="_Toc535053872"/>
      <w:bookmarkStart w:id="75" w:name="_Toc109615230"/>
      <w:bookmarkStart w:id="76" w:name="_Toc215543716"/>
      <w:bookmarkStart w:id="77" w:name="_Toc290558507"/>
      <w:bookmarkStart w:id="78" w:name="_Toc283287445"/>
      <w:r>
        <w:rPr>
          <w:rStyle w:val="CharSectno"/>
        </w:rPr>
        <w:t>4</w:t>
      </w:r>
      <w:r>
        <w:rPr>
          <w:snapToGrid w:val="0"/>
        </w:rPr>
        <w:t>.</w:t>
      </w:r>
      <w:r>
        <w:rPr>
          <w:snapToGrid w:val="0"/>
        </w:rPr>
        <w:tab/>
        <w:t>Drugs and plants to which Act applies</w:t>
      </w:r>
      <w:bookmarkEnd w:id="72"/>
      <w:bookmarkEnd w:id="73"/>
      <w:bookmarkEnd w:id="74"/>
      <w:bookmarkEnd w:id="75"/>
      <w:bookmarkEnd w:id="76"/>
      <w:bookmarkEnd w:id="77"/>
      <w:bookmarkEnd w:id="78"/>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79" w:name="_Toc72912333"/>
      <w:bookmarkStart w:id="80" w:name="_Toc89162860"/>
      <w:bookmarkStart w:id="81" w:name="_Toc89571147"/>
      <w:bookmarkStart w:id="82" w:name="_Toc90092315"/>
      <w:bookmarkStart w:id="83" w:name="_Toc92603586"/>
      <w:bookmarkStart w:id="84" w:name="_Toc92797770"/>
      <w:bookmarkStart w:id="85" w:name="_Toc97018072"/>
      <w:bookmarkStart w:id="86" w:name="_Toc102387627"/>
      <w:bookmarkStart w:id="87" w:name="_Toc102905258"/>
      <w:bookmarkStart w:id="88" w:name="_Toc105219501"/>
      <w:bookmarkStart w:id="89" w:name="_Toc105220405"/>
      <w:bookmarkStart w:id="90" w:name="_Toc105220473"/>
      <w:bookmarkStart w:id="91" w:name="_Toc105909917"/>
      <w:bookmarkStart w:id="92" w:name="_Toc105910832"/>
      <w:bookmarkStart w:id="93" w:name="_Toc106600676"/>
      <w:bookmarkStart w:id="94" w:name="_Toc106600974"/>
      <w:bookmarkStart w:id="95" w:name="_Toc109615231"/>
      <w:bookmarkStart w:id="96" w:name="_Toc139344525"/>
      <w:bookmarkStart w:id="97" w:name="_Toc139699289"/>
      <w:bookmarkStart w:id="98" w:name="_Toc147051322"/>
      <w:bookmarkStart w:id="99" w:name="_Toc147118777"/>
      <w:bookmarkStart w:id="100" w:name="_Toc148236098"/>
      <w:bookmarkStart w:id="101" w:name="_Toc158704972"/>
      <w:bookmarkStart w:id="102" w:name="_Toc165369932"/>
      <w:bookmarkStart w:id="103" w:name="_Toc177873274"/>
      <w:bookmarkStart w:id="104" w:name="_Toc177873399"/>
      <w:bookmarkStart w:id="105" w:name="_Toc184707356"/>
      <w:bookmarkStart w:id="106" w:name="_Toc189464687"/>
      <w:bookmarkStart w:id="107" w:name="_Toc190249251"/>
      <w:bookmarkStart w:id="108" w:name="_Toc191703145"/>
      <w:bookmarkStart w:id="109" w:name="_Toc193692062"/>
      <w:bookmarkStart w:id="110" w:name="_Toc199817244"/>
      <w:bookmarkStart w:id="111" w:name="_Toc215543717"/>
      <w:bookmarkStart w:id="112" w:name="_Toc215543977"/>
      <w:bookmarkStart w:id="113" w:name="_Toc248029014"/>
      <w:bookmarkStart w:id="114" w:name="_Toc256085063"/>
      <w:bookmarkStart w:id="115" w:name="_Toc256092128"/>
      <w:bookmarkStart w:id="116" w:name="_Toc268600314"/>
      <w:bookmarkStart w:id="117" w:name="_Toc272237443"/>
      <w:bookmarkStart w:id="118" w:name="_Toc275253522"/>
      <w:bookmarkStart w:id="119" w:name="_Toc283287446"/>
      <w:bookmarkStart w:id="120" w:name="_Toc290558432"/>
      <w:bookmarkStart w:id="121" w:name="_Toc290558508"/>
      <w:r>
        <w:rPr>
          <w:rStyle w:val="CharPartNo"/>
        </w:rPr>
        <w:t>Part II</w:t>
      </w:r>
      <w:r>
        <w:rPr>
          <w:rStyle w:val="CharDivNo"/>
        </w:rPr>
        <w:t> </w:t>
      </w:r>
      <w:r>
        <w:t>—</w:t>
      </w:r>
      <w:r>
        <w:rPr>
          <w:rStyle w:val="CharDivText"/>
        </w:rPr>
        <w:t> </w:t>
      </w:r>
      <w:r>
        <w:rPr>
          <w:rStyle w:val="CharPartText"/>
        </w:rPr>
        <w:t>Offences relating to prohibited drugs and prohibited plants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rPr>
          <w:snapToGrid w:val="0"/>
        </w:rPr>
      </w:pPr>
      <w:bookmarkStart w:id="122" w:name="_Toc503149539"/>
      <w:bookmarkStart w:id="123" w:name="_Toc534613834"/>
      <w:bookmarkStart w:id="124" w:name="_Toc535053873"/>
      <w:bookmarkStart w:id="125" w:name="_Toc109615232"/>
      <w:bookmarkStart w:id="126" w:name="_Toc215543718"/>
      <w:bookmarkStart w:id="127" w:name="_Toc290558509"/>
      <w:bookmarkStart w:id="128" w:name="_Toc283287447"/>
      <w:r>
        <w:rPr>
          <w:rStyle w:val="CharSectno"/>
        </w:rPr>
        <w:t>5</w:t>
      </w:r>
      <w:r>
        <w:rPr>
          <w:snapToGrid w:val="0"/>
        </w:rPr>
        <w:t>.</w:t>
      </w:r>
      <w:r>
        <w:rPr>
          <w:snapToGrid w:val="0"/>
        </w:rPr>
        <w:tab/>
        <w:t>Offences concerned with prohibited drugs and prohibited plants in relation to premises and utensils</w:t>
      </w:r>
      <w:bookmarkEnd w:id="122"/>
      <w:bookmarkEnd w:id="123"/>
      <w:bookmarkEnd w:id="124"/>
      <w:bookmarkEnd w:id="125"/>
      <w:bookmarkEnd w:id="126"/>
      <w:bookmarkEnd w:id="127"/>
      <w:bookmarkEnd w:id="128"/>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w:t>
      </w:r>
    </w:p>
    <w:p>
      <w:pPr>
        <w:pStyle w:val="Indenta"/>
        <w:rPr>
          <w:snapToGrid w:val="0"/>
        </w:rPr>
      </w:pPr>
      <w:r>
        <w:rPr>
          <w:snapToGrid w:val="0"/>
        </w:rPr>
        <w:tab/>
        <w:t>(c)</w:t>
      </w:r>
      <w:r>
        <w:rPr>
          <w:snapToGrid w:val="0"/>
        </w:rPr>
        <w:tab/>
        <w:t>is knowingly concerned in the management of any premises used for any of the purposes referred to in paragraphs (a) and (b);</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Subsection"/>
        <w:keepNext/>
      </w:pPr>
      <w:r>
        <w:tab/>
        <w:t>(3)</w:t>
      </w:r>
      <w:r>
        <w:tab/>
        <w:t xml:space="preserve">A </w:t>
      </w:r>
      <w:r>
        <w:rPr>
          <w:snapToGrid w:val="0"/>
        </w:rPr>
        <w:t>person</w:t>
      </w:r>
      <w:r>
        <w:t xml:space="preserve"> does not commit a simple offence under subsection (1)(d) by reason only of his having in his possession a pipe or utensil if he proves —</w:t>
      </w:r>
    </w:p>
    <w:p>
      <w:pPr>
        <w:pStyle w:val="Indenta"/>
      </w:pPr>
      <w:r>
        <w:tab/>
        <w:t>(a)</w:t>
      </w:r>
      <w:r>
        <w:tab/>
        <w:t>that he had possession of the pipe or utensil —</w:t>
      </w:r>
    </w:p>
    <w:p>
      <w:pPr>
        <w:pStyle w:val="Indenti"/>
      </w:pPr>
      <w:r>
        <w:tab/>
        <w:t>(i)</w:t>
      </w:r>
      <w:r>
        <w:tab/>
      </w:r>
      <w:r>
        <w:rPr>
          <w:snapToGrid w:val="0"/>
        </w:rPr>
        <w:t>only</w:t>
      </w:r>
      <w:r>
        <w:t xml:space="preserve"> for the purpose of delivering it to a person authorised under this Act or the </w:t>
      </w:r>
      <w:r>
        <w:rPr>
          <w:i/>
          <w:iCs/>
        </w:rPr>
        <w:t>Poisons Act 1964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pipe or utensil, he took all such steps as were reasonably open to him to deliver it into the possession of that person; or</w:t>
      </w:r>
    </w:p>
    <w:p>
      <w:pPr>
        <w:pStyle w:val="Indenta"/>
      </w:pPr>
      <w:r>
        <w:tab/>
        <w:t>(b)</w:t>
      </w:r>
      <w:r>
        <w:tab/>
      </w:r>
      <w:r>
        <w:rPr>
          <w:snapToGrid w:val="0"/>
        </w:rPr>
        <w:t>that</w:t>
      </w:r>
      <w:r>
        <w:t xml:space="preserve"> he had possession of the pipe or utensil only for the purpose of analysing material in or on it, examining it or otherwise dealing with it for the purposes of this Act in his capacity as an analyst, botanist or other expert.</w:t>
      </w:r>
    </w:p>
    <w:p>
      <w:pPr>
        <w:pStyle w:val="Footnotesection"/>
      </w:pPr>
      <w:r>
        <w:tab/>
        <w:t>[Section 5 amended by No. 52 of 2003 s. 28; No. 44 of 2010 s. 4.]</w:t>
      </w:r>
    </w:p>
    <w:p>
      <w:pPr>
        <w:pStyle w:val="Heading5"/>
        <w:rPr>
          <w:snapToGrid w:val="0"/>
        </w:rPr>
      </w:pPr>
      <w:bookmarkStart w:id="129" w:name="_Toc503149540"/>
      <w:bookmarkStart w:id="130" w:name="_Toc534613835"/>
      <w:bookmarkStart w:id="131" w:name="_Toc535053874"/>
      <w:bookmarkStart w:id="132" w:name="_Toc109615233"/>
      <w:bookmarkStart w:id="133" w:name="_Toc215543719"/>
      <w:bookmarkStart w:id="134" w:name="_Toc290558510"/>
      <w:bookmarkStart w:id="135" w:name="_Toc283287448"/>
      <w:r>
        <w:rPr>
          <w:rStyle w:val="CharSectno"/>
        </w:rPr>
        <w:t>6</w:t>
      </w:r>
      <w:r>
        <w:rPr>
          <w:snapToGrid w:val="0"/>
        </w:rPr>
        <w:t>.</w:t>
      </w:r>
      <w:r>
        <w:rPr>
          <w:snapToGrid w:val="0"/>
        </w:rPr>
        <w:tab/>
        <w:t>Offences concerned with prohibited drugs generally</w:t>
      </w:r>
      <w:bookmarkEnd w:id="129"/>
      <w:bookmarkEnd w:id="130"/>
      <w:bookmarkEnd w:id="131"/>
      <w:bookmarkEnd w:id="132"/>
      <w:bookmarkEnd w:id="133"/>
      <w:bookmarkEnd w:id="134"/>
      <w:bookmarkEnd w:id="135"/>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spacing w:before="180"/>
        <w:rPr>
          <w:snapToGrid w:val="0"/>
        </w:rPr>
      </w:pPr>
      <w:bookmarkStart w:id="136" w:name="_Toc503149541"/>
      <w:bookmarkStart w:id="137" w:name="_Toc534613836"/>
      <w:bookmarkStart w:id="138" w:name="_Toc535053875"/>
      <w:bookmarkStart w:id="139" w:name="_Toc109615234"/>
      <w:bookmarkStart w:id="140" w:name="_Toc215543720"/>
      <w:bookmarkStart w:id="141" w:name="_Toc290558511"/>
      <w:bookmarkStart w:id="142" w:name="_Toc283287449"/>
      <w:r>
        <w:rPr>
          <w:rStyle w:val="CharSectno"/>
        </w:rPr>
        <w:t>7</w:t>
      </w:r>
      <w:r>
        <w:rPr>
          <w:snapToGrid w:val="0"/>
        </w:rPr>
        <w:t>.</w:t>
      </w:r>
      <w:r>
        <w:rPr>
          <w:snapToGrid w:val="0"/>
        </w:rPr>
        <w:tab/>
        <w:t>Offences concerned with prohibited plants generally</w:t>
      </w:r>
      <w:bookmarkEnd w:id="136"/>
      <w:bookmarkEnd w:id="137"/>
      <w:bookmarkEnd w:id="138"/>
      <w:bookmarkEnd w:id="139"/>
      <w:bookmarkEnd w:id="140"/>
      <w:bookmarkEnd w:id="141"/>
      <w:bookmarkEnd w:id="142"/>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spacing w:before="120"/>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w:t>
      </w:r>
      <w:r>
        <w:rPr>
          <w:snapToGrid w:val="0"/>
          <w:highlight w:val="green"/>
        </w:rPr>
        <w:t xml:space="preserve"> </w:t>
      </w:r>
      <w:r>
        <w:rPr>
          <w:snapToGrid w:val="0"/>
        </w:rPr>
        <w:t>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143" w:name="_Toc109615235"/>
      <w:bookmarkStart w:id="144" w:name="_Toc215543721"/>
      <w:bookmarkStart w:id="145" w:name="_Toc290558512"/>
      <w:bookmarkStart w:id="146" w:name="_Toc283287450"/>
      <w:bookmarkStart w:id="147" w:name="_Toc503149542"/>
      <w:bookmarkStart w:id="148" w:name="_Toc534613837"/>
      <w:bookmarkStart w:id="149" w:name="_Toc535053876"/>
      <w:r>
        <w:rPr>
          <w:rStyle w:val="CharSectno"/>
        </w:rPr>
        <w:t>7A</w:t>
      </w:r>
      <w:r>
        <w:rPr>
          <w:snapToGrid w:val="0"/>
        </w:rPr>
        <w:t>.</w:t>
      </w:r>
      <w:r>
        <w:rPr>
          <w:snapToGrid w:val="0"/>
        </w:rPr>
        <w:tab/>
        <w:t>Selling or supplying a thing knowing it will be used in the hydroponic cultivation of a prohibited plant</w:t>
      </w:r>
      <w:bookmarkEnd w:id="143"/>
      <w:bookmarkEnd w:id="144"/>
      <w:bookmarkEnd w:id="145"/>
      <w:bookmarkEnd w:id="146"/>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150" w:name="_Toc109615236"/>
      <w:bookmarkStart w:id="151" w:name="_Toc215543722"/>
      <w:bookmarkStart w:id="152" w:name="_Toc290558513"/>
      <w:bookmarkStart w:id="153" w:name="_Toc283287451"/>
      <w:r>
        <w:rPr>
          <w:rStyle w:val="CharSectno"/>
        </w:rPr>
        <w:t>8</w:t>
      </w:r>
      <w:r>
        <w:rPr>
          <w:snapToGrid w:val="0"/>
        </w:rPr>
        <w:t>.</w:t>
      </w:r>
      <w:r>
        <w:rPr>
          <w:snapToGrid w:val="0"/>
        </w:rPr>
        <w:tab/>
        <w:t>Fraudulent behaviour in relation to prohibited drugs</w:t>
      </w:r>
      <w:bookmarkEnd w:id="147"/>
      <w:bookmarkEnd w:id="148"/>
      <w:bookmarkEnd w:id="149"/>
      <w:bookmarkEnd w:id="150"/>
      <w:bookmarkEnd w:id="151"/>
      <w:bookmarkEnd w:id="152"/>
      <w:bookmarkEnd w:id="153"/>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pPr>
      <w:bookmarkStart w:id="154" w:name="_Toc109615237"/>
      <w:bookmarkStart w:id="155" w:name="_Toc215543723"/>
      <w:bookmarkStart w:id="156" w:name="_Toc290558514"/>
      <w:bookmarkStart w:id="157" w:name="_Toc283287452"/>
      <w:r>
        <w:rPr>
          <w:rStyle w:val="CharSectno"/>
        </w:rPr>
        <w:t>8A</w:t>
      </w:r>
      <w:r>
        <w:t>.</w:t>
      </w:r>
      <w:r>
        <w:tab/>
        <w:t>Defences relating to industrial hemp or industrial hemp seed</w:t>
      </w:r>
      <w:bookmarkEnd w:id="154"/>
      <w:bookmarkEnd w:id="155"/>
      <w:bookmarkEnd w:id="156"/>
      <w:bookmarkEnd w:id="157"/>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spacing w:before="120"/>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00"/>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158" w:name="_Toc72912340"/>
      <w:bookmarkStart w:id="159" w:name="_Toc89162867"/>
      <w:bookmarkStart w:id="160" w:name="_Toc89571154"/>
      <w:bookmarkStart w:id="161" w:name="_Toc90092322"/>
      <w:bookmarkStart w:id="162" w:name="_Toc92603593"/>
      <w:bookmarkStart w:id="163" w:name="_Toc92797777"/>
      <w:bookmarkStart w:id="164" w:name="_Toc97018079"/>
      <w:bookmarkStart w:id="165" w:name="_Toc102387634"/>
      <w:bookmarkStart w:id="166" w:name="_Toc102905265"/>
      <w:bookmarkStart w:id="167" w:name="_Toc105219508"/>
      <w:bookmarkStart w:id="168" w:name="_Toc105220412"/>
      <w:bookmarkStart w:id="169" w:name="_Toc105220480"/>
      <w:bookmarkStart w:id="170" w:name="_Toc105909924"/>
      <w:bookmarkStart w:id="171" w:name="_Toc105910839"/>
      <w:bookmarkStart w:id="172" w:name="_Toc106600683"/>
      <w:bookmarkStart w:id="173" w:name="_Toc106600981"/>
      <w:bookmarkStart w:id="174" w:name="_Toc109615238"/>
      <w:bookmarkStart w:id="175" w:name="_Toc139344532"/>
      <w:bookmarkStart w:id="176" w:name="_Toc139699296"/>
      <w:bookmarkStart w:id="177" w:name="_Toc147051329"/>
      <w:bookmarkStart w:id="178" w:name="_Toc147118784"/>
      <w:bookmarkStart w:id="179" w:name="_Toc148236105"/>
      <w:bookmarkStart w:id="180" w:name="_Toc158704979"/>
      <w:bookmarkStart w:id="181" w:name="_Toc165369939"/>
      <w:bookmarkStart w:id="182" w:name="_Toc177873281"/>
      <w:bookmarkStart w:id="183" w:name="_Toc177873406"/>
      <w:bookmarkStart w:id="184" w:name="_Toc184707363"/>
      <w:bookmarkStart w:id="185" w:name="_Toc189464694"/>
      <w:bookmarkStart w:id="186" w:name="_Toc190249258"/>
      <w:bookmarkStart w:id="187" w:name="_Toc191703152"/>
      <w:bookmarkStart w:id="188" w:name="_Toc193692069"/>
      <w:bookmarkStart w:id="189" w:name="_Toc199817251"/>
      <w:bookmarkStart w:id="190" w:name="_Toc215543724"/>
      <w:bookmarkStart w:id="191" w:name="_Toc215543984"/>
      <w:bookmarkStart w:id="192" w:name="_Toc248029021"/>
      <w:bookmarkStart w:id="193" w:name="_Toc256085070"/>
      <w:bookmarkStart w:id="194" w:name="_Toc256092135"/>
      <w:bookmarkStart w:id="195" w:name="_Toc268600321"/>
      <w:bookmarkStart w:id="196" w:name="_Toc272237450"/>
      <w:bookmarkStart w:id="197" w:name="_Toc275253529"/>
      <w:bookmarkStart w:id="198" w:name="_Toc283287453"/>
      <w:bookmarkStart w:id="199" w:name="_Toc290558439"/>
      <w:bookmarkStart w:id="200" w:name="_Toc290558515"/>
      <w:r>
        <w:rPr>
          <w:rStyle w:val="CharPartNo"/>
        </w:rPr>
        <w:t>Part III</w:t>
      </w:r>
      <w:r>
        <w:rPr>
          <w:rStyle w:val="CharDivNo"/>
        </w:rPr>
        <w:t> </w:t>
      </w:r>
      <w:r>
        <w:t>—</w:t>
      </w:r>
      <w:r>
        <w:rPr>
          <w:rStyle w:val="CharDivText"/>
        </w:rPr>
        <w:t> </w:t>
      </w:r>
      <w:r>
        <w:rPr>
          <w:rStyle w:val="CharPartText"/>
        </w:rPr>
        <w:t>Procedure</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spacing w:before="240"/>
      </w:pPr>
      <w:bookmarkStart w:id="201" w:name="_Toc109615239"/>
      <w:bookmarkStart w:id="202" w:name="_Toc215543725"/>
      <w:bookmarkStart w:id="203" w:name="_Toc290558516"/>
      <w:bookmarkStart w:id="204" w:name="_Toc283287454"/>
      <w:bookmarkStart w:id="205" w:name="_Toc503149544"/>
      <w:bookmarkStart w:id="206" w:name="_Toc534613839"/>
      <w:bookmarkStart w:id="207" w:name="_Toc535053878"/>
      <w:r>
        <w:rPr>
          <w:rStyle w:val="CharSectno"/>
        </w:rPr>
        <w:t>9</w:t>
      </w:r>
      <w:r>
        <w:t>.</w:t>
      </w:r>
      <w:r>
        <w:tab/>
        <w:t>Summary trial of some indictable offences</w:t>
      </w:r>
      <w:bookmarkEnd w:id="201"/>
      <w:bookmarkEnd w:id="202"/>
      <w:bookmarkEnd w:id="203"/>
      <w:bookmarkEnd w:id="204"/>
    </w:p>
    <w:p>
      <w:pPr>
        <w:pStyle w:val="Subsection"/>
        <w:spacing w:before="18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spacing w:before="180"/>
      </w:pPr>
      <w:r>
        <w:tab/>
      </w:r>
      <w:r>
        <w:tab/>
        <w:t>then, except in a case where the person is charged with conspiring to commit the offence, the summary conviction penalty for the offence is that set out in section 34(2)(b).</w:t>
      </w:r>
    </w:p>
    <w:p>
      <w:pPr>
        <w:pStyle w:val="Subsection"/>
        <w:spacing w:before="180"/>
      </w:pPr>
      <w:r>
        <w:tab/>
        <w:t>(2)</w:t>
      </w:r>
      <w:r>
        <w:tab/>
        <w:t>A court of summary jurisdiction that tries a person summarily for a charge of an offence referred to in subsection (1) must be constituted by a magistrate sitting alone.</w:t>
      </w:r>
    </w:p>
    <w:p>
      <w:pPr>
        <w:pStyle w:val="Subsection"/>
        <w:spacing w:before="180"/>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keepLines/>
        <w:spacing w:before="100"/>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208" w:name="_Toc109615240"/>
      <w:bookmarkStart w:id="209" w:name="_Toc215543726"/>
      <w:bookmarkStart w:id="210" w:name="_Toc290558517"/>
      <w:bookmarkStart w:id="211" w:name="_Toc283287455"/>
      <w:r>
        <w:rPr>
          <w:rStyle w:val="CharSectno"/>
        </w:rPr>
        <w:t>10</w:t>
      </w:r>
      <w:r>
        <w:t>.</w:t>
      </w:r>
      <w:r>
        <w:tab/>
        <w:t>Alternative verdicts</w:t>
      </w:r>
      <w:bookmarkEnd w:id="205"/>
      <w:bookmarkEnd w:id="206"/>
      <w:bookmarkEnd w:id="207"/>
      <w:bookmarkEnd w:id="208"/>
      <w:bookmarkEnd w:id="209"/>
      <w:bookmarkEnd w:id="210"/>
      <w:bookmarkEnd w:id="211"/>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212" w:name="_Toc503149545"/>
      <w:bookmarkStart w:id="213" w:name="_Toc534613840"/>
      <w:bookmarkStart w:id="214" w:name="_Toc535053879"/>
      <w:bookmarkStart w:id="215" w:name="_Toc109615241"/>
      <w:bookmarkStart w:id="216" w:name="_Toc215543727"/>
      <w:bookmarkStart w:id="217" w:name="_Toc290558518"/>
      <w:bookmarkStart w:id="218" w:name="_Toc283287456"/>
      <w:r>
        <w:rPr>
          <w:rStyle w:val="CharSectno"/>
        </w:rPr>
        <w:t>11</w:t>
      </w:r>
      <w:r>
        <w:rPr>
          <w:snapToGrid w:val="0"/>
        </w:rPr>
        <w:t>.</w:t>
      </w:r>
      <w:r>
        <w:rPr>
          <w:snapToGrid w:val="0"/>
        </w:rPr>
        <w:tab/>
        <w:t>Presumption of intent to sell or supply</w:t>
      </w:r>
      <w:bookmarkEnd w:id="212"/>
      <w:bookmarkEnd w:id="213"/>
      <w:bookmarkEnd w:id="214"/>
      <w:bookmarkEnd w:id="215"/>
      <w:bookmarkEnd w:id="216"/>
      <w:bookmarkEnd w:id="217"/>
      <w:bookmarkEnd w:id="218"/>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219" w:name="_Toc92603597"/>
      <w:bookmarkStart w:id="220" w:name="_Toc92797781"/>
      <w:bookmarkStart w:id="221" w:name="_Toc97018083"/>
      <w:bookmarkStart w:id="222" w:name="_Toc102387638"/>
      <w:bookmarkStart w:id="223" w:name="_Toc102905269"/>
      <w:bookmarkStart w:id="224" w:name="_Toc105219512"/>
      <w:bookmarkStart w:id="225" w:name="_Toc105220416"/>
      <w:bookmarkStart w:id="226" w:name="_Toc105220484"/>
      <w:bookmarkStart w:id="227" w:name="_Toc105909928"/>
      <w:bookmarkStart w:id="228" w:name="_Toc105910843"/>
      <w:bookmarkStart w:id="229" w:name="_Toc106600687"/>
      <w:bookmarkStart w:id="230" w:name="_Toc106600985"/>
      <w:bookmarkStart w:id="231" w:name="_Toc109615242"/>
      <w:bookmarkStart w:id="232" w:name="_Toc139344536"/>
      <w:bookmarkStart w:id="233" w:name="_Toc139699300"/>
      <w:bookmarkStart w:id="234" w:name="_Toc147051333"/>
      <w:bookmarkStart w:id="235" w:name="_Toc147118788"/>
      <w:bookmarkStart w:id="236" w:name="_Toc148236109"/>
      <w:bookmarkStart w:id="237" w:name="_Toc158704983"/>
      <w:bookmarkStart w:id="238" w:name="_Toc165369943"/>
      <w:bookmarkStart w:id="239" w:name="_Toc177873285"/>
      <w:bookmarkStart w:id="240" w:name="_Toc177873410"/>
      <w:bookmarkStart w:id="241" w:name="_Toc184707367"/>
      <w:bookmarkStart w:id="242" w:name="_Toc189464698"/>
      <w:bookmarkStart w:id="243" w:name="_Toc190249262"/>
      <w:bookmarkStart w:id="244" w:name="_Toc191703156"/>
      <w:bookmarkStart w:id="245" w:name="_Toc193692073"/>
      <w:bookmarkStart w:id="246" w:name="_Toc199817255"/>
      <w:bookmarkStart w:id="247" w:name="_Toc215543728"/>
      <w:bookmarkStart w:id="248" w:name="_Toc215543988"/>
      <w:bookmarkStart w:id="249" w:name="_Toc248029025"/>
      <w:bookmarkStart w:id="250" w:name="_Toc256085074"/>
      <w:bookmarkStart w:id="251" w:name="_Toc256092139"/>
      <w:bookmarkStart w:id="252" w:name="_Toc268600325"/>
      <w:bookmarkStart w:id="253" w:name="_Toc272237454"/>
      <w:bookmarkStart w:id="254" w:name="_Toc275253533"/>
      <w:bookmarkStart w:id="255" w:name="_Toc283287457"/>
      <w:bookmarkStart w:id="256" w:name="_Toc290558443"/>
      <w:bookmarkStart w:id="257" w:name="_Toc290558519"/>
      <w:r>
        <w:rPr>
          <w:rStyle w:val="CharPartNo"/>
        </w:rPr>
        <w:t>Part IV</w:t>
      </w:r>
      <w:r>
        <w:rPr>
          <w:b w:val="0"/>
        </w:rPr>
        <w:t> </w:t>
      </w:r>
      <w:r>
        <w:t>—</w:t>
      </w:r>
      <w:r>
        <w:rPr>
          <w:b w:val="0"/>
        </w:rPr>
        <w:t> </w:t>
      </w:r>
      <w:r>
        <w:rPr>
          <w:rStyle w:val="CharPartText"/>
        </w:rPr>
        <w:t>Controls relating to possession, sale, supply and storage of certain substances and things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Footnoteheading"/>
      </w:pPr>
      <w:r>
        <w:tab/>
        <w:t>[Heading inserted by No. 62 of 2004 s. 5.]</w:t>
      </w:r>
    </w:p>
    <w:p>
      <w:pPr>
        <w:pStyle w:val="Heading5"/>
      </w:pPr>
      <w:bookmarkStart w:id="258" w:name="_Toc109615243"/>
      <w:bookmarkStart w:id="259" w:name="_Toc215543729"/>
      <w:bookmarkStart w:id="260" w:name="_Toc290558520"/>
      <w:bookmarkStart w:id="261" w:name="_Toc283287458"/>
      <w:r>
        <w:rPr>
          <w:rStyle w:val="CharSectno"/>
        </w:rPr>
        <w:t>12</w:t>
      </w:r>
      <w:r>
        <w:t>.</w:t>
      </w:r>
      <w:r>
        <w:tab/>
      </w:r>
      <w:bookmarkEnd w:id="258"/>
      <w:r>
        <w:t>Terms used in this Part</w:t>
      </w:r>
      <w:bookmarkEnd w:id="259"/>
      <w:bookmarkEnd w:id="260"/>
      <w:bookmarkEnd w:id="261"/>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262" w:name="_Toc109615244"/>
      <w:bookmarkStart w:id="263" w:name="_Toc215543730"/>
      <w:bookmarkStart w:id="264" w:name="_Toc290558521"/>
      <w:bookmarkStart w:id="265" w:name="_Toc283287459"/>
      <w:r>
        <w:rPr>
          <w:rStyle w:val="CharSectno"/>
        </w:rPr>
        <w:t>13</w:t>
      </w:r>
      <w:r>
        <w:t>.</w:t>
      </w:r>
      <w:r>
        <w:tab/>
        <w:t>Part not applicable to possession, sale or supply of certain substances or things</w:t>
      </w:r>
      <w:bookmarkEnd w:id="262"/>
      <w:bookmarkEnd w:id="263"/>
      <w:bookmarkEnd w:id="264"/>
      <w:bookmarkEnd w:id="265"/>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266" w:name="_Toc109615245"/>
      <w:bookmarkStart w:id="267" w:name="_Toc215543731"/>
      <w:bookmarkStart w:id="268" w:name="_Toc290558522"/>
      <w:bookmarkStart w:id="269" w:name="_Toc283287460"/>
      <w:r>
        <w:rPr>
          <w:rStyle w:val="CharSectno"/>
        </w:rPr>
        <w:t>14</w:t>
      </w:r>
      <w:r>
        <w:t>.</w:t>
      </w:r>
      <w:r>
        <w:tab/>
        <w:t>Possession of certain substances or things</w:t>
      </w:r>
      <w:bookmarkEnd w:id="266"/>
      <w:bookmarkEnd w:id="267"/>
      <w:bookmarkEnd w:id="268"/>
      <w:bookmarkEnd w:id="269"/>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270" w:name="_Toc109615246"/>
      <w:bookmarkStart w:id="271" w:name="_Toc215543732"/>
      <w:bookmarkStart w:id="272" w:name="_Toc290558523"/>
      <w:bookmarkStart w:id="273" w:name="_Toc283287461"/>
      <w:r>
        <w:rPr>
          <w:rStyle w:val="CharSectno"/>
        </w:rPr>
        <w:t>15</w:t>
      </w:r>
      <w:r>
        <w:t>.</w:t>
      </w:r>
      <w:r>
        <w:tab/>
      </w:r>
      <w:smartTag w:uri="urn:schemas-microsoft-com:office:smarttags" w:element="City">
        <w:smartTag w:uri="urn:schemas-microsoft-com:office:smarttags" w:element="place">
          <w:r>
            <w:t>Sale</w:t>
          </w:r>
        </w:smartTag>
      </w:smartTag>
      <w:r>
        <w:t xml:space="preserve"> or supply of category 1 items</w:t>
      </w:r>
      <w:bookmarkEnd w:id="270"/>
      <w:bookmarkEnd w:id="271"/>
      <w:bookmarkEnd w:id="272"/>
      <w:bookmarkEnd w:id="273"/>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w:t>
      </w:r>
    </w:p>
    <w:p>
      <w:pPr>
        <w:pStyle w:val="Indenta"/>
      </w:pPr>
      <w:r>
        <w:tab/>
        <w:t>(b)</w:t>
      </w:r>
      <w:r>
        <w:tab/>
        <w:t>the sale or supply is a sale or supply on account that occurs after a written order for the item is given to the supplier by or on behalf of the recipient;</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274" w:name="_Toc109615247"/>
      <w:bookmarkStart w:id="275" w:name="_Toc215543733"/>
      <w:bookmarkStart w:id="276" w:name="_Toc290558524"/>
      <w:bookmarkStart w:id="277" w:name="_Toc283287462"/>
      <w:r>
        <w:rPr>
          <w:rStyle w:val="CharSectno"/>
        </w:rPr>
        <w:t>16</w:t>
      </w:r>
      <w:r>
        <w:t>.</w:t>
      </w:r>
      <w:r>
        <w:tab/>
        <w:t>Storage of category 1 items</w:t>
      </w:r>
      <w:bookmarkEnd w:id="274"/>
      <w:bookmarkEnd w:id="275"/>
      <w:bookmarkEnd w:id="276"/>
      <w:bookmarkEnd w:id="277"/>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278" w:name="_Toc109615248"/>
      <w:bookmarkStart w:id="279" w:name="_Toc215543734"/>
      <w:bookmarkStart w:id="280" w:name="_Toc290558525"/>
      <w:bookmarkStart w:id="281" w:name="_Toc283287463"/>
      <w:r>
        <w:rPr>
          <w:rStyle w:val="CharSectno"/>
        </w:rPr>
        <w:t>17</w:t>
      </w:r>
      <w:r>
        <w:t>.</w:t>
      </w:r>
      <w:r>
        <w:tab/>
      </w:r>
      <w:smartTag w:uri="urn:schemas-microsoft-com:office:smarttags" w:element="City">
        <w:smartTag w:uri="urn:schemas-microsoft-com:office:smarttags" w:element="place">
          <w:r>
            <w:t>Sale</w:t>
          </w:r>
        </w:smartTag>
      </w:smartTag>
      <w:r>
        <w:t xml:space="preserve"> or supply of category 2 items</w:t>
      </w:r>
      <w:bookmarkEnd w:id="278"/>
      <w:bookmarkEnd w:id="279"/>
      <w:bookmarkEnd w:id="280"/>
      <w:bookmarkEnd w:id="281"/>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282" w:name="_Toc109615249"/>
      <w:bookmarkStart w:id="283" w:name="_Toc215543735"/>
      <w:bookmarkStart w:id="284" w:name="_Toc290558526"/>
      <w:bookmarkStart w:id="285" w:name="_Toc283287464"/>
      <w:r>
        <w:rPr>
          <w:rStyle w:val="CharSectno"/>
        </w:rPr>
        <w:t>18</w:t>
      </w:r>
      <w:r>
        <w:t>.</w:t>
      </w:r>
      <w:r>
        <w:tab/>
        <w:t>Offences relating to declarations under section 15(1)(c) or 17(1)(b)</w:t>
      </w:r>
      <w:bookmarkEnd w:id="282"/>
      <w:bookmarkEnd w:id="283"/>
      <w:bookmarkEnd w:id="284"/>
      <w:bookmarkEnd w:id="285"/>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286" w:name="_Toc277859398"/>
      <w:bookmarkStart w:id="287" w:name="_Toc278380050"/>
      <w:bookmarkStart w:id="288" w:name="_Toc278380206"/>
      <w:bookmarkStart w:id="289" w:name="_Toc278441194"/>
      <w:bookmarkStart w:id="290" w:name="_Toc290558527"/>
      <w:bookmarkStart w:id="291" w:name="_Toc283287465"/>
      <w:bookmarkStart w:id="292" w:name="_Toc109615250"/>
      <w:bookmarkStart w:id="293" w:name="_Toc215543736"/>
      <w:r>
        <w:rPr>
          <w:rStyle w:val="CharSectno"/>
        </w:rPr>
        <w:t>19B</w:t>
      </w:r>
      <w:r>
        <w:t>.</w:t>
      </w:r>
      <w:r>
        <w:tab/>
        <w:t>Selling ice pipes</w:t>
      </w:r>
      <w:bookmarkEnd w:id="286"/>
      <w:bookmarkEnd w:id="287"/>
      <w:bookmarkEnd w:id="288"/>
      <w:bookmarkEnd w:id="289"/>
      <w:bookmarkEnd w:id="290"/>
      <w:bookmarkEnd w:id="291"/>
    </w:p>
    <w:p>
      <w:pPr>
        <w:pStyle w:val="Subsection"/>
      </w:pPr>
      <w:r>
        <w:tab/>
        <w:t>(1)</w:t>
      </w:r>
      <w:r>
        <w:tab/>
        <w:t xml:space="preserve">In this section — </w:t>
      </w:r>
    </w:p>
    <w:p>
      <w:pPr>
        <w:pStyle w:val="Defstart"/>
      </w:pPr>
      <w:r>
        <w:tab/>
      </w:r>
      <w:r>
        <w:rPr>
          <w:rStyle w:val="CharDefText"/>
        </w:rPr>
        <w:t>child</w:t>
      </w:r>
      <w:r>
        <w:t xml:space="preserve"> means a person who is under 18 years of age;</w:t>
      </w:r>
    </w:p>
    <w:p>
      <w:pPr>
        <w:pStyle w:val="Defstart"/>
      </w:pPr>
      <w:r>
        <w:tab/>
      </w:r>
      <w:r>
        <w:rPr>
          <w:rStyle w:val="CharDefText"/>
        </w:rPr>
        <w:t>ice pipe</w:t>
      </w:r>
      <w:r>
        <w:t xml:space="preserve"> means — </w:t>
      </w:r>
    </w:p>
    <w:p>
      <w:pPr>
        <w:pStyle w:val="Defpara"/>
      </w:pPr>
      <w:r>
        <w:tab/>
        <w:t>(a)</w:t>
      </w:r>
      <w:r>
        <w:tab/>
        <w:t>a device capable of being used for the administration of a prohibited drug by means of the inhaling of the smoke or fumes resulting from the heating or burning of the drug in a crystal, powder, oil or base form; or</w:t>
      </w:r>
    </w:p>
    <w:p>
      <w:pPr>
        <w:pStyle w:val="Defpara"/>
      </w:pPr>
      <w:r>
        <w:tab/>
        <w:t>(b)</w:t>
      </w:r>
      <w:r>
        <w:tab/>
        <w:t>a device that is apparently intended to be such a device but is not capable of being so used because it needs an adjustment, modification or addition,</w:t>
      </w:r>
    </w:p>
    <w:p>
      <w:pPr>
        <w:pStyle w:val="Defstart"/>
      </w:pPr>
      <w:r>
        <w:tab/>
        <w:t>but does not include a device prescribed, or belonging to a class prescribed, for the purposes of this definition.</w:t>
      </w:r>
    </w:p>
    <w:p>
      <w:pPr>
        <w:pStyle w:val="Subsection"/>
      </w:pPr>
      <w:r>
        <w:tab/>
        <w:t>(2)</w:t>
      </w:r>
      <w:r>
        <w:tab/>
        <w:t>A person who sells, or offers to sell, an ice pipe to a child commits a simple offence.</w:t>
      </w:r>
    </w:p>
    <w:p>
      <w:pPr>
        <w:pStyle w:val="Penstart"/>
      </w:pPr>
      <w:r>
        <w:tab/>
        <w:t>Penalty: a fine of $24 000 or imprisonment for 2 years or both.</w:t>
      </w:r>
    </w:p>
    <w:p>
      <w:pPr>
        <w:pStyle w:val="Subsection"/>
      </w:pPr>
      <w:r>
        <w:tab/>
        <w:t>(3)</w:t>
      </w:r>
      <w:r>
        <w:tab/>
        <w:t xml:space="preserve">A person — </w:t>
      </w:r>
    </w:p>
    <w:p>
      <w:pPr>
        <w:pStyle w:val="Indenta"/>
      </w:pPr>
      <w:r>
        <w:tab/>
        <w:t>(a)</w:t>
      </w:r>
      <w:r>
        <w:tab/>
        <w:t>who sells, or offers to sell, an ice pipe to a person other than a child; or</w:t>
      </w:r>
    </w:p>
    <w:p>
      <w:pPr>
        <w:pStyle w:val="Indenta"/>
      </w:pPr>
      <w:r>
        <w:tab/>
        <w:t>(b)</w:t>
      </w:r>
      <w:r>
        <w:tab/>
        <w:t>who displays an ice pipe, or authorises or allows an ice pipe to be displayed, for sale in a shop or other retail outlet,</w:t>
      </w:r>
    </w:p>
    <w:p>
      <w:pPr>
        <w:pStyle w:val="Subsection"/>
      </w:pPr>
      <w:r>
        <w:tab/>
      </w:r>
      <w:r>
        <w:tab/>
        <w:t>commits a simple offence.</w:t>
      </w:r>
    </w:p>
    <w:p>
      <w:pPr>
        <w:pStyle w:val="Penstart"/>
      </w:pPr>
      <w:r>
        <w:tab/>
        <w:t>Penalty: a fine of $10 000.</w:t>
      </w:r>
    </w:p>
    <w:p>
      <w:pPr>
        <w:pStyle w:val="Footnotesection"/>
      </w:pPr>
      <w:r>
        <w:tab/>
        <w:t xml:space="preserve">[Section 19B inserted by No. 50 of 2010 s. 4.] </w:t>
      </w:r>
    </w:p>
    <w:p>
      <w:pPr>
        <w:pStyle w:val="Heading5"/>
      </w:pPr>
      <w:bookmarkStart w:id="294" w:name="_Toc290558528"/>
      <w:bookmarkStart w:id="295" w:name="_Toc283287466"/>
      <w:r>
        <w:rPr>
          <w:rStyle w:val="CharSectno"/>
        </w:rPr>
        <w:t>19</w:t>
      </w:r>
      <w:r>
        <w:t>.</w:t>
      </w:r>
      <w:r>
        <w:tab/>
        <w:t>Powers of police officers for purposes of this Part</w:t>
      </w:r>
      <w:bookmarkEnd w:id="292"/>
      <w:bookmarkEnd w:id="293"/>
      <w:bookmarkEnd w:id="294"/>
      <w:bookmarkEnd w:id="295"/>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296" w:name="_Toc109615251"/>
      <w:bookmarkStart w:id="297" w:name="_Toc215543737"/>
      <w:bookmarkStart w:id="298" w:name="_Toc290558529"/>
      <w:bookmarkStart w:id="299" w:name="_Toc283287467"/>
      <w:r>
        <w:rPr>
          <w:rStyle w:val="CharSectno"/>
        </w:rPr>
        <w:t>20</w:t>
      </w:r>
      <w:r>
        <w:t>.</w:t>
      </w:r>
      <w:r>
        <w:tab/>
        <w:t>Regulations as to category 1 items and category 2 items</w:t>
      </w:r>
      <w:bookmarkEnd w:id="296"/>
      <w:bookmarkEnd w:id="297"/>
      <w:bookmarkEnd w:id="298"/>
      <w:bookmarkEnd w:id="299"/>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300" w:name="_Toc72912344"/>
      <w:bookmarkStart w:id="301" w:name="_Toc89162871"/>
      <w:bookmarkStart w:id="302" w:name="_Toc89571158"/>
      <w:bookmarkStart w:id="303" w:name="_Toc90092326"/>
      <w:bookmarkStart w:id="304" w:name="_Toc92603607"/>
      <w:bookmarkStart w:id="305" w:name="_Toc92797791"/>
      <w:bookmarkStart w:id="306" w:name="_Toc97018093"/>
      <w:bookmarkStart w:id="307" w:name="_Toc102387648"/>
      <w:bookmarkStart w:id="308" w:name="_Toc102905279"/>
      <w:bookmarkStart w:id="309" w:name="_Toc105219522"/>
      <w:bookmarkStart w:id="310" w:name="_Toc105220426"/>
      <w:bookmarkStart w:id="311" w:name="_Toc105220494"/>
      <w:bookmarkStart w:id="312" w:name="_Toc105909938"/>
      <w:bookmarkStart w:id="313" w:name="_Toc105910853"/>
      <w:bookmarkStart w:id="314" w:name="_Toc106600697"/>
      <w:bookmarkStart w:id="315" w:name="_Toc106600995"/>
      <w:bookmarkStart w:id="316" w:name="_Toc109615252"/>
      <w:bookmarkStart w:id="317" w:name="_Toc139344546"/>
      <w:bookmarkStart w:id="318" w:name="_Toc139699310"/>
      <w:bookmarkStart w:id="319" w:name="_Toc147051343"/>
      <w:bookmarkStart w:id="320" w:name="_Toc147118798"/>
      <w:bookmarkStart w:id="321" w:name="_Toc148236119"/>
      <w:bookmarkStart w:id="322" w:name="_Toc158704993"/>
      <w:bookmarkStart w:id="323" w:name="_Toc165369953"/>
      <w:bookmarkStart w:id="324" w:name="_Toc177873295"/>
      <w:bookmarkStart w:id="325" w:name="_Toc177873420"/>
      <w:bookmarkStart w:id="326" w:name="_Toc184707377"/>
      <w:bookmarkStart w:id="327" w:name="_Toc189464708"/>
      <w:bookmarkStart w:id="328" w:name="_Toc190249272"/>
      <w:bookmarkStart w:id="329" w:name="_Toc191703166"/>
      <w:bookmarkStart w:id="330" w:name="_Toc193692083"/>
      <w:bookmarkStart w:id="331" w:name="_Toc199817265"/>
      <w:bookmarkStart w:id="332" w:name="_Toc215543738"/>
      <w:bookmarkStart w:id="333" w:name="_Toc215543998"/>
      <w:bookmarkStart w:id="334" w:name="_Toc248029035"/>
      <w:bookmarkStart w:id="335" w:name="_Toc256085084"/>
      <w:bookmarkStart w:id="336" w:name="_Toc256092149"/>
      <w:bookmarkStart w:id="337" w:name="_Toc268600335"/>
      <w:bookmarkStart w:id="338" w:name="_Toc272237464"/>
      <w:bookmarkStart w:id="339" w:name="_Toc275253543"/>
      <w:bookmarkStart w:id="340" w:name="_Toc283287468"/>
      <w:bookmarkStart w:id="341" w:name="_Toc290558454"/>
      <w:bookmarkStart w:id="342" w:name="_Toc290558530"/>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rPr>
          <w:snapToGrid w:val="0"/>
        </w:rPr>
      </w:pPr>
      <w:bookmarkStart w:id="343" w:name="_Toc503149546"/>
      <w:bookmarkStart w:id="344" w:name="_Toc534613841"/>
      <w:bookmarkStart w:id="345" w:name="_Toc535053880"/>
      <w:bookmarkStart w:id="346" w:name="_Toc109615253"/>
      <w:bookmarkStart w:id="347" w:name="_Toc215543739"/>
      <w:bookmarkStart w:id="348" w:name="_Toc290558531"/>
      <w:bookmarkStart w:id="349" w:name="_Toc283287469"/>
      <w:r>
        <w:rPr>
          <w:rStyle w:val="CharSectno"/>
        </w:rPr>
        <w:t>21</w:t>
      </w:r>
      <w:r>
        <w:rPr>
          <w:snapToGrid w:val="0"/>
        </w:rPr>
        <w:t>.</w:t>
      </w:r>
      <w:r>
        <w:rPr>
          <w:snapToGrid w:val="0"/>
        </w:rPr>
        <w:tab/>
      </w:r>
      <w:bookmarkEnd w:id="343"/>
      <w:bookmarkEnd w:id="344"/>
      <w:bookmarkEnd w:id="345"/>
      <w:bookmarkEnd w:id="346"/>
      <w:r>
        <w:rPr>
          <w:snapToGrid w:val="0"/>
        </w:rPr>
        <w:t>Terms used in this Part</w:t>
      </w:r>
      <w:bookmarkEnd w:id="347"/>
      <w:bookmarkEnd w:id="348"/>
      <w:bookmarkEnd w:id="349"/>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holding order</w:t>
      </w:r>
      <w:r>
        <w:t xml:space="preserve"> means holding order granted under section 28(1);</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Heading5"/>
        <w:rPr>
          <w:snapToGrid w:val="0"/>
        </w:rPr>
      </w:pPr>
      <w:bookmarkStart w:id="350" w:name="_Toc503149547"/>
      <w:bookmarkStart w:id="351" w:name="_Toc534613842"/>
      <w:bookmarkStart w:id="352" w:name="_Toc535053881"/>
      <w:bookmarkStart w:id="353" w:name="_Toc109615254"/>
      <w:bookmarkStart w:id="354" w:name="_Toc215543740"/>
      <w:bookmarkStart w:id="355" w:name="_Toc290558532"/>
      <w:bookmarkStart w:id="356" w:name="_Toc283287470"/>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350"/>
      <w:bookmarkEnd w:id="351"/>
      <w:bookmarkEnd w:id="352"/>
      <w:bookmarkEnd w:id="353"/>
      <w:bookmarkEnd w:id="354"/>
      <w:bookmarkEnd w:id="355"/>
      <w:bookmarkEnd w:id="356"/>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357" w:name="_Toc503149548"/>
      <w:bookmarkStart w:id="358" w:name="_Toc534613843"/>
      <w:bookmarkStart w:id="359" w:name="_Toc535053882"/>
      <w:bookmarkStart w:id="360" w:name="_Toc109615255"/>
      <w:bookmarkStart w:id="361" w:name="_Toc215543741"/>
      <w:bookmarkStart w:id="362" w:name="_Toc290558533"/>
      <w:bookmarkStart w:id="363" w:name="_Toc283287471"/>
      <w:r>
        <w:rPr>
          <w:rStyle w:val="CharSectno"/>
        </w:rPr>
        <w:t>23</w:t>
      </w:r>
      <w:r>
        <w:rPr>
          <w:snapToGrid w:val="0"/>
        </w:rPr>
        <w:t>.</w:t>
      </w:r>
      <w:r>
        <w:rPr>
          <w:snapToGrid w:val="0"/>
        </w:rPr>
        <w:tab/>
        <w:t>Powers of police officers when things suspected of being used in commission of offences</w:t>
      </w:r>
      <w:bookmarkEnd w:id="357"/>
      <w:bookmarkEnd w:id="358"/>
      <w:bookmarkEnd w:id="359"/>
      <w:bookmarkEnd w:id="360"/>
      <w:bookmarkEnd w:id="361"/>
      <w:bookmarkEnd w:id="362"/>
      <w:bookmarkEnd w:id="363"/>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364" w:name="_Toc503149549"/>
      <w:bookmarkStart w:id="365" w:name="_Toc534613844"/>
      <w:bookmarkStart w:id="366" w:name="_Toc535053883"/>
      <w:bookmarkStart w:id="367" w:name="_Toc109615256"/>
      <w:bookmarkStart w:id="368" w:name="_Toc215543742"/>
      <w:bookmarkStart w:id="369" w:name="_Toc290558534"/>
      <w:bookmarkStart w:id="370" w:name="_Toc283287472"/>
      <w:r>
        <w:rPr>
          <w:rStyle w:val="CharSectno"/>
        </w:rPr>
        <w:t>24</w:t>
      </w:r>
      <w:r>
        <w:rPr>
          <w:snapToGrid w:val="0"/>
        </w:rPr>
        <w:t>.</w:t>
      </w:r>
      <w:r>
        <w:rPr>
          <w:snapToGrid w:val="0"/>
        </w:rPr>
        <w:tab/>
        <w:t>Granting of search warrants in connection with prevention or detection of offences</w:t>
      </w:r>
      <w:bookmarkEnd w:id="364"/>
      <w:bookmarkEnd w:id="365"/>
      <w:bookmarkEnd w:id="366"/>
      <w:bookmarkEnd w:id="367"/>
      <w:bookmarkEnd w:id="368"/>
      <w:bookmarkEnd w:id="369"/>
      <w:bookmarkEnd w:id="370"/>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371" w:name="_Toc503149550"/>
      <w:bookmarkStart w:id="372" w:name="_Toc534613845"/>
      <w:bookmarkStart w:id="373" w:name="_Toc535053884"/>
      <w:bookmarkStart w:id="374" w:name="_Toc109615257"/>
      <w:bookmarkStart w:id="375" w:name="_Toc215543743"/>
      <w:bookmarkStart w:id="376" w:name="_Toc290558535"/>
      <w:bookmarkStart w:id="377" w:name="_Toc283287473"/>
      <w:r>
        <w:rPr>
          <w:rStyle w:val="CharSectno"/>
        </w:rPr>
        <w:t>25</w:t>
      </w:r>
      <w:r>
        <w:rPr>
          <w:snapToGrid w:val="0"/>
        </w:rPr>
        <w:t>.</w:t>
      </w:r>
      <w:r>
        <w:rPr>
          <w:snapToGrid w:val="0"/>
        </w:rPr>
        <w:tab/>
        <w:t>Powers ancillary to power of search</w:t>
      </w:r>
      <w:bookmarkEnd w:id="371"/>
      <w:bookmarkEnd w:id="372"/>
      <w:bookmarkEnd w:id="373"/>
      <w:bookmarkEnd w:id="374"/>
      <w:bookmarkEnd w:id="375"/>
      <w:bookmarkEnd w:id="376"/>
      <w:bookmarkEnd w:id="377"/>
    </w:p>
    <w:p>
      <w:pPr>
        <w:pStyle w:val="Subsection"/>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spacing w:before="180"/>
        <w:rPr>
          <w:snapToGrid w:val="0"/>
        </w:rPr>
      </w:pPr>
      <w:bookmarkStart w:id="378" w:name="_Toc503149551"/>
      <w:bookmarkStart w:id="379" w:name="_Toc534613846"/>
      <w:bookmarkStart w:id="380" w:name="_Toc535053885"/>
      <w:bookmarkStart w:id="381" w:name="_Toc109615258"/>
      <w:bookmarkStart w:id="382" w:name="_Toc215543744"/>
      <w:bookmarkStart w:id="383" w:name="_Toc290558536"/>
      <w:bookmarkStart w:id="384" w:name="_Toc283287474"/>
      <w:r>
        <w:rPr>
          <w:rStyle w:val="CharSectno"/>
        </w:rPr>
        <w:t>26</w:t>
      </w:r>
      <w:r>
        <w:rPr>
          <w:snapToGrid w:val="0"/>
        </w:rPr>
        <w:t>.</w:t>
      </w:r>
      <w:r>
        <w:rPr>
          <w:snapToGrid w:val="0"/>
        </w:rPr>
        <w:tab/>
        <w:t>Powers of police officers and others when things suspected of being used in commission of offences found, received or acquired</w:t>
      </w:r>
      <w:bookmarkEnd w:id="378"/>
      <w:bookmarkEnd w:id="379"/>
      <w:bookmarkEnd w:id="380"/>
      <w:bookmarkEnd w:id="381"/>
      <w:bookmarkEnd w:id="382"/>
      <w:bookmarkEnd w:id="383"/>
      <w:bookmarkEnd w:id="384"/>
    </w:p>
    <w:p>
      <w:pPr>
        <w:pStyle w:val="Subsection"/>
        <w:spacing w:before="120"/>
        <w:rPr>
          <w:snapToGrid w:val="0"/>
        </w:rPr>
      </w:pPr>
      <w:r>
        <w:rPr>
          <w:snapToGrid w:val="0"/>
        </w:rPr>
        <w:tab/>
        <w:t>(1)</w:t>
      </w:r>
      <w:r>
        <w:rPr>
          <w:snapToGrid w:val="0"/>
        </w:rPr>
        <w:tab/>
        <w:t>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may seize that thing and — </w:t>
      </w:r>
    </w:p>
    <w:p>
      <w:pPr>
        <w:pStyle w:val="Indenta"/>
        <w:rPr>
          <w:snapToGrid w:val="0"/>
        </w:rPr>
      </w:pPr>
      <w:r>
        <w:rPr>
          <w:snapToGrid w:val="0"/>
        </w:rPr>
        <w:tab/>
        <w:t>(a)</w:t>
      </w:r>
      <w:r>
        <w:rPr>
          <w:snapToGrid w:val="0"/>
        </w:rPr>
        <w:tab/>
        <w:t>in the case of a thing which is a prohibited drug, prohibited plant or dangerous substance, may detain it until it is dealt with under section 27; or</w:t>
      </w:r>
    </w:p>
    <w:p>
      <w:pPr>
        <w:pStyle w:val="Indenta"/>
        <w:rPr>
          <w:snapToGrid w:val="0"/>
        </w:rPr>
      </w:pPr>
      <w:r>
        <w:rPr>
          <w:snapToGrid w:val="0"/>
        </w:rPr>
        <w:tab/>
        <w:t>(b)</w:t>
      </w:r>
      <w:r>
        <w:rPr>
          <w:snapToGrid w:val="0"/>
        </w:rPr>
        <w:tab/>
        <w:t>in the case of a thing which is not a prohibited drug, prohibited plant or dangerous substance, may detain it for a period not exceeding 72 hours from that seizure and shall, if he wishes to detain it for a longer period, apply within 72 hours from that seizure to a justice of the peace for a holding order in respect of that thing.</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rPr>
          <w:snapToGrid w:val="0"/>
        </w:rPr>
      </w:pPr>
      <w:r>
        <w:rPr>
          <w:snapToGrid w:val="0"/>
        </w:rPr>
        <w:tab/>
        <w:t>(3)</w:t>
      </w:r>
      <w:r>
        <w:rPr>
          <w:snapToGrid w:val="0"/>
        </w:rPr>
        <w:tab/>
        <w:t>In subsection (2) — </w:t>
      </w:r>
    </w:p>
    <w:p>
      <w:pPr>
        <w:pStyle w:val="Defstart"/>
      </w:pPr>
      <w:r>
        <w:rPr>
          <w:b/>
        </w:rPr>
        <w:tab/>
      </w:r>
      <w:r>
        <w:rPr>
          <w:rStyle w:val="CharDefText"/>
        </w:rPr>
        <w:t>authorised person</w:t>
      </w:r>
      <w:r>
        <w:t xml:space="preserve"> and </w:t>
      </w:r>
      <w:r>
        <w:rPr>
          <w:rStyle w:val="CharDefText"/>
        </w:rPr>
        <w:t>undercover officer</w:t>
      </w:r>
      <w:r>
        <w:t xml:space="preserve"> have the respective meanings given by section 31.</w:t>
      </w:r>
    </w:p>
    <w:p>
      <w:pPr>
        <w:pStyle w:val="Footnotesection"/>
        <w:ind w:left="890" w:hanging="890"/>
      </w:pPr>
      <w:r>
        <w:tab/>
        <w:t>[Section 26 amended by No. 50 of 1990 s. 7; No. 44 of 1995 s. 6.]</w:t>
      </w:r>
    </w:p>
    <w:p>
      <w:pPr>
        <w:pStyle w:val="Heading5"/>
        <w:rPr>
          <w:snapToGrid w:val="0"/>
        </w:rPr>
      </w:pPr>
      <w:bookmarkStart w:id="385" w:name="_Toc503149552"/>
      <w:bookmarkStart w:id="386" w:name="_Toc534613847"/>
      <w:bookmarkStart w:id="387" w:name="_Toc535053886"/>
      <w:bookmarkStart w:id="388" w:name="_Toc109615259"/>
      <w:bookmarkStart w:id="389" w:name="_Toc215543745"/>
      <w:bookmarkStart w:id="390" w:name="_Toc290558537"/>
      <w:bookmarkStart w:id="391" w:name="_Toc283287475"/>
      <w:r>
        <w:rPr>
          <w:rStyle w:val="CharSectno"/>
        </w:rPr>
        <w:t>26A</w:t>
      </w:r>
      <w:r>
        <w:rPr>
          <w:snapToGrid w:val="0"/>
        </w:rPr>
        <w:t>.</w:t>
      </w:r>
      <w:r>
        <w:rPr>
          <w:snapToGrid w:val="0"/>
        </w:rPr>
        <w:tab/>
        <w:t>Powers of approved analyst or approved botanist</w:t>
      </w:r>
      <w:bookmarkEnd w:id="385"/>
      <w:bookmarkEnd w:id="386"/>
      <w:bookmarkEnd w:id="387"/>
      <w:bookmarkEnd w:id="388"/>
      <w:bookmarkEnd w:id="389"/>
      <w:bookmarkEnd w:id="390"/>
      <w:bookmarkEnd w:id="391"/>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392" w:name="_Toc503149553"/>
      <w:bookmarkStart w:id="393" w:name="_Toc534613848"/>
      <w:bookmarkStart w:id="394" w:name="_Toc535053887"/>
      <w:bookmarkStart w:id="395" w:name="_Toc109615260"/>
      <w:bookmarkStart w:id="396" w:name="_Toc215543746"/>
      <w:bookmarkStart w:id="397" w:name="_Toc290558538"/>
      <w:bookmarkStart w:id="398" w:name="_Toc283287476"/>
      <w:r>
        <w:rPr>
          <w:rStyle w:val="CharSectno"/>
        </w:rPr>
        <w:t>27</w:t>
      </w:r>
      <w:r>
        <w:rPr>
          <w:snapToGrid w:val="0"/>
        </w:rPr>
        <w:t>.</w:t>
      </w:r>
      <w:r>
        <w:rPr>
          <w:snapToGrid w:val="0"/>
        </w:rPr>
        <w:tab/>
        <w:t>Disposal of prohibited drugs and prohibited plants</w:t>
      </w:r>
      <w:bookmarkEnd w:id="392"/>
      <w:bookmarkEnd w:id="393"/>
      <w:bookmarkEnd w:id="394"/>
      <w:bookmarkEnd w:id="395"/>
      <w:bookmarkEnd w:id="396"/>
      <w:bookmarkEnd w:id="397"/>
      <w:bookmarkEnd w:id="398"/>
    </w:p>
    <w:p>
      <w:pPr>
        <w:pStyle w:val="Subsection"/>
        <w:rPr>
          <w:snapToGrid w:val="0"/>
        </w:rPr>
      </w:pPr>
      <w:r>
        <w:rPr>
          <w:snapToGrid w:val="0"/>
        </w:rPr>
        <w:tab/>
        <w:t>(1)</w:t>
      </w:r>
      <w:r>
        <w:rPr>
          <w:snapToGrid w:val="0"/>
        </w:rPr>
        <w:tab/>
        <w:t>If, in the case of a prohibited drug, prohibited plant or dangerous substance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cause that prohibited drug, prohibited plant or dangerous substance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prohibited drug, prohibited plant or dangerous substance, release that prohibited drug, prohibited plant or dangerous substance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 </w:t>
      </w:r>
      <w:r>
        <w:rPr>
          <w:rStyle w:val="CharDefText"/>
        </w:rPr>
        <w:t>the 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prohibited drug, prohibited plant or dangerous substance, an opportunity to show cause why that prohibited drug, prohibited plant or dangerous substance should be released to him, order that that prohibited drug, prohibited plant or dangerous substance — </w:t>
      </w:r>
    </w:p>
    <w:p>
      <w:pPr>
        <w:pStyle w:val="Indenti"/>
        <w:rPr>
          <w:snapToGrid w:val="0"/>
        </w:rPr>
      </w:pPr>
      <w:r>
        <w:rPr>
          <w:snapToGrid w:val="0"/>
        </w:rPr>
        <w:tab/>
        <w:t>(i)</w:t>
      </w:r>
      <w:r>
        <w:rPr>
          <w:snapToGrid w:val="0"/>
        </w:rPr>
        <w:tab/>
        <w:t>be released to the claimant;</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If, in relation to any prohibited drug, prohibited plant or dangerous substance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rPr>
          <w:snapToGrid w:val="0"/>
        </w:rPr>
      </w:pPr>
      <w:r>
        <w:rPr>
          <w:snapToGrid w:val="0"/>
        </w:rPr>
        <w:tab/>
        <w:t>(b)</w:t>
      </w:r>
      <w:r>
        <w:rPr>
          <w:snapToGrid w:val="0"/>
        </w:rPr>
        <w:tab/>
        <w:t>sufficient samples of the thing have been taken,</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ind w:left="890" w:hanging="890"/>
      </w:pPr>
      <w:r>
        <w:tab/>
        <w:t>[Section 27 amended by No. 44 of 1995 s. 8; No. 44 of 2010 s. 7(3) and (4).]</w:t>
      </w:r>
    </w:p>
    <w:p>
      <w:pPr>
        <w:pStyle w:val="Heading5"/>
        <w:rPr>
          <w:snapToGrid w:val="0"/>
        </w:rPr>
      </w:pPr>
      <w:bookmarkStart w:id="399" w:name="_Toc503149554"/>
      <w:bookmarkStart w:id="400" w:name="_Toc534613849"/>
      <w:bookmarkStart w:id="401" w:name="_Toc535053888"/>
      <w:bookmarkStart w:id="402" w:name="_Toc109615261"/>
      <w:bookmarkStart w:id="403" w:name="_Toc215543747"/>
      <w:bookmarkStart w:id="404" w:name="_Toc290558539"/>
      <w:bookmarkStart w:id="405" w:name="_Toc283287477"/>
      <w:r>
        <w:rPr>
          <w:rStyle w:val="CharSectno"/>
        </w:rPr>
        <w:t>27A</w:t>
      </w:r>
      <w:r>
        <w:rPr>
          <w:snapToGrid w:val="0"/>
        </w:rPr>
        <w:t xml:space="preserve">. </w:t>
      </w:r>
      <w:r>
        <w:rPr>
          <w:snapToGrid w:val="0"/>
        </w:rPr>
        <w:tab/>
        <w:t xml:space="preserve">Analysis at request of </w:t>
      </w:r>
      <w:bookmarkEnd w:id="399"/>
      <w:bookmarkEnd w:id="400"/>
      <w:bookmarkEnd w:id="401"/>
      <w:bookmarkEnd w:id="402"/>
      <w:r>
        <w:rPr>
          <w:snapToGrid w:val="0"/>
        </w:rPr>
        <w:t>accused</w:t>
      </w:r>
      <w:bookmarkEnd w:id="403"/>
      <w:bookmarkEnd w:id="404"/>
      <w:bookmarkEnd w:id="405"/>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406" w:name="_Toc503149555"/>
      <w:bookmarkStart w:id="407" w:name="_Toc534613850"/>
      <w:bookmarkStart w:id="408" w:name="_Toc535053889"/>
      <w:bookmarkStart w:id="409" w:name="_Toc109615262"/>
      <w:bookmarkStart w:id="410" w:name="_Toc215543748"/>
      <w:bookmarkStart w:id="411" w:name="_Toc290558540"/>
      <w:bookmarkStart w:id="412" w:name="_Toc283287478"/>
      <w:r>
        <w:rPr>
          <w:rStyle w:val="CharSectno"/>
        </w:rPr>
        <w:t>27B</w:t>
      </w:r>
      <w:r>
        <w:rPr>
          <w:snapToGrid w:val="0"/>
        </w:rPr>
        <w:t xml:space="preserve">. </w:t>
      </w:r>
      <w:r>
        <w:rPr>
          <w:snapToGrid w:val="0"/>
        </w:rPr>
        <w:tab/>
        <w:t>Confidentiality</w:t>
      </w:r>
      <w:bookmarkEnd w:id="406"/>
      <w:bookmarkEnd w:id="407"/>
      <w:bookmarkEnd w:id="408"/>
      <w:bookmarkEnd w:id="409"/>
      <w:bookmarkEnd w:id="410"/>
      <w:bookmarkEnd w:id="411"/>
      <w:bookmarkEnd w:id="412"/>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pPr>
      <w:r>
        <w:tab/>
        <w:t>[Section 27B inserted by No. 44 of 1995 s. 9.]</w:t>
      </w:r>
    </w:p>
    <w:p>
      <w:pPr>
        <w:pStyle w:val="Heading5"/>
        <w:rPr>
          <w:snapToGrid w:val="0"/>
        </w:rPr>
      </w:pPr>
      <w:bookmarkStart w:id="413" w:name="_Toc503149556"/>
      <w:bookmarkStart w:id="414" w:name="_Toc534613851"/>
      <w:bookmarkStart w:id="415" w:name="_Toc535053890"/>
      <w:bookmarkStart w:id="416" w:name="_Toc109615263"/>
      <w:bookmarkStart w:id="417" w:name="_Toc215543749"/>
      <w:bookmarkStart w:id="418" w:name="_Toc290558541"/>
      <w:bookmarkStart w:id="419" w:name="_Toc283287479"/>
      <w:r>
        <w:rPr>
          <w:rStyle w:val="CharSectno"/>
        </w:rPr>
        <w:t>28</w:t>
      </w:r>
      <w:r>
        <w:rPr>
          <w:snapToGrid w:val="0"/>
        </w:rPr>
        <w:t>.</w:t>
      </w:r>
      <w:r>
        <w:rPr>
          <w:snapToGrid w:val="0"/>
        </w:rPr>
        <w:tab/>
        <w:t>Disposal of things other than prohibited drugs and prohibited plants</w:t>
      </w:r>
      <w:bookmarkEnd w:id="413"/>
      <w:bookmarkEnd w:id="414"/>
      <w:bookmarkEnd w:id="415"/>
      <w:bookmarkEnd w:id="416"/>
      <w:bookmarkEnd w:id="417"/>
      <w:bookmarkEnd w:id="418"/>
      <w:bookmarkEnd w:id="419"/>
    </w:p>
    <w:p>
      <w:pPr>
        <w:pStyle w:val="Subsection"/>
        <w:rPr>
          <w:snapToGrid w:val="0"/>
        </w:rPr>
      </w:pPr>
      <w:r>
        <w:rPr>
          <w:snapToGrid w:val="0"/>
        </w:rPr>
        <w:tab/>
        <w:t>(1)</w:t>
      </w:r>
      <w:r>
        <w:rPr>
          <w:snapToGrid w:val="0"/>
        </w:rPr>
        <w:tab/>
        <w:t>If, in the case of a thing (other than a prohibited drug, prohibited plant or dangerous substance) which is seized or acquired and detained under section 26 a justice of the peace is satisfied, on the application of a police officer or approved person, that there are reasonable grounds to suspect that that thing is a thing referred to in section 23(1)(a), (b) or (c), the justice of the peace may grant to the police officer or approved person a holding order authorising the continued detention of that thing until, the investigation of the case concerned having been completed, that thing is dealt with under subsection (3).</w:t>
      </w:r>
    </w:p>
    <w:p>
      <w:pPr>
        <w:pStyle w:val="Subsection"/>
        <w:rPr>
          <w:snapToGrid w:val="0"/>
        </w:rPr>
      </w:pPr>
      <w:r>
        <w:rPr>
          <w:snapToGrid w:val="0"/>
        </w:rPr>
        <w:tab/>
        <w:t>(2)</w:t>
      </w:r>
      <w:r>
        <w:rPr>
          <w:snapToGrid w:val="0"/>
        </w:rPr>
        <w:tab/>
        <w:t xml:space="preserve">A police officer or approved person to whom a holding order has been granted shall, if it is practicable to do so, forthwith serve or cause to be served a copy of the holding order, together with a notice setting out the substance of subsection (3), on any person claiming to have a financial or other interest in the thing to which the holding order relates (in this section called </w:t>
      </w:r>
      <w:r>
        <w:rPr>
          <w:rStyle w:val="CharDefText"/>
        </w:rPr>
        <w:t>the claimant</w:t>
      </w:r>
      <w:r>
        <w:rPr>
          <w:snapToGrid w:val="0"/>
        </w:rPr>
        <w:t>).</w:t>
      </w:r>
    </w:p>
    <w:p>
      <w:pPr>
        <w:pStyle w:val="Subsection"/>
        <w:rPr>
          <w:snapToGrid w:val="0"/>
        </w:rPr>
      </w:pPr>
      <w:r>
        <w:rPr>
          <w:snapToGrid w:val="0"/>
        </w:rPr>
        <w:tab/>
        <w:t>(3)</w:t>
      </w:r>
      <w:r>
        <w:rPr>
          <w:snapToGrid w:val="0"/>
        </w:rPr>
        <w:tab/>
        <w:t>If, in the case of a thing to which a holding order relates — </w:t>
      </w:r>
    </w:p>
    <w:p>
      <w:pPr>
        <w:pStyle w:val="Indenta"/>
        <w:rPr>
          <w:snapToGrid w:val="0"/>
        </w:rPr>
      </w:pPr>
      <w:r>
        <w:rPr>
          <w:snapToGrid w:val="0"/>
        </w:rPr>
        <w:tab/>
        <w:t>(a)</w:t>
      </w:r>
      <w:r>
        <w:rPr>
          <w:snapToGrid w:val="0"/>
        </w:rPr>
        <w:tab/>
        <w:t>no person is tried with the commission of an offence in relation thereto, a police officer shall apply to a justice of the peace for an order in respect of that thing and the justice of the peace; or</w:t>
      </w:r>
    </w:p>
    <w:p>
      <w:pPr>
        <w:pStyle w:val="Indenta"/>
        <w:rPr>
          <w:snapToGrid w:val="0"/>
        </w:rPr>
      </w:pPr>
      <w:r>
        <w:rPr>
          <w:snapToGrid w:val="0"/>
        </w:rPr>
        <w:tab/>
        <w:t>(b)</w:t>
      </w:r>
      <w:r>
        <w:rPr>
          <w:snapToGrid w:val="0"/>
        </w:rPr>
        <w:tab/>
        <w:t>a person is tried with the commission of an offence in relation thereto, the court which so tries the person,</w:t>
      </w:r>
    </w:p>
    <w:p>
      <w:pPr>
        <w:pStyle w:val="Subsection"/>
        <w:keepNext/>
        <w:rPr>
          <w:snapToGrid w:val="0"/>
        </w:rPr>
      </w:pPr>
      <w:r>
        <w:rPr>
          <w:snapToGrid w:val="0"/>
        </w:rPr>
        <w:tab/>
      </w:r>
      <w:r>
        <w:rPr>
          <w:snapToGrid w:val="0"/>
        </w:rPr>
        <w:tab/>
        <w:t>may, after having given the claimant an opportunity to show cause why that thing should be released to him, order that that thing — </w:t>
      </w:r>
    </w:p>
    <w:p>
      <w:pPr>
        <w:pStyle w:val="Indenta"/>
        <w:rPr>
          <w:snapToGrid w:val="0"/>
        </w:rPr>
      </w:pPr>
      <w:r>
        <w:rPr>
          <w:snapToGrid w:val="0"/>
        </w:rPr>
        <w:tab/>
        <w:t>(c)</w:t>
      </w:r>
      <w:r>
        <w:rPr>
          <w:snapToGrid w:val="0"/>
        </w:rPr>
        <w:tab/>
        <w:t>be released to the claimant;</w:t>
      </w:r>
    </w:p>
    <w:p>
      <w:pPr>
        <w:pStyle w:val="Indenta"/>
        <w:rPr>
          <w:snapToGrid w:val="0"/>
        </w:rPr>
      </w:pPr>
      <w:r>
        <w:rPr>
          <w:snapToGrid w:val="0"/>
        </w:rPr>
        <w:tab/>
        <w:t>(d)</w:t>
      </w:r>
      <w:r>
        <w:rPr>
          <w:snapToGrid w:val="0"/>
        </w:rPr>
        <w:tab/>
        <w:t>be destroyed; or</w:t>
      </w:r>
    </w:p>
    <w:p>
      <w:pPr>
        <w:pStyle w:val="Indenta"/>
        <w:rPr>
          <w:snapToGrid w:val="0"/>
        </w:rPr>
      </w:pPr>
      <w:r>
        <w:rPr>
          <w:snapToGrid w:val="0"/>
        </w:rPr>
        <w:tab/>
        <w:t>(e)</w:t>
      </w:r>
      <w:r>
        <w:rPr>
          <w:snapToGrid w:val="0"/>
        </w:rPr>
        <w:tab/>
        <w:t>be forfeited to the Crown,</w:t>
      </w:r>
    </w:p>
    <w:p>
      <w:pPr>
        <w:pStyle w:val="Subsection"/>
        <w:rPr>
          <w:snapToGrid w:val="0"/>
        </w:rPr>
      </w:pPr>
      <w:r>
        <w:rPr>
          <w:snapToGrid w:val="0"/>
        </w:rPr>
        <w:tab/>
      </w:r>
      <w:r>
        <w:rPr>
          <w:snapToGrid w:val="0"/>
        </w:rPr>
        <w:tab/>
        <w:t>or make such other order as the justice of the case requires.</w:t>
      </w:r>
    </w:p>
    <w:p>
      <w:pPr>
        <w:pStyle w:val="Footnotesection"/>
      </w:pPr>
      <w:r>
        <w:tab/>
        <w:t>[Section 28 amended by No. 50 of 1990 s. 7; No. 44 of 1995 s. 10; No. 24 of 2000 s. 27.]</w:t>
      </w:r>
    </w:p>
    <w:p>
      <w:pPr>
        <w:pStyle w:val="Heading5"/>
        <w:rPr>
          <w:snapToGrid w:val="0"/>
        </w:rPr>
      </w:pPr>
      <w:bookmarkStart w:id="420" w:name="_Toc503149557"/>
      <w:bookmarkStart w:id="421" w:name="_Toc534613852"/>
      <w:bookmarkStart w:id="422" w:name="_Toc535053891"/>
      <w:bookmarkStart w:id="423" w:name="_Toc109615264"/>
      <w:bookmarkStart w:id="424" w:name="_Toc215543750"/>
      <w:bookmarkStart w:id="425" w:name="_Toc290558542"/>
      <w:bookmarkStart w:id="426" w:name="_Toc283287480"/>
      <w:r>
        <w:rPr>
          <w:rStyle w:val="CharSectno"/>
        </w:rPr>
        <w:t>29</w:t>
      </w:r>
      <w:r>
        <w:rPr>
          <w:snapToGrid w:val="0"/>
        </w:rPr>
        <w:t>.</w:t>
      </w:r>
      <w:r>
        <w:rPr>
          <w:snapToGrid w:val="0"/>
        </w:rPr>
        <w:tab/>
        <w:t>Hindering police officers and approved persons in exercise of powers conferred by or under this Part</w:t>
      </w:r>
      <w:bookmarkEnd w:id="420"/>
      <w:bookmarkEnd w:id="421"/>
      <w:bookmarkEnd w:id="422"/>
      <w:bookmarkEnd w:id="423"/>
      <w:bookmarkEnd w:id="424"/>
      <w:bookmarkEnd w:id="425"/>
      <w:bookmarkEnd w:id="426"/>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rPr>
          <w:snapToGrid w:val="0"/>
        </w:rPr>
      </w:pPr>
      <w:r>
        <w:rPr>
          <w:snapToGrid w:val="0"/>
        </w:rPr>
        <w:tab/>
      </w:r>
      <w:r>
        <w:rPr>
          <w:snapToGrid w:val="0"/>
        </w:rPr>
        <w:tab/>
        <w:t>commits a simple offence.</w:t>
      </w:r>
    </w:p>
    <w:p>
      <w:pPr>
        <w:pStyle w:val="Footnotesection"/>
      </w:pPr>
      <w:r>
        <w:tab/>
        <w:t>[Section 29 amended by No. 50 of 1990 s. 7.]</w:t>
      </w:r>
    </w:p>
    <w:p>
      <w:pPr>
        <w:pStyle w:val="Heading5"/>
        <w:rPr>
          <w:snapToGrid w:val="0"/>
        </w:rPr>
      </w:pPr>
      <w:bookmarkStart w:id="427" w:name="_Toc503149558"/>
      <w:bookmarkStart w:id="428" w:name="_Toc534613853"/>
      <w:bookmarkStart w:id="429" w:name="_Toc535053892"/>
      <w:bookmarkStart w:id="430" w:name="_Toc109615265"/>
      <w:bookmarkStart w:id="431" w:name="_Toc215543751"/>
      <w:bookmarkStart w:id="432" w:name="_Toc290558543"/>
      <w:bookmarkStart w:id="433" w:name="_Toc283287481"/>
      <w:r>
        <w:rPr>
          <w:rStyle w:val="CharSectno"/>
        </w:rPr>
        <w:t>30</w:t>
      </w:r>
      <w:r>
        <w:rPr>
          <w:snapToGrid w:val="0"/>
        </w:rPr>
        <w:t>.</w:t>
      </w:r>
      <w:r>
        <w:rPr>
          <w:snapToGrid w:val="0"/>
        </w:rPr>
        <w:tab/>
        <w:t>Approved persons</w:t>
      </w:r>
      <w:bookmarkEnd w:id="427"/>
      <w:bookmarkEnd w:id="428"/>
      <w:bookmarkEnd w:id="429"/>
      <w:bookmarkEnd w:id="430"/>
      <w:bookmarkEnd w:id="431"/>
      <w:bookmarkEnd w:id="432"/>
      <w:bookmarkEnd w:id="433"/>
    </w:p>
    <w:p>
      <w:pPr>
        <w:pStyle w:val="Subsection"/>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434" w:name="_Toc72912358"/>
      <w:bookmarkStart w:id="435" w:name="_Toc89162885"/>
      <w:bookmarkStart w:id="436" w:name="_Toc89571172"/>
      <w:bookmarkStart w:id="437" w:name="_Toc90092340"/>
      <w:bookmarkStart w:id="438" w:name="_Toc92603621"/>
      <w:bookmarkStart w:id="439" w:name="_Toc92797805"/>
      <w:bookmarkStart w:id="440" w:name="_Toc97018107"/>
      <w:bookmarkStart w:id="441" w:name="_Toc102387662"/>
      <w:bookmarkStart w:id="442" w:name="_Toc102905293"/>
      <w:bookmarkStart w:id="443" w:name="_Toc105219536"/>
      <w:bookmarkStart w:id="444" w:name="_Toc105220440"/>
      <w:bookmarkStart w:id="445" w:name="_Toc105220508"/>
      <w:bookmarkStart w:id="446" w:name="_Toc105909952"/>
      <w:bookmarkStart w:id="447" w:name="_Toc105910867"/>
      <w:bookmarkStart w:id="448" w:name="_Toc106600711"/>
      <w:bookmarkStart w:id="449" w:name="_Toc106601009"/>
      <w:bookmarkStart w:id="450" w:name="_Toc109615266"/>
      <w:bookmarkStart w:id="451" w:name="_Toc139344560"/>
      <w:bookmarkStart w:id="452" w:name="_Toc139699324"/>
      <w:bookmarkStart w:id="453" w:name="_Toc147051357"/>
      <w:bookmarkStart w:id="454" w:name="_Toc147118812"/>
      <w:bookmarkStart w:id="455" w:name="_Toc148236133"/>
      <w:bookmarkStart w:id="456" w:name="_Toc158705007"/>
      <w:bookmarkStart w:id="457" w:name="_Toc165369967"/>
      <w:bookmarkStart w:id="458" w:name="_Toc177873309"/>
      <w:bookmarkStart w:id="459" w:name="_Toc177873434"/>
      <w:bookmarkStart w:id="460" w:name="_Toc184707391"/>
      <w:bookmarkStart w:id="461" w:name="_Toc189464722"/>
      <w:bookmarkStart w:id="462" w:name="_Toc190249286"/>
      <w:bookmarkStart w:id="463" w:name="_Toc191703180"/>
      <w:bookmarkStart w:id="464" w:name="_Toc193692097"/>
      <w:bookmarkStart w:id="465" w:name="_Toc199817279"/>
      <w:bookmarkStart w:id="466" w:name="_Toc215543752"/>
      <w:bookmarkStart w:id="467" w:name="_Toc215544012"/>
      <w:bookmarkStart w:id="468" w:name="_Toc248029049"/>
      <w:bookmarkStart w:id="469" w:name="_Toc256085098"/>
      <w:bookmarkStart w:id="470" w:name="_Toc256092163"/>
      <w:bookmarkStart w:id="471" w:name="_Toc268600349"/>
      <w:bookmarkStart w:id="472" w:name="_Toc272237478"/>
      <w:bookmarkStart w:id="473" w:name="_Toc275253557"/>
      <w:bookmarkStart w:id="474" w:name="_Toc283287482"/>
      <w:bookmarkStart w:id="475" w:name="_Toc290558468"/>
      <w:bookmarkStart w:id="476" w:name="_Toc290558544"/>
      <w:r>
        <w:rPr>
          <w:rStyle w:val="CharPartNo"/>
        </w:rPr>
        <w:t>Part VI</w:t>
      </w:r>
      <w:r>
        <w:rPr>
          <w:rStyle w:val="CharDivNo"/>
        </w:rPr>
        <w:t> </w:t>
      </w:r>
      <w:r>
        <w:t>—</w:t>
      </w:r>
      <w:r>
        <w:rPr>
          <w:rStyle w:val="CharDivText"/>
        </w:rPr>
        <w:t> </w:t>
      </w:r>
      <w:r>
        <w:rPr>
          <w:rStyle w:val="CharPartText"/>
        </w:rPr>
        <w:t>General</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Heading5"/>
        <w:rPr>
          <w:snapToGrid w:val="0"/>
        </w:rPr>
      </w:pPr>
      <w:bookmarkStart w:id="477" w:name="_Toc503149559"/>
      <w:bookmarkStart w:id="478" w:name="_Toc534613854"/>
      <w:bookmarkStart w:id="479" w:name="_Toc535053893"/>
      <w:bookmarkStart w:id="480" w:name="_Toc109615267"/>
      <w:bookmarkStart w:id="481" w:name="_Toc215543753"/>
      <w:bookmarkStart w:id="482" w:name="_Toc290558545"/>
      <w:bookmarkStart w:id="483" w:name="_Toc283287483"/>
      <w:r>
        <w:rPr>
          <w:rStyle w:val="CharSectno"/>
        </w:rPr>
        <w:t>31</w:t>
      </w:r>
      <w:r>
        <w:rPr>
          <w:snapToGrid w:val="0"/>
        </w:rPr>
        <w:t>.</w:t>
      </w:r>
      <w:r>
        <w:rPr>
          <w:snapToGrid w:val="0"/>
        </w:rPr>
        <w:tab/>
        <w:t>Undercover officers</w:t>
      </w:r>
      <w:bookmarkEnd w:id="477"/>
      <w:bookmarkEnd w:id="478"/>
      <w:bookmarkEnd w:id="479"/>
      <w:bookmarkEnd w:id="480"/>
      <w:bookmarkEnd w:id="481"/>
      <w:bookmarkEnd w:id="482"/>
      <w:bookmarkEnd w:id="483"/>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rPr>
          <w:snapToGrid w:val="0"/>
        </w:rPr>
      </w:pPr>
      <w:r>
        <w:rPr>
          <w:snapToGrid w:val="0"/>
        </w:rPr>
        <w:tab/>
        <w:t>(8)</w:t>
      </w:r>
      <w:r>
        <w:rPr>
          <w:snapToGrid w:val="0"/>
        </w:rPr>
        <w:tab/>
        <w:t>In this section — </w:t>
      </w:r>
    </w:p>
    <w:p>
      <w:pPr>
        <w:pStyle w:val="Defstart"/>
      </w:pPr>
      <w:r>
        <w:rPr>
          <w:b/>
        </w:rPr>
        <w:tab/>
      </w:r>
      <w:r>
        <w:rPr>
          <w:rStyle w:val="CharDefText"/>
        </w:rPr>
        <w:t>authorised person</w:t>
      </w:r>
      <w:r>
        <w:t xml:space="preserve"> means person authorised under subsection (1) to act as an undercover officer, which authority has not been revoked under that subsection;</w:t>
      </w:r>
    </w:p>
    <w:p>
      <w:pPr>
        <w:pStyle w:val="Defstart"/>
      </w:pPr>
      <w:r>
        <w:rPr>
          <w:b/>
        </w:rPr>
        <w:tab/>
      </w:r>
      <w:r>
        <w:rPr>
          <w:rStyle w:val="CharDefText"/>
        </w:rPr>
        <w:t>undercover officer</w:t>
      </w:r>
      <w:r>
        <w:t xml:space="preserve"> means person whose identity or purpose is for the time being concealed for the purpose of detecting the commission of an offence.</w:t>
      </w:r>
    </w:p>
    <w:p>
      <w:pPr>
        <w:pStyle w:val="Footnotesection"/>
        <w:ind w:left="890" w:hanging="890"/>
      </w:pPr>
      <w:r>
        <w:tab/>
        <w:t xml:space="preserve">[Section 31 amended by No. 44 of 1995 s. 11.] </w:t>
      </w:r>
    </w:p>
    <w:p>
      <w:pPr>
        <w:pStyle w:val="Heading5"/>
        <w:rPr>
          <w:snapToGrid w:val="0"/>
        </w:rPr>
      </w:pPr>
      <w:bookmarkStart w:id="484" w:name="_Toc503149560"/>
      <w:bookmarkStart w:id="485" w:name="_Toc534613855"/>
      <w:bookmarkStart w:id="486" w:name="_Toc535053894"/>
      <w:bookmarkStart w:id="487" w:name="_Toc109615268"/>
      <w:bookmarkStart w:id="488" w:name="_Toc215543754"/>
      <w:bookmarkStart w:id="489" w:name="_Toc290558546"/>
      <w:bookmarkStart w:id="490" w:name="_Toc283287484"/>
      <w:r>
        <w:rPr>
          <w:rStyle w:val="CharSectno"/>
        </w:rPr>
        <w:t>32</w:t>
      </w:r>
      <w:r>
        <w:rPr>
          <w:snapToGrid w:val="0"/>
        </w:rPr>
        <w:t>.</w:t>
      </w:r>
      <w:r>
        <w:rPr>
          <w:snapToGrid w:val="0"/>
        </w:rPr>
        <w:tab/>
        <w:t>No limitation</w:t>
      </w:r>
      <w:bookmarkEnd w:id="484"/>
      <w:bookmarkEnd w:id="485"/>
      <w:bookmarkEnd w:id="486"/>
      <w:bookmarkEnd w:id="487"/>
      <w:bookmarkEnd w:id="488"/>
      <w:bookmarkEnd w:id="489"/>
      <w:bookmarkEnd w:id="490"/>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491" w:name="_Toc503149561"/>
      <w:bookmarkStart w:id="492" w:name="_Toc534613856"/>
      <w:bookmarkStart w:id="493" w:name="_Toc535053895"/>
      <w:bookmarkStart w:id="494" w:name="_Toc109615269"/>
      <w:bookmarkStart w:id="495" w:name="_Toc215543755"/>
      <w:bookmarkStart w:id="496" w:name="_Toc290558547"/>
      <w:bookmarkStart w:id="497" w:name="_Toc283287485"/>
      <w:r>
        <w:rPr>
          <w:rStyle w:val="CharSectno"/>
        </w:rPr>
        <w:t>32A</w:t>
      </w:r>
      <w:r>
        <w:rPr>
          <w:snapToGrid w:val="0"/>
        </w:rPr>
        <w:t xml:space="preserve">. </w:t>
      </w:r>
      <w:r>
        <w:rPr>
          <w:snapToGrid w:val="0"/>
        </w:rPr>
        <w:tab/>
        <w:t>Drug trafficking</w:t>
      </w:r>
      <w:bookmarkEnd w:id="491"/>
      <w:bookmarkEnd w:id="492"/>
      <w:bookmarkEnd w:id="493"/>
      <w:bookmarkEnd w:id="494"/>
      <w:bookmarkEnd w:id="495"/>
      <w:bookmarkEnd w:id="496"/>
      <w:bookmarkEnd w:id="497"/>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w:t>
      </w:r>
    </w:p>
    <w:p>
      <w:pPr>
        <w:pStyle w:val="Indenti"/>
        <w:rPr>
          <w:snapToGrid w:val="0"/>
        </w:rPr>
      </w:pPr>
      <w:r>
        <w:rPr>
          <w:snapToGrid w:val="0"/>
        </w:rPr>
        <w:tab/>
        <w:t>(ii)</w:t>
      </w:r>
      <w:r>
        <w:rPr>
          <w:snapToGrid w:val="0"/>
        </w:rPr>
        <w:tab/>
        <w:t>external serious drug offences; or</w:t>
      </w:r>
    </w:p>
    <w:p>
      <w:pPr>
        <w:pStyle w:val="Indenti"/>
        <w:rPr>
          <w:snapToGrid w:val="0"/>
        </w:rPr>
      </w:pPr>
      <w:r>
        <w:rPr>
          <w:snapToGrid w:val="0"/>
        </w:rPr>
        <w:tab/>
        <w:t>(iii)</w:t>
      </w:r>
      <w:r>
        <w:rPr>
          <w:snapToGrid w:val="0"/>
        </w:rPr>
        <w:tab/>
        <w:t>offences, one or more of which are serious drug offences and one or more of which are external serious drug offences;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498" w:name="_Toc503149562"/>
      <w:bookmarkStart w:id="499" w:name="_Toc534613857"/>
      <w:bookmarkStart w:id="500" w:name="_Toc535053896"/>
      <w:bookmarkStart w:id="501" w:name="_Toc109615270"/>
      <w:bookmarkStart w:id="502" w:name="_Toc215543756"/>
      <w:bookmarkStart w:id="503" w:name="_Toc290558548"/>
      <w:bookmarkStart w:id="504" w:name="_Toc283287486"/>
      <w:r>
        <w:rPr>
          <w:rStyle w:val="CharSectno"/>
        </w:rPr>
        <w:t>33</w:t>
      </w:r>
      <w:r>
        <w:rPr>
          <w:snapToGrid w:val="0"/>
        </w:rPr>
        <w:t>.</w:t>
      </w:r>
      <w:r>
        <w:rPr>
          <w:snapToGrid w:val="0"/>
        </w:rPr>
        <w:tab/>
        <w:t>Attempts, conspiracies, incitements and accessories after the fact</w:t>
      </w:r>
      <w:bookmarkEnd w:id="498"/>
      <w:bookmarkEnd w:id="499"/>
      <w:bookmarkEnd w:id="500"/>
      <w:bookmarkEnd w:id="501"/>
      <w:bookmarkEnd w:id="502"/>
      <w:bookmarkEnd w:id="503"/>
      <w:bookmarkEnd w:id="504"/>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 </w:t>
      </w:r>
      <w:r>
        <w:rPr>
          <w:rStyle w:val="CharDefText"/>
        </w:rPr>
        <w:t>the 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505" w:name="_Toc503149563"/>
      <w:bookmarkStart w:id="506" w:name="_Toc534613858"/>
      <w:bookmarkStart w:id="507" w:name="_Toc535053897"/>
      <w:bookmarkStart w:id="508" w:name="_Toc109615271"/>
      <w:bookmarkStart w:id="509" w:name="_Toc215543757"/>
      <w:bookmarkStart w:id="510" w:name="_Toc290558549"/>
      <w:bookmarkStart w:id="511" w:name="_Toc283287487"/>
      <w:r>
        <w:rPr>
          <w:rStyle w:val="CharSectno"/>
        </w:rPr>
        <w:t>34</w:t>
      </w:r>
      <w:r>
        <w:rPr>
          <w:snapToGrid w:val="0"/>
        </w:rPr>
        <w:t>.</w:t>
      </w:r>
      <w:r>
        <w:rPr>
          <w:snapToGrid w:val="0"/>
        </w:rPr>
        <w:tab/>
        <w:t>Penalties</w:t>
      </w:r>
      <w:bookmarkEnd w:id="505"/>
      <w:bookmarkEnd w:id="506"/>
      <w:bookmarkEnd w:id="507"/>
      <w:bookmarkEnd w:id="508"/>
      <w:bookmarkEnd w:id="509"/>
      <w:bookmarkEnd w:id="510"/>
      <w:bookmarkEnd w:id="511"/>
    </w:p>
    <w:p>
      <w:pPr>
        <w:pStyle w:val="Subsection"/>
        <w:rPr>
          <w:snapToGrid w:val="0"/>
        </w:rPr>
      </w:pPr>
      <w:r>
        <w:rPr>
          <w:snapToGrid w:val="0"/>
        </w:rPr>
        <w:tab/>
        <w:t>(1)</w:t>
      </w:r>
      <w:r>
        <w:rPr>
          <w:snapToGrid w:val="0"/>
        </w:rPr>
        <w:tab/>
        <w:t>Subject to subsection (2), 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t>(d)</w:t>
      </w:r>
      <w:r>
        <w:rPr>
          <w:snapToGrid w:val="0"/>
        </w:rPr>
        <w:tab/>
        <w:t xml:space="preserve">a simple offence under section 5(1) (other than a simple offence under section 5(1)(e)), 8, 25(2) or 29 is liable to a fine not exceeding $3 000 or to imprisonment for a term not exceeding 3 years or both; </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Footnotesection"/>
      </w:pPr>
      <w:r>
        <w:tab/>
        <w:t>[Section 34 amended by No. 44 of 1995 s. 12; No. 52 of 2003 s. 31; No. 4 of 2004 s. 58; No. 62 of 2004 s. 6.]</w:t>
      </w:r>
    </w:p>
    <w:p>
      <w:pPr>
        <w:pStyle w:val="Heading5"/>
        <w:rPr>
          <w:snapToGrid w:val="0"/>
        </w:rPr>
      </w:pPr>
      <w:bookmarkStart w:id="512" w:name="_Toc503149564"/>
      <w:bookmarkStart w:id="513" w:name="_Toc534613859"/>
      <w:bookmarkStart w:id="514" w:name="_Toc535053898"/>
      <w:bookmarkStart w:id="515" w:name="_Toc109615272"/>
      <w:bookmarkStart w:id="516" w:name="_Toc215543758"/>
      <w:bookmarkStart w:id="517" w:name="_Toc290558550"/>
      <w:bookmarkStart w:id="518" w:name="_Toc283287488"/>
      <w:r>
        <w:rPr>
          <w:rStyle w:val="CharSectno"/>
        </w:rPr>
        <w:t>35</w:t>
      </w:r>
      <w:r>
        <w:rPr>
          <w:snapToGrid w:val="0"/>
        </w:rPr>
        <w:t>.</w:t>
      </w:r>
      <w:r>
        <w:rPr>
          <w:snapToGrid w:val="0"/>
        </w:rPr>
        <w:tab/>
        <w:t>Criminal liability of company officers</w:t>
      </w:r>
      <w:bookmarkEnd w:id="512"/>
      <w:bookmarkEnd w:id="513"/>
      <w:bookmarkEnd w:id="514"/>
      <w:bookmarkEnd w:id="515"/>
      <w:bookmarkEnd w:id="516"/>
      <w:bookmarkEnd w:id="517"/>
      <w:bookmarkEnd w:id="518"/>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519" w:name="_Toc503149565"/>
      <w:bookmarkStart w:id="520" w:name="_Toc534613860"/>
      <w:bookmarkStart w:id="521" w:name="_Toc535053899"/>
      <w:bookmarkStart w:id="522" w:name="_Toc109615273"/>
      <w:bookmarkStart w:id="523" w:name="_Toc215543759"/>
      <w:bookmarkStart w:id="524" w:name="_Toc290558551"/>
      <w:bookmarkStart w:id="525" w:name="_Toc283287489"/>
      <w:r>
        <w:rPr>
          <w:rStyle w:val="CharSectno"/>
        </w:rPr>
        <w:t>37</w:t>
      </w:r>
      <w:r>
        <w:rPr>
          <w:snapToGrid w:val="0"/>
        </w:rPr>
        <w:t>.</w:t>
      </w:r>
      <w:r>
        <w:rPr>
          <w:snapToGrid w:val="0"/>
        </w:rPr>
        <w:tab/>
        <w:t>Proof of exceptions</w:t>
      </w:r>
      <w:bookmarkEnd w:id="519"/>
      <w:bookmarkEnd w:id="520"/>
      <w:bookmarkEnd w:id="521"/>
      <w:bookmarkEnd w:id="522"/>
      <w:bookmarkEnd w:id="523"/>
      <w:bookmarkEnd w:id="524"/>
      <w:bookmarkEnd w:id="525"/>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526" w:name="_Toc503149566"/>
      <w:bookmarkStart w:id="527" w:name="_Toc534613861"/>
      <w:bookmarkStart w:id="528" w:name="_Toc535053900"/>
      <w:bookmarkStart w:id="529" w:name="_Toc109615274"/>
      <w:bookmarkStart w:id="530" w:name="_Toc215543760"/>
      <w:bookmarkStart w:id="531" w:name="_Toc290558552"/>
      <w:bookmarkStart w:id="532" w:name="_Toc283287490"/>
      <w:r>
        <w:rPr>
          <w:rStyle w:val="CharSectno"/>
        </w:rPr>
        <w:t>38</w:t>
      </w:r>
      <w:r>
        <w:rPr>
          <w:snapToGrid w:val="0"/>
        </w:rPr>
        <w:t>.</w:t>
      </w:r>
      <w:r>
        <w:rPr>
          <w:snapToGrid w:val="0"/>
        </w:rPr>
        <w:tab/>
        <w:t>Certificate of approved analyst or approved botanist</w:t>
      </w:r>
      <w:bookmarkEnd w:id="526"/>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w:t>
      </w:r>
    </w:p>
    <w:p>
      <w:pPr>
        <w:pStyle w:val="Indenta"/>
        <w:rPr>
          <w:snapToGrid w:val="0"/>
        </w:rPr>
      </w:pPr>
      <w:r>
        <w:rPr>
          <w:snapToGrid w:val="0"/>
        </w:rPr>
        <w:tab/>
        <w:t>(b)</w:t>
      </w:r>
      <w:r>
        <w:rPr>
          <w:snapToGrid w:val="0"/>
        </w:rPr>
        <w:tab/>
        <w:t>how the thing was obtained, or when and from whom the thing was received;</w:t>
      </w:r>
    </w:p>
    <w:p>
      <w:pPr>
        <w:pStyle w:val="Indenta"/>
        <w:rPr>
          <w:snapToGrid w:val="0"/>
        </w:rPr>
      </w:pPr>
      <w:r>
        <w:rPr>
          <w:snapToGrid w:val="0"/>
        </w:rPr>
        <w:tab/>
        <w:t>(c)</w:t>
      </w:r>
      <w:r>
        <w:rPr>
          <w:snapToGrid w:val="0"/>
        </w:rPr>
        <w:tab/>
        <w:t>a description, and the quantity or mass, of the thing obtained or received;</w:t>
      </w:r>
    </w:p>
    <w:p>
      <w:pPr>
        <w:pStyle w:val="Indenta"/>
        <w:rPr>
          <w:snapToGrid w:val="0"/>
        </w:rPr>
      </w:pPr>
      <w:r>
        <w:rPr>
          <w:snapToGrid w:val="0"/>
        </w:rPr>
        <w:tab/>
        <w:t>(d)</w:t>
      </w:r>
      <w:r>
        <w:rPr>
          <w:snapToGrid w:val="0"/>
        </w:rPr>
        <w:tab/>
        <w:t>that the thing was analysed or examined by the analyst or botanist;</w:t>
      </w:r>
    </w:p>
    <w:p>
      <w:pPr>
        <w:pStyle w:val="Indenta"/>
        <w:rPr>
          <w:snapToGrid w:val="0"/>
        </w:rPr>
      </w:pPr>
      <w:r>
        <w:rPr>
          <w:snapToGrid w:val="0"/>
        </w:rPr>
        <w:tab/>
        <w:t>(e)</w:t>
      </w:r>
      <w:r>
        <w:rPr>
          <w:snapToGrid w:val="0"/>
        </w:rPr>
        <w:tab/>
        <w:t>the method of analysis or examination;</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533" w:name="_Toc503149567"/>
      <w:bookmarkStart w:id="534" w:name="_Toc534613862"/>
      <w:bookmarkStart w:id="535" w:name="_Toc535053901"/>
      <w:bookmarkStart w:id="536" w:name="_Toc109615275"/>
      <w:bookmarkStart w:id="537" w:name="_Toc215543761"/>
      <w:bookmarkStart w:id="538" w:name="_Toc290558553"/>
      <w:bookmarkStart w:id="539" w:name="_Toc283287491"/>
      <w:r>
        <w:rPr>
          <w:rStyle w:val="CharSectno"/>
        </w:rPr>
        <w:t>38A</w:t>
      </w:r>
      <w:r>
        <w:rPr>
          <w:snapToGrid w:val="0"/>
        </w:rPr>
        <w:t xml:space="preserve">. </w:t>
      </w:r>
      <w:r>
        <w:rPr>
          <w:snapToGrid w:val="0"/>
        </w:rPr>
        <w:tab/>
        <w:t>Accused may obtain a copy of certificate</w:t>
      </w:r>
      <w:bookmarkEnd w:id="533"/>
      <w:bookmarkEnd w:id="534"/>
      <w:bookmarkEnd w:id="535"/>
      <w:bookmarkEnd w:id="536"/>
      <w:bookmarkEnd w:id="537"/>
      <w:bookmarkEnd w:id="538"/>
      <w:bookmarkEnd w:id="539"/>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540" w:name="_Toc503149568"/>
      <w:bookmarkStart w:id="541" w:name="_Toc534613863"/>
      <w:bookmarkStart w:id="542" w:name="_Toc535053902"/>
      <w:bookmarkStart w:id="543" w:name="_Toc109615276"/>
      <w:bookmarkStart w:id="544" w:name="_Toc215543762"/>
      <w:bookmarkStart w:id="545" w:name="_Toc290558554"/>
      <w:bookmarkStart w:id="546" w:name="_Toc283287492"/>
      <w:r>
        <w:rPr>
          <w:rStyle w:val="CharSectno"/>
        </w:rPr>
        <w:t>38B</w:t>
      </w:r>
      <w:r>
        <w:rPr>
          <w:snapToGrid w:val="0"/>
        </w:rPr>
        <w:t xml:space="preserve">. </w:t>
      </w:r>
      <w:r>
        <w:rPr>
          <w:snapToGrid w:val="0"/>
        </w:rPr>
        <w:tab/>
        <w:t>Accused may object to use of certificate</w:t>
      </w:r>
      <w:bookmarkEnd w:id="540"/>
      <w:bookmarkEnd w:id="541"/>
      <w:bookmarkEnd w:id="542"/>
      <w:bookmarkEnd w:id="543"/>
      <w:bookmarkEnd w:id="544"/>
      <w:bookmarkEnd w:id="545"/>
      <w:bookmarkEnd w:id="546"/>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547" w:name="_Toc503149569"/>
      <w:bookmarkStart w:id="548" w:name="_Toc534613864"/>
      <w:bookmarkStart w:id="549" w:name="_Toc535053903"/>
      <w:bookmarkStart w:id="550" w:name="_Toc109615277"/>
      <w:bookmarkStart w:id="551" w:name="_Toc215543763"/>
      <w:bookmarkStart w:id="552" w:name="_Toc290558555"/>
      <w:bookmarkStart w:id="553" w:name="_Toc283287493"/>
      <w:r>
        <w:rPr>
          <w:rStyle w:val="CharSectno"/>
        </w:rPr>
        <w:t>38C</w:t>
      </w:r>
      <w:r>
        <w:rPr>
          <w:snapToGrid w:val="0"/>
        </w:rPr>
        <w:t xml:space="preserve">. </w:t>
      </w:r>
      <w:r>
        <w:rPr>
          <w:snapToGrid w:val="0"/>
        </w:rPr>
        <w:tab/>
        <w:t>Order for costs of approved analyst or approved botanist</w:t>
      </w:r>
      <w:bookmarkEnd w:id="547"/>
      <w:bookmarkEnd w:id="548"/>
      <w:bookmarkEnd w:id="549"/>
      <w:bookmarkEnd w:id="550"/>
      <w:bookmarkEnd w:id="551"/>
      <w:bookmarkEnd w:id="552"/>
      <w:bookmarkEnd w:id="553"/>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rPr>
          <w:snapToGrid w:val="0"/>
        </w:rPr>
      </w:pPr>
      <w:bookmarkStart w:id="554" w:name="_Toc503149570"/>
      <w:bookmarkStart w:id="555" w:name="_Toc534613865"/>
      <w:bookmarkStart w:id="556" w:name="_Toc535053904"/>
      <w:bookmarkStart w:id="557" w:name="_Toc109615278"/>
      <w:bookmarkStart w:id="558" w:name="_Toc215543764"/>
      <w:bookmarkStart w:id="559" w:name="_Toc290558556"/>
      <w:bookmarkStart w:id="560" w:name="_Toc283287494"/>
      <w:r>
        <w:rPr>
          <w:rStyle w:val="CharSectno"/>
        </w:rPr>
        <w:t>38D</w:t>
      </w:r>
      <w:r>
        <w:rPr>
          <w:snapToGrid w:val="0"/>
        </w:rPr>
        <w:t xml:space="preserve">. </w:t>
      </w:r>
      <w:r>
        <w:rPr>
          <w:snapToGrid w:val="0"/>
        </w:rPr>
        <w:tab/>
        <w:t>Evidence of contents of standard</w:t>
      </w:r>
      <w:bookmarkEnd w:id="554"/>
      <w:bookmarkEnd w:id="555"/>
      <w:bookmarkEnd w:id="556"/>
      <w:bookmarkEnd w:id="557"/>
      <w:bookmarkEnd w:id="558"/>
      <w:bookmarkEnd w:id="559"/>
      <w:bookmarkEnd w:id="560"/>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rPr>
          <w:snapToGrid w:val="0"/>
        </w:rPr>
      </w:pPr>
      <w:bookmarkStart w:id="561" w:name="_Toc503149571"/>
      <w:bookmarkStart w:id="562" w:name="_Toc534613866"/>
      <w:bookmarkStart w:id="563" w:name="_Toc535053905"/>
      <w:bookmarkStart w:id="564" w:name="_Toc109615279"/>
      <w:bookmarkStart w:id="565" w:name="_Toc215543765"/>
      <w:bookmarkStart w:id="566" w:name="_Toc290558557"/>
      <w:bookmarkStart w:id="567" w:name="_Toc283287495"/>
      <w:r>
        <w:rPr>
          <w:rStyle w:val="CharSectno"/>
        </w:rPr>
        <w:t>39</w:t>
      </w:r>
      <w:r>
        <w:rPr>
          <w:snapToGrid w:val="0"/>
        </w:rPr>
        <w:t>.</w:t>
      </w:r>
      <w:r>
        <w:rPr>
          <w:snapToGrid w:val="0"/>
        </w:rPr>
        <w:tab/>
        <w:t>Delegation by Commissioner</w:t>
      </w:r>
      <w:bookmarkEnd w:id="561"/>
      <w:bookmarkEnd w:id="562"/>
      <w:bookmarkEnd w:id="563"/>
      <w:bookmarkEnd w:id="564"/>
      <w:bookmarkEnd w:id="565"/>
      <w:bookmarkEnd w:id="566"/>
      <w:bookmarkEnd w:id="567"/>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568" w:name="_Toc503149572"/>
      <w:bookmarkStart w:id="569" w:name="_Toc534613867"/>
      <w:bookmarkStart w:id="570" w:name="_Toc535053906"/>
      <w:bookmarkStart w:id="571" w:name="_Toc109615280"/>
      <w:bookmarkStart w:id="572" w:name="_Toc215543766"/>
      <w:bookmarkStart w:id="573" w:name="_Toc290558558"/>
      <w:bookmarkStart w:id="574" w:name="_Toc283287496"/>
      <w:r>
        <w:rPr>
          <w:rStyle w:val="CharSectno"/>
        </w:rPr>
        <w:t>40</w:t>
      </w:r>
      <w:r>
        <w:rPr>
          <w:snapToGrid w:val="0"/>
        </w:rPr>
        <w:t>.</w:t>
      </w:r>
      <w:r>
        <w:rPr>
          <w:snapToGrid w:val="0"/>
        </w:rPr>
        <w:tab/>
        <w:t>Civil liability of persons acting under this Act</w:t>
      </w:r>
      <w:bookmarkEnd w:id="568"/>
      <w:bookmarkEnd w:id="569"/>
      <w:bookmarkEnd w:id="570"/>
      <w:bookmarkEnd w:id="571"/>
      <w:bookmarkEnd w:id="572"/>
      <w:bookmarkEnd w:id="573"/>
      <w:bookmarkEnd w:id="574"/>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575" w:name="_Toc503149573"/>
      <w:bookmarkStart w:id="576" w:name="_Toc534613868"/>
      <w:bookmarkStart w:id="577" w:name="_Toc535053907"/>
      <w:bookmarkStart w:id="578" w:name="_Toc109615281"/>
      <w:bookmarkStart w:id="579" w:name="_Toc215543767"/>
      <w:bookmarkStart w:id="580" w:name="_Toc290558559"/>
      <w:bookmarkStart w:id="581" w:name="_Toc283287497"/>
      <w:r>
        <w:rPr>
          <w:rStyle w:val="CharSectno"/>
        </w:rPr>
        <w:t>41</w:t>
      </w:r>
      <w:r>
        <w:rPr>
          <w:snapToGrid w:val="0"/>
        </w:rPr>
        <w:t>.</w:t>
      </w:r>
      <w:r>
        <w:rPr>
          <w:snapToGrid w:val="0"/>
        </w:rPr>
        <w:tab/>
        <w:t>Regulations</w:t>
      </w:r>
      <w:bookmarkEnd w:id="575"/>
      <w:bookmarkEnd w:id="576"/>
      <w:bookmarkEnd w:id="577"/>
      <w:bookmarkEnd w:id="578"/>
      <w:bookmarkEnd w:id="579"/>
      <w:bookmarkEnd w:id="580"/>
      <w:bookmarkEnd w:id="58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582" w:name="_Toc503149574"/>
      <w:bookmarkStart w:id="583" w:name="_Toc534613869"/>
      <w:bookmarkStart w:id="584" w:name="_Toc535053908"/>
      <w:bookmarkStart w:id="585" w:name="_Toc109615282"/>
      <w:bookmarkStart w:id="586" w:name="_Toc215543768"/>
      <w:bookmarkStart w:id="587" w:name="_Toc290558560"/>
      <w:bookmarkStart w:id="588" w:name="_Toc283287498"/>
      <w:r>
        <w:rPr>
          <w:rStyle w:val="CharSectno"/>
        </w:rPr>
        <w:t>42</w:t>
      </w:r>
      <w:r>
        <w:rPr>
          <w:snapToGrid w:val="0"/>
        </w:rPr>
        <w:t>.</w:t>
      </w:r>
      <w:r>
        <w:rPr>
          <w:snapToGrid w:val="0"/>
        </w:rPr>
        <w:tab/>
        <w:t>Amendment of certain schedules</w:t>
      </w:r>
      <w:bookmarkEnd w:id="582"/>
      <w:bookmarkEnd w:id="583"/>
      <w:bookmarkEnd w:id="584"/>
      <w:bookmarkEnd w:id="585"/>
      <w:bookmarkEnd w:id="586"/>
      <w:bookmarkEnd w:id="587"/>
      <w:bookmarkEnd w:id="588"/>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89" w:name="_Toc535053909"/>
      <w:bookmarkStart w:id="590" w:name="_Toc109615283"/>
      <w:bookmarkStart w:id="591" w:name="_Toc139344577"/>
      <w:bookmarkStart w:id="592" w:name="_Toc139699341"/>
      <w:bookmarkStart w:id="593" w:name="_Toc147051374"/>
      <w:bookmarkStart w:id="594" w:name="_Toc147118829"/>
      <w:bookmarkStart w:id="595" w:name="_Toc148236150"/>
      <w:bookmarkStart w:id="596" w:name="_Toc158705024"/>
      <w:bookmarkStart w:id="597" w:name="_Toc165369984"/>
      <w:bookmarkStart w:id="598" w:name="_Toc177873326"/>
      <w:bookmarkStart w:id="599" w:name="_Toc177873451"/>
      <w:bookmarkStart w:id="600" w:name="_Toc184707408"/>
      <w:bookmarkStart w:id="601" w:name="_Toc189464739"/>
      <w:bookmarkStart w:id="602" w:name="_Toc190249303"/>
      <w:bookmarkStart w:id="603" w:name="_Toc191703197"/>
      <w:bookmarkStart w:id="604" w:name="_Toc193692114"/>
      <w:bookmarkStart w:id="605" w:name="_Toc199817296"/>
      <w:bookmarkStart w:id="606" w:name="_Toc215543769"/>
      <w:bookmarkStart w:id="607" w:name="_Toc215544029"/>
      <w:bookmarkStart w:id="608" w:name="_Toc248029066"/>
      <w:bookmarkStart w:id="609" w:name="_Toc256085115"/>
      <w:bookmarkStart w:id="610" w:name="_Toc256092180"/>
      <w:bookmarkStart w:id="611" w:name="_Toc268600366"/>
      <w:bookmarkStart w:id="612" w:name="_Toc272237495"/>
      <w:bookmarkStart w:id="613" w:name="_Toc275253574"/>
      <w:bookmarkStart w:id="614" w:name="_Toc283287499"/>
      <w:bookmarkStart w:id="615" w:name="_Toc290558485"/>
      <w:bookmarkStart w:id="616" w:name="_Toc290558561"/>
      <w:r>
        <w:rPr>
          <w:rStyle w:val="CharSchNo"/>
        </w:rPr>
        <w:t>Schedule I</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611"/>
      <w:bookmarkEnd w:id="612"/>
      <w:bookmarkEnd w:id="613"/>
      <w:bookmarkEnd w:id="614"/>
      <w:bookmarkEnd w:id="615"/>
      <w:bookmarkEnd w:id="616"/>
    </w:p>
    <w:p>
      <w:pPr>
        <w:pStyle w:val="yShoulderClause"/>
        <w:rPr>
          <w:snapToGrid w:val="0"/>
        </w:rPr>
      </w:pPr>
      <w:r>
        <w:rPr>
          <w:snapToGrid w:val="0"/>
        </w:rPr>
        <w:t>[s. 4(1)(c)]</w:t>
      </w:r>
    </w:p>
    <w:p>
      <w:pPr>
        <w:pStyle w:val="yFootnoteheading"/>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drugs</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Cocaine, ecgonine, heroin, morphine and their respective salts.</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Opium.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Any preparation, admixture, extract, or other substance containing not less than — </w:t>
            </w:r>
          </w:p>
        </w:tc>
      </w:tr>
      <w:tr>
        <w:trPr>
          <w:cantSplit/>
        </w:trPr>
        <w:tc>
          <w:tcPr>
            <w:tcW w:w="1242" w:type="dxa"/>
          </w:tcPr>
          <w:p>
            <w:pPr>
              <w:pStyle w:val="yTableNAm"/>
              <w:jc w:val="center"/>
              <w:rPr>
                <w:snapToGrid w:val="0"/>
              </w:rPr>
            </w:pPr>
          </w:p>
        </w:tc>
        <w:tc>
          <w:tcPr>
            <w:tcW w:w="6092"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242" w:type="dxa"/>
          </w:tcPr>
          <w:p>
            <w:pPr>
              <w:pStyle w:val="yTableNAm"/>
              <w:jc w:val="center"/>
              <w:rPr>
                <w:snapToGrid w:val="0"/>
              </w:rPr>
            </w:pPr>
          </w:p>
        </w:tc>
        <w:tc>
          <w:tcPr>
            <w:tcW w:w="6092"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1242" w:type="dxa"/>
          </w:tcPr>
          <w:p>
            <w:pPr>
              <w:pStyle w:val="yTableNAm"/>
              <w:jc w:val="center"/>
              <w:rPr>
                <w:snapToGrid w:val="0"/>
              </w:rPr>
            </w:pPr>
            <w:r>
              <w:rPr>
                <w:snapToGrid w:val="0"/>
              </w:rPr>
              <w:t>4.</w:t>
            </w:r>
          </w:p>
        </w:tc>
        <w:tc>
          <w:tcPr>
            <w:tcW w:w="6092" w:type="dxa"/>
          </w:tcPr>
          <w:p>
            <w:pPr>
              <w:pStyle w:val="yTableNAm"/>
              <w:rPr>
                <w:snapToGrid w:val="0"/>
              </w:rPr>
            </w:pPr>
            <w:r>
              <w:rPr>
                <w:snapToGrid w:val="0"/>
              </w:rPr>
              <w:t>Any derivative of cocaine.</w:t>
            </w:r>
          </w:p>
        </w:tc>
      </w:tr>
      <w:tr>
        <w:trPr>
          <w:cantSplit/>
        </w:trPr>
        <w:tc>
          <w:tcPr>
            <w:tcW w:w="1242" w:type="dxa"/>
          </w:tcPr>
          <w:p>
            <w:pPr>
              <w:pStyle w:val="yTableNAm"/>
              <w:jc w:val="center"/>
              <w:rPr>
                <w:snapToGrid w:val="0"/>
              </w:rPr>
            </w:pPr>
            <w:r>
              <w:rPr>
                <w:snapToGrid w:val="0"/>
              </w:rPr>
              <w:t>5.</w:t>
            </w:r>
          </w:p>
        </w:tc>
        <w:tc>
          <w:tcPr>
            <w:tcW w:w="6092" w:type="dxa"/>
          </w:tcPr>
          <w:p>
            <w:pPr>
              <w:pStyle w:val="yTableNAm"/>
              <w:rPr>
                <w:snapToGrid w:val="0"/>
              </w:rPr>
            </w:pPr>
            <w:r>
              <w:rPr>
                <w:snapToGrid w:val="0"/>
              </w:rPr>
              <w:t>Cannabis or cannabis resin or any other cannabis derivative.</w:t>
            </w:r>
          </w:p>
        </w:tc>
      </w:tr>
    </w:tbl>
    <w:p>
      <w:pPr>
        <w:pStyle w:val="yScheduleHeading"/>
      </w:pPr>
      <w:bookmarkStart w:id="617" w:name="_Toc535053910"/>
      <w:bookmarkStart w:id="618" w:name="_Toc109615284"/>
      <w:bookmarkStart w:id="619" w:name="_Toc139344578"/>
      <w:bookmarkStart w:id="620" w:name="_Toc139699342"/>
      <w:bookmarkStart w:id="621" w:name="_Toc147051375"/>
      <w:bookmarkStart w:id="622" w:name="_Toc147118830"/>
      <w:bookmarkStart w:id="623" w:name="_Toc148236151"/>
      <w:bookmarkStart w:id="624" w:name="_Toc158705025"/>
      <w:bookmarkStart w:id="625" w:name="_Toc165369986"/>
      <w:bookmarkStart w:id="626" w:name="_Toc177873328"/>
      <w:bookmarkStart w:id="627" w:name="_Toc177873453"/>
      <w:bookmarkStart w:id="628" w:name="_Toc184707410"/>
      <w:bookmarkStart w:id="629" w:name="_Toc189464741"/>
      <w:bookmarkStart w:id="630" w:name="_Toc190249305"/>
      <w:bookmarkStart w:id="631" w:name="_Toc191703199"/>
      <w:bookmarkStart w:id="632" w:name="_Toc193692116"/>
      <w:bookmarkStart w:id="633" w:name="_Toc199817298"/>
      <w:bookmarkStart w:id="634" w:name="_Toc215543771"/>
      <w:bookmarkStart w:id="635" w:name="_Toc215544031"/>
      <w:bookmarkStart w:id="636" w:name="_Toc248029068"/>
      <w:bookmarkStart w:id="637" w:name="_Toc256085117"/>
      <w:bookmarkStart w:id="638" w:name="_Toc256092182"/>
      <w:bookmarkStart w:id="639" w:name="_Toc268600367"/>
      <w:bookmarkStart w:id="640" w:name="_Toc272237496"/>
      <w:bookmarkStart w:id="641" w:name="_Toc275253575"/>
      <w:bookmarkStart w:id="642" w:name="_Toc283287500"/>
      <w:bookmarkStart w:id="643" w:name="_Toc290558486"/>
      <w:bookmarkStart w:id="644" w:name="_Toc290558562"/>
      <w:r>
        <w:rPr>
          <w:rStyle w:val="CharSchNo"/>
        </w:rPr>
        <w:t>Schedule II</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639"/>
      <w:bookmarkEnd w:id="640"/>
      <w:bookmarkEnd w:id="641"/>
      <w:bookmarkEnd w:id="642"/>
      <w:bookmarkEnd w:id="643"/>
      <w:bookmarkEnd w:id="644"/>
    </w:p>
    <w:p>
      <w:pPr>
        <w:pStyle w:val="yShoulderClause"/>
        <w:rPr>
          <w:snapToGrid w:val="0"/>
        </w:rPr>
      </w:pPr>
      <w:r>
        <w:rPr>
          <w:snapToGrid w:val="0"/>
        </w:rPr>
        <w:t>[s. 4(2)(b)]</w:t>
      </w:r>
    </w:p>
    <w:p>
      <w:pPr>
        <w:pStyle w:val="yFootnoteheading"/>
        <w:rPr>
          <w:bCs/>
        </w:rPr>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plant</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Papaver somniferum</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Papaver bracteatum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Cannabis</w:t>
            </w:r>
          </w:p>
        </w:tc>
      </w:tr>
    </w:tbl>
    <w:p>
      <w:pPr>
        <w:pStyle w:val="yScheduleHeading"/>
      </w:pPr>
      <w:bookmarkStart w:id="645" w:name="_Toc535053911"/>
      <w:bookmarkStart w:id="646" w:name="_Toc109615285"/>
      <w:bookmarkStart w:id="647" w:name="_Toc139344579"/>
      <w:bookmarkStart w:id="648" w:name="_Toc139699343"/>
      <w:bookmarkStart w:id="649" w:name="_Toc147051376"/>
      <w:bookmarkStart w:id="650" w:name="_Toc147118831"/>
      <w:bookmarkStart w:id="651" w:name="_Toc148236152"/>
      <w:bookmarkStart w:id="652" w:name="_Toc158705026"/>
      <w:bookmarkStart w:id="653" w:name="_Toc165369988"/>
      <w:bookmarkStart w:id="654" w:name="_Toc177873330"/>
      <w:bookmarkStart w:id="655" w:name="_Toc177873455"/>
      <w:bookmarkStart w:id="656" w:name="_Toc184707412"/>
      <w:bookmarkStart w:id="657" w:name="_Toc189464743"/>
      <w:bookmarkStart w:id="658" w:name="_Toc190249307"/>
      <w:bookmarkStart w:id="659" w:name="_Toc191703201"/>
      <w:bookmarkStart w:id="660" w:name="_Toc193692118"/>
      <w:bookmarkStart w:id="661" w:name="_Toc199817300"/>
      <w:bookmarkStart w:id="662" w:name="_Toc215543773"/>
      <w:bookmarkStart w:id="663" w:name="_Toc215544033"/>
      <w:bookmarkStart w:id="664" w:name="_Toc248029070"/>
      <w:bookmarkStart w:id="665" w:name="_Toc256085119"/>
      <w:bookmarkStart w:id="666" w:name="_Toc256092184"/>
      <w:bookmarkStart w:id="667" w:name="_Toc268600368"/>
      <w:bookmarkStart w:id="668" w:name="_Toc272237497"/>
      <w:bookmarkStart w:id="669" w:name="_Toc275253576"/>
      <w:bookmarkStart w:id="670" w:name="_Toc283287501"/>
      <w:bookmarkStart w:id="671" w:name="_Toc290558487"/>
      <w:bookmarkStart w:id="672" w:name="_Toc290558563"/>
      <w:r>
        <w:rPr>
          <w:rStyle w:val="CharSchNo"/>
        </w:rPr>
        <w:t>Schedule III</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rPr>
          <w:rStyle w:val="CharSDivNo"/>
        </w:rPr>
        <w:t> </w:t>
      </w:r>
      <w:r>
        <w:t>—</w:t>
      </w:r>
      <w:r>
        <w:rPr>
          <w:rStyle w:val="CharSDivText"/>
        </w:rPr>
        <w:t> </w:t>
      </w:r>
      <w:r>
        <w:rPr>
          <w:rStyle w:val="CharSchText"/>
        </w:rPr>
        <w:t>Amounts of prohibited drugs determining court of trial</w:t>
      </w:r>
      <w:bookmarkEnd w:id="667"/>
      <w:bookmarkEnd w:id="668"/>
      <w:bookmarkEnd w:id="669"/>
      <w:bookmarkEnd w:id="670"/>
      <w:bookmarkEnd w:id="671"/>
      <w:bookmarkEnd w:id="672"/>
    </w:p>
    <w:p>
      <w:pPr>
        <w:pStyle w:val="yShoulderClause"/>
        <w:rPr>
          <w:snapToGrid w:val="0"/>
        </w:rPr>
      </w:pPr>
      <w:r>
        <w:rPr>
          <w:snapToGrid w:val="0"/>
        </w:rPr>
        <w:t>[s. 9]</w:t>
      </w:r>
    </w:p>
    <w:p>
      <w:pPr>
        <w:pStyle w:val="yFootnoteheading"/>
      </w:pPr>
      <w:r>
        <w:tab/>
        <w:t>[Heading amended by No. 19 of 2010 s. 4.]</w:t>
      </w:r>
    </w:p>
    <w:tbl>
      <w:tblPr>
        <w:tblW w:w="0" w:type="auto"/>
        <w:tblInd w:w="170" w:type="dxa"/>
        <w:tblLayout w:type="fixed"/>
        <w:tblCellMar>
          <w:left w:w="142" w:type="dxa"/>
          <w:right w:w="142" w:type="dxa"/>
        </w:tblCellMar>
        <w:tblLook w:val="0000" w:firstRow="0" w:lastRow="0" w:firstColumn="0" w:lastColumn="0" w:noHBand="0" w:noVBand="0"/>
      </w:tblPr>
      <w:tblGrid>
        <w:gridCol w:w="680"/>
        <w:gridCol w:w="12"/>
        <w:gridCol w:w="5098"/>
        <w:gridCol w:w="1200"/>
      </w:tblGrid>
      <w:tr>
        <w:trPr>
          <w:tblHeader/>
        </w:trPr>
        <w:tc>
          <w:tcPr>
            <w:tcW w:w="680" w:type="dxa"/>
          </w:tcPr>
          <w:p>
            <w:pPr>
              <w:pStyle w:val="yTable"/>
              <w:spacing w:before="40" w:after="40"/>
              <w:rPr>
                <w:i/>
              </w:rPr>
            </w:pPr>
            <w:r>
              <w:rPr>
                <w:i/>
              </w:rPr>
              <w:t>Item</w:t>
            </w:r>
          </w:p>
        </w:tc>
        <w:tc>
          <w:tcPr>
            <w:tcW w:w="5110" w:type="dxa"/>
            <w:gridSpan w:val="2"/>
          </w:tcPr>
          <w:p>
            <w:pPr>
              <w:pStyle w:val="yTable"/>
              <w:jc w:val="center"/>
              <w:rPr>
                <w:i/>
              </w:rPr>
            </w:pPr>
            <w:r>
              <w:rPr>
                <w:i/>
              </w:rPr>
              <w:t>Prohibited drug</w:t>
            </w:r>
          </w:p>
        </w:tc>
        <w:tc>
          <w:tcPr>
            <w:tcW w:w="1200" w:type="dxa"/>
          </w:tcPr>
          <w:p>
            <w:pPr>
              <w:pStyle w:val="yTable"/>
              <w:spacing w:before="40" w:after="40"/>
              <w:jc w:val="center"/>
            </w:pPr>
            <w:r>
              <w:rPr>
                <w:i/>
              </w:rPr>
              <w:t>Amount</w:t>
            </w:r>
            <w:r>
              <w:rPr>
                <w:i/>
              </w:rPr>
              <w:br/>
            </w:r>
            <w:r>
              <w:t>(in grams</w:t>
            </w:r>
            <w:r>
              <w:br/>
              <w:t>unless</w:t>
            </w:r>
            <w:r>
              <w:br/>
              <w:t>otherwise</w:t>
            </w:r>
            <w:r>
              <w:br/>
              <w:t>stated)</w:t>
            </w:r>
          </w:p>
        </w:tc>
      </w:tr>
      <w:tr>
        <w:tc>
          <w:tcPr>
            <w:tcW w:w="680" w:type="dxa"/>
          </w:tcPr>
          <w:p>
            <w:pPr>
              <w:pStyle w:val="yTable"/>
              <w:spacing w:before="40" w:after="40"/>
            </w:pPr>
            <w:r>
              <w:t>1.</w:t>
            </w:r>
          </w:p>
        </w:tc>
        <w:tc>
          <w:tcPr>
            <w:tcW w:w="5110" w:type="dxa"/>
            <w:gridSpan w:val="2"/>
          </w:tcPr>
          <w:p>
            <w:pPr>
              <w:pStyle w:val="yTable"/>
            </w:pPr>
            <w:r>
              <w:t>ACETORPHINE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w:t>
            </w:r>
          </w:p>
        </w:tc>
        <w:tc>
          <w:tcPr>
            <w:tcW w:w="5110" w:type="dxa"/>
            <w:gridSpan w:val="2"/>
          </w:tcPr>
          <w:p>
            <w:pPr>
              <w:pStyle w:val="yTable"/>
              <w:ind w:left="548" w:hanging="548"/>
            </w:pPr>
            <w:r>
              <w:t>ACETYLDIHYDROCODEINE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3.</w:t>
            </w:r>
          </w:p>
        </w:tc>
        <w:tc>
          <w:tcPr>
            <w:tcW w:w="5110" w:type="dxa"/>
            <w:gridSpan w:val="2"/>
          </w:tcPr>
          <w:p>
            <w:pPr>
              <w:pStyle w:val="yTable"/>
            </w:pPr>
            <w:r>
              <w:t>ACETYLMETHADOL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4.</w:t>
            </w:r>
          </w:p>
        </w:tc>
        <w:tc>
          <w:tcPr>
            <w:tcW w:w="5110" w:type="dxa"/>
            <w:gridSpan w:val="2"/>
          </w:tcPr>
          <w:p>
            <w:pPr>
              <w:pStyle w:val="yTable"/>
            </w:pPr>
            <w:r>
              <w:t>ALLOBARBITONE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w:t>
            </w:r>
          </w:p>
        </w:tc>
        <w:tc>
          <w:tcPr>
            <w:tcW w:w="5110" w:type="dxa"/>
            <w:gridSpan w:val="2"/>
          </w:tcPr>
          <w:p>
            <w:pPr>
              <w:pStyle w:val="yTable"/>
            </w:pPr>
            <w:r>
              <w:t>ALLYLBARBITURIC ACID</w:t>
            </w:r>
          </w:p>
        </w:tc>
        <w:tc>
          <w:tcPr>
            <w:tcW w:w="1200" w:type="dxa"/>
          </w:tcPr>
          <w:p>
            <w:pPr>
              <w:pStyle w:val="yTable"/>
              <w:tabs>
                <w:tab w:val="decimal" w:pos="439"/>
              </w:tabs>
              <w:spacing w:before="40" w:after="40"/>
            </w:pPr>
            <w:r>
              <w:t>30.0</w:t>
            </w:r>
          </w:p>
        </w:tc>
      </w:tr>
      <w:tr>
        <w:tc>
          <w:tcPr>
            <w:tcW w:w="680" w:type="dxa"/>
          </w:tcPr>
          <w:p>
            <w:pPr>
              <w:pStyle w:val="yTable"/>
              <w:spacing w:before="40" w:after="40"/>
            </w:pPr>
            <w:r>
              <w:t>6.</w:t>
            </w:r>
          </w:p>
        </w:tc>
        <w:tc>
          <w:tcPr>
            <w:tcW w:w="5110" w:type="dxa"/>
            <w:gridSpan w:val="2"/>
          </w:tcPr>
          <w:p>
            <w:pPr>
              <w:pStyle w:val="yTable"/>
            </w:pPr>
            <w:r>
              <w:t>ALLYLPRODINE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7.</w:t>
            </w:r>
          </w:p>
        </w:tc>
        <w:tc>
          <w:tcPr>
            <w:tcW w:w="5110" w:type="dxa"/>
            <w:gridSpan w:val="2"/>
          </w:tcPr>
          <w:p>
            <w:pPr>
              <w:pStyle w:val="yTable"/>
            </w:pPr>
            <w:r>
              <w:t>ALPHACETYLMETHADOL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8.</w:t>
            </w:r>
          </w:p>
        </w:tc>
        <w:tc>
          <w:tcPr>
            <w:tcW w:w="5110" w:type="dxa"/>
            <w:gridSpan w:val="2"/>
          </w:tcPr>
          <w:p>
            <w:pPr>
              <w:pStyle w:val="yTable"/>
            </w:pPr>
            <w:r>
              <w:t>ALPHAMEPRODINE</w:t>
            </w:r>
          </w:p>
        </w:tc>
        <w:tc>
          <w:tcPr>
            <w:tcW w:w="1200" w:type="dxa"/>
          </w:tcPr>
          <w:p>
            <w:pPr>
              <w:pStyle w:val="yTable"/>
              <w:tabs>
                <w:tab w:val="decimal" w:pos="439"/>
              </w:tabs>
              <w:spacing w:before="40" w:after="40"/>
            </w:pPr>
            <w:r>
              <w:t>0.6</w:t>
            </w:r>
          </w:p>
        </w:tc>
      </w:tr>
      <w:tr>
        <w:tc>
          <w:tcPr>
            <w:tcW w:w="680" w:type="dxa"/>
          </w:tcPr>
          <w:p>
            <w:pPr>
              <w:pStyle w:val="yTable"/>
              <w:spacing w:before="40" w:after="40"/>
            </w:pPr>
            <w:r>
              <w:t>9.</w:t>
            </w:r>
          </w:p>
        </w:tc>
        <w:tc>
          <w:tcPr>
            <w:tcW w:w="5110" w:type="dxa"/>
            <w:gridSpan w:val="2"/>
          </w:tcPr>
          <w:p>
            <w:pPr>
              <w:pStyle w:val="yTable"/>
            </w:pPr>
            <w:r>
              <w:t>ALPHAMETHADOL</w:t>
            </w:r>
          </w:p>
        </w:tc>
        <w:tc>
          <w:tcPr>
            <w:tcW w:w="1200" w:type="dxa"/>
          </w:tcPr>
          <w:p>
            <w:pPr>
              <w:pStyle w:val="yTable"/>
              <w:tabs>
                <w:tab w:val="decimal" w:pos="439"/>
              </w:tabs>
              <w:spacing w:before="40" w:after="40"/>
            </w:pPr>
            <w:r>
              <w:t>0.6</w:t>
            </w:r>
          </w:p>
        </w:tc>
      </w:tr>
      <w:tr>
        <w:tc>
          <w:tcPr>
            <w:tcW w:w="680" w:type="dxa"/>
          </w:tcPr>
          <w:p>
            <w:pPr>
              <w:pStyle w:val="yTable"/>
              <w:spacing w:before="40" w:after="40"/>
            </w:pPr>
            <w:r>
              <w:t>10.</w:t>
            </w:r>
          </w:p>
        </w:tc>
        <w:tc>
          <w:tcPr>
            <w:tcW w:w="5110" w:type="dxa"/>
            <w:gridSpan w:val="2"/>
          </w:tcPr>
          <w:p>
            <w:pPr>
              <w:pStyle w:val="yTable"/>
            </w:pPr>
            <w:r>
              <w:t>ALPHAPRODINE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11.</w:t>
            </w:r>
          </w:p>
        </w:tc>
        <w:tc>
          <w:tcPr>
            <w:tcW w:w="5110" w:type="dxa"/>
            <w:gridSpan w:val="2"/>
          </w:tcPr>
          <w:p>
            <w:pPr>
              <w:pStyle w:val="yTable"/>
            </w:pPr>
            <w:r>
              <w:t>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12.</w:t>
            </w:r>
          </w:p>
        </w:tc>
        <w:tc>
          <w:tcPr>
            <w:tcW w:w="5110" w:type="dxa"/>
            <w:gridSpan w:val="2"/>
          </w:tcPr>
          <w:p>
            <w:pPr>
              <w:pStyle w:val="yTable"/>
            </w:pPr>
            <w:r>
              <w:t>AMYLOBARBITONE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w:t>
            </w:r>
          </w:p>
        </w:tc>
        <w:tc>
          <w:tcPr>
            <w:tcW w:w="5110" w:type="dxa"/>
            <w:gridSpan w:val="2"/>
          </w:tcPr>
          <w:p>
            <w:pPr>
              <w:pStyle w:val="yTable"/>
            </w:pPr>
            <w:r>
              <w:t>ANILERIDINE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14.</w:t>
            </w:r>
          </w:p>
        </w:tc>
        <w:tc>
          <w:tcPr>
            <w:tcW w:w="5110" w:type="dxa"/>
            <w:gridSpan w:val="2"/>
          </w:tcPr>
          <w:p>
            <w:pPr>
              <w:pStyle w:val="yTable"/>
            </w:pPr>
            <w:r>
              <w:t>APROBARBITONE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15.</w:t>
            </w:r>
          </w:p>
        </w:tc>
        <w:tc>
          <w:tcPr>
            <w:tcW w:w="5110" w:type="dxa"/>
            <w:gridSpan w:val="2"/>
          </w:tcPr>
          <w:p>
            <w:pPr>
              <w:pStyle w:val="yTable"/>
            </w:pPr>
            <w:r>
              <w:t>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16.</w:t>
            </w:r>
          </w:p>
        </w:tc>
        <w:tc>
          <w:tcPr>
            <w:tcW w:w="5110" w:type="dxa"/>
            <w:gridSpan w:val="2"/>
          </w:tcPr>
          <w:p>
            <w:pPr>
              <w:pStyle w:val="yTable"/>
            </w:pPr>
            <w:r>
              <w:t>BENZETHIDINE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17.</w:t>
            </w:r>
          </w:p>
        </w:tc>
        <w:tc>
          <w:tcPr>
            <w:tcW w:w="5110" w:type="dxa"/>
            <w:gridSpan w:val="2"/>
          </w:tcPr>
          <w:p>
            <w:pPr>
              <w:pStyle w:val="yTable"/>
            </w:pPr>
            <w:r>
              <w:t>BENZYLMORPHINE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18.</w:t>
            </w:r>
          </w:p>
        </w:tc>
        <w:tc>
          <w:tcPr>
            <w:tcW w:w="5110" w:type="dxa"/>
            <w:gridSpan w:val="2"/>
          </w:tcPr>
          <w:p>
            <w:pPr>
              <w:pStyle w:val="yTable"/>
            </w:pPr>
            <w:r>
              <w:t>BETACETYLMETHADOL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19.</w:t>
            </w:r>
          </w:p>
        </w:tc>
        <w:tc>
          <w:tcPr>
            <w:tcW w:w="5110" w:type="dxa"/>
            <w:gridSpan w:val="2"/>
          </w:tcPr>
          <w:p>
            <w:pPr>
              <w:pStyle w:val="yTable"/>
            </w:pPr>
            <w:r>
              <w:t>BETAMEPRODINE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20.</w:t>
            </w:r>
          </w:p>
        </w:tc>
        <w:tc>
          <w:tcPr>
            <w:tcW w:w="5110" w:type="dxa"/>
            <w:gridSpan w:val="2"/>
          </w:tcPr>
          <w:p>
            <w:pPr>
              <w:pStyle w:val="yTable"/>
            </w:pPr>
            <w:r>
              <w:t>BETAMETHADOL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21.</w:t>
            </w:r>
          </w:p>
        </w:tc>
        <w:tc>
          <w:tcPr>
            <w:tcW w:w="5110" w:type="dxa"/>
            <w:gridSpan w:val="2"/>
          </w:tcPr>
          <w:p>
            <w:pPr>
              <w:pStyle w:val="yTable"/>
            </w:pPr>
            <w:r>
              <w:t>BETAPRODINE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22.</w:t>
            </w:r>
          </w:p>
        </w:tc>
        <w:tc>
          <w:tcPr>
            <w:tcW w:w="5110" w:type="dxa"/>
            <w:gridSpan w:val="2"/>
          </w:tcPr>
          <w:p>
            <w:pPr>
              <w:pStyle w:val="yTable"/>
            </w:pPr>
            <w:r>
              <w:t>BEZITRAMIDE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23.</w:t>
            </w:r>
          </w:p>
        </w:tc>
        <w:tc>
          <w:tcPr>
            <w:tcW w:w="5110" w:type="dxa"/>
            <w:gridSpan w:val="2"/>
          </w:tcPr>
          <w:p>
            <w:pPr>
              <w:pStyle w:val="yTable"/>
            </w:pPr>
            <w:r>
              <w:t>BUFOTENINE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24.</w:t>
            </w:r>
          </w:p>
        </w:tc>
        <w:tc>
          <w:tcPr>
            <w:tcW w:w="5110" w:type="dxa"/>
            <w:gridSpan w:val="2"/>
          </w:tcPr>
          <w:p>
            <w:pPr>
              <w:pStyle w:val="yTable"/>
            </w:pPr>
            <w:r>
              <w:t>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25.</w:t>
            </w:r>
          </w:p>
        </w:tc>
        <w:tc>
          <w:tcPr>
            <w:tcW w:w="5110" w:type="dxa"/>
            <w:gridSpan w:val="2"/>
          </w:tcPr>
          <w:p>
            <w:pPr>
              <w:pStyle w:val="yTable"/>
            </w:pPr>
            <w:r>
              <w:t>CANNABIS</w:t>
            </w:r>
          </w:p>
        </w:tc>
        <w:tc>
          <w:tcPr>
            <w:tcW w:w="1200" w:type="dxa"/>
          </w:tcPr>
          <w:p>
            <w:pPr>
              <w:pStyle w:val="yTable"/>
              <w:tabs>
                <w:tab w:val="decimal" w:pos="439"/>
              </w:tabs>
              <w:spacing w:before="40" w:after="40"/>
            </w:pPr>
            <w:r>
              <w:t>500.0</w:t>
            </w:r>
          </w:p>
        </w:tc>
      </w:tr>
      <w:tr>
        <w:tc>
          <w:tcPr>
            <w:tcW w:w="680" w:type="dxa"/>
          </w:tcPr>
          <w:p>
            <w:pPr>
              <w:pStyle w:val="yTable"/>
              <w:spacing w:before="40" w:after="40"/>
            </w:pPr>
            <w:r>
              <w:t>26.</w:t>
            </w:r>
          </w:p>
        </w:tc>
        <w:tc>
          <w:tcPr>
            <w:tcW w:w="5110" w:type="dxa"/>
            <w:gridSpan w:val="2"/>
          </w:tcPr>
          <w:p>
            <w:pPr>
              <w:pStyle w:val="yTable"/>
            </w:pPr>
            <w:r>
              <w:t>CANNABIS RESIN</w:t>
            </w:r>
          </w:p>
        </w:tc>
        <w:tc>
          <w:tcPr>
            <w:tcW w:w="1200" w:type="dxa"/>
          </w:tcPr>
          <w:p>
            <w:pPr>
              <w:pStyle w:val="yTable"/>
              <w:tabs>
                <w:tab w:val="decimal" w:pos="439"/>
              </w:tabs>
              <w:spacing w:before="40" w:after="40"/>
            </w:pPr>
            <w:r>
              <w:t>40.0</w:t>
            </w:r>
          </w:p>
        </w:tc>
      </w:tr>
      <w:tr>
        <w:tc>
          <w:tcPr>
            <w:tcW w:w="680" w:type="dxa"/>
          </w:tcPr>
          <w:p>
            <w:pPr>
              <w:pStyle w:val="yTable"/>
              <w:spacing w:before="40" w:after="40"/>
            </w:pPr>
            <w:r>
              <w:t>27.</w:t>
            </w:r>
          </w:p>
        </w:tc>
        <w:tc>
          <w:tcPr>
            <w:tcW w:w="5110" w:type="dxa"/>
            <w:gridSpan w:val="2"/>
          </w:tcPr>
          <w:p>
            <w:pPr>
              <w:pStyle w:val="yTable"/>
            </w:pPr>
            <w:r>
              <w:t>CANNABIS (in cigarette form)</w:t>
            </w:r>
          </w:p>
        </w:tc>
        <w:tc>
          <w:tcPr>
            <w:tcW w:w="1200" w:type="dxa"/>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680" w:type="dxa"/>
          </w:tcPr>
          <w:p>
            <w:pPr>
              <w:pStyle w:val="yTable"/>
              <w:spacing w:before="40" w:after="40"/>
            </w:pPr>
            <w:r>
              <w:t>28.</w:t>
            </w:r>
          </w:p>
        </w:tc>
        <w:tc>
          <w:tcPr>
            <w:tcW w:w="5110" w:type="dxa"/>
            <w:gridSpan w:val="2"/>
          </w:tcPr>
          <w:p>
            <w:pPr>
              <w:pStyle w:val="yTable"/>
            </w:pPr>
            <w:r>
              <w:t>CLONITAZENE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29.</w:t>
            </w:r>
          </w:p>
        </w:tc>
        <w:tc>
          <w:tcPr>
            <w:tcW w:w="5110" w:type="dxa"/>
            <w:gridSpan w:val="2"/>
          </w:tcPr>
          <w:p>
            <w:pPr>
              <w:pStyle w:val="yTable"/>
            </w:pPr>
            <w:r>
              <w:t>COCAINE</w:t>
            </w:r>
          </w:p>
        </w:tc>
        <w:tc>
          <w:tcPr>
            <w:tcW w:w="1200" w:type="dxa"/>
          </w:tcPr>
          <w:p>
            <w:pPr>
              <w:pStyle w:val="yTable"/>
              <w:tabs>
                <w:tab w:val="decimal" w:pos="439"/>
              </w:tabs>
              <w:spacing w:before="40" w:after="40"/>
            </w:pPr>
            <w:r>
              <w:t>4.0</w:t>
            </w:r>
          </w:p>
        </w:tc>
      </w:tr>
      <w:tr>
        <w:tc>
          <w:tcPr>
            <w:tcW w:w="680" w:type="dxa"/>
          </w:tcPr>
          <w:p>
            <w:pPr>
              <w:pStyle w:val="yTable"/>
              <w:spacing w:before="40" w:after="40"/>
            </w:pPr>
            <w:r>
              <w:t>30.</w:t>
            </w:r>
          </w:p>
        </w:tc>
        <w:tc>
          <w:tcPr>
            <w:tcW w:w="5110" w:type="dxa"/>
            <w:gridSpan w:val="2"/>
          </w:tcPr>
          <w:p>
            <w:pPr>
              <w:pStyle w:val="yTable"/>
              <w:ind w:left="548" w:hanging="548"/>
            </w:pPr>
            <w:r>
              <w:t xml:space="preserve">CODEINE (except when included in Schedule 2, 3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31.</w:t>
            </w:r>
          </w:p>
        </w:tc>
        <w:tc>
          <w:tcPr>
            <w:tcW w:w="5110" w:type="dxa"/>
            <w:gridSpan w:val="2"/>
          </w:tcPr>
          <w:p>
            <w:pPr>
              <w:pStyle w:val="yTable"/>
            </w:pPr>
            <w:r>
              <w:t>CODEINE</w:t>
            </w:r>
            <w:r>
              <w:noBreakHyphen/>
              <w:t>N</w:t>
            </w:r>
            <w:r>
              <w:noBreakHyphen/>
              <w:t>OXIDE</w:t>
            </w:r>
          </w:p>
        </w:tc>
        <w:tc>
          <w:tcPr>
            <w:tcW w:w="1200" w:type="dxa"/>
          </w:tcPr>
          <w:p>
            <w:pPr>
              <w:pStyle w:val="yTable"/>
              <w:tabs>
                <w:tab w:val="decimal" w:pos="439"/>
              </w:tabs>
              <w:spacing w:before="40" w:after="40"/>
            </w:pPr>
            <w:r>
              <w:t>30.0</w:t>
            </w:r>
          </w:p>
        </w:tc>
      </w:tr>
      <w:tr>
        <w:tc>
          <w:tcPr>
            <w:tcW w:w="680" w:type="dxa"/>
          </w:tcPr>
          <w:p>
            <w:pPr>
              <w:pStyle w:val="yTable"/>
              <w:spacing w:before="40" w:after="40"/>
            </w:pPr>
            <w:r>
              <w:t>32.</w:t>
            </w:r>
          </w:p>
        </w:tc>
        <w:tc>
          <w:tcPr>
            <w:tcW w:w="5110" w:type="dxa"/>
            <w:gridSpan w:val="2"/>
          </w:tcPr>
          <w:p>
            <w:pPr>
              <w:pStyle w:val="yTable"/>
            </w:pPr>
            <w:r>
              <w:t>CODOXIME</w:t>
            </w:r>
          </w:p>
        </w:tc>
        <w:tc>
          <w:tcPr>
            <w:tcW w:w="1200" w:type="dxa"/>
          </w:tcPr>
          <w:p>
            <w:pPr>
              <w:pStyle w:val="yTable"/>
              <w:tabs>
                <w:tab w:val="decimal" w:pos="439"/>
              </w:tabs>
              <w:spacing w:before="40" w:after="40"/>
            </w:pPr>
            <w:r>
              <w:t>30.0</w:t>
            </w:r>
          </w:p>
        </w:tc>
      </w:tr>
      <w:tr>
        <w:tc>
          <w:tcPr>
            <w:tcW w:w="680" w:type="dxa"/>
          </w:tcPr>
          <w:p>
            <w:pPr>
              <w:pStyle w:val="yTable"/>
              <w:spacing w:before="40" w:after="40"/>
            </w:pPr>
            <w:r>
              <w:t>33.</w:t>
            </w:r>
          </w:p>
        </w:tc>
        <w:tc>
          <w:tcPr>
            <w:tcW w:w="5110" w:type="dxa"/>
            <w:gridSpan w:val="2"/>
          </w:tcPr>
          <w:p>
            <w:pPr>
              <w:pStyle w:val="yTable"/>
            </w:pPr>
            <w:r>
              <w:t>CYCLOBARBITONE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34.</w:t>
            </w:r>
          </w:p>
        </w:tc>
        <w:tc>
          <w:tcPr>
            <w:tcW w:w="5110" w:type="dxa"/>
            <w:gridSpan w:val="2"/>
          </w:tcPr>
          <w:p>
            <w:pPr>
              <w:pStyle w:val="yTable"/>
            </w:pPr>
            <w:r>
              <w:t>DESOMORPHINE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35.</w:t>
            </w:r>
          </w:p>
        </w:tc>
        <w:tc>
          <w:tcPr>
            <w:tcW w:w="5110" w:type="dxa"/>
            <w:gridSpan w:val="2"/>
          </w:tcPr>
          <w:p>
            <w:pPr>
              <w:pStyle w:val="yTable"/>
            </w:pPr>
            <w:r>
              <w:t>DEXAMPHETAMINE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36.</w:t>
            </w:r>
          </w:p>
        </w:tc>
        <w:tc>
          <w:tcPr>
            <w:tcW w:w="5110" w:type="dxa"/>
            <w:gridSpan w:val="2"/>
          </w:tcPr>
          <w:p>
            <w:pPr>
              <w:pStyle w:val="yTable"/>
            </w:pPr>
            <w:r>
              <w:t>DEXTROMORAMIDE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37.</w:t>
            </w:r>
          </w:p>
        </w:tc>
        <w:tc>
          <w:tcPr>
            <w:tcW w:w="5110" w:type="dxa"/>
            <w:gridSpan w:val="2"/>
          </w:tcPr>
          <w:p>
            <w:pPr>
              <w:pStyle w:val="yTable"/>
            </w:pPr>
            <w:r>
              <w:t>DIAMPROMIDE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38.</w:t>
            </w:r>
          </w:p>
        </w:tc>
        <w:tc>
          <w:tcPr>
            <w:tcW w:w="5110" w:type="dxa"/>
            <w:gridSpan w:val="2"/>
          </w:tcPr>
          <w:p>
            <w:pPr>
              <w:pStyle w:val="yTable"/>
            </w:pPr>
            <w:r>
              <w:t>DIETHYLTHIAMBUTENE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39.</w:t>
            </w:r>
          </w:p>
        </w:tc>
        <w:tc>
          <w:tcPr>
            <w:tcW w:w="5110" w:type="dxa"/>
            <w:gridSpan w:val="2"/>
          </w:tcPr>
          <w:p>
            <w:pPr>
              <w:pStyle w:val="yTable"/>
              <w:ind w:left="548" w:hanging="548"/>
            </w:pPr>
            <w:r>
              <w:t>DIFENOXIN (excluding preparations containing, per dosage unit, not more than 0.5 mg of difenoxin and a quantity of atropine sulphate equivalent to at least 5% of the dose of difenoxin)</w:t>
            </w:r>
          </w:p>
        </w:tc>
        <w:tc>
          <w:tcPr>
            <w:tcW w:w="1200" w:type="dxa"/>
          </w:tcPr>
          <w:p>
            <w:pPr>
              <w:pStyle w:val="yTable"/>
              <w:tabs>
                <w:tab w:val="decimal" w:pos="439"/>
              </w:tabs>
              <w:spacing w:before="40" w:after="40"/>
            </w:pPr>
            <w:r>
              <w:t>30.0</w:t>
            </w:r>
          </w:p>
        </w:tc>
      </w:tr>
      <w:tr>
        <w:tc>
          <w:tcPr>
            <w:tcW w:w="680" w:type="dxa"/>
          </w:tcPr>
          <w:p>
            <w:pPr>
              <w:pStyle w:val="yTable"/>
              <w:spacing w:before="40" w:after="40"/>
            </w:pPr>
            <w:r>
              <w:t>40.</w:t>
            </w:r>
          </w:p>
        </w:tc>
        <w:tc>
          <w:tcPr>
            <w:tcW w:w="5110" w:type="dxa"/>
            <w:gridSpan w:val="2"/>
          </w:tcPr>
          <w:p>
            <w:pPr>
              <w:pStyle w:val="yTable"/>
              <w:ind w:left="548" w:hanging="548"/>
            </w:pPr>
            <w:r>
              <w:t xml:space="preserve">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41.</w:t>
            </w:r>
          </w:p>
        </w:tc>
        <w:tc>
          <w:tcPr>
            <w:tcW w:w="5110" w:type="dxa"/>
            <w:gridSpan w:val="2"/>
          </w:tcPr>
          <w:p>
            <w:pPr>
              <w:pStyle w:val="yTable"/>
            </w:pPr>
            <w:r>
              <w:t>DIHYDROMORPHINE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42.</w:t>
            </w:r>
          </w:p>
        </w:tc>
        <w:tc>
          <w:tcPr>
            <w:tcW w:w="5110" w:type="dxa"/>
            <w:gridSpan w:val="2"/>
          </w:tcPr>
          <w:p>
            <w:pPr>
              <w:pStyle w:val="yTable"/>
            </w:pPr>
            <w:r>
              <w:t>DIMENOXADOL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43.</w:t>
            </w:r>
          </w:p>
        </w:tc>
        <w:tc>
          <w:tcPr>
            <w:tcW w:w="5110" w:type="dxa"/>
            <w:gridSpan w:val="2"/>
          </w:tcPr>
          <w:p>
            <w:pPr>
              <w:pStyle w:val="yTable"/>
            </w:pPr>
            <w:r>
              <w:t>DIMEPHEPTANOL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44.</w:t>
            </w:r>
          </w:p>
        </w:tc>
        <w:tc>
          <w:tcPr>
            <w:tcW w:w="5110" w:type="dxa"/>
            <w:gridSpan w:val="2"/>
          </w:tcPr>
          <w:p>
            <w:pPr>
              <w:pStyle w:val="yTable"/>
            </w:pPr>
            <w:r>
              <w:t>2,5</w:t>
            </w:r>
            <w:r>
              <w:noBreakHyphen/>
              <w:t>DIMETHOXY</w:t>
            </w:r>
            <w:r>
              <w:noBreakHyphen/>
              <w:t>4</w:t>
            </w:r>
            <w:r>
              <w:noBreakHyphen/>
              <w:t>BROMOAMPHETAMINE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45.</w:t>
            </w:r>
          </w:p>
        </w:tc>
        <w:tc>
          <w:tcPr>
            <w:tcW w:w="5110" w:type="dxa"/>
            <w:gridSpan w:val="2"/>
          </w:tcPr>
          <w:p>
            <w:pPr>
              <w:pStyle w:val="yTable"/>
            </w:pPr>
            <w:r>
              <w:t>2,5</w:t>
            </w:r>
            <w:r>
              <w:noBreakHyphen/>
              <w:t>DIMETHOXY</w:t>
            </w:r>
            <w:r>
              <w:noBreakHyphen/>
              <w:t>4</w:t>
            </w:r>
            <w:r>
              <w:noBreakHyphen/>
              <w:t>METHYLAMPHETAMINE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46.</w:t>
            </w:r>
          </w:p>
        </w:tc>
        <w:tc>
          <w:tcPr>
            <w:tcW w:w="5110" w:type="dxa"/>
            <w:gridSpan w:val="2"/>
          </w:tcPr>
          <w:p>
            <w:pPr>
              <w:pStyle w:val="yTable"/>
            </w:pPr>
            <w:r>
              <w:t>DIMETHYLTHIAMBUTENE</w:t>
            </w:r>
          </w:p>
        </w:tc>
        <w:tc>
          <w:tcPr>
            <w:tcW w:w="1200" w:type="dxa"/>
          </w:tcPr>
          <w:p>
            <w:pPr>
              <w:pStyle w:val="yTable"/>
              <w:tabs>
                <w:tab w:val="decimal" w:pos="439"/>
              </w:tabs>
              <w:spacing w:before="40" w:after="40"/>
            </w:pPr>
            <w:r>
              <w:t>60.0</w:t>
            </w:r>
          </w:p>
        </w:tc>
      </w:tr>
      <w:tr>
        <w:tc>
          <w:tcPr>
            <w:tcW w:w="680" w:type="dxa"/>
          </w:tcPr>
          <w:p>
            <w:pPr>
              <w:pStyle w:val="yTable"/>
              <w:spacing w:before="40" w:after="40"/>
            </w:pPr>
            <w:r>
              <w:t>47.</w:t>
            </w:r>
          </w:p>
        </w:tc>
        <w:tc>
          <w:tcPr>
            <w:tcW w:w="5110" w:type="dxa"/>
            <w:gridSpan w:val="2"/>
          </w:tcPr>
          <w:p>
            <w:pPr>
              <w:pStyle w:val="yTable"/>
            </w:pPr>
            <w:r>
              <w:t>DIMETHYLTRYPTAMINE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48.</w:t>
            </w:r>
          </w:p>
        </w:tc>
        <w:tc>
          <w:tcPr>
            <w:tcW w:w="5110" w:type="dxa"/>
            <w:gridSpan w:val="2"/>
          </w:tcPr>
          <w:p>
            <w:pPr>
              <w:pStyle w:val="yTable"/>
            </w:pPr>
            <w:r>
              <w:t>DIOXAPHETYL BUTYRATE</w:t>
            </w:r>
          </w:p>
        </w:tc>
        <w:tc>
          <w:tcPr>
            <w:tcW w:w="1200" w:type="dxa"/>
          </w:tcPr>
          <w:p>
            <w:pPr>
              <w:pStyle w:val="yTable"/>
              <w:tabs>
                <w:tab w:val="decimal" w:pos="439"/>
              </w:tabs>
              <w:spacing w:before="40" w:after="40"/>
            </w:pPr>
            <w:r>
              <w:t>6.0</w:t>
            </w:r>
          </w:p>
        </w:tc>
      </w:tr>
      <w:tr>
        <w:tc>
          <w:tcPr>
            <w:tcW w:w="680" w:type="dxa"/>
          </w:tcPr>
          <w:p>
            <w:pPr>
              <w:pStyle w:val="yTable"/>
              <w:spacing w:before="40" w:after="40"/>
            </w:pPr>
            <w:r>
              <w:t>49.</w:t>
            </w:r>
          </w:p>
        </w:tc>
        <w:tc>
          <w:tcPr>
            <w:tcW w:w="5110" w:type="dxa"/>
            <w:gridSpan w:val="2"/>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200" w:type="dxa"/>
          </w:tcPr>
          <w:p>
            <w:pPr>
              <w:pStyle w:val="yTable"/>
              <w:keepNext/>
              <w:tabs>
                <w:tab w:val="decimal" w:pos="439"/>
              </w:tabs>
              <w:spacing w:before="40" w:after="40"/>
            </w:pPr>
            <w:r>
              <w:t>6.0</w:t>
            </w:r>
          </w:p>
        </w:tc>
      </w:tr>
      <w:tr>
        <w:tc>
          <w:tcPr>
            <w:tcW w:w="680" w:type="dxa"/>
          </w:tcPr>
          <w:p>
            <w:pPr>
              <w:pStyle w:val="yTable"/>
              <w:spacing w:before="40" w:after="40"/>
            </w:pPr>
            <w:r>
              <w:t>50.</w:t>
            </w:r>
          </w:p>
        </w:tc>
        <w:tc>
          <w:tcPr>
            <w:tcW w:w="5110" w:type="dxa"/>
            <w:gridSpan w:val="2"/>
          </w:tcPr>
          <w:p>
            <w:pPr>
              <w:pStyle w:val="yTable"/>
            </w:pPr>
            <w:r>
              <w:t>DIPIPANONE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51.</w:t>
            </w:r>
          </w:p>
        </w:tc>
        <w:tc>
          <w:tcPr>
            <w:tcW w:w="5110" w:type="dxa"/>
            <w:gridSpan w:val="2"/>
          </w:tcPr>
          <w:p>
            <w:pPr>
              <w:pStyle w:val="yTable"/>
            </w:pPr>
            <w:r>
              <w:t>DROTEBANOL</w:t>
            </w:r>
          </w:p>
        </w:tc>
        <w:tc>
          <w:tcPr>
            <w:tcW w:w="1200" w:type="dxa"/>
          </w:tcPr>
          <w:p>
            <w:pPr>
              <w:pStyle w:val="yTable"/>
              <w:tabs>
                <w:tab w:val="decimal" w:pos="439"/>
              </w:tabs>
              <w:spacing w:before="40" w:after="40"/>
            </w:pPr>
            <w:r>
              <w:t>0.3</w:t>
            </w:r>
          </w:p>
        </w:tc>
      </w:tr>
      <w:tr>
        <w:tc>
          <w:tcPr>
            <w:tcW w:w="680" w:type="dxa"/>
          </w:tcPr>
          <w:p>
            <w:pPr>
              <w:pStyle w:val="yTable"/>
              <w:spacing w:before="40" w:after="40"/>
            </w:pPr>
            <w:r>
              <w:t>52.</w:t>
            </w:r>
          </w:p>
        </w:tc>
        <w:tc>
          <w:tcPr>
            <w:tcW w:w="5110" w:type="dxa"/>
            <w:gridSpan w:val="2"/>
          </w:tcPr>
          <w:p>
            <w:pPr>
              <w:pStyle w:val="yTable"/>
              <w:ind w:left="548" w:hanging="548"/>
            </w:pPr>
            <w:r>
              <w:t>ECGONINE, ITS ESTERS AND DERIVATIVES which are convertible to ECGONINE AND COCAINE</w:t>
            </w:r>
          </w:p>
        </w:tc>
        <w:tc>
          <w:tcPr>
            <w:tcW w:w="1200" w:type="dxa"/>
          </w:tcPr>
          <w:p>
            <w:pPr>
              <w:pStyle w:val="yTable"/>
              <w:tabs>
                <w:tab w:val="decimal" w:pos="439"/>
              </w:tabs>
              <w:spacing w:before="40" w:after="40"/>
            </w:pPr>
            <w:r>
              <w:t>30.0</w:t>
            </w:r>
          </w:p>
        </w:tc>
      </w:tr>
      <w:tr>
        <w:trPr>
          <w:cantSplit/>
        </w:trPr>
        <w:tc>
          <w:tcPr>
            <w:tcW w:w="692" w:type="dxa"/>
            <w:gridSpan w:val="2"/>
          </w:tcPr>
          <w:p>
            <w:pPr>
              <w:pStyle w:val="yTable"/>
            </w:pPr>
            <w:r>
              <w:rPr>
                <w:spacing w:val="-8"/>
              </w:rPr>
              <w:t>52A</w:t>
            </w:r>
            <w:r>
              <w:rPr>
                <w:spacing w:val="-12"/>
              </w:rPr>
              <w:t>.</w:t>
            </w:r>
          </w:p>
        </w:tc>
        <w:tc>
          <w:tcPr>
            <w:tcW w:w="5098" w:type="dxa"/>
          </w:tcPr>
          <w:p>
            <w:pPr>
              <w:pStyle w:val="yTable"/>
            </w:pPr>
            <w:r>
              <w:t>EPHEDRINE</w:t>
            </w:r>
          </w:p>
        </w:tc>
        <w:tc>
          <w:tcPr>
            <w:tcW w:w="1200" w:type="dxa"/>
          </w:tcPr>
          <w:p>
            <w:pPr>
              <w:pStyle w:val="yTable"/>
              <w:tabs>
                <w:tab w:val="decimal" w:pos="439"/>
              </w:tabs>
              <w:spacing w:before="40" w:after="40"/>
            </w:pPr>
            <w:r>
              <w:t>4.0</w:t>
            </w:r>
          </w:p>
        </w:tc>
      </w:tr>
      <w:tr>
        <w:tc>
          <w:tcPr>
            <w:tcW w:w="680" w:type="dxa"/>
          </w:tcPr>
          <w:p>
            <w:pPr>
              <w:pStyle w:val="yTable"/>
              <w:spacing w:before="40" w:after="40"/>
            </w:pPr>
            <w:r>
              <w:t>53.</w:t>
            </w:r>
          </w:p>
        </w:tc>
        <w:tc>
          <w:tcPr>
            <w:tcW w:w="5110" w:type="dxa"/>
            <w:gridSpan w:val="2"/>
          </w:tcPr>
          <w:p>
            <w:pPr>
              <w:pStyle w:val="yTable"/>
            </w:pPr>
            <w:r>
              <w:t>ETHYLMETHYLTHIAMBUTENE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54.</w:t>
            </w:r>
          </w:p>
        </w:tc>
        <w:tc>
          <w:tcPr>
            <w:tcW w:w="5110" w:type="dxa"/>
            <w:gridSpan w:val="2"/>
          </w:tcPr>
          <w:p>
            <w:pPr>
              <w:pStyle w:val="yTable"/>
              <w:ind w:left="539" w:hanging="539"/>
            </w:pPr>
            <w:r>
              <w:t>ETHYLMORPHINE (and substances containing more than 2.5% of ethylmorphine)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55.</w:t>
            </w:r>
          </w:p>
        </w:tc>
        <w:tc>
          <w:tcPr>
            <w:tcW w:w="5110" w:type="dxa"/>
            <w:gridSpan w:val="2"/>
          </w:tcPr>
          <w:p>
            <w:pPr>
              <w:pStyle w:val="yTable"/>
            </w:pPr>
            <w:r>
              <w:t>ETONITAZENE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56.</w:t>
            </w:r>
          </w:p>
        </w:tc>
        <w:tc>
          <w:tcPr>
            <w:tcW w:w="5110" w:type="dxa"/>
            <w:gridSpan w:val="2"/>
          </w:tcPr>
          <w:p>
            <w:pPr>
              <w:pStyle w:val="yTable"/>
            </w:pPr>
            <w:r>
              <w:t>ETORPHINE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57.</w:t>
            </w:r>
          </w:p>
        </w:tc>
        <w:tc>
          <w:tcPr>
            <w:tcW w:w="5110" w:type="dxa"/>
            <w:gridSpan w:val="2"/>
          </w:tcPr>
          <w:p>
            <w:pPr>
              <w:pStyle w:val="yTable"/>
            </w:pPr>
            <w:r>
              <w:t>ETOXERIDINE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58.</w:t>
            </w:r>
          </w:p>
        </w:tc>
        <w:tc>
          <w:tcPr>
            <w:tcW w:w="5110" w:type="dxa"/>
            <w:gridSpan w:val="2"/>
          </w:tcPr>
          <w:p>
            <w:pPr>
              <w:pStyle w:val="yTable"/>
            </w:pPr>
            <w:r>
              <w:t>FENTANYL</w:t>
            </w:r>
          </w:p>
        </w:tc>
        <w:tc>
          <w:tcPr>
            <w:tcW w:w="1200" w:type="dxa"/>
          </w:tcPr>
          <w:p>
            <w:pPr>
              <w:pStyle w:val="yTable"/>
              <w:tabs>
                <w:tab w:val="decimal" w:pos="439"/>
              </w:tabs>
              <w:spacing w:before="40" w:after="40"/>
            </w:pPr>
            <w:r>
              <w:t>0.015</w:t>
            </w:r>
          </w:p>
        </w:tc>
      </w:tr>
      <w:tr>
        <w:tc>
          <w:tcPr>
            <w:tcW w:w="680" w:type="dxa"/>
          </w:tcPr>
          <w:p>
            <w:pPr>
              <w:pStyle w:val="yTable"/>
              <w:spacing w:before="40" w:after="40"/>
            </w:pPr>
            <w:r>
              <w:t>59.</w:t>
            </w:r>
          </w:p>
        </w:tc>
        <w:tc>
          <w:tcPr>
            <w:tcW w:w="5110" w:type="dxa"/>
            <w:gridSpan w:val="2"/>
          </w:tcPr>
          <w:p>
            <w:pPr>
              <w:pStyle w:val="yTable"/>
            </w:pPr>
            <w:r>
              <w:t>FURETHIDINE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60.</w:t>
            </w:r>
          </w:p>
        </w:tc>
        <w:tc>
          <w:tcPr>
            <w:tcW w:w="5110" w:type="dxa"/>
            <w:gridSpan w:val="2"/>
          </w:tcPr>
          <w:p>
            <w:pPr>
              <w:pStyle w:val="yTable"/>
              <w:ind w:left="548" w:hanging="548"/>
            </w:pPr>
            <w:r>
              <w:t>HALLUCINOGENIC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61.</w:t>
            </w:r>
          </w:p>
        </w:tc>
        <w:tc>
          <w:tcPr>
            <w:tcW w:w="5110" w:type="dxa"/>
            <w:gridSpan w:val="2"/>
          </w:tcPr>
          <w:p>
            <w:pPr>
              <w:pStyle w:val="yTable"/>
            </w:pPr>
            <w:r>
              <w:t>HEPTABARBITONE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62.</w:t>
            </w:r>
          </w:p>
        </w:tc>
        <w:tc>
          <w:tcPr>
            <w:tcW w:w="5110" w:type="dxa"/>
            <w:gridSpan w:val="2"/>
          </w:tcPr>
          <w:p>
            <w:pPr>
              <w:pStyle w:val="yTable"/>
            </w:pPr>
            <w:r>
              <w:t>HEXOBARBITONE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63.</w:t>
            </w:r>
          </w:p>
        </w:tc>
        <w:tc>
          <w:tcPr>
            <w:tcW w:w="5110" w:type="dxa"/>
            <w:gridSpan w:val="2"/>
          </w:tcPr>
          <w:p>
            <w:pPr>
              <w:pStyle w:val="yTable"/>
            </w:pPr>
            <w:r>
              <w:t>HYDROCODONE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64.</w:t>
            </w:r>
          </w:p>
        </w:tc>
        <w:tc>
          <w:tcPr>
            <w:tcW w:w="5110" w:type="dxa"/>
            <w:gridSpan w:val="2"/>
          </w:tcPr>
          <w:p>
            <w:pPr>
              <w:pStyle w:val="yTable"/>
            </w:pPr>
            <w:r>
              <w:t>HYDROMORPHINOL</w:t>
            </w:r>
          </w:p>
        </w:tc>
        <w:tc>
          <w:tcPr>
            <w:tcW w:w="1200" w:type="dxa"/>
          </w:tcPr>
          <w:p>
            <w:pPr>
              <w:pStyle w:val="yTable"/>
              <w:tabs>
                <w:tab w:val="decimal" w:pos="439"/>
              </w:tabs>
              <w:spacing w:before="40" w:after="40"/>
            </w:pPr>
            <w:r>
              <w:t>6.0</w:t>
            </w:r>
          </w:p>
        </w:tc>
      </w:tr>
      <w:tr>
        <w:tc>
          <w:tcPr>
            <w:tcW w:w="680" w:type="dxa"/>
          </w:tcPr>
          <w:p>
            <w:pPr>
              <w:pStyle w:val="yTable"/>
              <w:spacing w:before="40" w:after="40"/>
            </w:pPr>
            <w:r>
              <w:t>65.</w:t>
            </w:r>
          </w:p>
        </w:tc>
        <w:tc>
          <w:tcPr>
            <w:tcW w:w="5110" w:type="dxa"/>
            <w:gridSpan w:val="2"/>
          </w:tcPr>
          <w:p>
            <w:pPr>
              <w:pStyle w:val="yTable"/>
            </w:pPr>
            <w:r>
              <w:t>HYDROMORPHONE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66.</w:t>
            </w:r>
          </w:p>
        </w:tc>
        <w:tc>
          <w:tcPr>
            <w:tcW w:w="5110" w:type="dxa"/>
            <w:gridSpan w:val="2"/>
          </w:tcPr>
          <w:p>
            <w:pPr>
              <w:pStyle w:val="yTable"/>
            </w:pPr>
            <w:r>
              <w:t>HYDROXYPETHIDINE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67.</w:t>
            </w:r>
          </w:p>
        </w:tc>
        <w:tc>
          <w:tcPr>
            <w:tcW w:w="5110" w:type="dxa"/>
            <w:gridSpan w:val="2"/>
          </w:tcPr>
          <w:p>
            <w:pPr>
              <w:pStyle w:val="yTable"/>
            </w:pPr>
            <w:r>
              <w:t>ISOMETHADONE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68.</w:t>
            </w:r>
          </w:p>
        </w:tc>
        <w:tc>
          <w:tcPr>
            <w:tcW w:w="5110" w:type="dxa"/>
            <w:gridSpan w:val="2"/>
          </w:tcPr>
          <w:p>
            <w:pPr>
              <w:pStyle w:val="yTable"/>
            </w:pPr>
            <w:r>
              <w:t>KETOBEMIDONE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69.</w:t>
            </w:r>
          </w:p>
        </w:tc>
        <w:tc>
          <w:tcPr>
            <w:tcW w:w="5110" w:type="dxa"/>
            <w:gridSpan w:val="2"/>
          </w:tcPr>
          <w:p>
            <w:pPr>
              <w:pStyle w:val="yTable"/>
            </w:pPr>
            <w:r>
              <w:t>LEVOMETHORPHAN</w:t>
            </w:r>
          </w:p>
        </w:tc>
        <w:tc>
          <w:tcPr>
            <w:tcW w:w="1200" w:type="dxa"/>
          </w:tcPr>
          <w:p>
            <w:pPr>
              <w:pStyle w:val="yTable"/>
              <w:tabs>
                <w:tab w:val="decimal" w:pos="439"/>
              </w:tabs>
              <w:spacing w:before="40" w:after="40"/>
            </w:pPr>
            <w:r>
              <w:t>3.0</w:t>
            </w:r>
          </w:p>
        </w:tc>
      </w:tr>
      <w:tr>
        <w:tc>
          <w:tcPr>
            <w:tcW w:w="680" w:type="dxa"/>
          </w:tcPr>
          <w:p>
            <w:pPr>
              <w:pStyle w:val="yTable"/>
              <w:spacing w:before="40" w:after="40"/>
            </w:pPr>
            <w:r>
              <w:t>70.</w:t>
            </w:r>
          </w:p>
        </w:tc>
        <w:tc>
          <w:tcPr>
            <w:tcW w:w="5110" w:type="dxa"/>
            <w:gridSpan w:val="2"/>
          </w:tcPr>
          <w:p>
            <w:pPr>
              <w:pStyle w:val="yTable"/>
            </w:pPr>
            <w:r>
              <w:t>LEVOMORAMIDE</w:t>
            </w:r>
          </w:p>
        </w:tc>
        <w:tc>
          <w:tcPr>
            <w:tcW w:w="1200" w:type="dxa"/>
          </w:tcPr>
          <w:p>
            <w:pPr>
              <w:pStyle w:val="yTable"/>
              <w:tabs>
                <w:tab w:val="decimal" w:pos="439"/>
              </w:tabs>
              <w:spacing w:before="40" w:after="40"/>
            </w:pPr>
            <w:r>
              <w:t>6.0</w:t>
            </w:r>
          </w:p>
        </w:tc>
      </w:tr>
      <w:tr>
        <w:tc>
          <w:tcPr>
            <w:tcW w:w="680" w:type="dxa"/>
          </w:tcPr>
          <w:p>
            <w:pPr>
              <w:pStyle w:val="yTable"/>
              <w:spacing w:before="40" w:after="40"/>
            </w:pPr>
            <w:r>
              <w:t>71.</w:t>
            </w:r>
          </w:p>
        </w:tc>
        <w:tc>
          <w:tcPr>
            <w:tcW w:w="5110" w:type="dxa"/>
            <w:gridSpan w:val="2"/>
          </w:tcPr>
          <w:p>
            <w:pPr>
              <w:pStyle w:val="yTable"/>
            </w:pPr>
            <w:r>
              <w:t>LEVOPHENACYLMORPHAN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72.</w:t>
            </w:r>
          </w:p>
        </w:tc>
        <w:tc>
          <w:tcPr>
            <w:tcW w:w="5110" w:type="dxa"/>
            <w:gridSpan w:val="2"/>
          </w:tcPr>
          <w:p>
            <w:pPr>
              <w:pStyle w:val="yTable"/>
            </w:pPr>
            <w:r>
              <w:t>LEVORPHANOL</w:t>
            </w:r>
          </w:p>
        </w:tc>
        <w:tc>
          <w:tcPr>
            <w:tcW w:w="1200" w:type="dxa"/>
          </w:tcPr>
          <w:p>
            <w:pPr>
              <w:pStyle w:val="yTable"/>
              <w:tabs>
                <w:tab w:val="decimal" w:pos="439"/>
              </w:tabs>
              <w:spacing w:before="40" w:after="40"/>
            </w:pPr>
            <w:r>
              <w:t>3.0</w:t>
            </w:r>
          </w:p>
        </w:tc>
      </w:tr>
      <w:tr>
        <w:tc>
          <w:tcPr>
            <w:tcW w:w="680" w:type="dxa"/>
          </w:tcPr>
          <w:p>
            <w:pPr>
              <w:pStyle w:val="yTable"/>
              <w:spacing w:before="40" w:after="40"/>
            </w:pPr>
            <w:r>
              <w:t>73.</w:t>
            </w:r>
          </w:p>
        </w:tc>
        <w:tc>
          <w:tcPr>
            <w:tcW w:w="5110" w:type="dxa"/>
            <w:gridSpan w:val="2"/>
          </w:tcPr>
          <w:p>
            <w:pPr>
              <w:pStyle w:val="yTable"/>
            </w:pPr>
            <w:r>
              <w:t>LYSERGIC ACID DIETHYLAMIDE (LSD)</w:t>
            </w:r>
          </w:p>
        </w:tc>
        <w:tc>
          <w:tcPr>
            <w:tcW w:w="1200" w:type="dxa"/>
          </w:tcPr>
          <w:p>
            <w:pPr>
              <w:pStyle w:val="yTable"/>
              <w:tabs>
                <w:tab w:val="decimal" w:pos="439"/>
              </w:tabs>
              <w:spacing w:before="40" w:after="40"/>
            </w:pPr>
            <w:r>
              <w:t>0.004</w:t>
            </w:r>
          </w:p>
        </w:tc>
      </w:tr>
      <w:tr>
        <w:tc>
          <w:tcPr>
            <w:tcW w:w="680" w:type="dxa"/>
          </w:tcPr>
          <w:p>
            <w:pPr>
              <w:pStyle w:val="yTable"/>
              <w:spacing w:before="40" w:after="40"/>
            </w:pPr>
            <w:r>
              <w:t>74.</w:t>
            </w:r>
          </w:p>
        </w:tc>
        <w:tc>
          <w:tcPr>
            <w:tcW w:w="5110" w:type="dxa"/>
            <w:gridSpan w:val="2"/>
          </w:tcPr>
          <w:p>
            <w:pPr>
              <w:pStyle w:val="yTable"/>
            </w:pPr>
            <w:r>
              <w:t>MESCALINE</w:t>
            </w:r>
          </w:p>
        </w:tc>
        <w:tc>
          <w:tcPr>
            <w:tcW w:w="1200" w:type="dxa"/>
          </w:tcPr>
          <w:p>
            <w:pPr>
              <w:pStyle w:val="yTable"/>
              <w:tabs>
                <w:tab w:val="decimal" w:pos="439"/>
              </w:tabs>
              <w:spacing w:before="40" w:after="40"/>
            </w:pPr>
            <w:r>
              <w:t>22.5</w:t>
            </w:r>
          </w:p>
        </w:tc>
      </w:tr>
      <w:tr>
        <w:tc>
          <w:tcPr>
            <w:tcW w:w="680" w:type="dxa"/>
          </w:tcPr>
          <w:p>
            <w:pPr>
              <w:pStyle w:val="yTable"/>
              <w:spacing w:before="40" w:after="40"/>
            </w:pPr>
            <w:r>
              <w:t>75.</w:t>
            </w:r>
          </w:p>
        </w:tc>
        <w:tc>
          <w:tcPr>
            <w:tcW w:w="5110" w:type="dxa"/>
            <w:gridSpan w:val="2"/>
          </w:tcPr>
          <w:p>
            <w:pPr>
              <w:pStyle w:val="yTable"/>
            </w:pPr>
            <w:r>
              <w:t>METAZOCINE</w:t>
            </w:r>
          </w:p>
        </w:tc>
        <w:tc>
          <w:tcPr>
            <w:tcW w:w="1200" w:type="dxa"/>
          </w:tcPr>
          <w:p>
            <w:pPr>
              <w:pStyle w:val="yTable"/>
              <w:tabs>
                <w:tab w:val="decimal" w:pos="439"/>
              </w:tabs>
              <w:spacing w:before="40" w:after="40"/>
            </w:pPr>
            <w:r>
              <w:t>21.0</w:t>
            </w:r>
          </w:p>
        </w:tc>
      </w:tr>
      <w:tr>
        <w:tc>
          <w:tcPr>
            <w:tcW w:w="680" w:type="dxa"/>
          </w:tcPr>
          <w:p>
            <w:pPr>
              <w:pStyle w:val="yTable"/>
              <w:spacing w:before="40" w:after="40"/>
            </w:pPr>
            <w:r>
              <w:t>76.</w:t>
            </w:r>
          </w:p>
        </w:tc>
        <w:tc>
          <w:tcPr>
            <w:tcW w:w="5110" w:type="dxa"/>
            <w:gridSpan w:val="2"/>
          </w:tcPr>
          <w:p>
            <w:pPr>
              <w:pStyle w:val="yTable"/>
            </w:pPr>
            <w:r>
              <w:t>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77.</w:t>
            </w:r>
          </w:p>
        </w:tc>
        <w:tc>
          <w:tcPr>
            <w:tcW w:w="5110" w:type="dxa"/>
            <w:gridSpan w:val="2"/>
          </w:tcPr>
          <w:p>
            <w:pPr>
              <w:pStyle w:val="yTable"/>
            </w:pPr>
            <w:r>
              <w:t>METHADONE</w:t>
            </w:r>
            <w:r>
              <w:noBreakHyphen/>
              <w:t>INTERMEDIATE</w:t>
            </w:r>
          </w:p>
        </w:tc>
        <w:tc>
          <w:tcPr>
            <w:tcW w:w="1200" w:type="dxa"/>
          </w:tcPr>
          <w:p>
            <w:pPr>
              <w:pStyle w:val="yTable"/>
              <w:tabs>
                <w:tab w:val="decimal" w:pos="439"/>
              </w:tabs>
              <w:spacing w:before="40" w:after="40"/>
            </w:pPr>
            <w:r>
              <w:t>0.6</w:t>
            </w:r>
          </w:p>
        </w:tc>
      </w:tr>
      <w:tr>
        <w:tc>
          <w:tcPr>
            <w:tcW w:w="680" w:type="dxa"/>
          </w:tcPr>
          <w:p>
            <w:pPr>
              <w:pStyle w:val="yTable"/>
              <w:spacing w:before="40" w:after="40"/>
            </w:pPr>
            <w:r>
              <w:t>78.</w:t>
            </w:r>
          </w:p>
        </w:tc>
        <w:tc>
          <w:tcPr>
            <w:tcW w:w="5110" w:type="dxa"/>
            <w:gridSpan w:val="2"/>
          </w:tcPr>
          <w:p>
            <w:pPr>
              <w:pStyle w:val="yTable"/>
            </w:pPr>
            <w:r>
              <w:t>METHAQUALONE</w:t>
            </w:r>
          </w:p>
        </w:tc>
        <w:tc>
          <w:tcPr>
            <w:tcW w:w="1200" w:type="dxa"/>
          </w:tcPr>
          <w:p>
            <w:pPr>
              <w:pStyle w:val="yTable"/>
              <w:tabs>
                <w:tab w:val="decimal" w:pos="439"/>
              </w:tabs>
              <w:spacing w:before="40" w:after="40"/>
            </w:pPr>
            <w:r>
              <w:t>150.0</w:t>
            </w:r>
          </w:p>
        </w:tc>
      </w:tr>
      <w:tr>
        <w:tc>
          <w:tcPr>
            <w:tcW w:w="680" w:type="dxa"/>
          </w:tcPr>
          <w:p>
            <w:pPr>
              <w:pStyle w:val="yTable"/>
              <w:spacing w:before="40" w:after="40"/>
            </w:pPr>
            <w:r>
              <w:t>79.</w:t>
            </w:r>
          </w:p>
        </w:tc>
        <w:tc>
          <w:tcPr>
            <w:tcW w:w="5110" w:type="dxa"/>
            <w:gridSpan w:val="2"/>
          </w:tcPr>
          <w:p>
            <w:pPr>
              <w:pStyle w:val="yTable"/>
            </w:pPr>
            <w:r>
              <w:t>METHARBITONE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80.</w:t>
            </w:r>
          </w:p>
        </w:tc>
        <w:tc>
          <w:tcPr>
            <w:tcW w:w="5110" w:type="dxa"/>
            <w:gridSpan w:val="2"/>
          </w:tcPr>
          <w:p>
            <w:pPr>
              <w:pStyle w:val="yTable"/>
            </w:pPr>
            <w:r>
              <w:t>METHYLAMPHETAMINE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81.</w:t>
            </w:r>
          </w:p>
        </w:tc>
        <w:tc>
          <w:tcPr>
            <w:tcW w:w="5110" w:type="dxa"/>
            <w:gridSpan w:val="2"/>
          </w:tcPr>
          <w:p>
            <w:pPr>
              <w:pStyle w:val="yTable"/>
            </w:pPr>
            <w:r>
              <w:t>METHYLDESORPHINE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82.</w:t>
            </w:r>
          </w:p>
        </w:tc>
        <w:tc>
          <w:tcPr>
            <w:tcW w:w="5110" w:type="dxa"/>
            <w:gridSpan w:val="2"/>
          </w:tcPr>
          <w:p>
            <w:pPr>
              <w:pStyle w:val="yTable"/>
            </w:pPr>
            <w:r>
              <w:t>METHYLDIHYDROMORPHINE</w:t>
            </w:r>
          </w:p>
        </w:tc>
        <w:tc>
          <w:tcPr>
            <w:tcW w:w="1200" w:type="dxa"/>
          </w:tcPr>
          <w:p>
            <w:pPr>
              <w:pStyle w:val="yTable"/>
              <w:tabs>
                <w:tab w:val="decimal" w:pos="439"/>
              </w:tabs>
              <w:spacing w:before="40" w:after="40"/>
            </w:pPr>
            <w:r>
              <w:t>6.0</w:t>
            </w:r>
          </w:p>
        </w:tc>
      </w:tr>
      <w:tr>
        <w:tc>
          <w:tcPr>
            <w:tcW w:w="680" w:type="dxa"/>
          </w:tcPr>
          <w:p>
            <w:pPr>
              <w:pStyle w:val="yTable"/>
              <w:spacing w:before="40" w:after="40"/>
              <w:rPr>
                <w:rFonts w:ascii="Times" w:hAnsi="Times"/>
                <w:spacing w:val="-10"/>
              </w:rPr>
            </w:pPr>
            <w:r>
              <w:rPr>
                <w:rFonts w:ascii="Times" w:hAnsi="Times"/>
                <w:spacing w:val="-10"/>
              </w:rPr>
              <w:t>82A.</w:t>
            </w:r>
          </w:p>
        </w:tc>
        <w:tc>
          <w:tcPr>
            <w:tcW w:w="5110" w:type="dxa"/>
            <w:gridSpan w:val="2"/>
          </w:tcPr>
          <w:p>
            <w:pPr>
              <w:pStyle w:val="yTable"/>
            </w:pPr>
            <w:r>
              <w:t>3, 4</w:t>
            </w:r>
            <w:r>
              <w:noBreakHyphen/>
              <w:t>METHYLENEDIOXYAMPHETAMINE (MDA)</w:t>
            </w:r>
          </w:p>
        </w:tc>
        <w:tc>
          <w:tcPr>
            <w:tcW w:w="1200" w:type="dxa"/>
          </w:tcPr>
          <w:p>
            <w:pPr>
              <w:pStyle w:val="yTable"/>
              <w:tabs>
                <w:tab w:val="decimal" w:pos="439"/>
              </w:tabs>
              <w:spacing w:before="40" w:after="40"/>
            </w:pPr>
            <w:r>
              <w:t>4.0</w:t>
            </w:r>
          </w:p>
        </w:tc>
      </w:tr>
      <w:tr>
        <w:tc>
          <w:tcPr>
            <w:tcW w:w="680" w:type="dxa"/>
          </w:tcPr>
          <w:p>
            <w:pPr>
              <w:pStyle w:val="yTable"/>
              <w:spacing w:before="40" w:after="40"/>
              <w:rPr>
                <w:rFonts w:ascii="Times" w:hAnsi="Times"/>
                <w:spacing w:val="-8"/>
              </w:rPr>
            </w:pPr>
            <w:r>
              <w:rPr>
                <w:rFonts w:ascii="Times" w:hAnsi="Times"/>
                <w:spacing w:val="-8"/>
              </w:rPr>
              <w:t>82B.</w:t>
            </w:r>
          </w:p>
        </w:tc>
        <w:tc>
          <w:tcPr>
            <w:tcW w:w="5110" w:type="dxa"/>
            <w:gridSpan w:val="2"/>
          </w:tcPr>
          <w:p>
            <w:pPr>
              <w:pStyle w:val="yTable"/>
              <w:ind w:left="548" w:hanging="548"/>
            </w:pPr>
            <w:r>
              <w:t>3, 4</w:t>
            </w:r>
            <w:r>
              <w:noBreakHyphen/>
              <w:t>METHYLENEDIOXY</w:t>
            </w:r>
            <w:r>
              <w:noBreakHyphen/>
              <w:t>N, ALPHA</w:t>
            </w:r>
            <w:r>
              <w:noBreakHyphen/>
              <w:t>DIMETHYLPHENYLETHYLAMINE (MDMA)</w:t>
            </w:r>
          </w:p>
        </w:tc>
        <w:tc>
          <w:tcPr>
            <w:tcW w:w="1200" w:type="dxa"/>
          </w:tcPr>
          <w:p>
            <w:pPr>
              <w:pStyle w:val="yTable"/>
              <w:tabs>
                <w:tab w:val="decimal" w:pos="439"/>
              </w:tabs>
              <w:spacing w:before="40" w:after="40"/>
            </w:pPr>
            <w:r>
              <w:t>4.0</w:t>
            </w:r>
          </w:p>
        </w:tc>
      </w:tr>
      <w:tr>
        <w:tc>
          <w:tcPr>
            <w:tcW w:w="680" w:type="dxa"/>
          </w:tcPr>
          <w:p>
            <w:pPr>
              <w:pStyle w:val="yTable"/>
              <w:spacing w:before="40" w:after="40"/>
            </w:pPr>
            <w:r>
              <w:t>83.</w:t>
            </w:r>
          </w:p>
        </w:tc>
        <w:tc>
          <w:tcPr>
            <w:tcW w:w="5110" w:type="dxa"/>
            <w:gridSpan w:val="2"/>
          </w:tcPr>
          <w:p>
            <w:pPr>
              <w:pStyle w:val="yTable"/>
            </w:pPr>
            <w:r>
              <w:t>METHYLPHENIDATE</w:t>
            </w:r>
          </w:p>
        </w:tc>
        <w:tc>
          <w:tcPr>
            <w:tcW w:w="1200" w:type="dxa"/>
          </w:tcPr>
          <w:p>
            <w:pPr>
              <w:pStyle w:val="yTable"/>
              <w:tabs>
                <w:tab w:val="decimal" w:pos="439"/>
              </w:tabs>
              <w:spacing w:before="40" w:after="40"/>
            </w:pPr>
            <w:r>
              <w:t>6.0</w:t>
            </w:r>
          </w:p>
        </w:tc>
      </w:tr>
      <w:tr>
        <w:trPr>
          <w:cantSplit/>
        </w:trPr>
        <w:tc>
          <w:tcPr>
            <w:tcW w:w="680" w:type="dxa"/>
          </w:tcPr>
          <w:p>
            <w:pPr>
              <w:pStyle w:val="yTable"/>
              <w:spacing w:before="40" w:after="40"/>
            </w:pPr>
            <w:r>
              <w:t>84.</w:t>
            </w:r>
          </w:p>
        </w:tc>
        <w:tc>
          <w:tcPr>
            <w:tcW w:w="5110" w:type="dxa"/>
            <w:gridSpan w:val="2"/>
          </w:tcPr>
          <w:p>
            <w:pPr>
              <w:pStyle w:val="yTable"/>
            </w:pPr>
            <w:r>
              <w:t>METHYLPHENOBARBITONE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85.</w:t>
            </w:r>
          </w:p>
        </w:tc>
        <w:tc>
          <w:tcPr>
            <w:tcW w:w="5110" w:type="dxa"/>
            <w:gridSpan w:val="2"/>
          </w:tcPr>
          <w:p>
            <w:pPr>
              <w:pStyle w:val="yTable"/>
              <w:ind w:left="548" w:hanging="548"/>
            </w:pPr>
            <w:r>
              <w:t>1</w:t>
            </w:r>
            <w:r>
              <w:noBreakHyphen/>
              <w:t>METHYL</w:t>
            </w:r>
            <w:r>
              <w:noBreakHyphen/>
              <w:t>4</w:t>
            </w:r>
            <w:r>
              <w:noBreakHyphen/>
              <w:t>PHENYLPIPERIDINE</w:t>
            </w:r>
            <w:r>
              <w:noBreakHyphen/>
              <w:t xml:space="preserve"> 4</w:t>
            </w:r>
            <w:r>
              <w:noBreakHyphen/>
              <w:t>CARBOXYLIC ACID ESTERS</w:t>
            </w:r>
          </w:p>
        </w:tc>
        <w:tc>
          <w:tcPr>
            <w:tcW w:w="1200" w:type="dxa"/>
          </w:tcPr>
          <w:p>
            <w:pPr>
              <w:pStyle w:val="yTable"/>
              <w:tabs>
                <w:tab w:val="decimal" w:pos="439"/>
              </w:tabs>
              <w:spacing w:before="40" w:after="40"/>
            </w:pPr>
            <w:r>
              <w:t>6.0</w:t>
            </w:r>
          </w:p>
        </w:tc>
      </w:tr>
      <w:tr>
        <w:tc>
          <w:tcPr>
            <w:tcW w:w="680" w:type="dxa"/>
          </w:tcPr>
          <w:p>
            <w:pPr>
              <w:pStyle w:val="yTable"/>
              <w:spacing w:before="40" w:after="40"/>
            </w:pPr>
            <w:r>
              <w:t>86.</w:t>
            </w:r>
          </w:p>
        </w:tc>
        <w:tc>
          <w:tcPr>
            <w:tcW w:w="5110" w:type="dxa"/>
            <w:gridSpan w:val="2"/>
          </w:tcPr>
          <w:p>
            <w:pPr>
              <w:pStyle w:val="yTable"/>
            </w:pPr>
            <w:r>
              <w:t>METOPON</w:t>
            </w:r>
          </w:p>
        </w:tc>
        <w:tc>
          <w:tcPr>
            <w:tcW w:w="1200" w:type="dxa"/>
          </w:tcPr>
          <w:p>
            <w:pPr>
              <w:pStyle w:val="yTable"/>
              <w:tabs>
                <w:tab w:val="decimal" w:pos="439"/>
              </w:tabs>
              <w:spacing w:before="40" w:after="40"/>
            </w:pPr>
            <w:r>
              <w:t>6.0</w:t>
            </w:r>
          </w:p>
        </w:tc>
      </w:tr>
      <w:tr>
        <w:tc>
          <w:tcPr>
            <w:tcW w:w="680" w:type="dxa"/>
          </w:tcPr>
          <w:p>
            <w:pPr>
              <w:pStyle w:val="yTable"/>
              <w:spacing w:before="40" w:after="40"/>
            </w:pPr>
            <w:r>
              <w:t>87.</w:t>
            </w:r>
          </w:p>
        </w:tc>
        <w:tc>
          <w:tcPr>
            <w:tcW w:w="5110" w:type="dxa"/>
            <w:gridSpan w:val="2"/>
          </w:tcPr>
          <w:p>
            <w:pPr>
              <w:pStyle w:val="yTable"/>
            </w:pPr>
            <w:r>
              <w:t>MORAMIDE</w:t>
            </w:r>
            <w:r>
              <w:noBreakHyphen/>
              <w:t>INTERMEDIATE</w:t>
            </w:r>
          </w:p>
        </w:tc>
        <w:tc>
          <w:tcPr>
            <w:tcW w:w="1200" w:type="dxa"/>
          </w:tcPr>
          <w:p>
            <w:pPr>
              <w:pStyle w:val="yTable"/>
              <w:tabs>
                <w:tab w:val="decimal" w:pos="439"/>
              </w:tabs>
              <w:spacing w:before="40" w:after="40"/>
            </w:pPr>
            <w:r>
              <w:t>3.0</w:t>
            </w:r>
          </w:p>
        </w:tc>
      </w:tr>
      <w:tr>
        <w:tc>
          <w:tcPr>
            <w:tcW w:w="680" w:type="dxa"/>
          </w:tcPr>
          <w:p>
            <w:pPr>
              <w:pStyle w:val="yTable"/>
              <w:spacing w:before="40" w:after="40"/>
            </w:pPr>
            <w:r>
              <w:t>88.</w:t>
            </w:r>
          </w:p>
        </w:tc>
        <w:tc>
          <w:tcPr>
            <w:tcW w:w="5110" w:type="dxa"/>
            <w:gridSpan w:val="2"/>
          </w:tcPr>
          <w:p>
            <w:pPr>
              <w:pStyle w:val="yTable"/>
            </w:pPr>
            <w:r>
              <w:t>MORPHERIDINE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89.</w:t>
            </w:r>
          </w:p>
        </w:tc>
        <w:tc>
          <w:tcPr>
            <w:tcW w:w="5110" w:type="dxa"/>
            <w:gridSpan w:val="2"/>
          </w:tcPr>
          <w:p>
            <w:pPr>
              <w:pStyle w:val="yTable"/>
            </w:pPr>
            <w:r>
              <w:t>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90.</w:t>
            </w:r>
          </w:p>
        </w:tc>
        <w:tc>
          <w:tcPr>
            <w:tcW w:w="5110" w:type="dxa"/>
            <w:gridSpan w:val="2"/>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91.</w:t>
            </w:r>
          </w:p>
        </w:tc>
        <w:tc>
          <w:tcPr>
            <w:tcW w:w="5110" w:type="dxa"/>
            <w:gridSpan w:val="2"/>
          </w:tcPr>
          <w:p>
            <w:pPr>
              <w:pStyle w:val="yTable"/>
              <w:ind w:left="548" w:hanging="548"/>
            </w:pPr>
            <w:r>
              <w:t>MORPHINE METHOBROMIDE AND OTHER PENTAVALENT NITROGEN MORPHINE DERIVATIVES</w:t>
            </w:r>
          </w:p>
        </w:tc>
        <w:tc>
          <w:tcPr>
            <w:tcW w:w="1200" w:type="dxa"/>
          </w:tcPr>
          <w:p>
            <w:pPr>
              <w:pStyle w:val="yTable"/>
              <w:tabs>
                <w:tab w:val="decimal" w:pos="439"/>
              </w:tabs>
              <w:spacing w:before="40" w:after="40"/>
            </w:pPr>
            <w:r>
              <w:t>6.0</w:t>
            </w:r>
          </w:p>
        </w:tc>
      </w:tr>
      <w:tr>
        <w:tc>
          <w:tcPr>
            <w:tcW w:w="680" w:type="dxa"/>
          </w:tcPr>
          <w:p>
            <w:pPr>
              <w:pStyle w:val="yTable"/>
              <w:spacing w:before="40" w:after="40"/>
            </w:pPr>
            <w:r>
              <w:t>92.</w:t>
            </w:r>
          </w:p>
        </w:tc>
        <w:tc>
          <w:tcPr>
            <w:tcW w:w="5110" w:type="dxa"/>
            <w:gridSpan w:val="2"/>
          </w:tcPr>
          <w:p>
            <w:pPr>
              <w:pStyle w:val="yTable"/>
            </w:pPr>
            <w:r>
              <w:t>MORPHINE</w:t>
            </w:r>
            <w:r>
              <w:noBreakHyphen/>
              <w:t>N</w:t>
            </w:r>
            <w:r>
              <w:noBreakHyphen/>
              <w:t>OXIDE</w:t>
            </w:r>
          </w:p>
        </w:tc>
        <w:tc>
          <w:tcPr>
            <w:tcW w:w="1200" w:type="dxa"/>
          </w:tcPr>
          <w:p>
            <w:pPr>
              <w:pStyle w:val="yTable"/>
              <w:tabs>
                <w:tab w:val="decimal" w:pos="439"/>
              </w:tabs>
              <w:spacing w:before="40" w:after="40"/>
            </w:pPr>
            <w:r>
              <w:t>6.0</w:t>
            </w:r>
          </w:p>
        </w:tc>
      </w:tr>
      <w:tr>
        <w:tc>
          <w:tcPr>
            <w:tcW w:w="680" w:type="dxa"/>
          </w:tcPr>
          <w:p>
            <w:pPr>
              <w:pStyle w:val="yTable"/>
              <w:spacing w:before="40" w:after="40"/>
            </w:pPr>
            <w:r>
              <w:t>93.</w:t>
            </w:r>
          </w:p>
        </w:tc>
        <w:tc>
          <w:tcPr>
            <w:tcW w:w="5110" w:type="dxa"/>
            <w:gridSpan w:val="2"/>
          </w:tcPr>
          <w:p>
            <w:pPr>
              <w:pStyle w:val="yTable"/>
              <w:ind w:left="548" w:hanging="548"/>
            </w:pPr>
            <w:r>
              <w:t>MORPHINE SUBSTITUTES (not specifically included elsewhere in this Schedule)</w:t>
            </w:r>
          </w:p>
        </w:tc>
        <w:tc>
          <w:tcPr>
            <w:tcW w:w="1200" w:type="dxa"/>
          </w:tcPr>
          <w:p>
            <w:pPr>
              <w:pStyle w:val="yTable"/>
              <w:tabs>
                <w:tab w:val="decimal" w:pos="439"/>
              </w:tabs>
              <w:spacing w:before="40" w:after="40"/>
            </w:pPr>
            <w:r>
              <w:t>6.0</w:t>
            </w:r>
          </w:p>
        </w:tc>
      </w:tr>
      <w:tr>
        <w:tc>
          <w:tcPr>
            <w:tcW w:w="680" w:type="dxa"/>
          </w:tcPr>
          <w:p>
            <w:pPr>
              <w:pStyle w:val="yTable"/>
              <w:spacing w:before="40" w:after="40"/>
            </w:pPr>
            <w:r>
              <w:t>94.</w:t>
            </w:r>
          </w:p>
        </w:tc>
        <w:tc>
          <w:tcPr>
            <w:tcW w:w="5110" w:type="dxa"/>
            <w:gridSpan w:val="2"/>
          </w:tcPr>
          <w:p>
            <w:pPr>
              <w:pStyle w:val="yTable"/>
            </w:pPr>
            <w:r>
              <w:t>MYROPHINE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95.</w:t>
            </w:r>
          </w:p>
        </w:tc>
        <w:tc>
          <w:tcPr>
            <w:tcW w:w="5110" w:type="dxa"/>
            <w:gridSpan w:val="2"/>
          </w:tcPr>
          <w:p>
            <w:pPr>
              <w:pStyle w:val="yTable"/>
            </w:pPr>
            <w:r>
              <w:t>NEALBARBITONE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96.</w:t>
            </w:r>
          </w:p>
        </w:tc>
        <w:tc>
          <w:tcPr>
            <w:tcW w:w="5110" w:type="dxa"/>
            <w:gridSpan w:val="2"/>
          </w:tcPr>
          <w:p>
            <w:pPr>
              <w:pStyle w:val="yTable"/>
              <w:ind w:left="548" w:hanging="548"/>
            </w:pPr>
            <w:r>
              <w:t xml:space="preserve">NICOCODINE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97.</w:t>
            </w:r>
          </w:p>
        </w:tc>
        <w:tc>
          <w:tcPr>
            <w:tcW w:w="5110" w:type="dxa"/>
            <w:gridSpan w:val="2"/>
          </w:tcPr>
          <w:p>
            <w:pPr>
              <w:pStyle w:val="yTable"/>
              <w:ind w:left="548" w:hanging="548"/>
            </w:pPr>
            <w:r>
              <w:t xml:space="preserve">NICODICODINE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98.</w:t>
            </w:r>
          </w:p>
        </w:tc>
        <w:tc>
          <w:tcPr>
            <w:tcW w:w="5110" w:type="dxa"/>
            <w:gridSpan w:val="2"/>
          </w:tcPr>
          <w:p>
            <w:pPr>
              <w:pStyle w:val="yTable"/>
            </w:pPr>
            <w:r>
              <w:t>NICOMORPHINE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99.</w:t>
            </w:r>
          </w:p>
        </w:tc>
        <w:tc>
          <w:tcPr>
            <w:tcW w:w="5110" w:type="dxa"/>
            <w:gridSpan w:val="2"/>
          </w:tcPr>
          <w:p>
            <w:pPr>
              <w:pStyle w:val="yTable"/>
            </w:pPr>
            <w:r>
              <w:t>NORACYMETHADOL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100.</w:t>
            </w:r>
          </w:p>
        </w:tc>
        <w:tc>
          <w:tcPr>
            <w:tcW w:w="5110" w:type="dxa"/>
            <w:gridSpan w:val="2"/>
          </w:tcPr>
          <w:p>
            <w:pPr>
              <w:pStyle w:val="yTable"/>
              <w:ind w:left="548" w:hanging="548"/>
            </w:pPr>
            <w:r>
              <w:t xml:space="preserve">NORCODEINE (except when included in Schedule 2 or 4 in Appendix A to the </w:t>
            </w:r>
            <w:r>
              <w:rPr>
                <w:i/>
                <w:iCs/>
              </w:rPr>
              <w:t>Poisons Act 1964)</w:t>
            </w:r>
          </w:p>
        </w:tc>
        <w:tc>
          <w:tcPr>
            <w:tcW w:w="1200" w:type="dxa"/>
          </w:tcPr>
          <w:p>
            <w:pPr>
              <w:pStyle w:val="yTable"/>
              <w:tabs>
                <w:tab w:val="decimal" w:pos="439"/>
              </w:tabs>
              <w:spacing w:before="40" w:after="40"/>
            </w:pPr>
            <w:r>
              <w:t>6.0</w:t>
            </w:r>
          </w:p>
        </w:tc>
      </w:tr>
      <w:tr>
        <w:tc>
          <w:tcPr>
            <w:tcW w:w="680" w:type="dxa"/>
          </w:tcPr>
          <w:p>
            <w:pPr>
              <w:pStyle w:val="yTable"/>
              <w:spacing w:before="40" w:after="40"/>
            </w:pPr>
            <w:r>
              <w:t>101.</w:t>
            </w:r>
          </w:p>
        </w:tc>
        <w:tc>
          <w:tcPr>
            <w:tcW w:w="5110" w:type="dxa"/>
            <w:gridSpan w:val="2"/>
          </w:tcPr>
          <w:p>
            <w:pPr>
              <w:pStyle w:val="yTable"/>
            </w:pPr>
            <w:r>
              <w:t>NORLEVORPHANOL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102.</w:t>
            </w:r>
          </w:p>
        </w:tc>
        <w:tc>
          <w:tcPr>
            <w:tcW w:w="5110" w:type="dxa"/>
            <w:gridSpan w:val="2"/>
          </w:tcPr>
          <w:p>
            <w:pPr>
              <w:pStyle w:val="yTable"/>
            </w:pPr>
            <w:r>
              <w:t>NORMETHADONE</w:t>
            </w:r>
          </w:p>
        </w:tc>
        <w:tc>
          <w:tcPr>
            <w:tcW w:w="1200" w:type="dxa"/>
          </w:tcPr>
          <w:p>
            <w:pPr>
              <w:pStyle w:val="yTable"/>
              <w:tabs>
                <w:tab w:val="decimal" w:pos="439"/>
              </w:tabs>
              <w:spacing w:before="40" w:after="40"/>
            </w:pPr>
            <w:r>
              <w:t>1.5</w:t>
            </w:r>
          </w:p>
        </w:tc>
      </w:tr>
      <w:tr>
        <w:tc>
          <w:tcPr>
            <w:tcW w:w="680" w:type="dxa"/>
          </w:tcPr>
          <w:p>
            <w:pPr>
              <w:pStyle w:val="yTable"/>
              <w:spacing w:before="40" w:after="40"/>
            </w:pPr>
            <w:r>
              <w:t>103.</w:t>
            </w:r>
          </w:p>
        </w:tc>
        <w:tc>
          <w:tcPr>
            <w:tcW w:w="5110" w:type="dxa"/>
            <w:gridSpan w:val="2"/>
          </w:tcPr>
          <w:p>
            <w:pPr>
              <w:pStyle w:val="yTable"/>
            </w:pPr>
            <w:r>
              <w:t>NORMORPHINE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104.</w:t>
            </w:r>
          </w:p>
        </w:tc>
        <w:tc>
          <w:tcPr>
            <w:tcW w:w="5110" w:type="dxa"/>
            <w:gridSpan w:val="2"/>
          </w:tcPr>
          <w:p>
            <w:pPr>
              <w:pStyle w:val="yTable"/>
            </w:pPr>
            <w:r>
              <w:t>NORPIPANONE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105.</w:t>
            </w:r>
          </w:p>
        </w:tc>
        <w:tc>
          <w:tcPr>
            <w:tcW w:w="5110" w:type="dxa"/>
            <w:gridSpan w:val="2"/>
          </w:tcPr>
          <w:p>
            <w:pPr>
              <w:pStyle w:val="yTable"/>
            </w:pPr>
            <w:r>
              <w:t>OPIUM</w:t>
            </w:r>
          </w:p>
        </w:tc>
        <w:tc>
          <w:tcPr>
            <w:tcW w:w="1200" w:type="dxa"/>
          </w:tcPr>
          <w:p>
            <w:pPr>
              <w:pStyle w:val="yTable"/>
              <w:tabs>
                <w:tab w:val="decimal" w:pos="439"/>
              </w:tabs>
              <w:spacing w:before="40" w:after="40"/>
            </w:pPr>
            <w:r>
              <w:t>40.0</w:t>
            </w:r>
          </w:p>
        </w:tc>
      </w:tr>
      <w:tr>
        <w:tc>
          <w:tcPr>
            <w:tcW w:w="680" w:type="dxa"/>
          </w:tcPr>
          <w:p>
            <w:pPr>
              <w:pStyle w:val="yTable"/>
              <w:spacing w:before="40" w:after="40"/>
            </w:pPr>
            <w:r>
              <w:t>106.</w:t>
            </w:r>
          </w:p>
        </w:tc>
        <w:tc>
          <w:tcPr>
            <w:tcW w:w="5110" w:type="dxa"/>
            <w:gridSpan w:val="2"/>
          </w:tcPr>
          <w:p>
            <w:pPr>
              <w:pStyle w:val="yTable"/>
            </w:pPr>
            <w:r>
              <w:t>OXYCODONE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107.</w:t>
            </w:r>
          </w:p>
        </w:tc>
        <w:tc>
          <w:tcPr>
            <w:tcW w:w="5110" w:type="dxa"/>
            <w:gridSpan w:val="2"/>
          </w:tcPr>
          <w:p>
            <w:pPr>
              <w:pStyle w:val="yTable"/>
            </w:pPr>
            <w:r>
              <w:t>OXYMORPHONE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108.</w:t>
            </w:r>
          </w:p>
        </w:tc>
        <w:tc>
          <w:tcPr>
            <w:tcW w:w="5110" w:type="dxa"/>
            <w:gridSpan w:val="2"/>
          </w:tcPr>
          <w:p>
            <w:pPr>
              <w:pStyle w:val="yTable"/>
            </w:pPr>
            <w:r>
              <w:t>PENTAZOCINE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109.</w:t>
            </w:r>
          </w:p>
        </w:tc>
        <w:tc>
          <w:tcPr>
            <w:tcW w:w="5110" w:type="dxa"/>
            <w:gridSpan w:val="2"/>
          </w:tcPr>
          <w:p>
            <w:pPr>
              <w:pStyle w:val="yTable"/>
            </w:pPr>
            <w:r>
              <w:t>PENTOBARBITONE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110.</w:t>
            </w:r>
          </w:p>
        </w:tc>
        <w:tc>
          <w:tcPr>
            <w:tcW w:w="5110" w:type="dxa"/>
            <w:gridSpan w:val="2"/>
          </w:tcPr>
          <w:p>
            <w:pPr>
              <w:pStyle w:val="yTable"/>
            </w:pPr>
            <w:r>
              <w:t>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111.</w:t>
            </w:r>
          </w:p>
        </w:tc>
        <w:tc>
          <w:tcPr>
            <w:tcW w:w="5110" w:type="dxa"/>
            <w:gridSpan w:val="2"/>
          </w:tcPr>
          <w:p>
            <w:pPr>
              <w:pStyle w:val="yTable"/>
            </w:pPr>
            <w:r>
              <w:t>PETHIDINE</w:t>
            </w:r>
            <w:r>
              <w:noBreakHyphen/>
              <w:t>INTERMEDIATE A</w:t>
            </w:r>
          </w:p>
        </w:tc>
        <w:tc>
          <w:tcPr>
            <w:tcW w:w="1200" w:type="dxa"/>
          </w:tcPr>
          <w:p>
            <w:pPr>
              <w:pStyle w:val="yTable"/>
              <w:tabs>
                <w:tab w:val="decimal" w:pos="439"/>
              </w:tabs>
              <w:spacing w:before="40" w:after="40"/>
            </w:pPr>
            <w:r>
              <w:t>15.0</w:t>
            </w:r>
          </w:p>
        </w:tc>
      </w:tr>
      <w:tr>
        <w:tc>
          <w:tcPr>
            <w:tcW w:w="680" w:type="dxa"/>
          </w:tcPr>
          <w:p>
            <w:pPr>
              <w:pStyle w:val="yTable"/>
              <w:spacing w:before="40" w:after="40"/>
            </w:pPr>
            <w:r>
              <w:t>112.</w:t>
            </w:r>
          </w:p>
        </w:tc>
        <w:tc>
          <w:tcPr>
            <w:tcW w:w="5110" w:type="dxa"/>
            <w:gridSpan w:val="2"/>
          </w:tcPr>
          <w:p>
            <w:pPr>
              <w:pStyle w:val="yTable"/>
            </w:pPr>
            <w:r>
              <w:t>PETHIDINE</w:t>
            </w:r>
            <w:r>
              <w:noBreakHyphen/>
              <w:t>INTERMEDIATE B</w:t>
            </w:r>
          </w:p>
        </w:tc>
        <w:tc>
          <w:tcPr>
            <w:tcW w:w="1200" w:type="dxa"/>
          </w:tcPr>
          <w:p>
            <w:pPr>
              <w:pStyle w:val="yTable"/>
              <w:tabs>
                <w:tab w:val="decimal" w:pos="439"/>
              </w:tabs>
              <w:spacing w:before="40" w:after="40"/>
            </w:pPr>
            <w:r>
              <w:t>15.0</w:t>
            </w:r>
          </w:p>
        </w:tc>
      </w:tr>
      <w:tr>
        <w:tc>
          <w:tcPr>
            <w:tcW w:w="680" w:type="dxa"/>
          </w:tcPr>
          <w:p>
            <w:pPr>
              <w:pStyle w:val="yTable"/>
              <w:spacing w:before="40" w:after="40"/>
            </w:pPr>
            <w:r>
              <w:t>113.</w:t>
            </w:r>
          </w:p>
        </w:tc>
        <w:tc>
          <w:tcPr>
            <w:tcW w:w="5110" w:type="dxa"/>
            <w:gridSpan w:val="2"/>
          </w:tcPr>
          <w:p>
            <w:pPr>
              <w:pStyle w:val="yTable"/>
            </w:pPr>
            <w:r>
              <w:t>PETHIDINE</w:t>
            </w:r>
            <w:r>
              <w:noBreakHyphen/>
              <w:t>INTERMEDIATE C</w:t>
            </w:r>
          </w:p>
        </w:tc>
        <w:tc>
          <w:tcPr>
            <w:tcW w:w="1200" w:type="dxa"/>
          </w:tcPr>
          <w:p>
            <w:pPr>
              <w:pStyle w:val="yTable"/>
              <w:tabs>
                <w:tab w:val="decimal" w:pos="439"/>
              </w:tabs>
              <w:spacing w:before="40" w:after="40"/>
            </w:pPr>
            <w:r>
              <w:t>15.0</w:t>
            </w:r>
          </w:p>
        </w:tc>
      </w:tr>
      <w:tr>
        <w:tc>
          <w:tcPr>
            <w:tcW w:w="680" w:type="dxa"/>
          </w:tcPr>
          <w:p>
            <w:pPr>
              <w:pStyle w:val="yTable"/>
              <w:spacing w:before="40" w:after="40"/>
            </w:pPr>
            <w:r>
              <w:t>114.</w:t>
            </w:r>
          </w:p>
        </w:tc>
        <w:tc>
          <w:tcPr>
            <w:tcW w:w="5110" w:type="dxa"/>
            <w:gridSpan w:val="2"/>
          </w:tcPr>
          <w:p>
            <w:pPr>
              <w:pStyle w:val="yTable"/>
            </w:pPr>
            <w:r>
              <w:t>PHENADOXONE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115.</w:t>
            </w:r>
          </w:p>
        </w:tc>
        <w:tc>
          <w:tcPr>
            <w:tcW w:w="5110" w:type="dxa"/>
            <w:gridSpan w:val="2"/>
          </w:tcPr>
          <w:p>
            <w:pPr>
              <w:pStyle w:val="yTable"/>
            </w:pPr>
            <w:r>
              <w:t>PHENAMPROMIDE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116.</w:t>
            </w:r>
          </w:p>
        </w:tc>
        <w:tc>
          <w:tcPr>
            <w:tcW w:w="5110" w:type="dxa"/>
            <w:gridSpan w:val="2"/>
          </w:tcPr>
          <w:p>
            <w:pPr>
              <w:pStyle w:val="yTable"/>
            </w:pPr>
            <w:r>
              <w:t>PHENAZOCINE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117.</w:t>
            </w:r>
          </w:p>
        </w:tc>
        <w:tc>
          <w:tcPr>
            <w:tcW w:w="5110" w:type="dxa"/>
            <w:gridSpan w:val="2"/>
          </w:tcPr>
          <w:p>
            <w:pPr>
              <w:pStyle w:val="yTable"/>
            </w:pPr>
            <w:r>
              <w:t>PHENCYCLIDINE</w:t>
            </w:r>
          </w:p>
        </w:tc>
        <w:tc>
          <w:tcPr>
            <w:tcW w:w="1200" w:type="dxa"/>
          </w:tcPr>
          <w:p>
            <w:pPr>
              <w:pStyle w:val="yTable"/>
              <w:tabs>
                <w:tab w:val="decimal" w:pos="439"/>
              </w:tabs>
              <w:spacing w:before="40" w:after="40"/>
            </w:pPr>
            <w:r>
              <w:t>0.004</w:t>
            </w:r>
          </w:p>
        </w:tc>
      </w:tr>
      <w:tr>
        <w:tc>
          <w:tcPr>
            <w:tcW w:w="680" w:type="dxa"/>
          </w:tcPr>
          <w:p>
            <w:pPr>
              <w:pStyle w:val="yTable"/>
              <w:spacing w:before="40" w:after="40"/>
            </w:pPr>
            <w:r>
              <w:t>118.</w:t>
            </w:r>
          </w:p>
        </w:tc>
        <w:tc>
          <w:tcPr>
            <w:tcW w:w="5110" w:type="dxa"/>
            <w:gridSpan w:val="2"/>
          </w:tcPr>
          <w:p>
            <w:pPr>
              <w:pStyle w:val="yTable"/>
            </w:pPr>
            <w:r>
              <w:t>PHENMETRAZINE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119.</w:t>
            </w:r>
          </w:p>
        </w:tc>
        <w:tc>
          <w:tcPr>
            <w:tcW w:w="5110" w:type="dxa"/>
            <w:gridSpan w:val="2"/>
          </w:tcPr>
          <w:p>
            <w:pPr>
              <w:pStyle w:val="yTable"/>
            </w:pPr>
            <w:r>
              <w:t>PHENOBARBITONE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120.</w:t>
            </w:r>
          </w:p>
        </w:tc>
        <w:tc>
          <w:tcPr>
            <w:tcW w:w="5110" w:type="dxa"/>
            <w:gridSpan w:val="2"/>
          </w:tcPr>
          <w:p>
            <w:pPr>
              <w:pStyle w:val="yTable"/>
            </w:pPr>
            <w:r>
              <w:t>PHENOMORPHAN</w:t>
            </w:r>
          </w:p>
        </w:tc>
        <w:tc>
          <w:tcPr>
            <w:tcW w:w="1200" w:type="dxa"/>
          </w:tcPr>
          <w:p>
            <w:pPr>
              <w:pStyle w:val="yTable"/>
              <w:tabs>
                <w:tab w:val="decimal" w:pos="439"/>
              </w:tabs>
              <w:spacing w:before="40" w:after="40"/>
            </w:pPr>
            <w:r>
              <w:t>15.0</w:t>
            </w:r>
          </w:p>
        </w:tc>
      </w:tr>
      <w:tr>
        <w:tc>
          <w:tcPr>
            <w:tcW w:w="680" w:type="dxa"/>
          </w:tcPr>
          <w:p>
            <w:pPr>
              <w:pStyle w:val="yTable"/>
              <w:spacing w:before="40" w:after="40"/>
            </w:pPr>
            <w:r>
              <w:t>121.</w:t>
            </w:r>
          </w:p>
        </w:tc>
        <w:tc>
          <w:tcPr>
            <w:tcW w:w="5110" w:type="dxa"/>
            <w:gridSpan w:val="2"/>
          </w:tcPr>
          <w:p>
            <w:pPr>
              <w:pStyle w:val="yTable"/>
            </w:pPr>
            <w:r>
              <w:t>PHENOPERIDINE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122.</w:t>
            </w:r>
          </w:p>
        </w:tc>
        <w:tc>
          <w:tcPr>
            <w:tcW w:w="5110" w:type="dxa"/>
            <w:gridSpan w:val="2"/>
          </w:tcPr>
          <w:p>
            <w:pPr>
              <w:pStyle w:val="yTable"/>
            </w:pPr>
            <w:r>
              <w:t>PHENYLMETHYLBARBITURIC ACID</w:t>
            </w:r>
          </w:p>
        </w:tc>
        <w:tc>
          <w:tcPr>
            <w:tcW w:w="1200" w:type="dxa"/>
          </w:tcPr>
          <w:p>
            <w:pPr>
              <w:pStyle w:val="yTable"/>
              <w:tabs>
                <w:tab w:val="decimal" w:pos="439"/>
              </w:tabs>
              <w:spacing w:before="40" w:after="40"/>
            </w:pPr>
            <w:r>
              <w:t>30.0</w:t>
            </w:r>
          </w:p>
        </w:tc>
      </w:tr>
      <w:tr>
        <w:tc>
          <w:tcPr>
            <w:tcW w:w="680" w:type="dxa"/>
          </w:tcPr>
          <w:p>
            <w:pPr>
              <w:pStyle w:val="yTable"/>
              <w:keepNext/>
              <w:keepLines/>
              <w:spacing w:before="40" w:after="40"/>
            </w:pPr>
            <w:r>
              <w:t>123.</w:t>
            </w:r>
          </w:p>
        </w:tc>
        <w:tc>
          <w:tcPr>
            <w:tcW w:w="5110" w:type="dxa"/>
            <w:gridSpan w:val="2"/>
          </w:tcPr>
          <w:p>
            <w:pPr>
              <w:pStyle w:val="yTable"/>
              <w:ind w:left="548" w:hanging="548"/>
            </w:pPr>
            <w:r>
              <w:t xml:space="preserve">PHOLCODINE (except when included in Schedule 2 or 4 in Appendix A to the </w:t>
            </w:r>
            <w:r>
              <w:rPr>
                <w:i/>
                <w:iCs/>
              </w:rPr>
              <w:t>Poisons Act 1964</w:t>
            </w:r>
            <w:r>
              <w:t>)</w:t>
            </w:r>
          </w:p>
        </w:tc>
        <w:tc>
          <w:tcPr>
            <w:tcW w:w="1200" w:type="dxa"/>
          </w:tcPr>
          <w:p>
            <w:pPr>
              <w:pStyle w:val="yTable"/>
              <w:keepNext/>
              <w:keepLines/>
              <w:tabs>
                <w:tab w:val="decimal" w:pos="439"/>
              </w:tabs>
              <w:spacing w:before="40" w:after="40"/>
            </w:pPr>
            <w:r>
              <w:t>15.0</w:t>
            </w:r>
          </w:p>
        </w:tc>
      </w:tr>
      <w:tr>
        <w:tc>
          <w:tcPr>
            <w:tcW w:w="680" w:type="dxa"/>
          </w:tcPr>
          <w:p>
            <w:pPr>
              <w:pStyle w:val="yTable"/>
              <w:spacing w:before="40" w:after="40"/>
            </w:pPr>
            <w:r>
              <w:t>124.</w:t>
            </w:r>
          </w:p>
        </w:tc>
        <w:tc>
          <w:tcPr>
            <w:tcW w:w="5110" w:type="dxa"/>
            <w:gridSpan w:val="2"/>
          </w:tcPr>
          <w:p>
            <w:pPr>
              <w:pStyle w:val="yTable"/>
            </w:pPr>
            <w:r>
              <w:t>PIMINODINE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125.</w:t>
            </w:r>
          </w:p>
        </w:tc>
        <w:tc>
          <w:tcPr>
            <w:tcW w:w="5110" w:type="dxa"/>
            <w:gridSpan w:val="2"/>
          </w:tcPr>
          <w:p>
            <w:pPr>
              <w:pStyle w:val="yTable"/>
            </w:pPr>
            <w:r>
              <w:t>PIRITRAMIDE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126.</w:t>
            </w:r>
          </w:p>
        </w:tc>
        <w:tc>
          <w:tcPr>
            <w:tcW w:w="5110" w:type="dxa"/>
            <w:gridSpan w:val="2"/>
          </w:tcPr>
          <w:p>
            <w:pPr>
              <w:pStyle w:val="yTable"/>
            </w:pPr>
            <w:r>
              <w:t>PROHEPTAZINE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127.</w:t>
            </w:r>
          </w:p>
        </w:tc>
        <w:tc>
          <w:tcPr>
            <w:tcW w:w="5110" w:type="dxa"/>
            <w:gridSpan w:val="2"/>
          </w:tcPr>
          <w:p>
            <w:pPr>
              <w:pStyle w:val="yTable"/>
            </w:pPr>
            <w:r>
              <w:t>PROPERIDINE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128.</w:t>
            </w:r>
          </w:p>
        </w:tc>
        <w:tc>
          <w:tcPr>
            <w:tcW w:w="5110" w:type="dxa"/>
            <w:gridSpan w:val="2"/>
          </w:tcPr>
          <w:p>
            <w:pPr>
              <w:pStyle w:val="yTable"/>
            </w:pPr>
            <w:r>
              <w:t>PROPIRAM</w:t>
            </w:r>
          </w:p>
        </w:tc>
        <w:tc>
          <w:tcPr>
            <w:tcW w:w="1200" w:type="dxa"/>
          </w:tcPr>
          <w:p>
            <w:pPr>
              <w:pStyle w:val="yTable"/>
              <w:tabs>
                <w:tab w:val="decimal" w:pos="439"/>
              </w:tabs>
              <w:spacing w:before="40" w:after="40"/>
            </w:pPr>
            <w:r>
              <w:t>12.0</w:t>
            </w:r>
          </w:p>
        </w:tc>
      </w:tr>
      <w:tr>
        <w:tc>
          <w:tcPr>
            <w:tcW w:w="680" w:type="dxa"/>
          </w:tcPr>
          <w:p>
            <w:pPr>
              <w:pStyle w:val="yTable"/>
              <w:spacing w:before="40" w:after="40"/>
            </w:pPr>
            <w:r>
              <w:t>129.</w:t>
            </w:r>
          </w:p>
        </w:tc>
        <w:tc>
          <w:tcPr>
            <w:tcW w:w="5110" w:type="dxa"/>
            <w:gridSpan w:val="2"/>
          </w:tcPr>
          <w:p>
            <w:pPr>
              <w:pStyle w:val="yTable"/>
            </w:pPr>
            <w:r>
              <w:t>PSILOCIN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130.</w:t>
            </w:r>
          </w:p>
        </w:tc>
        <w:tc>
          <w:tcPr>
            <w:tcW w:w="5110" w:type="dxa"/>
            <w:gridSpan w:val="2"/>
          </w:tcPr>
          <w:p>
            <w:pPr>
              <w:pStyle w:val="yTable"/>
            </w:pPr>
            <w:r>
              <w:t>PSILOCYBIN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131.</w:t>
            </w:r>
          </w:p>
        </w:tc>
        <w:tc>
          <w:tcPr>
            <w:tcW w:w="5110" w:type="dxa"/>
            <w:gridSpan w:val="2"/>
          </w:tcPr>
          <w:p>
            <w:pPr>
              <w:pStyle w:val="yTable"/>
              <w:ind w:left="548" w:hanging="548"/>
            </w:pPr>
            <w:r>
              <w:t>PSYCHOTOMIMETIC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132.</w:t>
            </w:r>
          </w:p>
        </w:tc>
        <w:tc>
          <w:tcPr>
            <w:tcW w:w="5110" w:type="dxa"/>
            <w:gridSpan w:val="2"/>
          </w:tcPr>
          <w:p>
            <w:pPr>
              <w:pStyle w:val="yTable"/>
            </w:pPr>
            <w:r>
              <w:t>QUINALBARBITONE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133.</w:t>
            </w:r>
          </w:p>
        </w:tc>
        <w:tc>
          <w:tcPr>
            <w:tcW w:w="5110" w:type="dxa"/>
            <w:gridSpan w:val="2"/>
          </w:tcPr>
          <w:p>
            <w:pPr>
              <w:pStyle w:val="yTable"/>
            </w:pPr>
            <w:r>
              <w:t>RACEMETHORPHAN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134.</w:t>
            </w:r>
          </w:p>
        </w:tc>
        <w:tc>
          <w:tcPr>
            <w:tcW w:w="5110" w:type="dxa"/>
            <w:gridSpan w:val="2"/>
          </w:tcPr>
          <w:p>
            <w:pPr>
              <w:pStyle w:val="yTable"/>
            </w:pPr>
            <w:r>
              <w:t>RACEMORAMIDE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135.</w:t>
            </w:r>
          </w:p>
        </w:tc>
        <w:tc>
          <w:tcPr>
            <w:tcW w:w="5110" w:type="dxa"/>
            <w:gridSpan w:val="2"/>
          </w:tcPr>
          <w:p>
            <w:pPr>
              <w:pStyle w:val="yTable"/>
            </w:pPr>
            <w:r>
              <w:t>RACEMORPHAN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136.</w:t>
            </w:r>
          </w:p>
        </w:tc>
        <w:tc>
          <w:tcPr>
            <w:tcW w:w="5110" w:type="dxa"/>
            <w:gridSpan w:val="2"/>
          </w:tcPr>
          <w:p>
            <w:pPr>
              <w:pStyle w:val="yTable"/>
            </w:pPr>
            <w:r>
              <w:t>SECBUTOBARBITONE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137.</w:t>
            </w:r>
          </w:p>
        </w:tc>
        <w:tc>
          <w:tcPr>
            <w:tcW w:w="5110" w:type="dxa"/>
            <w:gridSpan w:val="2"/>
          </w:tcPr>
          <w:p>
            <w:pPr>
              <w:pStyle w:val="yTable"/>
            </w:pPr>
            <w:r>
              <w:t>TALBUTAL</w:t>
            </w:r>
          </w:p>
        </w:tc>
        <w:tc>
          <w:tcPr>
            <w:tcW w:w="1200" w:type="dxa"/>
          </w:tcPr>
          <w:p>
            <w:pPr>
              <w:pStyle w:val="yTable"/>
              <w:tabs>
                <w:tab w:val="decimal" w:pos="439"/>
              </w:tabs>
              <w:spacing w:before="40" w:after="40"/>
            </w:pPr>
            <w:r>
              <w:t>30.0</w:t>
            </w:r>
          </w:p>
        </w:tc>
      </w:tr>
      <w:tr>
        <w:tc>
          <w:tcPr>
            <w:tcW w:w="680" w:type="dxa"/>
          </w:tcPr>
          <w:p>
            <w:pPr>
              <w:pStyle w:val="yTable"/>
              <w:spacing w:before="40" w:after="40"/>
            </w:pPr>
            <w:r>
              <w:t>138.</w:t>
            </w:r>
          </w:p>
        </w:tc>
        <w:tc>
          <w:tcPr>
            <w:tcW w:w="5110" w:type="dxa"/>
            <w:gridSpan w:val="2"/>
          </w:tcPr>
          <w:p>
            <w:pPr>
              <w:pStyle w:val="yTable"/>
            </w:pPr>
            <w:r>
              <w:t>TETRAHYDROCANNABINOLS</w:t>
            </w:r>
          </w:p>
        </w:tc>
        <w:tc>
          <w:tcPr>
            <w:tcW w:w="1200" w:type="dxa"/>
          </w:tcPr>
          <w:p>
            <w:pPr>
              <w:pStyle w:val="yTable"/>
              <w:tabs>
                <w:tab w:val="decimal" w:pos="439"/>
              </w:tabs>
              <w:spacing w:before="40" w:after="40"/>
            </w:pPr>
            <w:r>
              <w:t>4.0</w:t>
            </w:r>
          </w:p>
        </w:tc>
      </w:tr>
      <w:tr>
        <w:tc>
          <w:tcPr>
            <w:tcW w:w="680" w:type="dxa"/>
          </w:tcPr>
          <w:p>
            <w:pPr>
              <w:pStyle w:val="yTable"/>
              <w:spacing w:before="40" w:after="40"/>
            </w:pPr>
            <w:r>
              <w:t>139.</w:t>
            </w:r>
          </w:p>
        </w:tc>
        <w:tc>
          <w:tcPr>
            <w:tcW w:w="5110" w:type="dxa"/>
            <w:gridSpan w:val="2"/>
          </w:tcPr>
          <w:p>
            <w:pPr>
              <w:pStyle w:val="yTable"/>
            </w:pPr>
            <w:r>
              <w:t>THEBACON</w:t>
            </w:r>
          </w:p>
        </w:tc>
        <w:tc>
          <w:tcPr>
            <w:tcW w:w="1200" w:type="dxa"/>
          </w:tcPr>
          <w:p>
            <w:pPr>
              <w:pStyle w:val="yTable"/>
              <w:tabs>
                <w:tab w:val="decimal" w:pos="439"/>
              </w:tabs>
              <w:spacing w:before="40" w:after="40"/>
            </w:pPr>
            <w:r>
              <w:t>6.0</w:t>
            </w:r>
          </w:p>
        </w:tc>
      </w:tr>
      <w:tr>
        <w:tc>
          <w:tcPr>
            <w:tcW w:w="680" w:type="dxa"/>
          </w:tcPr>
          <w:p>
            <w:pPr>
              <w:pStyle w:val="yTable"/>
              <w:spacing w:before="40" w:after="40"/>
            </w:pPr>
            <w:r>
              <w:t>140.</w:t>
            </w:r>
          </w:p>
        </w:tc>
        <w:tc>
          <w:tcPr>
            <w:tcW w:w="5110" w:type="dxa"/>
            <w:gridSpan w:val="2"/>
          </w:tcPr>
          <w:p>
            <w:pPr>
              <w:pStyle w:val="yTable"/>
            </w:pPr>
            <w:r>
              <w:t>THEBAINE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141.</w:t>
            </w:r>
          </w:p>
        </w:tc>
        <w:tc>
          <w:tcPr>
            <w:tcW w:w="5110" w:type="dxa"/>
            <w:gridSpan w:val="2"/>
          </w:tcPr>
          <w:p>
            <w:pPr>
              <w:pStyle w:val="yTable"/>
            </w:pPr>
            <w:r>
              <w:t>TRIMEPERIDINE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142.</w:t>
            </w:r>
          </w:p>
        </w:tc>
        <w:tc>
          <w:tcPr>
            <w:tcW w:w="5110" w:type="dxa"/>
            <w:gridSpan w:val="2"/>
          </w:tcPr>
          <w:p>
            <w:pPr>
              <w:pStyle w:val="yTable"/>
            </w:pPr>
            <w:r>
              <w:t>VINBARBITONE</w:t>
            </w:r>
          </w:p>
        </w:tc>
        <w:tc>
          <w:tcPr>
            <w:tcW w:w="1200" w:type="dxa"/>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w:t>
      </w:r>
    </w:p>
    <w:p>
      <w:pPr>
        <w:pStyle w:val="yScheduleHeading"/>
      </w:pPr>
      <w:bookmarkStart w:id="673" w:name="_Toc535053912"/>
      <w:bookmarkStart w:id="674" w:name="_Toc109615286"/>
      <w:bookmarkStart w:id="675" w:name="_Toc139344580"/>
      <w:bookmarkStart w:id="676" w:name="_Toc139699344"/>
      <w:bookmarkStart w:id="677" w:name="_Toc147051377"/>
      <w:bookmarkStart w:id="678" w:name="_Toc147118832"/>
      <w:bookmarkStart w:id="679" w:name="_Toc148236153"/>
      <w:bookmarkStart w:id="680" w:name="_Toc158705027"/>
      <w:bookmarkStart w:id="681" w:name="_Toc165369990"/>
      <w:bookmarkStart w:id="682" w:name="_Toc177873332"/>
      <w:bookmarkStart w:id="683" w:name="_Toc177873457"/>
      <w:bookmarkStart w:id="684" w:name="_Toc184707414"/>
      <w:bookmarkStart w:id="685" w:name="_Toc189464745"/>
      <w:bookmarkStart w:id="686" w:name="_Toc190249309"/>
      <w:bookmarkStart w:id="687" w:name="_Toc191703203"/>
      <w:bookmarkStart w:id="688" w:name="_Toc193692120"/>
      <w:bookmarkStart w:id="689" w:name="_Toc199817302"/>
      <w:bookmarkStart w:id="690" w:name="_Toc215543775"/>
      <w:bookmarkStart w:id="691" w:name="_Toc215544035"/>
      <w:bookmarkStart w:id="692" w:name="_Toc248029072"/>
      <w:bookmarkStart w:id="693" w:name="_Toc256085121"/>
      <w:bookmarkStart w:id="694" w:name="_Toc256092186"/>
      <w:bookmarkStart w:id="695" w:name="_Toc268600369"/>
      <w:bookmarkStart w:id="696" w:name="_Toc272237498"/>
      <w:bookmarkStart w:id="697" w:name="_Toc275253577"/>
      <w:bookmarkStart w:id="698" w:name="_Toc283287502"/>
      <w:bookmarkStart w:id="699" w:name="_Toc290558488"/>
      <w:bookmarkStart w:id="700" w:name="_Toc290558564"/>
      <w:r>
        <w:rPr>
          <w:rStyle w:val="CharSchNo"/>
        </w:rPr>
        <w:t>Schedule IV</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r>
        <w:rPr>
          <w:rStyle w:val="CharSDivNo"/>
        </w:rPr>
        <w:t> </w:t>
      </w:r>
      <w:r>
        <w:t>—</w:t>
      </w:r>
      <w:r>
        <w:rPr>
          <w:rStyle w:val="CharSDivText"/>
        </w:rPr>
        <w:t> </w:t>
      </w:r>
      <w:r>
        <w:rPr>
          <w:rStyle w:val="CharSchText"/>
        </w:rPr>
        <w:t>Numbers of prohibited plants determining court of trial</w:t>
      </w:r>
      <w:bookmarkEnd w:id="695"/>
      <w:bookmarkEnd w:id="696"/>
      <w:bookmarkEnd w:id="697"/>
      <w:bookmarkEnd w:id="698"/>
      <w:bookmarkEnd w:id="699"/>
      <w:bookmarkEnd w:id="700"/>
    </w:p>
    <w:p>
      <w:pPr>
        <w:pStyle w:val="yShoulderClause"/>
        <w:rPr>
          <w:snapToGrid w:val="0"/>
        </w:rPr>
      </w:pPr>
      <w:r>
        <w:rPr>
          <w:snapToGrid w:val="0"/>
        </w:rPr>
        <w:t>[s. 9]</w:t>
      </w:r>
    </w:p>
    <w:p>
      <w:pPr>
        <w:pStyle w:val="yFootnoteheading"/>
        <w:rPr>
          <w:bCs/>
        </w:rPr>
      </w:pPr>
      <w:r>
        <w:tab/>
        <w:t>[Heading amended by No. 19 of 2010 s. 4.]</w:t>
      </w:r>
    </w:p>
    <w:tbl>
      <w:tblPr>
        <w:tblW w:w="7200" w:type="dxa"/>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46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100</w:t>
            </w:r>
          </w:p>
        </w:tc>
      </w:tr>
      <w:tr>
        <w:tc>
          <w:tcPr>
            <w:tcW w:w="146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100</w:t>
            </w:r>
          </w:p>
        </w:tc>
      </w:tr>
      <w:tr>
        <w:tc>
          <w:tcPr>
            <w:tcW w:w="1469" w:type="dxa"/>
          </w:tcPr>
          <w:p>
            <w:pPr>
              <w:pStyle w:val="yTableNAm"/>
              <w:jc w:val="center"/>
            </w:pPr>
            <w:r>
              <w:t>3.</w:t>
            </w:r>
          </w:p>
        </w:tc>
        <w:tc>
          <w:tcPr>
            <w:tcW w:w="4381" w:type="dxa"/>
          </w:tcPr>
          <w:p>
            <w:pPr>
              <w:pStyle w:val="yTableNAm"/>
            </w:pPr>
            <w:r>
              <w:t>Cannabis</w:t>
            </w:r>
          </w:p>
        </w:tc>
        <w:tc>
          <w:tcPr>
            <w:tcW w:w="1350" w:type="dxa"/>
          </w:tcPr>
          <w:p>
            <w:pPr>
              <w:pStyle w:val="yTableNAm"/>
              <w:jc w:val="center"/>
            </w:pPr>
            <w:del w:id="701" w:author="svcMRProcess" w:date="2018-09-06T00:30:00Z">
              <w:r>
                <w:delText>100</w:delText>
              </w:r>
            </w:del>
            <w:ins w:id="702" w:author="svcMRProcess" w:date="2018-09-06T00:30:00Z">
              <w:r>
                <w:t>20</w:t>
              </w:r>
            </w:ins>
          </w:p>
        </w:tc>
      </w:tr>
    </w:tbl>
    <w:p>
      <w:pPr>
        <w:pStyle w:val="yFootnotesection"/>
        <w:rPr>
          <w:ins w:id="703" w:author="svcMRProcess" w:date="2018-09-06T00:30:00Z"/>
        </w:rPr>
      </w:pPr>
      <w:bookmarkStart w:id="704" w:name="_Toc535053913"/>
      <w:bookmarkStart w:id="705" w:name="_Toc109615287"/>
      <w:bookmarkStart w:id="706" w:name="_Toc139344581"/>
      <w:bookmarkStart w:id="707" w:name="_Toc139699345"/>
      <w:bookmarkStart w:id="708" w:name="_Toc147051378"/>
      <w:bookmarkStart w:id="709" w:name="_Toc147118833"/>
      <w:bookmarkStart w:id="710" w:name="_Toc148236154"/>
      <w:bookmarkStart w:id="711" w:name="_Toc158705028"/>
      <w:bookmarkStart w:id="712" w:name="_Toc165369991"/>
      <w:bookmarkStart w:id="713" w:name="_Toc177873333"/>
      <w:bookmarkStart w:id="714" w:name="_Toc177873459"/>
      <w:bookmarkStart w:id="715" w:name="_Toc184707416"/>
      <w:bookmarkStart w:id="716" w:name="_Toc189464747"/>
      <w:bookmarkStart w:id="717" w:name="_Toc190249311"/>
      <w:bookmarkStart w:id="718" w:name="_Toc191703205"/>
      <w:bookmarkStart w:id="719" w:name="_Toc193692122"/>
      <w:bookmarkStart w:id="720" w:name="_Toc199817304"/>
      <w:bookmarkStart w:id="721" w:name="_Toc215543777"/>
      <w:bookmarkStart w:id="722" w:name="_Toc215544037"/>
      <w:bookmarkStart w:id="723" w:name="_Toc248029074"/>
      <w:bookmarkStart w:id="724" w:name="_Toc256085123"/>
      <w:bookmarkStart w:id="725" w:name="_Toc256092188"/>
      <w:bookmarkStart w:id="726" w:name="_Toc268600370"/>
      <w:bookmarkStart w:id="727" w:name="_Toc272237499"/>
      <w:bookmarkStart w:id="728" w:name="_Toc275253578"/>
      <w:bookmarkStart w:id="729" w:name="_Toc283287503"/>
      <w:ins w:id="730" w:author="svcMRProcess" w:date="2018-09-06T00:30:00Z">
        <w:r>
          <w:tab/>
          <w:t>[Schedule IV amended in Gazette 15 Apr 2011 p. 1426.]</w:t>
        </w:r>
      </w:ins>
    </w:p>
    <w:p>
      <w:pPr>
        <w:pStyle w:val="yScheduleHeading"/>
      </w:pPr>
      <w:bookmarkStart w:id="731" w:name="_Toc290558489"/>
      <w:bookmarkStart w:id="732" w:name="_Toc290558565"/>
      <w:r>
        <w:rPr>
          <w:rStyle w:val="CharSchNo"/>
        </w:rPr>
        <w:t>Schedule V</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r>
        <w:rPr>
          <w:rStyle w:val="CharSDivNo"/>
        </w:rPr>
        <w:t> </w:t>
      </w:r>
      <w:r>
        <w:t>—</w:t>
      </w:r>
      <w:r>
        <w:rPr>
          <w:rStyle w:val="CharSDivText"/>
        </w:rPr>
        <w:t> </w:t>
      </w:r>
      <w:r>
        <w:rPr>
          <w:rStyle w:val="CharSchText"/>
        </w:rPr>
        <w:t>Amounts of prohibited drugs giving rise to presumption of intention to sell or supply same</w:t>
      </w:r>
      <w:bookmarkEnd w:id="726"/>
      <w:bookmarkEnd w:id="727"/>
      <w:bookmarkEnd w:id="728"/>
      <w:bookmarkEnd w:id="729"/>
      <w:bookmarkEnd w:id="731"/>
      <w:bookmarkEnd w:id="732"/>
    </w:p>
    <w:p>
      <w:pPr>
        <w:pStyle w:val="yShoulderClause"/>
        <w:rPr>
          <w:snapToGrid w:val="0"/>
        </w:rPr>
      </w:pPr>
      <w:r>
        <w:rPr>
          <w:snapToGrid w:val="0"/>
        </w:rPr>
        <w:t>[s. 11(a)]</w:t>
      </w:r>
    </w:p>
    <w:p>
      <w:pPr>
        <w:pStyle w:val="yFootnoteheading"/>
      </w:pPr>
      <w:r>
        <w:tab/>
        <w:t>[Heading amended by No. 19 of 2010 s. 4.]</w:t>
      </w: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219"/>
      </w:tblGrid>
      <w:tr>
        <w:trPr>
          <w:tblHeader/>
        </w:trPr>
        <w:tc>
          <w:tcPr>
            <w:tcW w:w="737" w:type="dxa"/>
          </w:tcPr>
          <w:p>
            <w:pPr>
              <w:spacing w:before="40" w:after="40"/>
              <w:rPr>
                <w:i/>
                <w:sz w:val="22"/>
              </w:rPr>
            </w:pPr>
            <w:r>
              <w:rPr>
                <w:i/>
                <w:sz w:val="22"/>
              </w:rPr>
              <w:t>Item</w:t>
            </w:r>
          </w:p>
        </w:tc>
        <w:tc>
          <w:tcPr>
            <w:tcW w:w="5173" w:type="dxa"/>
          </w:tcPr>
          <w:p>
            <w:pPr>
              <w:pStyle w:val="yTable"/>
              <w:jc w:val="center"/>
              <w:rPr>
                <w:i/>
              </w:rPr>
            </w:pPr>
            <w:r>
              <w:rPr>
                <w:i/>
              </w:rPr>
              <w:t>Prohibited drug</w:t>
            </w:r>
          </w:p>
        </w:tc>
        <w:tc>
          <w:tcPr>
            <w:tcW w:w="1219"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c>
          <w:tcPr>
            <w:tcW w:w="737" w:type="dxa"/>
          </w:tcPr>
          <w:p>
            <w:pPr>
              <w:spacing w:before="40" w:after="40"/>
              <w:rPr>
                <w:sz w:val="22"/>
              </w:rPr>
            </w:pPr>
            <w:r>
              <w:rPr>
                <w:sz w:val="22"/>
              </w:rPr>
              <w:t>1.</w:t>
            </w:r>
          </w:p>
        </w:tc>
        <w:tc>
          <w:tcPr>
            <w:tcW w:w="5173" w:type="dxa"/>
          </w:tcPr>
          <w:p>
            <w:pPr>
              <w:pStyle w:val="yTable"/>
            </w:pPr>
            <w:r>
              <w:t>ACETORPHINE</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w:t>
            </w:r>
          </w:p>
        </w:tc>
        <w:tc>
          <w:tcPr>
            <w:tcW w:w="5173" w:type="dxa"/>
          </w:tcPr>
          <w:p>
            <w:pPr>
              <w:pStyle w:val="yTable"/>
              <w:ind w:left="548" w:hanging="548"/>
            </w:pPr>
            <w:r>
              <w:t>ACETYLDIHYDROCODEINE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w:t>
            </w:r>
          </w:p>
        </w:tc>
        <w:tc>
          <w:tcPr>
            <w:tcW w:w="5173" w:type="dxa"/>
          </w:tcPr>
          <w:p>
            <w:pPr>
              <w:pStyle w:val="yTable"/>
            </w:pPr>
            <w:r>
              <w:t>ACETYLMETHADOL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w:t>
            </w:r>
          </w:p>
        </w:tc>
        <w:tc>
          <w:tcPr>
            <w:tcW w:w="5173" w:type="dxa"/>
          </w:tcPr>
          <w:p>
            <w:pPr>
              <w:pStyle w:val="yTable"/>
            </w:pPr>
            <w:r>
              <w:t>ALLOBARBITONE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w:t>
            </w:r>
          </w:p>
        </w:tc>
        <w:tc>
          <w:tcPr>
            <w:tcW w:w="5173" w:type="dxa"/>
          </w:tcPr>
          <w:p>
            <w:pPr>
              <w:pStyle w:val="yTable"/>
            </w:pPr>
            <w:r>
              <w:t>ALLYLBARBITURIC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w:t>
            </w:r>
          </w:p>
        </w:tc>
        <w:tc>
          <w:tcPr>
            <w:tcW w:w="5173" w:type="dxa"/>
          </w:tcPr>
          <w:p>
            <w:pPr>
              <w:pStyle w:val="yTable"/>
            </w:pPr>
            <w:r>
              <w:t>ALLYLPRODINE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w:t>
            </w:r>
          </w:p>
        </w:tc>
        <w:tc>
          <w:tcPr>
            <w:tcW w:w="5173" w:type="dxa"/>
          </w:tcPr>
          <w:p>
            <w:pPr>
              <w:pStyle w:val="yTable"/>
            </w:pPr>
            <w:r>
              <w:t>ALPHACETYLMETHADOL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w:t>
            </w:r>
          </w:p>
        </w:tc>
        <w:tc>
          <w:tcPr>
            <w:tcW w:w="5173" w:type="dxa"/>
          </w:tcPr>
          <w:p>
            <w:pPr>
              <w:pStyle w:val="yTable"/>
            </w:pPr>
            <w:r>
              <w:t>ALPHAMEPRODINE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9.</w:t>
            </w:r>
          </w:p>
        </w:tc>
        <w:tc>
          <w:tcPr>
            <w:tcW w:w="5173" w:type="dxa"/>
          </w:tcPr>
          <w:p>
            <w:pPr>
              <w:pStyle w:val="yTable"/>
            </w:pPr>
            <w:r>
              <w:t>ALPHAMETHADOL</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10.</w:t>
            </w:r>
          </w:p>
        </w:tc>
        <w:tc>
          <w:tcPr>
            <w:tcW w:w="5173" w:type="dxa"/>
          </w:tcPr>
          <w:p>
            <w:pPr>
              <w:pStyle w:val="yTable"/>
            </w:pPr>
            <w:r>
              <w:t>ALPHAPRODINE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11.</w:t>
            </w:r>
          </w:p>
        </w:tc>
        <w:tc>
          <w:tcPr>
            <w:tcW w:w="5173" w:type="dxa"/>
          </w:tcPr>
          <w:p>
            <w:pPr>
              <w:pStyle w:val="yTable"/>
            </w:pPr>
            <w:r>
              <w:t>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w:t>
            </w:r>
          </w:p>
        </w:tc>
        <w:tc>
          <w:tcPr>
            <w:tcW w:w="5173" w:type="dxa"/>
          </w:tcPr>
          <w:p>
            <w:pPr>
              <w:pStyle w:val="yTable"/>
            </w:pPr>
            <w:r>
              <w:t>AMYLOBARBITONE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w:t>
            </w:r>
          </w:p>
        </w:tc>
        <w:tc>
          <w:tcPr>
            <w:tcW w:w="5173" w:type="dxa"/>
          </w:tcPr>
          <w:p>
            <w:pPr>
              <w:pStyle w:val="yTable"/>
            </w:pPr>
            <w:r>
              <w:t>ANILERIDINE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14.</w:t>
            </w:r>
          </w:p>
        </w:tc>
        <w:tc>
          <w:tcPr>
            <w:tcW w:w="5173" w:type="dxa"/>
          </w:tcPr>
          <w:p>
            <w:pPr>
              <w:pStyle w:val="yTable"/>
            </w:pPr>
            <w:r>
              <w:t>APROBARBITONE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15.</w:t>
            </w:r>
          </w:p>
        </w:tc>
        <w:tc>
          <w:tcPr>
            <w:tcW w:w="5173" w:type="dxa"/>
          </w:tcPr>
          <w:p>
            <w:pPr>
              <w:pStyle w:val="yTable"/>
            </w:pPr>
            <w:r>
              <w:t>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16.</w:t>
            </w:r>
          </w:p>
        </w:tc>
        <w:tc>
          <w:tcPr>
            <w:tcW w:w="5173" w:type="dxa"/>
          </w:tcPr>
          <w:p>
            <w:pPr>
              <w:pStyle w:val="yTable"/>
            </w:pPr>
            <w:r>
              <w:t>BENZETHIDINE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17.</w:t>
            </w:r>
          </w:p>
        </w:tc>
        <w:tc>
          <w:tcPr>
            <w:tcW w:w="5173" w:type="dxa"/>
          </w:tcPr>
          <w:p>
            <w:pPr>
              <w:pStyle w:val="yTable"/>
            </w:pPr>
            <w:r>
              <w:t>BENZYLMORPHINE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18.</w:t>
            </w:r>
          </w:p>
        </w:tc>
        <w:tc>
          <w:tcPr>
            <w:tcW w:w="5173" w:type="dxa"/>
          </w:tcPr>
          <w:p>
            <w:pPr>
              <w:pStyle w:val="yTable"/>
            </w:pPr>
            <w:r>
              <w:t>BETACETYLMETHADOL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19.</w:t>
            </w:r>
          </w:p>
        </w:tc>
        <w:tc>
          <w:tcPr>
            <w:tcW w:w="5173" w:type="dxa"/>
          </w:tcPr>
          <w:p>
            <w:pPr>
              <w:pStyle w:val="yTable"/>
            </w:pPr>
            <w:r>
              <w:t>BETAMEPRODINE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20.</w:t>
            </w:r>
          </w:p>
        </w:tc>
        <w:tc>
          <w:tcPr>
            <w:tcW w:w="5173" w:type="dxa"/>
          </w:tcPr>
          <w:p>
            <w:pPr>
              <w:pStyle w:val="yTable"/>
            </w:pPr>
            <w:r>
              <w:t>BETAMETHADOL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21.</w:t>
            </w:r>
          </w:p>
        </w:tc>
        <w:tc>
          <w:tcPr>
            <w:tcW w:w="5173" w:type="dxa"/>
          </w:tcPr>
          <w:p>
            <w:pPr>
              <w:pStyle w:val="yTable"/>
            </w:pPr>
            <w:r>
              <w:t>BETAPRODINE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22.</w:t>
            </w:r>
          </w:p>
        </w:tc>
        <w:tc>
          <w:tcPr>
            <w:tcW w:w="5173" w:type="dxa"/>
          </w:tcPr>
          <w:p>
            <w:pPr>
              <w:pStyle w:val="yTable"/>
            </w:pPr>
            <w:r>
              <w:t>BEZITRAMIDE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23.</w:t>
            </w:r>
          </w:p>
        </w:tc>
        <w:tc>
          <w:tcPr>
            <w:tcW w:w="5173" w:type="dxa"/>
          </w:tcPr>
          <w:p>
            <w:pPr>
              <w:pStyle w:val="yTable"/>
            </w:pPr>
            <w:r>
              <w:t>BUFOTENINE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24.</w:t>
            </w:r>
          </w:p>
        </w:tc>
        <w:tc>
          <w:tcPr>
            <w:tcW w:w="5173" w:type="dxa"/>
          </w:tcPr>
          <w:p>
            <w:pPr>
              <w:pStyle w:val="yTable"/>
            </w:pPr>
            <w:r>
              <w:t>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25.</w:t>
            </w:r>
          </w:p>
        </w:tc>
        <w:tc>
          <w:tcPr>
            <w:tcW w:w="5173" w:type="dxa"/>
          </w:tcPr>
          <w:p>
            <w:pPr>
              <w:pStyle w:val="yTable"/>
            </w:pPr>
            <w:r>
              <w:t>CANNABIS</w:t>
            </w:r>
          </w:p>
        </w:tc>
        <w:tc>
          <w:tcPr>
            <w:tcW w:w="1080" w:type="dxa"/>
          </w:tcPr>
          <w:p>
            <w:pPr>
              <w:tabs>
                <w:tab w:val="decimal" w:pos="439"/>
              </w:tabs>
              <w:spacing w:before="40" w:after="40"/>
              <w:rPr>
                <w:sz w:val="22"/>
              </w:rPr>
            </w:pPr>
            <w:r>
              <w:rPr>
                <w:sz w:val="22"/>
              </w:rPr>
              <w:t>100.0</w:t>
            </w:r>
          </w:p>
        </w:tc>
      </w:tr>
      <w:tr>
        <w:tc>
          <w:tcPr>
            <w:tcW w:w="737" w:type="dxa"/>
          </w:tcPr>
          <w:p>
            <w:pPr>
              <w:spacing w:before="40" w:after="40"/>
              <w:rPr>
                <w:sz w:val="22"/>
              </w:rPr>
            </w:pPr>
            <w:r>
              <w:rPr>
                <w:sz w:val="22"/>
              </w:rPr>
              <w:t>26.</w:t>
            </w:r>
          </w:p>
        </w:tc>
        <w:tc>
          <w:tcPr>
            <w:tcW w:w="5173" w:type="dxa"/>
          </w:tcPr>
          <w:p>
            <w:pPr>
              <w:pStyle w:val="yTable"/>
            </w:pPr>
            <w:r>
              <w:t>CANNABIS RESIN</w:t>
            </w:r>
          </w:p>
        </w:tc>
        <w:tc>
          <w:tcPr>
            <w:tcW w:w="1080" w:type="dxa"/>
          </w:tcPr>
          <w:p>
            <w:pPr>
              <w:tabs>
                <w:tab w:val="decimal" w:pos="439"/>
              </w:tabs>
              <w:spacing w:before="40" w:after="40"/>
              <w:rPr>
                <w:sz w:val="22"/>
              </w:rPr>
            </w:pPr>
            <w:r>
              <w:rPr>
                <w:sz w:val="22"/>
              </w:rPr>
              <w:t>20.0</w:t>
            </w:r>
          </w:p>
        </w:tc>
      </w:tr>
      <w:tr>
        <w:tc>
          <w:tcPr>
            <w:tcW w:w="737" w:type="dxa"/>
          </w:tcPr>
          <w:p>
            <w:pPr>
              <w:keepNext/>
              <w:spacing w:before="40" w:after="40"/>
              <w:rPr>
                <w:sz w:val="22"/>
              </w:rPr>
            </w:pPr>
            <w:r>
              <w:rPr>
                <w:sz w:val="22"/>
              </w:rPr>
              <w:t>27.</w:t>
            </w:r>
          </w:p>
        </w:tc>
        <w:tc>
          <w:tcPr>
            <w:tcW w:w="5173" w:type="dxa"/>
          </w:tcPr>
          <w:p>
            <w:pPr>
              <w:pStyle w:val="yTable"/>
            </w:pPr>
            <w:r>
              <w:t>CANNABIS (in cigarette form)</w:t>
            </w:r>
          </w:p>
        </w:tc>
        <w:tc>
          <w:tcPr>
            <w:tcW w:w="1080"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c>
          <w:tcPr>
            <w:tcW w:w="737" w:type="dxa"/>
          </w:tcPr>
          <w:p>
            <w:pPr>
              <w:spacing w:before="40" w:after="40"/>
              <w:rPr>
                <w:sz w:val="22"/>
              </w:rPr>
            </w:pPr>
            <w:r>
              <w:rPr>
                <w:sz w:val="22"/>
              </w:rPr>
              <w:t>28.</w:t>
            </w:r>
          </w:p>
        </w:tc>
        <w:tc>
          <w:tcPr>
            <w:tcW w:w="5173" w:type="dxa"/>
          </w:tcPr>
          <w:p>
            <w:pPr>
              <w:pStyle w:val="yTable"/>
            </w:pPr>
            <w:r>
              <w:t>CLONITAZENE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29.</w:t>
            </w:r>
          </w:p>
        </w:tc>
        <w:tc>
          <w:tcPr>
            <w:tcW w:w="5173" w:type="dxa"/>
          </w:tcPr>
          <w:p>
            <w:pPr>
              <w:pStyle w:val="yTable"/>
            </w:pPr>
            <w:r>
              <w:t>COCAINE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30.</w:t>
            </w:r>
          </w:p>
        </w:tc>
        <w:tc>
          <w:tcPr>
            <w:tcW w:w="5173" w:type="dxa"/>
          </w:tcPr>
          <w:p>
            <w:pPr>
              <w:pStyle w:val="yTable"/>
              <w:ind w:left="548" w:hanging="548"/>
            </w:pPr>
            <w:r>
              <w:t xml:space="preserve">CODEINE (except when included in Schedule 2, 3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31.</w:t>
            </w:r>
          </w:p>
        </w:tc>
        <w:tc>
          <w:tcPr>
            <w:tcW w:w="5173" w:type="dxa"/>
          </w:tcPr>
          <w:p>
            <w:pPr>
              <w:pStyle w:val="yTable"/>
            </w:pPr>
            <w:r>
              <w:t>CODEINE</w:t>
            </w:r>
            <w:r>
              <w:noBreakHyphen/>
              <w:t>N</w:t>
            </w:r>
            <w:r>
              <w:noBreakHyphen/>
              <w:t>OXIDE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32.</w:t>
            </w:r>
          </w:p>
        </w:tc>
        <w:tc>
          <w:tcPr>
            <w:tcW w:w="5173" w:type="dxa"/>
          </w:tcPr>
          <w:p>
            <w:pPr>
              <w:pStyle w:val="yTable"/>
            </w:pPr>
            <w:r>
              <w:t>CODOXINE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33.</w:t>
            </w:r>
          </w:p>
        </w:tc>
        <w:tc>
          <w:tcPr>
            <w:tcW w:w="5173" w:type="dxa"/>
          </w:tcPr>
          <w:p>
            <w:pPr>
              <w:pStyle w:val="yTable"/>
            </w:pPr>
            <w:r>
              <w:t>CYCLOBARBITONE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34.</w:t>
            </w:r>
          </w:p>
        </w:tc>
        <w:tc>
          <w:tcPr>
            <w:tcW w:w="5173" w:type="dxa"/>
          </w:tcPr>
          <w:p>
            <w:pPr>
              <w:pStyle w:val="yTable"/>
            </w:pPr>
            <w:r>
              <w:t>DESOMORPHINE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35.</w:t>
            </w:r>
          </w:p>
        </w:tc>
        <w:tc>
          <w:tcPr>
            <w:tcW w:w="5173" w:type="dxa"/>
          </w:tcPr>
          <w:p>
            <w:pPr>
              <w:pStyle w:val="yTable"/>
            </w:pPr>
            <w:r>
              <w:t>DEXAMPHETAMINE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36.</w:t>
            </w:r>
          </w:p>
        </w:tc>
        <w:tc>
          <w:tcPr>
            <w:tcW w:w="5173" w:type="dxa"/>
          </w:tcPr>
          <w:p>
            <w:pPr>
              <w:pStyle w:val="yTable"/>
            </w:pPr>
            <w:r>
              <w:t>DEXTROMORAMIDE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37.</w:t>
            </w:r>
          </w:p>
        </w:tc>
        <w:tc>
          <w:tcPr>
            <w:tcW w:w="5173" w:type="dxa"/>
          </w:tcPr>
          <w:p>
            <w:pPr>
              <w:pStyle w:val="yTable"/>
            </w:pPr>
            <w:r>
              <w:t>DIACETYLMORPHINE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38.</w:t>
            </w:r>
          </w:p>
        </w:tc>
        <w:tc>
          <w:tcPr>
            <w:tcW w:w="5173" w:type="dxa"/>
          </w:tcPr>
          <w:p>
            <w:pPr>
              <w:pStyle w:val="yTable"/>
            </w:pPr>
            <w:r>
              <w:t>DIAMPROMIDE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39.</w:t>
            </w:r>
          </w:p>
        </w:tc>
        <w:tc>
          <w:tcPr>
            <w:tcW w:w="5173" w:type="dxa"/>
          </w:tcPr>
          <w:p>
            <w:pPr>
              <w:pStyle w:val="yTable"/>
            </w:pPr>
            <w:r>
              <w:t>DIETHYLTHIAMBUTENE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40.</w:t>
            </w:r>
          </w:p>
        </w:tc>
        <w:tc>
          <w:tcPr>
            <w:tcW w:w="5173"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sz w:val="22"/>
              </w:rPr>
            </w:pPr>
            <w:r>
              <w:rPr>
                <w:sz w:val="22"/>
              </w:rPr>
              <w:t>41.</w:t>
            </w:r>
          </w:p>
        </w:tc>
        <w:tc>
          <w:tcPr>
            <w:tcW w:w="5173" w:type="dxa"/>
          </w:tcPr>
          <w:p>
            <w:pPr>
              <w:pStyle w:val="yTable"/>
              <w:ind w:left="548" w:hanging="548"/>
            </w:pPr>
            <w:r>
              <w:t xml:space="preserve">DIHYDROCODEINE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42.</w:t>
            </w:r>
          </w:p>
        </w:tc>
        <w:tc>
          <w:tcPr>
            <w:tcW w:w="5173" w:type="dxa"/>
          </w:tcPr>
          <w:p>
            <w:pPr>
              <w:pStyle w:val="yTable"/>
            </w:pPr>
            <w:r>
              <w:t>DIHYDROMORPHINE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43.</w:t>
            </w:r>
          </w:p>
        </w:tc>
        <w:tc>
          <w:tcPr>
            <w:tcW w:w="5173" w:type="dxa"/>
          </w:tcPr>
          <w:p>
            <w:pPr>
              <w:pStyle w:val="yTable"/>
            </w:pPr>
            <w:r>
              <w:t>DIMENOXADOL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44.</w:t>
            </w:r>
          </w:p>
        </w:tc>
        <w:tc>
          <w:tcPr>
            <w:tcW w:w="5173" w:type="dxa"/>
          </w:tcPr>
          <w:p>
            <w:pPr>
              <w:pStyle w:val="yTable"/>
            </w:pPr>
            <w:r>
              <w:t>DIMEPHEPTANOL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45.</w:t>
            </w:r>
          </w:p>
        </w:tc>
        <w:tc>
          <w:tcPr>
            <w:tcW w:w="5173" w:type="dxa"/>
          </w:tcPr>
          <w:p>
            <w:pPr>
              <w:pStyle w:val="yTable"/>
            </w:pPr>
            <w:r>
              <w:t>2, 5</w:t>
            </w:r>
            <w:r>
              <w:noBreakHyphen/>
              <w:t>DIMETHOXY</w:t>
            </w:r>
            <w:r>
              <w:noBreakHyphen/>
              <w:t>4</w:t>
            </w:r>
            <w:r>
              <w:noBreakHyphen/>
              <w:t>BROMOAMPHETAMINE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46.</w:t>
            </w:r>
          </w:p>
        </w:tc>
        <w:tc>
          <w:tcPr>
            <w:tcW w:w="5173" w:type="dxa"/>
          </w:tcPr>
          <w:p>
            <w:pPr>
              <w:pStyle w:val="yTable"/>
            </w:pPr>
            <w:r>
              <w:t>2, 5</w:t>
            </w:r>
            <w:r>
              <w:noBreakHyphen/>
              <w:t>DIMETHOXY</w:t>
            </w:r>
            <w:r>
              <w:noBreakHyphen/>
              <w:t>4</w:t>
            </w:r>
            <w:r>
              <w:noBreakHyphen/>
              <w:t>METHYLAMPHETAMINE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47.</w:t>
            </w:r>
          </w:p>
        </w:tc>
        <w:tc>
          <w:tcPr>
            <w:tcW w:w="5173" w:type="dxa"/>
          </w:tcPr>
          <w:p>
            <w:pPr>
              <w:pStyle w:val="yTable"/>
            </w:pPr>
            <w:r>
              <w:t>DIMETHYLTHIAMBUTENE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48.</w:t>
            </w:r>
          </w:p>
        </w:tc>
        <w:tc>
          <w:tcPr>
            <w:tcW w:w="5173" w:type="dxa"/>
          </w:tcPr>
          <w:p>
            <w:pPr>
              <w:pStyle w:val="yTable"/>
            </w:pPr>
            <w:r>
              <w:t>DIMETHYLTRYPTAMINE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49.</w:t>
            </w:r>
          </w:p>
        </w:tc>
        <w:tc>
          <w:tcPr>
            <w:tcW w:w="5173" w:type="dxa"/>
          </w:tcPr>
          <w:p>
            <w:pPr>
              <w:pStyle w:val="yTable"/>
            </w:pPr>
            <w:r>
              <w:t>DIOXAPHETYL BUTYRATE</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sz w:val="22"/>
              </w:rPr>
            </w:pPr>
            <w:r>
              <w:rPr>
                <w:sz w:val="22"/>
              </w:rPr>
              <w:t>50.</w:t>
            </w:r>
          </w:p>
        </w:tc>
        <w:tc>
          <w:tcPr>
            <w:tcW w:w="5173"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51.</w:t>
            </w:r>
          </w:p>
        </w:tc>
        <w:tc>
          <w:tcPr>
            <w:tcW w:w="5173" w:type="dxa"/>
          </w:tcPr>
          <w:p>
            <w:pPr>
              <w:pStyle w:val="yTable"/>
            </w:pPr>
            <w:r>
              <w:t>DIPIPANONE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52.</w:t>
            </w:r>
          </w:p>
        </w:tc>
        <w:tc>
          <w:tcPr>
            <w:tcW w:w="5173" w:type="dxa"/>
          </w:tcPr>
          <w:p>
            <w:pPr>
              <w:pStyle w:val="yTable"/>
            </w:pPr>
            <w:r>
              <w:t>DROTEBANOL</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53.</w:t>
            </w:r>
          </w:p>
        </w:tc>
        <w:tc>
          <w:tcPr>
            <w:tcW w:w="5173" w:type="dxa"/>
          </w:tcPr>
          <w:p>
            <w:pPr>
              <w:pStyle w:val="yTable"/>
              <w:ind w:left="548" w:hanging="548"/>
            </w:pPr>
            <w:r>
              <w:t>ECGONINE, ITS ESTERS AND DERIVATIVES which are convertible to ECGONINE AND COCAINE</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rFonts w:ascii="Times" w:hAnsi="Times"/>
                <w:spacing w:val="-6"/>
                <w:sz w:val="22"/>
              </w:rPr>
            </w:pPr>
            <w:r>
              <w:rPr>
                <w:rFonts w:ascii="Times" w:hAnsi="Times"/>
                <w:spacing w:val="-6"/>
                <w:sz w:val="22"/>
              </w:rPr>
              <w:t>53A.</w:t>
            </w:r>
          </w:p>
        </w:tc>
        <w:tc>
          <w:tcPr>
            <w:tcW w:w="5173" w:type="dxa"/>
          </w:tcPr>
          <w:p>
            <w:pPr>
              <w:pStyle w:val="yTable"/>
            </w:pPr>
            <w:r>
              <w:t>EPHEDRINE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54.</w:t>
            </w:r>
          </w:p>
        </w:tc>
        <w:tc>
          <w:tcPr>
            <w:tcW w:w="5173" w:type="dxa"/>
          </w:tcPr>
          <w:p>
            <w:pPr>
              <w:pStyle w:val="yTable"/>
            </w:pPr>
            <w:r>
              <w:t>ETHYLMETHYLTHIAMBUTENE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55.</w:t>
            </w:r>
          </w:p>
        </w:tc>
        <w:tc>
          <w:tcPr>
            <w:tcW w:w="5173" w:type="dxa"/>
          </w:tcPr>
          <w:p>
            <w:pPr>
              <w:pStyle w:val="yTable"/>
              <w:ind w:left="550" w:hanging="550"/>
            </w:pPr>
            <w:r>
              <w:t>ETHYLMORPHINE (and substances containing more than 2.5% of ethylmorphine)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56.</w:t>
            </w:r>
          </w:p>
        </w:tc>
        <w:tc>
          <w:tcPr>
            <w:tcW w:w="5173" w:type="dxa"/>
          </w:tcPr>
          <w:p>
            <w:pPr>
              <w:pStyle w:val="yTable"/>
            </w:pPr>
            <w:r>
              <w:t>ETONITAZENE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57.</w:t>
            </w:r>
          </w:p>
        </w:tc>
        <w:tc>
          <w:tcPr>
            <w:tcW w:w="5173" w:type="dxa"/>
          </w:tcPr>
          <w:p>
            <w:pPr>
              <w:pStyle w:val="yTable"/>
            </w:pPr>
            <w:r>
              <w:t>ETORPHINE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58.</w:t>
            </w:r>
          </w:p>
        </w:tc>
        <w:tc>
          <w:tcPr>
            <w:tcW w:w="5173" w:type="dxa"/>
          </w:tcPr>
          <w:p>
            <w:pPr>
              <w:pStyle w:val="yTable"/>
            </w:pPr>
            <w:r>
              <w:t>ETOXERIDINE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59.</w:t>
            </w:r>
          </w:p>
        </w:tc>
        <w:tc>
          <w:tcPr>
            <w:tcW w:w="5173" w:type="dxa"/>
          </w:tcPr>
          <w:p>
            <w:pPr>
              <w:pStyle w:val="yTable"/>
            </w:pPr>
            <w:r>
              <w:t>FENTANYL</w:t>
            </w:r>
          </w:p>
        </w:tc>
        <w:tc>
          <w:tcPr>
            <w:tcW w:w="1080" w:type="dxa"/>
          </w:tcPr>
          <w:p>
            <w:pPr>
              <w:tabs>
                <w:tab w:val="decimal" w:pos="439"/>
              </w:tabs>
              <w:spacing w:before="40" w:after="40"/>
              <w:rPr>
                <w:sz w:val="22"/>
              </w:rPr>
            </w:pPr>
            <w:r>
              <w:rPr>
                <w:sz w:val="22"/>
              </w:rPr>
              <w:t>0.005</w:t>
            </w:r>
          </w:p>
        </w:tc>
      </w:tr>
      <w:tr>
        <w:tc>
          <w:tcPr>
            <w:tcW w:w="737" w:type="dxa"/>
          </w:tcPr>
          <w:p>
            <w:pPr>
              <w:spacing w:before="40" w:after="40"/>
              <w:rPr>
                <w:sz w:val="22"/>
              </w:rPr>
            </w:pPr>
            <w:r>
              <w:rPr>
                <w:sz w:val="22"/>
              </w:rPr>
              <w:t>60.</w:t>
            </w:r>
          </w:p>
        </w:tc>
        <w:tc>
          <w:tcPr>
            <w:tcW w:w="5173" w:type="dxa"/>
          </w:tcPr>
          <w:p>
            <w:pPr>
              <w:pStyle w:val="yTable"/>
            </w:pPr>
            <w:r>
              <w:t>FURETHIDINE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61.</w:t>
            </w:r>
          </w:p>
        </w:tc>
        <w:tc>
          <w:tcPr>
            <w:tcW w:w="5173" w:type="dxa"/>
          </w:tcPr>
          <w:p>
            <w:pPr>
              <w:pStyle w:val="yTable"/>
              <w:ind w:left="548" w:hanging="548"/>
            </w:pPr>
            <w:r>
              <w:t>HALLUCINOGENIC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62.</w:t>
            </w:r>
          </w:p>
        </w:tc>
        <w:tc>
          <w:tcPr>
            <w:tcW w:w="5173" w:type="dxa"/>
          </w:tcPr>
          <w:p>
            <w:pPr>
              <w:pStyle w:val="yTable"/>
            </w:pPr>
            <w:r>
              <w:t>HEPTABARBITONE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63.</w:t>
            </w:r>
          </w:p>
        </w:tc>
        <w:tc>
          <w:tcPr>
            <w:tcW w:w="5173" w:type="dxa"/>
          </w:tcPr>
          <w:p>
            <w:pPr>
              <w:pStyle w:val="yTable"/>
            </w:pPr>
            <w:r>
              <w:t>HEROIN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64.</w:t>
            </w:r>
          </w:p>
        </w:tc>
        <w:tc>
          <w:tcPr>
            <w:tcW w:w="5173" w:type="dxa"/>
          </w:tcPr>
          <w:p>
            <w:pPr>
              <w:pStyle w:val="yTable"/>
            </w:pPr>
            <w:r>
              <w:t>HEXOBARBITONE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65.</w:t>
            </w:r>
          </w:p>
        </w:tc>
        <w:tc>
          <w:tcPr>
            <w:tcW w:w="5173" w:type="dxa"/>
          </w:tcPr>
          <w:p>
            <w:pPr>
              <w:pStyle w:val="yTable"/>
            </w:pPr>
            <w:r>
              <w:t>HYDROCODONE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66.</w:t>
            </w:r>
          </w:p>
        </w:tc>
        <w:tc>
          <w:tcPr>
            <w:tcW w:w="5173" w:type="dxa"/>
          </w:tcPr>
          <w:p>
            <w:pPr>
              <w:pStyle w:val="yTable"/>
            </w:pPr>
            <w:r>
              <w:t>HYDROMORPHINOL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67.</w:t>
            </w:r>
          </w:p>
        </w:tc>
        <w:tc>
          <w:tcPr>
            <w:tcW w:w="5173" w:type="dxa"/>
          </w:tcPr>
          <w:p>
            <w:pPr>
              <w:pStyle w:val="yTable"/>
            </w:pPr>
            <w:r>
              <w:t>HYDROMORPHONE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68.</w:t>
            </w:r>
          </w:p>
        </w:tc>
        <w:tc>
          <w:tcPr>
            <w:tcW w:w="5173" w:type="dxa"/>
          </w:tcPr>
          <w:p>
            <w:pPr>
              <w:pStyle w:val="yTable"/>
            </w:pPr>
            <w:r>
              <w:t>HYDROXYPETHIDINE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69.</w:t>
            </w:r>
          </w:p>
        </w:tc>
        <w:tc>
          <w:tcPr>
            <w:tcW w:w="5173" w:type="dxa"/>
          </w:tcPr>
          <w:p>
            <w:pPr>
              <w:pStyle w:val="yTable"/>
            </w:pPr>
            <w:r>
              <w:t>ISOMETHADONE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70.</w:t>
            </w:r>
          </w:p>
        </w:tc>
        <w:tc>
          <w:tcPr>
            <w:tcW w:w="5173" w:type="dxa"/>
          </w:tcPr>
          <w:p>
            <w:pPr>
              <w:pStyle w:val="yTable"/>
            </w:pPr>
            <w:r>
              <w:t>KETOBEMIDONE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71.</w:t>
            </w:r>
          </w:p>
        </w:tc>
        <w:tc>
          <w:tcPr>
            <w:tcW w:w="5173" w:type="dxa"/>
          </w:tcPr>
          <w:p>
            <w:pPr>
              <w:pStyle w:val="yTable"/>
            </w:pPr>
            <w:r>
              <w:t>LEVOMETHORPHAN</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72.</w:t>
            </w:r>
          </w:p>
        </w:tc>
        <w:tc>
          <w:tcPr>
            <w:tcW w:w="5173" w:type="dxa"/>
          </w:tcPr>
          <w:p>
            <w:pPr>
              <w:pStyle w:val="yTable"/>
            </w:pPr>
            <w:r>
              <w:t>LEVOMORAMIDE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73.</w:t>
            </w:r>
          </w:p>
        </w:tc>
        <w:tc>
          <w:tcPr>
            <w:tcW w:w="5173" w:type="dxa"/>
          </w:tcPr>
          <w:p>
            <w:pPr>
              <w:pStyle w:val="yTable"/>
            </w:pPr>
            <w:r>
              <w:t>LEVOPHENACYLMORPHAN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74.</w:t>
            </w:r>
          </w:p>
        </w:tc>
        <w:tc>
          <w:tcPr>
            <w:tcW w:w="5173" w:type="dxa"/>
          </w:tcPr>
          <w:p>
            <w:pPr>
              <w:pStyle w:val="yTable"/>
            </w:pPr>
            <w:r>
              <w:t>LEVORPHANOL</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75.</w:t>
            </w:r>
          </w:p>
        </w:tc>
        <w:tc>
          <w:tcPr>
            <w:tcW w:w="5173" w:type="dxa"/>
          </w:tcPr>
          <w:p>
            <w:pPr>
              <w:pStyle w:val="yTable"/>
            </w:pPr>
            <w:r>
              <w:t>LYSERGIC ACID DIETHYLAMIDE (LSD)</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76.</w:t>
            </w:r>
          </w:p>
        </w:tc>
        <w:tc>
          <w:tcPr>
            <w:tcW w:w="5173" w:type="dxa"/>
          </w:tcPr>
          <w:p>
            <w:pPr>
              <w:pStyle w:val="yTable"/>
            </w:pPr>
            <w:r>
              <w:t>MESCALINE</w:t>
            </w:r>
          </w:p>
        </w:tc>
        <w:tc>
          <w:tcPr>
            <w:tcW w:w="1080" w:type="dxa"/>
          </w:tcPr>
          <w:p>
            <w:pPr>
              <w:tabs>
                <w:tab w:val="decimal" w:pos="439"/>
              </w:tabs>
              <w:spacing w:before="40" w:after="40"/>
              <w:rPr>
                <w:sz w:val="22"/>
              </w:rPr>
            </w:pPr>
            <w:r>
              <w:rPr>
                <w:sz w:val="22"/>
              </w:rPr>
              <w:t>7.5</w:t>
            </w:r>
          </w:p>
        </w:tc>
      </w:tr>
      <w:tr>
        <w:tc>
          <w:tcPr>
            <w:tcW w:w="737" w:type="dxa"/>
          </w:tcPr>
          <w:p>
            <w:pPr>
              <w:spacing w:before="40" w:after="40"/>
              <w:rPr>
                <w:sz w:val="22"/>
              </w:rPr>
            </w:pPr>
            <w:r>
              <w:rPr>
                <w:sz w:val="22"/>
              </w:rPr>
              <w:t>77.</w:t>
            </w:r>
          </w:p>
        </w:tc>
        <w:tc>
          <w:tcPr>
            <w:tcW w:w="5173" w:type="dxa"/>
          </w:tcPr>
          <w:p>
            <w:pPr>
              <w:pStyle w:val="yTable"/>
            </w:pPr>
            <w:r>
              <w:t>METAZOCINE</w:t>
            </w:r>
          </w:p>
        </w:tc>
        <w:tc>
          <w:tcPr>
            <w:tcW w:w="1080" w:type="dxa"/>
          </w:tcPr>
          <w:p>
            <w:pPr>
              <w:tabs>
                <w:tab w:val="decimal" w:pos="439"/>
              </w:tabs>
              <w:spacing w:before="40" w:after="40"/>
              <w:rPr>
                <w:sz w:val="22"/>
              </w:rPr>
            </w:pPr>
            <w:r>
              <w:rPr>
                <w:sz w:val="22"/>
              </w:rPr>
              <w:t>7.0</w:t>
            </w:r>
          </w:p>
        </w:tc>
      </w:tr>
      <w:tr>
        <w:tc>
          <w:tcPr>
            <w:tcW w:w="737" w:type="dxa"/>
          </w:tcPr>
          <w:p>
            <w:pPr>
              <w:spacing w:before="40" w:after="40"/>
              <w:rPr>
                <w:sz w:val="22"/>
              </w:rPr>
            </w:pPr>
            <w:r>
              <w:rPr>
                <w:sz w:val="22"/>
              </w:rPr>
              <w:t>78.</w:t>
            </w:r>
          </w:p>
        </w:tc>
        <w:tc>
          <w:tcPr>
            <w:tcW w:w="5173" w:type="dxa"/>
          </w:tcPr>
          <w:p>
            <w:pPr>
              <w:pStyle w:val="yTable"/>
            </w:pPr>
            <w:r>
              <w:t>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79.</w:t>
            </w:r>
          </w:p>
        </w:tc>
        <w:tc>
          <w:tcPr>
            <w:tcW w:w="5173" w:type="dxa"/>
          </w:tcPr>
          <w:p>
            <w:pPr>
              <w:pStyle w:val="yTable"/>
            </w:pPr>
            <w:r>
              <w:t>METHADONE</w:t>
            </w:r>
            <w:r>
              <w:noBreakHyphen/>
              <w:t>INTERMEDIATE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80.</w:t>
            </w:r>
          </w:p>
        </w:tc>
        <w:tc>
          <w:tcPr>
            <w:tcW w:w="5173" w:type="dxa"/>
          </w:tcPr>
          <w:p>
            <w:pPr>
              <w:pStyle w:val="yTable"/>
            </w:pPr>
            <w:r>
              <w:t>METHAQUALONE</w:t>
            </w:r>
          </w:p>
        </w:tc>
        <w:tc>
          <w:tcPr>
            <w:tcW w:w="1080" w:type="dxa"/>
          </w:tcPr>
          <w:p>
            <w:pPr>
              <w:tabs>
                <w:tab w:val="decimal" w:pos="439"/>
              </w:tabs>
              <w:spacing w:before="40" w:after="40"/>
              <w:rPr>
                <w:sz w:val="22"/>
              </w:rPr>
            </w:pPr>
            <w:r>
              <w:rPr>
                <w:sz w:val="22"/>
              </w:rPr>
              <w:t>50.0</w:t>
            </w:r>
          </w:p>
        </w:tc>
      </w:tr>
      <w:tr>
        <w:tc>
          <w:tcPr>
            <w:tcW w:w="737" w:type="dxa"/>
          </w:tcPr>
          <w:p>
            <w:pPr>
              <w:spacing w:before="40" w:after="40"/>
              <w:rPr>
                <w:sz w:val="22"/>
              </w:rPr>
            </w:pPr>
            <w:r>
              <w:rPr>
                <w:sz w:val="22"/>
              </w:rPr>
              <w:t>81.</w:t>
            </w:r>
          </w:p>
        </w:tc>
        <w:tc>
          <w:tcPr>
            <w:tcW w:w="5173" w:type="dxa"/>
          </w:tcPr>
          <w:p>
            <w:pPr>
              <w:pStyle w:val="yTable"/>
            </w:pPr>
            <w:r>
              <w:t>METHARBITONE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82</w:t>
            </w:r>
          </w:p>
        </w:tc>
        <w:tc>
          <w:tcPr>
            <w:tcW w:w="5173" w:type="dxa"/>
          </w:tcPr>
          <w:p>
            <w:pPr>
              <w:pStyle w:val="yTable"/>
            </w:pPr>
            <w:r>
              <w:t>METHYLAMPHETAMINE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83.</w:t>
            </w:r>
          </w:p>
        </w:tc>
        <w:tc>
          <w:tcPr>
            <w:tcW w:w="5173" w:type="dxa"/>
          </w:tcPr>
          <w:p>
            <w:pPr>
              <w:pStyle w:val="yTable"/>
            </w:pPr>
            <w:r>
              <w:t>METHYLDESORPHINE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84.</w:t>
            </w:r>
          </w:p>
        </w:tc>
        <w:tc>
          <w:tcPr>
            <w:tcW w:w="5173" w:type="dxa"/>
          </w:tcPr>
          <w:p>
            <w:pPr>
              <w:pStyle w:val="yTable"/>
            </w:pPr>
            <w:r>
              <w:t>METHYLDIHYDROMORPHINE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rFonts w:ascii="Times" w:hAnsi="Times"/>
                <w:spacing w:val="-6"/>
                <w:sz w:val="22"/>
              </w:rPr>
            </w:pPr>
            <w:r>
              <w:rPr>
                <w:rFonts w:ascii="Times" w:hAnsi="Times"/>
                <w:spacing w:val="-6"/>
                <w:sz w:val="22"/>
              </w:rPr>
              <w:t>84A.</w:t>
            </w:r>
          </w:p>
        </w:tc>
        <w:tc>
          <w:tcPr>
            <w:tcW w:w="5173" w:type="dxa"/>
          </w:tcPr>
          <w:p>
            <w:pPr>
              <w:pStyle w:val="yTable"/>
            </w:pPr>
            <w:r>
              <w:t>3, 4</w:t>
            </w:r>
            <w:r>
              <w:noBreakHyphen/>
              <w:t>METHYLENEDIOXYAMPHETAMINE (MDA)</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rFonts w:ascii="Times" w:hAnsi="Times"/>
                <w:spacing w:val="-6"/>
                <w:sz w:val="22"/>
              </w:rPr>
            </w:pPr>
            <w:r>
              <w:rPr>
                <w:rFonts w:ascii="Times" w:hAnsi="Times"/>
                <w:spacing w:val="-6"/>
                <w:sz w:val="22"/>
              </w:rPr>
              <w:t>84B.</w:t>
            </w:r>
          </w:p>
        </w:tc>
        <w:tc>
          <w:tcPr>
            <w:tcW w:w="5173" w:type="dxa"/>
          </w:tcPr>
          <w:p>
            <w:pPr>
              <w:pStyle w:val="yTable"/>
              <w:ind w:left="548" w:hanging="548"/>
            </w:pPr>
            <w:r>
              <w:t>3, 4</w:t>
            </w:r>
            <w:r>
              <w:noBreakHyphen/>
              <w:t>METHYLENEDIOXY</w:t>
            </w:r>
            <w:r>
              <w:noBreakHyphen/>
              <w:t>N, ALPHA</w:t>
            </w:r>
            <w:r>
              <w:noBreakHyphen/>
              <w:t>DIMETHYLPHENYLETHYLAMINE (MDMA)</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85.</w:t>
            </w:r>
          </w:p>
        </w:tc>
        <w:tc>
          <w:tcPr>
            <w:tcW w:w="5173" w:type="dxa"/>
          </w:tcPr>
          <w:p>
            <w:pPr>
              <w:pStyle w:val="yTable"/>
            </w:pPr>
            <w:r>
              <w:t>METHYLPHENIDATE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86.</w:t>
            </w:r>
          </w:p>
        </w:tc>
        <w:tc>
          <w:tcPr>
            <w:tcW w:w="5173" w:type="dxa"/>
          </w:tcPr>
          <w:p>
            <w:pPr>
              <w:pStyle w:val="yTable"/>
            </w:pPr>
            <w:r>
              <w:t>METHYLPHENOBARBITONE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87.</w:t>
            </w:r>
          </w:p>
        </w:tc>
        <w:tc>
          <w:tcPr>
            <w:tcW w:w="5173"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88.</w:t>
            </w:r>
          </w:p>
        </w:tc>
        <w:tc>
          <w:tcPr>
            <w:tcW w:w="5173" w:type="dxa"/>
          </w:tcPr>
          <w:p>
            <w:pPr>
              <w:pStyle w:val="yTable"/>
            </w:pPr>
            <w:r>
              <w:t>METOPON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89.</w:t>
            </w:r>
          </w:p>
        </w:tc>
        <w:tc>
          <w:tcPr>
            <w:tcW w:w="5173" w:type="dxa"/>
          </w:tcPr>
          <w:p>
            <w:pPr>
              <w:pStyle w:val="yTable"/>
            </w:pPr>
            <w:r>
              <w:t>MORAMIDE</w:t>
            </w:r>
            <w:r>
              <w:noBreakHyphen/>
              <w:t>INTERMEDIATE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90.</w:t>
            </w:r>
          </w:p>
        </w:tc>
        <w:tc>
          <w:tcPr>
            <w:tcW w:w="5173" w:type="dxa"/>
          </w:tcPr>
          <w:p>
            <w:pPr>
              <w:pStyle w:val="yTable"/>
            </w:pPr>
            <w:r>
              <w:t>MORPHERIDINE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91.</w:t>
            </w:r>
          </w:p>
        </w:tc>
        <w:tc>
          <w:tcPr>
            <w:tcW w:w="5173" w:type="dxa"/>
          </w:tcPr>
          <w:p>
            <w:pPr>
              <w:pStyle w:val="yTable"/>
            </w:pPr>
            <w:r>
              <w:t>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92.</w:t>
            </w:r>
          </w:p>
        </w:tc>
        <w:tc>
          <w:tcPr>
            <w:tcW w:w="5173" w:type="dxa"/>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keepNext/>
              <w:keepLines/>
              <w:spacing w:before="40" w:after="40"/>
              <w:rPr>
                <w:sz w:val="22"/>
              </w:rPr>
            </w:pPr>
            <w:r>
              <w:rPr>
                <w:sz w:val="22"/>
              </w:rPr>
              <w:t>93.</w:t>
            </w:r>
          </w:p>
        </w:tc>
        <w:tc>
          <w:tcPr>
            <w:tcW w:w="5173" w:type="dxa"/>
          </w:tcPr>
          <w:p>
            <w:pPr>
              <w:pStyle w:val="yTable"/>
              <w:ind w:left="548" w:hanging="548"/>
            </w:pPr>
            <w:r>
              <w:t>MORPHINE METHOBROMIDE AND OTHER PENTAVALENT NITROGEN MORPHINE DERIVATIVES</w:t>
            </w:r>
          </w:p>
        </w:tc>
        <w:tc>
          <w:tcPr>
            <w:tcW w:w="1080" w:type="dxa"/>
          </w:tcPr>
          <w:p>
            <w:pPr>
              <w:keepNext/>
              <w:keepLines/>
              <w:tabs>
                <w:tab w:val="decimal" w:pos="439"/>
              </w:tabs>
              <w:spacing w:before="40" w:after="40"/>
              <w:rPr>
                <w:sz w:val="22"/>
              </w:rPr>
            </w:pPr>
            <w:r>
              <w:rPr>
                <w:sz w:val="22"/>
              </w:rPr>
              <w:t>2.0</w:t>
            </w:r>
          </w:p>
        </w:tc>
      </w:tr>
      <w:tr>
        <w:tc>
          <w:tcPr>
            <w:tcW w:w="737" w:type="dxa"/>
          </w:tcPr>
          <w:p>
            <w:pPr>
              <w:spacing w:before="40" w:after="40"/>
              <w:rPr>
                <w:sz w:val="22"/>
              </w:rPr>
            </w:pPr>
            <w:r>
              <w:rPr>
                <w:sz w:val="22"/>
              </w:rPr>
              <w:t>94.</w:t>
            </w:r>
          </w:p>
        </w:tc>
        <w:tc>
          <w:tcPr>
            <w:tcW w:w="5173" w:type="dxa"/>
          </w:tcPr>
          <w:p>
            <w:pPr>
              <w:pStyle w:val="yTable"/>
            </w:pPr>
            <w:r>
              <w:t>MORPHINE</w:t>
            </w:r>
            <w:r>
              <w:noBreakHyphen/>
              <w:t>N</w:t>
            </w:r>
            <w:r>
              <w:noBreakHyphen/>
              <w:t>OXIDE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95.</w:t>
            </w:r>
          </w:p>
        </w:tc>
        <w:tc>
          <w:tcPr>
            <w:tcW w:w="5173" w:type="dxa"/>
          </w:tcPr>
          <w:p>
            <w:pPr>
              <w:pStyle w:val="yTable"/>
              <w:ind w:left="548" w:hanging="548"/>
            </w:pPr>
            <w:r>
              <w:t>MORPHINE SUBSTITUTES (not specifically included elsewhere in this Schedule)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96.</w:t>
            </w:r>
          </w:p>
        </w:tc>
        <w:tc>
          <w:tcPr>
            <w:tcW w:w="5173" w:type="dxa"/>
          </w:tcPr>
          <w:p>
            <w:pPr>
              <w:pStyle w:val="yTable"/>
            </w:pPr>
            <w:r>
              <w:t>MYROPHINE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97.</w:t>
            </w:r>
          </w:p>
        </w:tc>
        <w:tc>
          <w:tcPr>
            <w:tcW w:w="5173" w:type="dxa"/>
          </w:tcPr>
          <w:p>
            <w:pPr>
              <w:pStyle w:val="yTable"/>
            </w:pPr>
            <w:r>
              <w:t>NEALBARBITONE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98.</w:t>
            </w:r>
          </w:p>
        </w:tc>
        <w:tc>
          <w:tcPr>
            <w:tcW w:w="5173" w:type="dxa"/>
          </w:tcPr>
          <w:p>
            <w:pPr>
              <w:pStyle w:val="yTable"/>
              <w:ind w:left="548" w:hanging="548"/>
            </w:pPr>
            <w:r>
              <w:t xml:space="preserve">NICOCODINE (except when included in Schedule 2 or 4 in Appendix A to the </w:t>
            </w:r>
            <w:r>
              <w:rPr>
                <w:i/>
                <w:iCs/>
              </w:rPr>
              <w:t>Poisons Act 1964</w:t>
            </w:r>
            <w:r>
              <w:t>)</w:t>
            </w:r>
          </w:p>
        </w:tc>
        <w:tc>
          <w:tcPr>
            <w:tcW w:w="1080" w:type="dxa"/>
          </w:tcPr>
          <w:p>
            <w:pPr>
              <w:keepNext/>
              <w:tabs>
                <w:tab w:val="decimal" w:pos="439"/>
              </w:tabs>
              <w:spacing w:before="40" w:after="40"/>
              <w:rPr>
                <w:sz w:val="22"/>
              </w:rPr>
            </w:pPr>
            <w:r>
              <w:rPr>
                <w:sz w:val="22"/>
              </w:rPr>
              <w:t>2.0</w:t>
            </w:r>
          </w:p>
        </w:tc>
      </w:tr>
      <w:tr>
        <w:trPr>
          <w:cantSplit/>
        </w:trPr>
        <w:tc>
          <w:tcPr>
            <w:tcW w:w="737" w:type="dxa"/>
          </w:tcPr>
          <w:p>
            <w:pPr>
              <w:spacing w:before="40" w:after="40"/>
              <w:rPr>
                <w:sz w:val="22"/>
              </w:rPr>
            </w:pPr>
            <w:r>
              <w:rPr>
                <w:sz w:val="22"/>
              </w:rPr>
              <w:t>99.</w:t>
            </w:r>
          </w:p>
        </w:tc>
        <w:tc>
          <w:tcPr>
            <w:tcW w:w="5173" w:type="dxa"/>
          </w:tcPr>
          <w:p>
            <w:pPr>
              <w:pStyle w:val="yTable"/>
              <w:ind w:left="548" w:hanging="548"/>
            </w:pPr>
            <w:r>
              <w:t xml:space="preserve">NICODICODINE (except when included in Schedule 2 or 4 in Appendix A to the </w:t>
            </w:r>
            <w:r>
              <w:rPr>
                <w:i/>
                <w:iCs/>
              </w:rPr>
              <w:t>Poisons</w:t>
            </w:r>
            <w:r>
              <w:t xml:space="preserve"> </w:t>
            </w:r>
            <w:r>
              <w:rPr>
                <w:i/>
                <w:iCs/>
              </w:rPr>
              <w:t>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100.</w:t>
            </w:r>
          </w:p>
        </w:tc>
        <w:tc>
          <w:tcPr>
            <w:tcW w:w="5173" w:type="dxa"/>
          </w:tcPr>
          <w:p>
            <w:pPr>
              <w:pStyle w:val="yTable"/>
            </w:pPr>
            <w:r>
              <w:t>NICOMORPHINE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101.</w:t>
            </w:r>
          </w:p>
        </w:tc>
        <w:tc>
          <w:tcPr>
            <w:tcW w:w="5173" w:type="dxa"/>
          </w:tcPr>
          <w:p>
            <w:pPr>
              <w:pStyle w:val="yTable"/>
            </w:pPr>
            <w:r>
              <w:t>NORACYMETHADOL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102.</w:t>
            </w:r>
          </w:p>
        </w:tc>
        <w:tc>
          <w:tcPr>
            <w:tcW w:w="5173" w:type="dxa"/>
          </w:tcPr>
          <w:p>
            <w:pPr>
              <w:pStyle w:val="yTable"/>
              <w:ind w:left="548" w:hanging="548"/>
            </w:pPr>
            <w:r>
              <w:t xml:space="preserve">NORCODEINE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103.</w:t>
            </w:r>
          </w:p>
        </w:tc>
        <w:tc>
          <w:tcPr>
            <w:tcW w:w="5173" w:type="dxa"/>
          </w:tcPr>
          <w:p>
            <w:pPr>
              <w:pStyle w:val="yTable"/>
            </w:pPr>
            <w:r>
              <w:t>NORLEVORPHANOL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104.</w:t>
            </w:r>
          </w:p>
        </w:tc>
        <w:tc>
          <w:tcPr>
            <w:tcW w:w="5173" w:type="dxa"/>
          </w:tcPr>
          <w:p>
            <w:pPr>
              <w:pStyle w:val="yTable"/>
            </w:pPr>
            <w:r>
              <w:t>NORMETHADONE</w:t>
            </w:r>
          </w:p>
        </w:tc>
        <w:tc>
          <w:tcPr>
            <w:tcW w:w="1080" w:type="dxa"/>
          </w:tcPr>
          <w:p>
            <w:pPr>
              <w:tabs>
                <w:tab w:val="decimal" w:pos="439"/>
              </w:tabs>
              <w:spacing w:before="40" w:after="40"/>
              <w:rPr>
                <w:sz w:val="22"/>
              </w:rPr>
            </w:pPr>
            <w:r>
              <w:rPr>
                <w:sz w:val="22"/>
              </w:rPr>
              <w:t>0.5</w:t>
            </w:r>
          </w:p>
        </w:tc>
      </w:tr>
      <w:tr>
        <w:tc>
          <w:tcPr>
            <w:tcW w:w="737" w:type="dxa"/>
          </w:tcPr>
          <w:p>
            <w:pPr>
              <w:spacing w:before="40" w:after="40"/>
              <w:rPr>
                <w:sz w:val="22"/>
              </w:rPr>
            </w:pPr>
            <w:r>
              <w:rPr>
                <w:sz w:val="22"/>
              </w:rPr>
              <w:t>105.</w:t>
            </w:r>
          </w:p>
        </w:tc>
        <w:tc>
          <w:tcPr>
            <w:tcW w:w="5173" w:type="dxa"/>
          </w:tcPr>
          <w:p>
            <w:pPr>
              <w:pStyle w:val="yTable"/>
            </w:pPr>
            <w:r>
              <w:t>NORMORPHINE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106.</w:t>
            </w:r>
          </w:p>
        </w:tc>
        <w:tc>
          <w:tcPr>
            <w:tcW w:w="5173" w:type="dxa"/>
          </w:tcPr>
          <w:p>
            <w:pPr>
              <w:pStyle w:val="yTable"/>
            </w:pPr>
            <w:r>
              <w:t>NORPIPANONE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107.</w:t>
            </w:r>
          </w:p>
        </w:tc>
        <w:tc>
          <w:tcPr>
            <w:tcW w:w="5173" w:type="dxa"/>
          </w:tcPr>
          <w:p>
            <w:pPr>
              <w:pStyle w:val="yTable"/>
            </w:pPr>
            <w:r>
              <w:t>OPIUM</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108.</w:t>
            </w:r>
          </w:p>
        </w:tc>
        <w:tc>
          <w:tcPr>
            <w:tcW w:w="5173" w:type="dxa"/>
          </w:tcPr>
          <w:p>
            <w:pPr>
              <w:pStyle w:val="yTable"/>
            </w:pPr>
            <w:r>
              <w:t>OXYCODONE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109.</w:t>
            </w:r>
          </w:p>
        </w:tc>
        <w:tc>
          <w:tcPr>
            <w:tcW w:w="5173" w:type="dxa"/>
          </w:tcPr>
          <w:p>
            <w:pPr>
              <w:pStyle w:val="yTable"/>
            </w:pPr>
            <w:r>
              <w:t>OXYMORPHONE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110.</w:t>
            </w:r>
          </w:p>
        </w:tc>
        <w:tc>
          <w:tcPr>
            <w:tcW w:w="5173" w:type="dxa"/>
          </w:tcPr>
          <w:p>
            <w:pPr>
              <w:pStyle w:val="yTable"/>
            </w:pPr>
            <w:r>
              <w:t>PENTAZOCINE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111.</w:t>
            </w:r>
          </w:p>
        </w:tc>
        <w:tc>
          <w:tcPr>
            <w:tcW w:w="5173" w:type="dxa"/>
          </w:tcPr>
          <w:p>
            <w:pPr>
              <w:pStyle w:val="yTable"/>
            </w:pPr>
            <w:r>
              <w:t>PENTOBARBITONE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112.</w:t>
            </w:r>
          </w:p>
        </w:tc>
        <w:tc>
          <w:tcPr>
            <w:tcW w:w="5173" w:type="dxa"/>
          </w:tcPr>
          <w:p>
            <w:pPr>
              <w:pStyle w:val="yTable"/>
            </w:pPr>
            <w:r>
              <w:t>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113.</w:t>
            </w:r>
          </w:p>
        </w:tc>
        <w:tc>
          <w:tcPr>
            <w:tcW w:w="5173" w:type="dxa"/>
          </w:tcPr>
          <w:p>
            <w:pPr>
              <w:pStyle w:val="yTable"/>
            </w:pPr>
            <w:r>
              <w:t>PETHIDINE</w:t>
            </w:r>
            <w:r>
              <w:noBreakHyphen/>
              <w:t>INTERMEDIATE A</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114.</w:t>
            </w:r>
          </w:p>
        </w:tc>
        <w:tc>
          <w:tcPr>
            <w:tcW w:w="5173" w:type="dxa"/>
          </w:tcPr>
          <w:p>
            <w:pPr>
              <w:pStyle w:val="yTable"/>
            </w:pPr>
            <w:r>
              <w:t>PETHIDINE</w:t>
            </w:r>
            <w:r>
              <w:noBreakHyphen/>
              <w:t>INTERMEDIATE B</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115.</w:t>
            </w:r>
          </w:p>
        </w:tc>
        <w:tc>
          <w:tcPr>
            <w:tcW w:w="5173" w:type="dxa"/>
          </w:tcPr>
          <w:p>
            <w:pPr>
              <w:pStyle w:val="yTable"/>
            </w:pPr>
            <w:r>
              <w:t>PETHIDINE</w:t>
            </w:r>
            <w:r>
              <w:noBreakHyphen/>
              <w:t>INTERMEDIATE C</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116.</w:t>
            </w:r>
          </w:p>
        </w:tc>
        <w:tc>
          <w:tcPr>
            <w:tcW w:w="5173" w:type="dxa"/>
          </w:tcPr>
          <w:p>
            <w:pPr>
              <w:pStyle w:val="yTable"/>
            </w:pPr>
            <w:r>
              <w:t>PHENADOXONE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117.</w:t>
            </w:r>
          </w:p>
        </w:tc>
        <w:tc>
          <w:tcPr>
            <w:tcW w:w="5173" w:type="dxa"/>
          </w:tcPr>
          <w:p>
            <w:pPr>
              <w:pStyle w:val="yTable"/>
            </w:pPr>
            <w:r>
              <w:t>PHENAMPROMIDE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118.</w:t>
            </w:r>
          </w:p>
        </w:tc>
        <w:tc>
          <w:tcPr>
            <w:tcW w:w="5173" w:type="dxa"/>
          </w:tcPr>
          <w:p>
            <w:pPr>
              <w:pStyle w:val="yTable"/>
            </w:pPr>
            <w:r>
              <w:t>PHENAZOCINE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119.</w:t>
            </w:r>
          </w:p>
        </w:tc>
        <w:tc>
          <w:tcPr>
            <w:tcW w:w="5173" w:type="dxa"/>
          </w:tcPr>
          <w:p>
            <w:pPr>
              <w:pStyle w:val="yTable"/>
            </w:pPr>
            <w:r>
              <w:t>PHENCYCLIDINE</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120.</w:t>
            </w:r>
          </w:p>
        </w:tc>
        <w:tc>
          <w:tcPr>
            <w:tcW w:w="5173" w:type="dxa"/>
          </w:tcPr>
          <w:p>
            <w:pPr>
              <w:pStyle w:val="yTable"/>
            </w:pPr>
            <w:r>
              <w:t>PHENMETRAZINE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121.</w:t>
            </w:r>
          </w:p>
        </w:tc>
        <w:tc>
          <w:tcPr>
            <w:tcW w:w="5173" w:type="dxa"/>
          </w:tcPr>
          <w:p>
            <w:pPr>
              <w:pStyle w:val="yTable"/>
            </w:pPr>
            <w:r>
              <w:t>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122.</w:t>
            </w:r>
          </w:p>
        </w:tc>
        <w:tc>
          <w:tcPr>
            <w:tcW w:w="5173" w:type="dxa"/>
          </w:tcPr>
          <w:p>
            <w:pPr>
              <w:pStyle w:val="yTable"/>
            </w:pPr>
            <w:r>
              <w:t>PHENOMORPHAN</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123.</w:t>
            </w:r>
          </w:p>
        </w:tc>
        <w:tc>
          <w:tcPr>
            <w:tcW w:w="5173" w:type="dxa"/>
          </w:tcPr>
          <w:p>
            <w:pPr>
              <w:pStyle w:val="yTable"/>
            </w:pPr>
            <w:r>
              <w:t>PHENOPERIDINE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124.</w:t>
            </w:r>
          </w:p>
        </w:tc>
        <w:tc>
          <w:tcPr>
            <w:tcW w:w="5173" w:type="dxa"/>
          </w:tcPr>
          <w:p>
            <w:pPr>
              <w:pStyle w:val="yTable"/>
            </w:pPr>
            <w:r>
              <w:t>PHENYLMETHYLBARBITURIC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125.</w:t>
            </w:r>
          </w:p>
        </w:tc>
        <w:tc>
          <w:tcPr>
            <w:tcW w:w="5173" w:type="dxa"/>
          </w:tcPr>
          <w:p>
            <w:pPr>
              <w:pStyle w:val="yTable"/>
              <w:ind w:left="548" w:hanging="548"/>
            </w:pPr>
            <w:r>
              <w:t xml:space="preserve">PHOLCODINE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126.</w:t>
            </w:r>
          </w:p>
        </w:tc>
        <w:tc>
          <w:tcPr>
            <w:tcW w:w="5173" w:type="dxa"/>
          </w:tcPr>
          <w:p>
            <w:pPr>
              <w:pStyle w:val="yTable"/>
            </w:pPr>
            <w:r>
              <w:t>PIMINODINE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127.</w:t>
            </w:r>
          </w:p>
        </w:tc>
        <w:tc>
          <w:tcPr>
            <w:tcW w:w="5173" w:type="dxa"/>
          </w:tcPr>
          <w:p>
            <w:pPr>
              <w:pStyle w:val="yTable"/>
            </w:pPr>
            <w:r>
              <w:t>PIRITRAMIDE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128.</w:t>
            </w:r>
          </w:p>
        </w:tc>
        <w:tc>
          <w:tcPr>
            <w:tcW w:w="5173" w:type="dxa"/>
          </w:tcPr>
          <w:p>
            <w:pPr>
              <w:pStyle w:val="yTable"/>
            </w:pPr>
            <w:r>
              <w:t>PROHEPTAZINE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129.</w:t>
            </w:r>
          </w:p>
        </w:tc>
        <w:tc>
          <w:tcPr>
            <w:tcW w:w="5173" w:type="dxa"/>
          </w:tcPr>
          <w:p>
            <w:pPr>
              <w:pStyle w:val="yTable"/>
            </w:pPr>
            <w:r>
              <w:t>PROPERIDINE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130.</w:t>
            </w:r>
          </w:p>
        </w:tc>
        <w:tc>
          <w:tcPr>
            <w:tcW w:w="5173" w:type="dxa"/>
          </w:tcPr>
          <w:p>
            <w:pPr>
              <w:pStyle w:val="yTable"/>
            </w:pPr>
            <w:r>
              <w:t>PROPIRAM</w:t>
            </w:r>
          </w:p>
        </w:tc>
        <w:tc>
          <w:tcPr>
            <w:tcW w:w="1080" w:type="dxa"/>
          </w:tcPr>
          <w:p>
            <w:pPr>
              <w:tabs>
                <w:tab w:val="decimal" w:pos="439"/>
              </w:tabs>
              <w:spacing w:before="40" w:after="40"/>
              <w:rPr>
                <w:sz w:val="22"/>
              </w:rPr>
            </w:pPr>
            <w:r>
              <w:rPr>
                <w:sz w:val="22"/>
              </w:rPr>
              <w:t>4.0</w:t>
            </w:r>
          </w:p>
        </w:tc>
      </w:tr>
      <w:tr>
        <w:tc>
          <w:tcPr>
            <w:tcW w:w="737" w:type="dxa"/>
          </w:tcPr>
          <w:p>
            <w:pPr>
              <w:spacing w:before="40" w:after="40"/>
              <w:rPr>
                <w:sz w:val="22"/>
              </w:rPr>
            </w:pPr>
            <w:r>
              <w:rPr>
                <w:sz w:val="22"/>
              </w:rPr>
              <w:t>131.</w:t>
            </w:r>
          </w:p>
        </w:tc>
        <w:tc>
          <w:tcPr>
            <w:tcW w:w="5173" w:type="dxa"/>
          </w:tcPr>
          <w:p>
            <w:pPr>
              <w:pStyle w:val="yTable"/>
            </w:pPr>
            <w:r>
              <w:t>PSILOCIN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132.</w:t>
            </w:r>
          </w:p>
        </w:tc>
        <w:tc>
          <w:tcPr>
            <w:tcW w:w="5173" w:type="dxa"/>
          </w:tcPr>
          <w:p>
            <w:pPr>
              <w:pStyle w:val="yTable"/>
            </w:pPr>
            <w:r>
              <w:t>PSILOCYBIN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133.</w:t>
            </w:r>
          </w:p>
        </w:tc>
        <w:tc>
          <w:tcPr>
            <w:tcW w:w="5173" w:type="dxa"/>
          </w:tcPr>
          <w:p>
            <w:pPr>
              <w:pStyle w:val="yTable"/>
              <w:ind w:left="548" w:hanging="548"/>
            </w:pPr>
            <w:r>
              <w:t>PSYCHOTOMIMETIC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134.</w:t>
            </w:r>
          </w:p>
        </w:tc>
        <w:tc>
          <w:tcPr>
            <w:tcW w:w="5173" w:type="dxa"/>
          </w:tcPr>
          <w:p>
            <w:pPr>
              <w:pStyle w:val="yTable"/>
            </w:pPr>
            <w:r>
              <w:t>QUINALBARBITONE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135.</w:t>
            </w:r>
          </w:p>
        </w:tc>
        <w:tc>
          <w:tcPr>
            <w:tcW w:w="5173" w:type="dxa"/>
          </w:tcPr>
          <w:p>
            <w:pPr>
              <w:pStyle w:val="yTable"/>
            </w:pPr>
            <w:r>
              <w:t>RACEMETHORPHAN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136.</w:t>
            </w:r>
          </w:p>
        </w:tc>
        <w:tc>
          <w:tcPr>
            <w:tcW w:w="5173" w:type="dxa"/>
          </w:tcPr>
          <w:p>
            <w:pPr>
              <w:pStyle w:val="yTable"/>
            </w:pPr>
            <w:r>
              <w:t>RACEMORAMIDE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137.</w:t>
            </w:r>
          </w:p>
        </w:tc>
        <w:tc>
          <w:tcPr>
            <w:tcW w:w="5173" w:type="dxa"/>
          </w:tcPr>
          <w:p>
            <w:pPr>
              <w:pStyle w:val="yTable"/>
            </w:pPr>
            <w:r>
              <w:t>RACEMORPHAN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138.</w:t>
            </w:r>
          </w:p>
        </w:tc>
        <w:tc>
          <w:tcPr>
            <w:tcW w:w="5173" w:type="dxa"/>
          </w:tcPr>
          <w:p>
            <w:pPr>
              <w:pStyle w:val="yTable"/>
            </w:pPr>
            <w:r>
              <w:t>SECBUTOBARBITONE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139.</w:t>
            </w:r>
          </w:p>
        </w:tc>
        <w:tc>
          <w:tcPr>
            <w:tcW w:w="5173" w:type="dxa"/>
          </w:tcPr>
          <w:p>
            <w:pPr>
              <w:pStyle w:val="yTable"/>
            </w:pPr>
            <w:r>
              <w:t>TALBUTAL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140.</w:t>
            </w:r>
          </w:p>
        </w:tc>
        <w:tc>
          <w:tcPr>
            <w:tcW w:w="5173" w:type="dxa"/>
          </w:tcPr>
          <w:p>
            <w:pPr>
              <w:pStyle w:val="yTable"/>
            </w:pPr>
            <w:r>
              <w:t>TETRAHYDROCANNABINOLS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141.</w:t>
            </w:r>
          </w:p>
        </w:tc>
        <w:tc>
          <w:tcPr>
            <w:tcW w:w="5173" w:type="dxa"/>
          </w:tcPr>
          <w:p>
            <w:pPr>
              <w:pStyle w:val="yTable"/>
            </w:pPr>
            <w:r>
              <w:t>THEBACON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142.</w:t>
            </w:r>
          </w:p>
        </w:tc>
        <w:tc>
          <w:tcPr>
            <w:tcW w:w="5173" w:type="dxa"/>
          </w:tcPr>
          <w:p>
            <w:pPr>
              <w:pStyle w:val="yTable"/>
            </w:pPr>
            <w:r>
              <w:t>THEBAINE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143.</w:t>
            </w:r>
          </w:p>
        </w:tc>
        <w:tc>
          <w:tcPr>
            <w:tcW w:w="5173" w:type="dxa"/>
          </w:tcPr>
          <w:p>
            <w:pPr>
              <w:pStyle w:val="yTable"/>
            </w:pPr>
            <w:r>
              <w:t>TRIMEPERIDINE</w:t>
            </w:r>
          </w:p>
        </w:tc>
        <w:tc>
          <w:tcPr>
            <w:tcW w:w="1080" w:type="dxa"/>
          </w:tcPr>
          <w:p>
            <w:pPr>
              <w:keepNext/>
              <w:tabs>
                <w:tab w:val="decimal" w:pos="439"/>
              </w:tabs>
              <w:spacing w:before="40" w:after="40"/>
              <w:rPr>
                <w:sz w:val="22"/>
              </w:rPr>
            </w:pPr>
            <w:r>
              <w:rPr>
                <w:sz w:val="22"/>
              </w:rPr>
              <w:t>10.0</w:t>
            </w:r>
          </w:p>
        </w:tc>
      </w:tr>
      <w:tr>
        <w:tc>
          <w:tcPr>
            <w:tcW w:w="737" w:type="dxa"/>
          </w:tcPr>
          <w:p>
            <w:pPr>
              <w:keepNext/>
              <w:spacing w:before="40" w:after="40"/>
              <w:rPr>
                <w:sz w:val="22"/>
              </w:rPr>
            </w:pPr>
            <w:r>
              <w:rPr>
                <w:sz w:val="22"/>
              </w:rPr>
              <w:t>144.</w:t>
            </w:r>
          </w:p>
        </w:tc>
        <w:tc>
          <w:tcPr>
            <w:tcW w:w="5173" w:type="dxa"/>
          </w:tcPr>
          <w:p>
            <w:pPr>
              <w:pStyle w:val="yTable"/>
            </w:pPr>
            <w:r>
              <w:t>VINBARBITONE</w:t>
            </w:r>
          </w:p>
        </w:tc>
        <w:tc>
          <w:tcPr>
            <w:tcW w:w="1080"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w:t>
      </w:r>
    </w:p>
    <w:p>
      <w:pPr>
        <w:pStyle w:val="yScheduleHeading"/>
      </w:pPr>
      <w:bookmarkStart w:id="733" w:name="_Toc535053914"/>
      <w:bookmarkStart w:id="734" w:name="_Toc109615288"/>
      <w:bookmarkStart w:id="735" w:name="_Toc139344582"/>
      <w:bookmarkStart w:id="736" w:name="_Toc139699346"/>
      <w:bookmarkStart w:id="737" w:name="_Toc147051379"/>
      <w:bookmarkStart w:id="738" w:name="_Toc147118834"/>
      <w:bookmarkStart w:id="739" w:name="_Toc148236155"/>
      <w:bookmarkStart w:id="740" w:name="_Toc158705029"/>
      <w:bookmarkStart w:id="741" w:name="_Toc165369993"/>
      <w:bookmarkStart w:id="742" w:name="_Toc177873335"/>
      <w:bookmarkStart w:id="743" w:name="_Toc177873461"/>
      <w:bookmarkStart w:id="744" w:name="_Toc184707418"/>
      <w:bookmarkStart w:id="745" w:name="_Toc189464749"/>
      <w:bookmarkStart w:id="746" w:name="_Toc190249313"/>
      <w:bookmarkStart w:id="747" w:name="_Toc191703207"/>
      <w:bookmarkStart w:id="748" w:name="_Toc193692124"/>
      <w:bookmarkStart w:id="749" w:name="_Toc199817306"/>
      <w:bookmarkStart w:id="750" w:name="_Toc215543779"/>
      <w:bookmarkStart w:id="751" w:name="_Toc215544039"/>
      <w:bookmarkStart w:id="752" w:name="_Toc248029076"/>
      <w:bookmarkStart w:id="753" w:name="_Toc256085125"/>
      <w:bookmarkStart w:id="754" w:name="_Toc256092190"/>
      <w:bookmarkStart w:id="755" w:name="_Toc268600371"/>
      <w:bookmarkStart w:id="756" w:name="_Toc272237500"/>
      <w:bookmarkStart w:id="757" w:name="_Toc275253579"/>
      <w:bookmarkStart w:id="758" w:name="_Toc283287504"/>
      <w:bookmarkStart w:id="759" w:name="_Toc290558490"/>
      <w:bookmarkStart w:id="760" w:name="_Toc290558566"/>
      <w:r>
        <w:rPr>
          <w:rStyle w:val="CharSchNo"/>
        </w:rPr>
        <w:t>Schedule VI</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755"/>
      <w:bookmarkEnd w:id="756"/>
      <w:bookmarkEnd w:id="757"/>
      <w:bookmarkEnd w:id="758"/>
      <w:bookmarkEnd w:id="759"/>
      <w:bookmarkEnd w:id="760"/>
    </w:p>
    <w:p>
      <w:pPr>
        <w:pStyle w:val="yShoulderClause"/>
        <w:rPr>
          <w:snapToGrid w:val="0"/>
        </w:rPr>
      </w:pPr>
      <w:r>
        <w:rPr>
          <w:snapToGrid w:val="0"/>
        </w:rPr>
        <w:t>[s. 11(b)]</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25</w:t>
            </w:r>
          </w:p>
        </w:tc>
      </w:tr>
      <w:tr>
        <w:tc>
          <w:tcPr>
            <w:tcW w:w="137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25</w:t>
            </w:r>
          </w:p>
        </w:tc>
      </w:tr>
      <w:tr>
        <w:tc>
          <w:tcPr>
            <w:tcW w:w="1379" w:type="dxa"/>
          </w:tcPr>
          <w:p>
            <w:pPr>
              <w:pStyle w:val="yTableNAm"/>
              <w:jc w:val="center"/>
            </w:pPr>
            <w:r>
              <w:t>3.</w:t>
            </w:r>
          </w:p>
        </w:tc>
        <w:tc>
          <w:tcPr>
            <w:tcW w:w="4381" w:type="dxa"/>
          </w:tcPr>
          <w:p>
            <w:pPr>
              <w:pStyle w:val="yTableNAm"/>
            </w:pPr>
            <w:r>
              <w:t>Cannabis</w:t>
            </w:r>
          </w:p>
        </w:tc>
        <w:tc>
          <w:tcPr>
            <w:tcW w:w="1350" w:type="dxa"/>
          </w:tcPr>
          <w:p>
            <w:pPr>
              <w:pStyle w:val="yTableNAm"/>
              <w:jc w:val="center"/>
            </w:pPr>
            <w:r>
              <w:t>10</w:t>
            </w:r>
          </w:p>
        </w:tc>
      </w:tr>
    </w:tbl>
    <w:p>
      <w:pPr>
        <w:pStyle w:val="yFootnotesection"/>
      </w:pPr>
      <w:bookmarkStart w:id="761" w:name="_Toc535053915"/>
      <w:r>
        <w:tab/>
        <w:t>[Schedule VI amended by No. 52 of 2003 s. 32.]</w:t>
      </w:r>
    </w:p>
    <w:p>
      <w:pPr>
        <w:pStyle w:val="yScheduleHeading"/>
      </w:pPr>
      <w:bookmarkStart w:id="762" w:name="_Toc109615289"/>
      <w:bookmarkStart w:id="763" w:name="_Toc139344583"/>
      <w:bookmarkStart w:id="764" w:name="_Toc139699347"/>
      <w:bookmarkStart w:id="765" w:name="_Toc147051380"/>
      <w:bookmarkStart w:id="766" w:name="_Toc147118835"/>
      <w:bookmarkStart w:id="767" w:name="_Toc148236156"/>
      <w:bookmarkStart w:id="768" w:name="_Toc158705030"/>
      <w:bookmarkStart w:id="769" w:name="_Toc165369995"/>
      <w:bookmarkStart w:id="770" w:name="_Toc177873337"/>
      <w:bookmarkStart w:id="771" w:name="_Toc177873463"/>
      <w:bookmarkStart w:id="772" w:name="_Toc184707420"/>
      <w:bookmarkStart w:id="773" w:name="_Toc189464751"/>
      <w:bookmarkStart w:id="774" w:name="_Toc190249315"/>
      <w:bookmarkStart w:id="775" w:name="_Toc191703209"/>
      <w:bookmarkStart w:id="776" w:name="_Toc193692126"/>
      <w:bookmarkStart w:id="777" w:name="_Toc199817308"/>
      <w:bookmarkStart w:id="778" w:name="_Toc215543781"/>
      <w:bookmarkStart w:id="779" w:name="_Toc215544041"/>
      <w:bookmarkStart w:id="780" w:name="_Toc248029078"/>
      <w:bookmarkStart w:id="781" w:name="_Toc256085127"/>
      <w:bookmarkStart w:id="782" w:name="_Toc256092192"/>
      <w:bookmarkStart w:id="783" w:name="_Toc268600372"/>
      <w:bookmarkStart w:id="784" w:name="_Toc272237501"/>
      <w:bookmarkStart w:id="785" w:name="_Toc275253580"/>
      <w:bookmarkStart w:id="786" w:name="_Toc283287505"/>
      <w:bookmarkStart w:id="787" w:name="_Toc290558491"/>
      <w:bookmarkStart w:id="788" w:name="_Toc290558567"/>
      <w:r>
        <w:rPr>
          <w:rStyle w:val="CharSchNo"/>
        </w:rPr>
        <w:t>Schedule VII</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r>
        <w:rPr>
          <w:rStyle w:val="CharSDivNo"/>
        </w:rPr>
        <w:t> </w:t>
      </w:r>
      <w:r>
        <w:t>—</w:t>
      </w:r>
      <w:r>
        <w:rPr>
          <w:rStyle w:val="CharSDivText"/>
        </w:rPr>
        <w:t> </w:t>
      </w:r>
      <w:r>
        <w:rPr>
          <w:rStyle w:val="CharSchText"/>
          <w:bCs/>
        </w:rPr>
        <w:t>Amounts of prohibited drugs for purposes of drug trafficking</w:t>
      </w:r>
      <w:bookmarkEnd w:id="783"/>
      <w:bookmarkEnd w:id="784"/>
      <w:bookmarkEnd w:id="785"/>
      <w:bookmarkEnd w:id="786"/>
      <w:bookmarkEnd w:id="787"/>
      <w:bookmarkEnd w:id="788"/>
    </w:p>
    <w:p>
      <w:pPr>
        <w:pStyle w:val="yShoulderClause"/>
        <w:rPr>
          <w:snapToGrid w:val="0"/>
        </w:rPr>
      </w:pPr>
      <w:r>
        <w:rPr>
          <w:snapToGrid w:val="0"/>
        </w:rPr>
        <w:t>[s. 32A(1)(b)(i)]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810"/>
        <w:gridCol w:w="4950"/>
        <w:gridCol w:w="1350"/>
      </w:tblGrid>
      <w:tr>
        <w:tc>
          <w:tcPr>
            <w:tcW w:w="810" w:type="dxa"/>
          </w:tcPr>
          <w:p>
            <w:pPr>
              <w:pStyle w:val="yTable"/>
              <w:spacing w:before="40" w:after="40"/>
              <w:rPr>
                <w:i/>
              </w:rPr>
            </w:pPr>
            <w:r>
              <w:rPr>
                <w:i/>
              </w:rPr>
              <w:t>Item</w:t>
            </w:r>
          </w:p>
        </w:tc>
        <w:tc>
          <w:tcPr>
            <w:tcW w:w="4950" w:type="dxa"/>
          </w:tcPr>
          <w:p>
            <w:pPr>
              <w:pStyle w:val="yTable"/>
              <w:jc w:val="center"/>
              <w:rPr>
                <w:i/>
              </w:rPr>
            </w:pPr>
            <w:r>
              <w:rPr>
                <w:i/>
              </w:rPr>
              <w:t>Prohibited drug</w:t>
            </w:r>
          </w:p>
        </w:tc>
        <w:tc>
          <w:tcPr>
            <w:tcW w:w="1350"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c>
          <w:tcPr>
            <w:tcW w:w="810" w:type="dxa"/>
          </w:tcPr>
          <w:p>
            <w:pPr>
              <w:pStyle w:val="yTable"/>
              <w:spacing w:before="40" w:after="40"/>
            </w:pPr>
            <w:r>
              <w:t>1</w:t>
            </w:r>
          </w:p>
        </w:tc>
        <w:tc>
          <w:tcPr>
            <w:tcW w:w="4950" w:type="dxa"/>
          </w:tcPr>
          <w:p>
            <w:pPr>
              <w:pStyle w:val="yTable"/>
            </w:pPr>
            <w:r>
              <w:t>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2</w:t>
            </w:r>
          </w:p>
        </w:tc>
        <w:tc>
          <w:tcPr>
            <w:tcW w:w="4950" w:type="dxa"/>
          </w:tcPr>
          <w:p>
            <w:pPr>
              <w:pStyle w:val="yTable"/>
            </w:pPr>
            <w:r>
              <w:t>CANNABIS</w:t>
            </w:r>
          </w:p>
        </w:tc>
        <w:tc>
          <w:tcPr>
            <w:tcW w:w="1350" w:type="dxa"/>
          </w:tcPr>
          <w:p>
            <w:pPr>
              <w:pStyle w:val="yTable"/>
              <w:tabs>
                <w:tab w:val="decimal" w:pos="439"/>
              </w:tabs>
              <w:spacing w:before="40" w:after="40"/>
            </w:pPr>
            <w:r>
              <w:t>3.0 kg</w:t>
            </w:r>
          </w:p>
        </w:tc>
      </w:tr>
      <w:tr>
        <w:tc>
          <w:tcPr>
            <w:tcW w:w="810" w:type="dxa"/>
          </w:tcPr>
          <w:p>
            <w:pPr>
              <w:pStyle w:val="yTable"/>
              <w:spacing w:before="40" w:after="40"/>
            </w:pPr>
            <w:r>
              <w:t>3</w:t>
            </w:r>
          </w:p>
        </w:tc>
        <w:tc>
          <w:tcPr>
            <w:tcW w:w="4950" w:type="dxa"/>
          </w:tcPr>
          <w:p>
            <w:pPr>
              <w:pStyle w:val="yTable"/>
            </w:pPr>
            <w:r>
              <w:t>CANNABIS RESIN</w:t>
            </w:r>
          </w:p>
        </w:tc>
        <w:tc>
          <w:tcPr>
            <w:tcW w:w="1350" w:type="dxa"/>
          </w:tcPr>
          <w:p>
            <w:pPr>
              <w:pStyle w:val="yTable"/>
              <w:tabs>
                <w:tab w:val="decimal" w:pos="439"/>
              </w:tabs>
              <w:spacing w:before="40" w:after="40"/>
            </w:pPr>
            <w:r>
              <w:t>100.0</w:t>
            </w:r>
          </w:p>
        </w:tc>
      </w:tr>
      <w:tr>
        <w:tc>
          <w:tcPr>
            <w:tcW w:w="810" w:type="dxa"/>
          </w:tcPr>
          <w:p>
            <w:pPr>
              <w:pStyle w:val="yTable"/>
              <w:spacing w:before="40" w:after="40"/>
            </w:pPr>
            <w:r>
              <w:t>4</w:t>
            </w:r>
          </w:p>
        </w:tc>
        <w:tc>
          <w:tcPr>
            <w:tcW w:w="4950" w:type="dxa"/>
          </w:tcPr>
          <w:p>
            <w:pPr>
              <w:pStyle w:val="yTable"/>
            </w:pPr>
            <w:r>
              <w:t>COCAINE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w:t>
            </w:r>
          </w:p>
        </w:tc>
        <w:tc>
          <w:tcPr>
            <w:tcW w:w="4950" w:type="dxa"/>
          </w:tcPr>
          <w:p>
            <w:pPr>
              <w:pStyle w:val="yTable"/>
            </w:pPr>
            <w:r>
              <w:t>DIACETYLMORPHINE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5A</w:t>
            </w:r>
          </w:p>
        </w:tc>
        <w:tc>
          <w:tcPr>
            <w:tcW w:w="4950" w:type="dxa"/>
          </w:tcPr>
          <w:p>
            <w:pPr>
              <w:pStyle w:val="yTable"/>
            </w:pPr>
            <w:r>
              <w:t>EPHEDRINE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6</w:t>
            </w:r>
          </w:p>
        </w:tc>
        <w:tc>
          <w:tcPr>
            <w:tcW w:w="4950" w:type="dxa"/>
          </w:tcPr>
          <w:p>
            <w:pPr>
              <w:pStyle w:val="yTable"/>
            </w:pPr>
            <w:r>
              <w:t>LYSERGIC ACID DIETHYLAMIDE (LSD)</w:t>
            </w:r>
          </w:p>
        </w:tc>
        <w:tc>
          <w:tcPr>
            <w:tcW w:w="1350" w:type="dxa"/>
          </w:tcPr>
          <w:p>
            <w:pPr>
              <w:pStyle w:val="yTable"/>
              <w:tabs>
                <w:tab w:val="decimal" w:pos="439"/>
              </w:tabs>
              <w:spacing w:before="40" w:after="40"/>
            </w:pPr>
            <w:r>
              <w:t>0.01</w:t>
            </w:r>
          </w:p>
        </w:tc>
      </w:tr>
      <w:tr>
        <w:tc>
          <w:tcPr>
            <w:tcW w:w="810" w:type="dxa"/>
          </w:tcPr>
          <w:p>
            <w:pPr>
              <w:pStyle w:val="yTable"/>
              <w:spacing w:before="40" w:after="40"/>
            </w:pPr>
            <w:r>
              <w:t>7</w:t>
            </w:r>
          </w:p>
        </w:tc>
        <w:tc>
          <w:tcPr>
            <w:tcW w:w="4950" w:type="dxa"/>
          </w:tcPr>
          <w:p>
            <w:pPr>
              <w:pStyle w:val="yTable"/>
            </w:pPr>
            <w:r>
              <w:t>METHADONE</w:t>
            </w:r>
          </w:p>
        </w:tc>
        <w:tc>
          <w:tcPr>
            <w:tcW w:w="1350" w:type="dxa"/>
          </w:tcPr>
          <w:p>
            <w:pPr>
              <w:pStyle w:val="yTable"/>
              <w:tabs>
                <w:tab w:val="decimal" w:pos="439"/>
              </w:tabs>
              <w:spacing w:before="40" w:after="40"/>
            </w:pPr>
            <w:r>
              <w:t>5.0</w:t>
            </w:r>
          </w:p>
        </w:tc>
      </w:tr>
      <w:tr>
        <w:tc>
          <w:tcPr>
            <w:tcW w:w="810" w:type="dxa"/>
          </w:tcPr>
          <w:p>
            <w:pPr>
              <w:pStyle w:val="yTable"/>
              <w:spacing w:before="40" w:after="40"/>
            </w:pPr>
            <w:r>
              <w:t>8</w:t>
            </w:r>
          </w:p>
        </w:tc>
        <w:tc>
          <w:tcPr>
            <w:tcW w:w="4950" w:type="dxa"/>
          </w:tcPr>
          <w:p>
            <w:pPr>
              <w:pStyle w:val="yTable"/>
            </w:pPr>
            <w:r>
              <w:t>METHYLAMPHETAMINE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9</w:t>
            </w:r>
          </w:p>
        </w:tc>
        <w:tc>
          <w:tcPr>
            <w:tcW w:w="4950" w:type="dxa"/>
          </w:tcPr>
          <w:p>
            <w:pPr>
              <w:pStyle w:val="yTable"/>
              <w:ind w:left="397" w:hanging="397"/>
            </w:pPr>
            <w:r>
              <w:t>3, 4</w:t>
            </w:r>
            <w:r>
              <w:noBreakHyphen/>
              <w:t>METHYLENEDIOXYAMPHETAMINE (MDA)</w:t>
            </w:r>
          </w:p>
        </w:tc>
        <w:tc>
          <w:tcPr>
            <w:tcW w:w="1350" w:type="dxa"/>
          </w:tcPr>
          <w:p>
            <w:pPr>
              <w:pStyle w:val="yTable"/>
              <w:tabs>
                <w:tab w:val="decimal" w:pos="439"/>
              </w:tabs>
              <w:spacing w:before="40" w:after="40"/>
            </w:pPr>
            <w:r>
              <w:t>28.0</w:t>
            </w:r>
          </w:p>
        </w:tc>
      </w:tr>
      <w:tr>
        <w:tc>
          <w:tcPr>
            <w:tcW w:w="810" w:type="dxa"/>
          </w:tcPr>
          <w:p>
            <w:pPr>
              <w:pStyle w:val="yTable"/>
              <w:spacing w:before="40" w:after="40"/>
            </w:pPr>
            <w:r>
              <w:t>10</w:t>
            </w:r>
          </w:p>
        </w:tc>
        <w:tc>
          <w:tcPr>
            <w:tcW w:w="4950" w:type="dxa"/>
          </w:tcPr>
          <w:p>
            <w:pPr>
              <w:pStyle w:val="yTable"/>
              <w:ind w:left="397" w:hanging="397"/>
            </w:pPr>
            <w:r>
              <w:t>3, 4</w:t>
            </w:r>
            <w:r>
              <w:noBreakHyphen/>
              <w:t>METHYLENEDIOXY</w:t>
            </w:r>
            <w:r>
              <w:noBreakHyphen/>
              <w:t>N, ALPHA</w:t>
            </w:r>
            <w:r>
              <w:noBreakHyphen/>
              <w:t>DIMETHYLPHENYLETHYLAMINE (MDMA)</w:t>
            </w:r>
          </w:p>
        </w:tc>
        <w:tc>
          <w:tcPr>
            <w:tcW w:w="1350" w:type="dxa"/>
          </w:tcPr>
          <w:p>
            <w:pPr>
              <w:pStyle w:val="yTable"/>
              <w:tabs>
                <w:tab w:val="decimal" w:pos="439"/>
              </w:tabs>
              <w:spacing w:before="40" w:after="40"/>
            </w:pPr>
            <w:r>
              <w:t>28.0</w:t>
            </w:r>
          </w:p>
        </w:tc>
      </w:tr>
      <w:tr>
        <w:tc>
          <w:tcPr>
            <w:tcW w:w="810" w:type="dxa"/>
          </w:tcPr>
          <w:p>
            <w:pPr>
              <w:pStyle w:val="yTable"/>
              <w:spacing w:before="40" w:after="40"/>
            </w:pPr>
            <w:r>
              <w:t>11</w:t>
            </w:r>
          </w:p>
        </w:tc>
        <w:tc>
          <w:tcPr>
            <w:tcW w:w="4950" w:type="dxa"/>
          </w:tcPr>
          <w:p>
            <w:pPr>
              <w:pStyle w:val="yTable"/>
            </w:pPr>
            <w:r>
              <w:t>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12</w:t>
            </w:r>
          </w:p>
        </w:tc>
        <w:tc>
          <w:tcPr>
            <w:tcW w:w="4950" w:type="dxa"/>
          </w:tcPr>
          <w:p>
            <w:pPr>
              <w:pStyle w:val="yTable"/>
            </w:pPr>
            <w:r>
              <w:t>OPIUM</w:t>
            </w:r>
          </w:p>
        </w:tc>
        <w:tc>
          <w:tcPr>
            <w:tcW w:w="1350" w:type="dxa"/>
          </w:tcPr>
          <w:p>
            <w:pPr>
              <w:pStyle w:val="yTable"/>
              <w:tabs>
                <w:tab w:val="decimal" w:pos="439"/>
              </w:tabs>
              <w:spacing w:before="40" w:after="40"/>
            </w:pPr>
            <w:r>
              <w:t>100.0</w:t>
            </w:r>
          </w:p>
        </w:tc>
      </w:tr>
    </w:tbl>
    <w:p>
      <w:pPr>
        <w:pStyle w:val="yFootnotesection"/>
      </w:pPr>
      <w:r>
        <w:tab/>
        <w:t>[Schedule VII inserted by No. 50 of 1990 s. 6; amended in Gazette 29 Nov 1991 p. 6041; 22 Mar 1994 p. 1245.]</w:t>
      </w:r>
    </w:p>
    <w:p>
      <w:pPr>
        <w:pStyle w:val="yScheduleHeading"/>
      </w:pPr>
      <w:bookmarkStart w:id="789" w:name="_Toc535053916"/>
      <w:bookmarkStart w:id="790" w:name="_Toc109615290"/>
      <w:bookmarkStart w:id="791" w:name="_Toc139344584"/>
      <w:bookmarkStart w:id="792" w:name="_Toc139699348"/>
      <w:bookmarkStart w:id="793" w:name="_Toc147051381"/>
      <w:bookmarkStart w:id="794" w:name="_Toc147118836"/>
      <w:bookmarkStart w:id="795" w:name="_Toc148236157"/>
      <w:bookmarkStart w:id="796" w:name="_Toc158705031"/>
      <w:bookmarkStart w:id="797" w:name="_Toc165369997"/>
      <w:bookmarkStart w:id="798" w:name="_Toc177873339"/>
      <w:bookmarkStart w:id="799" w:name="_Toc177873465"/>
      <w:bookmarkStart w:id="800" w:name="_Toc184707422"/>
      <w:bookmarkStart w:id="801" w:name="_Toc189464753"/>
      <w:bookmarkStart w:id="802" w:name="_Toc190249317"/>
      <w:bookmarkStart w:id="803" w:name="_Toc191703211"/>
      <w:bookmarkStart w:id="804" w:name="_Toc193692128"/>
      <w:bookmarkStart w:id="805" w:name="_Toc199817310"/>
      <w:bookmarkStart w:id="806" w:name="_Toc215543783"/>
      <w:bookmarkStart w:id="807" w:name="_Toc215544043"/>
      <w:bookmarkStart w:id="808" w:name="_Toc248029080"/>
      <w:bookmarkStart w:id="809" w:name="_Toc256085129"/>
      <w:bookmarkStart w:id="810" w:name="_Toc256092194"/>
      <w:bookmarkStart w:id="811" w:name="_Toc268600373"/>
      <w:bookmarkStart w:id="812" w:name="_Toc272237502"/>
      <w:bookmarkStart w:id="813" w:name="_Toc275253581"/>
      <w:bookmarkStart w:id="814" w:name="_Toc283287506"/>
      <w:bookmarkStart w:id="815" w:name="_Toc290558492"/>
      <w:bookmarkStart w:id="816" w:name="_Toc290558568"/>
      <w:r>
        <w:rPr>
          <w:rStyle w:val="CharSchNo"/>
        </w:rPr>
        <w:t>Schedule VIII</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r>
        <w:t> —</w:t>
      </w:r>
      <w:r>
        <w:rPr>
          <w:rStyle w:val="CharSDivText"/>
        </w:rPr>
        <w:t> </w:t>
      </w:r>
      <w:r>
        <w:rPr>
          <w:rStyle w:val="CharSchText"/>
          <w:bCs/>
        </w:rPr>
        <w:t>Numbers of prohibited plants for purposes of drug trafficking</w:t>
      </w:r>
      <w:bookmarkEnd w:id="811"/>
      <w:bookmarkEnd w:id="812"/>
      <w:bookmarkEnd w:id="813"/>
      <w:bookmarkEnd w:id="814"/>
      <w:bookmarkEnd w:id="815"/>
      <w:bookmarkEnd w:id="816"/>
    </w:p>
    <w:p>
      <w:pPr>
        <w:pStyle w:val="yShoulderClause"/>
        <w:rPr>
          <w:snapToGrid w:val="0"/>
        </w:rPr>
      </w:pPr>
      <w:r>
        <w:rPr>
          <w:snapToGrid w:val="0"/>
        </w:rPr>
        <w:t>[s. 32A(1)(b)(ii)]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Cannabis</w:t>
            </w:r>
          </w:p>
        </w:tc>
        <w:tc>
          <w:tcPr>
            <w:tcW w:w="1350" w:type="dxa"/>
          </w:tcPr>
          <w:p>
            <w:pPr>
              <w:pStyle w:val="yTableNAm"/>
              <w:jc w:val="center"/>
            </w:pPr>
            <w:del w:id="817" w:author="svcMRProcess" w:date="2018-09-06T00:30:00Z">
              <w:r>
                <w:delText>250.0</w:delText>
              </w:r>
            </w:del>
            <w:ins w:id="818" w:author="svcMRProcess" w:date="2018-09-06T00:30:00Z">
              <w:r>
                <w:t>20</w:t>
              </w:r>
            </w:ins>
          </w:p>
        </w:tc>
      </w:tr>
    </w:tbl>
    <w:p>
      <w:pPr>
        <w:pStyle w:val="yFootnotesection"/>
      </w:pPr>
      <w:r>
        <w:tab/>
        <w:t>[Schedule VIII inserted by No. 50 of 1990 s. </w:t>
      </w:r>
      <w:del w:id="819" w:author="svcMRProcess" w:date="2018-09-06T00:30:00Z">
        <w:r>
          <w:delText>6</w:delText>
        </w:r>
      </w:del>
      <w:ins w:id="820" w:author="svcMRProcess" w:date="2018-09-06T00:30:00Z">
        <w:r>
          <w:t>6; amended in Gazette 15 Apr 2011 p. 1426</w:t>
        </w:r>
      </w:ins>
      <w:r>
        <w:t>.]</w:t>
      </w:r>
    </w:p>
    <w:p>
      <w:bookmarkStart w:id="821" w:name="_Toc72912383"/>
      <w:bookmarkStart w:id="822" w:name="_Toc89162910"/>
      <w:bookmarkStart w:id="823" w:name="_Toc89571197"/>
      <w:bookmarkStart w:id="824" w:name="_Toc90092365"/>
      <w:bookmarkStart w:id="825" w:name="_Toc92603646"/>
      <w:bookmarkStart w:id="826" w:name="_Toc92797830"/>
      <w:bookmarkStart w:id="827" w:name="_Toc97018132"/>
      <w:bookmarkStart w:id="828" w:name="_Toc102387687"/>
      <w:bookmarkStart w:id="829" w:name="_Toc102905318"/>
      <w:bookmarkStart w:id="830" w:name="_Toc105219561"/>
      <w:bookmarkStart w:id="831" w:name="_Toc105220465"/>
      <w:bookmarkStart w:id="832" w:name="_Toc105220533"/>
      <w:bookmarkStart w:id="833" w:name="_Toc105909977"/>
      <w:bookmarkStart w:id="834" w:name="_Toc105910892"/>
      <w:bookmarkStart w:id="835" w:name="_Toc106600736"/>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836" w:name="_Toc106601034"/>
      <w:bookmarkStart w:id="837" w:name="_Toc109615291"/>
      <w:bookmarkStart w:id="838" w:name="_Toc139344585"/>
      <w:bookmarkStart w:id="839" w:name="_Toc139699349"/>
      <w:bookmarkStart w:id="840" w:name="_Toc147051382"/>
      <w:bookmarkStart w:id="841" w:name="_Toc147118837"/>
      <w:bookmarkStart w:id="842" w:name="_Toc148236158"/>
      <w:bookmarkStart w:id="843" w:name="_Toc158705032"/>
      <w:bookmarkStart w:id="844" w:name="_Toc165369999"/>
      <w:bookmarkStart w:id="845" w:name="_Toc177873341"/>
      <w:bookmarkStart w:id="846" w:name="_Toc177873467"/>
      <w:bookmarkStart w:id="847" w:name="_Toc184707424"/>
      <w:bookmarkStart w:id="848" w:name="_Toc189464755"/>
      <w:bookmarkStart w:id="849" w:name="_Toc190249319"/>
      <w:bookmarkStart w:id="850" w:name="_Toc191703213"/>
      <w:bookmarkStart w:id="851" w:name="_Toc193692130"/>
      <w:bookmarkStart w:id="852" w:name="_Toc199817312"/>
      <w:bookmarkStart w:id="853" w:name="_Toc215543785"/>
      <w:bookmarkStart w:id="854" w:name="_Toc215544045"/>
      <w:bookmarkStart w:id="855" w:name="_Toc248029082"/>
      <w:bookmarkStart w:id="856" w:name="_Toc256085131"/>
      <w:bookmarkStart w:id="857" w:name="_Toc256092196"/>
      <w:bookmarkStart w:id="858" w:name="_Toc268600374"/>
      <w:bookmarkStart w:id="859" w:name="_Toc272237503"/>
      <w:bookmarkStart w:id="860" w:name="_Toc275253582"/>
      <w:bookmarkStart w:id="861" w:name="_Toc283287507"/>
      <w:bookmarkStart w:id="862" w:name="_Toc290558493"/>
      <w:bookmarkStart w:id="863" w:name="_Toc290558569"/>
      <w:r>
        <w:t>Notes</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864" w:name="_Toc215543786"/>
      <w:bookmarkStart w:id="865" w:name="_Toc290558570"/>
      <w:bookmarkStart w:id="866" w:name="_Toc283287508"/>
      <w:r>
        <w:t>Compilation table</w:t>
      </w:r>
      <w:bookmarkEnd w:id="864"/>
      <w:bookmarkEnd w:id="865"/>
      <w:bookmarkEnd w:id="866"/>
    </w:p>
    <w:tbl>
      <w:tblPr>
        <w:tblW w:w="0" w:type="auto"/>
        <w:tblInd w:w="28" w:type="dxa"/>
        <w:tblLayout w:type="fixed"/>
        <w:tblCellMar>
          <w:left w:w="56" w:type="dxa"/>
          <w:right w:w="56" w:type="dxa"/>
        </w:tblCellMar>
        <w:tblLook w:val="0000" w:firstRow="0" w:lastRow="0" w:firstColumn="0" w:lastColumn="0" w:noHBand="0" w:noVBand="0"/>
      </w:tblPr>
      <w:tblGrid>
        <w:gridCol w:w="2278"/>
        <w:gridCol w:w="1140"/>
        <w:gridCol w:w="1136"/>
        <w:gridCol w:w="28"/>
        <w:gridCol w:w="2543"/>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0"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Misuse of Drugs Act 1981</w:t>
            </w:r>
          </w:p>
        </w:tc>
        <w:tc>
          <w:tcPr>
            <w:tcW w:w="1140" w:type="dxa"/>
            <w:tcBorders>
              <w:top w:val="single" w:sz="8" w:space="0" w:color="auto"/>
            </w:tcBorders>
          </w:tcPr>
          <w:p>
            <w:pPr>
              <w:pStyle w:val="nTable"/>
              <w:spacing w:after="40"/>
              <w:rPr>
                <w:sz w:val="19"/>
              </w:rPr>
            </w:pPr>
            <w:r>
              <w:rPr>
                <w:sz w:val="19"/>
              </w:rPr>
              <w:t>66 of 1981</w:t>
            </w:r>
          </w:p>
        </w:tc>
        <w:tc>
          <w:tcPr>
            <w:tcW w:w="1136" w:type="dxa"/>
            <w:tcBorders>
              <w:top w:val="single" w:sz="8" w:space="0" w:color="auto"/>
            </w:tcBorders>
          </w:tcPr>
          <w:p>
            <w:pPr>
              <w:pStyle w:val="nTable"/>
              <w:spacing w:after="40"/>
              <w:rPr>
                <w:sz w:val="19"/>
              </w:rPr>
            </w:pPr>
            <w:r>
              <w:rPr>
                <w:sz w:val="19"/>
              </w:rPr>
              <w:t>23 Oct 1981</w:t>
            </w:r>
          </w:p>
        </w:tc>
        <w:tc>
          <w:tcPr>
            <w:tcW w:w="2571" w:type="dxa"/>
            <w:gridSpan w:val="2"/>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71" w:type="dxa"/>
            <w:gridSpan w:val="2"/>
          </w:tcPr>
          <w:p>
            <w:pPr>
              <w:pStyle w:val="nTable"/>
              <w:spacing w:after="40"/>
              <w:rPr>
                <w:sz w:val="19"/>
              </w:rPr>
            </w:pPr>
            <w:r>
              <w:rPr>
                <w:sz w:val="19"/>
              </w:rPr>
              <w:t>30 Nov 1990</w:t>
            </w:r>
          </w:p>
        </w:tc>
      </w:tr>
      <w:tr>
        <w:trPr>
          <w:cantSplit/>
        </w:trPr>
        <w:tc>
          <w:tcPr>
            <w:tcW w:w="2278" w:type="dxa"/>
          </w:tcPr>
          <w:p>
            <w:pPr>
              <w:pStyle w:val="nTable"/>
              <w:spacing w:after="40"/>
              <w:ind w:right="113"/>
              <w:rPr>
                <w:sz w:val="19"/>
              </w:rPr>
            </w:pPr>
            <w:r>
              <w:rPr>
                <w:i/>
                <w:sz w:val="19"/>
              </w:rPr>
              <w:t>Misuse of Drugs Amendment Act 1990</w:t>
            </w:r>
          </w:p>
        </w:tc>
        <w:tc>
          <w:tcPr>
            <w:tcW w:w="1140" w:type="dxa"/>
          </w:tcPr>
          <w:p>
            <w:pPr>
              <w:pStyle w:val="nTable"/>
              <w:spacing w:after="40"/>
              <w:rPr>
                <w:sz w:val="19"/>
              </w:rPr>
            </w:pPr>
            <w:r>
              <w:rPr>
                <w:sz w:val="19"/>
              </w:rPr>
              <w:t>50 of 1990</w:t>
            </w:r>
          </w:p>
        </w:tc>
        <w:tc>
          <w:tcPr>
            <w:tcW w:w="1136" w:type="dxa"/>
          </w:tcPr>
          <w:p>
            <w:pPr>
              <w:pStyle w:val="nTable"/>
              <w:spacing w:after="40"/>
              <w:rPr>
                <w:sz w:val="19"/>
              </w:rPr>
            </w:pPr>
            <w:r>
              <w:rPr>
                <w:sz w:val="19"/>
              </w:rPr>
              <w:t>4 Dec 1990</w:t>
            </w:r>
          </w:p>
        </w:tc>
        <w:tc>
          <w:tcPr>
            <w:tcW w:w="2571" w:type="dxa"/>
            <w:gridSpan w:val="2"/>
          </w:tcPr>
          <w:p>
            <w:pPr>
              <w:pStyle w:val="nTable"/>
              <w:spacing w:after="40"/>
              <w:rPr>
                <w:sz w:val="19"/>
              </w:rPr>
            </w:pPr>
            <w:r>
              <w:rPr>
                <w:sz w:val="19"/>
              </w:rPr>
              <w:t>4 Dec 1990 (see s. 2)</w:t>
            </w:r>
          </w:p>
        </w:tc>
      </w:tr>
      <w:tr>
        <w:trPr>
          <w:cantSplit/>
        </w:trPr>
        <w:tc>
          <w:tcPr>
            <w:tcW w:w="2278" w:type="dxa"/>
          </w:tcPr>
          <w:p>
            <w:pPr>
              <w:pStyle w:val="nTable"/>
              <w:spacing w:after="40"/>
              <w:ind w:right="113"/>
              <w:rPr>
                <w:sz w:val="19"/>
              </w:rPr>
            </w:pPr>
            <w:r>
              <w:rPr>
                <w:i/>
                <w:sz w:val="19"/>
              </w:rPr>
              <w:t xml:space="preserve">Conservation and Land Management Amendment Act 1991 </w:t>
            </w:r>
            <w:r>
              <w:rPr>
                <w:sz w:val="19"/>
              </w:rPr>
              <w:t>s. 57</w:t>
            </w:r>
          </w:p>
        </w:tc>
        <w:tc>
          <w:tcPr>
            <w:tcW w:w="1140" w:type="dxa"/>
          </w:tcPr>
          <w:p>
            <w:pPr>
              <w:pStyle w:val="nTable"/>
              <w:spacing w:after="40"/>
              <w:rPr>
                <w:sz w:val="19"/>
              </w:rPr>
            </w:pPr>
            <w:r>
              <w:rPr>
                <w:sz w:val="19"/>
              </w:rPr>
              <w:t>20 of 1991</w:t>
            </w:r>
          </w:p>
        </w:tc>
        <w:tc>
          <w:tcPr>
            <w:tcW w:w="1136" w:type="dxa"/>
          </w:tcPr>
          <w:p>
            <w:pPr>
              <w:pStyle w:val="nTable"/>
              <w:spacing w:after="40"/>
              <w:rPr>
                <w:sz w:val="19"/>
              </w:rPr>
            </w:pPr>
            <w:r>
              <w:rPr>
                <w:sz w:val="19"/>
              </w:rPr>
              <w:t>25 Jun 1991</w:t>
            </w:r>
          </w:p>
        </w:tc>
        <w:tc>
          <w:tcPr>
            <w:tcW w:w="2571"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71" w:type="dxa"/>
            <w:gridSpan w:val="2"/>
          </w:tcPr>
          <w:p>
            <w:pPr>
              <w:pStyle w:val="nTable"/>
              <w:spacing w:after="40"/>
              <w:rPr>
                <w:sz w:val="19"/>
              </w:rPr>
            </w:pPr>
            <w:r>
              <w:rPr>
                <w:sz w:val="19"/>
              </w:rPr>
              <w:t>29 Nov 1991</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71" w:type="dxa"/>
            <w:gridSpan w:val="2"/>
          </w:tcPr>
          <w:p>
            <w:pPr>
              <w:pStyle w:val="nTable"/>
              <w:spacing w:after="40"/>
              <w:rPr>
                <w:sz w:val="19"/>
              </w:rPr>
            </w:pPr>
            <w:r>
              <w:rPr>
                <w:sz w:val="19"/>
              </w:rPr>
              <w:t>22 Mar 1994</w:t>
            </w:r>
          </w:p>
        </w:tc>
      </w:tr>
      <w:tr>
        <w:trPr>
          <w:cantSplit/>
        </w:trPr>
        <w:tc>
          <w:tcPr>
            <w:tcW w:w="2278" w:type="dxa"/>
          </w:tcPr>
          <w:p>
            <w:pPr>
              <w:pStyle w:val="nTable"/>
              <w:spacing w:after="40"/>
              <w:ind w:right="113"/>
              <w:rPr>
                <w:sz w:val="19"/>
              </w:rPr>
            </w:pPr>
            <w:r>
              <w:rPr>
                <w:i/>
                <w:sz w:val="19"/>
              </w:rPr>
              <w:t xml:space="preserve">Poisons Amendment Act 1994 </w:t>
            </w:r>
            <w:r>
              <w:rPr>
                <w:sz w:val="19"/>
              </w:rPr>
              <w:t>s. 11</w:t>
            </w:r>
          </w:p>
        </w:tc>
        <w:tc>
          <w:tcPr>
            <w:tcW w:w="1140" w:type="dxa"/>
          </w:tcPr>
          <w:p>
            <w:pPr>
              <w:pStyle w:val="nTable"/>
              <w:spacing w:after="40"/>
              <w:rPr>
                <w:sz w:val="19"/>
              </w:rPr>
            </w:pPr>
            <w:r>
              <w:rPr>
                <w:sz w:val="19"/>
              </w:rPr>
              <w:t>12 of 1994</w:t>
            </w:r>
          </w:p>
        </w:tc>
        <w:tc>
          <w:tcPr>
            <w:tcW w:w="1136" w:type="dxa"/>
          </w:tcPr>
          <w:p>
            <w:pPr>
              <w:pStyle w:val="nTable"/>
              <w:spacing w:after="40"/>
              <w:rPr>
                <w:sz w:val="19"/>
              </w:rPr>
            </w:pPr>
            <w:r>
              <w:rPr>
                <w:sz w:val="19"/>
              </w:rPr>
              <w:t>15 Apr 1994</w:t>
            </w:r>
          </w:p>
        </w:tc>
        <w:tc>
          <w:tcPr>
            <w:tcW w:w="2571" w:type="dxa"/>
            <w:gridSpan w:val="2"/>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78" w:type="dxa"/>
          </w:tcPr>
          <w:p>
            <w:pPr>
              <w:pStyle w:val="nTable"/>
              <w:spacing w:after="40"/>
              <w:ind w:right="113"/>
              <w:rPr>
                <w:sz w:val="19"/>
              </w:rPr>
            </w:pPr>
            <w:r>
              <w:rPr>
                <w:i/>
                <w:sz w:val="19"/>
              </w:rPr>
              <w:t xml:space="preserve">Acts Amendment (Public Sector Management) Act 1994 </w:t>
            </w:r>
            <w:r>
              <w:rPr>
                <w:sz w:val="19"/>
              </w:rPr>
              <w:t>s. 3(2)</w:t>
            </w:r>
          </w:p>
        </w:tc>
        <w:tc>
          <w:tcPr>
            <w:tcW w:w="1140"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 xml:space="preserve">Statutes (Repeals and Minor Amendments) Act 1994 </w:t>
            </w:r>
            <w:r>
              <w:rPr>
                <w:sz w:val="19"/>
              </w:rPr>
              <w:t>s. 4</w:t>
            </w:r>
          </w:p>
        </w:tc>
        <w:tc>
          <w:tcPr>
            <w:tcW w:w="1140"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1" w:type="dxa"/>
            <w:gridSpan w:val="2"/>
          </w:tcPr>
          <w:p>
            <w:pPr>
              <w:pStyle w:val="nTable"/>
              <w:spacing w:after="40"/>
              <w:rPr>
                <w:sz w:val="19"/>
              </w:rPr>
            </w:pPr>
            <w:r>
              <w:rPr>
                <w:sz w:val="19"/>
              </w:rPr>
              <w:t>9 Dec 1994 (see s. 2)</w:t>
            </w:r>
          </w:p>
        </w:tc>
      </w:tr>
      <w:tr>
        <w:trPr>
          <w:cantSplit/>
        </w:trPr>
        <w:tc>
          <w:tcPr>
            <w:tcW w:w="227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40"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1" w:type="dxa"/>
            <w:gridSpan w:val="2"/>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78" w:type="dxa"/>
          </w:tcPr>
          <w:p>
            <w:pPr>
              <w:pStyle w:val="nTable"/>
              <w:keepNext/>
              <w:spacing w:after="40"/>
              <w:ind w:right="113"/>
              <w:rPr>
                <w:sz w:val="19"/>
                <w:vertAlign w:val="superscript"/>
              </w:rPr>
            </w:pPr>
            <w:r>
              <w:rPr>
                <w:i/>
                <w:sz w:val="19"/>
              </w:rPr>
              <w:t>Misuse of Drugs Amendment Act 1995</w:t>
            </w:r>
            <w:r>
              <w:rPr>
                <w:sz w:val="19"/>
                <w:vertAlign w:val="superscript"/>
              </w:rPr>
              <w:t> 2</w:t>
            </w:r>
          </w:p>
        </w:tc>
        <w:tc>
          <w:tcPr>
            <w:tcW w:w="1140" w:type="dxa"/>
          </w:tcPr>
          <w:p>
            <w:pPr>
              <w:pStyle w:val="nTable"/>
              <w:keepNext/>
              <w:spacing w:after="40"/>
              <w:rPr>
                <w:sz w:val="19"/>
              </w:rPr>
            </w:pPr>
            <w:r>
              <w:rPr>
                <w:sz w:val="19"/>
              </w:rPr>
              <w:t>44 of 1995</w:t>
            </w:r>
          </w:p>
        </w:tc>
        <w:tc>
          <w:tcPr>
            <w:tcW w:w="1136" w:type="dxa"/>
          </w:tcPr>
          <w:p>
            <w:pPr>
              <w:pStyle w:val="nTable"/>
              <w:keepNext/>
              <w:spacing w:after="40"/>
              <w:rPr>
                <w:sz w:val="19"/>
              </w:rPr>
            </w:pPr>
            <w:r>
              <w:rPr>
                <w:sz w:val="19"/>
              </w:rPr>
              <w:t>18 Oct 1995</w:t>
            </w:r>
          </w:p>
        </w:tc>
        <w:tc>
          <w:tcPr>
            <w:tcW w:w="2571" w:type="dxa"/>
            <w:gridSpan w:val="2"/>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78" w:type="dxa"/>
          </w:tcPr>
          <w:p>
            <w:pPr>
              <w:pStyle w:val="nTable"/>
              <w:spacing w:after="40"/>
              <w:ind w:right="113"/>
              <w:rPr>
                <w:sz w:val="19"/>
              </w:rPr>
            </w:pPr>
            <w:r>
              <w:rPr>
                <w:i/>
                <w:sz w:val="19"/>
              </w:rPr>
              <w:t xml:space="preserve">Poisons Amendment Act 1995 </w:t>
            </w:r>
            <w:r>
              <w:rPr>
                <w:sz w:val="19"/>
              </w:rPr>
              <w:t>s. 43</w:t>
            </w:r>
          </w:p>
        </w:tc>
        <w:tc>
          <w:tcPr>
            <w:tcW w:w="1140" w:type="dxa"/>
          </w:tcPr>
          <w:p>
            <w:pPr>
              <w:pStyle w:val="nTable"/>
              <w:spacing w:after="40"/>
              <w:rPr>
                <w:sz w:val="19"/>
              </w:rPr>
            </w:pPr>
            <w:r>
              <w:rPr>
                <w:sz w:val="19"/>
              </w:rPr>
              <w:t>48 of 1995</w:t>
            </w:r>
          </w:p>
        </w:tc>
        <w:tc>
          <w:tcPr>
            <w:tcW w:w="1136" w:type="dxa"/>
          </w:tcPr>
          <w:p>
            <w:pPr>
              <w:pStyle w:val="nTable"/>
              <w:spacing w:after="40"/>
              <w:rPr>
                <w:sz w:val="19"/>
              </w:rPr>
            </w:pPr>
            <w:r>
              <w:rPr>
                <w:sz w:val="19"/>
              </w:rPr>
              <w:t>6 Nov 1995</w:t>
            </w:r>
          </w:p>
        </w:tc>
        <w:tc>
          <w:tcPr>
            <w:tcW w:w="2571" w:type="dxa"/>
            <w:gridSpan w:val="2"/>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78" w:type="dxa"/>
          </w:tcPr>
          <w:p>
            <w:pPr>
              <w:pStyle w:val="nTable"/>
              <w:spacing w:after="40"/>
              <w:ind w:right="113"/>
              <w:rPr>
                <w:sz w:val="19"/>
              </w:rPr>
            </w:pPr>
            <w:r>
              <w:rPr>
                <w:i/>
                <w:sz w:val="19"/>
              </w:rPr>
              <w:t>Misuse of Drugs Amendment Act 1998</w:t>
            </w:r>
          </w:p>
        </w:tc>
        <w:tc>
          <w:tcPr>
            <w:tcW w:w="1140" w:type="dxa"/>
          </w:tcPr>
          <w:p>
            <w:pPr>
              <w:pStyle w:val="nTable"/>
              <w:spacing w:after="40"/>
              <w:rPr>
                <w:sz w:val="19"/>
              </w:rPr>
            </w:pPr>
            <w:r>
              <w:rPr>
                <w:sz w:val="19"/>
              </w:rPr>
              <w:t>3 of 1998</w:t>
            </w:r>
          </w:p>
        </w:tc>
        <w:tc>
          <w:tcPr>
            <w:tcW w:w="1136" w:type="dxa"/>
          </w:tcPr>
          <w:p>
            <w:pPr>
              <w:pStyle w:val="nTable"/>
              <w:spacing w:after="40"/>
              <w:rPr>
                <w:sz w:val="19"/>
              </w:rPr>
            </w:pPr>
            <w:r>
              <w:rPr>
                <w:sz w:val="19"/>
              </w:rPr>
              <w:t>26 Mar 1998</w:t>
            </w:r>
          </w:p>
        </w:tc>
        <w:tc>
          <w:tcPr>
            <w:tcW w:w="2571" w:type="dxa"/>
            <w:gridSpan w:val="2"/>
          </w:tcPr>
          <w:p>
            <w:pPr>
              <w:pStyle w:val="nTable"/>
              <w:spacing w:after="40"/>
              <w:rPr>
                <w:sz w:val="19"/>
              </w:rPr>
            </w:pPr>
            <w:r>
              <w:rPr>
                <w:sz w:val="19"/>
              </w:rPr>
              <w:t>26 Mar 1998 (see s. 2)</w:t>
            </w:r>
          </w:p>
        </w:tc>
      </w:tr>
      <w:tr>
        <w:trPr>
          <w:cantSplit/>
        </w:trPr>
        <w:tc>
          <w:tcPr>
            <w:tcW w:w="2278" w:type="dxa"/>
          </w:tcPr>
          <w:p>
            <w:pPr>
              <w:pStyle w:val="nTable"/>
              <w:spacing w:after="40"/>
              <w:ind w:right="113"/>
              <w:rPr>
                <w:i/>
                <w:sz w:val="19"/>
              </w:rPr>
            </w:pPr>
            <w:r>
              <w:rPr>
                <w:i/>
                <w:sz w:val="19"/>
              </w:rPr>
              <w:t xml:space="preserve">Statutes (Repeals and Minor Amendments) Act 2000 </w:t>
            </w:r>
            <w:r>
              <w:rPr>
                <w:sz w:val="19"/>
              </w:rPr>
              <w:t>s. 27</w:t>
            </w:r>
          </w:p>
        </w:tc>
        <w:tc>
          <w:tcPr>
            <w:tcW w:w="1140"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71" w:type="dxa"/>
            <w:gridSpan w:val="2"/>
          </w:tcPr>
          <w:p>
            <w:pPr>
              <w:pStyle w:val="nTable"/>
              <w:spacing w:after="40"/>
              <w:rPr>
                <w:sz w:val="19"/>
              </w:rPr>
            </w:pPr>
            <w:r>
              <w:rPr>
                <w:sz w:val="19"/>
              </w:rPr>
              <w:t>4 Jul 2000 (see s. 2)</w:t>
            </w:r>
          </w:p>
        </w:tc>
      </w:tr>
      <w:tr>
        <w:trPr>
          <w:cantSplit/>
        </w:trPr>
        <w:tc>
          <w:tcPr>
            <w:tcW w:w="227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3</w:t>
            </w:r>
          </w:p>
        </w:tc>
        <w:tc>
          <w:tcPr>
            <w:tcW w:w="1140" w:type="dxa"/>
          </w:tcPr>
          <w:p>
            <w:pPr>
              <w:pStyle w:val="nTable"/>
              <w:spacing w:after="40"/>
              <w:rPr>
                <w:sz w:val="19"/>
              </w:rPr>
            </w:pPr>
            <w:r>
              <w:rPr>
                <w:sz w:val="19"/>
              </w:rPr>
              <w:t>69 of 2000</w:t>
            </w:r>
          </w:p>
        </w:tc>
        <w:tc>
          <w:tcPr>
            <w:tcW w:w="1136" w:type="dxa"/>
          </w:tcPr>
          <w:p>
            <w:pPr>
              <w:pStyle w:val="nTable"/>
              <w:spacing w:after="40"/>
              <w:rPr>
                <w:sz w:val="19"/>
              </w:rPr>
            </w:pPr>
            <w:r>
              <w:rPr>
                <w:sz w:val="19"/>
              </w:rPr>
              <w:t>6 Dec 2000</w:t>
            </w:r>
          </w:p>
        </w:tc>
        <w:tc>
          <w:tcPr>
            <w:tcW w:w="2571" w:type="dxa"/>
            <w:gridSpan w:val="2"/>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78" w:type="dxa"/>
          </w:tcPr>
          <w:p>
            <w:pPr>
              <w:pStyle w:val="nTable"/>
              <w:spacing w:after="40"/>
              <w:rPr>
                <w:sz w:val="19"/>
              </w:rPr>
            </w:pPr>
            <w:r>
              <w:rPr>
                <w:i/>
                <w:sz w:val="19"/>
              </w:rPr>
              <w:t>Nurses Amendment Act 2003</w:t>
            </w:r>
            <w:r>
              <w:rPr>
                <w:sz w:val="19"/>
              </w:rPr>
              <w:t xml:space="preserve"> Pt. 3 Div. 2</w:t>
            </w:r>
          </w:p>
        </w:tc>
        <w:tc>
          <w:tcPr>
            <w:tcW w:w="1140" w:type="dxa"/>
          </w:tcPr>
          <w:p>
            <w:pPr>
              <w:pStyle w:val="nTable"/>
              <w:spacing w:after="40"/>
              <w:rPr>
                <w:sz w:val="19"/>
              </w:rPr>
            </w:pPr>
            <w:r>
              <w:rPr>
                <w:sz w:val="19"/>
              </w:rPr>
              <w:t>9 of 2003</w:t>
            </w:r>
          </w:p>
        </w:tc>
        <w:tc>
          <w:tcPr>
            <w:tcW w:w="1136" w:type="dxa"/>
          </w:tcPr>
          <w:p>
            <w:pPr>
              <w:pStyle w:val="nTable"/>
              <w:spacing w:after="40"/>
              <w:rPr>
                <w:sz w:val="19"/>
              </w:rPr>
            </w:pPr>
            <w:r>
              <w:rPr>
                <w:sz w:val="19"/>
              </w:rPr>
              <w:t>9 Apr 2003</w:t>
            </w:r>
          </w:p>
        </w:tc>
        <w:tc>
          <w:tcPr>
            <w:tcW w:w="2571" w:type="dxa"/>
            <w:gridSpan w:val="2"/>
          </w:tcPr>
          <w:p>
            <w:pPr>
              <w:pStyle w:val="nTable"/>
              <w:spacing w:after="40"/>
              <w:rPr>
                <w:sz w:val="19"/>
              </w:rPr>
            </w:pPr>
            <w:r>
              <w:rPr>
                <w:sz w:val="19"/>
              </w:rPr>
              <w:t>9 Apr 2003 (see s. 2)</w:t>
            </w:r>
          </w:p>
        </w:tc>
      </w:tr>
      <w:tr>
        <w:trPr>
          <w:cantSplit/>
        </w:trPr>
        <w:tc>
          <w:tcPr>
            <w:tcW w:w="2278" w:type="dxa"/>
          </w:tcPr>
          <w:p>
            <w:pPr>
              <w:pStyle w:val="nTable"/>
              <w:spacing w:after="40"/>
              <w:rPr>
                <w:sz w:val="19"/>
              </w:rPr>
            </w:pPr>
            <w:r>
              <w:rPr>
                <w:i/>
                <w:sz w:val="19"/>
              </w:rPr>
              <w:t>Cannabis Control Act 2003</w:t>
            </w:r>
            <w:r>
              <w:rPr>
                <w:sz w:val="19"/>
              </w:rPr>
              <w:t xml:space="preserve"> Pt. 5</w:t>
            </w:r>
          </w:p>
        </w:tc>
        <w:tc>
          <w:tcPr>
            <w:tcW w:w="1140" w:type="dxa"/>
          </w:tcPr>
          <w:p>
            <w:pPr>
              <w:pStyle w:val="nTable"/>
              <w:spacing w:after="40"/>
              <w:rPr>
                <w:sz w:val="19"/>
              </w:rPr>
            </w:pPr>
            <w:r>
              <w:rPr>
                <w:sz w:val="19"/>
              </w:rPr>
              <w:t>52 of 2003</w:t>
            </w:r>
          </w:p>
        </w:tc>
        <w:tc>
          <w:tcPr>
            <w:tcW w:w="1136" w:type="dxa"/>
          </w:tcPr>
          <w:p>
            <w:pPr>
              <w:pStyle w:val="nTable"/>
              <w:spacing w:after="40"/>
              <w:rPr>
                <w:sz w:val="19"/>
              </w:rPr>
            </w:pPr>
            <w:r>
              <w:rPr>
                <w:sz w:val="19"/>
              </w:rPr>
              <w:t>1 Oct 2003</w:t>
            </w:r>
          </w:p>
        </w:tc>
        <w:tc>
          <w:tcPr>
            <w:tcW w:w="2571" w:type="dxa"/>
            <w:gridSpan w:val="2"/>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78" w:type="dxa"/>
          </w:tcPr>
          <w:p>
            <w:pPr>
              <w:pStyle w:val="nTable"/>
              <w:spacing w:after="40"/>
              <w:rPr>
                <w:sz w:val="19"/>
              </w:rPr>
            </w:pPr>
            <w:r>
              <w:rPr>
                <w:i/>
                <w:sz w:val="19"/>
              </w:rPr>
              <w:t>Industrial Hemp Act 2004</w:t>
            </w:r>
            <w:r>
              <w:rPr>
                <w:sz w:val="19"/>
              </w:rPr>
              <w:t xml:space="preserve"> Pt. 7</w:t>
            </w:r>
          </w:p>
        </w:tc>
        <w:tc>
          <w:tcPr>
            <w:tcW w:w="1140" w:type="dxa"/>
          </w:tcPr>
          <w:p>
            <w:pPr>
              <w:pStyle w:val="nTable"/>
              <w:spacing w:after="40"/>
              <w:rPr>
                <w:sz w:val="19"/>
              </w:rPr>
            </w:pPr>
            <w:r>
              <w:rPr>
                <w:sz w:val="19"/>
              </w:rPr>
              <w:t>1 of 2004</w:t>
            </w:r>
          </w:p>
        </w:tc>
        <w:tc>
          <w:tcPr>
            <w:tcW w:w="1136" w:type="dxa"/>
          </w:tcPr>
          <w:p>
            <w:pPr>
              <w:pStyle w:val="nTable"/>
              <w:spacing w:after="40"/>
              <w:rPr>
                <w:sz w:val="19"/>
              </w:rPr>
            </w:pPr>
            <w:r>
              <w:rPr>
                <w:sz w:val="19"/>
              </w:rPr>
              <w:t>12 Mar 2004</w:t>
            </w:r>
          </w:p>
        </w:tc>
        <w:tc>
          <w:tcPr>
            <w:tcW w:w="2571" w:type="dxa"/>
            <w:gridSpan w:val="2"/>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7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40" w:type="dxa"/>
          </w:tcPr>
          <w:p>
            <w:pPr>
              <w:pStyle w:val="nTable"/>
              <w:spacing w:after="40"/>
              <w:rPr>
                <w:sz w:val="19"/>
              </w:rPr>
            </w:pPr>
            <w:r>
              <w:rPr>
                <w:sz w:val="19"/>
              </w:rPr>
              <w:t>4 of 2004</w:t>
            </w:r>
          </w:p>
        </w:tc>
        <w:tc>
          <w:tcPr>
            <w:tcW w:w="1136" w:type="dxa"/>
          </w:tcPr>
          <w:p>
            <w:pPr>
              <w:pStyle w:val="nTable"/>
              <w:spacing w:after="40"/>
              <w:rPr>
                <w:sz w:val="19"/>
              </w:rPr>
            </w:pPr>
            <w:r>
              <w:rPr>
                <w:sz w:val="19"/>
              </w:rPr>
              <w:t>23 Apr 2004</w:t>
            </w:r>
          </w:p>
        </w:tc>
        <w:tc>
          <w:tcPr>
            <w:tcW w:w="2571" w:type="dxa"/>
            <w:gridSpan w:val="2"/>
          </w:tcPr>
          <w:p>
            <w:pPr>
              <w:pStyle w:val="nTable"/>
              <w:spacing w:after="40"/>
              <w:rPr>
                <w:sz w:val="19"/>
              </w:rPr>
            </w:pPr>
            <w:r>
              <w:rPr>
                <w:sz w:val="19"/>
              </w:rPr>
              <w:t>21 May 2004 (see s. 2)</w:t>
            </w:r>
          </w:p>
        </w:tc>
      </w:tr>
      <w:tr>
        <w:trPr>
          <w:cantSplit/>
        </w:trPr>
        <w:tc>
          <w:tcPr>
            <w:tcW w:w="227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40"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40" w:type="dxa"/>
          </w:tcPr>
          <w:p>
            <w:pPr>
              <w:pStyle w:val="nTable"/>
              <w:spacing w:after="40"/>
              <w:rPr>
                <w:sz w:val="19"/>
              </w:rPr>
            </w:pPr>
            <w:r>
              <w:rPr>
                <w:snapToGrid w:val="0"/>
                <w:sz w:val="19"/>
                <w:lang w:val="en-US"/>
              </w:rPr>
              <w:t>62 of 2004</w:t>
            </w:r>
          </w:p>
        </w:tc>
        <w:tc>
          <w:tcPr>
            <w:tcW w:w="1136" w:type="dxa"/>
          </w:tcPr>
          <w:p>
            <w:pPr>
              <w:pStyle w:val="nTable"/>
              <w:spacing w:after="40"/>
              <w:rPr>
                <w:sz w:val="19"/>
              </w:rPr>
            </w:pPr>
            <w:r>
              <w:rPr>
                <w:sz w:val="19"/>
              </w:rPr>
              <w:t>24 Nov 2004</w:t>
            </w:r>
          </w:p>
        </w:tc>
        <w:tc>
          <w:tcPr>
            <w:tcW w:w="2571" w:type="dxa"/>
            <w:gridSpan w:val="2"/>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40"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5" w:type="dxa"/>
            <w:gridSpan w:val="5"/>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78" w:type="dxa"/>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40"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1" w:type="dxa"/>
            <w:gridSpan w:val="2"/>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78" w:type="dxa"/>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40 of 2006</w:t>
            </w:r>
          </w:p>
        </w:tc>
        <w:tc>
          <w:tcPr>
            <w:tcW w:w="1136" w:type="dxa"/>
          </w:tcPr>
          <w:p>
            <w:pPr>
              <w:pStyle w:val="nTable"/>
              <w:spacing w:after="40"/>
              <w:rPr>
                <w:sz w:val="19"/>
              </w:rPr>
            </w:pPr>
            <w:r>
              <w:rPr>
                <w:snapToGrid w:val="0"/>
                <w:sz w:val="19"/>
                <w:lang w:val="en-US"/>
              </w:rPr>
              <w:t>22 Sep 2006</w:t>
            </w:r>
          </w:p>
        </w:tc>
        <w:tc>
          <w:tcPr>
            <w:tcW w:w="2571" w:type="dxa"/>
            <w:gridSpan w:val="2"/>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7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40"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71" w:type="dxa"/>
            <w:gridSpan w:val="2"/>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54" w:type="dxa"/>
            <w:gridSpan w:val="3"/>
          </w:tcPr>
          <w:p>
            <w:pPr>
              <w:pStyle w:val="nTable"/>
              <w:spacing w:after="40"/>
              <w:rPr>
                <w:snapToGrid w:val="0"/>
                <w:sz w:val="19"/>
                <w:lang w:val="en-US"/>
              </w:rPr>
            </w:pPr>
            <w:r>
              <w:rPr>
                <w:i/>
                <w:iCs/>
                <w:snapToGrid w:val="0"/>
                <w:sz w:val="19"/>
                <w:lang w:val="en-US"/>
              </w:rPr>
              <w:t>Misuse of Drugs (Amounts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71" w:type="dxa"/>
            <w:gridSpan w:val="2"/>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125" w:type="dxa"/>
            <w:gridSpan w:val="5"/>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pPr>
            <w:r>
              <w:rPr>
                <w:i/>
                <w:snapToGrid w:val="0"/>
              </w:rPr>
              <w:t>Medical Practitioners Act 2008</w:t>
            </w:r>
            <w:r>
              <w:t xml:space="preserve"> s. 162</w:t>
            </w:r>
          </w:p>
        </w:tc>
        <w:tc>
          <w:tcPr>
            <w:tcW w:w="1140" w:type="dxa"/>
            <w:tcBorders>
              <w:top w:val="nil"/>
              <w:bottom w:val="nil"/>
            </w:tcBorders>
          </w:tcPr>
          <w:p>
            <w:pPr>
              <w:pStyle w:val="nTable"/>
              <w:spacing w:after="40"/>
              <w:rPr>
                <w:sz w:val="19"/>
              </w:rPr>
            </w:pPr>
            <w:r>
              <w:rPr>
                <w:sz w:val="19"/>
              </w:rPr>
              <w:t>22 of 2008</w:t>
            </w:r>
          </w:p>
        </w:tc>
        <w:tc>
          <w:tcPr>
            <w:tcW w:w="1164" w:type="dxa"/>
            <w:gridSpan w:val="2"/>
            <w:tcBorders>
              <w:top w:val="nil"/>
              <w:bottom w:val="nil"/>
            </w:tcBorders>
          </w:tcPr>
          <w:p>
            <w:pPr>
              <w:pStyle w:val="nTable"/>
              <w:spacing w:after="40"/>
              <w:rPr>
                <w:sz w:val="19"/>
              </w:rPr>
            </w:pPr>
            <w:r>
              <w:rPr>
                <w:sz w:val="19"/>
              </w:rPr>
              <w:t>27 May 2008</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rPr>
                <w:i/>
                <w:snapToGrid w:val="0"/>
              </w:rPr>
            </w:pPr>
            <w:r>
              <w:rPr>
                <w:i/>
                <w:snapToGrid w:val="0"/>
                <w:sz w:val="19"/>
              </w:rPr>
              <w:t>Police Amendment Act 2009</w:t>
            </w:r>
            <w:r>
              <w:rPr>
                <w:i/>
                <w:iCs/>
                <w:snapToGrid w:val="0"/>
                <w:sz w:val="19"/>
              </w:rPr>
              <w:t xml:space="preserve"> </w:t>
            </w:r>
            <w:r>
              <w:rPr>
                <w:snapToGrid w:val="0"/>
                <w:sz w:val="19"/>
              </w:rPr>
              <w:t>s. 21</w:t>
            </w:r>
          </w:p>
        </w:tc>
        <w:tc>
          <w:tcPr>
            <w:tcW w:w="1140" w:type="dxa"/>
            <w:tcBorders>
              <w:top w:val="nil"/>
              <w:bottom w:val="nil"/>
            </w:tcBorders>
          </w:tcPr>
          <w:p>
            <w:pPr>
              <w:pStyle w:val="nTable"/>
              <w:spacing w:after="40"/>
              <w:rPr>
                <w:sz w:val="19"/>
              </w:rPr>
            </w:pPr>
            <w:r>
              <w:rPr>
                <w:snapToGrid w:val="0"/>
                <w:sz w:val="19"/>
                <w:lang w:val="en-US"/>
              </w:rPr>
              <w:t>42 of 2009</w:t>
            </w:r>
          </w:p>
        </w:tc>
        <w:tc>
          <w:tcPr>
            <w:tcW w:w="1164" w:type="dxa"/>
            <w:gridSpan w:val="2"/>
            <w:tcBorders>
              <w:top w:val="nil"/>
              <w:bottom w:val="nil"/>
            </w:tcBorders>
          </w:tcPr>
          <w:p>
            <w:pPr>
              <w:pStyle w:val="nTable"/>
              <w:spacing w:after="40"/>
              <w:rPr>
                <w:sz w:val="19"/>
              </w:rPr>
            </w:pPr>
            <w:r>
              <w:rPr>
                <w:snapToGrid w:val="0"/>
                <w:sz w:val="19"/>
                <w:lang w:val="en-US"/>
              </w:rPr>
              <w:t>3 Dec 2009</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0"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37</w:t>
            </w:r>
          </w:p>
        </w:tc>
        <w:tc>
          <w:tcPr>
            <w:tcW w:w="1140"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1"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78" w:type="dxa"/>
          </w:tcPr>
          <w:p>
            <w:pPr>
              <w:pStyle w:val="nTable"/>
              <w:spacing w:after="40"/>
              <w:ind w:right="113"/>
              <w:rPr>
                <w:iCs/>
                <w:snapToGrid w:val="0"/>
                <w:sz w:val="19"/>
                <w:lang w:val="en-US"/>
              </w:rPr>
            </w:pPr>
            <w:r>
              <w:rPr>
                <w:i/>
                <w:snapToGrid w:val="0"/>
                <w:sz w:val="19"/>
                <w:lang w:val="en-US"/>
              </w:rPr>
              <w:t>Misuse of Drugs Amendment Act 2010</w:t>
            </w:r>
            <w:r>
              <w:rPr>
                <w:iCs/>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44 of 2010</w:t>
            </w:r>
          </w:p>
        </w:tc>
        <w:tc>
          <w:tcPr>
            <w:tcW w:w="1136" w:type="dxa"/>
          </w:tcPr>
          <w:p>
            <w:pPr>
              <w:pStyle w:val="nTable"/>
              <w:spacing w:after="40"/>
              <w:rPr>
                <w:snapToGrid w:val="0"/>
                <w:sz w:val="19"/>
                <w:lang w:val="en-US"/>
              </w:rPr>
            </w:pPr>
            <w:r>
              <w:rPr>
                <w:snapToGrid w:val="0"/>
                <w:sz w:val="19"/>
                <w:lang w:val="en-US"/>
              </w:rPr>
              <w:t>28 Oct 2010</w:t>
            </w:r>
          </w:p>
        </w:tc>
        <w:tc>
          <w:tcPr>
            <w:tcW w:w="2571" w:type="dxa"/>
            <w:gridSpan w:val="2"/>
          </w:tcPr>
          <w:p>
            <w:pPr>
              <w:pStyle w:val="nTable"/>
              <w:spacing w:after="40"/>
              <w:rPr>
                <w:snapToGrid w:val="0"/>
                <w:sz w:val="19"/>
                <w:lang w:val="en-US"/>
              </w:rPr>
            </w:pPr>
            <w:r>
              <w:rPr>
                <w:snapToGrid w:val="0"/>
                <w:sz w:val="19"/>
                <w:lang w:val="en-US"/>
              </w:rPr>
              <w:t>s. 1 and 2: 28 Oct 2010 (see s. 2(a));</w:t>
            </w:r>
            <w:r>
              <w:rPr>
                <w:snapToGrid w:val="0"/>
                <w:sz w:val="19"/>
                <w:lang w:val="en-US"/>
              </w:rPr>
              <w:br/>
              <w:t xml:space="preserve">s. 3, 4 and 7(3) and (4): 22 Jan 2011 (see s. 2(b) and </w:t>
            </w:r>
            <w:r>
              <w:rPr>
                <w:i/>
                <w:iCs/>
                <w:snapToGrid w:val="0"/>
                <w:sz w:val="19"/>
                <w:lang w:val="en-US"/>
              </w:rPr>
              <w:t>Gazette</w:t>
            </w:r>
            <w:r>
              <w:rPr>
                <w:snapToGrid w:val="0"/>
                <w:sz w:val="19"/>
                <w:lang w:val="en-US"/>
              </w:rPr>
              <w:t xml:space="preserve"> 21 Jan 2011 p. 157)</w:t>
            </w:r>
          </w:p>
        </w:tc>
      </w:tr>
      <w:tr>
        <w:trPr>
          <w:cantSplit/>
        </w:trPr>
        <w:tc>
          <w:tcPr>
            <w:tcW w:w="2278" w:type="dxa"/>
          </w:tcPr>
          <w:p>
            <w:pPr>
              <w:pStyle w:val="nTable"/>
              <w:spacing w:after="40"/>
              <w:ind w:right="113"/>
              <w:rPr>
                <w:i/>
                <w:snapToGrid w:val="0"/>
                <w:sz w:val="19"/>
                <w:lang w:val="en-US"/>
              </w:rPr>
            </w:pPr>
            <w:r>
              <w:rPr>
                <w:i/>
                <w:iCs/>
                <w:snapToGrid w:val="0"/>
                <w:sz w:val="19"/>
                <w:lang w:val="en-US"/>
              </w:rPr>
              <w:t>Misuse of Drugs Amendment Act (No. 2) 2010</w:t>
            </w:r>
            <w:r>
              <w:rPr>
                <w:snapToGrid w:val="0"/>
                <w:sz w:val="19"/>
                <w:lang w:val="en-US"/>
              </w:rPr>
              <w:t xml:space="preserve"> Pt. 2</w:t>
            </w:r>
          </w:p>
        </w:tc>
        <w:tc>
          <w:tcPr>
            <w:tcW w:w="1140" w:type="dxa"/>
          </w:tcPr>
          <w:p>
            <w:pPr>
              <w:pStyle w:val="nTable"/>
              <w:spacing w:after="40"/>
              <w:rPr>
                <w:snapToGrid w:val="0"/>
                <w:sz w:val="19"/>
                <w:lang w:val="en-US"/>
              </w:rPr>
            </w:pPr>
            <w:r>
              <w:rPr>
                <w:snapToGrid w:val="0"/>
                <w:sz w:val="19"/>
                <w:lang w:val="en-US"/>
              </w:rPr>
              <w:t>50 of 2010</w:t>
            </w:r>
          </w:p>
        </w:tc>
        <w:tc>
          <w:tcPr>
            <w:tcW w:w="1136" w:type="dxa"/>
          </w:tcPr>
          <w:p>
            <w:pPr>
              <w:pStyle w:val="nTable"/>
              <w:spacing w:after="40"/>
              <w:rPr>
                <w:snapToGrid w:val="0"/>
                <w:sz w:val="19"/>
                <w:lang w:val="en-US"/>
              </w:rPr>
            </w:pPr>
            <w:r>
              <w:rPr>
                <w:snapToGrid w:val="0"/>
                <w:sz w:val="19"/>
                <w:lang w:val="en-US"/>
              </w:rPr>
              <w:t>24 Nov 2010</w:t>
            </w:r>
          </w:p>
        </w:tc>
        <w:tc>
          <w:tcPr>
            <w:tcW w:w="2571" w:type="dxa"/>
            <w:gridSpan w:val="2"/>
          </w:tcPr>
          <w:p>
            <w:pPr>
              <w:pStyle w:val="nTable"/>
              <w:spacing w:after="40"/>
              <w:rPr>
                <w:snapToGrid w:val="0"/>
                <w:sz w:val="19"/>
                <w:lang w:val="en-US"/>
              </w:rPr>
            </w:pPr>
            <w:r>
              <w:rPr>
                <w:snapToGrid w:val="0"/>
                <w:sz w:val="19"/>
                <w:lang w:val="en-US"/>
              </w:rPr>
              <w:t>25 Nov 2010 (see s. 2(b))</w:t>
            </w:r>
          </w:p>
        </w:tc>
      </w:tr>
      <w:tr>
        <w:trPr>
          <w:cantSplit/>
          <w:ins w:id="867" w:author="svcMRProcess" w:date="2018-09-06T00:30:00Z"/>
        </w:trPr>
        <w:tc>
          <w:tcPr>
            <w:tcW w:w="4554" w:type="dxa"/>
            <w:gridSpan w:val="3"/>
            <w:tcBorders>
              <w:bottom w:val="single" w:sz="4" w:space="0" w:color="auto"/>
            </w:tcBorders>
          </w:tcPr>
          <w:p>
            <w:pPr>
              <w:pStyle w:val="nTable"/>
              <w:spacing w:after="40"/>
              <w:rPr>
                <w:ins w:id="868" w:author="svcMRProcess" w:date="2018-09-06T00:30:00Z"/>
                <w:sz w:val="19"/>
              </w:rPr>
            </w:pPr>
            <w:ins w:id="869" w:author="svcMRProcess" w:date="2018-09-06T00:30:00Z">
              <w:r>
                <w:rPr>
                  <w:i/>
                  <w:sz w:val="19"/>
                </w:rPr>
                <w:t xml:space="preserve">Misuse of Drugs (Numbers of Cannabis Plants) Order 2010 </w:t>
              </w:r>
              <w:r>
                <w:rPr>
                  <w:sz w:val="19"/>
                </w:rPr>
                <w:t xml:space="preserve">published in </w:t>
              </w:r>
              <w:r>
                <w:rPr>
                  <w:i/>
                  <w:sz w:val="19"/>
                </w:rPr>
                <w:t>Gazette</w:t>
              </w:r>
              <w:r>
                <w:rPr>
                  <w:sz w:val="19"/>
                </w:rPr>
                <w:t xml:space="preserve"> 15 Apr 2011 p. 1425-6</w:t>
              </w:r>
            </w:ins>
          </w:p>
        </w:tc>
        <w:tc>
          <w:tcPr>
            <w:tcW w:w="2571" w:type="dxa"/>
            <w:gridSpan w:val="2"/>
            <w:tcBorders>
              <w:bottom w:val="single" w:sz="4" w:space="0" w:color="auto"/>
            </w:tcBorders>
          </w:tcPr>
          <w:p>
            <w:pPr>
              <w:pStyle w:val="nTable"/>
              <w:spacing w:after="40"/>
              <w:rPr>
                <w:ins w:id="870" w:author="svcMRProcess" w:date="2018-09-06T00:30:00Z"/>
                <w:sz w:val="19"/>
              </w:rPr>
            </w:pPr>
            <w:ins w:id="871" w:author="svcMRProcess" w:date="2018-09-06T00:30:00Z">
              <w:r>
                <w:rPr>
                  <w:sz w:val="19"/>
                </w:rPr>
                <w:t>cl. 1 and 2: 15 Apr 2011 (see cl. 2(a));</w:t>
              </w:r>
              <w:r>
                <w:rPr>
                  <w:sz w:val="19"/>
                </w:rPr>
                <w:br/>
                <w:t>Order other than cl. 1 and 2: 16 Apr 2011 (see cl. 2(b))</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72" w:name="_Toc534778309"/>
      <w:bookmarkStart w:id="873" w:name="_Toc7405063"/>
      <w:bookmarkStart w:id="874" w:name="_Toc290558571"/>
      <w:bookmarkStart w:id="875" w:name="_Toc283287509"/>
      <w:r>
        <w:rPr>
          <w:snapToGrid w:val="0"/>
        </w:rPr>
        <w:t>Provisions that have not come into operation</w:t>
      </w:r>
      <w:bookmarkEnd w:id="872"/>
      <w:bookmarkEnd w:id="873"/>
      <w:bookmarkEnd w:id="874"/>
      <w:bookmarkEnd w:id="87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lang w:val="en-US"/>
              </w:rPr>
            </w:pPr>
            <w:r>
              <w:rPr>
                <w:i/>
                <w:iCs/>
                <w:snapToGrid w:val="0"/>
                <w:sz w:val="19"/>
                <w:lang w:val="en-US"/>
              </w:rPr>
              <w:t>Misuse of Drugs Amendment Act 2010</w:t>
            </w:r>
            <w:r>
              <w:rPr>
                <w:snapToGrid w:val="0"/>
                <w:sz w:val="19"/>
                <w:lang w:val="en-US"/>
              </w:rPr>
              <w:t xml:space="preserve"> s. 5</w:t>
            </w:r>
            <w:r>
              <w:rPr>
                <w:snapToGrid w:val="0"/>
                <w:sz w:val="19"/>
                <w:lang w:val="en-US"/>
              </w:rPr>
              <w:noBreakHyphen/>
              <w:t>7(1) and (2), 8</w:t>
            </w:r>
            <w:r>
              <w:rPr>
                <w:snapToGrid w:val="0"/>
                <w:sz w:val="19"/>
                <w:lang w:val="en-US"/>
              </w:rPr>
              <w:noBreakHyphen/>
              <w:t xml:space="preserve">10 </w:t>
            </w:r>
            <w:r>
              <w:rPr>
                <w:snapToGrid w:val="0"/>
                <w:sz w:val="19"/>
                <w:vertAlign w:val="superscript"/>
                <w:lang w:val="en-US"/>
              </w:rPr>
              <w:t>5</w:t>
            </w:r>
          </w:p>
        </w:tc>
        <w:tc>
          <w:tcPr>
            <w:tcW w:w="1118" w:type="dxa"/>
            <w:tcBorders>
              <w:bottom w:val="nil"/>
            </w:tcBorders>
          </w:tcPr>
          <w:p>
            <w:pPr>
              <w:pStyle w:val="nTable"/>
              <w:spacing w:after="40"/>
              <w:rPr>
                <w:snapToGrid w:val="0"/>
                <w:sz w:val="19"/>
                <w:lang w:val="en-US"/>
              </w:rPr>
            </w:pPr>
            <w:r>
              <w:rPr>
                <w:snapToGrid w:val="0"/>
                <w:sz w:val="19"/>
                <w:lang w:val="en-US"/>
              </w:rPr>
              <w:t>44 of 2010</w:t>
            </w:r>
          </w:p>
        </w:tc>
        <w:tc>
          <w:tcPr>
            <w:tcW w:w="1134" w:type="dxa"/>
            <w:tcBorders>
              <w:bottom w:val="nil"/>
            </w:tcBorders>
          </w:tcPr>
          <w:p>
            <w:pPr>
              <w:pStyle w:val="nTable"/>
              <w:spacing w:after="40"/>
              <w:rPr>
                <w:snapToGrid w:val="0"/>
                <w:sz w:val="19"/>
                <w:lang w:val="en-US"/>
              </w:rPr>
            </w:pPr>
            <w:r>
              <w:rPr>
                <w:snapToGrid w:val="0"/>
                <w:sz w:val="19"/>
                <w:lang w:val="en-US"/>
              </w:rPr>
              <w:t>28 Oct 2010</w:t>
            </w:r>
          </w:p>
        </w:tc>
        <w:tc>
          <w:tcPr>
            <w:tcW w:w="2552" w:type="dxa"/>
            <w:tcBorders>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tcBorders>
          </w:tcPr>
          <w:p>
            <w:pPr>
              <w:pStyle w:val="nTable"/>
              <w:spacing w:after="40"/>
              <w:rPr>
                <w:snapToGrid w:val="0"/>
                <w:sz w:val="19"/>
                <w:lang w:val="en-US"/>
              </w:rPr>
            </w:pPr>
            <w:r>
              <w:rPr>
                <w:i/>
                <w:iCs/>
                <w:snapToGrid w:val="0"/>
                <w:sz w:val="19"/>
                <w:lang w:val="en-US"/>
              </w:rPr>
              <w:t>Cannabis Law Reform Act 2010</w:t>
            </w:r>
            <w:r>
              <w:rPr>
                <w:snapToGrid w:val="0"/>
                <w:sz w:val="19"/>
                <w:lang w:val="en-US"/>
              </w:rPr>
              <w:t xml:space="preserve"> Pt. 3 </w:t>
            </w:r>
            <w:r>
              <w:rPr>
                <w:snapToGrid w:val="0"/>
                <w:sz w:val="19"/>
                <w:vertAlign w:val="superscript"/>
                <w:lang w:val="en-US"/>
              </w:rPr>
              <w:t>6</w:t>
            </w:r>
          </w:p>
        </w:tc>
        <w:tc>
          <w:tcPr>
            <w:tcW w:w="1118" w:type="dxa"/>
            <w:tcBorders>
              <w:top w:val="nil"/>
            </w:tcBorders>
          </w:tcPr>
          <w:p>
            <w:pPr>
              <w:pStyle w:val="nTable"/>
              <w:spacing w:after="40"/>
              <w:rPr>
                <w:snapToGrid w:val="0"/>
                <w:sz w:val="19"/>
                <w:lang w:val="en-US"/>
              </w:rPr>
            </w:pPr>
            <w:r>
              <w:rPr>
                <w:snapToGrid w:val="0"/>
                <w:sz w:val="19"/>
                <w:lang w:val="en-US"/>
              </w:rPr>
              <w:t>45 of 2010</w:t>
            </w:r>
          </w:p>
        </w:tc>
        <w:tc>
          <w:tcPr>
            <w:tcW w:w="1134" w:type="dxa"/>
            <w:tcBorders>
              <w:top w:val="nil"/>
            </w:tcBorders>
          </w:tcPr>
          <w:p>
            <w:pPr>
              <w:pStyle w:val="nTable"/>
              <w:spacing w:after="40"/>
              <w:rPr>
                <w:snapToGrid w:val="0"/>
                <w:sz w:val="19"/>
                <w:lang w:val="en-US"/>
              </w:rPr>
            </w:pPr>
            <w:r>
              <w:rPr>
                <w:snapToGrid w:val="0"/>
                <w:sz w:val="19"/>
                <w:lang w:val="en-US"/>
              </w:rPr>
              <w:t>28 Oct 2010</w:t>
            </w:r>
          </w:p>
        </w:tc>
        <w:tc>
          <w:tcPr>
            <w:tcW w:w="2552"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snapToGrid w:val="0"/>
          <w:vertAlign w:val="superscript"/>
        </w:rPr>
        <w:t>2</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3</w:t>
      </w:r>
      <w:r>
        <w:tab/>
        <w:t xml:space="preserve">The </w:t>
      </w:r>
      <w:r>
        <w:rPr>
          <w:i/>
        </w:rPr>
        <w:t>Criminal Property Confiscation (Consequential Provisions) Act 2000</w:t>
      </w:r>
      <w:r>
        <w:t xml:space="preserve"> s. 3 and 6</w:t>
      </w:r>
      <w:r>
        <w:noBreakHyphen/>
        <w:t xml:space="preserve">11 read as follows: </w:t>
      </w:r>
    </w:p>
    <w:p>
      <w:pPr>
        <w:pStyle w:val="MiscOpen"/>
        <w:rPr>
          <w:highlight w:val="cyan"/>
        </w:rPr>
      </w:pPr>
      <w:r>
        <w:t>“</w:t>
      </w:r>
    </w:p>
    <w:p>
      <w:pPr>
        <w:pStyle w:val="nzHeading5"/>
      </w:pPr>
      <w:bookmarkStart w:id="876" w:name="_Toc492865684"/>
      <w:r>
        <w:t>3.</w:t>
      </w:r>
      <w:r>
        <w:tab/>
      </w:r>
      <w:bookmarkStart w:id="877" w:name="_Toc492865681"/>
      <w:bookmarkStart w:id="878" w:name="_Toc502733466"/>
      <w:r>
        <w:t>Interpretation</w:t>
      </w:r>
      <w:bookmarkEnd w:id="877"/>
      <w:bookmarkEnd w:id="878"/>
    </w:p>
    <w:p>
      <w:pPr>
        <w:pStyle w:val="nzSubsection"/>
        <w:keepNext/>
      </w:pPr>
      <w:r>
        <w:tab/>
      </w:r>
      <w:r>
        <w:tab/>
        <w:t xml:space="preserve">In this Act, unless the contrary intention appears — </w:t>
      </w:r>
    </w:p>
    <w:p>
      <w:pPr>
        <w:pStyle w:val="nzDefstart"/>
      </w:pPr>
      <w:r>
        <w:tab/>
      </w:r>
      <w:r>
        <w:rPr>
          <w:rStyle w:val="CharDefText"/>
          <w:snapToGrid/>
        </w:rPr>
        <w:t>appeal period</w:t>
      </w:r>
      <w:r>
        <w:rPr>
          <w:b/>
          <w:bCs/>
        </w:rPr>
        <w:t xml:space="preserve">, </w:t>
      </w:r>
      <w:r>
        <w:t>in relation to a forfeiture order, has the same meaning as in the repealed Act;</w:t>
      </w:r>
    </w:p>
    <w:p>
      <w:pPr>
        <w:pStyle w:val="nzDefstart"/>
      </w:pPr>
      <w:r>
        <w:tab/>
      </w:r>
      <w:r>
        <w:rPr>
          <w:rStyle w:val="CharDefText"/>
          <w:snapToGrid/>
        </w:rPr>
        <w:t>embargo notice</w:t>
      </w:r>
      <w:r>
        <w:t xml:space="preserve"> has the same meaning as in the repealed Part;</w:t>
      </w:r>
    </w:p>
    <w:p>
      <w:pPr>
        <w:pStyle w:val="nzDefstart"/>
      </w:pPr>
      <w:r>
        <w:tab/>
      </w:r>
      <w:r>
        <w:rPr>
          <w:rStyle w:val="CharDefText"/>
          <w:snapToGrid/>
        </w:rPr>
        <w:t>forfeiture order</w:t>
      </w:r>
      <w:r>
        <w:t xml:space="preserve"> has the same meaning as in the repealed Act;</w:t>
      </w:r>
    </w:p>
    <w:p>
      <w:pPr>
        <w:pStyle w:val="nzDefstart"/>
      </w:pPr>
      <w:r>
        <w:tab/>
      </w:r>
      <w:r>
        <w:rPr>
          <w:rStyle w:val="CharDefText"/>
          <w:snapToGrid/>
        </w:rPr>
        <w:t>holding order</w:t>
      </w:r>
      <w:r>
        <w:rPr>
          <w:b/>
          <w:bCs/>
        </w:rPr>
        <w:t xml:space="preserve"> </w:t>
      </w:r>
      <w:r>
        <w:t>has the same meaning as in the repealed Part;</w:t>
      </w:r>
    </w:p>
    <w:p>
      <w:pPr>
        <w:pStyle w:val="nzDefstart"/>
      </w:pPr>
      <w:r>
        <w:tab/>
      </w:r>
      <w:r>
        <w:rPr>
          <w:rStyle w:val="CharDefText"/>
          <w:snapToGrid/>
        </w:rPr>
        <w:t>interstate forfeiture order</w:t>
      </w:r>
      <w:r>
        <w:t xml:space="preserve"> has the same meaning as in the repealed Act;</w:t>
      </w:r>
    </w:p>
    <w:p>
      <w:pPr>
        <w:pStyle w:val="nzDefstart"/>
      </w:pPr>
      <w:r>
        <w:tab/>
      </w:r>
      <w:r>
        <w:rPr>
          <w:rStyle w:val="CharDefText"/>
          <w:snapToGrid/>
        </w:rPr>
        <w:t>interstate restraining order</w:t>
      </w:r>
      <w:r>
        <w:rPr>
          <w:b/>
          <w:bCs/>
        </w:rPr>
        <w:t xml:space="preserve"> </w:t>
      </w:r>
      <w:r>
        <w:t>has the same meaning as in the repealed Act;</w:t>
      </w:r>
    </w:p>
    <w:p>
      <w:pPr>
        <w:pStyle w:val="nzDefstart"/>
      </w:pPr>
      <w:r>
        <w:tab/>
      </w:r>
      <w:r>
        <w:rPr>
          <w:rStyle w:val="CharDefText"/>
          <w:snapToGrid/>
        </w:rPr>
        <w:t>repealed Act</w:t>
      </w:r>
      <w:r>
        <w:t xml:space="preserve"> means the </w:t>
      </w:r>
      <w:r>
        <w:rPr>
          <w:i/>
          <w:iCs/>
        </w:rPr>
        <w:t xml:space="preserve">Crimes (Confiscation of Profits) Act 1988 </w:t>
      </w:r>
      <w:r>
        <w:t>as in force before its repeal by section </w:t>
      </w:r>
      <w:bookmarkStart w:id="879" w:name="_Hlt491586115"/>
      <w:r>
        <w:t>4</w:t>
      </w:r>
      <w:bookmarkEnd w:id="879"/>
      <w:r>
        <w:t>;</w:t>
      </w:r>
    </w:p>
    <w:p>
      <w:pPr>
        <w:pStyle w:val="nzDefstart"/>
      </w:pPr>
      <w:r>
        <w:tab/>
      </w:r>
      <w:r>
        <w:rPr>
          <w:rStyle w:val="CharDefText"/>
          <w:snapToGrid/>
        </w:rPr>
        <w:t>repealed Part</w:t>
      </w:r>
      <w:r>
        <w:t xml:space="preserve"> means Part IV of the </w:t>
      </w:r>
      <w:r>
        <w:rPr>
          <w:i/>
          <w:iCs/>
        </w:rPr>
        <w:t>Misuse of Drugs Act 1981</w:t>
      </w:r>
      <w:r>
        <w:t xml:space="preserve"> as in force before its repeal by section </w:t>
      </w:r>
      <w:bookmarkStart w:id="880" w:name="_Hlt491586161"/>
      <w:r>
        <w:t>5</w:t>
      </w:r>
      <w:bookmarkEnd w:id="880"/>
      <w:r>
        <w:t>.</w:t>
      </w:r>
    </w:p>
    <w:p>
      <w:pPr>
        <w:pStyle w:val="nzHeading5"/>
      </w:pPr>
      <w:r>
        <w:t>6.</w:t>
      </w:r>
      <w:r>
        <w:tab/>
        <w:t>Applications to court under repealed law — savings</w:t>
      </w:r>
      <w:bookmarkEnd w:id="876"/>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881" w:name="_Toc492865685"/>
      <w:r>
        <w:t>7.</w:t>
      </w:r>
      <w:r>
        <w:tab/>
        <w:t>Court orders under repealed law — savings</w:t>
      </w:r>
      <w:bookmarkEnd w:id="881"/>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882" w:name="_Toc492865686"/>
      <w:r>
        <w:t>8.</w:t>
      </w:r>
      <w:r>
        <w:tab/>
        <w:t>Holding orders and embargo notices — savings</w:t>
      </w:r>
      <w:bookmarkEnd w:id="882"/>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883" w:name="_Toc492865687"/>
      <w:r>
        <w:t>9.</w:t>
      </w:r>
      <w:r>
        <w:tab/>
        <w:t>Warrants issued under repealed law — savings</w:t>
      </w:r>
      <w:bookmarkEnd w:id="883"/>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884" w:name="_Toc492865688"/>
      <w:r>
        <w:t>10.</w:t>
      </w:r>
      <w:r>
        <w:tab/>
        <w:t>Property subject to a forfeiture order</w:t>
      </w:r>
      <w:bookmarkEnd w:id="884"/>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885" w:name="_Toc492865689"/>
      <w:r>
        <w:t>11.</w:t>
      </w:r>
      <w:r>
        <w:tab/>
        <w:t>Real property subject to forfeiture order</w:t>
      </w:r>
      <w:bookmarkEnd w:id="885"/>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 xml:space="preserve">register the State of </w:t>
      </w:r>
      <w:smartTag w:uri="urn:schemas-microsoft-com:office:smarttags" w:element="State">
        <w:smartTag w:uri="urn:schemas-microsoft-com:office:smarttags" w:element="place">
          <w:r>
            <w:t>Western Australia</w:t>
          </w:r>
        </w:smartTag>
      </w:smartTag>
      <w:r>
        <w:t xml:space="preserve">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rPr>
          <w:i/>
          <w:vertAlign w:val="superscript"/>
        </w:rPr>
        <w:t> </w:t>
      </w:r>
      <w:r>
        <w:rPr>
          <w:iCs/>
          <w:vertAlign w:val="superscript"/>
        </w:rPr>
        <w:t>4</w:t>
      </w:r>
      <w:r>
        <w:rPr>
          <w:iCs/>
        </w:rPr>
        <w:t>,</w:t>
      </w:r>
      <w:r>
        <w:t xml:space="preserve"> the provision prevails, but this section does not otherwise affect the operation of that Act in relation to the property. </w:t>
      </w:r>
    </w:p>
    <w:p>
      <w:pPr>
        <w:pStyle w:val="MiscClose"/>
      </w:pPr>
      <w:r>
        <w:t>”.</w:t>
      </w:r>
    </w:p>
    <w:p>
      <w:pPr>
        <w:pStyle w:val="nSubsection"/>
      </w:pPr>
      <w:r>
        <w:rPr>
          <w:vertAlign w:val="superscript"/>
        </w:rPr>
        <w:t>4</w:t>
      </w:r>
      <w:r>
        <w:tab/>
        <w:t>This should read “</w:t>
      </w:r>
      <w:r>
        <w:rPr>
          <w:i/>
          <w:iCs/>
        </w:rPr>
        <w:t>1893</w:t>
      </w:r>
      <w:r>
        <w:t>”.</w:t>
      </w:r>
    </w:p>
    <w:p>
      <w:pPr>
        <w:pStyle w:val="nSubsection"/>
        <w:rPr>
          <w:snapToGrid w:val="0"/>
        </w:rPr>
      </w:pPr>
      <w:r>
        <w:rPr>
          <w:snapToGrid w:val="0"/>
          <w:vertAlign w:val="superscript"/>
        </w:rPr>
        <w:t>5</w:t>
      </w:r>
      <w:r>
        <w:rPr>
          <w:snapToGrid w:val="0"/>
        </w:rPr>
        <w:tab/>
        <w:t xml:space="preserve">On the date as at which this compilation was prepared, the </w:t>
      </w:r>
      <w:r>
        <w:rPr>
          <w:i/>
          <w:iCs/>
          <w:snapToGrid w:val="0"/>
          <w:sz w:val="19"/>
          <w:lang w:val="en-US"/>
        </w:rPr>
        <w:t>Misuse of Drugs Amendment Act 2010</w:t>
      </w:r>
      <w:r>
        <w:rPr>
          <w:snapToGrid w:val="0"/>
          <w:sz w:val="19"/>
          <w:lang w:val="en-US"/>
        </w:rPr>
        <w:t xml:space="preserve"> s. 5</w:t>
      </w:r>
      <w:r>
        <w:rPr>
          <w:snapToGrid w:val="0"/>
          <w:sz w:val="19"/>
          <w:lang w:val="en-US"/>
        </w:rPr>
        <w:noBreakHyphen/>
        <w:t>7(1) and (2), 8</w:t>
      </w:r>
      <w:r>
        <w:rPr>
          <w:snapToGrid w:val="0"/>
          <w:sz w:val="19"/>
          <w:lang w:val="en-US"/>
        </w:rPr>
        <w:noBreakHyphen/>
        <w:t>10</w:t>
      </w:r>
      <w:r>
        <w:rPr>
          <w:snapToGrid w:val="0"/>
        </w:rPr>
        <w:t xml:space="preserve"> had not come into operation.  They read as follows:</w:t>
      </w:r>
    </w:p>
    <w:p>
      <w:pPr>
        <w:pStyle w:val="BlankOpen"/>
      </w:pPr>
    </w:p>
    <w:p>
      <w:pPr>
        <w:pStyle w:val="nzHeading5"/>
      </w:pPr>
      <w:bookmarkStart w:id="886" w:name="_Toc253488807"/>
      <w:bookmarkStart w:id="887" w:name="_Toc276115428"/>
      <w:bookmarkStart w:id="888" w:name="_Toc276384538"/>
      <w:bookmarkStart w:id="889" w:name="_Toc106600738"/>
      <w:r>
        <w:rPr>
          <w:rStyle w:val="CharSectno"/>
        </w:rPr>
        <w:t>5</w:t>
      </w:r>
      <w:r>
        <w:t>.</w:t>
      </w:r>
      <w:r>
        <w:tab/>
        <w:t>Section 21 amended</w:t>
      </w:r>
      <w:bookmarkEnd w:id="886"/>
      <w:bookmarkEnd w:id="887"/>
      <w:bookmarkEnd w:id="888"/>
    </w:p>
    <w:p>
      <w:pPr>
        <w:pStyle w:val="nzSubsection"/>
      </w:pPr>
      <w:r>
        <w:tab/>
      </w:r>
      <w:r>
        <w:tab/>
        <w:t xml:space="preserve">In section 21 delete the definition of </w:t>
      </w:r>
      <w:r>
        <w:rPr>
          <w:b/>
          <w:bCs/>
          <w:i/>
          <w:iCs/>
        </w:rPr>
        <w:t>holding order</w:t>
      </w:r>
      <w:r>
        <w:t>.</w:t>
      </w:r>
    </w:p>
    <w:p>
      <w:pPr>
        <w:pStyle w:val="nzHeading5"/>
      </w:pPr>
      <w:bookmarkStart w:id="890" w:name="_Toc253488808"/>
      <w:bookmarkStart w:id="891" w:name="_Toc276115429"/>
      <w:bookmarkStart w:id="892" w:name="_Toc276384539"/>
      <w:r>
        <w:rPr>
          <w:rStyle w:val="CharSectno"/>
        </w:rPr>
        <w:t>6</w:t>
      </w:r>
      <w:r>
        <w:t>.</w:t>
      </w:r>
      <w:r>
        <w:tab/>
        <w:t>Section 26 amended</w:t>
      </w:r>
      <w:bookmarkEnd w:id="890"/>
      <w:bookmarkEnd w:id="891"/>
      <w:bookmarkEnd w:id="892"/>
    </w:p>
    <w:p>
      <w:pPr>
        <w:pStyle w:val="nzSubsection"/>
      </w:pPr>
      <w:r>
        <w:tab/>
        <w:t>(1)</w:t>
      </w:r>
      <w:r>
        <w:tab/>
        <w:t>In section 26(1):</w:t>
      </w:r>
    </w:p>
    <w:p>
      <w:pPr>
        <w:pStyle w:val="nzIndenta"/>
      </w:pPr>
      <w:r>
        <w:tab/>
        <w:t>(a)</w:t>
      </w:r>
      <w:r>
        <w:tab/>
        <w:t>delete “requires, may seize that thing and —” and insert:</w:t>
      </w:r>
    </w:p>
    <w:p>
      <w:pPr>
        <w:pStyle w:val="BlankOpen"/>
      </w:pPr>
    </w:p>
    <w:p>
      <w:pPr>
        <w:pStyle w:val="nzIndenta"/>
      </w:pPr>
      <w:r>
        <w:tab/>
      </w:r>
      <w:r>
        <w:tab/>
        <w:t>requires —</w:t>
      </w:r>
    </w:p>
    <w:p>
      <w:pPr>
        <w:pStyle w:val="BlankClose"/>
      </w:pPr>
    </w:p>
    <w:p>
      <w:pPr>
        <w:pStyle w:val="nzIndenta"/>
      </w:pPr>
      <w:r>
        <w:tab/>
        <w:t>(b)</w:t>
      </w:r>
      <w:r>
        <w:tab/>
        <w:t>delete paragraphs (a) and (b) and insert:</w:t>
      </w:r>
    </w:p>
    <w:p>
      <w:pPr>
        <w:pStyle w:val="BlankOpen"/>
      </w:pPr>
    </w:p>
    <w:p>
      <w:pPr>
        <w:pStyle w:val="nzIndenta"/>
      </w:pPr>
      <w:r>
        <w:tab/>
        <w:t>(a)</w:t>
      </w:r>
      <w:r>
        <w:tab/>
        <w:t xml:space="preserve">in the case of — </w:t>
      </w:r>
    </w:p>
    <w:p>
      <w:pPr>
        <w:pStyle w:val="nzIndenti"/>
      </w:pPr>
      <w:r>
        <w:tab/>
        <w:t>(i)</w:t>
      </w:r>
      <w:r>
        <w:tab/>
        <w:t>a thing that is a prohibited drug, prohibited plant or dangerous substance; or</w:t>
      </w:r>
    </w:p>
    <w:p>
      <w:pPr>
        <w:pStyle w:val="nzIndenti"/>
      </w:pPr>
      <w:r>
        <w:tab/>
        <w:t>(ii)</w:t>
      </w:r>
      <w:r>
        <w:tab/>
        <w:t>a thing that is contaminated by a dangerous substance,</w:t>
      </w:r>
    </w:p>
    <w:p>
      <w:pPr>
        <w:pStyle w:val="nzIndenta"/>
      </w:pPr>
      <w:r>
        <w:tab/>
      </w:r>
      <w:r>
        <w:tab/>
        <w:t>may seize and detain the thing until it is dealt with under section 27; or</w:t>
      </w:r>
    </w:p>
    <w:p>
      <w:pPr>
        <w:pStyle w:val="nzIndenta"/>
      </w:pPr>
      <w:r>
        <w:tab/>
        <w:t>(b)</w:t>
      </w:r>
      <w:r>
        <w:tab/>
        <w:t>in the case of any other thing, may seize it.</w:t>
      </w:r>
    </w:p>
    <w:p>
      <w:pPr>
        <w:pStyle w:val="BlankClose"/>
      </w:pPr>
    </w:p>
    <w:p>
      <w:pPr>
        <w:pStyle w:val="nzSubsection"/>
      </w:pPr>
      <w:r>
        <w:tab/>
        <w:t>(2)</w:t>
      </w:r>
      <w:r>
        <w:tab/>
        <w:t>After section 26(1) insert:</w:t>
      </w:r>
    </w:p>
    <w:p>
      <w:pPr>
        <w:pStyle w:val="BlankOpen"/>
      </w:pPr>
    </w:p>
    <w:p>
      <w:pPr>
        <w:pStyle w:val="nz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nz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BlankClose"/>
      </w:pPr>
    </w:p>
    <w:p>
      <w:pPr>
        <w:pStyle w:val="nzHeading5"/>
      </w:pPr>
      <w:bookmarkStart w:id="893" w:name="_Toc253488809"/>
      <w:bookmarkStart w:id="894" w:name="_Toc276115430"/>
      <w:bookmarkStart w:id="895" w:name="_Toc276384540"/>
      <w:r>
        <w:rPr>
          <w:rStyle w:val="CharSectno"/>
        </w:rPr>
        <w:t>7</w:t>
      </w:r>
      <w:r>
        <w:t>.</w:t>
      </w:r>
      <w:r>
        <w:tab/>
        <w:t>Section 27 amended</w:t>
      </w:r>
      <w:bookmarkEnd w:id="893"/>
      <w:bookmarkEnd w:id="894"/>
      <w:bookmarkEnd w:id="895"/>
    </w:p>
    <w:p>
      <w:pPr>
        <w:pStyle w:val="nzSubsection"/>
      </w:pPr>
      <w:r>
        <w:tab/>
        <w:t>(1)</w:t>
      </w:r>
      <w:r>
        <w:tab/>
        <w:t>In section 27(1) delete “prohibited drug, prohibited plant or dangerous substance” (each occurrence) and insert:</w:t>
      </w:r>
    </w:p>
    <w:p>
      <w:pPr>
        <w:pStyle w:val="BlankOpen"/>
      </w:pPr>
    </w:p>
    <w:p>
      <w:pPr>
        <w:pStyle w:val="nzSubsection"/>
      </w:pPr>
      <w:r>
        <w:tab/>
      </w:r>
      <w:r>
        <w:tab/>
        <w:t>relevant thing</w:t>
      </w:r>
    </w:p>
    <w:p>
      <w:pPr>
        <w:pStyle w:val="BlankClose"/>
      </w:pPr>
    </w:p>
    <w:p>
      <w:pPr>
        <w:pStyle w:val="nzSubsection"/>
      </w:pPr>
      <w:r>
        <w:tab/>
        <w:t>(2)</w:t>
      </w:r>
      <w:r>
        <w:tab/>
        <w:t>In section 27(2):</w:t>
      </w:r>
    </w:p>
    <w:p>
      <w:pPr>
        <w:pStyle w:val="nzIndenta"/>
      </w:pPr>
      <w:r>
        <w:tab/>
        <w:t>(a)</w:t>
      </w:r>
      <w:r>
        <w:tab/>
        <w:t>delete “prohibited drug, prohibited plant or dangerous substance” and insert:</w:t>
      </w:r>
    </w:p>
    <w:p>
      <w:pPr>
        <w:pStyle w:val="BlankOpen"/>
      </w:pPr>
    </w:p>
    <w:p>
      <w:pPr>
        <w:pStyle w:val="nzIndenta"/>
      </w:pPr>
      <w:r>
        <w:tab/>
      </w:r>
      <w:r>
        <w:tab/>
        <w:t>relevant thing</w:t>
      </w:r>
    </w:p>
    <w:p>
      <w:pPr>
        <w:pStyle w:val="BlankClose"/>
      </w:pPr>
    </w:p>
    <w:p>
      <w:pPr>
        <w:pStyle w:val="nzIndenta"/>
      </w:pPr>
      <w:bookmarkStart w:id="896" w:name="UpToHere"/>
      <w:bookmarkEnd w:id="896"/>
      <w:r>
        <w:tab/>
        <w:t>(b)</w:t>
      </w:r>
      <w:r>
        <w:tab/>
        <w:t>delete paragraph (b) and insert:</w:t>
      </w:r>
    </w:p>
    <w:p>
      <w:pPr>
        <w:pStyle w:val="BlankOpen"/>
      </w:pPr>
    </w:p>
    <w:p>
      <w:pPr>
        <w:pStyle w:val="nzIndenta"/>
      </w:pPr>
      <w:r>
        <w:tab/>
        <w:t>(b)</w:t>
      </w:r>
      <w:r>
        <w:tab/>
        <w:t>sufficient samples have been taken of or from the thing,</w:t>
      </w:r>
    </w:p>
    <w:p>
      <w:pPr>
        <w:pStyle w:val="BlankClose"/>
      </w:pPr>
    </w:p>
    <w:p>
      <w:pPr>
        <w:pStyle w:val="nzHeading5"/>
      </w:pPr>
      <w:bookmarkStart w:id="897" w:name="_Toc253488810"/>
      <w:bookmarkStart w:id="898" w:name="_Toc276115431"/>
      <w:bookmarkStart w:id="899" w:name="_Toc276384541"/>
      <w:r>
        <w:rPr>
          <w:rStyle w:val="CharSectno"/>
        </w:rPr>
        <w:t>8</w:t>
      </w:r>
      <w:r>
        <w:t>.</w:t>
      </w:r>
      <w:r>
        <w:tab/>
        <w:t>Section 28 replaced</w:t>
      </w:r>
      <w:bookmarkEnd w:id="897"/>
      <w:bookmarkEnd w:id="898"/>
      <w:bookmarkEnd w:id="899"/>
    </w:p>
    <w:p>
      <w:pPr>
        <w:pStyle w:val="nzSubsection"/>
      </w:pPr>
      <w:r>
        <w:tab/>
      </w:r>
      <w:r>
        <w:tab/>
        <w:t>Delete section 28 and insert:</w:t>
      </w:r>
    </w:p>
    <w:p>
      <w:pPr>
        <w:pStyle w:val="BlankOpen"/>
      </w:pPr>
    </w:p>
    <w:p>
      <w:pPr>
        <w:pStyle w:val="nzHeading5"/>
      </w:pPr>
      <w:bookmarkStart w:id="900" w:name="_Toc253488811"/>
      <w:bookmarkStart w:id="901" w:name="_Toc276115432"/>
      <w:bookmarkStart w:id="902" w:name="_Toc276384542"/>
      <w:r>
        <w:t>28.</w:t>
      </w:r>
      <w:r>
        <w:tab/>
        <w:t>Compensation for destroyed seized property</w:t>
      </w:r>
      <w:bookmarkEnd w:id="900"/>
      <w:bookmarkEnd w:id="901"/>
      <w:bookmarkEnd w:id="902"/>
    </w:p>
    <w:p>
      <w:pPr>
        <w:pStyle w:val="nzSubsection"/>
      </w:pPr>
      <w:r>
        <w:tab/>
        <w:t>(1)</w:t>
      </w:r>
      <w:r>
        <w:tab/>
        <w:t xml:space="preserve">In this section — </w:t>
      </w:r>
    </w:p>
    <w:p>
      <w:pPr>
        <w:pStyle w:val="nzDefstart"/>
      </w:pPr>
      <w:r>
        <w:rPr>
          <w:b/>
        </w:rPr>
        <w:tab/>
      </w:r>
      <w:r>
        <w:rPr>
          <w:rStyle w:val="CharDefText"/>
        </w:rPr>
        <w:t>seized property</w:t>
      </w:r>
      <w:r>
        <w:t xml:space="preserve"> means a dangerous substance, or a thing contaminated with a dangerous substance, seized under section 26.</w:t>
      </w:r>
    </w:p>
    <w:p>
      <w:pPr>
        <w:pStyle w:val="nzSubsection"/>
      </w:pPr>
      <w:r>
        <w:tab/>
        <w:t>(2)</w:t>
      </w:r>
      <w:r>
        <w:tab/>
        <w:t>This section does not apply to or in respect of any seized property that has been forfeited to the Crown.</w:t>
      </w:r>
    </w:p>
    <w:p>
      <w:pPr>
        <w:pStyle w:val="nzSubsection"/>
      </w:pPr>
      <w:r>
        <w:tab/>
        <w:t>(3)</w:t>
      </w:r>
      <w:r>
        <w:tab/>
        <w:t xml:space="preserve">If any seized property is destroyed — </w:t>
      </w:r>
    </w:p>
    <w:p>
      <w:pPr>
        <w:pStyle w:val="nzIndenta"/>
      </w:pPr>
      <w:r>
        <w:tab/>
        <w:t>(a)</w:t>
      </w:r>
      <w:r>
        <w:tab/>
        <w:t>under section 27(1)(a)(i); or</w:t>
      </w:r>
    </w:p>
    <w:p>
      <w:pPr>
        <w:pStyle w:val="nzIndenta"/>
      </w:pPr>
      <w:r>
        <w:tab/>
        <w:t>(b)</w:t>
      </w:r>
      <w:r>
        <w:tab/>
        <w:t>under an order made under section 27(1)(b),</w:t>
      </w:r>
    </w:p>
    <w:p>
      <w:pPr>
        <w:pStyle w:val="nzSubsection"/>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nzSubsection"/>
      </w:pPr>
      <w:r>
        <w:tab/>
        <w:t>(4)</w:t>
      </w:r>
      <w:r>
        <w:tab/>
        <w:t>If under section 27(4) any seized property is destroyed and —</w:t>
      </w:r>
    </w:p>
    <w:p>
      <w:pPr>
        <w:pStyle w:val="nzIndenta"/>
      </w:pPr>
      <w:r>
        <w:tab/>
        <w:t>(a)</w:t>
      </w:r>
      <w:r>
        <w:tab/>
        <w:t>in the 12 months after the date on which the property was seized no person is charged with an offence that involved the possession, use, sale or supply of it; or</w:t>
      </w:r>
    </w:p>
    <w:p>
      <w:pPr>
        <w:pStyle w:val="nzIndenta"/>
      </w:pPr>
      <w:r>
        <w:tab/>
        <w:t>(b)</w:t>
      </w:r>
      <w:r>
        <w:tab/>
        <w:t>a person is charged with such an offence but is acquitted, whether at trial or on appeal, and any appeal against the acquittal is concluded,</w:t>
      </w:r>
    </w:p>
    <w:p>
      <w:pPr>
        <w:pStyle w:val="nzSubsection"/>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BlankClose"/>
      </w:pPr>
    </w:p>
    <w:p>
      <w:pPr>
        <w:pStyle w:val="nzHeading5"/>
      </w:pPr>
      <w:bookmarkStart w:id="903" w:name="_Toc253488812"/>
      <w:bookmarkStart w:id="904" w:name="_Toc276115433"/>
      <w:bookmarkStart w:id="905" w:name="_Toc276384543"/>
      <w:r>
        <w:rPr>
          <w:rStyle w:val="CharSectno"/>
        </w:rPr>
        <w:t>9</w:t>
      </w:r>
      <w:r>
        <w:t>.</w:t>
      </w:r>
      <w:r>
        <w:tab/>
        <w:t>Section 43 inserted</w:t>
      </w:r>
      <w:bookmarkEnd w:id="903"/>
      <w:bookmarkEnd w:id="904"/>
      <w:bookmarkEnd w:id="905"/>
    </w:p>
    <w:p>
      <w:pPr>
        <w:pStyle w:val="nzSubsection"/>
      </w:pPr>
      <w:r>
        <w:tab/>
      </w:r>
      <w:r>
        <w:tab/>
        <w:t>After section 42 insert:</w:t>
      </w:r>
    </w:p>
    <w:p>
      <w:pPr>
        <w:pStyle w:val="BlankOpen"/>
      </w:pPr>
    </w:p>
    <w:p>
      <w:pPr>
        <w:pStyle w:val="nzHeading5"/>
      </w:pPr>
      <w:bookmarkStart w:id="906" w:name="_Toc253488813"/>
      <w:bookmarkStart w:id="907" w:name="_Toc276115434"/>
      <w:bookmarkStart w:id="908" w:name="_Toc276384544"/>
      <w:r>
        <w:t>43.</w:t>
      </w:r>
      <w:r>
        <w:tab/>
        <w:t>Transitional provisions (Sch. IX)</w:t>
      </w:r>
      <w:bookmarkEnd w:id="906"/>
      <w:bookmarkEnd w:id="907"/>
      <w:bookmarkEnd w:id="908"/>
    </w:p>
    <w:p>
      <w:pPr>
        <w:pStyle w:val="nzSubsection"/>
      </w:pPr>
      <w:r>
        <w:tab/>
      </w:r>
      <w:r>
        <w:tab/>
        <w:t>Schedule IX sets out transitional provisions.</w:t>
      </w:r>
    </w:p>
    <w:p>
      <w:pPr>
        <w:pStyle w:val="BlankClose"/>
      </w:pPr>
    </w:p>
    <w:p>
      <w:pPr>
        <w:pStyle w:val="nzHeading5"/>
      </w:pPr>
      <w:bookmarkStart w:id="909" w:name="_Toc253488814"/>
      <w:bookmarkStart w:id="910" w:name="_Toc276115435"/>
      <w:bookmarkStart w:id="911" w:name="_Toc276384545"/>
      <w:r>
        <w:rPr>
          <w:rStyle w:val="CharSectno"/>
        </w:rPr>
        <w:t>10</w:t>
      </w:r>
      <w:r>
        <w:t>.</w:t>
      </w:r>
      <w:r>
        <w:tab/>
        <w:t>Schedule IX inserted</w:t>
      </w:r>
      <w:bookmarkEnd w:id="909"/>
      <w:bookmarkEnd w:id="910"/>
      <w:bookmarkEnd w:id="911"/>
    </w:p>
    <w:p>
      <w:pPr>
        <w:pStyle w:val="nzSubsection"/>
      </w:pPr>
      <w:r>
        <w:tab/>
      </w:r>
      <w:r>
        <w:tab/>
        <w:t>After Schedule VIII insert:</w:t>
      </w:r>
    </w:p>
    <w:p>
      <w:pPr>
        <w:pStyle w:val="BlankOpen"/>
      </w:pPr>
    </w:p>
    <w:p>
      <w:pPr>
        <w:pStyle w:val="nzHeading2"/>
      </w:pPr>
      <w:bookmarkStart w:id="912" w:name="_Toc253486535"/>
      <w:bookmarkStart w:id="913" w:name="_Toc253488815"/>
      <w:bookmarkStart w:id="914" w:name="_Toc276115436"/>
      <w:bookmarkStart w:id="915" w:name="_Toc276384546"/>
      <w:r>
        <w:t>Schedule IX — Transitional provisions</w:t>
      </w:r>
      <w:bookmarkEnd w:id="912"/>
      <w:bookmarkEnd w:id="913"/>
      <w:bookmarkEnd w:id="914"/>
      <w:bookmarkEnd w:id="915"/>
    </w:p>
    <w:p>
      <w:pPr>
        <w:pStyle w:val="nzMiscellaneousBody"/>
        <w:jc w:val="right"/>
      </w:pPr>
      <w:r>
        <w:t>[s. 43]</w:t>
      </w:r>
    </w:p>
    <w:p>
      <w:pPr>
        <w:pStyle w:val="nzHeading5"/>
      </w:pPr>
      <w:bookmarkStart w:id="916" w:name="_Toc253488816"/>
      <w:bookmarkStart w:id="917" w:name="_Toc276115437"/>
      <w:bookmarkStart w:id="918" w:name="_Toc276384547"/>
      <w:r>
        <w:t>1.</w:t>
      </w:r>
      <w:r>
        <w:rPr>
          <w:b w:val="0"/>
        </w:rPr>
        <w:tab/>
      </w:r>
      <w:r>
        <w:t>Property subject to holding orders under repealed s. 28</w:t>
      </w:r>
      <w:bookmarkEnd w:id="916"/>
      <w:bookmarkEnd w:id="917"/>
      <w:bookmarkEnd w:id="918"/>
    </w:p>
    <w:p>
      <w:pPr>
        <w:pStyle w:val="nzSubsection"/>
      </w:pPr>
      <w:r>
        <w:tab/>
        <w:t>(1)</w:t>
      </w:r>
      <w:r>
        <w:tab/>
        <w:t>In this clause —</w:t>
      </w:r>
    </w:p>
    <w:p>
      <w:pPr>
        <w:pStyle w:val="nz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nzSubsection"/>
      </w:pPr>
      <w:r>
        <w:tab/>
        <w:t>(2)</w:t>
      </w:r>
      <w:r>
        <w:tab/>
        <w:t>If immediately before repeal day any property is subject to a holding order granted under section 28, then on repeal day —</w:t>
      </w:r>
    </w:p>
    <w:p>
      <w:pPr>
        <w:pStyle w:val="nzIndenta"/>
      </w:pPr>
      <w:r>
        <w:tab/>
        <w:t>(a)</w:t>
      </w:r>
      <w:r>
        <w:tab/>
        <w:t>the repealed section 28 ceases to apply to and in respect of the property and the holding order; and</w:t>
      </w:r>
    </w:p>
    <w:p>
      <w:pPr>
        <w:pStyle w:val="nz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BlankClose"/>
      </w:pPr>
    </w:p>
    <w:p>
      <w:pPr>
        <w:pStyle w:val="BlankClose"/>
      </w:pPr>
    </w:p>
    <w:p>
      <w:pPr>
        <w:pStyle w:val="nSubsection"/>
        <w:rPr>
          <w:snapToGrid w:val="0"/>
        </w:rPr>
      </w:pPr>
      <w:r>
        <w:rPr>
          <w:snapToGrid w:val="0"/>
          <w:vertAlign w:val="superscript"/>
        </w:rPr>
        <w:t>6</w:t>
      </w:r>
      <w:r>
        <w:rPr>
          <w:snapToGrid w:val="0"/>
        </w:rPr>
        <w:tab/>
        <w:t xml:space="preserve">On the date as at which this compilation was prepared, the </w:t>
      </w:r>
      <w:r>
        <w:rPr>
          <w:i/>
          <w:iCs/>
          <w:snapToGrid w:val="0"/>
          <w:sz w:val="19"/>
          <w:lang w:val="en-US"/>
        </w:rPr>
        <w:t>Cannabis Law Reform Act 2010</w:t>
      </w:r>
      <w:r>
        <w:rPr>
          <w:snapToGrid w:val="0"/>
          <w:sz w:val="19"/>
          <w:lang w:val="en-US"/>
        </w:rPr>
        <w:t xml:space="preserve"> Pt. 3</w:t>
      </w:r>
      <w:r>
        <w:rPr>
          <w:snapToGrid w:val="0"/>
        </w:rPr>
        <w:t xml:space="preserve"> had not come into operation.  It reads as follows:</w:t>
      </w:r>
    </w:p>
    <w:p>
      <w:pPr>
        <w:pStyle w:val="BlankOpen"/>
      </w:pPr>
    </w:p>
    <w:p>
      <w:pPr>
        <w:pStyle w:val="nzHeading2"/>
      </w:pPr>
      <w:bookmarkStart w:id="919" w:name="_Toc275420350"/>
      <w:bookmarkStart w:id="920" w:name="_Toc276115383"/>
      <w:bookmarkStart w:id="921" w:name="_Toc276385316"/>
      <w:r>
        <w:rPr>
          <w:rStyle w:val="CharPartNo"/>
        </w:rPr>
        <w:t>Part 3</w:t>
      </w:r>
      <w:r>
        <w:rPr>
          <w:rStyle w:val="CharDivNo"/>
          <w:i/>
          <w:iCs/>
        </w:rPr>
        <w:t> </w:t>
      </w:r>
      <w:r>
        <w:rPr>
          <w:i/>
          <w:iCs/>
        </w:rPr>
        <w:t>—</w:t>
      </w:r>
      <w:r>
        <w:rPr>
          <w:rStyle w:val="CharDivText"/>
          <w:i/>
          <w:iCs/>
        </w:rPr>
        <w:t> </w:t>
      </w:r>
      <w:r>
        <w:rPr>
          <w:rStyle w:val="CharPartText"/>
          <w:i/>
          <w:iCs/>
        </w:rPr>
        <w:t>Misuse of Drugs Act 1981 amended</w:t>
      </w:r>
      <w:bookmarkEnd w:id="919"/>
      <w:bookmarkEnd w:id="920"/>
      <w:bookmarkEnd w:id="921"/>
    </w:p>
    <w:p>
      <w:pPr>
        <w:pStyle w:val="nzHeading5"/>
        <w:rPr>
          <w:snapToGrid w:val="0"/>
        </w:rPr>
      </w:pPr>
      <w:bookmarkStart w:id="922" w:name="_Toc275420351"/>
      <w:bookmarkStart w:id="923" w:name="_Toc276115384"/>
      <w:bookmarkStart w:id="924" w:name="_Toc276385317"/>
      <w:r>
        <w:rPr>
          <w:rStyle w:val="CharSectno"/>
        </w:rPr>
        <w:t>4</w:t>
      </w:r>
      <w:r>
        <w:rPr>
          <w:snapToGrid w:val="0"/>
        </w:rPr>
        <w:t>.</w:t>
      </w:r>
      <w:r>
        <w:rPr>
          <w:snapToGrid w:val="0"/>
        </w:rPr>
        <w:tab/>
        <w:t>Act amended</w:t>
      </w:r>
      <w:bookmarkEnd w:id="922"/>
      <w:bookmarkEnd w:id="923"/>
      <w:bookmarkEnd w:id="924"/>
    </w:p>
    <w:p>
      <w:pPr>
        <w:pStyle w:val="nzSubsection"/>
      </w:pPr>
      <w:r>
        <w:tab/>
      </w:r>
      <w:r>
        <w:tab/>
        <w:t xml:space="preserve">This Part amends the </w:t>
      </w:r>
      <w:r>
        <w:rPr>
          <w:i/>
          <w:iCs/>
        </w:rPr>
        <w:t>Misuse of Drugs Act 1981</w:t>
      </w:r>
      <w:r>
        <w:t>.</w:t>
      </w:r>
    </w:p>
    <w:p>
      <w:pPr>
        <w:pStyle w:val="nzHeading5"/>
      </w:pPr>
      <w:bookmarkStart w:id="925" w:name="_Toc275420352"/>
      <w:bookmarkStart w:id="926" w:name="_Toc276115385"/>
      <w:bookmarkStart w:id="927" w:name="_Toc276385318"/>
      <w:r>
        <w:rPr>
          <w:rStyle w:val="CharSectno"/>
        </w:rPr>
        <w:t>5</w:t>
      </w:r>
      <w:r>
        <w:t>.</w:t>
      </w:r>
      <w:r>
        <w:tab/>
        <w:t>Section 3 amended</w:t>
      </w:r>
      <w:bookmarkEnd w:id="925"/>
      <w:bookmarkEnd w:id="926"/>
      <w:bookmarkEnd w:id="927"/>
    </w:p>
    <w:p>
      <w:pPr>
        <w:pStyle w:val="nzSubsection"/>
      </w:pPr>
      <w:r>
        <w:tab/>
      </w:r>
      <w:r>
        <w:tab/>
        <w:t>In section 3(1) insert in alphabetical order:</w:t>
      </w:r>
    </w:p>
    <w:p>
      <w:pPr>
        <w:pStyle w:val="BlankOpen"/>
      </w:pPr>
    </w:p>
    <w:p>
      <w:pPr>
        <w:pStyle w:val="nzDefstart"/>
      </w:pPr>
      <w:r>
        <w:rPr>
          <w:b/>
          <w:i/>
          <w:szCs w:val="22"/>
        </w:rPr>
        <w:tab/>
        <w:t xml:space="preserve">child </w:t>
      </w:r>
      <w:r>
        <w:rPr>
          <w:szCs w:val="22"/>
        </w:rPr>
        <w:t>means a person who is under 18 years of age;</w:t>
      </w:r>
    </w:p>
    <w:p>
      <w:pPr>
        <w:pStyle w:val="BlankClose"/>
      </w:pPr>
    </w:p>
    <w:p>
      <w:pPr>
        <w:pStyle w:val="nzHeading5"/>
      </w:pPr>
      <w:bookmarkStart w:id="928" w:name="_Toc275420353"/>
      <w:bookmarkStart w:id="929" w:name="_Toc276115386"/>
      <w:bookmarkStart w:id="930" w:name="_Toc276385319"/>
      <w:r>
        <w:rPr>
          <w:rStyle w:val="CharSectno"/>
        </w:rPr>
        <w:t>6</w:t>
      </w:r>
      <w:r>
        <w:t>.</w:t>
      </w:r>
      <w:r>
        <w:tab/>
        <w:t>Part IIIA inserted</w:t>
      </w:r>
      <w:bookmarkEnd w:id="928"/>
      <w:bookmarkEnd w:id="929"/>
      <w:bookmarkEnd w:id="930"/>
    </w:p>
    <w:p>
      <w:pPr>
        <w:pStyle w:val="nzSubsection"/>
      </w:pPr>
      <w:r>
        <w:tab/>
      </w:r>
      <w:r>
        <w:tab/>
        <w:t>After section 8A insert:</w:t>
      </w:r>
    </w:p>
    <w:p>
      <w:pPr>
        <w:pStyle w:val="BlankOpen"/>
      </w:pPr>
    </w:p>
    <w:p>
      <w:pPr>
        <w:pStyle w:val="nzHeading2"/>
      </w:pPr>
      <w:bookmarkStart w:id="931" w:name="_Toc275420354"/>
      <w:bookmarkStart w:id="932" w:name="_Toc276115387"/>
      <w:bookmarkStart w:id="933" w:name="_Toc276385320"/>
      <w:r>
        <w:t>Part IIIA</w:t>
      </w:r>
      <w:r>
        <w:rPr>
          <w:b w:val="0"/>
        </w:rPr>
        <w:t> </w:t>
      </w:r>
      <w:r>
        <w:t>—</w:t>
      </w:r>
      <w:r>
        <w:rPr>
          <w:b w:val="0"/>
        </w:rPr>
        <w:t> </w:t>
      </w:r>
      <w:r>
        <w:t>Cannabis intervention</w:t>
      </w:r>
      <w:bookmarkEnd w:id="931"/>
      <w:bookmarkEnd w:id="932"/>
      <w:bookmarkEnd w:id="933"/>
    </w:p>
    <w:p>
      <w:pPr>
        <w:pStyle w:val="nzHeading3"/>
      </w:pPr>
      <w:bookmarkStart w:id="934" w:name="_Toc275420355"/>
      <w:bookmarkStart w:id="935" w:name="_Toc276115388"/>
      <w:bookmarkStart w:id="936" w:name="_Toc276385321"/>
      <w:r>
        <w:t>Division 1 — Preliminary</w:t>
      </w:r>
      <w:bookmarkEnd w:id="934"/>
      <w:bookmarkEnd w:id="935"/>
      <w:bookmarkEnd w:id="936"/>
    </w:p>
    <w:p>
      <w:pPr>
        <w:pStyle w:val="nzHeading5"/>
      </w:pPr>
      <w:bookmarkStart w:id="937" w:name="_Toc275420356"/>
      <w:bookmarkStart w:id="938" w:name="_Toc276115389"/>
      <w:bookmarkStart w:id="939" w:name="_Toc276385322"/>
      <w:r>
        <w:t>8B.</w:t>
      </w:r>
      <w:r>
        <w:tab/>
        <w:t>Terms and abbreviations used in this Part</w:t>
      </w:r>
      <w:bookmarkEnd w:id="937"/>
      <w:bookmarkEnd w:id="938"/>
      <w:bookmarkEnd w:id="939"/>
    </w:p>
    <w:p>
      <w:pPr>
        <w:pStyle w:val="nzSubsection"/>
      </w:pPr>
      <w:r>
        <w:tab/>
        <w:t>(1)</w:t>
      </w:r>
      <w:r>
        <w:tab/>
        <w:t xml:space="preserve">In this Part — </w:t>
      </w:r>
    </w:p>
    <w:p>
      <w:pPr>
        <w:pStyle w:val="nzDefstart"/>
      </w:pPr>
      <w:r>
        <w:tab/>
      </w:r>
      <w:r>
        <w:rPr>
          <w:b/>
          <w:i/>
          <w:szCs w:val="22"/>
        </w:rPr>
        <w:t>adult</w:t>
      </w:r>
      <w:r>
        <w:rPr>
          <w:szCs w:val="22"/>
        </w:rPr>
        <w:t xml:space="preserve"> means a person who is not a young person;</w:t>
      </w:r>
    </w:p>
    <w:p>
      <w:pPr>
        <w:pStyle w:val="nzDefstart"/>
      </w:pPr>
      <w:r>
        <w:tab/>
      </w:r>
      <w:r>
        <w:rPr>
          <w:rStyle w:val="CharDefText"/>
        </w:rPr>
        <w:t>authorised person</w:t>
      </w:r>
      <w:r>
        <w:t>, in section 8I or 8J, means a person appointed under section 8D to be an authorised person for the purposes of the section in which the term is used;</w:t>
      </w:r>
    </w:p>
    <w:p>
      <w:pPr>
        <w:pStyle w:val="nzDefstart"/>
      </w:pPr>
      <w:r>
        <w:tab/>
      </w:r>
      <w:r>
        <w:rPr>
          <w:rStyle w:val="CharDefText"/>
        </w:rPr>
        <w:t>cannabis intervention requirement</w:t>
      </w:r>
      <w:r>
        <w:t xml:space="preserve"> means a notice referred to in section 8F;</w:t>
      </w:r>
    </w:p>
    <w:p>
      <w:pPr>
        <w:pStyle w:val="nzDefstart"/>
      </w:pPr>
      <w:r>
        <w:tab/>
      </w:r>
      <w:r>
        <w:rPr>
          <w:rStyle w:val="CharDefText"/>
        </w:rPr>
        <w:t>cannabis intervention session</w:t>
      </w:r>
      <w:r>
        <w:t xml:space="preserve"> means a cannabis intervention session — </w:t>
      </w:r>
    </w:p>
    <w:p>
      <w:pPr>
        <w:pStyle w:val="nzDefpara"/>
      </w:pPr>
      <w:r>
        <w:tab/>
        <w:t>(a)</w:t>
      </w:r>
      <w:r>
        <w:tab/>
        <w:t>provided by a treatment provider approved under section 8J(2)(b); and</w:t>
      </w:r>
    </w:p>
    <w:p>
      <w:pPr>
        <w:pStyle w:val="nzDefpara"/>
      </w:pPr>
      <w:r>
        <w:tab/>
        <w:t>(b)</w:t>
      </w:r>
      <w:r>
        <w:tab/>
        <w:t>the content of which is approved under section 8J(2)(a);</w:t>
      </w:r>
    </w:p>
    <w:p>
      <w:pPr>
        <w:pStyle w:val="nzDefstart"/>
      </w:pPr>
      <w:r>
        <w:tab/>
      </w:r>
      <w:r>
        <w:rPr>
          <w:rStyle w:val="CharDefText"/>
        </w:rPr>
        <w:t xml:space="preserve">CEO (Health) </w:t>
      </w:r>
      <w:r>
        <w:t>has the meaning given in section 38D(1);</w:t>
      </w:r>
    </w:p>
    <w:p>
      <w:pPr>
        <w:pStyle w:val="nzDefstart"/>
      </w:pPr>
      <w:r>
        <w:tab/>
      </w:r>
      <w:r>
        <w:rPr>
          <w:rStyle w:val="CharDefText"/>
        </w:rPr>
        <w:t>minor cannabis related offence</w:t>
      </w:r>
      <w:r>
        <w:t xml:space="preserve"> means — </w:t>
      </w:r>
    </w:p>
    <w:p>
      <w:pPr>
        <w:pStyle w:val="nzDefpara"/>
      </w:pPr>
      <w:r>
        <w:tab/>
        <w:t>(a)</w:t>
      </w:r>
      <w:r>
        <w:tab/>
        <w:t>an offence under section 5(1)(d)(i) that involves cannabis; and</w:t>
      </w:r>
    </w:p>
    <w:p>
      <w:pPr>
        <w:pStyle w:val="nzDefpara"/>
      </w:pPr>
      <w:r>
        <w:tab/>
        <w:t>(b)</w:t>
      </w:r>
      <w:r>
        <w:tab/>
        <w:t>an offence under</w:t>
      </w:r>
      <w:r>
        <w:rPr>
          <w:i/>
        </w:rPr>
        <w:t xml:space="preserve"> </w:t>
      </w:r>
      <w:r>
        <w:t>section 6(2) that involves cannabis —</w:t>
      </w:r>
    </w:p>
    <w:p>
      <w:pPr>
        <w:pStyle w:val="nzDefsubpara"/>
      </w:pPr>
      <w:r>
        <w:tab/>
        <w:t>(i)</w:t>
      </w:r>
      <w:r>
        <w:tab/>
        <w:t>if the amount is not more than 10 grams, or such other amount as is prescribed by the regulations; and</w:t>
      </w:r>
    </w:p>
    <w:p>
      <w:pPr>
        <w:pStyle w:val="nzDefsubpara"/>
      </w:pPr>
      <w:r>
        <w:tab/>
        <w:t>(ii)</w:t>
      </w:r>
      <w:r>
        <w:tab/>
        <w:t>if the offence does not involve a cannabis plant under cultivation, cannabis resin or any other cannabis derivative;</w:t>
      </w:r>
    </w:p>
    <w:p>
      <w:pPr>
        <w:pStyle w:val="nzDefstart"/>
      </w:pPr>
      <w:r>
        <w:tab/>
      </w:r>
      <w:r>
        <w:rPr>
          <w:rStyle w:val="CharDefText"/>
        </w:rPr>
        <w:t>police officer</w:t>
      </w:r>
      <w:r>
        <w:t xml:space="preserve"> does not include a person appointed by the Commissioner as an authorised person under section 8D;</w:t>
      </w:r>
    </w:p>
    <w:p>
      <w:pPr>
        <w:pStyle w:val="nzDefstart"/>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nzDefstart"/>
        <w:rPr>
          <w:szCs w:val="22"/>
        </w:rPr>
      </w:pPr>
      <w:r>
        <w:tab/>
      </w:r>
      <w:r>
        <w:rPr>
          <w:rStyle w:val="CharDefText"/>
          <w:szCs w:val="22"/>
        </w:rPr>
        <w:t>young person</w:t>
      </w:r>
      <w:r>
        <w:rPr>
          <w:szCs w:val="22"/>
        </w:rPr>
        <w:t xml:space="preserve"> means a person who — </w:t>
      </w:r>
    </w:p>
    <w:p>
      <w:pPr>
        <w:pStyle w:val="nzDefpara"/>
      </w:pPr>
      <w:r>
        <w:rPr>
          <w:szCs w:val="22"/>
        </w:rPr>
        <w:tab/>
        <w:t>(a)</w:t>
      </w:r>
      <w:r>
        <w:rPr>
          <w:szCs w:val="22"/>
        </w:rPr>
        <w:tab/>
        <w:t>is under 18 years of age; or</w:t>
      </w:r>
    </w:p>
    <w:p>
      <w:pPr>
        <w:pStyle w:val="nzDefpara"/>
      </w:pPr>
      <w:r>
        <w:tab/>
        <w:t>(b)</w:t>
      </w:r>
      <w:r>
        <w:tab/>
        <w:t>in relation to the commission, or alleged commission, of a minor cannabis related offence, was under 18 years of age when the offence was committed, or allegedly committed.</w:t>
      </w:r>
    </w:p>
    <w:p>
      <w:pPr>
        <w:pStyle w:val="nzSubsection"/>
      </w:pPr>
      <w:r>
        <w:tab/>
        <w:t>(2)</w:t>
      </w:r>
      <w:r>
        <w:tab/>
        <w:t>In this Part the following abbreviations are used —</w:t>
      </w:r>
    </w:p>
    <w:p>
      <w:pPr>
        <w:pStyle w:val="nzDefstart"/>
      </w:pPr>
      <w:r>
        <w:tab/>
      </w:r>
      <w:r>
        <w:rPr>
          <w:rStyle w:val="CharDefText"/>
        </w:rPr>
        <w:t>CIR</w:t>
      </w:r>
      <w:r>
        <w:t xml:space="preserve"> for cannabis intervention requirement;</w:t>
      </w:r>
    </w:p>
    <w:p>
      <w:pPr>
        <w:pStyle w:val="nzDefstart"/>
      </w:pPr>
      <w:r>
        <w:tab/>
      </w:r>
      <w:r>
        <w:rPr>
          <w:rStyle w:val="CharDefText"/>
        </w:rPr>
        <w:t>CIS</w:t>
      </w:r>
      <w:r>
        <w:t xml:space="preserve"> for cannabis intervention session.</w:t>
      </w:r>
    </w:p>
    <w:p>
      <w:pPr>
        <w:pStyle w:val="nzHeading5"/>
      </w:pPr>
      <w:bookmarkStart w:id="940" w:name="_Toc275420357"/>
      <w:bookmarkStart w:id="941" w:name="_Toc276115390"/>
      <w:bookmarkStart w:id="942" w:name="_Toc276385323"/>
      <w:r>
        <w:t>8C.</w:t>
      </w:r>
      <w:r>
        <w:tab/>
        <w:t xml:space="preserve">Operation of </w:t>
      </w:r>
      <w:r>
        <w:rPr>
          <w:i/>
          <w:iCs/>
        </w:rPr>
        <w:t>Young Offenders Act 1994</w:t>
      </w:r>
      <w:r>
        <w:t xml:space="preserve"> unaffected</w:t>
      </w:r>
      <w:bookmarkEnd w:id="940"/>
      <w:bookmarkEnd w:id="941"/>
      <w:bookmarkEnd w:id="942"/>
    </w:p>
    <w:p>
      <w:pPr>
        <w:pStyle w:val="nz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nzHeading5"/>
      </w:pPr>
      <w:bookmarkStart w:id="943" w:name="_Toc275420358"/>
      <w:bookmarkStart w:id="944" w:name="_Toc276115391"/>
      <w:bookmarkStart w:id="945" w:name="_Toc276385324"/>
      <w:r>
        <w:t>8D.</w:t>
      </w:r>
      <w:r>
        <w:tab/>
        <w:t>Appointment of authorised persons</w:t>
      </w:r>
      <w:bookmarkEnd w:id="943"/>
      <w:bookmarkEnd w:id="944"/>
      <w:bookmarkEnd w:id="945"/>
    </w:p>
    <w:p>
      <w:pPr>
        <w:pStyle w:val="nzSubsection"/>
      </w:pPr>
      <w:r>
        <w:tab/>
      </w:r>
      <w:r>
        <w:tab/>
        <w:t>The Commissioner may, in writing, appoint persons or classes of persons to be authorised persons for the purposes of section 8I or 8L, or for the purposes of both of those sections.</w:t>
      </w:r>
    </w:p>
    <w:p>
      <w:pPr>
        <w:pStyle w:val="nzHeading3"/>
      </w:pPr>
      <w:bookmarkStart w:id="946" w:name="_Toc275420359"/>
      <w:bookmarkStart w:id="947" w:name="_Toc276115392"/>
      <w:bookmarkStart w:id="948" w:name="_Toc276385325"/>
      <w:r>
        <w:t>Division 2 — Cannabis intervention requirements</w:t>
      </w:r>
      <w:bookmarkEnd w:id="946"/>
      <w:bookmarkEnd w:id="947"/>
      <w:bookmarkEnd w:id="948"/>
    </w:p>
    <w:p>
      <w:pPr>
        <w:pStyle w:val="nzHeading5"/>
      </w:pPr>
      <w:bookmarkStart w:id="949" w:name="_Toc275420360"/>
      <w:bookmarkStart w:id="950" w:name="_Toc276115393"/>
      <w:bookmarkStart w:id="951" w:name="_Toc276385326"/>
      <w:r>
        <w:t>8E.</w:t>
      </w:r>
      <w:r>
        <w:tab/>
        <w:t>CIR may be given for minor cannabis related offence</w:t>
      </w:r>
      <w:bookmarkEnd w:id="949"/>
      <w:bookmarkEnd w:id="950"/>
      <w:bookmarkEnd w:id="951"/>
    </w:p>
    <w:p>
      <w:pPr>
        <w:pStyle w:val="nz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nzSubsection"/>
      </w:pPr>
      <w:r>
        <w:tab/>
        <w:t>(2)</w:t>
      </w:r>
      <w:r>
        <w:tab/>
        <w:t xml:space="preserve">A police officer who believes — </w:t>
      </w:r>
    </w:p>
    <w:p>
      <w:pPr>
        <w:pStyle w:val="nzIndenta"/>
      </w:pPr>
      <w:r>
        <w:tab/>
        <w:t>(a)</w:t>
      </w:r>
      <w:r>
        <w:tab/>
        <w:t>that an alleged offender has committed more than one minor cannabis related offence; and</w:t>
      </w:r>
    </w:p>
    <w:p>
      <w:pPr>
        <w:pStyle w:val="nzIndenta"/>
      </w:pPr>
      <w:r>
        <w:tab/>
        <w:t>(b)</w:t>
      </w:r>
      <w:r>
        <w:tab/>
        <w:t>that the alleged offences have arisen out of the same incident,</w:t>
      </w:r>
    </w:p>
    <w:p>
      <w:pPr>
        <w:pStyle w:val="nzSubsection"/>
      </w:pPr>
      <w:r>
        <w:tab/>
      </w:r>
      <w:r>
        <w:tab/>
        <w:t>may give a single CIR in respect of all or some of the offences.</w:t>
      </w:r>
    </w:p>
    <w:p>
      <w:pPr>
        <w:pStyle w:val="nzSubsection"/>
      </w:pPr>
      <w:r>
        <w:tab/>
        <w:t>(3)</w:t>
      </w:r>
      <w:r>
        <w:tab/>
        <w:t>A CIR is to be given as soon as practicable, and in any event within 60 days, after an alleged offence is believed to have been committed.</w:t>
      </w:r>
    </w:p>
    <w:p>
      <w:pPr>
        <w:pStyle w:val="nzSubsection"/>
      </w:pPr>
      <w:r>
        <w:tab/>
        <w:t>(4)</w:t>
      </w:r>
      <w:r>
        <w:tab/>
        <w:t>A CIR cannot be given in respect of an alleged offence (the</w:t>
      </w:r>
      <w:r>
        <w:rPr>
          <w:b/>
          <w:bCs/>
        </w:rPr>
        <w:t xml:space="preserve"> </w:t>
      </w:r>
      <w:r>
        <w:rPr>
          <w:rStyle w:val="CharDefText"/>
        </w:rPr>
        <w:t>new offence</w:t>
      </w:r>
      <w:r>
        <w:t xml:space="preserve">) if the alleged offender — </w:t>
      </w:r>
    </w:p>
    <w:p>
      <w:pPr>
        <w:pStyle w:val="nzIndenta"/>
      </w:pPr>
      <w:r>
        <w:tab/>
        <w:t>(a)</w:t>
      </w:r>
      <w:r>
        <w:tab/>
        <w:t>is an adult who, before the new offence was allegedly committed, had been convicted of a minor cannabis related offence or given a CIR; and</w:t>
      </w:r>
    </w:p>
    <w:p>
      <w:pPr>
        <w:pStyle w:val="nzIndenta"/>
      </w:pPr>
      <w:r>
        <w:tab/>
        <w:t>(b)</w:t>
      </w:r>
      <w:r>
        <w:tab/>
        <w:t>was an adult when so convicted or given the CIR.</w:t>
      </w:r>
    </w:p>
    <w:p>
      <w:pPr>
        <w:pStyle w:val="nzHeading5"/>
      </w:pPr>
      <w:bookmarkStart w:id="952" w:name="_Toc275420361"/>
      <w:bookmarkStart w:id="953" w:name="_Toc276115394"/>
      <w:bookmarkStart w:id="954" w:name="_Toc276385327"/>
      <w:r>
        <w:t>8F.</w:t>
      </w:r>
      <w:r>
        <w:tab/>
        <w:t>Cannabis intervention requirement</w:t>
      </w:r>
      <w:bookmarkEnd w:id="952"/>
      <w:bookmarkEnd w:id="953"/>
      <w:bookmarkEnd w:id="954"/>
    </w:p>
    <w:p>
      <w:pPr>
        <w:pStyle w:val="nzSubsection"/>
      </w:pPr>
      <w:r>
        <w:tab/>
        <w:t>(1)</w:t>
      </w:r>
      <w:r>
        <w:tab/>
        <w:t xml:space="preserve">A CIR is a notice in a form prescribed by the regulations — </w:t>
      </w:r>
    </w:p>
    <w:p>
      <w:pPr>
        <w:pStyle w:val="nzIndenta"/>
      </w:pPr>
      <w:r>
        <w:tab/>
        <w:t>(a)</w:t>
      </w:r>
      <w:r>
        <w:tab/>
        <w:t>containing a description of the alleged offence, or offences; and</w:t>
      </w:r>
    </w:p>
    <w:p>
      <w:pPr>
        <w:pStyle w:val="nzIndenta"/>
      </w:pPr>
      <w:r>
        <w:tab/>
        <w:t>(b)</w:t>
      </w:r>
      <w:r>
        <w:tab/>
        <w:t xml:space="preserve">informing the alleged offender that — </w:t>
      </w:r>
    </w:p>
    <w:p>
      <w:pPr>
        <w:pStyle w:val="nzIndenti"/>
      </w:pPr>
      <w:r>
        <w:tab/>
        <w:t>(i)</w:t>
      </w:r>
      <w:r>
        <w:tab/>
        <w:t>he or she may, in writing, elect to be prosecuted for the alleged offence, or offences, in a court, and informing the alleged offender how to make that election; and</w:t>
      </w:r>
    </w:p>
    <w:p>
      <w:pPr>
        <w:pStyle w:val="nzIndenti"/>
      </w:pPr>
      <w:r>
        <w:tab/>
        <w:t>(ii)</w:t>
      </w:r>
      <w:r>
        <w:tab/>
        <w:t>if he or she does not wish to be prosecuted for the alleged offence, or offences, in a court, the alleged offender may, within a period of 28 days after the giving of the CIR, complete a CIS;</w:t>
      </w:r>
    </w:p>
    <w:p>
      <w:pPr>
        <w:pStyle w:val="nzIndenta"/>
      </w:pPr>
      <w:r>
        <w:tab/>
      </w:r>
      <w:r>
        <w:tab/>
        <w:t>and</w:t>
      </w:r>
    </w:p>
    <w:p>
      <w:pPr>
        <w:pStyle w:val="nzIndenta"/>
      </w:pPr>
      <w:r>
        <w:tab/>
        <w:t>(c)</w:t>
      </w:r>
      <w:r>
        <w:tab/>
        <w:t>informing the alleged offender as to how the alleged offender may arrange to complete a CIS.</w:t>
      </w:r>
    </w:p>
    <w:p>
      <w:pPr>
        <w:pStyle w:val="nzSubsection"/>
      </w:pPr>
      <w:r>
        <w:tab/>
        <w:t>(2)</w:t>
      </w:r>
      <w:r>
        <w:tab/>
        <w:t>A person need only complete a single CIS for each CIR given to the person, even if the CIR is given in respect of more than one alleged offence.</w:t>
      </w:r>
    </w:p>
    <w:p>
      <w:pPr>
        <w:pStyle w:val="nzHeading5"/>
      </w:pPr>
      <w:bookmarkStart w:id="955" w:name="_Toc275420362"/>
      <w:bookmarkStart w:id="956" w:name="_Toc276115395"/>
      <w:bookmarkStart w:id="957" w:name="_Toc276385328"/>
      <w:r>
        <w:t>8G.</w:t>
      </w:r>
      <w:r>
        <w:tab/>
        <w:t>Young persons — special requirements about CIRs</w:t>
      </w:r>
      <w:bookmarkEnd w:id="955"/>
      <w:bookmarkEnd w:id="956"/>
      <w:bookmarkEnd w:id="957"/>
    </w:p>
    <w:p>
      <w:pPr>
        <w:pStyle w:val="nzSubsection"/>
      </w:pPr>
      <w:r>
        <w:tab/>
        <w:t>(1)</w:t>
      </w:r>
      <w:r>
        <w:tab/>
        <w:t>A CIR cannot be given in respect of an alleged offence (the</w:t>
      </w:r>
      <w:r>
        <w:rPr>
          <w:b/>
          <w:bCs/>
        </w:rPr>
        <w:t xml:space="preserve"> </w:t>
      </w:r>
      <w:r>
        <w:rPr>
          <w:rStyle w:val="CharDefText"/>
        </w:rPr>
        <w:t>new offence</w:t>
      </w:r>
      <w:r>
        <w:t xml:space="preserve">) if the alleged offender — </w:t>
      </w:r>
    </w:p>
    <w:p>
      <w:pPr>
        <w:pStyle w:val="nzIndenta"/>
      </w:pPr>
      <w:r>
        <w:tab/>
        <w:t>(a)</w:t>
      </w:r>
      <w:r>
        <w:tab/>
        <w:t>is a young person who, before the new offence was allegedly committed, had been convicted of, or given a CIR in respect of, 2 or more minor cannabis related offences; and</w:t>
      </w:r>
    </w:p>
    <w:p>
      <w:pPr>
        <w:pStyle w:val="nzIndenta"/>
      </w:pPr>
      <w:r>
        <w:tab/>
        <w:t>(b)</w:t>
      </w:r>
      <w:r>
        <w:tab/>
        <w:t>at least 2 of those offences arose out of separate incidents, or are alleged to have done so.</w:t>
      </w:r>
    </w:p>
    <w:p>
      <w:pPr>
        <w:pStyle w:val="nzSubsection"/>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nzIndenta"/>
      </w:pPr>
      <w:r>
        <w:tab/>
        <w:t>(a)</w:t>
      </w:r>
      <w:r>
        <w:tab/>
        <w:t>after reasonable enquiry, neither the whereabouts nor the address of a responsible adult can be ascertained; or</w:t>
      </w:r>
    </w:p>
    <w:p>
      <w:pPr>
        <w:pStyle w:val="nzIndenta"/>
      </w:pPr>
      <w:r>
        <w:tab/>
        <w:t>(b)</w:t>
      </w:r>
      <w:r>
        <w:tab/>
        <w:t>in the circumstances it would be inappropriate to give a responsible adult a copy of the CIR.</w:t>
      </w:r>
    </w:p>
    <w:p>
      <w:pPr>
        <w:pStyle w:val="nzSubsection"/>
      </w:pPr>
      <w:r>
        <w:tab/>
        <w:t>(3)</w:t>
      </w:r>
      <w:r>
        <w:tab/>
        <w:t>A young person who has been given 2 CIRs need only complete a single CIS in respect of the CIRs if both CIRs were given before the completion of the CIS.</w:t>
      </w:r>
    </w:p>
    <w:p>
      <w:pPr>
        <w:pStyle w:val="nzHeading5"/>
      </w:pPr>
      <w:bookmarkStart w:id="958" w:name="_Toc275420363"/>
      <w:bookmarkStart w:id="959" w:name="_Toc276115396"/>
      <w:bookmarkStart w:id="960" w:name="_Toc276385329"/>
      <w:r>
        <w:t>8H.</w:t>
      </w:r>
      <w:r>
        <w:tab/>
        <w:t>Referral of young persons at risk to juvenile justice teams</w:t>
      </w:r>
      <w:bookmarkEnd w:id="958"/>
      <w:bookmarkEnd w:id="959"/>
      <w:bookmarkEnd w:id="960"/>
    </w:p>
    <w:p>
      <w:pPr>
        <w:pStyle w:val="nzSubsection"/>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nzSubsection"/>
      </w:pPr>
      <w:r>
        <w:tab/>
        <w:t>(2)</w:t>
      </w:r>
      <w:r>
        <w:tab/>
        <w:t xml:space="preserve">In subsection (1) — </w:t>
      </w:r>
    </w:p>
    <w:p>
      <w:pPr>
        <w:pStyle w:val="nzDefstart"/>
      </w:pPr>
      <w:r>
        <w:tab/>
      </w:r>
      <w:r>
        <w:rPr>
          <w:rStyle w:val="CharDefText"/>
        </w:rPr>
        <w:t>young person at risk</w:t>
      </w:r>
      <w:r>
        <w:t xml:space="preserve"> means an alleged offender who is a young person — </w:t>
      </w:r>
    </w:p>
    <w:p>
      <w:pPr>
        <w:pStyle w:val="nzDefpara"/>
      </w:pPr>
      <w:r>
        <w:tab/>
        <w:t>(a)</w:t>
      </w:r>
      <w:r>
        <w:tab/>
        <w:t>to whom the police officer would have given a CIR, but for section 8G(1); or</w:t>
      </w:r>
    </w:p>
    <w:p>
      <w:pPr>
        <w:pStyle w:val="nzDefpara"/>
      </w:pPr>
      <w:r>
        <w:tab/>
        <w:t>(b)</w:t>
      </w:r>
      <w:r>
        <w:tab/>
        <w:t xml:space="preserve">who has been given a CIR and has not completed a CIS within 28 days or any further time allowed under section 8L, unless — </w:t>
      </w:r>
    </w:p>
    <w:p>
      <w:pPr>
        <w:pStyle w:val="nzDefsubpara"/>
      </w:pPr>
      <w:r>
        <w:tab/>
        <w:t>(i)</w:t>
      </w:r>
      <w:r>
        <w:tab/>
        <w:t>the CIR has been withdrawn under section 8I; or</w:t>
      </w:r>
    </w:p>
    <w:p>
      <w:pPr>
        <w:pStyle w:val="nzDefsubpara"/>
      </w:pPr>
      <w:r>
        <w:tab/>
        <w:t>(ii)</w:t>
      </w:r>
      <w:r>
        <w:tab/>
        <w:t>the young person has elected to be prosecuted for the alleged offence in a court.</w:t>
      </w:r>
    </w:p>
    <w:p>
      <w:pPr>
        <w:pStyle w:val="nzHeading5"/>
      </w:pPr>
      <w:bookmarkStart w:id="961" w:name="_Toc275420364"/>
      <w:bookmarkStart w:id="962" w:name="_Toc276115397"/>
      <w:bookmarkStart w:id="963" w:name="_Toc276385330"/>
      <w:r>
        <w:t>8I.</w:t>
      </w:r>
      <w:r>
        <w:tab/>
        <w:t>Withdrawal of CIR</w:t>
      </w:r>
      <w:bookmarkEnd w:id="961"/>
      <w:bookmarkEnd w:id="962"/>
      <w:bookmarkEnd w:id="963"/>
    </w:p>
    <w:p>
      <w:pPr>
        <w:pStyle w:val="nzSubsection"/>
      </w:pPr>
      <w:r>
        <w:tab/>
        <w:t>(1)</w:t>
      </w:r>
      <w:r>
        <w:tab/>
        <w:t>An authorised person may withdraw a CIR by sending to the alleged offender a notice in a form prescribed by the regulations stating that the CIR has been withdrawn.</w:t>
      </w:r>
    </w:p>
    <w:p>
      <w:pPr>
        <w:pStyle w:val="nzSubsection"/>
      </w:pPr>
      <w:r>
        <w:tab/>
        <w:t>(2)</w:t>
      </w:r>
      <w:r>
        <w:tab/>
        <w:t>A CIR cannot be withdrawn if the alleged offender has completed a CIS in relation to the CIR.</w:t>
      </w:r>
    </w:p>
    <w:p>
      <w:pPr>
        <w:pStyle w:val="nzSubsection"/>
      </w:pPr>
      <w:r>
        <w:tab/>
        <w:t>(3)</w:t>
      </w:r>
      <w:r>
        <w:tab/>
        <w:t>A CIR that is withdrawn is taken not to have been given to an alleged offender for the purposes of sections 8E(4) and 8G(1).</w:t>
      </w:r>
    </w:p>
    <w:p>
      <w:pPr>
        <w:pStyle w:val="nzHeading3"/>
      </w:pPr>
      <w:bookmarkStart w:id="964" w:name="_Toc275420365"/>
      <w:bookmarkStart w:id="965" w:name="_Toc276115398"/>
      <w:bookmarkStart w:id="966" w:name="_Toc276385331"/>
      <w:r>
        <w:t>Division 3 — Cannabis intervention sessions</w:t>
      </w:r>
      <w:bookmarkEnd w:id="964"/>
      <w:bookmarkEnd w:id="965"/>
      <w:bookmarkEnd w:id="966"/>
    </w:p>
    <w:p>
      <w:pPr>
        <w:pStyle w:val="nzHeading5"/>
      </w:pPr>
      <w:bookmarkStart w:id="967" w:name="_Toc275420366"/>
      <w:bookmarkStart w:id="968" w:name="_Toc276115399"/>
      <w:bookmarkStart w:id="969" w:name="_Toc276385332"/>
      <w:r>
        <w:t>8J.</w:t>
      </w:r>
      <w:r>
        <w:tab/>
        <w:t>Cannabis intervention session</w:t>
      </w:r>
      <w:bookmarkEnd w:id="967"/>
      <w:bookmarkEnd w:id="968"/>
      <w:bookmarkEnd w:id="969"/>
    </w:p>
    <w:p>
      <w:pPr>
        <w:pStyle w:val="nzSubsection"/>
      </w:pPr>
      <w:r>
        <w:tab/>
        <w:t>(1)</w:t>
      </w:r>
      <w:r>
        <w:tab/>
        <w:t xml:space="preserve">The purpose of a cannabis intervention session is to inform those who complete it about — </w:t>
      </w:r>
    </w:p>
    <w:p>
      <w:pPr>
        <w:pStyle w:val="nzIndenta"/>
      </w:pPr>
      <w:r>
        <w:tab/>
        <w:t>(a)</w:t>
      </w:r>
      <w:r>
        <w:tab/>
        <w:t>the adverse health and social consequences of cannabis use; and</w:t>
      </w:r>
    </w:p>
    <w:p>
      <w:pPr>
        <w:pStyle w:val="nzIndenta"/>
      </w:pPr>
      <w:r>
        <w:tab/>
        <w:t>(b)</w:t>
      </w:r>
      <w:r>
        <w:tab/>
        <w:t>the laws relating to the use, possession and cultivation of cannabis; and</w:t>
      </w:r>
    </w:p>
    <w:p>
      <w:pPr>
        <w:pStyle w:val="nzIndenta"/>
      </w:pPr>
      <w:r>
        <w:tab/>
        <w:t>(c)</w:t>
      </w:r>
      <w:r>
        <w:tab/>
        <w:t>effective strategies to address cannabis using behaviour.</w:t>
      </w:r>
    </w:p>
    <w:p>
      <w:pPr>
        <w:pStyle w:val="nzSubsection"/>
      </w:pPr>
      <w:r>
        <w:tab/>
        <w:t>(2)</w:t>
      </w:r>
      <w:r>
        <w:tab/>
        <w:t>The CEO (Health) may, in writing, do any of the following —</w:t>
      </w:r>
    </w:p>
    <w:p>
      <w:pPr>
        <w:pStyle w:val="nzIndenta"/>
      </w:pPr>
      <w:r>
        <w:tab/>
        <w:t>(a)</w:t>
      </w:r>
      <w:r>
        <w:tab/>
        <w:t>having regard to subsection (1), approve the content of a cannabis intervention session;</w:t>
      </w:r>
    </w:p>
    <w:p>
      <w:pPr>
        <w:pStyle w:val="nzIndenta"/>
      </w:pPr>
      <w:r>
        <w:tab/>
        <w:t>(b)</w:t>
      </w:r>
      <w:r>
        <w:tab/>
        <w:t>approve treatment providers to provide cannabis intervention sessions;</w:t>
      </w:r>
    </w:p>
    <w:p>
      <w:pPr>
        <w:pStyle w:val="nzIndenta"/>
      </w:pPr>
      <w:r>
        <w:tab/>
        <w:t>(c)</w:t>
      </w:r>
      <w:r>
        <w:tab/>
        <w:t>give an approval under paragraph (b) subject to conditions to be obeyed by the treatment provider approved;</w:t>
      </w:r>
    </w:p>
    <w:p>
      <w:pPr>
        <w:pStyle w:val="nzIndenta"/>
      </w:pPr>
      <w:r>
        <w:tab/>
        <w:t>(d)</w:t>
      </w:r>
      <w:r>
        <w:tab/>
        <w:t>cancel or amend an approval given under paragraph (a) or (b).</w:t>
      </w:r>
    </w:p>
    <w:p>
      <w:pPr>
        <w:pStyle w:val="nz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nzHeading5"/>
      </w:pPr>
      <w:bookmarkStart w:id="970" w:name="_Toc275420367"/>
      <w:bookmarkStart w:id="971" w:name="_Toc276115400"/>
      <w:bookmarkStart w:id="972" w:name="_Toc276385333"/>
      <w:r>
        <w:t>8K.</w:t>
      </w:r>
      <w:r>
        <w:tab/>
        <w:t>Benefit of completing CIS</w:t>
      </w:r>
      <w:bookmarkEnd w:id="970"/>
      <w:bookmarkEnd w:id="971"/>
      <w:bookmarkEnd w:id="972"/>
    </w:p>
    <w:p>
      <w:pPr>
        <w:pStyle w:val="nz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nzSubsection"/>
      </w:pPr>
      <w:r>
        <w:tab/>
        <w:t>(2)</w:t>
      </w:r>
      <w:r>
        <w:tab/>
        <w:t>Completion of a CIS is not to be regarded as an admission for the purposes of any proceedings, whether civil or criminal.</w:t>
      </w:r>
    </w:p>
    <w:p>
      <w:pPr>
        <w:pStyle w:val="nzHeading5"/>
      </w:pPr>
      <w:bookmarkStart w:id="973" w:name="_Toc275420368"/>
      <w:bookmarkStart w:id="974" w:name="_Toc276115401"/>
      <w:bookmarkStart w:id="975" w:name="_Toc276385334"/>
      <w:r>
        <w:t>8L.</w:t>
      </w:r>
      <w:r>
        <w:tab/>
        <w:t>Extension of time to complete CIS</w:t>
      </w:r>
      <w:bookmarkEnd w:id="973"/>
      <w:bookmarkEnd w:id="974"/>
      <w:bookmarkEnd w:id="975"/>
    </w:p>
    <w:p>
      <w:pPr>
        <w:pStyle w:val="nzSubsection"/>
      </w:pPr>
      <w:r>
        <w:tab/>
        <w:t>(1)</w:t>
      </w:r>
      <w:r>
        <w:tab/>
        <w:t>An authorised person may, in a particular case, extend the period of 28 days within which the alleged offender may complete a CIS.</w:t>
      </w:r>
    </w:p>
    <w:p>
      <w:pPr>
        <w:pStyle w:val="nzSubsection"/>
      </w:pPr>
      <w:r>
        <w:tab/>
        <w:t>(2)</w:t>
      </w:r>
      <w:r>
        <w:tab/>
        <w:t>The extension may be allowed whether or not the period of 28 days has elapsed.</w:t>
      </w:r>
    </w:p>
    <w:p>
      <w:pPr>
        <w:pStyle w:val="nzHeading5"/>
      </w:pPr>
      <w:bookmarkStart w:id="976" w:name="_Toc275420369"/>
      <w:bookmarkStart w:id="977" w:name="_Toc276115402"/>
      <w:bookmarkStart w:id="978" w:name="_Toc276385335"/>
      <w:r>
        <w:t>8M.</w:t>
      </w:r>
      <w:r>
        <w:tab/>
        <w:t>Certificate of completion of CIS</w:t>
      </w:r>
      <w:bookmarkEnd w:id="976"/>
      <w:bookmarkEnd w:id="977"/>
      <w:bookmarkEnd w:id="978"/>
    </w:p>
    <w:p>
      <w:pPr>
        <w:pStyle w:val="nzSubsection"/>
      </w:pPr>
      <w:r>
        <w:tab/>
        <w:t>(1)</w:t>
      </w:r>
      <w:r>
        <w:tab/>
        <w:t>A treatment provider approved to provide a CIS under section 8J(2)(b) is to —</w:t>
      </w:r>
    </w:p>
    <w:p>
      <w:pPr>
        <w:pStyle w:val="nzIndenta"/>
      </w:pPr>
      <w:r>
        <w:tab/>
        <w:t>(a)</w:t>
      </w:r>
      <w:r>
        <w:tab/>
        <w:t>give to a person who has completed a CIS a certificate of completion; and</w:t>
      </w:r>
    </w:p>
    <w:p>
      <w:pPr>
        <w:pStyle w:val="nzIndenta"/>
      </w:pPr>
      <w:r>
        <w:tab/>
        <w:t>(b)</w:t>
      </w:r>
      <w:r>
        <w:tab/>
        <w:t>send a copy of the certificate to the Commissioner.</w:t>
      </w:r>
    </w:p>
    <w:p>
      <w:pPr>
        <w:pStyle w:val="nzSubsection"/>
      </w:pPr>
      <w:r>
        <w:tab/>
        <w:t>(2)</w:t>
      </w:r>
      <w:r>
        <w:tab/>
        <w:t>A certificate of completion is to be in a form prescribed by the regulations and is to set out —</w:t>
      </w:r>
    </w:p>
    <w:p>
      <w:pPr>
        <w:pStyle w:val="nzIndenta"/>
      </w:pPr>
      <w:r>
        <w:tab/>
        <w:t>(a)</w:t>
      </w:r>
      <w:r>
        <w:tab/>
        <w:t>the name and address of the person who has completed the CIS; and</w:t>
      </w:r>
    </w:p>
    <w:p>
      <w:pPr>
        <w:pStyle w:val="nzIndenta"/>
      </w:pPr>
      <w:r>
        <w:tab/>
        <w:t>(b)</w:t>
      </w:r>
      <w:r>
        <w:tab/>
        <w:t>the date of completion; and</w:t>
      </w:r>
    </w:p>
    <w:p>
      <w:pPr>
        <w:pStyle w:val="nzIndenta"/>
      </w:pPr>
      <w:r>
        <w:tab/>
        <w:t>(c)</w:t>
      </w:r>
      <w:r>
        <w:tab/>
        <w:t>the details of the CIR in respect of which the CIS was completed.</w:t>
      </w:r>
    </w:p>
    <w:p>
      <w:pPr>
        <w:pStyle w:val="BlankClose"/>
      </w:pPr>
    </w:p>
    <w:p>
      <w:pPr>
        <w:pStyle w:val="nzHeading5"/>
      </w:pPr>
      <w:bookmarkStart w:id="979" w:name="_Toc275420370"/>
      <w:bookmarkStart w:id="980" w:name="_Toc276115403"/>
      <w:bookmarkStart w:id="981" w:name="_Toc276385336"/>
      <w:r>
        <w:rPr>
          <w:rStyle w:val="CharSectno"/>
        </w:rPr>
        <w:t>7</w:t>
      </w:r>
      <w:r>
        <w:t>.</w:t>
      </w:r>
      <w:r>
        <w:tab/>
        <w:t>Section 19A inserted</w:t>
      </w:r>
      <w:bookmarkEnd w:id="979"/>
      <w:bookmarkEnd w:id="980"/>
      <w:bookmarkEnd w:id="981"/>
    </w:p>
    <w:p>
      <w:pPr>
        <w:pStyle w:val="nzSubsection"/>
      </w:pPr>
      <w:r>
        <w:tab/>
      </w:r>
      <w:r>
        <w:tab/>
        <w:t>After section 18 insert:</w:t>
      </w:r>
    </w:p>
    <w:p>
      <w:pPr>
        <w:pStyle w:val="BlankOpen"/>
      </w:pPr>
    </w:p>
    <w:p>
      <w:pPr>
        <w:pStyle w:val="nzHeading5"/>
      </w:pPr>
      <w:bookmarkStart w:id="982" w:name="_Toc275420371"/>
      <w:bookmarkStart w:id="983" w:name="_Toc276115404"/>
      <w:bookmarkStart w:id="984" w:name="_Toc276385337"/>
      <w:r>
        <w:t>19A.</w:t>
      </w:r>
      <w:r>
        <w:tab/>
        <w:t>Selling cannabis smoking paraphernalia</w:t>
      </w:r>
      <w:bookmarkEnd w:id="982"/>
      <w:bookmarkEnd w:id="983"/>
      <w:bookmarkEnd w:id="984"/>
    </w:p>
    <w:p>
      <w:pPr>
        <w:pStyle w:val="nzSubsection"/>
      </w:pPr>
      <w:r>
        <w:tab/>
        <w:t>(1)</w:t>
      </w:r>
      <w:r>
        <w:tab/>
        <w:t xml:space="preserve">In this section — </w:t>
      </w:r>
    </w:p>
    <w:p>
      <w:pPr>
        <w:pStyle w:val="nzDefstart"/>
      </w:pPr>
      <w:r>
        <w:tab/>
      </w:r>
      <w:r>
        <w:rPr>
          <w:rStyle w:val="CharDefText"/>
        </w:rPr>
        <w:t>cannabis smoking paraphernalia</w:t>
      </w:r>
      <w:r>
        <w:t xml:space="preserve"> means — </w:t>
      </w:r>
    </w:p>
    <w:p>
      <w:pPr>
        <w:pStyle w:val="nzDefpara"/>
      </w:pPr>
      <w:r>
        <w:tab/>
        <w:t>(a)</w:t>
      </w:r>
      <w:r>
        <w:tab/>
        <w:t>anything made or modified to be used in smoking cannabis;</w:t>
      </w:r>
    </w:p>
    <w:p>
      <w:pPr>
        <w:pStyle w:val="nzDefpara"/>
      </w:pPr>
      <w:r>
        <w:tab/>
        <w:t>(b)</w:t>
      </w:r>
      <w:r>
        <w:tab/>
        <w:t>any other thing that is prescribed to be cannabis smoking paraphernalia,</w:t>
      </w:r>
    </w:p>
    <w:p>
      <w:pPr>
        <w:pStyle w:val="nzSubsection"/>
      </w:pPr>
      <w:r>
        <w:tab/>
      </w:r>
      <w:r>
        <w:tab/>
        <w:t>but does not include anything prescribed, or belonging to a class prescribed, as excluded from this definition.</w:t>
      </w:r>
    </w:p>
    <w:p>
      <w:pPr>
        <w:pStyle w:val="nzSubsection"/>
        <w:rPr>
          <w:szCs w:val="22"/>
        </w:rPr>
      </w:pPr>
      <w:r>
        <w:rPr>
          <w:szCs w:val="22"/>
        </w:rPr>
        <w:tab/>
        <w:t>(2)</w:t>
      </w:r>
      <w:r>
        <w:rPr>
          <w:szCs w:val="22"/>
        </w:rPr>
        <w:tab/>
        <w:t>A person who sells, or offers to sell, cannabis smoking paraphernalia to a child commits a simple offence.</w:t>
      </w:r>
    </w:p>
    <w:p>
      <w:pPr>
        <w:pStyle w:val="nzPenstart"/>
      </w:pPr>
      <w:r>
        <w:tab/>
        <w:t>Penalty: a fine of $24 000 or imprisonment for 2 years or both.</w:t>
      </w:r>
    </w:p>
    <w:p>
      <w:pPr>
        <w:pStyle w:val="nzSubsection"/>
      </w:pPr>
      <w:r>
        <w:rPr>
          <w:szCs w:val="22"/>
        </w:rPr>
        <w:tab/>
        <w:t>(3)</w:t>
      </w:r>
      <w:r>
        <w:rPr>
          <w:szCs w:val="22"/>
        </w:rPr>
        <w:tab/>
        <w:t xml:space="preserve">A person — </w:t>
      </w:r>
    </w:p>
    <w:p>
      <w:pPr>
        <w:pStyle w:val="nzIndenta"/>
      </w:pPr>
      <w:r>
        <w:rPr>
          <w:szCs w:val="22"/>
        </w:rPr>
        <w:tab/>
        <w:t>(a)</w:t>
      </w:r>
      <w:r>
        <w:rPr>
          <w:szCs w:val="22"/>
        </w:rPr>
        <w:tab/>
        <w:t>who sells, or offers to sell, cannabis smoking paraphernalia to an adult; or</w:t>
      </w:r>
    </w:p>
    <w:p>
      <w:pPr>
        <w:pStyle w:val="nzIndenta"/>
      </w:pPr>
      <w:r>
        <w:tab/>
        <w:t>(b)</w:t>
      </w:r>
      <w:r>
        <w:tab/>
        <w:t>who displays cannabis smoking paraphernalia, or authorises or allows cannabis smoking paraphernalia to be displayed, for sale in a shop or other retail outlet,</w:t>
      </w:r>
    </w:p>
    <w:p>
      <w:pPr>
        <w:pStyle w:val="nzSubsection"/>
      </w:pPr>
      <w:r>
        <w:rPr>
          <w:szCs w:val="22"/>
        </w:rPr>
        <w:tab/>
      </w:r>
      <w:r>
        <w:rPr>
          <w:szCs w:val="22"/>
        </w:rPr>
        <w:tab/>
        <w:t>commits a simple offence.</w:t>
      </w:r>
    </w:p>
    <w:p>
      <w:pPr>
        <w:pStyle w:val="nzPenstart"/>
      </w:pPr>
      <w:r>
        <w:rPr>
          <w:szCs w:val="22"/>
        </w:rPr>
        <w:tab/>
        <w:t>Penalty: a fine of $10 000.</w:t>
      </w:r>
    </w:p>
    <w:p>
      <w:pPr>
        <w:pStyle w:val="BlankClose"/>
      </w:pPr>
    </w:p>
    <w:p>
      <w:pPr>
        <w:pStyle w:val="nzHeading5"/>
      </w:pPr>
      <w:bookmarkStart w:id="985" w:name="_Toc275420372"/>
      <w:bookmarkStart w:id="986" w:name="_Toc276115405"/>
      <w:bookmarkStart w:id="987" w:name="_Toc276385338"/>
      <w:r>
        <w:rPr>
          <w:rStyle w:val="CharSectno"/>
        </w:rPr>
        <w:t>8</w:t>
      </w:r>
      <w:r>
        <w:t>.</w:t>
      </w:r>
      <w:r>
        <w:tab/>
        <w:t>Part VII inserted</w:t>
      </w:r>
      <w:bookmarkEnd w:id="985"/>
      <w:bookmarkEnd w:id="986"/>
      <w:bookmarkEnd w:id="987"/>
    </w:p>
    <w:p>
      <w:pPr>
        <w:pStyle w:val="nzSubsection"/>
      </w:pPr>
      <w:r>
        <w:tab/>
      </w:r>
      <w:r>
        <w:tab/>
        <w:t>After section 42 insert:</w:t>
      </w:r>
    </w:p>
    <w:p>
      <w:pPr>
        <w:pStyle w:val="BlankOpen"/>
      </w:pPr>
    </w:p>
    <w:p>
      <w:pPr>
        <w:pStyle w:val="nzHeading2"/>
      </w:pPr>
      <w:bookmarkStart w:id="988" w:name="_Toc275420373"/>
      <w:bookmarkStart w:id="989" w:name="_Toc276115406"/>
      <w:bookmarkStart w:id="990" w:name="_Toc276385339"/>
      <w:r>
        <w:t>Part VII</w:t>
      </w:r>
      <w:r>
        <w:rPr>
          <w:b w:val="0"/>
        </w:rPr>
        <w:t> </w:t>
      </w:r>
      <w:r>
        <w:t>—</w:t>
      </w:r>
      <w:r>
        <w:rPr>
          <w:b w:val="0"/>
        </w:rPr>
        <w:t> </w:t>
      </w:r>
      <w:r>
        <w:t>Transitional provisions</w:t>
      </w:r>
      <w:bookmarkEnd w:id="988"/>
      <w:bookmarkEnd w:id="989"/>
      <w:bookmarkEnd w:id="990"/>
    </w:p>
    <w:p>
      <w:pPr>
        <w:pStyle w:val="nzHeading3"/>
      </w:pPr>
      <w:bookmarkStart w:id="991" w:name="_Toc275420374"/>
      <w:bookmarkStart w:id="992" w:name="_Toc276115407"/>
      <w:bookmarkStart w:id="993" w:name="_Toc276385340"/>
      <w:r>
        <w:t>Division 1 — Preliminary</w:t>
      </w:r>
      <w:bookmarkEnd w:id="991"/>
      <w:bookmarkEnd w:id="992"/>
      <w:bookmarkEnd w:id="993"/>
    </w:p>
    <w:p>
      <w:pPr>
        <w:pStyle w:val="nzHeading5"/>
      </w:pPr>
      <w:bookmarkStart w:id="994" w:name="_Toc275420375"/>
      <w:bookmarkStart w:id="995" w:name="_Toc276115408"/>
      <w:bookmarkStart w:id="996" w:name="_Toc276385341"/>
      <w:r>
        <w:t>43.</w:t>
      </w:r>
      <w:r>
        <w:tab/>
      </w:r>
      <w:r>
        <w:rPr>
          <w:i/>
          <w:iCs/>
        </w:rPr>
        <w:t>Interpretation Act 1984</w:t>
      </w:r>
      <w:r>
        <w:t xml:space="preserve"> not limited</w:t>
      </w:r>
      <w:bookmarkEnd w:id="994"/>
      <w:bookmarkEnd w:id="995"/>
      <w:bookmarkEnd w:id="996"/>
    </w:p>
    <w:p>
      <w:pPr>
        <w:pStyle w:val="nzSubsection"/>
      </w:pPr>
      <w:r>
        <w:tab/>
      </w:r>
      <w:r>
        <w:tab/>
        <w:t xml:space="preserve">This Part does not limit the operation of the </w:t>
      </w:r>
      <w:r>
        <w:rPr>
          <w:i/>
          <w:iCs/>
        </w:rPr>
        <w:t>Interpretation Act 1984</w:t>
      </w:r>
      <w:r>
        <w:t xml:space="preserve"> Part V.</w:t>
      </w:r>
    </w:p>
    <w:p>
      <w:pPr>
        <w:pStyle w:val="nzHeading5"/>
      </w:pPr>
      <w:bookmarkStart w:id="997" w:name="_Toc275420376"/>
      <w:bookmarkStart w:id="998" w:name="_Toc276115409"/>
      <w:bookmarkStart w:id="999" w:name="_Toc276385342"/>
      <w:r>
        <w:t>44.</w:t>
      </w:r>
      <w:r>
        <w:tab/>
        <w:t>Transitional regulations</w:t>
      </w:r>
      <w:bookmarkEnd w:id="997"/>
      <w:bookmarkEnd w:id="998"/>
      <w:bookmarkEnd w:id="999"/>
    </w:p>
    <w:p>
      <w:pPr>
        <w:pStyle w:val="nzSubsection"/>
      </w:pPr>
      <w:r>
        <w:tab/>
        <w:t>(1)</w:t>
      </w:r>
      <w:r>
        <w:tab/>
        <w:t xml:space="preserve">Regulations may prescribe all matters that are required or necessary or convenient to be prescribed for dealing with any issue or matter of a savings or transitional nature — </w:t>
      </w:r>
    </w:p>
    <w:p>
      <w:pPr>
        <w:pStyle w:val="nzIndenta"/>
      </w:pPr>
      <w:r>
        <w:tab/>
        <w:t>(a)</w:t>
      </w:r>
      <w:r>
        <w:tab/>
        <w:t>that arises as a result of the amendment of this Act by another Act (</w:t>
      </w:r>
      <w:r>
        <w:rPr>
          <w:rStyle w:val="CharDefText"/>
        </w:rPr>
        <w:t>an amending Act</w:t>
      </w:r>
      <w:r>
        <w:t>); and</w:t>
      </w:r>
    </w:p>
    <w:p>
      <w:pPr>
        <w:pStyle w:val="nzIndenta"/>
      </w:pPr>
      <w:r>
        <w:tab/>
        <w:t>(b)</w:t>
      </w:r>
      <w:r>
        <w:tab/>
        <w:t>for which there is no sufficient provision in this Act or the amending Act.</w:t>
      </w:r>
    </w:p>
    <w:p>
      <w:pPr>
        <w:pStyle w:val="nzSubsection"/>
      </w:pPr>
      <w:r>
        <w:tab/>
        <w:t>(2)</w:t>
      </w:r>
      <w:r>
        <w:tab/>
        <w:t>Regulations made under this section may provide that specified provisions of this Act do not apply, or apply with modifications specified in the regulations, to or in relation to any matter.</w:t>
      </w:r>
    </w:p>
    <w:p>
      <w:pPr>
        <w:pStyle w:val="nz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nzSubsection"/>
      </w:pPr>
      <w:r>
        <w:tab/>
        <w:t>(4)</w:t>
      </w:r>
      <w:r>
        <w:tab/>
        <w:t xml:space="preserve">If the regulations contain a provision referred to in subsection (3), the provision does not operate so as — </w:t>
      </w:r>
    </w:p>
    <w:p>
      <w:pPr>
        <w:pStyle w:val="nzIndenta"/>
      </w:pPr>
      <w:r>
        <w:tab/>
        <w:t>(a)</w:t>
      </w:r>
      <w:r>
        <w:tab/>
        <w:t>to affect in a manner prejudicial to any person (other than the State), the rights of that person existing before the regulations commenced; or</w:t>
      </w:r>
    </w:p>
    <w:p>
      <w:pPr>
        <w:pStyle w:val="nzIndenta"/>
      </w:pPr>
      <w:r>
        <w:tab/>
        <w:t>(b)</w:t>
      </w:r>
      <w:r>
        <w:tab/>
        <w:t>to impose liabilities on any person (other than the State) in respect of anything done or omitted to be done before the regulations commenced.</w:t>
      </w:r>
    </w:p>
    <w:p>
      <w:pPr>
        <w:pStyle w:val="nzHeading3"/>
        <w:rPr>
          <w:highlight w:val="cyan"/>
        </w:rPr>
      </w:pPr>
      <w:bookmarkStart w:id="1000" w:name="_Toc275420377"/>
      <w:bookmarkStart w:id="1001" w:name="_Toc276115410"/>
      <w:bookmarkStart w:id="1002" w:name="_Toc276385343"/>
      <w:r>
        <w:t>Division 2</w:t>
      </w:r>
      <w:r>
        <w:rPr>
          <w:b w:val="0"/>
        </w:rPr>
        <w:t> — </w:t>
      </w:r>
      <w:r>
        <w:t xml:space="preserve">Provisions for </w:t>
      </w:r>
      <w:r>
        <w:rPr>
          <w:i/>
          <w:iCs/>
        </w:rPr>
        <w:t>Cannabis Law Reform Act 2010</w:t>
      </w:r>
      <w:bookmarkEnd w:id="1000"/>
      <w:bookmarkEnd w:id="1001"/>
      <w:bookmarkEnd w:id="1002"/>
    </w:p>
    <w:p>
      <w:pPr>
        <w:pStyle w:val="nzHeading5"/>
      </w:pPr>
      <w:bookmarkStart w:id="1003" w:name="_Toc275420378"/>
      <w:bookmarkStart w:id="1004" w:name="_Toc276115411"/>
      <w:bookmarkStart w:id="1005" w:name="_Toc276385344"/>
      <w:r>
        <w:t>45.</w:t>
      </w:r>
      <w:r>
        <w:tab/>
        <w:t>Terms used</w:t>
      </w:r>
      <w:bookmarkEnd w:id="1003"/>
      <w:bookmarkEnd w:id="1004"/>
      <w:bookmarkEnd w:id="1005"/>
    </w:p>
    <w:p>
      <w:pPr>
        <w:pStyle w:val="nzSubsection"/>
      </w:pPr>
      <w:r>
        <w:tab/>
      </w:r>
      <w:r>
        <w:tab/>
        <w:t xml:space="preserve">In this Division — </w:t>
      </w:r>
    </w:p>
    <w:p>
      <w:pPr>
        <w:pStyle w:val="nz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nzDefstart"/>
      </w:pPr>
      <w:r>
        <w:tab/>
      </w:r>
      <w:r>
        <w:rPr>
          <w:rStyle w:val="CharDefText"/>
        </w:rPr>
        <w:t>commencement day</w:t>
      </w:r>
      <w:r>
        <w:t xml:space="preserve"> means the day on which the </w:t>
      </w:r>
      <w:r>
        <w:rPr>
          <w:i/>
          <w:iCs/>
        </w:rPr>
        <w:t>Cannabis Law Reform Act 2010</w:t>
      </w:r>
      <w:r>
        <w:t xml:space="preserve"> Part 2 comes into operation.</w:t>
      </w:r>
    </w:p>
    <w:p>
      <w:pPr>
        <w:pStyle w:val="nzHeading5"/>
      </w:pPr>
      <w:bookmarkStart w:id="1006" w:name="_Toc275420379"/>
      <w:bookmarkStart w:id="1007" w:name="_Toc276115412"/>
      <w:bookmarkStart w:id="1008" w:name="_Toc276385345"/>
      <w:r>
        <w:t>46.</w:t>
      </w:r>
      <w:r>
        <w:tab/>
        <w:t>CINs continue in force</w:t>
      </w:r>
      <w:bookmarkEnd w:id="1006"/>
      <w:bookmarkEnd w:id="1007"/>
      <w:bookmarkEnd w:id="1008"/>
    </w:p>
    <w:p>
      <w:pPr>
        <w:pStyle w:val="nz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nzHeading5"/>
      </w:pPr>
      <w:bookmarkStart w:id="1009" w:name="_Toc275420380"/>
      <w:bookmarkStart w:id="1010" w:name="_Toc276115413"/>
      <w:bookmarkStart w:id="1011" w:name="_Toc276385346"/>
      <w:r>
        <w:t>47.</w:t>
      </w:r>
      <w:r>
        <w:tab/>
        <w:t>Amounts outstanding in 12 months time under a CIN are to be taken to be paid</w:t>
      </w:r>
      <w:bookmarkEnd w:id="1009"/>
      <w:bookmarkEnd w:id="1010"/>
      <w:bookmarkEnd w:id="1011"/>
    </w:p>
    <w:p>
      <w:pPr>
        <w:pStyle w:val="nz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nzSubsection"/>
      </w:pPr>
      <w:r>
        <w:tab/>
        <w:t>(2)</w:t>
      </w:r>
      <w:r>
        <w:tab/>
        <w:t xml:space="preserve">If, immediately before — </w:t>
      </w:r>
    </w:p>
    <w:p>
      <w:pPr>
        <w:pStyle w:val="nzIndenta"/>
      </w:pPr>
      <w:r>
        <w:tab/>
        <w:t>(a)</w:t>
      </w:r>
      <w:r>
        <w:tab/>
        <w:t>the day that is 12 months after the day on which the licence suspension order is made in respect of the CIN; or</w:t>
      </w:r>
    </w:p>
    <w:p>
      <w:pPr>
        <w:pStyle w:val="nzIndenta"/>
      </w:pPr>
      <w:r>
        <w:tab/>
        <w:t>(b)</w:t>
      </w:r>
      <w:r>
        <w:tab/>
        <w:t>the commencement day,</w:t>
      </w:r>
    </w:p>
    <w:p>
      <w:pPr>
        <w:pStyle w:val="nzSubsection"/>
      </w:pPr>
      <w:r>
        <w:tab/>
      </w:r>
      <w:r>
        <w:tab/>
        <w:t xml:space="preserve">whichever is the later in time — </w:t>
      </w:r>
    </w:p>
    <w:p>
      <w:pPr>
        <w:pStyle w:val="nz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nzIndenta"/>
      </w:pPr>
      <w:r>
        <w:tab/>
        <w:t>(d)</w:t>
      </w:r>
      <w:r>
        <w:tab/>
        <w:t>an election has not been made under section 21 of that Act,</w:t>
      </w:r>
    </w:p>
    <w:p>
      <w:pPr>
        <w:pStyle w:val="nzSubsection"/>
      </w:pPr>
      <w:r>
        <w:tab/>
      </w:r>
      <w:r>
        <w:tab/>
        <w:t>then, for the purposes of that Act, the amounts referred to in paragraph (c) are to be taken to be paid on that day.</w:t>
      </w:r>
    </w:p>
    <w:p>
      <w:pPr>
        <w:pStyle w:val="nz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BlankClose"/>
      </w:pPr>
    </w:p>
    <w:p>
      <w:pPr>
        <w:pStyle w:val="BlankClose"/>
      </w:pP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bookmarkEnd w:id="889"/>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04-n0-01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fldSimple w:instr=" STYLEREF CharSchText \* MERGEFORMAT ">
            <w:r>
              <w:rPr>
                <w:noProof/>
              </w:rPr>
              <w:t>Numbers of prohibited plants for purposes of drug trafficking</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7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9E6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D24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84F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A9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7DC29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C5E674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19812</Words>
  <Characters>93912</Characters>
  <Application>Microsoft Office Word</Application>
  <DocSecurity>0</DocSecurity>
  <Lines>3478</Lines>
  <Paragraphs>2419</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111305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04-m0-01 - 04-n0-01</dc:title>
  <dc:subject/>
  <dc:creator/>
  <cp:keywords/>
  <dc:description/>
  <cp:lastModifiedBy>svcMRProcess</cp:lastModifiedBy>
  <cp:revision>2</cp:revision>
  <cp:lastPrinted>2008-03-10T06:08:00Z</cp:lastPrinted>
  <dcterms:created xsi:type="dcterms:W3CDTF">2018-09-05T16:30:00Z</dcterms:created>
  <dcterms:modified xsi:type="dcterms:W3CDTF">2018-09-05T16:30:00Z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20110416</vt:lpwstr>
  </property>
  <property fmtid="{D5CDD505-2E9C-101B-9397-08002B2CF9AE}" pid="4" name="DocumentType">
    <vt:lpwstr>Act</vt:lpwstr>
  </property>
  <property fmtid="{D5CDD505-2E9C-101B-9397-08002B2CF9AE}" pid="5" name="OwlsUID">
    <vt:i4>522</vt:i4>
  </property>
  <property fmtid="{D5CDD505-2E9C-101B-9397-08002B2CF9AE}" pid="6" name="ReprintNo">
    <vt:lpwstr>4</vt:lpwstr>
  </property>
  <property fmtid="{D5CDD505-2E9C-101B-9397-08002B2CF9AE}" pid="7" name="FromSuffix">
    <vt:lpwstr>04-m0-01</vt:lpwstr>
  </property>
  <property fmtid="{D5CDD505-2E9C-101B-9397-08002B2CF9AE}" pid="8" name="FromAsAtDate">
    <vt:lpwstr>22 Jan 2011</vt:lpwstr>
  </property>
  <property fmtid="{D5CDD505-2E9C-101B-9397-08002B2CF9AE}" pid="9" name="ToSuffix">
    <vt:lpwstr>04-n0-01</vt:lpwstr>
  </property>
  <property fmtid="{D5CDD505-2E9C-101B-9397-08002B2CF9AE}" pid="10" name="ToAsAtDate">
    <vt:lpwstr>16 Apr 2011</vt:lpwstr>
  </property>
</Properties>
</file>