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May 2006</w:t>
      </w:r>
      <w:r>
        <w:fldChar w:fldCharType="end"/>
      </w:r>
      <w:r>
        <w:t xml:space="preserve">, </w:t>
      </w:r>
      <w:r>
        <w:fldChar w:fldCharType="begin"/>
      </w:r>
      <w:r>
        <w:instrText xml:space="preserve"> DocProperty FromSuffix </w:instrText>
      </w:r>
      <w:r>
        <w:fldChar w:fldCharType="separate"/>
      </w:r>
      <w:r>
        <w:t>16-a0-03</w:t>
      </w:r>
      <w:r>
        <w:fldChar w:fldCharType="end"/>
      </w:r>
      <w:r>
        <w:t>] and [</w:t>
      </w:r>
      <w:r>
        <w:fldChar w:fldCharType="begin"/>
      </w:r>
      <w:r>
        <w:instrText xml:space="preserve"> DocProperty ToAsAtDate</w:instrText>
      </w:r>
      <w:r>
        <w:fldChar w:fldCharType="separate"/>
      </w:r>
      <w:r>
        <w:t>27 Jun 2006</w:t>
      </w:r>
      <w:r>
        <w:fldChar w:fldCharType="end"/>
      </w:r>
      <w:r>
        <w:t xml:space="preserve">, </w:t>
      </w:r>
      <w:r>
        <w:fldChar w:fldCharType="begin"/>
      </w:r>
      <w:r>
        <w:instrText xml:space="preserve"> DocProperty ToSuffix</w:instrText>
      </w:r>
      <w:r>
        <w:fldChar w:fldCharType="separate"/>
      </w:r>
      <w:r>
        <w:t>16-a1-03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12</w:t>
            </w:r>
            <w:r>
              <w:rPr>
                <w:b/>
                <w:snapToGrid w:val="0"/>
                <w:sz w:val="22"/>
              </w:rPr>
              <w:t xml:space="preserve"> May 2006</w:t>
            </w:r>
          </w:p>
        </w:tc>
      </w:tr>
    </w:tbl>
    <w:p>
      <w:pPr>
        <w:pStyle w:val="WA"/>
        <w:spacing w:before="120"/>
      </w:pPr>
      <w:r>
        <w:t>Western Australia</w:t>
      </w:r>
    </w:p>
    <w:p>
      <w:pPr>
        <w:pStyle w:val="NameofActReg"/>
        <w:spacing w:before="960" w:after="1080"/>
      </w:pPr>
      <w:r>
        <w:t>Stamp Act 1921</w:t>
      </w:r>
    </w:p>
    <w:p>
      <w:pPr>
        <w:pStyle w:val="LongTitle"/>
        <w:rPr>
          <w:snapToGrid w:val="0"/>
        </w:rPr>
      </w:pPr>
      <w:r>
        <w:rPr>
          <w:snapToGrid w:val="0"/>
        </w:rPr>
        <w:t>A</w:t>
      </w:r>
      <w:bookmarkStart w:id="0" w:name="_GoBack"/>
      <w:bookmarkEnd w:id="0"/>
      <w:r>
        <w:rPr>
          <w:snapToGrid w:val="0"/>
        </w:rPr>
        <w:t>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500739862"/>
      <w:bookmarkStart w:id="38" w:name="_Toc520101053"/>
      <w:bookmarkStart w:id="39" w:name="_Toc520532952"/>
      <w:bookmarkStart w:id="40" w:name="_Toc49223859"/>
      <w:bookmarkStart w:id="41" w:name="_Toc107054827"/>
      <w:bookmarkStart w:id="42" w:name="_Toc134854564"/>
      <w:bookmarkStart w:id="43" w:name="_Toc136841017"/>
      <w:r>
        <w:rPr>
          <w:rStyle w:val="CharSectno"/>
        </w:rPr>
        <w:t>1</w:t>
      </w:r>
      <w:r>
        <w:rPr>
          <w:snapToGrid w:val="0"/>
        </w:rPr>
        <w:t>.</w:t>
      </w:r>
      <w:r>
        <w:rPr>
          <w:snapToGrid w:val="0"/>
        </w:rPr>
        <w:tab/>
        <w:t>Short title and commencement</w:t>
      </w:r>
      <w:bookmarkEnd w:id="37"/>
      <w:bookmarkEnd w:id="38"/>
      <w:bookmarkEnd w:id="39"/>
      <w:bookmarkEnd w:id="40"/>
      <w:bookmarkEnd w:id="41"/>
      <w:bookmarkEnd w:id="42"/>
      <w:bookmarkEnd w:id="43"/>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44" w:name="_Toc500739865"/>
      <w:bookmarkStart w:id="45" w:name="_Toc520101056"/>
      <w:bookmarkStart w:id="46" w:name="_Toc520532955"/>
      <w:r>
        <w:t>[</w:t>
      </w:r>
      <w:r>
        <w:rPr>
          <w:b/>
        </w:rPr>
        <w:t>2A, 3.</w:t>
      </w:r>
      <w:r>
        <w:tab/>
        <w:t>Repealed by No. 2 of 2003 s. 4.]</w:t>
      </w:r>
    </w:p>
    <w:p>
      <w:pPr>
        <w:pStyle w:val="Heading5"/>
        <w:rPr>
          <w:snapToGrid w:val="0"/>
        </w:rPr>
      </w:pPr>
      <w:bookmarkStart w:id="47" w:name="_Toc49223860"/>
      <w:bookmarkStart w:id="48" w:name="_Toc107054828"/>
      <w:bookmarkStart w:id="49" w:name="_Toc134854565"/>
      <w:bookmarkStart w:id="50" w:name="_Toc136841018"/>
      <w:r>
        <w:rPr>
          <w:rStyle w:val="CharSectno"/>
        </w:rPr>
        <w:t>4</w:t>
      </w:r>
      <w:r>
        <w:rPr>
          <w:snapToGrid w:val="0"/>
        </w:rPr>
        <w:t>.</w:t>
      </w:r>
      <w:r>
        <w:rPr>
          <w:snapToGrid w:val="0"/>
        </w:rPr>
        <w:tab/>
        <w:t>Interpretation</w:t>
      </w:r>
      <w:bookmarkEnd w:id="44"/>
      <w:bookmarkEnd w:id="45"/>
      <w:bookmarkEnd w:id="46"/>
      <w:bookmarkEnd w:id="47"/>
      <w:bookmarkEnd w:id="48"/>
      <w:bookmarkEnd w:id="49"/>
      <w:bookmarkEnd w:id="50"/>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lastRenderedPageBreak/>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iCs/>
        </w:rPr>
        <w:t>A New Tax System (Goods and Services Tax) Act 1999</w:t>
      </w:r>
      <w:r>
        <w:t xml:space="preserve"> except that it includes notional GST of the kind for which payments may be made under the </w:t>
      </w:r>
      <w:r>
        <w:rPr>
          <w:i/>
        </w:rPr>
        <w:t xml:space="preserve">State Entities (Payments) </w:t>
      </w:r>
      <w:r>
        <w:rPr>
          <w:i/>
        </w:rPr>
        <w:lastRenderedPageBreak/>
        <w:t>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iCs/>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51" w:name="_Toc500739866"/>
      <w:bookmarkStart w:id="52" w:name="_Toc520101057"/>
      <w:bookmarkStart w:id="53" w:name="_Toc520532956"/>
      <w:bookmarkStart w:id="54" w:name="_Toc49223861"/>
      <w:bookmarkStart w:id="55" w:name="_Toc107054829"/>
      <w:bookmarkStart w:id="56" w:name="_Toc134854566"/>
      <w:bookmarkStart w:id="57" w:name="_Toc136841019"/>
      <w:r>
        <w:rPr>
          <w:rStyle w:val="CharSectno"/>
        </w:rPr>
        <w:t>4A</w:t>
      </w:r>
      <w:r>
        <w:t>.</w:t>
      </w:r>
      <w:r>
        <w:tab/>
        <w:t>Treatment of amounts payable for GST</w:t>
      </w:r>
      <w:bookmarkEnd w:id="51"/>
      <w:bookmarkEnd w:id="52"/>
      <w:bookmarkEnd w:id="53"/>
      <w:bookmarkEnd w:id="54"/>
      <w:bookmarkEnd w:id="55"/>
      <w:bookmarkEnd w:id="56"/>
      <w:bookmarkEnd w:id="57"/>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58" w:name="_Toc76899499"/>
      <w:bookmarkStart w:id="59" w:name="_Toc78090401"/>
      <w:bookmarkStart w:id="60" w:name="_Toc88886769"/>
      <w:bookmarkStart w:id="61" w:name="_Toc90443385"/>
      <w:bookmarkStart w:id="62" w:name="_Toc90452736"/>
      <w:bookmarkStart w:id="63" w:name="_Toc100029327"/>
      <w:bookmarkStart w:id="64" w:name="_Toc100031400"/>
      <w:bookmarkStart w:id="65" w:name="_Toc100458459"/>
      <w:bookmarkStart w:id="66" w:name="_Toc101671875"/>
      <w:bookmarkStart w:id="67" w:name="_Toc101672132"/>
      <w:bookmarkStart w:id="68" w:name="_Toc102799158"/>
      <w:bookmarkStart w:id="69" w:name="_Toc102981832"/>
      <w:bookmarkStart w:id="70" w:name="_Toc103403145"/>
      <w:bookmarkStart w:id="71" w:name="_Toc103403402"/>
      <w:bookmarkStart w:id="72" w:name="_Toc103747401"/>
      <w:bookmarkStart w:id="73" w:name="_Toc107054830"/>
      <w:bookmarkStart w:id="74" w:name="_Toc113874277"/>
      <w:bookmarkStart w:id="75" w:name="_Toc113956693"/>
      <w:bookmarkStart w:id="76" w:name="_Toc116717249"/>
      <w:bookmarkStart w:id="77" w:name="_Toc116813276"/>
      <w:bookmarkStart w:id="78" w:name="_Toc122332928"/>
      <w:bookmarkStart w:id="79" w:name="_Toc122861898"/>
      <w:bookmarkStart w:id="80" w:name="_Toc122862494"/>
      <w:bookmarkStart w:id="81" w:name="_Toc122921101"/>
      <w:bookmarkStart w:id="82" w:name="_Toc122921361"/>
      <w:bookmarkStart w:id="83" w:name="_Toc122947306"/>
      <w:bookmarkStart w:id="84" w:name="_Toc124046142"/>
      <w:bookmarkStart w:id="85" w:name="_Toc130266463"/>
      <w:bookmarkStart w:id="86" w:name="_Toc130266739"/>
      <w:bookmarkStart w:id="87" w:name="_Toc131382842"/>
      <w:bookmarkStart w:id="88" w:name="_Toc133812223"/>
      <w:bookmarkStart w:id="89" w:name="_Toc133920170"/>
      <w:bookmarkStart w:id="90" w:name="_Toc134854567"/>
      <w:bookmarkStart w:id="91" w:name="_Toc134854843"/>
      <w:bookmarkStart w:id="92" w:name="_Toc136841020"/>
      <w:bookmarkStart w:id="93" w:name="_Toc58902510"/>
      <w:r>
        <w:rPr>
          <w:rStyle w:val="CharPartNo"/>
        </w:rPr>
        <w:t>Part II</w:t>
      </w:r>
      <w:r>
        <w:rPr>
          <w:rStyle w:val="CharDivNo"/>
        </w:rPr>
        <w:t> </w:t>
      </w:r>
      <w:r>
        <w:t>—</w:t>
      </w:r>
      <w:r>
        <w:rPr>
          <w:rStyle w:val="CharDivText"/>
        </w:rPr>
        <w:t> </w:t>
      </w:r>
      <w:r>
        <w:rPr>
          <w:rStyle w:val="CharPartText"/>
        </w:rPr>
        <w:t>Conditional contracts (interpretation)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Footnoteheading"/>
        <w:tabs>
          <w:tab w:val="left" w:pos="851"/>
        </w:tabs>
      </w:pPr>
      <w:r>
        <w:tab/>
        <w:t>[Heading inserted by No. 12 of 2004 s. 15.]</w:t>
      </w:r>
    </w:p>
    <w:p>
      <w:pPr>
        <w:pStyle w:val="Heading5"/>
      </w:pPr>
      <w:bookmarkStart w:id="94" w:name="_Toc107054831"/>
      <w:bookmarkStart w:id="95" w:name="_Toc134854568"/>
      <w:bookmarkStart w:id="96" w:name="_Toc136841021"/>
      <w:r>
        <w:rPr>
          <w:rStyle w:val="CharSectno"/>
        </w:rPr>
        <w:t>6</w:t>
      </w:r>
      <w:r>
        <w:t>.</w:t>
      </w:r>
      <w:r>
        <w:tab/>
        <w:t>Meaning of “eligible conditional contract”</w:t>
      </w:r>
      <w:bookmarkEnd w:id="94"/>
      <w:bookmarkEnd w:id="95"/>
      <w:bookmarkEnd w:id="96"/>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97" w:name="_Toc107054832"/>
      <w:bookmarkStart w:id="98" w:name="_Toc134854569"/>
      <w:bookmarkStart w:id="99" w:name="_Toc136841022"/>
      <w:r>
        <w:rPr>
          <w:rStyle w:val="CharSectno"/>
        </w:rPr>
        <w:t>7</w:t>
      </w:r>
      <w:r>
        <w:t>.</w:t>
      </w:r>
      <w:r>
        <w:tab/>
        <w:t>Persons who are “related” for the purposes of this Part</w:t>
      </w:r>
      <w:bookmarkEnd w:id="97"/>
      <w:bookmarkEnd w:id="98"/>
      <w:bookmarkEnd w:id="99"/>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00" w:name="_Toc107054833"/>
      <w:bookmarkStart w:id="101" w:name="_Toc134854570"/>
      <w:bookmarkStart w:id="102" w:name="_Toc136841023"/>
      <w:r>
        <w:rPr>
          <w:rStyle w:val="CharSectno"/>
        </w:rPr>
        <w:t>8</w:t>
      </w:r>
      <w:r>
        <w:t>.</w:t>
      </w:r>
      <w:r>
        <w:tab/>
        <w:t>Meaning of “general conditional contract”</w:t>
      </w:r>
      <w:bookmarkEnd w:id="100"/>
      <w:bookmarkEnd w:id="101"/>
      <w:bookmarkEnd w:id="102"/>
    </w:p>
    <w:p>
      <w:pPr>
        <w:pStyle w:val="Subsection"/>
      </w:pPr>
      <w:r>
        <w:tab/>
        <w:t>(1)</w:t>
      </w:r>
      <w:r>
        <w:tab/>
        <w:t xml:space="preserve">A </w:t>
      </w:r>
      <w:r>
        <w:rPr>
          <w:b/>
        </w:rPr>
        <w:t>“</w:t>
      </w:r>
      <w:r>
        <w:rPr>
          <w:rStyle w:val="CharDefText"/>
        </w:rPr>
        <w:t>general conditional contract</w:t>
      </w:r>
      <w:r>
        <w:rPr>
          <w:b/>
          <w:bCs/>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spacing w:before="60"/>
      </w:pPr>
      <w:r>
        <w:tab/>
        <w:t>(c)</w:t>
      </w:r>
      <w:r>
        <w:tab/>
        <w:t>the obtaining by the purchaser of a satisfactory building inspection, geotechnical or environmental report from a third party in relation to the property to be sold or conveyed under the contract;</w:t>
      </w:r>
    </w:p>
    <w:p>
      <w:pPr>
        <w:pStyle w:val="Indenta"/>
        <w:spacing w:before="60"/>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spacing w:before="60"/>
      </w:pPr>
      <w:r>
        <w:tab/>
        <w:t>(e)</w:t>
      </w:r>
      <w:r>
        <w:tab/>
        <w:t xml:space="preserve">the authorisation of the payment to the purchaser of a first home owner grant under the </w:t>
      </w:r>
      <w:r>
        <w:rPr>
          <w:i/>
        </w:rPr>
        <w:t>First Home Owner Grant Act 2000</w:t>
      </w:r>
      <w:r>
        <w:t>;</w:t>
      </w:r>
    </w:p>
    <w:p>
      <w:pPr>
        <w:pStyle w:val="Indenta"/>
        <w:spacing w:before="60"/>
      </w:pPr>
      <w:r>
        <w:tab/>
        <w:t>(f)</w:t>
      </w:r>
      <w:r>
        <w:tab/>
        <w:t>the obtaining by the purchaser of a licence to trade or the grant of a franchise;</w:t>
      </w:r>
    </w:p>
    <w:p>
      <w:pPr>
        <w:pStyle w:val="Indenta"/>
        <w:spacing w:before="60"/>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03" w:name="_Toc107054834"/>
      <w:bookmarkStart w:id="104" w:name="_Toc134854571"/>
      <w:bookmarkStart w:id="105" w:name="_Toc136841024"/>
      <w:r>
        <w:rPr>
          <w:rStyle w:val="CharSectno"/>
        </w:rPr>
        <w:t>9</w:t>
      </w:r>
      <w:r>
        <w:t>.</w:t>
      </w:r>
      <w:r>
        <w:tab/>
        <w:t>Meaning of “farming land conditional contract”</w:t>
      </w:r>
      <w:bookmarkEnd w:id="103"/>
      <w:bookmarkEnd w:id="104"/>
      <w:bookmarkEnd w:id="105"/>
    </w:p>
    <w:p>
      <w:pPr>
        <w:pStyle w:val="Subsection"/>
        <w:spacing w:before="120"/>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06" w:name="_Toc107054835"/>
      <w:bookmarkStart w:id="107" w:name="_Toc134854572"/>
      <w:bookmarkStart w:id="108" w:name="_Toc136841025"/>
      <w:r>
        <w:rPr>
          <w:rStyle w:val="CharSectno"/>
        </w:rPr>
        <w:t>10</w:t>
      </w:r>
      <w:r>
        <w:t>.</w:t>
      </w:r>
      <w:r>
        <w:tab/>
        <w:t>Meaning of “off</w:t>
      </w:r>
      <w:r>
        <w:noBreakHyphen/>
        <w:t>the</w:t>
      </w:r>
      <w:r>
        <w:noBreakHyphen/>
        <w:t>plan conditional contract”</w:t>
      </w:r>
      <w:bookmarkEnd w:id="106"/>
      <w:bookmarkEnd w:id="107"/>
      <w:bookmarkEnd w:id="108"/>
    </w:p>
    <w:p>
      <w:pPr>
        <w:pStyle w:val="Subsection"/>
        <w:spacing w:before="120"/>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09" w:name="_Toc107054836"/>
      <w:bookmarkStart w:id="110" w:name="_Toc134854573"/>
      <w:bookmarkStart w:id="111" w:name="_Toc136841026"/>
      <w:r>
        <w:rPr>
          <w:rStyle w:val="CharSectno"/>
        </w:rPr>
        <w:t>11</w:t>
      </w:r>
      <w:r>
        <w:t>.</w:t>
      </w:r>
      <w:r>
        <w:tab/>
        <w:t>Meaning of “mining tenement conditional contract”</w:t>
      </w:r>
      <w:bookmarkEnd w:id="109"/>
      <w:bookmarkEnd w:id="110"/>
      <w:bookmarkEnd w:id="111"/>
    </w:p>
    <w:p>
      <w:pPr>
        <w:pStyle w:val="Subsection"/>
        <w:spacing w:before="120"/>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12" w:name="_Toc107054837"/>
      <w:bookmarkStart w:id="113" w:name="_Toc134854574"/>
      <w:bookmarkStart w:id="114" w:name="_Toc136841027"/>
      <w:r>
        <w:rPr>
          <w:rStyle w:val="CharSectno"/>
        </w:rPr>
        <w:t>12</w:t>
      </w:r>
      <w:r>
        <w:t>.</w:t>
      </w:r>
      <w:r>
        <w:tab/>
        <w:t>Meaning of “subdivision conditional contract”</w:t>
      </w:r>
      <w:bookmarkEnd w:id="112"/>
      <w:bookmarkEnd w:id="113"/>
      <w:bookmarkEnd w:id="114"/>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15" w:name="_Toc107054838"/>
      <w:bookmarkStart w:id="116" w:name="_Toc134854575"/>
      <w:bookmarkStart w:id="117" w:name="_Toc136841028"/>
      <w:r>
        <w:rPr>
          <w:rStyle w:val="CharSectno"/>
        </w:rPr>
        <w:t>13</w:t>
      </w:r>
      <w:r>
        <w:t>.</w:t>
      </w:r>
      <w:r>
        <w:tab/>
        <w:t>When a conditional contract becomes unconditional</w:t>
      </w:r>
      <w:bookmarkEnd w:id="115"/>
      <w:bookmarkEnd w:id="116"/>
      <w:bookmarkEnd w:id="117"/>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18" w:name="_Toc107054839"/>
      <w:bookmarkStart w:id="119" w:name="_Toc134854576"/>
      <w:bookmarkStart w:id="120" w:name="_Toc136841029"/>
      <w:r>
        <w:rPr>
          <w:rStyle w:val="CharSectno"/>
        </w:rPr>
        <w:t>14</w:t>
      </w:r>
      <w:r>
        <w:t>.</w:t>
      </w:r>
      <w:r>
        <w:tab/>
        <w:t>Termination of conditional contracts on relevant grounds</w:t>
      </w:r>
      <w:bookmarkEnd w:id="118"/>
      <w:bookmarkEnd w:id="119"/>
      <w:bookmarkEnd w:id="120"/>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21" w:name="_Toc76899509"/>
      <w:bookmarkStart w:id="122" w:name="_Toc78090411"/>
      <w:bookmarkStart w:id="123" w:name="_Toc88886779"/>
      <w:bookmarkStart w:id="124" w:name="_Toc90443395"/>
      <w:bookmarkStart w:id="125" w:name="_Toc90452746"/>
      <w:bookmarkStart w:id="126" w:name="_Toc100029337"/>
      <w:bookmarkStart w:id="127" w:name="_Toc100031410"/>
      <w:bookmarkStart w:id="128" w:name="_Toc100458469"/>
      <w:bookmarkStart w:id="129" w:name="_Toc101671885"/>
      <w:bookmarkStart w:id="130" w:name="_Toc101672142"/>
      <w:bookmarkStart w:id="131" w:name="_Toc102799168"/>
      <w:bookmarkStart w:id="132" w:name="_Toc102981842"/>
      <w:bookmarkStart w:id="133" w:name="_Toc103403155"/>
      <w:bookmarkStart w:id="134" w:name="_Toc103403412"/>
      <w:bookmarkStart w:id="135" w:name="_Toc103747411"/>
      <w:bookmarkStart w:id="136" w:name="_Toc107054840"/>
      <w:bookmarkStart w:id="137" w:name="_Toc113874287"/>
      <w:bookmarkStart w:id="138" w:name="_Toc113956703"/>
      <w:bookmarkStart w:id="139" w:name="_Toc116717259"/>
      <w:bookmarkStart w:id="140" w:name="_Toc116813286"/>
      <w:bookmarkStart w:id="141" w:name="_Toc122332938"/>
      <w:bookmarkStart w:id="142" w:name="_Toc122861908"/>
      <w:bookmarkStart w:id="143" w:name="_Toc122862504"/>
      <w:bookmarkStart w:id="144" w:name="_Toc122921111"/>
      <w:bookmarkStart w:id="145" w:name="_Toc122921371"/>
      <w:bookmarkStart w:id="146" w:name="_Toc122947316"/>
      <w:bookmarkStart w:id="147" w:name="_Toc124046152"/>
      <w:bookmarkStart w:id="148" w:name="_Toc130266473"/>
      <w:bookmarkStart w:id="149" w:name="_Toc130266749"/>
      <w:bookmarkStart w:id="150" w:name="_Toc131382852"/>
      <w:bookmarkStart w:id="151" w:name="_Toc133812233"/>
      <w:bookmarkStart w:id="152" w:name="_Toc133920180"/>
      <w:bookmarkStart w:id="153" w:name="_Toc134854577"/>
      <w:bookmarkStart w:id="154" w:name="_Toc134854853"/>
      <w:bookmarkStart w:id="155" w:name="_Toc136841030"/>
      <w:r>
        <w:rPr>
          <w:rStyle w:val="CharPartNo"/>
        </w:rPr>
        <w:t>Part III</w:t>
      </w:r>
      <w:r>
        <w:rPr>
          <w:rStyle w:val="CharDivNo"/>
        </w:rPr>
        <w:t> </w:t>
      </w:r>
      <w:r>
        <w:t>—</w:t>
      </w:r>
      <w:r>
        <w:rPr>
          <w:rStyle w:val="CharDivText"/>
        </w:rPr>
        <w:t> </w:t>
      </w:r>
      <w:r>
        <w:rPr>
          <w:rStyle w:val="CharPartText"/>
        </w:rPr>
        <w:t>General provisions</w:t>
      </w:r>
      <w:bookmarkEnd w:id="93"/>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rPr>
          <w:snapToGrid w:val="0"/>
        </w:rPr>
      </w:pPr>
      <w:bookmarkStart w:id="156" w:name="_Toc500739879"/>
      <w:bookmarkStart w:id="157" w:name="_Toc520101070"/>
      <w:bookmarkStart w:id="158" w:name="_Toc520532969"/>
      <w:bookmarkStart w:id="159" w:name="_Toc49223862"/>
      <w:bookmarkStart w:id="160" w:name="_Toc107054841"/>
      <w:bookmarkStart w:id="161" w:name="_Toc134854578"/>
      <w:bookmarkStart w:id="162" w:name="_Toc136841031"/>
      <w:r>
        <w:rPr>
          <w:rStyle w:val="CharSectno"/>
        </w:rPr>
        <w:t>16</w:t>
      </w:r>
      <w:r>
        <w:rPr>
          <w:snapToGrid w:val="0"/>
        </w:rPr>
        <w:t>.</w:t>
      </w:r>
      <w:r>
        <w:rPr>
          <w:snapToGrid w:val="0"/>
        </w:rPr>
        <w:tab/>
        <w:t>Charge of duties on instruments</w:t>
      </w:r>
      <w:bookmarkEnd w:id="156"/>
      <w:bookmarkEnd w:id="157"/>
      <w:bookmarkEnd w:id="158"/>
      <w:bookmarkEnd w:id="159"/>
      <w:bookmarkEnd w:id="160"/>
      <w:bookmarkEnd w:id="161"/>
      <w:bookmarkEnd w:id="162"/>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163" w:name="_Toc49223863"/>
      <w:bookmarkStart w:id="164" w:name="_Toc107054842"/>
      <w:bookmarkStart w:id="165" w:name="_Toc134854579"/>
      <w:bookmarkStart w:id="166" w:name="_Toc136841032"/>
      <w:bookmarkStart w:id="167" w:name="_Toc500739881"/>
      <w:bookmarkStart w:id="168" w:name="_Toc520101072"/>
      <w:bookmarkStart w:id="169" w:name="_Toc520532971"/>
      <w:r>
        <w:rPr>
          <w:rStyle w:val="CharSectno"/>
        </w:rPr>
        <w:t>17</w:t>
      </w:r>
      <w:r>
        <w:t>.</w:t>
      </w:r>
      <w:r>
        <w:tab/>
        <w:t>Liability to pay duty</w:t>
      </w:r>
      <w:bookmarkEnd w:id="163"/>
      <w:bookmarkEnd w:id="164"/>
      <w:bookmarkEnd w:id="165"/>
      <w:bookmarkEnd w:id="166"/>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170" w:name="_Toc49223864"/>
      <w:bookmarkStart w:id="171" w:name="_Toc107054843"/>
      <w:bookmarkStart w:id="172" w:name="_Toc134854580"/>
      <w:bookmarkStart w:id="173" w:name="_Toc136841033"/>
      <w:r>
        <w:rPr>
          <w:rStyle w:val="CharSectno"/>
        </w:rPr>
        <w:t>17A</w:t>
      </w:r>
      <w:r>
        <w:t>.</w:t>
      </w:r>
      <w:r>
        <w:tab/>
        <w:t>Time for payment of duty</w:t>
      </w:r>
      <w:bookmarkEnd w:id="170"/>
      <w:bookmarkEnd w:id="171"/>
      <w:bookmarkEnd w:id="172"/>
      <w:bookmarkEnd w:id="173"/>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pPr>
      <w:bookmarkStart w:id="174" w:name="_Toc107054844"/>
      <w:bookmarkStart w:id="175" w:name="_Toc134854581"/>
      <w:bookmarkStart w:id="176" w:name="_Toc136841034"/>
      <w:bookmarkStart w:id="177" w:name="_Toc49223865"/>
      <w:r>
        <w:rPr>
          <w:rStyle w:val="CharSectno"/>
        </w:rPr>
        <w:t>17AA</w:t>
      </w:r>
      <w:r>
        <w:t>.</w:t>
      </w:r>
      <w:r>
        <w:tab/>
        <w:t>Time for payment on certain conditional contracts</w:t>
      </w:r>
      <w:bookmarkEnd w:id="174"/>
      <w:bookmarkEnd w:id="175"/>
      <w:bookmarkEnd w:id="176"/>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pPr>
      <w:bookmarkStart w:id="178" w:name="_Toc107054845"/>
      <w:bookmarkStart w:id="179" w:name="_Toc134854582"/>
      <w:bookmarkStart w:id="180" w:name="_Toc136841035"/>
      <w:r>
        <w:rPr>
          <w:rStyle w:val="CharSectno"/>
        </w:rPr>
        <w:t>17B</w:t>
      </w:r>
      <w:r>
        <w:t>.</w:t>
      </w:r>
      <w:r>
        <w:tab/>
        <w:t>Requirement to lodge instrument</w:t>
      </w:r>
      <w:bookmarkEnd w:id="177"/>
      <w:bookmarkEnd w:id="178"/>
      <w:bookmarkEnd w:id="179"/>
      <w:bookmarkEnd w:id="180"/>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181" w:name="_Toc107054846"/>
      <w:bookmarkStart w:id="182" w:name="_Toc134854583"/>
      <w:bookmarkStart w:id="183" w:name="_Toc136841036"/>
      <w:bookmarkStart w:id="184" w:name="_Toc49223866"/>
      <w:r>
        <w:rPr>
          <w:rStyle w:val="CharSectno"/>
        </w:rPr>
        <w:t>17BA</w:t>
      </w:r>
      <w:r>
        <w:t>.</w:t>
      </w:r>
      <w:r>
        <w:tab/>
        <w:t>Time for lodging certain conditional contracts</w:t>
      </w:r>
      <w:bookmarkEnd w:id="181"/>
      <w:bookmarkEnd w:id="182"/>
      <w:bookmarkEnd w:id="183"/>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spacing w:before="60"/>
      </w:pPr>
      <w:r>
        <w:tab/>
        <w:t>(a)</w:t>
      </w:r>
      <w:r>
        <w:tab/>
        <w:t>a farming land conditional contract;</w:t>
      </w:r>
    </w:p>
    <w:p>
      <w:pPr>
        <w:pStyle w:val="Indenta"/>
        <w:spacing w:before="60"/>
      </w:pPr>
      <w:r>
        <w:tab/>
        <w:t>(b)</w:t>
      </w:r>
      <w:r>
        <w:tab/>
        <w:t>a mining tenement conditional contract;</w:t>
      </w:r>
    </w:p>
    <w:p>
      <w:pPr>
        <w:pStyle w:val="Indenta"/>
        <w:spacing w:before="60"/>
      </w:pPr>
      <w:r>
        <w:tab/>
        <w:t>(c)</w:t>
      </w:r>
      <w:r>
        <w:tab/>
        <w:t>an off</w:t>
      </w:r>
      <w:r>
        <w:noBreakHyphen/>
        <w:t>the</w:t>
      </w:r>
      <w:r>
        <w:noBreakHyphen/>
        <w:t>plan conditional contract;</w:t>
      </w:r>
    </w:p>
    <w:p>
      <w:pPr>
        <w:pStyle w:val="Indenta"/>
        <w:spacing w:before="60"/>
      </w:pPr>
      <w:r>
        <w:tab/>
        <w:t>(d)</w:t>
      </w:r>
      <w:r>
        <w:tab/>
        <w:t>a subdivision conditional contract.</w:t>
      </w:r>
    </w:p>
    <w:p>
      <w:pPr>
        <w:pStyle w:val="Penstart"/>
        <w:spacing w:before="60"/>
      </w:pPr>
      <w:r>
        <w:tab/>
        <w:t>Penalty: $5 000.</w:t>
      </w:r>
    </w:p>
    <w:p>
      <w:pPr>
        <w:pStyle w:val="Footnotesection"/>
        <w:spacing w:before="100"/>
        <w:ind w:left="890" w:hanging="890"/>
      </w:pPr>
      <w:r>
        <w:tab/>
        <w:t>[Section 17BA inserted by No. 12 of 2004 s. 18.]</w:t>
      </w:r>
    </w:p>
    <w:p>
      <w:pPr>
        <w:pStyle w:val="Heading5"/>
        <w:spacing w:before="200"/>
      </w:pPr>
      <w:bookmarkStart w:id="185" w:name="_Toc107054847"/>
      <w:bookmarkStart w:id="186" w:name="_Toc134854584"/>
      <w:bookmarkStart w:id="187" w:name="_Toc136841037"/>
      <w:r>
        <w:rPr>
          <w:rStyle w:val="CharSectno"/>
        </w:rPr>
        <w:t>17C</w:t>
      </w:r>
      <w:r>
        <w:t>.</w:t>
      </w:r>
      <w:r>
        <w:tab/>
        <w:t>Instrument to be endorsed when duty paid etc.</w:t>
      </w:r>
      <w:bookmarkEnd w:id="184"/>
      <w:bookmarkEnd w:id="185"/>
      <w:bookmarkEnd w:id="186"/>
      <w:bookmarkEnd w:id="187"/>
    </w:p>
    <w:p>
      <w:pPr>
        <w:pStyle w:val="Subsection"/>
        <w:spacing w:before="140"/>
      </w:pPr>
      <w:r>
        <w:tab/>
        <w:t>(1)</w:t>
      </w:r>
      <w:r>
        <w:tab/>
        <w:t>When —</w:t>
      </w:r>
    </w:p>
    <w:p>
      <w:pPr>
        <w:pStyle w:val="Indenta"/>
        <w:spacing w:before="60"/>
      </w:pPr>
      <w:r>
        <w:tab/>
        <w:t>(a)</w:t>
      </w:r>
      <w:r>
        <w:tab/>
        <w:t>duty is paid on an instrument;</w:t>
      </w:r>
    </w:p>
    <w:p>
      <w:pPr>
        <w:pStyle w:val="Indenta"/>
        <w:spacing w:before="60"/>
      </w:pPr>
      <w:r>
        <w:tab/>
        <w:t>(b)</w:t>
      </w:r>
      <w:r>
        <w:tab/>
        <w:t>penalty tax or any other amount payable under a stamp Act in respect of an instrument is paid;</w:t>
      </w:r>
    </w:p>
    <w:p>
      <w:pPr>
        <w:pStyle w:val="Indenta"/>
        <w:spacing w:before="60"/>
      </w:pPr>
      <w:r>
        <w:tab/>
        <w:t>(c)</w:t>
      </w:r>
      <w:r>
        <w:tab/>
        <w:t>the payment of duty payable on, or penalty tax or any other amount payable under a stamp Act in respect of, an instrument is waived;</w:t>
      </w:r>
    </w:p>
    <w:p>
      <w:pPr>
        <w:pStyle w:val="Indenta"/>
        <w:spacing w:before="60"/>
      </w:pPr>
      <w:r>
        <w:tab/>
        <w:t>(d)</w:t>
      </w:r>
      <w:r>
        <w:tab/>
        <w:t>the Commissioner assesses an instrument as being not chargeable with duty;</w:t>
      </w:r>
    </w:p>
    <w:p>
      <w:pPr>
        <w:pStyle w:val="Indenta"/>
        <w:spacing w:before="60"/>
      </w:pPr>
      <w:r>
        <w:tab/>
        <w:t>(e)</w:t>
      </w:r>
      <w:r>
        <w:tab/>
        <w:t>the Commissioner exempts an instrument from duty; or</w:t>
      </w:r>
    </w:p>
    <w:p>
      <w:pPr>
        <w:pStyle w:val="Indenta"/>
        <w:spacing w:before="60"/>
      </w:pPr>
      <w:r>
        <w:tab/>
        <w:t>(f)</w:t>
      </w:r>
      <w:r>
        <w:tab/>
        <w:t>the Commissioner allows a reduction of the duty payable on an instrument,</w:t>
      </w:r>
    </w:p>
    <w:p>
      <w:pPr>
        <w:pStyle w:val="Subsection"/>
        <w:spacing w:before="60"/>
      </w:pPr>
      <w:r>
        <w:tab/>
      </w:r>
      <w:r>
        <w:tab/>
        <w:t>then the Commissioner must —</w:t>
      </w:r>
    </w:p>
    <w:p>
      <w:pPr>
        <w:pStyle w:val="Indenta"/>
        <w:spacing w:before="60"/>
      </w:pPr>
      <w:r>
        <w:tab/>
        <w:t>(g)</w:t>
      </w:r>
      <w:r>
        <w:tab/>
        <w:t>endorse the instrument accordingly; or</w:t>
      </w:r>
    </w:p>
    <w:p>
      <w:pPr>
        <w:pStyle w:val="Indenta"/>
        <w:spacing w:before="60"/>
      </w:pPr>
      <w:r>
        <w:tab/>
        <w:t>(h)</w:t>
      </w:r>
      <w:r>
        <w:tab/>
        <w:t>if the instrument is dealt with under a special tax return arrangement — issue a stamp duty certificate in accordance with the arrangement.</w:t>
      </w:r>
    </w:p>
    <w:p>
      <w:pPr>
        <w:pStyle w:val="Subsection"/>
        <w:spacing w:before="140"/>
      </w:pPr>
      <w:r>
        <w:tab/>
        <w:t>(2)</w:t>
      </w:r>
      <w:r>
        <w:tab/>
        <w:t>An endorsement under subsection (1) must be made in a prescribed manner.</w:t>
      </w:r>
    </w:p>
    <w:p>
      <w:pPr>
        <w:pStyle w:val="Subsection"/>
        <w:spacing w:before="140"/>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spacing w:before="120"/>
      </w:pPr>
      <w:r>
        <w:tab/>
        <w:t>(4)</w:t>
      </w:r>
      <w:r>
        <w:tab/>
        <w:t>The grant or transfer of a licence (as defined in section 76B) is taken to be endorsed in accordance with subsection (1) when it is granted or transferred.</w:t>
      </w:r>
    </w:p>
    <w:p>
      <w:pPr>
        <w:pStyle w:val="Subsection"/>
        <w:spacing w:before="120"/>
      </w:pPr>
      <w:r>
        <w:tab/>
        <w:t>(5)</w:t>
      </w:r>
      <w:r>
        <w:tab/>
        <w:t xml:space="preserve">An endorsement of an instrument, or on a copy or memorandum of an instrument, in a prescribed manner is </w:t>
      </w:r>
      <w:r>
        <w:rPr>
          <w:iCs/>
        </w:rPr>
        <w:t>prima facie</w:t>
      </w:r>
      <w:r>
        <w:t xml:space="preserve"> evidence of the matters noted in the endorsement.</w:t>
      </w:r>
    </w:p>
    <w:p>
      <w:pPr>
        <w:pStyle w:val="Subsection"/>
        <w:spacing w:before="120"/>
      </w:pPr>
      <w:r>
        <w:tab/>
        <w:t>(6)</w:t>
      </w:r>
      <w:r>
        <w:tab/>
        <w:t>The Commissioner may, at the request of a party to an instrument specified in the Third Schedule, endorse the instrument as exempt from duty.</w:t>
      </w:r>
    </w:p>
    <w:p>
      <w:pPr>
        <w:pStyle w:val="Subsection"/>
        <w:spacing w:before="120"/>
      </w:pPr>
      <w:r>
        <w:tab/>
        <w:t>(7)</w:t>
      </w:r>
      <w:r>
        <w:tab/>
        <w:t>In this Act, a reference to endorsing an instrument is to be read as including a reference to issuing a stamp duty certificate in relation to the instrument under subsection (1)(h).</w:t>
      </w:r>
    </w:p>
    <w:p>
      <w:pPr>
        <w:pStyle w:val="Footnotesection"/>
      </w:pPr>
      <w:r>
        <w:tab/>
        <w:t>[Section 17C inserted by No. 2 of 2003 s. 9; amended by No. 66 of 2003 s. 8; No. 12 of 2004 s. 23.]</w:t>
      </w:r>
    </w:p>
    <w:p>
      <w:pPr>
        <w:pStyle w:val="Heading5"/>
        <w:rPr>
          <w:snapToGrid w:val="0"/>
        </w:rPr>
      </w:pPr>
      <w:bookmarkStart w:id="188" w:name="_Toc49223867"/>
      <w:bookmarkStart w:id="189" w:name="_Toc107054848"/>
      <w:bookmarkStart w:id="190" w:name="_Toc134854585"/>
      <w:bookmarkStart w:id="191" w:name="_Toc136841038"/>
      <w:r>
        <w:rPr>
          <w:rStyle w:val="CharSectno"/>
        </w:rPr>
        <w:t>18</w:t>
      </w:r>
      <w:r>
        <w:rPr>
          <w:snapToGrid w:val="0"/>
        </w:rPr>
        <w:t>.</w:t>
      </w:r>
      <w:r>
        <w:rPr>
          <w:snapToGrid w:val="0"/>
        </w:rPr>
        <w:tab/>
        <w:t>How instruments to be written</w:t>
      </w:r>
      <w:bookmarkEnd w:id="167"/>
      <w:bookmarkEnd w:id="168"/>
      <w:bookmarkEnd w:id="169"/>
      <w:bookmarkEnd w:id="188"/>
      <w:bookmarkEnd w:id="189"/>
      <w:bookmarkEnd w:id="190"/>
      <w:bookmarkEnd w:id="191"/>
    </w:p>
    <w:p>
      <w:pPr>
        <w:pStyle w:val="Subsection"/>
        <w:spacing w:before="120"/>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192" w:name="_Toc500739882"/>
      <w:bookmarkStart w:id="193" w:name="_Toc520101073"/>
      <w:bookmarkStart w:id="194" w:name="_Toc520532972"/>
      <w:bookmarkStart w:id="195" w:name="_Toc49223868"/>
      <w:bookmarkStart w:id="196" w:name="_Toc107054849"/>
      <w:bookmarkStart w:id="197" w:name="_Toc134854586"/>
      <w:bookmarkStart w:id="198" w:name="_Toc136841039"/>
      <w:r>
        <w:rPr>
          <w:rStyle w:val="CharSectno"/>
        </w:rPr>
        <w:t>19</w:t>
      </w:r>
      <w:r>
        <w:rPr>
          <w:snapToGrid w:val="0"/>
        </w:rPr>
        <w:t>.</w:t>
      </w:r>
      <w:r>
        <w:rPr>
          <w:snapToGrid w:val="0"/>
        </w:rPr>
        <w:tab/>
        <w:t>Instruments to be separately charged with duty in certain cases</w:t>
      </w:r>
      <w:bookmarkEnd w:id="192"/>
      <w:bookmarkEnd w:id="193"/>
      <w:bookmarkEnd w:id="194"/>
      <w:bookmarkEnd w:id="195"/>
      <w:bookmarkEnd w:id="196"/>
      <w:bookmarkEnd w:id="197"/>
      <w:bookmarkEnd w:id="198"/>
    </w:p>
    <w:p>
      <w:pPr>
        <w:pStyle w:val="Subsection"/>
        <w:spacing w:before="120"/>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spacing w:before="60"/>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spacing w:before="80"/>
        <w:ind w:left="890" w:hanging="890"/>
      </w:pPr>
      <w:bookmarkStart w:id="199" w:name="_Toc500739883"/>
      <w:bookmarkStart w:id="200" w:name="_Toc520101074"/>
      <w:bookmarkStart w:id="201" w:name="_Toc520532973"/>
      <w:r>
        <w:tab/>
        <w:t>[Section 19 amended by No. 2 of 2003 s. 11.]</w:t>
      </w:r>
    </w:p>
    <w:p>
      <w:pPr>
        <w:pStyle w:val="Heading5"/>
        <w:spacing w:before="180"/>
      </w:pPr>
      <w:bookmarkStart w:id="202" w:name="_Toc49223869"/>
      <w:bookmarkStart w:id="203" w:name="_Toc107054850"/>
      <w:bookmarkStart w:id="204" w:name="_Toc134854587"/>
      <w:bookmarkStart w:id="205" w:name="_Toc136841040"/>
      <w:bookmarkEnd w:id="199"/>
      <w:bookmarkEnd w:id="200"/>
      <w:bookmarkEnd w:id="201"/>
      <w:r>
        <w:rPr>
          <w:rStyle w:val="CharSectno"/>
        </w:rPr>
        <w:t>20</w:t>
      </w:r>
      <w:r>
        <w:t>.</w:t>
      </w:r>
      <w:r>
        <w:tab/>
        <w:t>Reduction of duty if matter not carried into effect</w:t>
      </w:r>
      <w:bookmarkEnd w:id="202"/>
      <w:bookmarkEnd w:id="203"/>
      <w:bookmarkEnd w:id="204"/>
      <w:bookmarkEnd w:id="205"/>
    </w:p>
    <w:p>
      <w:pPr>
        <w:pStyle w:val="Subsection"/>
        <w:spacing w:before="100"/>
      </w:pPr>
      <w:r>
        <w:tab/>
        <w:t>(1)</w:t>
      </w:r>
      <w:r>
        <w:tab/>
        <w:t>The amount of duty payable on an instrument is reduced by the amount of the full duty payable in respect of a matter included in the instrument if the Commissioner is satisfied that —</w:t>
      </w:r>
    </w:p>
    <w:p>
      <w:pPr>
        <w:pStyle w:val="Indenta"/>
        <w:spacing w:before="60"/>
      </w:pPr>
      <w:r>
        <w:tab/>
        <w:t>(a)</w:t>
      </w:r>
      <w:r>
        <w:tab/>
        <w:t>the matter has not been, and will not be, carried into effect;</w:t>
      </w:r>
    </w:p>
    <w:p>
      <w:pPr>
        <w:pStyle w:val="Indenta"/>
        <w:spacing w:before="60"/>
      </w:pPr>
      <w:r>
        <w:tab/>
        <w:t>(b)</w:t>
      </w:r>
      <w:r>
        <w:tab/>
        <w:t>the taxpayer has not received, and will not receive, a benefit in respect of the matter; and</w:t>
      </w:r>
    </w:p>
    <w:p>
      <w:pPr>
        <w:pStyle w:val="Indenta"/>
        <w:spacing w:before="60"/>
      </w:pPr>
      <w:r>
        <w:tab/>
        <w:t>(c)</w:t>
      </w:r>
      <w:r>
        <w:tab/>
        <w:t>the reason the matter was not, and will not be, carried into effect is not merely to enable a replacement transaction to be entered into.</w:t>
      </w:r>
    </w:p>
    <w:p>
      <w:pPr>
        <w:pStyle w:val="Subsection"/>
        <w:spacing w:before="100"/>
      </w:pPr>
      <w:r>
        <w:tab/>
        <w:t>(2)</w:t>
      </w:r>
      <w:r>
        <w:tab/>
        <w:t>The amount of duty payable on an instrument is reduced in accordance with subsection (3) if the Commissioner is satisfied that —</w:t>
      </w:r>
    </w:p>
    <w:p>
      <w:pPr>
        <w:pStyle w:val="Indenta"/>
        <w:spacing w:before="60"/>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spacing w:before="60"/>
      </w:pPr>
      <w:r>
        <w:tab/>
        <w:t>(c)</w:t>
      </w:r>
      <w:r>
        <w:tab/>
        <w:t>the value of the benefit is less than the full duty payable in respect of the matter; and</w:t>
      </w:r>
    </w:p>
    <w:p>
      <w:pPr>
        <w:pStyle w:val="Indenta"/>
        <w:spacing w:before="60"/>
      </w:pPr>
      <w:r>
        <w:tab/>
        <w:t>(d)</w:t>
      </w:r>
      <w:r>
        <w:tab/>
        <w:t>the reason the matter was not, and will not be, carried into effect is not merely to enable a replacement transaction to be entered into.</w:t>
      </w:r>
    </w:p>
    <w:p>
      <w:pPr>
        <w:pStyle w:val="Subsection"/>
        <w:spacing w:before="100"/>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spacing w:before="70"/>
      </w:pPr>
      <w:r>
        <w:tab/>
        <w:t>(a)</w:t>
      </w:r>
      <w:r>
        <w:tab/>
        <w:t>by the taxpayer; or</w:t>
      </w:r>
    </w:p>
    <w:p>
      <w:pPr>
        <w:pStyle w:val="Indenta"/>
        <w:spacing w:before="70"/>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spacing w:before="70"/>
      </w:pPr>
      <w:r>
        <w:tab/>
        <w:t>(a)</w:t>
      </w:r>
      <w:r>
        <w:tab/>
        <w:t>the instrument provides for or contemplates the conveyance or transfer of the property to an independent person;</w:t>
      </w:r>
    </w:p>
    <w:p>
      <w:pPr>
        <w:pStyle w:val="Indenta"/>
        <w:spacing w:before="70"/>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spacing w:before="60"/>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spacing w:before="60"/>
      </w:pPr>
      <w:r>
        <w:tab/>
      </w:r>
      <w:r>
        <w:rPr>
          <w:b/>
        </w:rPr>
        <w:t>“</w:t>
      </w:r>
      <w:r>
        <w:rPr>
          <w:rStyle w:val="CharDefText"/>
        </w:rPr>
        <w:t>independent person</w:t>
      </w:r>
      <w:r>
        <w:rPr>
          <w:b/>
        </w:rPr>
        <w:t>”</w:t>
      </w:r>
      <w:r>
        <w:t>, in relation to a matter, means a person who is not a party to the instrument that includes the matter;</w:t>
      </w:r>
    </w:p>
    <w:p>
      <w:pPr>
        <w:pStyle w:val="Defstart"/>
        <w:spacing w:before="60"/>
      </w:pPr>
      <w:r>
        <w:tab/>
      </w:r>
      <w:r>
        <w:rPr>
          <w:b/>
        </w:rPr>
        <w:t>“</w:t>
      </w:r>
      <w:r>
        <w:rPr>
          <w:rStyle w:val="CharDefText"/>
        </w:rPr>
        <w:t>party</w:t>
      </w:r>
      <w:r>
        <w:rPr>
          <w:b/>
        </w:rPr>
        <w:t>”</w:t>
      </w:r>
      <w:r>
        <w:t>, in relation to a matter, means a person who is a party to the instrument that includes the matter;</w:t>
      </w:r>
    </w:p>
    <w:p>
      <w:pPr>
        <w:pStyle w:val="Defstart"/>
        <w:spacing w:before="60"/>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spacing w:before="80"/>
        <w:ind w:left="890" w:hanging="890"/>
      </w:pPr>
      <w:r>
        <w:tab/>
        <w:t>[Section 20 inserted by No. 2 of 2003 s. 12.]</w:t>
      </w:r>
    </w:p>
    <w:p>
      <w:pPr>
        <w:pStyle w:val="Ednotesection"/>
        <w:spacing w:before="160"/>
        <w:ind w:left="890" w:hanging="890"/>
      </w:pPr>
      <w:r>
        <w:t>[</w:t>
      </w:r>
      <w:r>
        <w:rPr>
          <w:b/>
        </w:rPr>
        <w:t>21.</w:t>
      </w:r>
      <w:r>
        <w:rPr>
          <w:b/>
        </w:rPr>
        <w:tab/>
      </w:r>
      <w:r>
        <w:t>Repealed by No. 2 of 2003 s. 12.]</w:t>
      </w:r>
    </w:p>
    <w:p>
      <w:pPr>
        <w:pStyle w:val="Ednotesection"/>
        <w:spacing w:before="160"/>
        <w:ind w:left="890" w:hanging="890"/>
      </w:pPr>
      <w:r>
        <w:t>[</w:t>
      </w:r>
      <w:r>
        <w:rPr>
          <w:b/>
        </w:rPr>
        <w:t>22.</w:t>
      </w:r>
      <w:r>
        <w:tab/>
        <w:t>Repealed by No. 37 of 1979 s. 18.]</w:t>
      </w:r>
    </w:p>
    <w:p>
      <w:pPr>
        <w:pStyle w:val="Ednotesection"/>
        <w:spacing w:before="160"/>
        <w:ind w:left="890" w:hanging="890"/>
      </w:pPr>
      <w:r>
        <w:t>[</w:t>
      </w:r>
      <w:r>
        <w:rPr>
          <w:b/>
        </w:rPr>
        <w:t>23.</w:t>
      </w:r>
      <w:r>
        <w:rPr>
          <w:b/>
        </w:rPr>
        <w:tab/>
      </w:r>
      <w:r>
        <w:t>Repealed by No. 2 of 2003 s. 12.]</w:t>
      </w:r>
    </w:p>
    <w:p>
      <w:pPr>
        <w:pStyle w:val="Ednotesection"/>
        <w:spacing w:before="160"/>
        <w:ind w:left="890" w:hanging="890"/>
      </w:pPr>
      <w:r>
        <w:t>[</w:t>
      </w:r>
      <w:r>
        <w:rPr>
          <w:b/>
        </w:rPr>
        <w:t>24, 25.</w:t>
      </w:r>
      <w:r>
        <w:tab/>
        <w:t>Repealed by No. 37 of 1979 s. 20.]</w:t>
      </w:r>
    </w:p>
    <w:p>
      <w:pPr>
        <w:pStyle w:val="Heading5"/>
        <w:keepNext w:val="0"/>
        <w:keepLines w:val="0"/>
        <w:spacing w:before="180"/>
        <w:rPr>
          <w:snapToGrid w:val="0"/>
        </w:rPr>
      </w:pPr>
      <w:bookmarkStart w:id="206" w:name="_Toc500739886"/>
      <w:bookmarkStart w:id="207" w:name="_Toc520101077"/>
      <w:bookmarkStart w:id="208" w:name="_Toc520532976"/>
      <w:bookmarkStart w:id="209" w:name="_Toc49223870"/>
      <w:bookmarkStart w:id="210" w:name="_Toc107054851"/>
      <w:bookmarkStart w:id="211" w:name="_Toc134854588"/>
      <w:bookmarkStart w:id="212" w:name="_Toc136841041"/>
      <w:r>
        <w:rPr>
          <w:rStyle w:val="CharSectno"/>
        </w:rPr>
        <w:t>26</w:t>
      </w:r>
      <w:r>
        <w:rPr>
          <w:snapToGrid w:val="0"/>
        </w:rPr>
        <w:t>.</w:t>
      </w:r>
      <w:r>
        <w:rPr>
          <w:snapToGrid w:val="0"/>
        </w:rPr>
        <w:tab/>
        <w:t>Facts and circumstances affecting duty to be set forth in instrument</w:t>
      </w:r>
      <w:bookmarkEnd w:id="206"/>
      <w:bookmarkEnd w:id="207"/>
      <w:bookmarkEnd w:id="208"/>
      <w:bookmarkEnd w:id="209"/>
      <w:bookmarkEnd w:id="210"/>
      <w:bookmarkEnd w:id="211"/>
      <w:bookmarkEnd w:id="212"/>
    </w:p>
    <w:p>
      <w:pPr>
        <w:pStyle w:val="Subsection"/>
        <w:spacing w:before="12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6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60"/>
      </w:pPr>
      <w:r>
        <w:tab/>
        <w:t>Penalty: $20 000.</w:t>
      </w:r>
    </w:p>
    <w:p>
      <w:pPr>
        <w:pStyle w:val="Subsection"/>
        <w:spacing w:before="120"/>
        <w:rPr>
          <w:snapToGrid w:val="0"/>
        </w:rPr>
      </w:pPr>
      <w:r>
        <w:rPr>
          <w:snapToGrid w:val="0"/>
        </w:rPr>
        <w:tab/>
        <w:t>(1a)</w:t>
      </w:r>
      <w:r>
        <w:rPr>
          <w:snapToGrid w:val="0"/>
        </w:rPr>
        <w:tab/>
        <w:t xml:space="preserve">For the purposes of subsection (1) the suppression from an instrument of any fact or circumstance referred to in subsection (1) or the inclusion therein of any matter that is known to be false in a material particular is </w:t>
      </w:r>
      <w:r>
        <w:rPr>
          <w:iCs/>
          <w:snapToGrid w:val="0"/>
        </w:rPr>
        <w:t>prima facie</w:t>
      </w:r>
      <w:r>
        <w:rPr>
          <w:snapToGrid w:val="0"/>
        </w:rPr>
        <w:t xml:space="preserve"> evidence of intent to defraud the Crown.</w:t>
      </w:r>
    </w:p>
    <w:p>
      <w:pPr>
        <w:pStyle w:val="Subsection"/>
        <w:spacing w:before="12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60"/>
      </w:pPr>
      <w:r>
        <w:tab/>
        <w:t>Penalty: $20 000.</w:t>
      </w:r>
    </w:p>
    <w:p>
      <w:pPr>
        <w:pStyle w:val="Subsection"/>
        <w:spacing w:before="12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spacing w:before="80"/>
        <w:ind w:left="890" w:hanging="890"/>
        <w:rPr>
          <w:spacing w:val="-4"/>
        </w:rPr>
      </w:pPr>
      <w:r>
        <w:rPr>
          <w:spacing w:val="-4"/>
        </w:rPr>
        <w:tab/>
        <w:t>[Section 26 amended by No. 113 of 1965 s. 4(1); No. 37 of 1979 s. 21; No. 81 of 1984 s. 8; No. 33 of 1987 s. 8; No. 20 of 1996 s. 18; No. 2 of 2003 s. 13.]</w:t>
      </w:r>
    </w:p>
    <w:p>
      <w:pPr>
        <w:pStyle w:val="Heading5"/>
        <w:spacing w:before="180"/>
        <w:rPr>
          <w:snapToGrid w:val="0"/>
        </w:rPr>
      </w:pPr>
      <w:bookmarkStart w:id="213" w:name="_Toc500739887"/>
      <w:bookmarkStart w:id="214" w:name="_Toc520101078"/>
      <w:bookmarkStart w:id="215" w:name="_Toc520532977"/>
      <w:bookmarkStart w:id="216" w:name="_Toc49223871"/>
      <w:bookmarkStart w:id="217" w:name="_Toc107054852"/>
      <w:bookmarkStart w:id="218" w:name="_Toc134854589"/>
      <w:bookmarkStart w:id="219" w:name="_Toc136841042"/>
      <w:r>
        <w:rPr>
          <w:rStyle w:val="CharSectno"/>
        </w:rPr>
        <w:t>27</w:t>
      </w:r>
      <w:r>
        <w:rPr>
          <w:snapToGrid w:val="0"/>
        </w:rPr>
        <w:t>.</w:t>
      </w:r>
      <w:r>
        <w:rPr>
          <w:snapToGrid w:val="0"/>
        </w:rPr>
        <w:tab/>
        <w:t>Instruments not stamped inadmissible except in criminal proceedings</w:t>
      </w:r>
      <w:bookmarkEnd w:id="213"/>
      <w:bookmarkEnd w:id="214"/>
      <w:bookmarkEnd w:id="215"/>
      <w:bookmarkEnd w:id="216"/>
      <w:bookmarkEnd w:id="217"/>
      <w:bookmarkEnd w:id="218"/>
      <w:bookmarkEnd w:id="219"/>
    </w:p>
    <w:p>
      <w:pPr>
        <w:pStyle w:val="Subsection"/>
        <w:spacing w:before="120"/>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spacing w:before="120"/>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spacing w:before="60"/>
        <w:rPr>
          <w:snapToGrid w:val="0"/>
        </w:rPr>
      </w:pPr>
      <w:r>
        <w:rPr>
          <w:snapToGrid w:val="0"/>
        </w:rPr>
        <w:tab/>
        <w:t>(a)</w:t>
      </w:r>
      <w:r>
        <w:rPr>
          <w:snapToGrid w:val="0"/>
        </w:rPr>
        <w:tab/>
        <w:t>in the case where the instrument or document is pleaded, if before the pleading is filed in the court, the person —</w:t>
      </w:r>
    </w:p>
    <w:p>
      <w:pPr>
        <w:pStyle w:val="Indenti"/>
        <w:spacing w:before="60"/>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spacing w:before="60"/>
        <w:rPr>
          <w:snapToGrid w:val="0"/>
        </w:rPr>
      </w:pPr>
      <w:r>
        <w:rPr>
          <w:snapToGrid w:val="0"/>
        </w:rPr>
        <w:tab/>
        <w:t>(ii)</w:t>
      </w:r>
      <w:r>
        <w:rPr>
          <w:snapToGrid w:val="0"/>
        </w:rPr>
        <w:tab/>
        <w:t>has lodged —</w:t>
      </w:r>
    </w:p>
    <w:p>
      <w:pPr>
        <w:pStyle w:val="IndentI0"/>
        <w:spacing w:before="60"/>
        <w:rPr>
          <w:snapToGrid w:val="0"/>
        </w:rPr>
      </w:pPr>
      <w:r>
        <w:rPr>
          <w:snapToGrid w:val="0"/>
        </w:rPr>
        <w:tab/>
        <w:t>(I)</w:t>
      </w:r>
      <w:r>
        <w:rPr>
          <w:snapToGrid w:val="0"/>
        </w:rPr>
        <w:tab/>
        <w:t>the instrument or a copy of the instrument; or</w:t>
      </w:r>
    </w:p>
    <w:p>
      <w:pPr>
        <w:pStyle w:val="IndentI0"/>
        <w:spacing w:before="60"/>
        <w:rPr>
          <w:snapToGrid w:val="0"/>
        </w:rPr>
      </w:pPr>
      <w:r>
        <w:rPr>
          <w:snapToGrid w:val="0"/>
        </w:rPr>
        <w:tab/>
        <w:t>(II)</w:t>
      </w:r>
      <w:r>
        <w:rPr>
          <w:snapToGrid w:val="0"/>
        </w:rPr>
        <w:tab/>
        <w:t>the document or a copy of the document,</w:t>
      </w:r>
    </w:p>
    <w:p>
      <w:pPr>
        <w:pStyle w:val="Indenti"/>
        <w:spacing w:before="60"/>
        <w:rPr>
          <w:snapToGrid w:val="0"/>
        </w:rPr>
      </w:pPr>
      <w:r>
        <w:rPr>
          <w:snapToGrid w:val="0"/>
        </w:rPr>
        <w:tab/>
      </w:r>
      <w:r>
        <w:rPr>
          <w:snapToGrid w:val="0"/>
        </w:rPr>
        <w:tab/>
        <w:t>as the case requires, with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where the instrument or document is tendered, if the court is satisfied that the person —</w:t>
      </w:r>
    </w:p>
    <w:p>
      <w:pPr>
        <w:pStyle w:val="Indenti"/>
        <w:spacing w:before="60"/>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spacing w:before="60"/>
        <w:rPr>
          <w:snapToGrid w:val="0"/>
        </w:rPr>
      </w:pPr>
      <w:r>
        <w:rPr>
          <w:snapToGrid w:val="0"/>
        </w:rPr>
        <w:tab/>
        <w:t>(ii)</w:t>
      </w:r>
      <w:r>
        <w:rPr>
          <w:snapToGrid w:val="0"/>
        </w:rPr>
        <w:tab/>
        <w:t>has lodged, or will in accordance with arrangements approved by the court, lodge —</w:t>
      </w:r>
    </w:p>
    <w:p>
      <w:pPr>
        <w:pStyle w:val="IndentI0"/>
        <w:spacing w:before="60"/>
        <w:rPr>
          <w:snapToGrid w:val="0"/>
        </w:rPr>
      </w:pPr>
      <w:r>
        <w:rPr>
          <w:snapToGrid w:val="0"/>
        </w:rPr>
        <w:tab/>
        <w:t>(I)</w:t>
      </w:r>
      <w:r>
        <w:rPr>
          <w:snapToGrid w:val="0"/>
        </w:rPr>
        <w:tab/>
        <w:t>the instrument or a copy of the instrument; or</w:t>
      </w:r>
    </w:p>
    <w:p>
      <w:pPr>
        <w:pStyle w:val="IndentI0"/>
        <w:keepNext/>
        <w:spacing w:before="60"/>
        <w:rPr>
          <w:snapToGrid w:val="0"/>
        </w:rPr>
      </w:pPr>
      <w:r>
        <w:rPr>
          <w:snapToGrid w:val="0"/>
        </w:rPr>
        <w:tab/>
        <w:t>(II)</w:t>
      </w:r>
      <w:r>
        <w:rPr>
          <w:snapToGrid w:val="0"/>
        </w:rPr>
        <w:tab/>
        <w:t>the document or a copy of the document,</w:t>
      </w:r>
    </w:p>
    <w:p>
      <w:pPr>
        <w:pStyle w:val="Indenti"/>
        <w:keepNext/>
        <w:spacing w:before="60"/>
        <w:rPr>
          <w:snapToGrid w:val="0"/>
        </w:rPr>
      </w:pPr>
      <w:r>
        <w:rPr>
          <w:snapToGrid w:val="0"/>
        </w:rPr>
        <w:tab/>
      </w:r>
      <w:r>
        <w:rPr>
          <w:snapToGrid w:val="0"/>
        </w:rPr>
        <w:tab/>
        <w:t>as the case requires, with the Commissioner.</w:t>
      </w:r>
    </w:p>
    <w:p>
      <w:pPr>
        <w:pStyle w:val="Footnotesection"/>
        <w:keepLines w:val="0"/>
        <w:spacing w:before="10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spacing w:before="180"/>
        <w:rPr>
          <w:snapToGrid w:val="0"/>
        </w:rPr>
      </w:pPr>
      <w:bookmarkStart w:id="220" w:name="_Toc500739888"/>
      <w:bookmarkStart w:id="221" w:name="_Toc520101079"/>
      <w:bookmarkStart w:id="222" w:name="_Toc520532978"/>
      <w:bookmarkStart w:id="223" w:name="_Toc49223872"/>
      <w:bookmarkStart w:id="224" w:name="_Toc107054853"/>
      <w:bookmarkStart w:id="225" w:name="_Toc134854590"/>
      <w:bookmarkStart w:id="226" w:name="_Toc136841043"/>
      <w:r>
        <w:rPr>
          <w:rStyle w:val="CharSectno"/>
        </w:rPr>
        <w:t>28</w:t>
      </w:r>
      <w:r>
        <w:rPr>
          <w:snapToGrid w:val="0"/>
        </w:rPr>
        <w:t>.</w:t>
      </w:r>
      <w:r>
        <w:rPr>
          <w:snapToGrid w:val="0"/>
        </w:rPr>
        <w:tab/>
        <w:t>No instrument to be registered, etc. unless stamped</w:t>
      </w:r>
      <w:bookmarkEnd w:id="220"/>
      <w:bookmarkEnd w:id="221"/>
      <w:bookmarkEnd w:id="222"/>
      <w:bookmarkEnd w:id="223"/>
      <w:bookmarkEnd w:id="224"/>
      <w:bookmarkEnd w:id="225"/>
      <w:bookmarkEnd w:id="226"/>
    </w:p>
    <w:p>
      <w:pPr>
        <w:pStyle w:val="Subsection"/>
        <w:spacing w:before="120"/>
        <w:rPr>
          <w:snapToGrid w:val="0"/>
        </w:rPr>
      </w:pPr>
      <w:r>
        <w:rPr>
          <w:snapToGrid w:val="0"/>
        </w:rPr>
        <w:tab/>
        <w:t>(1)</w:t>
      </w:r>
      <w:r>
        <w:rPr>
          <w:snapToGrid w:val="0"/>
        </w:rPr>
        <w:tab/>
        <w:t>A person whose duty it is to receive, register, enrol, enter or record —</w:t>
      </w:r>
    </w:p>
    <w:p>
      <w:pPr>
        <w:pStyle w:val="Indenta"/>
        <w:spacing w:before="60"/>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spacing w:before="60"/>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spacing w:before="110"/>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spacing w:before="110"/>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227" w:name="_Toc500739889"/>
      <w:bookmarkStart w:id="228" w:name="_Toc520101080"/>
      <w:bookmarkStart w:id="229" w:name="_Toc520532979"/>
      <w:bookmarkStart w:id="230" w:name="_Toc49223873"/>
      <w:bookmarkStart w:id="231" w:name="_Toc107054854"/>
      <w:bookmarkStart w:id="232" w:name="_Toc134854591"/>
      <w:bookmarkStart w:id="233" w:name="_Toc136841044"/>
      <w:r>
        <w:rPr>
          <w:rStyle w:val="CharSectno"/>
        </w:rPr>
        <w:t>29</w:t>
      </w:r>
      <w:r>
        <w:rPr>
          <w:snapToGrid w:val="0"/>
        </w:rPr>
        <w:t>.</w:t>
      </w:r>
      <w:r>
        <w:rPr>
          <w:snapToGrid w:val="0"/>
        </w:rPr>
        <w:tab/>
      </w:r>
      <w:bookmarkEnd w:id="227"/>
      <w:bookmarkEnd w:id="228"/>
      <w:bookmarkEnd w:id="229"/>
      <w:r>
        <w:rPr>
          <w:snapToGrid w:val="0"/>
        </w:rPr>
        <w:t>Production of instruments as evidence</w:t>
      </w:r>
      <w:bookmarkEnd w:id="230"/>
      <w:bookmarkEnd w:id="231"/>
      <w:bookmarkEnd w:id="232"/>
      <w:bookmarkEnd w:id="233"/>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234" w:name="_Toc500739890"/>
      <w:bookmarkStart w:id="235" w:name="_Toc520101081"/>
      <w:bookmarkStart w:id="236" w:name="_Toc520532980"/>
      <w:bookmarkStart w:id="237" w:name="_Toc49223874"/>
      <w:bookmarkStart w:id="238" w:name="_Toc107054855"/>
      <w:bookmarkStart w:id="239" w:name="_Toc134854592"/>
      <w:bookmarkStart w:id="240" w:name="_Toc136841045"/>
      <w:r>
        <w:rPr>
          <w:rStyle w:val="CharSectno"/>
        </w:rPr>
        <w:t>30</w:t>
      </w:r>
      <w:r>
        <w:rPr>
          <w:snapToGrid w:val="0"/>
        </w:rPr>
        <w:t>.</w:t>
      </w:r>
      <w:r>
        <w:rPr>
          <w:snapToGrid w:val="0"/>
        </w:rPr>
        <w:tab/>
        <w:t>Secondary evidence</w:t>
      </w:r>
      <w:bookmarkEnd w:id="234"/>
      <w:bookmarkEnd w:id="235"/>
      <w:bookmarkEnd w:id="236"/>
      <w:bookmarkEnd w:id="237"/>
      <w:bookmarkEnd w:id="238"/>
      <w:bookmarkEnd w:id="239"/>
      <w:bookmarkEnd w:id="240"/>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241" w:name="_Toc107054856"/>
      <w:bookmarkStart w:id="242" w:name="_Toc134854593"/>
      <w:bookmarkStart w:id="243" w:name="_Toc136841046"/>
      <w:r>
        <w:rPr>
          <w:rStyle w:val="CharSectno"/>
        </w:rPr>
        <w:t>31</w:t>
      </w:r>
      <w:r>
        <w:t>.</w:t>
      </w:r>
      <w:r>
        <w:tab/>
        <w:t>Stamped instruments as evidence</w:t>
      </w:r>
      <w:bookmarkEnd w:id="241"/>
      <w:bookmarkEnd w:id="242"/>
      <w:bookmarkEnd w:id="243"/>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pPr>
      <w:r>
        <w:tab/>
        <w:t>[Section 31 inserted by No. 12 of 2004 s. 24.]</w:t>
      </w:r>
    </w:p>
    <w:p>
      <w:pPr>
        <w:pStyle w:val="Ednotesection"/>
      </w:pPr>
      <w:bookmarkStart w:id="244" w:name="_Toc500739896"/>
      <w:bookmarkStart w:id="245" w:name="_Toc520101087"/>
      <w:bookmarkStart w:id="246" w:name="_Toc520532986"/>
      <w:r>
        <w:t>[</w:t>
      </w:r>
      <w:r>
        <w:rPr>
          <w:b/>
        </w:rPr>
        <w:t>31AA-31AC, 31A.</w:t>
      </w:r>
      <w:r>
        <w:tab/>
        <w:t>Repealed by No. 2 of 2003 s. 18.]</w:t>
      </w:r>
    </w:p>
    <w:p>
      <w:pPr>
        <w:pStyle w:val="Heading5"/>
      </w:pPr>
      <w:bookmarkStart w:id="247" w:name="_Toc107054857"/>
      <w:bookmarkStart w:id="248" w:name="_Toc134854594"/>
      <w:bookmarkStart w:id="249" w:name="_Toc136841047"/>
      <w:bookmarkStart w:id="250" w:name="_Toc49223876"/>
      <w:bookmarkStart w:id="251" w:name="_Toc500739897"/>
      <w:bookmarkStart w:id="252" w:name="_Toc520101088"/>
      <w:bookmarkStart w:id="253" w:name="_Toc520532987"/>
      <w:bookmarkEnd w:id="244"/>
      <w:bookmarkEnd w:id="245"/>
      <w:bookmarkEnd w:id="246"/>
      <w:r>
        <w:rPr>
          <w:rStyle w:val="CharSectno"/>
        </w:rPr>
        <w:t>31B</w:t>
      </w:r>
      <w:r>
        <w:t>.</w:t>
      </w:r>
      <w:r>
        <w:tab/>
        <w:t>Payment of duty on statements in absence of dutiable instrument</w:t>
      </w:r>
      <w:bookmarkEnd w:id="247"/>
      <w:bookmarkEnd w:id="248"/>
      <w:bookmarkEnd w:id="249"/>
    </w:p>
    <w:p>
      <w:pPr>
        <w:pStyle w:val="Subsection"/>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pPr>
      <w:r>
        <w:rPr>
          <w:spacing w:val="-4"/>
        </w:rPr>
        <w:tab/>
        <w:t>(4)</w:t>
      </w:r>
      <w:r>
        <w:rPr>
          <w:spacing w:val="-4"/>
        </w:rPr>
        <w:tab/>
        <w:t>A merger of a corporation (</w:t>
      </w:r>
      <w:r>
        <w:rPr>
          <w:b/>
          <w:spacing w:val="-4"/>
        </w:rPr>
        <w:t>“</w:t>
      </w:r>
      <w:r>
        <w:rPr>
          <w:rStyle w:val="CharDefText"/>
          <w:spacing w:val="-4"/>
        </w:rPr>
        <w:t>Company A</w:t>
      </w:r>
      <w:r>
        <w:rPr>
          <w:b/>
          <w:spacing w:val="-4"/>
        </w:rPr>
        <w:t>”</w:t>
      </w:r>
      <w:r>
        <w:rPr>
          <w:spacing w:val="-4"/>
        </w:rPr>
        <w:t>) with and into another corporation (</w:t>
      </w:r>
      <w:r>
        <w:rPr>
          <w:b/>
          <w:spacing w:val="-4"/>
        </w:rPr>
        <w:t>“</w:t>
      </w:r>
      <w:r>
        <w:rPr>
          <w:rStyle w:val="CharDefText"/>
          <w:spacing w:val="-4"/>
        </w:rPr>
        <w:t>Company B</w:t>
      </w:r>
      <w:r>
        <w:rPr>
          <w:b/>
          <w:spacing w:val="-4"/>
        </w:rPr>
        <w:t>”</w:t>
      </w:r>
      <w:r>
        <w:rPr>
          <w:spacing w:val="-4"/>
        </w:rPr>
        <w:t>) in circumstances where neither subsection (5) nor subsection (6) applies is taken to effect an acquisition by Company B of the beneficial ownership of the property of Company A, and this section applies to that acquisition.</w:t>
      </w:r>
    </w:p>
    <w:p>
      <w:pPr>
        <w:pStyle w:val="Subsection"/>
      </w:pPr>
      <w:r>
        <w:tab/>
        <w:t>(5)</w:t>
      </w:r>
      <w:r>
        <w:tab/>
        <w:t xml:space="preserve">A merger of corporations (the </w:t>
      </w:r>
      <w:r>
        <w:rPr>
          <w:b/>
        </w:rPr>
        <w:t>“</w:t>
      </w:r>
      <w:r>
        <w:rPr>
          <w:rStyle w:val="CharDefText"/>
          <w:spacing w:val="-4"/>
        </w:rPr>
        <w:t>merging corporations</w:t>
      </w:r>
      <w:r>
        <w:rPr>
          <w:b/>
        </w:rPr>
        <w:t>”</w:t>
      </w:r>
      <w:r>
        <w:t>) in circumstances where another corporation (</w:t>
      </w:r>
      <w:r>
        <w:rPr>
          <w:b/>
        </w:rPr>
        <w:t>“</w:t>
      </w:r>
      <w:r>
        <w:rPr>
          <w:rStyle w:val="CharDefText"/>
        </w:rPr>
        <w:t>C</w:t>
      </w:r>
      <w:r>
        <w:rPr>
          <w:rStyle w:val="CharDefText"/>
          <w:spacing w:val="-4"/>
        </w:rPr>
        <w:t>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pPr>
      <w:r>
        <w:tab/>
        <w:t>(6)</w:t>
      </w:r>
      <w:r>
        <w:tab/>
        <w:t xml:space="preserve">A merger of corporations (the </w:t>
      </w:r>
      <w:r>
        <w:rPr>
          <w:b/>
        </w:rPr>
        <w:t>“</w:t>
      </w:r>
      <w:r>
        <w:rPr>
          <w:rStyle w:val="CharDefText"/>
          <w:spacing w:val="-4"/>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pPr>
      <w:r>
        <w:tab/>
        <w:t>(7)</w:t>
      </w:r>
      <w:r>
        <w:tab/>
        <w:t>Where —</w:t>
      </w:r>
    </w:p>
    <w:p>
      <w:pPr>
        <w:pStyle w:val="Indenta"/>
      </w:pPr>
      <w:r>
        <w:tab/>
        <w:t>(a)</w:t>
      </w:r>
      <w:r>
        <w:tab/>
        <w:t>section 73F applies to a transaction relating to a business licence; and</w:t>
      </w:r>
    </w:p>
    <w:p>
      <w:pPr>
        <w:pStyle w:val="Indenta"/>
      </w:pPr>
      <w:r>
        <w:tab/>
        <w:t>(b)</w:t>
      </w:r>
      <w:r>
        <w:tab/>
        <w:t>the business licence is of a kind prescribed for the purposes of this section,</w:t>
      </w:r>
    </w:p>
    <w:p>
      <w:pPr>
        <w:pStyle w:val="Subsection"/>
      </w:pPr>
      <w:r>
        <w:tab/>
      </w:r>
      <w:r>
        <w:tab/>
        <w:t>the transaction is taken to be an acquisition to which this section applies.</w:t>
      </w:r>
    </w:p>
    <w:p>
      <w:pPr>
        <w:pStyle w:val="Subsection"/>
      </w:pPr>
      <w:r>
        <w:tab/>
        <w:t>(8)</w:t>
      </w:r>
      <w:r>
        <w:tab/>
        <w:t>This section does not apply to —</w:t>
      </w:r>
    </w:p>
    <w:p>
      <w:pPr>
        <w:pStyle w:val="Indenta"/>
      </w:pPr>
      <w:r>
        <w:tab/>
        <w:t>(a)</w:t>
      </w:r>
      <w:r>
        <w:tab/>
        <w:t>an acquisition effected by an instrument that is —</w:t>
      </w:r>
    </w:p>
    <w:p>
      <w:pPr>
        <w:pStyle w:val="Indenti"/>
        <w:spacing w:before="60"/>
      </w:pPr>
      <w:r>
        <w:tab/>
        <w:t>(i)</w:t>
      </w:r>
      <w:r>
        <w:tab/>
        <w:t>chargeable with duty under item 4 or 6 of the Second Schedule; or</w:t>
      </w:r>
    </w:p>
    <w:p>
      <w:pPr>
        <w:pStyle w:val="Indenti"/>
        <w:spacing w:before="60"/>
      </w:pPr>
      <w:r>
        <w:tab/>
        <w:t>(ii)</w:t>
      </w:r>
      <w:r>
        <w:tab/>
        <w:t>exempt from duty;</w:t>
      </w:r>
    </w:p>
    <w:p>
      <w:pPr>
        <w:pStyle w:val="Indenta"/>
      </w:pPr>
      <w:r>
        <w:tab/>
        <w:t>(b)</w:t>
      </w:r>
      <w:r>
        <w:tab/>
        <w:t>an acquisition evidenced by an instrument if the instrument is chargeable with duty under item 4 of the Second Schedule;</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spacing w:before="60"/>
      </w:pPr>
      <w:r>
        <w:tab/>
        <w:t>(i)</w:t>
      </w:r>
      <w:r>
        <w:tab/>
        <w:t>exempt from duty; or</w:t>
      </w:r>
    </w:p>
    <w:p>
      <w:pPr>
        <w:pStyle w:val="Indenti"/>
        <w:spacing w:before="60"/>
      </w:pPr>
      <w:r>
        <w:tab/>
        <w:t>(ii)</w:t>
      </w:r>
      <w:r>
        <w:tab/>
        <w:t>chargeable with duty under item 6 of the Second Schedule;</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chargeable with duty under item 6 of the Second Schedule;</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pPr>
      <w:r>
        <w:tab/>
        <w:t>(ii)</w:t>
      </w:r>
      <w:r>
        <w:tab/>
        <w:t>a transaction to which subsection (1) applies.</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w:t>
      </w:r>
    </w:p>
    <w:p>
      <w:pPr>
        <w:pStyle w:val="Heading5"/>
      </w:pPr>
      <w:bookmarkStart w:id="254" w:name="_Toc107054858"/>
      <w:bookmarkStart w:id="255" w:name="_Toc134854595"/>
      <w:bookmarkStart w:id="256" w:name="_Toc136841048"/>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50"/>
      <w:bookmarkEnd w:id="254"/>
      <w:bookmarkEnd w:id="255"/>
      <w:bookmarkEnd w:id="256"/>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pPr>
      <w:r>
        <w:t>[</w:t>
      </w:r>
      <w:r>
        <w:rPr>
          <w:b/>
        </w:rPr>
        <w:t>31D.</w:t>
      </w:r>
      <w:r>
        <w:tab/>
        <w:t>Repealed by No. 2 of 2003 s. 21.]</w:t>
      </w:r>
    </w:p>
    <w:p>
      <w:pPr>
        <w:pStyle w:val="Ednotesection"/>
      </w:pPr>
      <w:bookmarkStart w:id="257" w:name="_Toc500739898"/>
      <w:bookmarkStart w:id="258" w:name="_Toc520101089"/>
      <w:bookmarkStart w:id="259" w:name="_Toc520532988"/>
      <w:bookmarkEnd w:id="251"/>
      <w:bookmarkEnd w:id="252"/>
      <w:bookmarkEnd w:id="253"/>
      <w:r>
        <w:t>[</w:t>
      </w:r>
      <w:r>
        <w:rPr>
          <w:b/>
        </w:rPr>
        <w:t>32.</w:t>
      </w:r>
      <w:r>
        <w:tab/>
        <w:t>Repealed by No. 2 of 2003 s. 22.]</w:t>
      </w:r>
    </w:p>
    <w:p>
      <w:pPr>
        <w:pStyle w:val="Heading5"/>
      </w:pPr>
      <w:bookmarkStart w:id="260" w:name="_Toc49223877"/>
      <w:bookmarkStart w:id="261" w:name="_Toc107054859"/>
      <w:bookmarkStart w:id="262" w:name="_Toc134854596"/>
      <w:bookmarkStart w:id="263" w:name="_Toc136841049"/>
      <w:bookmarkStart w:id="264" w:name="_Toc500739899"/>
      <w:bookmarkStart w:id="265" w:name="_Toc520101090"/>
      <w:bookmarkStart w:id="266" w:name="_Toc520532989"/>
      <w:bookmarkEnd w:id="257"/>
      <w:bookmarkEnd w:id="258"/>
      <w:bookmarkEnd w:id="259"/>
      <w:r>
        <w:rPr>
          <w:rStyle w:val="CharSectno"/>
        </w:rPr>
        <w:t>33</w:t>
      </w:r>
      <w:r>
        <w:t>.</w:t>
      </w:r>
      <w:r>
        <w:tab/>
        <w:t>Valuation of land or other property</w:t>
      </w:r>
      <w:bookmarkEnd w:id="260"/>
      <w:bookmarkEnd w:id="261"/>
      <w:bookmarkEnd w:id="262"/>
      <w:bookmarkEnd w:id="263"/>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 xml:space="preserve">in the case of an instrument chargeable under item 19 of the </w:t>
      </w:r>
      <w:r>
        <w:rPr>
          <w:spacing w:val="-4"/>
        </w:rPr>
        <w:t xml:space="preserve">Second Schedule — </w:t>
      </w:r>
      <w:r>
        <w:t>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267" w:name="_Toc500739900"/>
      <w:bookmarkStart w:id="268" w:name="_Toc520101091"/>
      <w:bookmarkStart w:id="269" w:name="_Toc520532990"/>
      <w:bookmarkEnd w:id="264"/>
      <w:bookmarkEnd w:id="265"/>
      <w:bookmarkEnd w:id="266"/>
      <w:r>
        <w:t>[</w:t>
      </w:r>
      <w:r>
        <w:rPr>
          <w:b/>
        </w:rPr>
        <w:t>33A.</w:t>
      </w:r>
      <w:r>
        <w:tab/>
        <w:t>Repealed by No. 2 of 2003 s. 22.]</w:t>
      </w:r>
    </w:p>
    <w:p>
      <w:pPr>
        <w:pStyle w:val="Heading5"/>
      </w:pPr>
      <w:bookmarkStart w:id="270" w:name="_Toc49223878"/>
      <w:bookmarkStart w:id="271" w:name="_Toc107054860"/>
      <w:bookmarkStart w:id="272" w:name="_Toc134854597"/>
      <w:bookmarkStart w:id="273" w:name="_Toc136841050"/>
      <w:bookmarkStart w:id="274" w:name="_Toc500739901"/>
      <w:bookmarkStart w:id="275" w:name="_Toc520101092"/>
      <w:bookmarkStart w:id="276" w:name="_Toc520532991"/>
      <w:bookmarkEnd w:id="267"/>
      <w:bookmarkEnd w:id="268"/>
      <w:bookmarkEnd w:id="269"/>
      <w:r>
        <w:rPr>
          <w:rStyle w:val="CharSectno"/>
        </w:rPr>
        <w:t>34</w:t>
      </w:r>
      <w:r>
        <w:t>.</w:t>
      </w:r>
      <w:r>
        <w:tab/>
        <w:t>Duplicates and counterparts</w:t>
      </w:r>
      <w:bookmarkEnd w:id="270"/>
      <w:bookmarkEnd w:id="271"/>
      <w:bookmarkEnd w:id="272"/>
      <w:bookmarkEnd w:id="273"/>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277" w:name="_Toc500739904"/>
      <w:bookmarkStart w:id="278" w:name="_Toc520101095"/>
      <w:bookmarkStart w:id="279" w:name="_Toc520532994"/>
      <w:bookmarkEnd w:id="274"/>
      <w:bookmarkEnd w:id="275"/>
      <w:bookmarkEnd w:id="276"/>
      <w:r>
        <w:t>[</w:t>
      </w:r>
      <w:r>
        <w:rPr>
          <w:b/>
        </w:rPr>
        <w:t>34A</w:t>
      </w:r>
      <w:r>
        <w:rPr>
          <w:b/>
        </w:rPr>
        <w:noBreakHyphen/>
        <w:t>34C.</w:t>
      </w:r>
      <w:r>
        <w:tab/>
        <w:t>Repealed by No. 2 of 2003 s. 22.]</w:t>
      </w:r>
    </w:p>
    <w:p>
      <w:pPr>
        <w:pStyle w:val="Heading5"/>
      </w:pPr>
      <w:bookmarkStart w:id="280" w:name="_Toc49223879"/>
      <w:bookmarkStart w:id="281" w:name="_Toc107054861"/>
      <w:bookmarkStart w:id="282" w:name="_Toc134854598"/>
      <w:bookmarkStart w:id="283" w:name="_Toc136841051"/>
      <w:bookmarkStart w:id="284" w:name="_Toc500739905"/>
      <w:bookmarkStart w:id="285" w:name="_Toc520101096"/>
      <w:bookmarkStart w:id="286" w:name="_Toc520532995"/>
      <w:bookmarkEnd w:id="277"/>
      <w:bookmarkEnd w:id="278"/>
      <w:bookmarkEnd w:id="279"/>
      <w:r>
        <w:rPr>
          <w:rStyle w:val="CharSectno"/>
        </w:rPr>
        <w:t>35</w:t>
      </w:r>
      <w:r>
        <w:t>.</w:t>
      </w:r>
      <w:r>
        <w:tab/>
        <w:t>Unlodged transfers — independent person’s obligations</w:t>
      </w:r>
      <w:bookmarkEnd w:id="280"/>
      <w:bookmarkEnd w:id="281"/>
      <w:bookmarkEnd w:id="282"/>
      <w:bookmarkEnd w:id="283"/>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spacing w:before="120"/>
      </w:pPr>
      <w:r>
        <w:tab/>
        <w:t>(a)</w:t>
      </w:r>
      <w:r>
        <w:tab/>
        <w:t>the nature of the transfer;</w:t>
      </w:r>
    </w:p>
    <w:p>
      <w:pPr>
        <w:pStyle w:val="Indenta"/>
        <w:spacing w:before="120"/>
      </w:pPr>
      <w:r>
        <w:tab/>
        <w:t>(b)</w:t>
      </w:r>
      <w:r>
        <w:tab/>
        <w:t>the names of the parties to the transfer;</w:t>
      </w:r>
    </w:p>
    <w:p>
      <w:pPr>
        <w:pStyle w:val="Indenta"/>
        <w:spacing w:before="120"/>
      </w:pPr>
      <w:r>
        <w:tab/>
        <w:t>(c)</w:t>
      </w:r>
      <w:r>
        <w:tab/>
        <w:t>the date on which the transfer was first executed;</w:t>
      </w:r>
    </w:p>
    <w:p>
      <w:pPr>
        <w:pStyle w:val="Indenta"/>
        <w:spacing w:before="120"/>
      </w:pPr>
      <w:r>
        <w:tab/>
        <w:t>(d)</w:t>
      </w:r>
      <w:r>
        <w:tab/>
        <w:t>a summary of the principal terms of the transfer (such as the property to which it relates and the consideration paid or payable); and</w:t>
      </w:r>
    </w:p>
    <w:p>
      <w:pPr>
        <w:pStyle w:val="Indenta"/>
        <w:spacing w:before="120"/>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pPr>
      <w:r>
        <w:tab/>
        <w:t>[Section 35 inserted by No. 2 of 2003 s. 22; amended by No. 66 of 2003 s. 107(3).]</w:t>
      </w:r>
    </w:p>
    <w:p>
      <w:pPr>
        <w:pStyle w:val="Heading5"/>
        <w:rPr>
          <w:snapToGrid w:val="0"/>
        </w:rPr>
      </w:pPr>
      <w:bookmarkStart w:id="287" w:name="_Toc49223880"/>
      <w:bookmarkStart w:id="288" w:name="_Toc107054862"/>
      <w:bookmarkStart w:id="289" w:name="_Toc134854599"/>
      <w:bookmarkStart w:id="290" w:name="_Toc136841052"/>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284"/>
      <w:bookmarkEnd w:id="285"/>
      <w:bookmarkEnd w:id="286"/>
      <w:bookmarkEnd w:id="287"/>
      <w:bookmarkEnd w:id="288"/>
      <w:bookmarkEnd w:id="289"/>
      <w:bookmarkEnd w:id="290"/>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spacing w:before="80"/>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291" w:name="_Toc500739907"/>
      <w:bookmarkStart w:id="292" w:name="_Toc520101098"/>
      <w:bookmarkStart w:id="293" w:name="_Toc520532997"/>
      <w:r>
        <w:t>[</w:t>
      </w:r>
      <w:r>
        <w:rPr>
          <w:b/>
        </w:rPr>
        <w:t>37.</w:t>
      </w:r>
      <w:r>
        <w:tab/>
        <w:t>Repealed by No. 2 of 2003 s. 24.]</w:t>
      </w:r>
    </w:p>
    <w:p>
      <w:pPr>
        <w:pStyle w:val="Heading5"/>
      </w:pPr>
      <w:bookmarkStart w:id="294" w:name="_Toc49223881"/>
      <w:bookmarkStart w:id="295" w:name="_Toc107054863"/>
      <w:bookmarkStart w:id="296" w:name="_Toc134854600"/>
      <w:bookmarkStart w:id="297" w:name="_Toc136841053"/>
      <w:bookmarkStart w:id="298" w:name="_Toc500739908"/>
      <w:bookmarkStart w:id="299" w:name="_Toc520101099"/>
      <w:bookmarkStart w:id="300" w:name="_Toc520532998"/>
      <w:bookmarkEnd w:id="291"/>
      <w:bookmarkEnd w:id="292"/>
      <w:bookmarkEnd w:id="293"/>
      <w:r>
        <w:rPr>
          <w:rStyle w:val="CharSectno"/>
        </w:rPr>
        <w:t>38</w:t>
      </w:r>
      <w:r>
        <w:t>.</w:t>
      </w:r>
      <w:r>
        <w:tab/>
        <w:t>Instruments held in escrow</w:t>
      </w:r>
      <w:bookmarkEnd w:id="294"/>
      <w:bookmarkEnd w:id="295"/>
      <w:bookmarkEnd w:id="296"/>
      <w:bookmarkEnd w:id="297"/>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01" w:name="_Toc107054864"/>
      <w:bookmarkStart w:id="302" w:name="_Toc134854601"/>
      <w:bookmarkStart w:id="303" w:name="_Toc136841054"/>
      <w:r>
        <w:rPr>
          <w:rStyle w:val="CharSectno"/>
        </w:rPr>
        <w:t>39</w:t>
      </w:r>
      <w:r>
        <w:t>.</w:t>
      </w:r>
      <w:r>
        <w:tab/>
        <w:t>Determining whether securities are situated in Western Australia</w:t>
      </w:r>
      <w:bookmarkEnd w:id="301"/>
      <w:bookmarkEnd w:id="302"/>
      <w:bookmarkEnd w:id="303"/>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298"/>
    <w:bookmarkEnd w:id="299"/>
    <w:bookmarkEnd w:id="300"/>
    <w:p>
      <w:pPr>
        <w:pStyle w:val="Ednotesection"/>
      </w:pPr>
      <w:r>
        <w:t>[</w:t>
      </w:r>
      <w:r>
        <w:rPr>
          <w:b/>
        </w:rPr>
        <w:t>39A.</w:t>
      </w:r>
      <w:r>
        <w:tab/>
        <w:t>Repealed by No. 2 of 2003 s. 24.]</w:t>
      </w:r>
    </w:p>
    <w:p>
      <w:pPr>
        <w:pStyle w:val="Heading5"/>
      </w:pPr>
      <w:bookmarkStart w:id="304" w:name="_Toc107054865"/>
      <w:bookmarkStart w:id="305" w:name="_Toc134854602"/>
      <w:bookmarkStart w:id="306" w:name="_Toc136841055"/>
      <w:r>
        <w:rPr>
          <w:rStyle w:val="CharSectno"/>
        </w:rPr>
        <w:t>40</w:t>
      </w:r>
      <w:r>
        <w:t>.</w:t>
      </w:r>
      <w:r>
        <w:tab/>
        <w:t>Valuing a marketable security or right in respect of shares</w:t>
      </w:r>
      <w:bookmarkEnd w:id="304"/>
      <w:bookmarkEnd w:id="305"/>
      <w:bookmarkEnd w:id="306"/>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pPr>
      <w:r>
        <w:t>[Part IIIA: s. 50E repealed by No. 42 of 1993 s. 4;</w:t>
      </w:r>
      <w:r>
        <w:br/>
        <w:t>s. 49</w:t>
      </w:r>
      <w:r>
        <w:noBreakHyphen/>
        <w:t>50D repealed by No. 66 of 2003 s. 16(1).]</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 and heading.</w:t>
      </w:r>
      <w:r>
        <w:rPr>
          <w:b/>
        </w:rPr>
        <w:tab/>
      </w:r>
      <w:r>
        <w:t>Repealed by No. 96 of 1976 s. 4.]</w:t>
      </w:r>
    </w:p>
    <w:p>
      <w:pPr>
        <w:pStyle w:val="Ednotesection"/>
        <w:ind w:left="890" w:hanging="890"/>
      </w:pPr>
      <w:r>
        <w:t>[</w:t>
      </w:r>
      <w:r>
        <w:rPr>
          <w:b/>
        </w:rPr>
        <w:t>62 and heading.</w:t>
      </w:r>
      <w:r>
        <w:tab/>
        <w:t>Repealed by No. 96 of 1976 s. 5.]</w:t>
      </w:r>
    </w:p>
    <w:p>
      <w:pPr>
        <w:pStyle w:val="Heading2"/>
      </w:pPr>
      <w:bookmarkStart w:id="307" w:name="_Toc58902538"/>
      <w:bookmarkStart w:id="308" w:name="_Toc76899535"/>
      <w:bookmarkStart w:id="309" w:name="_Toc78090437"/>
      <w:bookmarkStart w:id="310" w:name="_Toc88886805"/>
      <w:bookmarkStart w:id="311" w:name="_Toc90443421"/>
      <w:bookmarkStart w:id="312" w:name="_Toc90452772"/>
      <w:bookmarkStart w:id="313" w:name="_Toc100029363"/>
      <w:bookmarkStart w:id="314" w:name="_Toc100031436"/>
      <w:bookmarkStart w:id="315" w:name="_Toc100458495"/>
      <w:bookmarkStart w:id="316" w:name="_Toc101671911"/>
      <w:bookmarkStart w:id="317" w:name="_Toc101672168"/>
      <w:bookmarkStart w:id="318" w:name="_Toc102799194"/>
      <w:bookmarkStart w:id="319" w:name="_Toc102981868"/>
      <w:bookmarkStart w:id="320" w:name="_Toc103403181"/>
      <w:bookmarkStart w:id="321" w:name="_Toc103403438"/>
      <w:bookmarkStart w:id="322" w:name="_Toc103747437"/>
      <w:bookmarkStart w:id="323" w:name="_Toc107054866"/>
      <w:bookmarkStart w:id="324" w:name="_Toc113874313"/>
      <w:bookmarkStart w:id="325" w:name="_Toc113956729"/>
      <w:bookmarkStart w:id="326" w:name="_Toc116717285"/>
      <w:bookmarkStart w:id="327" w:name="_Toc116813312"/>
      <w:bookmarkStart w:id="328" w:name="_Toc122332964"/>
      <w:bookmarkStart w:id="329" w:name="_Toc122861934"/>
      <w:bookmarkStart w:id="330" w:name="_Toc122862530"/>
      <w:bookmarkStart w:id="331" w:name="_Toc122921137"/>
      <w:bookmarkStart w:id="332" w:name="_Toc122921397"/>
      <w:bookmarkStart w:id="333" w:name="_Toc122947342"/>
      <w:bookmarkStart w:id="334" w:name="_Toc124046178"/>
      <w:bookmarkStart w:id="335" w:name="_Toc130266499"/>
      <w:bookmarkStart w:id="336" w:name="_Toc130266775"/>
      <w:bookmarkStart w:id="337" w:name="_Toc131382878"/>
      <w:bookmarkStart w:id="338" w:name="_Toc133812259"/>
      <w:bookmarkStart w:id="339" w:name="_Toc133920206"/>
      <w:bookmarkStart w:id="340" w:name="_Toc134854603"/>
      <w:bookmarkStart w:id="341" w:name="_Toc134854879"/>
      <w:bookmarkStart w:id="342" w:name="_Toc136841056"/>
      <w:r>
        <w:rPr>
          <w:rStyle w:val="CharPartNo"/>
        </w:rPr>
        <w:t>Part IIIB</w:t>
      </w:r>
      <w:r>
        <w:rPr>
          <w:rStyle w:val="CharDivNo"/>
        </w:rPr>
        <w:t> </w:t>
      </w:r>
      <w:r>
        <w:t>—</w:t>
      </w:r>
      <w:r>
        <w:rPr>
          <w:rStyle w:val="CharDivText"/>
        </w:rPr>
        <w:t> </w:t>
      </w:r>
      <w:r>
        <w:rPr>
          <w:rStyle w:val="CharPartText"/>
        </w:rPr>
        <w:t>Conveyances and transfers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tabs>
          <w:tab w:val="left" w:pos="923"/>
        </w:tabs>
        <w:rPr>
          <w:snapToGrid w:val="0"/>
        </w:rPr>
      </w:pPr>
      <w:r>
        <w:rPr>
          <w:snapToGrid w:val="0"/>
        </w:rPr>
        <w:tab/>
        <w:t>[Heading inserted by No. 37 of 1979 s. 40.]</w:t>
      </w:r>
    </w:p>
    <w:p>
      <w:pPr>
        <w:pStyle w:val="Ednotedivision"/>
      </w:pPr>
      <w:bookmarkStart w:id="343" w:name="_Toc500739918"/>
      <w:bookmarkStart w:id="344" w:name="_Toc520101109"/>
      <w:bookmarkStart w:id="345" w:name="_Toc520533008"/>
      <w:r>
        <w:t>[Heading deleted by No. 2 of 2003 s. 31.]</w:t>
      </w:r>
    </w:p>
    <w:p>
      <w:pPr>
        <w:pStyle w:val="Heading5"/>
        <w:rPr>
          <w:snapToGrid w:val="0"/>
        </w:rPr>
      </w:pPr>
      <w:bookmarkStart w:id="346" w:name="_Toc49223888"/>
      <w:bookmarkStart w:id="347" w:name="_Toc107054867"/>
      <w:bookmarkStart w:id="348" w:name="_Toc134854604"/>
      <w:bookmarkStart w:id="349" w:name="_Toc136841057"/>
      <w:r>
        <w:rPr>
          <w:rStyle w:val="CharSectno"/>
        </w:rPr>
        <w:t>63</w:t>
      </w:r>
      <w:r>
        <w:rPr>
          <w:snapToGrid w:val="0"/>
        </w:rPr>
        <w:t>.</w:t>
      </w:r>
      <w:r>
        <w:rPr>
          <w:snapToGrid w:val="0"/>
        </w:rPr>
        <w:tab/>
        <w:t>Interpretation in Part IIIB</w:t>
      </w:r>
      <w:bookmarkEnd w:id="343"/>
      <w:bookmarkEnd w:id="344"/>
      <w:bookmarkEnd w:id="345"/>
      <w:bookmarkEnd w:id="346"/>
      <w:bookmarkEnd w:id="347"/>
      <w:bookmarkEnd w:id="348"/>
      <w:bookmarkEnd w:id="349"/>
    </w:p>
    <w:p>
      <w:pPr>
        <w:pStyle w:val="Subsection"/>
        <w:spacing w:before="140"/>
        <w:rPr>
          <w:snapToGrid w:val="0"/>
        </w:rPr>
      </w:pPr>
      <w:r>
        <w:rPr>
          <w:snapToGrid w:val="0"/>
        </w:rPr>
        <w:tab/>
        <w:t>(1)</w:t>
      </w:r>
      <w:r>
        <w:rPr>
          <w:snapToGrid w:val="0"/>
        </w:rPr>
        <w:tab/>
        <w:t>In this Part —</w:t>
      </w:r>
    </w:p>
    <w:p>
      <w:pPr>
        <w:pStyle w:val="Defstart"/>
        <w:spacing w:before="60"/>
      </w:pPr>
      <w:r>
        <w:rPr>
          <w:b/>
        </w:rPr>
        <w:tab/>
        <w:t>“</w:t>
      </w:r>
      <w:r>
        <w:rPr>
          <w:rStyle w:val="CharDefText"/>
        </w:rPr>
        <w:t>conveyance on sale</w:t>
      </w:r>
      <w:r>
        <w:rPr>
          <w:b/>
        </w:rPr>
        <w:t>”</w:t>
      </w:r>
      <w:r>
        <w:t xml:space="preserve"> includes —</w:t>
      </w:r>
    </w:p>
    <w:p>
      <w:pPr>
        <w:pStyle w:val="Defpara"/>
        <w:spacing w:before="60"/>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spacing w:before="60"/>
      </w:pPr>
      <w:r>
        <w:tab/>
        <w:t>(b)</w:t>
      </w:r>
      <w:r>
        <w:tab/>
        <w:t>every transfer or assignment of a lease of any lands; and</w:t>
      </w:r>
    </w:p>
    <w:p>
      <w:pPr>
        <w:pStyle w:val="Defpara"/>
        <w:spacing w:before="60"/>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spacing w:before="60"/>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spacing w:before="60"/>
      </w:pPr>
      <w:r>
        <w:tab/>
        <w:t>(a)</w:t>
      </w:r>
      <w:r>
        <w:tab/>
        <w:t>a transfer or other disposition of the unit;</w:t>
      </w:r>
    </w:p>
    <w:p>
      <w:pPr>
        <w:pStyle w:val="Defpara"/>
        <w:spacing w:before="60"/>
      </w:pPr>
      <w:r>
        <w:tab/>
        <w:t>(b)</w:t>
      </w:r>
      <w:r>
        <w:tab/>
        <w:t>the allotment or issue of the unit;</w:t>
      </w:r>
    </w:p>
    <w:p>
      <w:pPr>
        <w:pStyle w:val="Defpara"/>
        <w:spacing w:before="60"/>
      </w:pPr>
      <w:r>
        <w:tab/>
        <w:t>(c)</w:t>
      </w:r>
      <w:r>
        <w:tab/>
        <w:t>the redemption, surrender or cancellation of the unit;</w:t>
      </w:r>
    </w:p>
    <w:p>
      <w:pPr>
        <w:pStyle w:val="Defpara"/>
        <w:spacing w:before="60"/>
      </w:pPr>
      <w:r>
        <w:tab/>
        <w:t>(d)</w:t>
      </w:r>
      <w:r>
        <w:tab/>
        <w:t>the variation, abrogation or alteration of a right pertaining to the unit with respect to the capital of the unit trust scheme; and</w:t>
      </w:r>
    </w:p>
    <w:p>
      <w:pPr>
        <w:pStyle w:val="Defpara"/>
        <w:spacing w:before="60"/>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spacing w:before="60"/>
      </w:pPr>
      <w:r>
        <w:rPr>
          <w:b/>
        </w:rPr>
        <w:tab/>
        <w:t>“</w:t>
      </w:r>
      <w:r>
        <w:rPr>
          <w:rStyle w:val="CharDefText"/>
        </w:rPr>
        <w:t>start up period</w:t>
      </w:r>
      <w:r>
        <w:rPr>
          <w:b/>
        </w:rPr>
        <w:t>”</w:t>
      </w:r>
      <w:r>
        <w:t xml:space="preserve"> means —</w:t>
      </w:r>
    </w:p>
    <w:p>
      <w:pPr>
        <w:pStyle w:val="Defpara"/>
        <w:spacing w:before="60"/>
      </w:pPr>
      <w:r>
        <w:tab/>
        <w:t>(a)</w:t>
      </w:r>
      <w:r>
        <w:tab/>
        <w:t>in relation to a unit trust scheme except a provisional public trust to which paragraph (b) applies — the period of one year beginning on the day on which the first units under the scheme are issued; or</w:t>
      </w:r>
    </w:p>
    <w:p>
      <w:pPr>
        <w:pStyle w:val="Defpara"/>
        <w:spacing w:before="60"/>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spacing w:before="60"/>
      </w:pPr>
      <w:r>
        <w:tab/>
        <w:t>(i)</w:t>
      </w:r>
      <w:r>
        <w:tab/>
        <w:t>the day on which the first units under the scheme are issued; or</w:t>
      </w:r>
    </w:p>
    <w:p>
      <w:pPr>
        <w:pStyle w:val="Defsubpara"/>
        <w:spacing w:before="60"/>
      </w:pPr>
      <w:r>
        <w:tab/>
        <w:t>(ii)</w:t>
      </w:r>
      <w:r>
        <w:tab/>
        <w:t>the day of lodgement,</w:t>
      </w:r>
    </w:p>
    <w:p>
      <w:pPr>
        <w:pStyle w:val="Defpara"/>
        <w:spacing w:before="60"/>
      </w:pPr>
      <w:r>
        <w:tab/>
      </w:r>
      <w:r>
        <w:tab/>
        <w:t>whichever period is the later to expire;</w:t>
      </w:r>
    </w:p>
    <w:p>
      <w:pPr>
        <w:pStyle w:val="Defstart"/>
        <w:spacing w:before="60"/>
      </w:pPr>
      <w:r>
        <w:rPr>
          <w:b/>
        </w:rPr>
        <w:tab/>
        <w:t>“</w:t>
      </w:r>
      <w:r>
        <w:rPr>
          <w:rStyle w:val="CharDefText"/>
        </w:rPr>
        <w:t>transfer</w:t>
      </w:r>
      <w:r>
        <w:rPr>
          <w:b/>
        </w:rPr>
        <w:t>”</w:t>
      </w:r>
      <w:r>
        <w:t>, in relation to a unit, means a conveyance, transfer, or instrument chargeable as a conveyance;</w:t>
      </w:r>
    </w:p>
    <w:p>
      <w:pPr>
        <w:pStyle w:val="Defstart"/>
        <w:spacing w:before="60"/>
      </w:pPr>
      <w:r>
        <w:rPr>
          <w:b/>
        </w:rPr>
        <w:tab/>
        <w:t>“</w:t>
      </w:r>
      <w:r>
        <w:rPr>
          <w:rStyle w:val="CharDefText"/>
        </w:rPr>
        <w:t>trustee</w:t>
      </w:r>
      <w:r>
        <w:rPr>
          <w:b/>
        </w:rPr>
        <w:t>”</w:t>
      </w:r>
      <w:r>
        <w:t xml:space="preserve"> means, unless the contrary intention appears, a trustee who is not a discretionary trustee or a unit trustee;</w:t>
      </w:r>
    </w:p>
    <w:p>
      <w:pPr>
        <w:pStyle w:val="Defstart"/>
        <w:spacing w:before="60"/>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p>
    <w:p>
      <w:pPr>
        <w:pStyle w:val="Defstart"/>
        <w:spacing w:before="60"/>
      </w:pPr>
      <w:r>
        <w:rPr>
          <w:b/>
        </w:rPr>
        <w:tab/>
        <w:t>“</w:t>
      </w:r>
      <w:r>
        <w:rPr>
          <w:rStyle w:val="CharDefText"/>
        </w:rPr>
        <w:t>unit trustee</w:t>
      </w:r>
      <w:r>
        <w:rPr>
          <w:b/>
        </w:rPr>
        <w:t>”</w:t>
      </w:r>
      <w:r>
        <w:t xml:space="preserve"> means a trustee of a unit trust scheme; and</w:t>
      </w:r>
    </w:p>
    <w:p>
      <w:pPr>
        <w:pStyle w:val="Defstart"/>
        <w:spacing w:before="60"/>
      </w:pPr>
      <w:r>
        <w:rPr>
          <w:b/>
        </w:rPr>
        <w:tab/>
        <w:t>“</w:t>
      </w:r>
      <w:r>
        <w:rPr>
          <w:rStyle w:val="CharDefText"/>
        </w:rPr>
        <w:t>unit trust scheme</w:t>
      </w:r>
      <w:r>
        <w:rPr>
          <w:b/>
        </w:rPr>
        <w:t>”</w:t>
      </w:r>
      <w:r>
        <w:t xml:space="preserve"> means, unless the contrary intention appears, a private unit trust scheme within the meaning in subsection (2).</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spacing w:before="60"/>
      </w:pPr>
      <w:r>
        <w:tab/>
        <w:t>(a)</w:t>
      </w:r>
      <w:r>
        <w:tab/>
        <w:t>the ownership of the parcels of land;</w:t>
      </w:r>
    </w:p>
    <w:p>
      <w:pPr>
        <w:pStyle w:val="Indenta"/>
        <w:spacing w:before="60"/>
      </w:pPr>
      <w:r>
        <w:tab/>
        <w:t>(b)</w:t>
      </w:r>
      <w:r>
        <w:tab/>
        <w:t>the proximity of the parcels of land;</w:t>
      </w:r>
    </w:p>
    <w:p>
      <w:pPr>
        <w:pStyle w:val="Indenta"/>
        <w:spacing w:before="60"/>
      </w:pPr>
      <w:r>
        <w:tab/>
        <w:t>(c)</w:t>
      </w:r>
      <w:r>
        <w:tab/>
        <w:t>the use of the parcels of land; and</w:t>
      </w:r>
    </w:p>
    <w:p>
      <w:pPr>
        <w:pStyle w:val="Indenta"/>
        <w:spacing w:before="60"/>
      </w:pPr>
      <w:r>
        <w:tab/>
        <w:t>(d)</w:t>
      </w:r>
      <w:r>
        <w:tab/>
        <w:t>any other matter the Commissioner considers to be relevant.</w:t>
      </w:r>
    </w:p>
    <w:p>
      <w:pPr>
        <w:pStyle w:val="Subsection"/>
        <w:spacing w:before="140"/>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spacing w:before="120"/>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pPr>
      <w:r>
        <w:tab/>
        <w:t>(4)</w:t>
      </w:r>
      <w:r>
        <w:tab/>
        <w:t>For the purposes of subsection (2)(a) and (b)(ii) —</w:t>
      </w:r>
    </w:p>
    <w:p>
      <w:pPr>
        <w:pStyle w:val="Indenta"/>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rPr>
          <w:spacing w:val="-4"/>
        </w:rPr>
      </w:pPr>
      <w:r>
        <w:tab/>
        <w:t>(c)</w:t>
      </w:r>
      <w:r>
        <w:tab/>
        <w:t xml:space="preserve">a </w:t>
      </w:r>
      <w:r>
        <w:rPr>
          <w:b/>
        </w:rPr>
        <w:t>“</w:t>
      </w:r>
      <w:r>
        <w:rPr>
          <w:rStyle w:val="CharDefText"/>
        </w:rPr>
        <w:t>majority shareholder</w:t>
      </w:r>
      <w:r>
        <w:rPr>
          <w:b/>
        </w:rPr>
        <w:t>”</w:t>
      </w:r>
      <w:r>
        <w:rPr>
          <w:spacing w:val="-4"/>
        </w:rPr>
        <w:t xml:space="preserve">,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350" w:name="_Toc49223889"/>
      <w:bookmarkStart w:id="351" w:name="_Toc107054868"/>
      <w:bookmarkStart w:id="352" w:name="_Toc134854605"/>
      <w:bookmarkStart w:id="353" w:name="_Toc136841058"/>
      <w:bookmarkStart w:id="354" w:name="_Toc500739919"/>
      <w:bookmarkStart w:id="355" w:name="_Toc520101110"/>
      <w:bookmarkStart w:id="356" w:name="_Toc520533009"/>
      <w:r>
        <w:rPr>
          <w:rStyle w:val="CharSectno"/>
        </w:rPr>
        <w:t>63AA</w:t>
      </w:r>
      <w:r>
        <w:t>.</w:t>
      </w:r>
      <w:r>
        <w:tab/>
        <w:t>Registered unit trust schemes</w:t>
      </w:r>
      <w:bookmarkEnd w:id="350"/>
      <w:bookmarkEnd w:id="351"/>
      <w:bookmarkEnd w:id="352"/>
      <w:bookmarkEnd w:id="353"/>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rPr>
          <w:spacing w:val="-4"/>
        </w:rPr>
      </w:pPr>
      <w:r>
        <w:rPr>
          <w:spacing w:val="-4"/>
        </w:rPr>
        <w:tab/>
        <w:t>(b)</w:t>
      </w:r>
      <w:r>
        <w:rPr>
          <w:spacing w:val="-4"/>
        </w:rP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rPr>
          <w:spacing w:val="-4"/>
        </w:rPr>
        <w:tab/>
        <w:t>(3a)</w:t>
      </w:r>
      <w:r>
        <w:rPr>
          <w:spacing w:val="-4"/>
        </w:rP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357" w:name="_Toc49223890"/>
      <w:bookmarkStart w:id="358" w:name="_Toc107054869"/>
      <w:bookmarkStart w:id="359" w:name="_Toc134854606"/>
      <w:bookmarkStart w:id="360" w:name="_Toc136841059"/>
      <w:r>
        <w:rPr>
          <w:rStyle w:val="CharSectno"/>
        </w:rPr>
        <w:t>63AB</w:t>
      </w:r>
      <w:r>
        <w:t>.</w:t>
      </w:r>
      <w:r>
        <w:tab/>
        <w:t>Criteria for registration of a unit trust scheme</w:t>
      </w:r>
      <w:bookmarkEnd w:id="357"/>
      <w:bookmarkEnd w:id="358"/>
      <w:bookmarkEnd w:id="359"/>
      <w:bookmarkEnd w:id="360"/>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spacing w:before="140"/>
      </w:pPr>
      <w:r>
        <w:tab/>
        <w:t>(a)</w:t>
      </w:r>
      <w:r>
        <w:tab/>
        <w:t>the unit trustee, as trustee of the scheme, does not hold, and is not empowered or able to hold, any thing other than —</w:t>
      </w:r>
    </w:p>
    <w:p>
      <w:pPr>
        <w:pStyle w:val="Indenti"/>
        <w:spacing w:before="120"/>
      </w:pPr>
      <w:r>
        <w:tab/>
        <w:t>(i)</w:t>
      </w:r>
      <w:r>
        <w:tab/>
        <w:t>shares, or an option to acquire shares, in a company or corporation that is not a company to which section 76AI or 76ATB or a corporation to which section 76AP or 76ATI applies;</w:t>
      </w:r>
    </w:p>
    <w:p>
      <w:pPr>
        <w:pStyle w:val="Indenti"/>
        <w:spacing w:before="120"/>
      </w:pPr>
      <w:r>
        <w:tab/>
        <w:t>(ii)</w:t>
      </w:r>
      <w:r>
        <w:tab/>
        <w:t>units in a unit trust that are marketable securities;</w:t>
      </w:r>
    </w:p>
    <w:p>
      <w:pPr>
        <w:pStyle w:val="Indenti"/>
        <w:spacing w:before="120"/>
      </w:pPr>
      <w:r>
        <w:tab/>
        <w:t>(iii)</w:t>
      </w:r>
      <w:r>
        <w:tab/>
        <w:t>property that the Commissioner is satisfied is necessary for the administration of the scheme but which is not and cannot be used for the purpose of investment;</w:t>
      </w:r>
    </w:p>
    <w:p>
      <w:pPr>
        <w:pStyle w:val="Indenti"/>
        <w:spacing w:before="120"/>
      </w:pPr>
      <w:r>
        <w:tab/>
        <w:t>(iv)</w:t>
      </w:r>
      <w:r>
        <w:tab/>
        <w:t>cash or money in an account at call;</w:t>
      </w:r>
    </w:p>
    <w:p>
      <w:pPr>
        <w:pStyle w:val="Indenti"/>
        <w:spacing w:before="120"/>
      </w:pPr>
      <w:r>
        <w:tab/>
        <w:t>(v)</w:t>
      </w:r>
      <w:r>
        <w:tab/>
        <w:t>negotiable instruments, and money on deposit with any person;</w:t>
      </w:r>
    </w:p>
    <w:p>
      <w:pPr>
        <w:pStyle w:val="Indenti"/>
        <w:spacing w:before="120"/>
      </w:pPr>
      <w:r>
        <w:tab/>
        <w:t>(vi)</w:t>
      </w:r>
      <w:r>
        <w:tab/>
        <w:t>any thing prescribed for the purposes of this paragraph;</w:t>
      </w:r>
    </w:p>
    <w:p>
      <w:pPr>
        <w:pStyle w:val="Indenta"/>
        <w:spacing w:before="140"/>
      </w:pPr>
      <w:r>
        <w:tab/>
        <w:t>(b)</w:t>
      </w:r>
      <w:r>
        <w:tab/>
        <w:t>not less than 5 persons are holders of units under the scheme;</w:t>
      </w:r>
    </w:p>
    <w:p>
      <w:pPr>
        <w:pStyle w:val="Indenta"/>
        <w:spacing w:before="140"/>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spacing w:before="200"/>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361" w:name="_Toc49223891"/>
      <w:bookmarkStart w:id="362" w:name="_Toc107054870"/>
      <w:bookmarkStart w:id="363" w:name="_Toc134854607"/>
      <w:bookmarkStart w:id="364" w:name="_Toc136841060"/>
      <w:r>
        <w:rPr>
          <w:rStyle w:val="CharSectno"/>
        </w:rPr>
        <w:t>63AC</w:t>
      </w:r>
      <w:r>
        <w:t>.</w:t>
      </w:r>
      <w:r>
        <w:tab/>
        <w:t>Interim registration</w:t>
      </w:r>
      <w:bookmarkEnd w:id="361"/>
      <w:bookmarkEnd w:id="362"/>
      <w:bookmarkEnd w:id="363"/>
      <w:bookmarkEnd w:id="364"/>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spacing w:before="120"/>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365" w:name="_Toc49223892"/>
      <w:bookmarkStart w:id="366" w:name="_Toc107054871"/>
      <w:bookmarkStart w:id="367" w:name="_Toc134854608"/>
      <w:bookmarkStart w:id="368" w:name="_Toc136841061"/>
      <w:r>
        <w:rPr>
          <w:rStyle w:val="CharSectno"/>
        </w:rPr>
        <w:t>63AD</w:t>
      </w:r>
      <w:r>
        <w:t>.</w:t>
      </w:r>
      <w:r>
        <w:tab/>
        <w:t>Cancellation of registration or interim registration</w:t>
      </w:r>
      <w:bookmarkEnd w:id="365"/>
      <w:bookmarkEnd w:id="366"/>
      <w:bookmarkEnd w:id="367"/>
      <w:bookmarkEnd w:id="368"/>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369" w:name="_Toc107054872"/>
      <w:bookmarkStart w:id="370" w:name="_Toc134854609"/>
      <w:bookmarkStart w:id="371" w:name="_Toc136841062"/>
      <w:bookmarkStart w:id="372" w:name="_Toc49223893"/>
      <w:r>
        <w:rPr>
          <w:rStyle w:val="CharSectno"/>
        </w:rPr>
        <w:t>63ADA</w:t>
      </w:r>
      <w:r>
        <w:t>.</w:t>
      </w:r>
      <w:r>
        <w:tab/>
        <w:t>Registration of private unit trust scheme as provisional public trust</w:t>
      </w:r>
      <w:bookmarkEnd w:id="369"/>
      <w:bookmarkEnd w:id="370"/>
      <w:bookmarkEnd w:id="371"/>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373" w:name="_Toc107054873"/>
      <w:bookmarkStart w:id="374" w:name="_Toc134854610"/>
      <w:bookmarkStart w:id="375" w:name="_Toc136841063"/>
      <w:r>
        <w:rPr>
          <w:rStyle w:val="CharSectno"/>
        </w:rPr>
        <w:t>63ADB</w:t>
      </w:r>
      <w:r>
        <w:t>.</w:t>
      </w:r>
      <w:r>
        <w:tab/>
        <w:t>Cancellation of registration of provisional public trust</w:t>
      </w:r>
      <w:bookmarkEnd w:id="373"/>
      <w:bookmarkEnd w:id="374"/>
      <w:bookmarkEnd w:id="375"/>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376" w:name="_Toc107054874"/>
      <w:bookmarkStart w:id="377" w:name="_Toc134854611"/>
      <w:bookmarkStart w:id="378" w:name="_Toc136841064"/>
      <w:r>
        <w:rPr>
          <w:rStyle w:val="CharSectno"/>
        </w:rPr>
        <w:t>63AE</w:t>
      </w:r>
      <w:r>
        <w:t>.</w:t>
      </w:r>
      <w:r>
        <w:tab/>
        <w:t>Dutiable statement about disqualifying event and subsequent transfers or dispositions</w:t>
      </w:r>
      <w:bookmarkEnd w:id="372"/>
      <w:bookmarkEnd w:id="376"/>
      <w:bookmarkEnd w:id="377"/>
      <w:bookmarkEnd w:id="378"/>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r>
      <w:r>
        <w:rPr>
          <w:spacing w:val="-4"/>
        </w:rPr>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379" w:name="_Toc49223894"/>
      <w:bookmarkStart w:id="380" w:name="_Toc107054875"/>
      <w:bookmarkStart w:id="381" w:name="_Toc134854612"/>
      <w:bookmarkStart w:id="382" w:name="_Toc136841065"/>
      <w:r>
        <w:rPr>
          <w:rStyle w:val="CharSectno"/>
        </w:rPr>
        <w:t>63AF</w:t>
      </w:r>
      <w:r>
        <w:t>.</w:t>
      </w:r>
      <w:r>
        <w:tab/>
        <w:t>Duty chargeable on the dutiable statement</w:t>
      </w:r>
      <w:bookmarkEnd w:id="379"/>
      <w:bookmarkEnd w:id="380"/>
      <w:bookmarkEnd w:id="381"/>
      <w:bookmarkEnd w:id="382"/>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383" w:name="_Toc107054876"/>
      <w:bookmarkStart w:id="384" w:name="_Toc134854613"/>
      <w:bookmarkStart w:id="385" w:name="_Toc136841066"/>
      <w:bookmarkStart w:id="386" w:name="_Toc49223895"/>
      <w:r>
        <w:rPr>
          <w:rStyle w:val="CharSectno"/>
        </w:rPr>
        <w:t>63AG</w:t>
      </w:r>
      <w:r>
        <w:t>.</w:t>
      </w:r>
      <w:r>
        <w:tab/>
        <w:t>When unit trust scheme becomes private unit trust scheme</w:t>
      </w:r>
      <w:bookmarkEnd w:id="383"/>
      <w:bookmarkEnd w:id="384"/>
      <w:bookmarkEnd w:id="385"/>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pPr>
      <w:bookmarkStart w:id="387" w:name="_Toc107054877"/>
      <w:bookmarkStart w:id="388" w:name="_Toc134854614"/>
      <w:bookmarkStart w:id="389" w:name="_Toc136841067"/>
      <w:r>
        <w:rPr>
          <w:rStyle w:val="CharSectno"/>
        </w:rPr>
        <w:t>63AH</w:t>
      </w:r>
      <w:r>
        <w:t>.</w:t>
      </w:r>
      <w:r>
        <w:tab/>
        <w:t>Liability for duty on aggregated dispositions</w:t>
      </w:r>
      <w:bookmarkEnd w:id="387"/>
      <w:bookmarkEnd w:id="388"/>
      <w:bookmarkEnd w:id="389"/>
    </w:p>
    <w:p>
      <w:pPr>
        <w:pStyle w:val="Subsection"/>
        <w:tabs>
          <w:tab w:val="left" w:pos="6096"/>
        </w:tabs>
      </w:pPr>
      <w:r>
        <w:rPr>
          <w:spacing w:val="-4"/>
        </w:rPr>
        <w:tab/>
        <w:t>(1)</w:t>
      </w:r>
      <w:r>
        <w:rPr>
          <w:spacing w:val="-4"/>
        </w:rPr>
        <w:tab/>
        <w:t>Despite section 73D(7),</w:t>
      </w:r>
      <w:r>
        <w:rPr>
          <w:b/>
          <w:i/>
          <w:spacing w:val="-4"/>
        </w:rPr>
        <w:t xml:space="preserve"> </w:t>
      </w:r>
      <w:r>
        <w:rPr>
          <w:spacing w:val="-4"/>
        </w:rPr>
        <w:t>the unit trustee is liable to pay the duty that is chargeable under section 73D because of section 63AG in respect of the aggregated dispositions.</w:t>
      </w:r>
    </w:p>
    <w:p>
      <w:pPr>
        <w:pStyle w:val="Subsection"/>
        <w:tabs>
          <w:tab w:val="left" w:pos="6096"/>
        </w:tabs>
      </w:pPr>
      <w:r>
        <w:tab/>
        <w:t>(2)</w:t>
      </w:r>
      <w:r>
        <w:tab/>
        <w:t>If —</w:t>
      </w:r>
    </w:p>
    <w:p>
      <w:pPr>
        <w:pStyle w:val="Indenta"/>
        <w:tabs>
          <w:tab w:val="left" w:pos="6096"/>
        </w:tabs>
      </w:pPr>
      <w:r>
        <w:tab/>
        <w:t>(a)</w:t>
      </w:r>
      <w:r>
        <w:tab/>
        <w:t>a person other than the unit trustee has paid duty under section 73D in respect of a disposition that forms part of the aggregated dispositions; and</w:t>
      </w:r>
    </w:p>
    <w:p>
      <w:pPr>
        <w:pStyle w:val="Indenta"/>
        <w:tabs>
          <w:tab w:val="left" w:pos="6096"/>
        </w:tabs>
      </w:pPr>
      <w:r>
        <w:tab/>
        <w:t>(b)</w:t>
      </w:r>
      <w:r>
        <w:tab/>
        <w:t>the unit trustee has paid the duty referred to in subsection (1) in respect of those dispositions,</w:t>
      </w:r>
    </w:p>
    <w:p>
      <w:pPr>
        <w:pStyle w:val="Subsection"/>
        <w:tabs>
          <w:tab w:val="left" w:pos="6096"/>
        </w:tabs>
      </w:pPr>
      <w:r>
        <w:tab/>
      </w:r>
      <w:r>
        <w:tab/>
        <w:t>the person referred to in paragraph (a) is entitled to a refund of the amount of duty paid by that person.</w:t>
      </w:r>
    </w:p>
    <w:p>
      <w:pPr>
        <w:pStyle w:val="Subsection"/>
        <w:tabs>
          <w:tab w:val="left" w:pos="6096"/>
        </w:tabs>
      </w:pPr>
      <w:r>
        <w:tab/>
        <w:t>(3)</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63AH inserted by No. 66 of 2003 s. 25(1).]</w:t>
      </w:r>
    </w:p>
    <w:p>
      <w:pPr>
        <w:pStyle w:val="Heading5"/>
        <w:tabs>
          <w:tab w:val="left" w:pos="6096"/>
        </w:tabs>
      </w:pPr>
      <w:bookmarkStart w:id="390" w:name="_Toc107054878"/>
      <w:bookmarkStart w:id="391" w:name="_Toc134854615"/>
      <w:bookmarkStart w:id="392" w:name="_Toc136841068"/>
      <w:r>
        <w:rPr>
          <w:rStyle w:val="CharSectno"/>
        </w:rPr>
        <w:t>63AI</w:t>
      </w:r>
      <w:r>
        <w:t>.</w:t>
      </w:r>
      <w:r>
        <w:tab/>
        <w:t>Interstate security duty</w:t>
      </w:r>
      <w:bookmarkEnd w:id="390"/>
      <w:bookmarkEnd w:id="391"/>
      <w:bookmarkEnd w:id="392"/>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393" w:name="_Toc107054879"/>
      <w:bookmarkStart w:id="394" w:name="_Toc134854616"/>
      <w:bookmarkStart w:id="395" w:name="_Toc136841069"/>
      <w:r>
        <w:rPr>
          <w:rStyle w:val="CharSectno"/>
        </w:rPr>
        <w:t>63AJ</w:t>
      </w:r>
      <w:r>
        <w:t>.</w:t>
      </w:r>
      <w:r>
        <w:tab/>
        <w:t>Dutiable statement to be lodged</w:t>
      </w:r>
      <w:bookmarkEnd w:id="393"/>
      <w:bookmarkEnd w:id="394"/>
      <w:bookmarkEnd w:id="395"/>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spacing w:before="60"/>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spacing w:before="60"/>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40"/>
      </w:pPr>
      <w:r>
        <w:tab/>
        <w:t>(2)</w:t>
      </w:r>
      <w:r>
        <w:tab/>
        <w:t>A dutiable statement must be prepared in an approved form.</w:t>
      </w:r>
    </w:p>
    <w:p>
      <w:pPr>
        <w:pStyle w:val="Subsection"/>
        <w:tabs>
          <w:tab w:val="left" w:pos="6096"/>
        </w:tabs>
        <w:spacing w:before="14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spacing w:before="140"/>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pPr>
      <w:r>
        <w:tab/>
        <w:t>[Section 63AJ inserted by No. 66 of 2003 s. 25(1).]</w:t>
      </w:r>
    </w:p>
    <w:p>
      <w:pPr>
        <w:pStyle w:val="Heading5"/>
        <w:rPr>
          <w:snapToGrid w:val="0"/>
        </w:rPr>
      </w:pPr>
      <w:bookmarkStart w:id="396" w:name="_Toc107054880"/>
      <w:bookmarkStart w:id="397" w:name="_Toc134854617"/>
      <w:bookmarkStart w:id="398" w:name="_Toc136841070"/>
      <w:r>
        <w:rPr>
          <w:rStyle w:val="CharSectno"/>
        </w:rPr>
        <w:t>63A</w:t>
      </w:r>
      <w:r>
        <w:rPr>
          <w:snapToGrid w:val="0"/>
        </w:rPr>
        <w:t>.</w:t>
      </w:r>
      <w:r>
        <w:rPr>
          <w:snapToGrid w:val="0"/>
        </w:rPr>
        <w:tab/>
        <w:t>Duty on certain decrees and orders</w:t>
      </w:r>
      <w:bookmarkEnd w:id="354"/>
      <w:bookmarkEnd w:id="355"/>
      <w:bookmarkEnd w:id="356"/>
      <w:bookmarkEnd w:id="386"/>
      <w:bookmarkEnd w:id="396"/>
      <w:bookmarkEnd w:id="397"/>
      <w:bookmarkEnd w:id="398"/>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pPr>
      <w:r>
        <w:tab/>
        <w:t>[Section 63A inserted by No. 37 of 1979 s. 41; amended by No. 2 of 2003 s. 39; No. 66 of 2003 s. 26.]</w:t>
      </w:r>
    </w:p>
    <w:p>
      <w:pPr>
        <w:pStyle w:val="Heading5"/>
        <w:rPr>
          <w:snapToGrid w:val="0"/>
        </w:rPr>
      </w:pPr>
      <w:bookmarkStart w:id="399" w:name="_Toc500739920"/>
      <w:bookmarkStart w:id="400" w:name="_Toc520101111"/>
      <w:bookmarkStart w:id="401" w:name="_Toc520533010"/>
      <w:bookmarkStart w:id="402" w:name="_Toc49223896"/>
      <w:bookmarkStart w:id="403" w:name="_Toc107054881"/>
      <w:bookmarkStart w:id="404" w:name="_Toc134854618"/>
      <w:bookmarkStart w:id="405" w:name="_Toc136841071"/>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399"/>
      <w:bookmarkEnd w:id="400"/>
      <w:bookmarkEnd w:id="401"/>
      <w:bookmarkEnd w:id="402"/>
      <w:bookmarkEnd w:id="403"/>
      <w:bookmarkEnd w:id="404"/>
      <w:bookmarkEnd w:id="405"/>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pPr>
      <w:r>
        <w:tab/>
        <w:t>[Section 64 amended by No. 93 of 1966 s. 6; No. 48 of 1996 s. 32.]</w:t>
      </w:r>
    </w:p>
    <w:p>
      <w:pPr>
        <w:pStyle w:val="Heading5"/>
        <w:rPr>
          <w:snapToGrid w:val="0"/>
        </w:rPr>
      </w:pPr>
      <w:bookmarkStart w:id="406" w:name="_Toc500739921"/>
      <w:bookmarkStart w:id="407" w:name="_Toc520101112"/>
      <w:bookmarkStart w:id="408" w:name="_Toc520533011"/>
      <w:bookmarkStart w:id="409" w:name="_Toc49223897"/>
      <w:bookmarkStart w:id="410" w:name="_Toc107054882"/>
      <w:bookmarkStart w:id="411" w:name="_Toc134854619"/>
      <w:bookmarkStart w:id="412" w:name="_Toc136841072"/>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06"/>
      <w:bookmarkEnd w:id="407"/>
      <w:bookmarkEnd w:id="408"/>
      <w:bookmarkEnd w:id="409"/>
      <w:bookmarkEnd w:id="410"/>
      <w:bookmarkEnd w:id="411"/>
      <w:bookmarkEnd w:id="412"/>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413" w:name="_Toc500739922"/>
      <w:bookmarkStart w:id="414" w:name="_Toc520101113"/>
      <w:bookmarkStart w:id="415" w:name="_Toc520533012"/>
      <w:bookmarkStart w:id="416" w:name="_Toc49223898"/>
      <w:bookmarkStart w:id="417" w:name="_Toc107054883"/>
      <w:bookmarkStart w:id="418" w:name="_Toc134854620"/>
      <w:bookmarkStart w:id="419" w:name="_Toc136841073"/>
      <w:r>
        <w:rPr>
          <w:rStyle w:val="CharSectno"/>
        </w:rPr>
        <w:t>66</w:t>
      </w:r>
      <w:r>
        <w:rPr>
          <w:snapToGrid w:val="0"/>
        </w:rPr>
        <w:t>.</w:t>
      </w:r>
      <w:r>
        <w:rPr>
          <w:snapToGrid w:val="0"/>
        </w:rPr>
        <w:tab/>
        <w:t>How conveyances in consideration of a debt or subject to future payment, etc., to be charged</w:t>
      </w:r>
      <w:bookmarkEnd w:id="413"/>
      <w:bookmarkEnd w:id="414"/>
      <w:bookmarkEnd w:id="415"/>
      <w:bookmarkEnd w:id="416"/>
      <w:bookmarkEnd w:id="417"/>
      <w:bookmarkEnd w:id="418"/>
      <w:bookmarkEnd w:id="419"/>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420" w:name="_Toc500739923"/>
      <w:bookmarkStart w:id="421" w:name="_Toc520101114"/>
      <w:bookmarkStart w:id="422" w:name="_Toc520533013"/>
      <w:bookmarkStart w:id="423" w:name="_Toc49223899"/>
      <w:bookmarkStart w:id="424" w:name="_Toc107054884"/>
      <w:bookmarkStart w:id="425" w:name="_Toc134854621"/>
      <w:bookmarkStart w:id="426" w:name="_Toc136841074"/>
      <w:r>
        <w:rPr>
          <w:rStyle w:val="CharSectno"/>
        </w:rPr>
        <w:t>67</w:t>
      </w:r>
      <w:r>
        <w:rPr>
          <w:snapToGrid w:val="0"/>
        </w:rPr>
        <w:t>.</w:t>
      </w:r>
      <w:r>
        <w:rPr>
          <w:snapToGrid w:val="0"/>
        </w:rPr>
        <w:tab/>
        <w:t>Duty where conveyance is partly in consideration of improvements made or to be made on property</w:t>
      </w:r>
      <w:bookmarkEnd w:id="420"/>
      <w:bookmarkEnd w:id="421"/>
      <w:bookmarkEnd w:id="422"/>
      <w:bookmarkEnd w:id="423"/>
      <w:bookmarkEnd w:id="424"/>
      <w:bookmarkEnd w:id="425"/>
      <w:bookmarkEnd w:id="426"/>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427" w:name="_Toc500739924"/>
      <w:bookmarkStart w:id="428" w:name="_Toc520101115"/>
      <w:bookmarkStart w:id="429" w:name="_Toc520533014"/>
      <w:bookmarkStart w:id="430" w:name="_Toc49223900"/>
      <w:bookmarkStart w:id="431" w:name="_Toc107054885"/>
      <w:bookmarkStart w:id="432" w:name="_Toc134854622"/>
      <w:bookmarkStart w:id="433" w:name="_Toc136841075"/>
      <w:r>
        <w:rPr>
          <w:rStyle w:val="CharSectno"/>
        </w:rPr>
        <w:t>69</w:t>
      </w:r>
      <w:r>
        <w:rPr>
          <w:snapToGrid w:val="0"/>
        </w:rPr>
        <w:t>.</w:t>
      </w:r>
      <w:r>
        <w:rPr>
          <w:snapToGrid w:val="0"/>
        </w:rPr>
        <w:tab/>
        <w:t>Conveyance duty in cases where conveyance made at request or by direction of intermediary</w:t>
      </w:r>
      <w:bookmarkEnd w:id="427"/>
      <w:bookmarkEnd w:id="428"/>
      <w:bookmarkEnd w:id="429"/>
      <w:bookmarkEnd w:id="430"/>
      <w:bookmarkEnd w:id="431"/>
      <w:bookmarkEnd w:id="432"/>
      <w:bookmarkEnd w:id="433"/>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434" w:name="_Toc500739925"/>
      <w:bookmarkStart w:id="435" w:name="_Toc520101116"/>
      <w:bookmarkStart w:id="436" w:name="_Toc520533015"/>
      <w:bookmarkStart w:id="437" w:name="_Toc49223901"/>
      <w:bookmarkStart w:id="438" w:name="_Toc107054886"/>
      <w:bookmarkStart w:id="439" w:name="_Toc134854623"/>
      <w:bookmarkStart w:id="440" w:name="_Toc136841076"/>
      <w:r>
        <w:rPr>
          <w:rStyle w:val="CharSectno"/>
        </w:rPr>
        <w:t>70</w:t>
      </w:r>
      <w:r>
        <w:t>.</w:t>
      </w:r>
      <w:r>
        <w:tab/>
        <w:t>Certain transfers of chattels dutiable</w:t>
      </w:r>
      <w:bookmarkEnd w:id="434"/>
      <w:bookmarkEnd w:id="435"/>
      <w:bookmarkEnd w:id="436"/>
      <w:bookmarkEnd w:id="437"/>
      <w:bookmarkEnd w:id="438"/>
      <w:bookmarkEnd w:id="439"/>
      <w:bookmarkEnd w:id="440"/>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spacing w:before="80"/>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441" w:name="_Toc500739926"/>
      <w:bookmarkStart w:id="442" w:name="_Toc520101117"/>
      <w:bookmarkStart w:id="443" w:name="_Toc520533016"/>
      <w:bookmarkStart w:id="444" w:name="_Toc49223902"/>
      <w:bookmarkStart w:id="445" w:name="_Toc107054887"/>
      <w:bookmarkStart w:id="446" w:name="_Toc134854624"/>
      <w:bookmarkStart w:id="447" w:name="_Toc136841077"/>
      <w:r>
        <w:rPr>
          <w:rStyle w:val="CharSectno"/>
        </w:rPr>
        <w:t>71</w:t>
      </w:r>
      <w:r>
        <w:rPr>
          <w:snapToGrid w:val="0"/>
        </w:rPr>
        <w:t>.</w:t>
      </w:r>
      <w:r>
        <w:rPr>
          <w:snapToGrid w:val="0"/>
        </w:rPr>
        <w:tab/>
      </w:r>
      <w:bookmarkEnd w:id="441"/>
      <w:bookmarkEnd w:id="442"/>
      <w:bookmarkEnd w:id="443"/>
      <w:bookmarkEnd w:id="444"/>
      <w:r>
        <w:rPr>
          <w:snapToGrid w:val="0"/>
        </w:rPr>
        <w:t>Duty charged for 2 or more instruments of conveyance</w:t>
      </w:r>
      <w:bookmarkEnd w:id="445"/>
      <w:bookmarkEnd w:id="446"/>
      <w:bookmarkEnd w:id="447"/>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pPr>
      <w:bookmarkStart w:id="448" w:name="_Toc500739927"/>
      <w:bookmarkStart w:id="449" w:name="_Toc520101118"/>
      <w:bookmarkStart w:id="450" w:name="_Toc520533017"/>
      <w:r>
        <w:t>[Heading deleted by No. 2 of 2003 s. 46.]</w:t>
      </w:r>
    </w:p>
    <w:p>
      <w:pPr>
        <w:pStyle w:val="Heading5"/>
        <w:rPr>
          <w:snapToGrid w:val="0"/>
        </w:rPr>
      </w:pPr>
      <w:bookmarkStart w:id="451" w:name="_Toc49223903"/>
      <w:bookmarkStart w:id="452" w:name="_Toc107054888"/>
      <w:bookmarkStart w:id="453" w:name="_Toc134854625"/>
      <w:bookmarkStart w:id="454" w:name="_Toc136841078"/>
      <w:r>
        <w:rPr>
          <w:rStyle w:val="CharSectno"/>
        </w:rPr>
        <w:t>72</w:t>
      </w:r>
      <w:r>
        <w:rPr>
          <w:snapToGrid w:val="0"/>
        </w:rPr>
        <w:t>.</w:t>
      </w:r>
      <w:r>
        <w:rPr>
          <w:snapToGrid w:val="0"/>
        </w:rPr>
        <w:tab/>
        <w:t>Transfer or assignment of mortgages for value</w:t>
      </w:r>
      <w:bookmarkEnd w:id="448"/>
      <w:bookmarkEnd w:id="449"/>
      <w:bookmarkEnd w:id="450"/>
      <w:bookmarkEnd w:id="451"/>
      <w:bookmarkEnd w:id="452"/>
      <w:bookmarkEnd w:id="453"/>
      <w:bookmarkEnd w:id="454"/>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pPr>
      <w:r>
        <w:tab/>
        <w:t>[Section 72 inserted by No. 20 of 1996 s. 23; amended by No. 2 of 2003 s. 47; No. 66 of 2003 s. 29.]</w:t>
      </w:r>
    </w:p>
    <w:p>
      <w:pPr>
        <w:pStyle w:val="Ednotedivision"/>
      </w:pPr>
      <w:bookmarkStart w:id="455" w:name="_Toc500739928"/>
      <w:bookmarkStart w:id="456" w:name="_Toc520101119"/>
      <w:bookmarkStart w:id="457" w:name="_Toc520533018"/>
      <w:r>
        <w:t>[Heading deleted by No. 2 of 2003 s. 48.]</w:t>
      </w:r>
    </w:p>
    <w:p>
      <w:pPr>
        <w:pStyle w:val="Heading5"/>
        <w:rPr>
          <w:snapToGrid w:val="0"/>
        </w:rPr>
      </w:pPr>
      <w:bookmarkStart w:id="458" w:name="_Toc49223904"/>
      <w:bookmarkStart w:id="459" w:name="_Toc107054889"/>
      <w:bookmarkStart w:id="460" w:name="_Toc134854626"/>
      <w:bookmarkStart w:id="461" w:name="_Toc136841079"/>
      <w:r>
        <w:rPr>
          <w:rStyle w:val="CharSectno"/>
        </w:rPr>
        <w:t>73</w:t>
      </w:r>
      <w:r>
        <w:rPr>
          <w:snapToGrid w:val="0"/>
        </w:rPr>
        <w:t>.</w:t>
      </w:r>
      <w:r>
        <w:rPr>
          <w:snapToGrid w:val="0"/>
        </w:rPr>
        <w:tab/>
        <w:t>As to conveyances on any occasion except sale or mortgage</w:t>
      </w:r>
      <w:bookmarkEnd w:id="455"/>
      <w:bookmarkEnd w:id="456"/>
      <w:bookmarkEnd w:id="457"/>
      <w:bookmarkEnd w:id="458"/>
      <w:bookmarkEnd w:id="459"/>
      <w:bookmarkEnd w:id="460"/>
      <w:bookmarkEnd w:id="461"/>
    </w:p>
    <w:p>
      <w:pPr>
        <w:pStyle w:val="Subsection"/>
        <w:rPr>
          <w:snapToGrid w:val="0"/>
        </w:rPr>
      </w:pPr>
      <w:r>
        <w:rPr>
          <w:snapToGrid w:val="0"/>
        </w:rPr>
        <w:tab/>
      </w:r>
      <w:r>
        <w:rPr>
          <w:snapToGrid w:val="0"/>
        </w:rPr>
        <w:tab/>
        <w:t>Except as</w:t>
      </w:r>
      <w:r>
        <w:t xml:space="preserve"> otherwise provided by a stamp Act</w:t>
      </w:r>
      <w:r>
        <w:rPr>
          <w:snapToGrid w:val="0"/>
        </w:rPr>
        <w:t xml:space="preserve">,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w:t>
      </w:r>
      <w:r>
        <w:rPr>
          <w:iCs/>
          <w:snapToGrid w:val="0"/>
        </w:rPr>
        <w:t>bona fide</w:t>
      </w:r>
      <w:r>
        <w:rPr>
          <w:snapToGrid w:val="0"/>
        </w:rPr>
        <w:t xml:space="preserv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462" w:name="_Toc500739929"/>
      <w:bookmarkStart w:id="463" w:name="_Toc520101120"/>
      <w:bookmarkStart w:id="464" w:name="_Toc520533019"/>
      <w:bookmarkStart w:id="465" w:name="_Toc49223905"/>
      <w:bookmarkStart w:id="466" w:name="_Toc107054890"/>
      <w:bookmarkStart w:id="467" w:name="_Toc134854627"/>
      <w:bookmarkStart w:id="468" w:name="_Toc136841080"/>
      <w:r>
        <w:rPr>
          <w:rStyle w:val="CharSectno"/>
        </w:rPr>
        <w:t>73A</w:t>
      </w:r>
      <w:r>
        <w:rPr>
          <w:snapToGrid w:val="0"/>
        </w:rPr>
        <w:t>.</w:t>
      </w:r>
      <w:r>
        <w:rPr>
          <w:snapToGrid w:val="0"/>
        </w:rPr>
        <w:tab/>
        <w:t>Conveyance subject to an option</w:t>
      </w:r>
      <w:bookmarkEnd w:id="462"/>
      <w:bookmarkEnd w:id="463"/>
      <w:bookmarkEnd w:id="464"/>
      <w:bookmarkEnd w:id="465"/>
      <w:bookmarkEnd w:id="466"/>
      <w:bookmarkEnd w:id="467"/>
      <w:bookmarkEnd w:id="468"/>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spacing w:before="14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469" w:name="_Toc500739930"/>
      <w:bookmarkStart w:id="470" w:name="_Toc520101121"/>
      <w:bookmarkStart w:id="471" w:name="_Toc520533020"/>
      <w:bookmarkStart w:id="472" w:name="_Toc49223906"/>
      <w:bookmarkStart w:id="473" w:name="_Toc107054891"/>
      <w:bookmarkStart w:id="474" w:name="_Toc134854628"/>
      <w:bookmarkStart w:id="475" w:name="_Toc136841081"/>
      <w:r>
        <w:rPr>
          <w:rStyle w:val="CharSectno"/>
        </w:rPr>
        <w:t>73AA</w:t>
      </w:r>
      <w:r>
        <w:rPr>
          <w:snapToGrid w:val="0"/>
        </w:rPr>
        <w:t>.</w:t>
      </w:r>
      <w:r>
        <w:rPr>
          <w:snapToGrid w:val="0"/>
        </w:rPr>
        <w:tab/>
        <w:t>Duty on conveyance not passing a beneficial interest</w:t>
      </w:r>
      <w:bookmarkEnd w:id="469"/>
      <w:bookmarkEnd w:id="470"/>
      <w:bookmarkEnd w:id="471"/>
      <w:bookmarkEnd w:id="472"/>
      <w:bookmarkEnd w:id="473"/>
      <w:bookmarkEnd w:id="474"/>
      <w:bookmarkEnd w:id="475"/>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spacing w:before="60"/>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spacing w:before="60"/>
        <w:rPr>
          <w:snapToGrid w:val="0"/>
        </w:rPr>
      </w:pPr>
      <w:r>
        <w:rPr>
          <w:snapToGrid w:val="0"/>
        </w:rPr>
        <w:tab/>
        <w:t>(e)</w:t>
      </w:r>
      <w:r>
        <w:rPr>
          <w:snapToGrid w:val="0"/>
        </w:rPr>
        <w:tab/>
        <w:t>made to the holder of a unit in a unit trust scheme by a unit trustee if —</w:t>
      </w:r>
    </w:p>
    <w:p>
      <w:pPr>
        <w:pStyle w:val="Indenti"/>
        <w:spacing w:before="60"/>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spacing w:before="60"/>
        <w:rPr>
          <w:snapToGrid w:val="0"/>
        </w:rPr>
      </w:pPr>
      <w:r>
        <w:rPr>
          <w:snapToGrid w:val="0"/>
        </w:rPr>
        <w:tab/>
        <w:t>(ii)</w:t>
      </w:r>
      <w:r>
        <w:rPr>
          <w:snapToGrid w:val="0"/>
        </w:rPr>
        <w:tab/>
        <w:t>the Commissioner is satisfied that —</w:t>
      </w:r>
    </w:p>
    <w:p>
      <w:pPr>
        <w:pStyle w:val="IndentI0"/>
        <w:spacing w:before="6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spacing w:before="6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spacing w:before="60"/>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476" w:name="_Toc107054892"/>
      <w:bookmarkStart w:id="477" w:name="_Toc134854629"/>
      <w:bookmarkStart w:id="478" w:name="_Toc136841082"/>
      <w:bookmarkStart w:id="479" w:name="_Toc500739931"/>
      <w:bookmarkStart w:id="480" w:name="_Toc520101122"/>
      <w:bookmarkStart w:id="481" w:name="_Toc520533021"/>
      <w:bookmarkStart w:id="482" w:name="_Toc49223907"/>
      <w:r>
        <w:rPr>
          <w:rStyle w:val="CharSectno"/>
        </w:rPr>
        <w:t>73AB</w:t>
      </w:r>
      <w:r>
        <w:t>.</w:t>
      </w:r>
      <w:r>
        <w:tab/>
        <w:t>Duty on conveyance to correct error</w:t>
      </w:r>
      <w:bookmarkEnd w:id="476"/>
      <w:bookmarkEnd w:id="477"/>
      <w:bookmarkEnd w:id="478"/>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483" w:name="_Toc107054893"/>
      <w:bookmarkStart w:id="484" w:name="_Toc134854630"/>
      <w:bookmarkStart w:id="485" w:name="_Toc136841083"/>
      <w:r>
        <w:rPr>
          <w:rStyle w:val="CharSectno"/>
        </w:rPr>
        <w:t>73B</w:t>
      </w:r>
      <w:r>
        <w:rPr>
          <w:snapToGrid w:val="0"/>
        </w:rPr>
        <w:t>.</w:t>
      </w:r>
      <w:r>
        <w:rPr>
          <w:snapToGrid w:val="0"/>
        </w:rPr>
        <w:tab/>
        <w:t>Conveyance agreement subject to unilateral determination</w:t>
      </w:r>
      <w:bookmarkEnd w:id="479"/>
      <w:bookmarkEnd w:id="480"/>
      <w:bookmarkEnd w:id="481"/>
      <w:bookmarkEnd w:id="482"/>
      <w:bookmarkEnd w:id="483"/>
      <w:bookmarkEnd w:id="484"/>
      <w:bookmarkEnd w:id="485"/>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486" w:name="_Toc500739932"/>
      <w:bookmarkStart w:id="487" w:name="_Toc520101123"/>
      <w:bookmarkStart w:id="488" w:name="_Toc520533022"/>
      <w:bookmarkStart w:id="489" w:name="_Toc49223908"/>
      <w:bookmarkStart w:id="490" w:name="_Toc107054894"/>
      <w:bookmarkStart w:id="491" w:name="_Toc134854631"/>
      <w:bookmarkStart w:id="492" w:name="_Toc136841084"/>
      <w:r>
        <w:rPr>
          <w:rStyle w:val="CharSectno"/>
        </w:rPr>
        <w:t>73C</w:t>
      </w:r>
      <w:r>
        <w:rPr>
          <w:snapToGrid w:val="0"/>
        </w:rPr>
        <w:t>.</w:t>
      </w:r>
      <w:r>
        <w:rPr>
          <w:snapToGrid w:val="0"/>
        </w:rPr>
        <w:tab/>
        <w:t>Option to purchase with right to renew</w:t>
      </w:r>
      <w:bookmarkEnd w:id="486"/>
      <w:bookmarkEnd w:id="487"/>
      <w:bookmarkEnd w:id="488"/>
      <w:bookmarkEnd w:id="489"/>
      <w:bookmarkEnd w:id="490"/>
      <w:bookmarkEnd w:id="491"/>
      <w:bookmarkEnd w:id="492"/>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rPr>
          <w:snapToGrid w:val="0"/>
        </w:rPr>
      </w:pPr>
      <w:r>
        <w:rPr>
          <w:snapToGrid w:val="0"/>
        </w:rPr>
        <w:tab/>
        <w:t>(b)</w:t>
      </w:r>
      <w:r>
        <w:rPr>
          <w:snapToGrid w:val="0"/>
        </w:rPr>
        <w:tab/>
        <w:t>failed to renew the right of option,</w:t>
      </w:r>
    </w:p>
    <w:p>
      <w:pPr>
        <w:pStyle w:val="Subsection"/>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493" w:name="_Toc500739933"/>
      <w:bookmarkStart w:id="494" w:name="_Toc520101124"/>
      <w:bookmarkStart w:id="495" w:name="_Toc520533023"/>
      <w:bookmarkStart w:id="496" w:name="_Toc49223909"/>
      <w:bookmarkStart w:id="497" w:name="_Toc107054895"/>
      <w:bookmarkStart w:id="498" w:name="_Toc134854632"/>
      <w:bookmarkStart w:id="499" w:name="_Toc136841085"/>
      <w:r>
        <w:rPr>
          <w:rStyle w:val="CharSectno"/>
        </w:rPr>
        <w:t>73D</w:t>
      </w:r>
      <w:r>
        <w:rPr>
          <w:snapToGrid w:val="0"/>
        </w:rPr>
        <w:t>.</w:t>
      </w:r>
      <w:r>
        <w:rPr>
          <w:snapToGrid w:val="0"/>
        </w:rPr>
        <w:tab/>
        <w:t>Disposition of units in unit trust schemes</w:t>
      </w:r>
      <w:bookmarkEnd w:id="493"/>
      <w:bookmarkEnd w:id="494"/>
      <w:bookmarkEnd w:id="495"/>
      <w:bookmarkEnd w:id="496"/>
      <w:bookmarkEnd w:id="497"/>
      <w:bookmarkEnd w:id="498"/>
      <w:bookmarkEnd w:id="499"/>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2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rPr>
          <w:snapToGrid w:val="0"/>
        </w:rPr>
      </w:pPr>
      <w:r>
        <w:rPr>
          <w:snapToGrid w:val="0"/>
        </w:rPr>
        <w:tab/>
        <w:t>(6)</w:t>
      </w:r>
      <w:r>
        <w:rPr>
          <w:snapToGrid w:val="0"/>
        </w:rPr>
        <w:tab/>
        <w:t>The Commissioner shall, where it is necessary to determine, for the purposes of subsection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w:t>
      </w:r>
    </w:p>
    <w:p>
      <w:pPr>
        <w:pStyle w:val="Heading5"/>
      </w:pPr>
      <w:bookmarkStart w:id="500" w:name="_Toc107054896"/>
      <w:bookmarkStart w:id="501" w:name="_Toc134854633"/>
      <w:bookmarkStart w:id="502" w:name="_Toc136841086"/>
      <w:bookmarkStart w:id="503" w:name="_Toc500739934"/>
      <w:bookmarkStart w:id="504" w:name="_Toc520101125"/>
      <w:bookmarkStart w:id="505" w:name="_Toc520533024"/>
      <w:bookmarkStart w:id="506" w:name="_Toc49223910"/>
      <w:r>
        <w:rPr>
          <w:rStyle w:val="CharSectno"/>
        </w:rPr>
        <w:t>73DAA</w:t>
      </w:r>
      <w:r>
        <w:t>.</w:t>
      </w:r>
      <w:r>
        <w:tab/>
        <w:t>Dutiable statement required if transfer or instrument not lodged</w:t>
      </w:r>
      <w:bookmarkEnd w:id="500"/>
      <w:bookmarkEnd w:id="501"/>
      <w:bookmarkEnd w:id="502"/>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rPr>
          <w:snapToGrid w:val="0"/>
        </w:rPr>
      </w:pPr>
      <w:bookmarkStart w:id="507" w:name="_Toc107054897"/>
      <w:bookmarkStart w:id="508" w:name="_Toc134854634"/>
      <w:bookmarkStart w:id="509" w:name="_Toc136841087"/>
      <w:r>
        <w:rPr>
          <w:rStyle w:val="CharSectno"/>
        </w:rPr>
        <w:t>73DA</w:t>
      </w:r>
      <w:r>
        <w:rPr>
          <w:snapToGrid w:val="0"/>
        </w:rPr>
        <w:t>.</w:t>
      </w:r>
      <w:r>
        <w:rPr>
          <w:snapToGrid w:val="0"/>
        </w:rPr>
        <w:tab/>
      </w:r>
      <w:bookmarkEnd w:id="503"/>
      <w:bookmarkEnd w:id="504"/>
      <w:bookmarkEnd w:id="505"/>
      <w:r>
        <w:rPr>
          <w:snapToGrid w:val="0"/>
        </w:rPr>
        <w:t>Holdings of majority interest unit trustee</w:t>
      </w:r>
      <w:bookmarkEnd w:id="506"/>
      <w:bookmarkEnd w:id="507"/>
      <w:bookmarkEnd w:id="508"/>
      <w:bookmarkEnd w:id="509"/>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7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7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spacing w:before="100"/>
        <w:ind w:left="890" w:hanging="890"/>
      </w:pPr>
      <w:r>
        <w:tab/>
        <w:t>[Section 73DA inserted by No. 33 of 1987 s. 20; amended by No. 22 of 1998 s. 35; No. 60 of 2000 s. 20(2); No. 2 of 2003 s. 55; No. 11 of 2004 s. 12.]</w:t>
      </w:r>
    </w:p>
    <w:p>
      <w:pPr>
        <w:pStyle w:val="Heading5"/>
      </w:pPr>
      <w:bookmarkStart w:id="510" w:name="_Toc107054898"/>
      <w:bookmarkStart w:id="511" w:name="_Toc134854635"/>
      <w:bookmarkStart w:id="512" w:name="_Toc136841088"/>
      <w:bookmarkStart w:id="513" w:name="_Toc500739935"/>
      <w:bookmarkStart w:id="514" w:name="_Toc520101126"/>
      <w:bookmarkStart w:id="515" w:name="_Toc520533025"/>
      <w:bookmarkStart w:id="516" w:name="_Toc49223911"/>
      <w:r>
        <w:rPr>
          <w:rStyle w:val="CharSectno"/>
        </w:rPr>
        <w:t>73DB</w:t>
      </w:r>
      <w:r>
        <w:t>.</w:t>
      </w:r>
      <w:r>
        <w:tab/>
        <w:t>Interpretation for sections 73DC, 73DD and 73DE</w:t>
      </w:r>
      <w:bookmarkEnd w:id="510"/>
      <w:bookmarkEnd w:id="511"/>
      <w:bookmarkEnd w:id="512"/>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517" w:name="_Toc107054899"/>
      <w:bookmarkStart w:id="518" w:name="_Toc134854636"/>
      <w:bookmarkStart w:id="519" w:name="_Toc136841089"/>
      <w:r>
        <w:rPr>
          <w:rStyle w:val="CharSectno"/>
        </w:rPr>
        <w:t>73DC</w:t>
      </w:r>
      <w:r>
        <w:t>.</w:t>
      </w:r>
      <w:r>
        <w:tab/>
        <w:t>Acquisition of majority interest or further interest in pooled investment trust</w:t>
      </w:r>
      <w:bookmarkEnd w:id="517"/>
      <w:bookmarkEnd w:id="518"/>
      <w:bookmarkEnd w:id="519"/>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pPr>
      <w:bookmarkStart w:id="520" w:name="_Toc107054900"/>
      <w:bookmarkStart w:id="521" w:name="_Toc134854637"/>
      <w:bookmarkStart w:id="522" w:name="_Toc136841090"/>
      <w:r>
        <w:rPr>
          <w:rStyle w:val="CharSectno"/>
        </w:rPr>
        <w:t>73DD</w:t>
      </w:r>
      <w:r>
        <w:t>.</w:t>
      </w:r>
      <w:r>
        <w:tab/>
        <w:t>Meaning of majority interest and further interest</w:t>
      </w:r>
      <w:bookmarkEnd w:id="520"/>
      <w:bookmarkEnd w:id="521"/>
      <w:bookmarkEnd w:id="522"/>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2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2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spacing w:before="60"/>
      </w:pPr>
      <w:r>
        <w:tab/>
        <w:t>(a)</w:t>
      </w:r>
      <w:r>
        <w:tab/>
        <w:t>the person holds, or the person and a related person hold, a majority interest in the scheme;</w:t>
      </w:r>
    </w:p>
    <w:p>
      <w:pPr>
        <w:pStyle w:val="Indenta"/>
        <w:spacing w:before="60"/>
      </w:pPr>
      <w:r>
        <w:tab/>
        <w:t>(b)</w:t>
      </w:r>
      <w:r>
        <w:tab/>
        <w:t>the acquisition of that majority interest gave rise to a liability for duty under section 73D because of section 73DC; and</w:t>
      </w:r>
    </w:p>
    <w:p>
      <w:pPr>
        <w:pStyle w:val="Indenta"/>
        <w:spacing w:before="60"/>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pPr>
      <w:bookmarkStart w:id="523" w:name="_Toc107054901"/>
      <w:bookmarkStart w:id="524" w:name="_Toc134854638"/>
      <w:bookmarkStart w:id="525" w:name="_Toc136841091"/>
      <w:r>
        <w:rPr>
          <w:rStyle w:val="CharSectno"/>
        </w:rPr>
        <w:t>73DE</w:t>
      </w:r>
      <w:r>
        <w:t>.</w:t>
      </w:r>
      <w:r>
        <w:tab/>
        <w:t>Dutiable statement to be lodged</w:t>
      </w:r>
      <w:bookmarkEnd w:id="523"/>
      <w:bookmarkEnd w:id="524"/>
      <w:bookmarkEnd w:id="525"/>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rPr>
          <w:spacing w:val="-4"/>
        </w:rPr>
      </w:pPr>
      <w:r>
        <w:rPr>
          <w:spacing w:val="-4"/>
        </w:rPr>
        <w:tab/>
        <w:t>(3)</w:t>
      </w:r>
      <w:r>
        <w:rPr>
          <w:spacing w:val="-4"/>
        </w:rP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rPr>
          <w:spacing w:val="-4"/>
        </w:rPr>
      </w:pPr>
      <w:r>
        <w:rPr>
          <w:spacing w:val="-4"/>
        </w:rPr>
        <w:tab/>
        <w:t>(4)</w:t>
      </w:r>
      <w:r>
        <w:rPr>
          <w:spacing w:val="-4"/>
        </w:rP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rPr>
          <w:snapToGrid w:val="0"/>
        </w:rPr>
      </w:pPr>
      <w:bookmarkStart w:id="526" w:name="_Toc107054902"/>
      <w:bookmarkStart w:id="527" w:name="_Toc134854639"/>
      <w:bookmarkStart w:id="528" w:name="_Toc136841092"/>
      <w:r>
        <w:rPr>
          <w:rStyle w:val="CharSectno"/>
        </w:rPr>
        <w:t>73E</w:t>
      </w:r>
      <w:r>
        <w:rPr>
          <w:snapToGrid w:val="0"/>
        </w:rPr>
        <w:t>.</w:t>
      </w:r>
      <w:r>
        <w:rPr>
          <w:snapToGrid w:val="0"/>
        </w:rPr>
        <w:tab/>
        <w:t>Disposition of shares in discretionary trustee companies</w:t>
      </w:r>
      <w:bookmarkEnd w:id="513"/>
      <w:bookmarkEnd w:id="514"/>
      <w:bookmarkEnd w:id="515"/>
      <w:bookmarkEnd w:id="516"/>
      <w:bookmarkEnd w:id="526"/>
      <w:bookmarkEnd w:id="527"/>
      <w:bookmarkEnd w:id="528"/>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spacing w:before="70"/>
      </w:pPr>
      <w:r>
        <w:rPr>
          <w:b/>
        </w:rPr>
        <w:tab/>
        <w:t>“</w:t>
      </w:r>
      <w:r>
        <w:rPr>
          <w:rStyle w:val="CharDefText"/>
        </w:rPr>
        <w:t>disposition</w:t>
      </w:r>
      <w:r>
        <w:rPr>
          <w:b/>
        </w:rPr>
        <w:t>”</w:t>
      </w:r>
      <w:r>
        <w:t>, in relation to a share, includes —</w:t>
      </w:r>
    </w:p>
    <w:p>
      <w:pPr>
        <w:pStyle w:val="Defpara"/>
        <w:spacing w:before="70"/>
      </w:pPr>
      <w:r>
        <w:tab/>
        <w:t>(a)</w:t>
      </w:r>
      <w:r>
        <w:tab/>
        <w:t>a transfer or other disposition of the share;</w:t>
      </w:r>
    </w:p>
    <w:p>
      <w:pPr>
        <w:pStyle w:val="Defpara"/>
        <w:spacing w:before="70"/>
      </w:pPr>
      <w:r>
        <w:tab/>
        <w:t>(b)</w:t>
      </w:r>
      <w:r>
        <w:tab/>
        <w:t>the allotment or issue of the share;</w:t>
      </w:r>
    </w:p>
    <w:p>
      <w:pPr>
        <w:pStyle w:val="Defpara"/>
        <w:spacing w:before="70"/>
      </w:pPr>
      <w:r>
        <w:tab/>
        <w:t>(c)</w:t>
      </w:r>
      <w:r>
        <w:tab/>
        <w:t>the redemption, surrender or cancellation of the share; and</w:t>
      </w:r>
    </w:p>
    <w:p>
      <w:pPr>
        <w:pStyle w:val="Defpara"/>
        <w:spacing w:before="70"/>
      </w:pPr>
      <w:r>
        <w:tab/>
        <w:t>(d)</w:t>
      </w:r>
      <w:r>
        <w:tab/>
        <w:t>the variation, abrogation or alteration of a right pertaining to the share with respect to voting, whether at meetings of the company or the directors or otherwise,</w:t>
      </w:r>
    </w:p>
    <w:p>
      <w:pPr>
        <w:pStyle w:val="Defstart"/>
        <w:spacing w:before="70"/>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spacing w:val="-4"/>
        </w:rPr>
      </w:pPr>
      <w:r>
        <w:rPr>
          <w:snapToGrid w:val="0"/>
          <w:spacing w:val="-4"/>
        </w:rPr>
        <w:tab/>
        <w:t>(a)</w:t>
      </w:r>
      <w:r>
        <w:rPr>
          <w:snapToGrid w:val="0"/>
          <w:spacing w:val="-4"/>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529" w:name="_Toc500739936"/>
      <w:bookmarkStart w:id="530" w:name="_Toc520101127"/>
      <w:bookmarkStart w:id="531" w:name="_Toc520533026"/>
      <w:bookmarkStart w:id="532" w:name="_Toc49223912"/>
      <w:bookmarkStart w:id="533" w:name="_Toc107054903"/>
      <w:bookmarkStart w:id="534" w:name="_Toc134854640"/>
      <w:bookmarkStart w:id="535" w:name="_Toc136841093"/>
      <w:r>
        <w:rPr>
          <w:rStyle w:val="CharSectno"/>
        </w:rPr>
        <w:t>73F</w:t>
      </w:r>
      <w:r>
        <w:rPr>
          <w:snapToGrid w:val="0"/>
        </w:rPr>
        <w:t>.</w:t>
      </w:r>
      <w:r>
        <w:rPr>
          <w:snapToGrid w:val="0"/>
        </w:rPr>
        <w:tab/>
        <w:t>Acquisition of a licence to carry on a business activity</w:t>
      </w:r>
      <w:bookmarkEnd w:id="529"/>
      <w:bookmarkEnd w:id="530"/>
      <w:bookmarkEnd w:id="531"/>
      <w:bookmarkEnd w:id="532"/>
      <w:bookmarkEnd w:id="533"/>
      <w:bookmarkEnd w:id="534"/>
      <w:bookmarkEnd w:id="535"/>
    </w:p>
    <w:p>
      <w:pPr>
        <w:pStyle w:val="Subsection"/>
        <w:spacing w:before="120"/>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pPr>
      <w:bookmarkStart w:id="536" w:name="_Toc107054904"/>
      <w:bookmarkStart w:id="537" w:name="_Toc134854641"/>
      <w:bookmarkStart w:id="538" w:name="_Toc136841094"/>
      <w:bookmarkStart w:id="539" w:name="_Toc500739937"/>
      <w:bookmarkStart w:id="540" w:name="_Toc520101128"/>
      <w:bookmarkStart w:id="541" w:name="_Toc520533027"/>
      <w:bookmarkStart w:id="542" w:name="_Toc49223913"/>
      <w:r>
        <w:rPr>
          <w:rStyle w:val="CharSectno"/>
        </w:rPr>
        <w:t>73G</w:t>
      </w:r>
      <w:r>
        <w:t>.</w:t>
      </w:r>
      <w:r>
        <w:tab/>
        <w:t>Farm</w:t>
      </w:r>
      <w:r>
        <w:noBreakHyphen/>
        <w:t>in agreements relating to mining tenements</w:t>
      </w:r>
      <w:bookmarkEnd w:id="536"/>
      <w:bookmarkEnd w:id="537"/>
      <w:bookmarkEnd w:id="538"/>
    </w:p>
    <w:p>
      <w:pPr>
        <w:pStyle w:val="Subsection"/>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pPr>
      <w:r>
        <w:tab/>
        <w:t>(2)</w:t>
      </w:r>
      <w:r>
        <w:tab/>
        <w:t>An instrument evidencing or effecting a farm</w:t>
      </w:r>
      <w:r>
        <w:noBreakHyphen/>
        <w:t>in agreement is —</w:t>
      </w:r>
    </w:p>
    <w:p>
      <w:pPr>
        <w:pStyle w:val="Indenta"/>
        <w:spacing w:before="70"/>
      </w:pPr>
      <w:r>
        <w:tab/>
        <w:t>(a)</w:t>
      </w:r>
      <w:r>
        <w:tab/>
        <w:t>to the extent that —</w:t>
      </w:r>
    </w:p>
    <w:p>
      <w:pPr>
        <w:pStyle w:val="Indenti"/>
        <w:spacing w:before="70"/>
      </w:pPr>
      <w:r>
        <w:tab/>
        <w:t>(i)</w:t>
      </w:r>
      <w:r>
        <w:tab/>
        <w:t>the instrument evidences or effects a farm</w:t>
      </w:r>
      <w:r>
        <w:noBreakHyphen/>
        <w:t>in agreement; and</w:t>
      </w:r>
    </w:p>
    <w:p>
      <w:pPr>
        <w:pStyle w:val="Indenti"/>
        <w:spacing w:before="70"/>
        <w:rPr>
          <w:spacing w:val="-4"/>
        </w:rPr>
      </w:pPr>
      <w:r>
        <w:rPr>
          <w:spacing w:val="-4"/>
        </w:rPr>
        <w:tab/>
        <w:t>(ii)</w:t>
      </w:r>
      <w:r>
        <w:rPr>
          <w:spacing w:val="-4"/>
        </w:rPr>
        <w:tab/>
        <w:t>no payment has been made or is payable in respect of the right to acquire the interest, or the acquisition of the interest, specified in the farm</w:t>
      </w:r>
      <w:r>
        <w:rPr>
          <w:spacing w:val="-4"/>
        </w:rPr>
        <w:noBreakHyphen/>
        <w:t>in agreement,</w:t>
      </w:r>
    </w:p>
    <w:p>
      <w:pPr>
        <w:pStyle w:val="Indenta"/>
        <w:spacing w:before="70"/>
      </w:pPr>
      <w:r>
        <w:tab/>
      </w:r>
      <w:r>
        <w:tab/>
        <w:t>chargeable with duty at the rate set out under item 8 of the Second Schedule; and</w:t>
      </w:r>
    </w:p>
    <w:p>
      <w:pPr>
        <w:pStyle w:val="Indenta"/>
        <w:spacing w:before="70"/>
      </w:pPr>
      <w:r>
        <w:tab/>
        <w:t>(b)</w:t>
      </w:r>
      <w:r>
        <w:tab/>
        <w:t>to the extent that —</w:t>
      </w:r>
    </w:p>
    <w:p>
      <w:pPr>
        <w:pStyle w:val="Indenti"/>
        <w:spacing w:before="70"/>
      </w:pPr>
      <w:r>
        <w:tab/>
        <w:t>(i)</w:t>
      </w:r>
      <w:r>
        <w:tab/>
        <w:t>the instrument provides for the acquisition of an interest in a mining tenement otherwise than pursuant to a farm</w:t>
      </w:r>
      <w:r>
        <w:noBreakHyphen/>
        <w:t>in agreement; or</w:t>
      </w:r>
    </w:p>
    <w:p>
      <w:pPr>
        <w:pStyle w:val="Indenti"/>
        <w:spacing w:before="70"/>
      </w:pPr>
      <w:r>
        <w:tab/>
        <w:t>(ii)</w:t>
      </w:r>
      <w:r>
        <w:tab/>
        <w:t>payment has been made or is payable in respect of the right to acquire the interest, or the acquisition of the interest, specified in the farm</w:t>
      </w:r>
      <w:r>
        <w:noBreakHyphen/>
        <w:t>in agreement,</w:t>
      </w:r>
    </w:p>
    <w:p>
      <w:pPr>
        <w:pStyle w:val="Indenta"/>
        <w:spacing w:before="70"/>
      </w:pPr>
      <w:r>
        <w:tab/>
      </w:r>
      <w:r>
        <w:tab/>
        <w:t>chargeable with duty at the rate set out in item 4 or 19 of the Second Schedule, as the case requires.</w:t>
      </w:r>
    </w:p>
    <w:p>
      <w:pPr>
        <w:pStyle w:val="Subsection"/>
      </w:pPr>
      <w:r>
        <w:tab/>
        <w:t>(3)</w:t>
      </w:r>
      <w:r>
        <w:tab/>
        <w:t>If the Commissioner is satisfied that —</w:t>
      </w:r>
    </w:p>
    <w:p>
      <w:pPr>
        <w:pStyle w:val="Indenta"/>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pPr>
      <w:r>
        <w:tab/>
      </w:r>
      <w:r>
        <w:tab/>
        <w:t>then —</w:t>
      </w:r>
    </w:p>
    <w:p>
      <w:pPr>
        <w:pStyle w:val="Indenta"/>
      </w:pPr>
      <w:r>
        <w:tab/>
        <w:t>(d)</w:t>
      </w:r>
      <w:r>
        <w:tab/>
        <w:t>to the extent that —</w:t>
      </w:r>
    </w:p>
    <w:p>
      <w:pPr>
        <w:pStyle w:val="Indenti"/>
      </w:pPr>
      <w:r>
        <w:rPr>
          <w:spacing w:val="-4"/>
        </w:rPr>
        <w:tab/>
        <w:t>(i)</w:t>
      </w:r>
      <w:r>
        <w:rPr>
          <w:spacing w:val="-4"/>
        </w:rP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543" w:name="_Toc107054905"/>
      <w:bookmarkStart w:id="544" w:name="_Toc134854642"/>
      <w:bookmarkStart w:id="545" w:name="_Toc136841095"/>
      <w:r>
        <w:rPr>
          <w:rStyle w:val="CharSectno"/>
        </w:rPr>
        <w:t>74</w:t>
      </w:r>
      <w:r>
        <w:rPr>
          <w:snapToGrid w:val="0"/>
        </w:rPr>
        <w:t>.</w:t>
      </w:r>
      <w:r>
        <w:rPr>
          <w:snapToGrid w:val="0"/>
        </w:rPr>
        <w:tab/>
        <w:t>Certain contracts to be chargeable as conveyances on sale</w:t>
      </w:r>
      <w:bookmarkEnd w:id="539"/>
      <w:bookmarkEnd w:id="540"/>
      <w:bookmarkEnd w:id="541"/>
      <w:bookmarkEnd w:id="542"/>
      <w:bookmarkEnd w:id="543"/>
      <w:bookmarkEnd w:id="544"/>
      <w:bookmarkEnd w:id="545"/>
    </w:p>
    <w:p>
      <w:pPr>
        <w:pStyle w:val="Subsection"/>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rPr>
          <w:spacing w:val="-4"/>
        </w:rPr>
      </w:pPr>
      <w:r>
        <w:rPr>
          <w:spacing w:val="-4"/>
        </w:rPr>
        <w:tab/>
        <w:t>(b)</w:t>
      </w:r>
      <w:r>
        <w:rPr>
          <w:spacing w:val="-4"/>
        </w:rP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rPr>
          <w:snapToGrid w:val="0"/>
        </w:rPr>
      </w:pPr>
      <w:bookmarkStart w:id="546" w:name="_Toc500739938"/>
      <w:bookmarkStart w:id="547" w:name="_Toc520101129"/>
      <w:bookmarkStart w:id="548" w:name="_Toc520533028"/>
      <w:bookmarkStart w:id="549" w:name="_Toc49223914"/>
      <w:bookmarkStart w:id="550" w:name="_Toc107054906"/>
      <w:bookmarkStart w:id="551" w:name="_Toc134854643"/>
      <w:bookmarkStart w:id="552" w:name="_Toc136841096"/>
      <w:r>
        <w:rPr>
          <w:rStyle w:val="CharSectno"/>
        </w:rPr>
        <w:t>74A</w:t>
      </w:r>
      <w:r>
        <w:rPr>
          <w:snapToGrid w:val="0"/>
        </w:rPr>
        <w:t>.</w:t>
      </w:r>
      <w:r>
        <w:rPr>
          <w:snapToGrid w:val="0"/>
        </w:rPr>
        <w:tab/>
        <w:t>Duty chargeable on certain conveyances of corporation property</w:t>
      </w:r>
      <w:bookmarkEnd w:id="546"/>
      <w:bookmarkEnd w:id="547"/>
      <w:bookmarkEnd w:id="548"/>
      <w:bookmarkEnd w:id="549"/>
      <w:bookmarkEnd w:id="550"/>
      <w:bookmarkEnd w:id="551"/>
      <w:bookmarkEnd w:id="552"/>
    </w:p>
    <w:p>
      <w:pPr>
        <w:pStyle w:val="Subsection"/>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60"/>
        <w:rPr>
          <w:snapToGrid w:val="0"/>
        </w:rPr>
      </w:pPr>
      <w:r>
        <w:rPr>
          <w:snapToGrid w:val="0"/>
        </w:rPr>
        <w:tab/>
        <w:t>(a)</w:t>
      </w:r>
      <w:r>
        <w:rPr>
          <w:snapToGrid w:val="0"/>
        </w:rPr>
        <w:tab/>
        <w:t>the duration of the shareholder’s shareholding in the corporation;</w:t>
      </w:r>
    </w:p>
    <w:p>
      <w:pPr>
        <w:pStyle w:val="Indenta"/>
        <w:spacing w:before="6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6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60"/>
        <w:rPr>
          <w:snapToGrid w:val="0"/>
        </w:rPr>
      </w:pPr>
      <w:r>
        <w:rPr>
          <w:snapToGrid w:val="0"/>
        </w:rPr>
        <w:tab/>
        <w:t>(d)</w:t>
      </w:r>
      <w:r>
        <w:rPr>
          <w:snapToGrid w:val="0"/>
        </w:rPr>
        <w:tab/>
        <w:t>any dealing in shares of the corporation or a related corporation of the corporation —</w:t>
      </w:r>
    </w:p>
    <w:p>
      <w:pPr>
        <w:pStyle w:val="Indenti"/>
        <w:spacing w:before="60"/>
        <w:rPr>
          <w:snapToGrid w:val="0"/>
        </w:rPr>
      </w:pPr>
      <w:r>
        <w:rPr>
          <w:snapToGrid w:val="0"/>
        </w:rPr>
        <w:tab/>
        <w:t>(i)</w:t>
      </w:r>
      <w:r>
        <w:rPr>
          <w:snapToGrid w:val="0"/>
        </w:rPr>
        <w:tab/>
        <w:t>by the shareholder or a related corporation of the shareholder; or</w:t>
      </w:r>
    </w:p>
    <w:p>
      <w:pPr>
        <w:pStyle w:val="Indenti"/>
        <w:spacing w:before="60"/>
        <w:rPr>
          <w:snapToGrid w:val="0"/>
        </w:rPr>
      </w:pPr>
      <w:r>
        <w:rPr>
          <w:snapToGrid w:val="0"/>
        </w:rPr>
        <w:tab/>
        <w:t>(ii)</w:t>
      </w:r>
      <w:r>
        <w:rPr>
          <w:snapToGrid w:val="0"/>
        </w:rPr>
        <w:tab/>
        <w:t>by a previous owner of the property;</w:t>
      </w:r>
    </w:p>
    <w:p>
      <w:pPr>
        <w:pStyle w:val="Indenta"/>
        <w:spacing w:before="6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60"/>
        <w:rPr>
          <w:snapToGrid w:val="0"/>
        </w:rPr>
      </w:pPr>
      <w:r>
        <w:rPr>
          <w:snapToGrid w:val="0"/>
        </w:rPr>
        <w:tab/>
        <w:t>(i)</w:t>
      </w:r>
      <w:r>
        <w:rPr>
          <w:snapToGrid w:val="0"/>
        </w:rPr>
        <w:tab/>
        <w:t>the corporation;</w:t>
      </w:r>
    </w:p>
    <w:p>
      <w:pPr>
        <w:pStyle w:val="Indenti"/>
        <w:spacing w:before="60"/>
        <w:rPr>
          <w:snapToGrid w:val="0"/>
        </w:rPr>
      </w:pPr>
      <w:r>
        <w:rPr>
          <w:snapToGrid w:val="0"/>
        </w:rPr>
        <w:tab/>
        <w:t>(ii)</w:t>
      </w:r>
      <w:r>
        <w:rPr>
          <w:snapToGrid w:val="0"/>
        </w:rPr>
        <w:tab/>
        <w:t>the shareholder;</w:t>
      </w:r>
    </w:p>
    <w:p>
      <w:pPr>
        <w:pStyle w:val="Indenti"/>
        <w:spacing w:before="60"/>
        <w:rPr>
          <w:snapToGrid w:val="0"/>
        </w:rPr>
      </w:pPr>
      <w:r>
        <w:rPr>
          <w:snapToGrid w:val="0"/>
        </w:rPr>
        <w:tab/>
        <w:t>(iii)</w:t>
      </w:r>
      <w:r>
        <w:rPr>
          <w:snapToGrid w:val="0"/>
        </w:rPr>
        <w:tab/>
        <w:t>a related corporation of the corporation or the shareholder;</w:t>
      </w:r>
    </w:p>
    <w:p>
      <w:pPr>
        <w:pStyle w:val="Indenti"/>
        <w:spacing w:before="60"/>
      </w:pPr>
      <w:r>
        <w:tab/>
        <w:t>(iv)</w:t>
      </w:r>
      <w:r>
        <w:tab/>
        <w:t>a person who has a substantial holding (as defined in the Corporations Act) in a person referred to in subparagraph (i), (ii) or (iii),</w:t>
      </w:r>
    </w:p>
    <w:p>
      <w:pPr>
        <w:pStyle w:val="Indenta"/>
        <w:spacing w:before="60"/>
        <w:rPr>
          <w:snapToGrid w:val="0"/>
        </w:rPr>
      </w:pPr>
      <w:r>
        <w:rPr>
          <w:snapToGrid w:val="0"/>
        </w:rPr>
        <w:tab/>
      </w:r>
      <w:r>
        <w:rPr>
          <w:snapToGrid w:val="0"/>
        </w:rPr>
        <w:tab/>
        <w:t>in relation to the winding up, other than to reduce the duty otherwise payable on the conveyance or transfer; and</w:t>
      </w:r>
    </w:p>
    <w:p>
      <w:pPr>
        <w:pStyle w:val="Indenta"/>
        <w:spacing w:before="60"/>
        <w:rPr>
          <w:snapToGrid w:val="0"/>
        </w:rPr>
      </w:pPr>
      <w:r>
        <w:rPr>
          <w:snapToGrid w:val="0"/>
        </w:rPr>
        <w:tab/>
        <w:t>(f)</w:t>
      </w:r>
      <w:r>
        <w:rPr>
          <w:snapToGrid w:val="0"/>
        </w:rPr>
        <w:tab/>
        <w:t>any other matters he or she considers relevant.</w:t>
      </w:r>
    </w:p>
    <w:p>
      <w:pPr>
        <w:pStyle w:val="Subsection"/>
        <w:rPr>
          <w:snapToGrid w:val="0"/>
        </w:rPr>
      </w:pPr>
      <w:r>
        <w:rPr>
          <w:snapToGrid w:val="0"/>
        </w:rPr>
        <w:tab/>
        <w:t>(4)</w:t>
      </w:r>
      <w:r>
        <w:rPr>
          <w:snapToGrid w:val="0"/>
        </w:rPr>
        <w:tab/>
        <w:t>The deduction to be made under subsection (2) shall be calculated as follows:</w:t>
      </w:r>
    </w:p>
    <w:p>
      <w:pPr>
        <w:pStyle w:val="Equation"/>
        <w:ind w:left="2640"/>
      </w:pPr>
      <w:r>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fillcolor="window">
            <v:imagedata r:id="rId16" o:title=""/>
          </v:shape>
        </w:pict>
      </w:r>
    </w:p>
    <w:p>
      <w:pPr>
        <w:pStyle w:val="Subsection"/>
        <w:spacing w:before="120"/>
        <w:rPr>
          <w:snapToGrid w:val="0"/>
        </w:rPr>
      </w:pPr>
      <w:r>
        <w:rPr>
          <w:snapToGrid w:val="0"/>
        </w:rPr>
        <w:tab/>
      </w:r>
      <w:r>
        <w:rPr>
          <w:snapToGrid w:val="0"/>
        </w:rPr>
        <w:tab/>
        <w:t>where:</w:t>
      </w:r>
    </w:p>
    <w:p>
      <w:pPr>
        <w:pStyle w:val="Indenta"/>
        <w:spacing w:before="60"/>
        <w:rPr>
          <w:snapToGrid w:val="0"/>
        </w:rPr>
      </w:pPr>
      <w:r>
        <w:rPr>
          <w:snapToGrid w:val="0"/>
        </w:rPr>
        <w:tab/>
        <w:t>A</w:t>
      </w:r>
      <w:r>
        <w:rPr>
          <w:snapToGrid w:val="0"/>
        </w:rPr>
        <w:tab/>
        <w:t>is the value of the shareholder’s entitlement in the undistributed assets of the corporation as determined under subsection (5);</w:t>
      </w:r>
    </w:p>
    <w:p>
      <w:pPr>
        <w:pStyle w:val="Indenta"/>
        <w:spacing w:before="60"/>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553" w:name="_Toc107054907"/>
      <w:bookmarkStart w:id="554" w:name="_Toc134854644"/>
      <w:bookmarkStart w:id="555" w:name="_Toc136841097"/>
      <w:bookmarkStart w:id="556" w:name="_Toc500739939"/>
      <w:bookmarkStart w:id="557" w:name="_Toc520101130"/>
      <w:bookmarkStart w:id="558" w:name="_Toc520533029"/>
      <w:bookmarkStart w:id="559" w:name="_Toc49223915"/>
      <w:r>
        <w:rPr>
          <w:rStyle w:val="CharSectno"/>
        </w:rPr>
        <w:t>74B</w:t>
      </w:r>
      <w:r>
        <w:t>.</w:t>
      </w:r>
      <w:r>
        <w:tab/>
        <w:t>Transactions involving a call option and a put option</w:t>
      </w:r>
      <w:bookmarkEnd w:id="553"/>
      <w:bookmarkEnd w:id="554"/>
      <w:bookmarkEnd w:id="555"/>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(“A”) has a right to require another person (“B”)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(“C”)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pPr>
      <w:r>
        <w:tab/>
        <w:t>(a)</w:t>
      </w:r>
      <w:r>
        <w:tab/>
        <w:t>the sum of —</w:t>
      </w:r>
    </w:p>
    <w:p>
      <w:pPr>
        <w:pStyle w:val="Indenti"/>
      </w:pPr>
      <w:r>
        <w:tab/>
        <w:t>(i)</w:t>
      </w:r>
      <w:r>
        <w:tab/>
        <w:t>the amount paid by way of consideration for the assignment of the right referred to in subsection (9)(a); and</w:t>
      </w:r>
    </w:p>
    <w:p>
      <w:pPr>
        <w:pStyle w:val="Indenti"/>
      </w:pPr>
      <w:r>
        <w:tab/>
        <w:t>(ii)</w:t>
      </w:r>
      <w:r>
        <w:tab/>
        <w:t>the amount payable in the event of the right referred to in subsection (9)(a) being exercised;</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keepNext/>
      </w:pPr>
      <w:r>
        <w:tab/>
        <w:t>(13)</w:t>
      </w:r>
      <w:r>
        <w:tab/>
        <w:t>If as a result of the right referred to in subsection (9)(a) or the right referred to in subsection (9)(b)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pPr>
      <w:r>
        <w:tab/>
        <w:t>(a)</w:t>
      </w:r>
      <w:r>
        <w:tab/>
        <w:t>the call option and the put option both expire without being exercised; or</w:t>
      </w:r>
    </w:p>
    <w:p>
      <w:pPr>
        <w:pStyle w:val="Indenta"/>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spacing w:before="60"/>
      </w:pPr>
      <w:r>
        <w:tab/>
        <w:t>(a)</w:t>
      </w:r>
      <w:r>
        <w:tab/>
        <w:t>in the case of subsection (14), as soon as the call option and the put option had both expired; or</w:t>
      </w:r>
    </w:p>
    <w:p>
      <w:pPr>
        <w:pStyle w:val="Indenta"/>
        <w:spacing w:before="60"/>
      </w:pPr>
      <w:r>
        <w:tab/>
        <w:t>(b)</w:t>
      </w:r>
      <w:r>
        <w:tab/>
        <w:t>in the case of subsection (15), as soon as the rights referred to in subsection (9)(a) and (b) had both expired.</w:t>
      </w:r>
    </w:p>
    <w:p>
      <w:pPr>
        <w:pStyle w:val="Subsection"/>
      </w:pPr>
      <w:r>
        <w:tab/>
        <w:t>(18)</w:t>
      </w:r>
      <w:r>
        <w:tab/>
        <w:t>In relation to duty paid because of subsections (6) and (7) —</w:t>
      </w:r>
    </w:p>
    <w:p>
      <w:pPr>
        <w:pStyle w:val="Indenta"/>
        <w:spacing w:before="70"/>
      </w:pPr>
      <w:r>
        <w:tab/>
        <w:t>(a)</w:t>
      </w:r>
      <w:r>
        <w:tab/>
        <w:t>the matter is not carried into effect for the purposes of section 20(1)(a) or (2)(a) if —</w:t>
      </w:r>
    </w:p>
    <w:p>
      <w:pPr>
        <w:pStyle w:val="Indenti"/>
        <w:spacing w:before="70"/>
      </w:pPr>
      <w:r>
        <w:tab/>
        <w:t>(i)</w:t>
      </w:r>
      <w:r>
        <w:tab/>
        <w:t>the call option and the put option are rescinded or cancelled by agreement; or</w:t>
      </w:r>
    </w:p>
    <w:p>
      <w:pPr>
        <w:pStyle w:val="Indenti"/>
        <w:spacing w:before="70"/>
      </w:pPr>
      <w:r>
        <w:tab/>
        <w:t>(ii)</w:t>
      </w:r>
      <w:r>
        <w:tab/>
        <w:t>after either of those options expires without being exercised, the other is rescinded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(6) and (7).</w:t>
      </w:r>
    </w:p>
    <w:p>
      <w:pPr>
        <w:pStyle w:val="Subsection"/>
      </w:pPr>
      <w:r>
        <w:tab/>
        <w:t>(19)</w:t>
      </w:r>
      <w:r>
        <w:tab/>
        <w:t>In relation to duty paid because of subsections (11) and (12) —</w:t>
      </w:r>
    </w:p>
    <w:p>
      <w:pPr>
        <w:pStyle w:val="Indenta"/>
        <w:spacing w:before="70"/>
      </w:pPr>
      <w:r>
        <w:tab/>
        <w:t>(a)</w:t>
      </w:r>
      <w:r>
        <w:tab/>
        <w:t>the matter is not carried into effect for the purposes of section 20(1)(a) or (2)(a) if —</w:t>
      </w:r>
    </w:p>
    <w:p>
      <w:pPr>
        <w:pStyle w:val="Indenti"/>
        <w:spacing w:before="70"/>
      </w:pPr>
      <w:r>
        <w:tab/>
        <w:t>(i)</w:t>
      </w:r>
      <w:r>
        <w:tab/>
        <w:t>the rights referred to in subsection (9)(a) or (b) are rescinded, withdrawn, surrendered or cancelled by agreement; or</w:t>
      </w:r>
    </w:p>
    <w:p>
      <w:pPr>
        <w:pStyle w:val="Indenti"/>
        <w:spacing w:before="70"/>
      </w:pPr>
      <w:r>
        <w:tab/>
        <w:t>(ii)</w:t>
      </w:r>
      <w:r>
        <w:tab/>
        <w:t>after either of those rights expires without being exercised, the other is rescinded, withdrawn, surrendered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(11) and (12).</w:t>
      </w:r>
    </w:p>
    <w:p>
      <w:pPr>
        <w:pStyle w:val="Footnotesection"/>
      </w:pPr>
      <w:r>
        <w:tab/>
        <w:t>[Section 74B inserted by No. 66 of 2003 s. 37.]</w:t>
      </w:r>
    </w:p>
    <w:p>
      <w:pPr>
        <w:pStyle w:val="Heading5"/>
      </w:pPr>
      <w:bookmarkStart w:id="560" w:name="_Toc107054908"/>
      <w:bookmarkStart w:id="561" w:name="_Toc134854645"/>
      <w:bookmarkStart w:id="562" w:name="_Toc136841098"/>
      <w:r>
        <w:rPr>
          <w:rStyle w:val="CharSectno"/>
        </w:rPr>
        <w:t>74C</w:t>
      </w:r>
      <w:r>
        <w:t>.</w:t>
      </w:r>
      <w:r>
        <w:tab/>
        <w:t>Acquisition of certain business assets</w:t>
      </w:r>
      <w:bookmarkEnd w:id="560"/>
      <w:bookmarkEnd w:id="561"/>
      <w:bookmarkEnd w:id="562"/>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spacing w:before="70"/>
      </w:pPr>
      <w:r>
        <w:tab/>
        <w:t>(ii)</w:t>
      </w:r>
      <w:r>
        <w:tab/>
        <w:t>a common format or common procedure, or both;</w:t>
      </w:r>
    </w:p>
    <w:p>
      <w:pPr>
        <w:pStyle w:val="Defpara"/>
        <w:spacing w:before="70"/>
      </w:pPr>
      <w:r>
        <w:tab/>
      </w:r>
      <w:r>
        <w:tab/>
        <w:t>and</w:t>
      </w:r>
    </w:p>
    <w:p>
      <w:pPr>
        <w:pStyle w:val="Defpara"/>
        <w:spacing w:before="70"/>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spacing w:before="70"/>
      </w:pPr>
      <w:r>
        <w:rPr>
          <w:b/>
        </w:rPr>
        <w:tab/>
        <w:t>“</w:t>
      </w:r>
      <w:r>
        <w:rPr>
          <w:rStyle w:val="CharDefText"/>
        </w:rPr>
        <w:t>intellectual property</w:t>
      </w:r>
      <w:r>
        <w:rPr>
          <w:b/>
        </w:rPr>
        <w:t>”</w:t>
      </w:r>
      <w:r>
        <w:t xml:space="preserve"> means —</w:t>
      </w:r>
    </w:p>
    <w:p>
      <w:pPr>
        <w:pStyle w:val="Defpara"/>
        <w:spacing w:before="70"/>
      </w:pPr>
      <w:r>
        <w:tab/>
        <w:t>(a)</w:t>
      </w:r>
      <w:r>
        <w:tab/>
        <w:t>a patent, trademark, industrial design, copyright, registered design, plant breeder right or circuit layout right;</w:t>
      </w:r>
    </w:p>
    <w:p>
      <w:pPr>
        <w:pStyle w:val="Defpara"/>
        <w:spacing w:before="70"/>
      </w:pPr>
      <w:r>
        <w:tab/>
        <w:t>(b)</w:t>
      </w:r>
      <w:r>
        <w:tab/>
        <w:t>anything else that has the following characteristics —</w:t>
      </w:r>
    </w:p>
    <w:p>
      <w:pPr>
        <w:pStyle w:val="Defsubpara"/>
        <w:spacing w:before="7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spacing w:before="7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70"/>
      </w:pPr>
      <w:r>
        <w:tab/>
      </w:r>
      <w:r>
        <w:tab/>
        <w:t>or</w:t>
      </w:r>
    </w:p>
    <w:p>
      <w:pPr>
        <w:pStyle w:val="Defpara"/>
        <w:spacing w:before="70"/>
      </w:pPr>
      <w:r>
        <w:tab/>
        <w:t>(c)</w:t>
      </w:r>
      <w:r>
        <w:tab/>
        <w:t>a right to use or exploit —</w:t>
      </w:r>
    </w:p>
    <w:p>
      <w:pPr>
        <w:pStyle w:val="Defsubpara"/>
        <w:spacing w:before="70"/>
      </w:pPr>
      <w:r>
        <w:tab/>
        <w:t>(i)</w:t>
      </w:r>
      <w:r>
        <w:tab/>
        <w:t>anything mentioned in paragraph (a) or (b); or</w:t>
      </w:r>
    </w:p>
    <w:p>
      <w:pPr>
        <w:pStyle w:val="Defsubpara"/>
        <w:spacing w:before="70"/>
      </w:pPr>
      <w:r>
        <w:tab/>
        <w:t>(ii)</w:t>
      </w:r>
      <w:r>
        <w:tab/>
        <w:t>an adaptation or modification of anything mentioned in paragraph (a) or (b);</w:t>
      </w:r>
    </w:p>
    <w:p>
      <w:pPr>
        <w:pStyle w:val="Defstart"/>
        <w:spacing w:before="70"/>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pict>
          <v:shape id="_x0000_i1026" type="#_x0000_t75" style="width:107.25pt;height:30.75pt">
            <v:imagedata r:id="rId17" o:title=""/>
          </v:shape>
        </w:pi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pict>
          <v:shape id="_x0000_i1027" type="#_x0000_t75" style="width:89.25pt;height:30.75pt">
            <v:imagedata r:id="rId18" o:title=""/>
          </v:shape>
        </w:pi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563" w:name="_Toc107054909"/>
      <w:bookmarkStart w:id="564" w:name="_Toc134854646"/>
      <w:bookmarkStart w:id="565" w:name="_Toc136841099"/>
      <w:r>
        <w:rPr>
          <w:rStyle w:val="CharSectno"/>
        </w:rPr>
        <w:t>75</w:t>
      </w:r>
      <w:r>
        <w:rPr>
          <w:snapToGrid w:val="0"/>
        </w:rPr>
        <w:t>.</w:t>
      </w:r>
      <w:r>
        <w:rPr>
          <w:snapToGrid w:val="0"/>
        </w:rPr>
        <w:tab/>
        <w:t>Duty chargeable on conveyance for less than full consideration</w:t>
      </w:r>
      <w:bookmarkEnd w:id="556"/>
      <w:bookmarkEnd w:id="557"/>
      <w:bookmarkEnd w:id="558"/>
      <w:bookmarkEnd w:id="559"/>
      <w:bookmarkEnd w:id="563"/>
      <w:bookmarkEnd w:id="564"/>
      <w:bookmarkEnd w:id="565"/>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00"/>
        <w:rPr>
          <w:snapToGrid w:val="0"/>
        </w:rPr>
      </w:pPr>
      <w:r>
        <w:rPr>
          <w:snapToGrid w:val="0"/>
        </w:rPr>
        <w:tab/>
      </w:r>
      <w:r>
        <w:rPr>
          <w:snapToGrid w:val="0"/>
        </w:rPr>
        <w:tab/>
        <w:t>shall not be charged with duty under this section.</w:t>
      </w:r>
    </w:p>
    <w:p>
      <w:pPr>
        <w:pStyle w:val="Footnotesection"/>
        <w:keepLines w:val="0"/>
      </w:pPr>
      <w:r>
        <w:tab/>
        <w:t>[Section 75 inserted by No. 81 of 1984 s. 22; amended by No. 33 of 1987 s. 21; No. 100 of 1987 s. 4; No. 39 of 1994 s. 14 and 21; No. 20 of 1996 s. 25; No. 13 of 1997 s. 42; No. 2 of 2003 s. 60; No. 66 of 2003 s. 38.]</w:t>
      </w:r>
    </w:p>
    <w:p>
      <w:pPr>
        <w:pStyle w:val="Heading5"/>
      </w:pPr>
      <w:bookmarkStart w:id="566" w:name="_Toc49223916"/>
      <w:bookmarkStart w:id="567" w:name="_Toc107054910"/>
      <w:bookmarkStart w:id="568" w:name="_Toc134854647"/>
      <w:bookmarkStart w:id="569" w:name="_Toc136841100"/>
      <w:bookmarkStart w:id="570" w:name="_Toc500739941"/>
      <w:bookmarkStart w:id="571" w:name="_Toc520101132"/>
      <w:bookmarkStart w:id="572" w:name="_Toc520533031"/>
      <w:r>
        <w:rPr>
          <w:rStyle w:val="CharSectno"/>
        </w:rPr>
        <w:t>75A</w:t>
      </w:r>
      <w:r>
        <w:t>.</w:t>
      </w:r>
      <w:r>
        <w:tab/>
        <w:t>Power to exempt instruments made for charitable or similar purposes</w:t>
      </w:r>
      <w:bookmarkEnd w:id="566"/>
      <w:bookmarkEnd w:id="567"/>
      <w:bookmarkEnd w:id="568"/>
      <w:bookmarkEnd w:id="569"/>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573" w:name="_Toc500739942"/>
      <w:bookmarkStart w:id="574" w:name="_Toc520101133"/>
      <w:bookmarkStart w:id="575" w:name="_Toc520533032"/>
      <w:bookmarkEnd w:id="570"/>
      <w:bookmarkEnd w:id="571"/>
      <w:bookmarkEnd w:id="572"/>
      <w:r>
        <w:t>[</w:t>
      </w:r>
      <w:r>
        <w:rPr>
          <w:b/>
        </w:rPr>
        <w:t>75AA.</w:t>
      </w:r>
      <w:r>
        <w:tab/>
        <w:t>Repealed by No. 2 of 2003 s. 61.]</w:t>
      </w:r>
    </w:p>
    <w:p>
      <w:pPr>
        <w:pStyle w:val="Heading5"/>
        <w:rPr>
          <w:snapToGrid w:val="0"/>
        </w:rPr>
      </w:pPr>
      <w:bookmarkStart w:id="576" w:name="_Toc49223917"/>
      <w:bookmarkStart w:id="577" w:name="_Toc107054911"/>
      <w:bookmarkStart w:id="578" w:name="_Toc134854648"/>
      <w:bookmarkStart w:id="579" w:name="_Toc136841101"/>
      <w:r>
        <w:rPr>
          <w:rStyle w:val="CharSectno"/>
        </w:rPr>
        <w:t>75AB</w:t>
      </w:r>
      <w:r>
        <w:rPr>
          <w:snapToGrid w:val="0"/>
        </w:rPr>
        <w:t>.</w:t>
      </w:r>
      <w:r>
        <w:rPr>
          <w:snapToGrid w:val="0"/>
        </w:rPr>
        <w:tab/>
        <w:t>Power to exempt instruments made in respect of certain funds or schemes</w:t>
      </w:r>
      <w:bookmarkEnd w:id="573"/>
      <w:bookmarkEnd w:id="574"/>
      <w:bookmarkEnd w:id="575"/>
      <w:bookmarkEnd w:id="576"/>
      <w:bookmarkEnd w:id="577"/>
      <w:bookmarkEnd w:id="578"/>
      <w:bookmarkEnd w:id="579"/>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pPr>
      <w:bookmarkStart w:id="580" w:name="_Toc500739943"/>
      <w:bookmarkStart w:id="581" w:name="_Toc520101134"/>
      <w:bookmarkStart w:id="582" w:name="_Toc520533033"/>
      <w:bookmarkStart w:id="583" w:name="_Toc49223918"/>
      <w:bookmarkStart w:id="584" w:name="_Toc107054912"/>
      <w:bookmarkStart w:id="585" w:name="_Toc134854649"/>
      <w:bookmarkStart w:id="586" w:name="_Toc136841102"/>
      <w:r>
        <w:rPr>
          <w:rStyle w:val="CharSectno"/>
        </w:rPr>
        <w:t>75ABA</w:t>
      </w:r>
      <w:r>
        <w:t>.</w:t>
      </w:r>
      <w:r>
        <w:tab/>
        <w:t xml:space="preserve">Power to exempt transfers by bankruptcy trustee to </w:t>
      </w:r>
      <w:bookmarkEnd w:id="580"/>
      <w:bookmarkEnd w:id="581"/>
      <w:bookmarkEnd w:id="582"/>
      <w:bookmarkEnd w:id="583"/>
      <w:r>
        <w:t>bankrupt</w:t>
      </w:r>
      <w:bookmarkEnd w:id="584"/>
      <w:bookmarkEnd w:id="585"/>
      <w:bookmarkEnd w:id="586"/>
    </w:p>
    <w:p>
      <w:pPr>
        <w:pStyle w:val="Subsection"/>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pPr>
      <w:r>
        <w:tab/>
        <w:t>(2)</w:t>
      </w:r>
      <w:r>
        <w:tab/>
        <w:t>In this section —</w:t>
      </w:r>
    </w:p>
    <w:p>
      <w:pPr>
        <w:pStyle w:val="Defstart"/>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r>
      <w:r>
        <w:tab/>
        <w:t xml:space="preserve">under the </w:t>
      </w:r>
      <w:r>
        <w:rPr>
          <w:i/>
        </w:rPr>
        <w:t>Bankruptcy Act 1966</w:t>
      </w:r>
      <w:r>
        <w:t xml:space="preserve"> of the Commonwealth.</w:t>
      </w:r>
    </w:p>
    <w:p>
      <w:pPr>
        <w:pStyle w:val="Footnotesection"/>
      </w:pPr>
      <w:r>
        <w:tab/>
        <w:t>[Section 75ABA inserted by No. 28 of 2000 s. 5; amended by No. 2 of 2003 s. 63.]</w:t>
      </w:r>
    </w:p>
    <w:p>
      <w:pPr>
        <w:pStyle w:val="Heading5"/>
        <w:rPr>
          <w:snapToGrid w:val="0"/>
        </w:rPr>
      </w:pPr>
      <w:bookmarkStart w:id="587" w:name="_Toc500739944"/>
      <w:bookmarkStart w:id="588" w:name="_Toc520101135"/>
      <w:bookmarkStart w:id="589" w:name="_Toc520533034"/>
      <w:bookmarkStart w:id="590" w:name="_Toc49223919"/>
      <w:bookmarkStart w:id="591" w:name="_Toc107054913"/>
      <w:bookmarkStart w:id="592" w:name="_Toc134854650"/>
      <w:bookmarkStart w:id="593" w:name="_Toc136841103"/>
      <w:r>
        <w:rPr>
          <w:rStyle w:val="CharSectno"/>
        </w:rPr>
        <w:t>75AC</w:t>
      </w:r>
      <w:r>
        <w:rPr>
          <w:snapToGrid w:val="0"/>
        </w:rPr>
        <w:t>.</w:t>
      </w:r>
      <w:r>
        <w:rPr>
          <w:snapToGrid w:val="0"/>
        </w:rPr>
        <w:tab/>
        <w:t>Exchange of property</w:t>
      </w:r>
      <w:bookmarkEnd w:id="587"/>
      <w:bookmarkEnd w:id="588"/>
      <w:bookmarkEnd w:id="589"/>
      <w:bookmarkEnd w:id="590"/>
      <w:bookmarkEnd w:id="591"/>
      <w:bookmarkEnd w:id="592"/>
      <w:bookmarkEnd w:id="593"/>
    </w:p>
    <w:p>
      <w:pPr>
        <w:pStyle w:val="Subsection"/>
        <w:keepNext/>
        <w:keepLines/>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rPr>
          <w:snapToGrid w:val="0"/>
        </w:rPr>
      </w:pPr>
      <w:bookmarkStart w:id="594" w:name="_Toc500739945"/>
      <w:bookmarkStart w:id="595" w:name="_Toc520101136"/>
      <w:bookmarkStart w:id="596" w:name="_Toc520533035"/>
      <w:bookmarkStart w:id="597" w:name="_Toc49223920"/>
      <w:bookmarkStart w:id="598" w:name="_Toc107054914"/>
      <w:bookmarkStart w:id="599" w:name="_Toc134854651"/>
      <w:bookmarkStart w:id="600" w:name="_Toc136841104"/>
      <w:r>
        <w:rPr>
          <w:rStyle w:val="CharSectno"/>
        </w:rPr>
        <w:t>75AD</w:t>
      </w:r>
      <w:r>
        <w:rPr>
          <w:snapToGrid w:val="0"/>
        </w:rPr>
        <w:t>.</w:t>
      </w:r>
      <w:r>
        <w:rPr>
          <w:snapToGrid w:val="0"/>
        </w:rPr>
        <w:tab/>
        <w:t>Duty chargeable on partition of property</w:t>
      </w:r>
      <w:bookmarkEnd w:id="594"/>
      <w:bookmarkEnd w:id="595"/>
      <w:bookmarkEnd w:id="596"/>
      <w:bookmarkEnd w:id="597"/>
      <w:bookmarkEnd w:id="598"/>
      <w:bookmarkEnd w:id="599"/>
      <w:bookmarkEnd w:id="600"/>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pPr>
      <w:bookmarkStart w:id="601" w:name="_Toc49223921"/>
      <w:bookmarkStart w:id="602" w:name="_Toc107054915"/>
      <w:bookmarkStart w:id="603" w:name="_Toc134854652"/>
      <w:bookmarkStart w:id="604" w:name="_Toc136841105"/>
      <w:bookmarkStart w:id="605" w:name="_Toc500739947"/>
      <w:bookmarkStart w:id="606" w:name="_Toc520101138"/>
      <w:bookmarkStart w:id="607" w:name="_Toc520533037"/>
      <w:r>
        <w:rPr>
          <w:rStyle w:val="CharSectno"/>
        </w:rPr>
        <w:t>75AE</w:t>
      </w:r>
      <w:r>
        <w:t>.</w:t>
      </w:r>
      <w:r>
        <w:tab/>
        <w:t>Concessional rates for certain residential or business property</w:t>
      </w:r>
      <w:bookmarkEnd w:id="601"/>
      <w:bookmarkEnd w:id="602"/>
      <w:bookmarkEnd w:id="603"/>
      <w:bookmarkEnd w:id="604"/>
    </w:p>
    <w:p>
      <w:pPr>
        <w:pStyle w:val="Subsection"/>
        <w:spacing w:before="14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spacing w:before="60"/>
      </w:pPr>
      <w:r>
        <w:tab/>
        <w:t>(b)</w:t>
      </w:r>
      <w:r>
        <w:tab/>
        <w:t>the value of the property does not exceed $200 000; and</w:t>
      </w:r>
    </w:p>
    <w:p>
      <w:pPr>
        <w:pStyle w:val="Indenta"/>
        <w:spacing w:before="60"/>
      </w:pPr>
      <w:r>
        <w:tab/>
        <w:t>(c)</w:t>
      </w:r>
      <w:r>
        <w:tab/>
        <w:t>the property is conveyed or transferred to —</w:t>
      </w:r>
    </w:p>
    <w:p>
      <w:pPr>
        <w:pStyle w:val="Indenti"/>
        <w:spacing w:before="60"/>
      </w:pPr>
      <w:r>
        <w:tab/>
        <w:t>(i)</w:t>
      </w:r>
      <w:r>
        <w:tab/>
        <w:t>one person who is an eligible purchaser;</w:t>
      </w:r>
    </w:p>
    <w:p>
      <w:pPr>
        <w:pStyle w:val="Indenti"/>
        <w:spacing w:before="60"/>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608" w:name="_Toc49223922"/>
      <w:bookmarkStart w:id="609" w:name="_Toc107054916"/>
      <w:bookmarkStart w:id="610" w:name="_Toc134854653"/>
      <w:bookmarkStart w:id="611" w:name="_Toc136841106"/>
      <w:r>
        <w:rPr>
          <w:rStyle w:val="CharSectno"/>
        </w:rPr>
        <w:t>75AF</w:t>
      </w:r>
      <w:r>
        <w:rPr>
          <w:snapToGrid w:val="0"/>
        </w:rPr>
        <w:t>.</w:t>
      </w:r>
      <w:r>
        <w:rPr>
          <w:snapToGrid w:val="0"/>
        </w:rPr>
        <w:tab/>
        <w:t>Computation of duty for 2 or more instruments</w:t>
      </w:r>
      <w:bookmarkEnd w:id="605"/>
      <w:bookmarkEnd w:id="606"/>
      <w:bookmarkEnd w:id="607"/>
      <w:bookmarkEnd w:id="608"/>
      <w:bookmarkEnd w:id="609"/>
      <w:bookmarkEnd w:id="610"/>
      <w:bookmarkEnd w:id="611"/>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spacing w:before="120"/>
        <w:rPr>
          <w:snapToGrid w:val="0"/>
        </w:rPr>
      </w:pPr>
      <w:r>
        <w:rPr>
          <w:snapToGrid w:val="0"/>
        </w:rPr>
        <w:tab/>
        <w:t>(3)</w:t>
      </w:r>
      <w:r>
        <w:rPr>
          <w:snapToGrid w:val="0"/>
        </w:rPr>
        <w:tab/>
        <w:t>This section does not operate to reduce the duty payable on any instrument.</w:t>
      </w:r>
    </w:p>
    <w:p>
      <w:pPr>
        <w:pStyle w:val="Subsection"/>
        <w:spacing w:before="120"/>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spacing w:before="180"/>
      </w:pPr>
      <w:bookmarkStart w:id="612" w:name="_Toc107054917"/>
      <w:bookmarkStart w:id="613" w:name="_Toc134854654"/>
      <w:bookmarkStart w:id="614" w:name="_Toc136841107"/>
      <w:r>
        <w:rPr>
          <w:rStyle w:val="CharSectno"/>
        </w:rPr>
        <w:t>75AG</w:t>
      </w:r>
      <w:r>
        <w:t>.</w:t>
      </w:r>
      <w:r>
        <w:tab/>
        <w:t>Reduction of duty or refund for first home owner</w:t>
      </w:r>
      <w:bookmarkEnd w:id="612"/>
      <w:bookmarkEnd w:id="613"/>
      <w:bookmarkEnd w:id="614"/>
    </w:p>
    <w:p>
      <w:pPr>
        <w:pStyle w:val="Subsection"/>
        <w:spacing w:before="120"/>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spacing w:before="120"/>
      </w:pPr>
      <w:r>
        <w:tab/>
        <w:t>(1a)</w:t>
      </w:r>
      <w:r>
        <w:tab/>
        <w:t>Subsection (1) does not apply to an instrument of transfer of property referred to in the Second Schedule item 4(2) or (3) if —</w:t>
      </w:r>
    </w:p>
    <w:p>
      <w:pPr>
        <w:pStyle w:val="Indenta"/>
        <w:spacing w:before="60"/>
      </w:pPr>
      <w:r>
        <w:tab/>
        <w:t>(a)</w:t>
      </w:r>
      <w:r>
        <w:tab/>
        <w:t>the unencumbered value of the land and home (in the case of property referred to in item 4(2)) exceeds $350 000; or</w:t>
      </w:r>
    </w:p>
    <w:p>
      <w:pPr>
        <w:pStyle w:val="Indenta"/>
      </w:pPr>
      <w:r>
        <w:tab/>
        <w:t>(b)</w:t>
      </w:r>
      <w:r>
        <w:tab/>
        <w:t>the unencumbered value of the land (in the case of property referred to in item 4(3)) exceeds $200 000.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Subsection"/>
      </w:pPr>
      <w:r>
        <w:tab/>
        <w:t>(8)</w:t>
      </w:r>
      <w:r>
        <w:tab/>
        <w:t>If the instrument of transfer is or was chargeable under the Second Schedule Item 19, this section does not apply unless the Commissioner is satisfied that the duty was or will be (as the case requires) paid by a transferee.</w:t>
      </w:r>
    </w:p>
    <w:p>
      <w:pPr>
        <w:pStyle w:val="Subsection"/>
      </w:pPr>
      <w:r>
        <w:tab/>
        <w:t>(9)</w:t>
      </w:r>
      <w:r>
        <w:tab/>
        <w:t>If a transferee is required to repay an amount under section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w:t>
      </w:r>
    </w:p>
    <w:p>
      <w:pPr>
        <w:pStyle w:val="Ednotesection"/>
      </w:pPr>
      <w:r>
        <w:t>[</w:t>
      </w:r>
      <w:r>
        <w:rPr>
          <w:b/>
        </w:rPr>
        <w:t>75B.</w:t>
      </w:r>
      <w:r>
        <w:tab/>
        <w:t>Repealed by No. 48 of 1996 s. 41.]</w:t>
      </w:r>
    </w:p>
    <w:p>
      <w:pPr>
        <w:pStyle w:val="Heading5"/>
        <w:rPr>
          <w:snapToGrid w:val="0"/>
        </w:rPr>
      </w:pPr>
      <w:bookmarkStart w:id="615" w:name="_Toc500739949"/>
      <w:bookmarkStart w:id="616" w:name="_Toc520101140"/>
      <w:bookmarkStart w:id="617" w:name="_Toc520533039"/>
      <w:bookmarkStart w:id="618" w:name="_Toc49223924"/>
      <w:bookmarkStart w:id="619" w:name="_Toc107054918"/>
      <w:bookmarkStart w:id="620" w:name="_Toc134854655"/>
      <w:bookmarkStart w:id="621" w:name="_Toc136841108"/>
      <w:r>
        <w:rPr>
          <w:rStyle w:val="CharSectno"/>
        </w:rPr>
        <w:t>75C</w:t>
      </w:r>
      <w:r>
        <w:rPr>
          <w:snapToGrid w:val="0"/>
        </w:rPr>
        <w:t>.</w:t>
      </w:r>
      <w:r>
        <w:rPr>
          <w:snapToGrid w:val="0"/>
        </w:rPr>
        <w:tab/>
        <w:t>Power to exempt for certain conveyances between spouses</w:t>
      </w:r>
      <w:bookmarkEnd w:id="615"/>
      <w:bookmarkEnd w:id="616"/>
      <w:bookmarkEnd w:id="617"/>
      <w:bookmarkEnd w:id="618"/>
      <w:bookmarkEnd w:id="619"/>
      <w:bookmarkEnd w:id="620"/>
      <w:bookmarkEnd w:id="621"/>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622" w:name="_Toc107054919"/>
      <w:bookmarkStart w:id="623" w:name="_Toc134854656"/>
      <w:bookmarkStart w:id="624" w:name="_Toc136841109"/>
      <w:r>
        <w:rPr>
          <w:rStyle w:val="CharSectno"/>
        </w:rPr>
        <w:t>75CA</w:t>
      </w:r>
      <w:r>
        <w:t>.</w:t>
      </w:r>
      <w:r>
        <w:tab/>
        <w:t>Refund where contingent consideration is not paid</w:t>
      </w:r>
      <w:bookmarkEnd w:id="622"/>
      <w:bookmarkEnd w:id="623"/>
      <w:bookmarkEnd w:id="624"/>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625" w:name="_Toc58902576"/>
      <w:bookmarkStart w:id="626" w:name="_Toc76899589"/>
      <w:bookmarkStart w:id="627" w:name="_Toc78090491"/>
      <w:bookmarkStart w:id="628" w:name="_Toc88886859"/>
      <w:bookmarkStart w:id="629" w:name="_Toc90443475"/>
      <w:bookmarkStart w:id="630" w:name="_Toc90452826"/>
      <w:bookmarkStart w:id="631" w:name="_Toc100029417"/>
      <w:bookmarkStart w:id="632" w:name="_Toc100031490"/>
      <w:bookmarkStart w:id="633" w:name="_Toc100458549"/>
      <w:bookmarkStart w:id="634" w:name="_Toc101671965"/>
      <w:bookmarkStart w:id="635" w:name="_Toc101672222"/>
      <w:bookmarkStart w:id="636" w:name="_Toc102799248"/>
      <w:bookmarkStart w:id="637" w:name="_Toc102981922"/>
      <w:bookmarkStart w:id="638" w:name="_Toc103403235"/>
      <w:bookmarkStart w:id="639" w:name="_Toc103403492"/>
      <w:bookmarkStart w:id="640" w:name="_Toc103747491"/>
      <w:bookmarkStart w:id="641" w:name="_Toc107054920"/>
      <w:bookmarkStart w:id="642" w:name="_Toc113874367"/>
      <w:bookmarkStart w:id="643" w:name="_Toc113956783"/>
      <w:bookmarkStart w:id="644" w:name="_Toc116717339"/>
      <w:bookmarkStart w:id="645" w:name="_Toc116813366"/>
      <w:bookmarkStart w:id="646" w:name="_Toc122333018"/>
      <w:bookmarkStart w:id="647" w:name="_Toc122861988"/>
      <w:bookmarkStart w:id="648" w:name="_Toc122862584"/>
      <w:bookmarkStart w:id="649" w:name="_Toc122921191"/>
      <w:bookmarkStart w:id="650" w:name="_Toc122921451"/>
      <w:bookmarkStart w:id="651" w:name="_Toc122947396"/>
      <w:bookmarkStart w:id="652" w:name="_Toc124046232"/>
      <w:bookmarkStart w:id="653" w:name="_Toc130266553"/>
      <w:bookmarkStart w:id="654" w:name="_Toc130266829"/>
      <w:bookmarkStart w:id="655" w:name="_Toc131382932"/>
      <w:bookmarkStart w:id="656" w:name="_Toc133812313"/>
      <w:bookmarkStart w:id="657" w:name="_Toc133920260"/>
      <w:bookmarkStart w:id="658" w:name="_Toc134854657"/>
      <w:bookmarkStart w:id="659" w:name="_Toc134854933"/>
      <w:bookmarkStart w:id="660" w:name="_Toc136841110"/>
      <w:r>
        <w:rPr>
          <w:rStyle w:val="CharPartNo"/>
        </w:rPr>
        <w:t>Part IIIBAA</w:t>
      </w:r>
      <w:r>
        <w:rPr>
          <w:rStyle w:val="CharDivNo"/>
        </w:rPr>
        <w:t> </w:t>
      </w:r>
      <w:r>
        <w:t>—</w:t>
      </w:r>
      <w:r>
        <w:rPr>
          <w:rStyle w:val="CharDivText"/>
        </w:rPr>
        <w:t> </w:t>
      </w:r>
      <w:r>
        <w:rPr>
          <w:rStyle w:val="CharPartText"/>
        </w:rPr>
        <w:t>Certain transfers of farming property</w:t>
      </w:r>
      <w:r>
        <w:t> </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b w:val="0"/>
          <w:sz w:val="24"/>
          <w:vertAlign w:val="superscript"/>
        </w:rPr>
        <w:t>3</w:t>
      </w:r>
      <w:bookmarkEnd w:id="655"/>
      <w:bookmarkEnd w:id="656"/>
      <w:bookmarkEnd w:id="657"/>
      <w:bookmarkEnd w:id="658"/>
      <w:bookmarkEnd w:id="659"/>
      <w:bookmarkEnd w:id="660"/>
    </w:p>
    <w:p>
      <w:pPr>
        <w:pStyle w:val="Footnoteheading"/>
        <w:tabs>
          <w:tab w:val="left" w:pos="909"/>
        </w:tabs>
        <w:rPr>
          <w:snapToGrid w:val="0"/>
        </w:rPr>
      </w:pPr>
      <w:r>
        <w:rPr>
          <w:snapToGrid w:val="0"/>
        </w:rPr>
        <w:tab/>
        <w:t>[Heading inserted by No. 79 of 1994 s. 4(1).]</w:t>
      </w:r>
    </w:p>
    <w:p>
      <w:pPr>
        <w:pStyle w:val="Heading5"/>
        <w:rPr>
          <w:snapToGrid w:val="0"/>
        </w:rPr>
      </w:pPr>
      <w:bookmarkStart w:id="661" w:name="_Toc500739950"/>
      <w:bookmarkStart w:id="662" w:name="_Toc520101141"/>
      <w:bookmarkStart w:id="663" w:name="_Toc520533040"/>
      <w:bookmarkStart w:id="664" w:name="_Toc49223925"/>
      <w:bookmarkStart w:id="665" w:name="_Toc107054921"/>
      <w:bookmarkStart w:id="666" w:name="_Toc134854658"/>
      <w:bookmarkStart w:id="667" w:name="_Toc136841111"/>
      <w:r>
        <w:rPr>
          <w:rStyle w:val="CharSectno"/>
        </w:rPr>
        <w:t>75D</w:t>
      </w:r>
      <w:r>
        <w:rPr>
          <w:snapToGrid w:val="0"/>
        </w:rPr>
        <w:t>.</w:t>
      </w:r>
      <w:r>
        <w:rPr>
          <w:snapToGrid w:val="0"/>
        </w:rPr>
        <w:tab/>
        <w:t>Interpretation</w:t>
      </w:r>
      <w:bookmarkEnd w:id="661"/>
      <w:bookmarkEnd w:id="662"/>
      <w:bookmarkEnd w:id="663"/>
      <w:bookmarkEnd w:id="664"/>
      <w:r>
        <w:rPr>
          <w:snapToGrid w:val="0"/>
        </w:rPr>
        <w:t xml:space="preserve"> in Part IIIBAA</w:t>
      </w:r>
      <w:bookmarkEnd w:id="665"/>
      <w:bookmarkEnd w:id="666"/>
      <w:bookmarkEnd w:id="667"/>
    </w:p>
    <w:p>
      <w:pPr>
        <w:pStyle w:val="Subsection"/>
        <w:rPr>
          <w:snapToGrid w:val="0"/>
        </w:rPr>
      </w:pPr>
      <w:r>
        <w:rPr>
          <w:snapToGrid w:val="0"/>
        </w:rPr>
        <w:tab/>
        <w:t>(1)</w:t>
      </w:r>
      <w:r>
        <w:rPr>
          <w:snapToGrid w:val="0"/>
        </w:rPr>
        <w:tab/>
        <w:t>In this Part —</w:t>
      </w:r>
    </w:p>
    <w:p>
      <w:pPr>
        <w:pStyle w:val="Defstart"/>
        <w:spacing w:before="60"/>
      </w:pPr>
      <w:r>
        <w:rPr>
          <w:b/>
        </w:rPr>
        <w:tab/>
        <w:t>“</w:t>
      </w:r>
      <w:r>
        <w:rPr>
          <w:rStyle w:val="CharDefText"/>
        </w:rPr>
        <w:t>discretionary trust</w:t>
      </w:r>
      <w:r>
        <w:rPr>
          <w:b/>
        </w:rPr>
        <w:t>”</w:t>
      </w:r>
      <w:r>
        <w:t xml:space="preserve"> has the same definition as in section 76;</w:t>
      </w:r>
    </w:p>
    <w:p>
      <w:pPr>
        <w:pStyle w:val="Defstart"/>
        <w:spacing w:before="60"/>
      </w:pPr>
      <w:r>
        <w:rPr>
          <w:b/>
        </w:rPr>
        <w:tab/>
        <w:t>“</w:t>
      </w:r>
      <w:r>
        <w:rPr>
          <w:rStyle w:val="CharDefText"/>
        </w:rPr>
        <w:t>discretionary trustee</w:t>
      </w:r>
      <w:r>
        <w:rPr>
          <w:b/>
        </w:rPr>
        <w:t>”</w:t>
      </w:r>
      <w:r>
        <w:t xml:space="preserve"> means the trustee of a discretionary trust;</w:t>
      </w:r>
    </w:p>
    <w:p>
      <w:pPr>
        <w:pStyle w:val="Defstart"/>
        <w:spacing w:before="60"/>
      </w:pPr>
      <w:r>
        <w:rPr>
          <w:b/>
        </w:rPr>
        <w:tab/>
        <w:t>“</w:t>
      </w:r>
      <w:r>
        <w:rPr>
          <w:rStyle w:val="CharDefText"/>
        </w:rPr>
        <w:t>family member</w:t>
      </w:r>
      <w:r>
        <w:rPr>
          <w:b/>
        </w:rPr>
        <w:t>”</w:t>
      </w:r>
      <w:r>
        <w:t>, in relation to a person, means —</w:t>
      </w:r>
    </w:p>
    <w:p>
      <w:pPr>
        <w:pStyle w:val="Defpara"/>
        <w:spacing w:before="60"/>
      </w:pPr>
      <w:r>
        <w:tab/>
        <w:t>(a)</w:t>
      </w:r>
      <w:r>
        <w:tab/>
        <w:t>a child or remoter lineal descendant of the person;</w:t>
      </w:r>
    </w:p>
    <w:p>
      <w:pPr>
        <w:pStyle w:val="Defpara"/>
        <w:spacing w:before="60"/>
      </w:pPr>
      <w:r>
        <w:tab/>
        <w:t>(b)</w:t>
      </w:r>
      <w:r>
        <w:tab/>
        <w:t>a parent or remoter lineal ancestor of the person;</w:t>
      </w:r>
    </w:p>
    <w:p>
      <w:pPr>
        <w:pStyle w:val="Defpara"/>
        <w:spacing w:before="60"/>
      </w:pPr>
      <w:r>
        <w:tab/>
        <w:t>(c)</w:t>
      </w:r>
      <w:r>
        <w:tab/>
        <w:t>a brother or sister of the person or remoter lineal descendant of a brother or sister of the person;</w:t>
      </w:r>
    </w:p>
    <w:p>
      <w:pPr>
        <w:pStyle w:val="Defpara"/>
        <w:spacing w:before="60"/>
      </w:pPr>
      <w:r>
        <w:tab/>
        <w:t>(d)</w:t>
      </w:r>
      <w:r>
        <w:tab/>
        <w:t>an aunt or uncle of the person;</w:t>
      </w:r>
    </w:p>
    <w:p>
      <w:pPr>
        <w:pStyle w:val="Defpara"/>
        <w:spacing w:before="60"/>
      </w:pPr>
      <w:r>
        <w:tab/>
        <w:t>(e)</w:t>
      </w:r>
      <w:r>
        <w:tab/>
        <w:t>the spouse, former spouse, de facto partner of 2 years or former de facto partner of 2 years of the person; or</w:t>
      </w:r>
    </w:p>
    <w:p>
      <w:pPr>
        <w:pStyle w:val="Defpara"/>
        <w:spacing w:before="60"/>
      </w:pPr>
      <w:r>
        <w:tab/>
        <w:t>(f)</w:t>
      </w:r>
      <w:r>
        <w:tab/>
        <w:t>the spouse or de facto partner of 2 years of a person referred to in paragraph (a), (b), (c) or (d),</w:t>
      </w:r>
    </w:p>
    <w:p>
      <w:pPr>
        <w:pStyle w:val="Defstart"/>
        <w:spacing w:before="60"/>
      </w:pPr>
      <w:r>
        <w:tab/>
      </w:r>
      <w:r>
        <w:tab/>
        <w:t>or more than one of them;</w:t>
      </w:r>
    </w:p>
    <w:p>
      <w:pPr>
        <w:pStyle w:val="Defstart"/>
        <w:spacing w:before="60"/>
      </w:pPr>
      <w:r>
        <w:rPr>
          <w:b/>
        </w:rPr>
        <w:tab/>
        <w:t>“</w:t>
      </w:r>
      <w:r>
        <w:rPr>
          <w:rStyle w:val="CharDefText"/>
        </w:rPr>
        <w:t>farming company</w:t>
      </w:r>
      <w:r>
        <w:rPr>
          <w:b/>
        </w:rPr>
        <w:t>”</w:t>
      </w:r>
      <w:r>
        <w:t xml:space="preserve"> means a corporation —</w:t>
      </w:r>
    </w:p>
    <w:p>
      <w:pPr>
        <w:pStyle w:val="Defpara"/>
        <w:spacing w:before="60"/>
      </w:pPr>
      <w:r>
        <w:tab/>
        <w:t>(a)</w:t>
      </w:r>
      <w:r>
        <w:tab/>
        <w:t>the shares of which are not quoted on a financial market; and</w:t>
      </w:r>
    </w:p>
    <w:p>
      <w:pPr>
        <w:pStyle w:val="Defpara"/>
        <w:spacing w:before="60"/>
      </w:pPr>
      <w:r>
        <w:tab/>
        <w:t>(b)</w:t>
      </w:r>
      <w:r>
        <w:tab/>
        <w:t>which has assets which include —</w:t>
      </w:r>
    </w:p>
    <w:p>
      <w:pPr>
        <w:pStyle w:val="Defsubpara"/>
        <w:spacing w:before="60"/>
        <w:rPr>
          <w:snapToGrid w:val="0"/>
        </w:rPr>
      </w:pPr>
      <w:r>
        <w:rPr>
          <w:snapToGrid w:val="0"/>
        </w:rPr>
        <w:tab/>
        <w:t>(i)</w:t>
      </w:r>
      <w:r>
        <w:rPr>
          <w:snapToGrid w:val="0"/>
        </w:rPr>
        <w:tab/>
        <w:t>farming property; or</w:t>
      </w:r>
    </w:p>
    <w:p>
      <w:pPr>
        <w:pStyle w:val="Defsubpara"/>
        <w:spacing w:before="60"/>
        <w:rPr>
          <w:snapToGrid w:val="0"/>
        </w:rPr>
      </w:pPr>
      <w:r>
        <w:rPr>
          <w:snapToGrid w:val="0"/>
        </w:rPr>
        <w:tab/>
        <w:t>(ii)</w:t>
      </w:r>
      <w:r>
        <w:rPr>
          <w:snapToGrid w:val="0"/>
        </w:rPr>
        <w:tab/>
        <w:t>a share in a corporation —</w:t>
      </w:r>
    </w:p>
    <w:p>
      <w:pPr>
        <w:pStyle w:val="Defitem"/>
        <w:spacing w:before="60"/>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spacing w:before="60"/>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668" w:name="_Toc500739951"/>
      <w:bookmarkStart w:id="669" w:name="_Toc520101142"/>
      <w:bookmarkStart w:id="670" w:name="_Toc520533041"/>
      <w:bookmarkStart w:id="671" w:name="_Toc49223926"/>
      <w:bookmarkStart w:id="672" w:name="_Toc107054922"/>
      <w:bookmarkStart w:id="673" w:name="_Toc134854659"/>
      <w:bookmarkStart w:id="674" w:name="_Toc136841112"/>
      <w:r>
        <w:rPr>
          <w:rStyle w:val="CharSectno"/>
        </w:rPr>
        <w:t>75E</w:t>
      </w:r>
      <w:r>
        <w:rPr>
          <w:snapToGrid w:val="0"/>
        </w:rPr>
        <w:t>.</w:t>
      </w:r>
      <w:r>
        <w:rPr>
          <w:snapToGrid w:val="0"/>
        </w:rPr>
        <w:tab/>
        <w:t>Application of this Part</w:t>
      </w:r>
      <w:bookmarkEnd w:id="668"/>
      <w:bookmarkEnd w:id="669"/>
      <w:bookmarkEnd w:id="670"/>
      <w:bookmarkEnd w:id="671"/>
      <w:bookmarkEnd w:id="672"/>
      <w:bookmarkEnd w:id="673"/>
      <w:bookmarkEnd w:id="674"/>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spacing w:before="120"/>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spacing w:before="120"/>
        <w:rPr>
          <w:snapToGrid w:val="0"/>
          <w:spacing w:val="-4"/>
        </w:rPr>
      </w:pPr>
      <w:r>
        <w:rPr>
          <w:snapToGrid w:val="0"/>
          <w:spacing w:val="-4"/>
        </w:rPr>
        <w:tab/>
        <w:t>(5)</w:t>
      </w:r>
      <w:r>
        <w:rPr>
          <w:snapToGrid w:val="0"/>
          <w:spacing w:val="-4"/>
        </w:rPr>
        <w:tab/>
        <w:t xml:space="preserve">Where an exemption </w:t>
      </w:r>
      <w:r>
        <w:t>has been granted</w:t>
      </w:r>
      <w:r>
        <w:rPr>
          <w:snapToGrid w:val="0"/>
          <w:spacing w:val="-4"/>
        </w:rPr>
        <w:t xml:space="preserve"> under this Part in relation to an instrument of conveyance of farming </w:t>
      </w:r>
      <w:r>
        <w:t xml:space="preserve">property or an interest in a farming partnership, </w:t>
      </w:r>
      <w:r>
        <w:rPr>
          <w:snapToGrid w:val="0"/>
          <w:spacing w:val="-4"/>
        </w:rPr>
        <w:t>to a person (or to a trustee on behalf of a person) (</w:t>
      </w:r>
      <w:r>
        <w:rPr>
          <w:b/>
          <w:snapToGrid w:val="0"/>
          <w:spacing w:val="-4"/>
        </w:rPr>
        <w:t>“</w:t>
      </w:r>
      <w:r>
        <w:rPr>
          <w:rStyle w:val="CharDefText"/>
        </w:rPr>
        <w:t>the initial instrument</w:t>
      </w:r>
      <w:r>
        <w:rPr>
          <w:b/>
          <w:snapToGrid w:val="0"/>
          <w:spacing w:val="-4"/>
        </w:rPr>
        <w:t>”</w:t>
      </w:r>
      <w:r>
        <w:rPr>
          <w:snapToGrid w:val="0"/>
          <w:spacing w:val="-4"/>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spacing w:val="-4"/>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spacing w:before="120"/>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675" w:name="_Toc49223927"/>
      <w:bookmarkStart w:id="676" w:name="_Toc107054923"/>
      <w:bookmarkStart w:id="677" w:name="_Toc134854660"/>
      <w:bookmarkStart w:id="678" w:name="_Toc136841113"/>
      <w:bookmarkStart w:id="679" w:name="_Toc500739953"/>
      <w:bookmarkStart w:id="680" w:name="_Toc520101144"/>
      <w:bookmarkStart w:id="681" w:name="_Toc520533043"/>
      <w:r>
        <w:rPr>
          <w:rStyle w:val="CharSectno"/>
        </w:rPr>
        <w:t>75F</w:t>
      </w:r>
      <w:r>
        <w:t>.</w:t>
      </w:r>
      <w:r>
        <w:tab/>
        <w:t>Power to exempt for farming property</w:t>
      </w:r>
      <w:bookmarkEnd w:id="675"/>
      <w:bookmarkEnd w:id="676"/>
      <w:bookmarkEnd w:id="677"/>
      <w:bookmarkEnd w:id="678"/>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682" w:name="_Toc49223928"/>
      <w:bookmarkStart w:id="683" w:name="_Toc107054924"/>
      <w:bookmarkStart w:id="684" w:name="_Toc134854661"/>
      <w:bookmarkStart w:id="685" w:name="_Toc136841114"/>
      <w:r>
        <w:rPr>
          <w:rStyle w:val="CharSectno"/>
        </w:rPr>
        <w:t>75G</w:t>
      </w:r>
      <w:r>
        <w:rPr>
          <w:snapToGrid w:val="0"/>
        </w:rPr>
        <w:t>.</w:t>
      </w:r>
      <w:r>
        <w:rPr>
          <w:snapToGrid w:val="0"/>
        </w:rPr>
        <w:tab/>
        <w:t>Partial exemption of duty</w:t>
      </w:r>
      <w:bookmarkEnd w:id="679"/>
      <w:bookmarkEnd w:id="680"/>
      <w:bookmarkEnd w:id="681"/>
      <w:bookmarkEnd w:id="682"/>
      <w:bookmarkEnd w:id="683"/>
      <w:bookmarkEnd w:id="684"/>
      <w:bookmarkEnd w:id="685"/>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spacing w:before="80"/>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Equation"/>
        <w:tabs>
          <w:tab w:val="left" w:pos="1418"/>
        </w:tabs>
        <w:spacing w:before="60"/>
        <w:ind w:left="840"/>
        <w:jc w:val="center"/>
      </w:pPr>
      <w:r>
        <w:rPr>
          <w:position w:val="-24"/>
        </w:rPr>
        <w:pict>
          <v:shape id="_x0000_i1028" type="#_x0000_t75" style="width:1in;height:29.25pt" fillcolor="window">
            <v:imagedata r:id="rId19" o:title=""/>
          </v:shape>
        </w:pict>
      </w:r>
    </w:p>
    <w:p>
      <w:pPr>
        <w:pStyle w:val="Subsection"/>
        <w:rPr>
          <w:snapToGrid w:val="0"/>
        </w:rPr>
      </w:pPr>
      <w:r>
        <w:rPr>
          <w:snapToGrid w:val="0"/>
        </w:rPr>
        <w:tab/>
      </w:r>
      <w:r>
        <w:rPr>
          <w:snapToGrid w:val="0"/>
        </w:rPr>
        <w:tab/>
        <w:t>where —</w:t>
      </w:r>
    </w:p>
    <w:p>
      <w:pPr>
        <w:pStyle w:val="Indenta"/>
        <w:spacing w:before="90"/>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spacing w:before="90"/>
        <w:rPr>
          <w:snapToGrid w:val="0"/>
        </w:rPr>
      </w:pPr>
      <w:r>
        <w:rPr>
          <w:snapToGrid w:val="0"/>
        </w:rPr>
        <w:tab/>
        <w:t>B</w:t>
      </w:r>
      <w:r>
        <w:rPr>
          <w:snapToGrid w:val="0"/>
        </w:rPr>
        <w:tab/>
        <w:t>is the total value of the assets of the partnership;</w:t>
      </w:r>
    </w:p>
    <w:p>
      <w:pPr>
        <w:pStyle w:val="Indenta"/>
        <w:keepNext/>
        <w:keepLines/>
        <w:spacing w:before="90"/>
        <w:rPr>
          <w:snapToGrid w:val="0"/>
        </w:rPr>
      </w:pPr>
      <w:r>
        <w:rPr>
          <w:snapToGrid w:val="0"/>
        </w:rPr>
        <w:tab/>
        <w:t>C</w:t>
      </w:r>
      <w:r>
        <w:rPr>
          <w:snapToGrid w:val="0"/>
        </w:rPr>
        <w:tab/>
        <w:t>is the amount of the total liabilities of the partnership; and</w:t>
      </w:r>
    </w:p>
    <w:p>
      <w:pPr>
        <w:pStyle w:val="Indenta"/>
        <w:keepNext/>
        <w:spacing w:before="90"/>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686" w:name="_Toc49223929"/>
      <w:bookmarkStart w:id="687" w:name="_Toc107054925"/>
      <w:bookmarkStart w:id="688" w:name="_Toc134854662"/>
      <w:bookmarkStart w:id="689" w:name="_Toc136841115"/>
      <w:bookmarkStart w:id="690" w:name="_Toc500739955"/>
      <w:bookmarkStart w:id="691" w:name="_Toc520101146"/>
      <w:bookmarkStart w:id="692" w:name="_Toc520533045"/>
      <w:r>
        <w:rPr>
          <w:rStyle w:val="CharSectno"/>
        </w:rPr>
        <w:t>75H</w:t>
      </w:r>
      <w:r>
        <w:t>.</w:t>
      </w:r>
      <w:r>
        <w:tab/>
        <w:t>Application for exemption</w:t>
      </w:r>
      <w:bookmarkEnd w:id="686"/>
      <w:bookmarkEnd w:id="687"/>
      <w:bookmarkEnd w:id="688"/>
      <w:bookmarkEnd w:id="689"/>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693" w:name="_Toc49223930"/>
      <w:bookmarkStart w:id="694" w:name="_Toc107054926"/>
      <w:bookmarkStart w:id="695" w:name="_Toc134854663"/>
      <w:bookmarkStart w:id="696" w:name="_Toc136841116"/>
      <w:r>
        <w:rPr>
          <w:rStyle w:val="CharSectno"/>
        </w:rPr>
        <w:t>75HA</w:t>
      </w:r>
      <w:r>
        <w:rPr>
          <w:snapToGrid w:val="0"/>
        </w:rPr>
        <w:t>.</w:t>
      </w:r>
      <w:r>
        <w:rPr>
          <w:snapToGrid w:val="0"/>
        </w:rPr>
        <w:tab/>
        <w:t>Subsequent liability for duty in certain circumstances</w:t>
      </w:r>
      <w:bookmarkEnd w:id="690"/>
      <w:bookmarkEnd w:id="691"/>
      <w:bookmarkEnd w:id="692"/>
      <w:bookmarkEnd w:id="693"/>
      <w:bookmarkEnd w:id="694"/>
      <w:bookmarkEnd w:id="695"/>
      <w:bookmarkEnd w:id="696"/>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697" w:name="_Toc49223931"/>
      <w:bookmarkStart w:id="698" w:name="_Toc107054927"/>
      <w:bookmarkStart w:id="699" w:name="_Toc134854664"/>
      <w:bookmarkStart w:id="700" w:name="_Toc136841117"/>
      <w:r>
        <w:rPr>
          <w:rStyle w:val="CharSectno"/>
        </w:rPr>
        <w:t>75I</w:t>
      </w:r>
      <w:r>
        <w:t>.</w:t>
      </w:r>
      <w:r>
        <w:tab/>
        <w:t>Part IIIBA companies</w:t>
      </w:r>
      <w:bookmarkEnd w:id="697"/>
      <w:bookmarkEnd w:id="698"/>
      <w:bookmarkEnd w:id="699"/>
      <w:bookmarkEnd w:id="700"/>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spacing w:before="120"/>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spacing w:before="120"/>
      </w:pPr>
      <w:r>
        <w:tab/>
        <w:t>(2)</w:t>
      </w:r>
      <w:r>
        <w:tab/>
        <w:t>The amount of a partial exemption is the amount equal to R in the formula —</w:t>
      </w:r>
    </w:p>
    <w:p>
      <w:pPr>
        <w:pStyle w:val="Equation"/>
        <w:jc w:val="center"/>
      </w:pPr>
      <w:r>
        <w:rPr>
          <w:position w:val="-24"/>
        </w:rPr>
        <w:pict>
          <v:shape id="_x0000_i1029" type="#_x0000_t75" style="width:54.75pt;height:30.75pt">
            <v:imagedata r:id="rId20" o:title=""/>
          </v:shape>
        </w:pi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701" w:name="_Toc58902584"/>
      <w:bookmarkStart w:id="702" w:name="_Toc76899597"/>
      <w:bookmarkStart w:id="703" w:name="_Toc78090499"/>
      <w:bookmarkStart w:id="704" w:name="_Toc88886867"/>
      <w:bookmarkStart w:id="705" w:name="_Toc90443483"/>
      <w:bookmarkStart w:id="706" w:name="_Toc90452834"/>
      <w:bookmarkStart w:id="707" w:name="_Toc100029425"/>
      <w:bookmarkStart w:id="708" w:name="_Toc100031498"/>
      <w:bookmarkStart w:id="709" w:name="_Toc100458557"/>
      <w:bookmarkStart w:id="710" w:name="_Toc101671973"/>
      <w:bookmarkStart w:id="711" w:name="_Toc101672230"/>
      <w:bookmarkStart w:id="712" w:name="_Toc102799256"/>
      <w:bookmarkStart w:id="713" w:name="_Toc102981930"/>
      <w:bookmarkStart w:id="714" w:name="_Toc103403243"/>
      <w:bookmarkStart w:id="715" w:name="_Toc103403500"/>
      <w:bookmarkStart w:id="716" w:name="_Toc103747499"/>
      <w:bookmarkStart w:id="717" w:name="_Toc107054928"/>
      <w:bookmarkStart w:id="718" w:name="_Toc113874375"/>
      <w:bookmarkStart w:id="719" w:name="_Toc113956791"/>
      <w:bookmarkStart w:id="720" w:name="_Toc116717347"/>
      <w:bookmarkStart w:id="721" w:name="_Toc116813374"/>
      <w:bookmarkStart w:id="722" w:name="_Toc122333026"/>
      <w:bookmarkStart w:id="723" w:name="_Toc122861996"/>
      <w:bookmarkStart w:id="724" w:name="_Toc122862592"/>
      <w:bookmarkStart w:id="725" w:name="_Toc122921199"/>
      <w:bookmarkStart w:id="726" w:name="_Toc122921459"/>
      <w:bookmarkStart w:id="727" w:name="_Toc122947404"/>
      <w:bookmarkStart w:id="728" w:name="_Toc124046240"/>
      <w:bookmarkStart w:id="729" w:name="_Toc130266561"/>
      <w:bookmarkStart w:id="730" w:name="_Toc130266837"/>
      <w:bookmarkStart w:id="731" w:name="_Toc131382940"/>
      <w:bookmarkStart w:id="732" w:name="_Toc133812321"/>
      <w:bookmarkStart w:id="733" w:name="_Toc133920268"/>
      <w:bookmarkStart w:id="734" w:name="_Toc134854665"/>
      <w:bookmarkStart w:id="735" w:name="_Toc134854941"/>
      <w:bookmarkStart w:id="736" w:name="_Toc136841118"/>
      <w:r>
        <w:rPr>
          <w:rStyle w:val="CharPartNo"/>
        </w:rPr>
        <w:t>Part IIIBAAA</w:t>
      </w:r>
      <w:r>
        <w:rPr>
          <w:rStyle w:val="CharDivNo"/>
        </w:rPr>
        <w:t> </w:t>
      </w:r>
      <w:r>
        <w:t>—</w:t>
      </w:r>
      <w:r>
        <w:rPr>
          <w:rStyle w:val="CharDivText"/>
        </w:rPr>
        <w:t> </w:t>
      </w:r>
      <w:r>
        <w:rPr>
          <w:rStyle w:val="CharPartText"/>
        </w:rPr>
        <w:t>Exemptions for corporate reconstructions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Footnoteheading"/>
        <w:tabs>
          <w:tab w:val="left" w:pos="909"/>
        </w:tabs>
        <w:rPr>
          <w:snapToGrid w:val="0"/>
        </w:rPr>
      </w:pPr>
      <w:r>
        <w:rPr>
          <w:snapToGrid w:val="0"/>
        </w:rPr>
        <w:tab/>
        <w:t>[Heading inserted by No. 48 of 1996 s. 42.]</w:t>
      </w:r>
    </w:p>
    <w:p>
      <w:pPr>
        <w:pStyle w:val="Heading5"/>
        <w:rPr>
          <w:snapToGrid w:val="0"/>
        </w:rPr>
      </w:pPr>
      <w:bookmarkStart w:id="737" w:name="_Toc500739957"/>
      <w:bookmarkStart w:id="738" w:name="_Toc520101148"/>
      <w:bookmarkStart w:id="739" w:name="_Toc520533047"/>
      <w:bookmarkStart w:id="740" w:name="_Toc49223932"/>
      <w:bookmarkStart w:id="741" w:name="_Toc107054929"/>
      <w:bookmarkStart w:id="742" w:name="_Toc134854666"/>
      <w:bookmarkStart w:id="743" w:name="_Toc136841119"/>
      <w:r>
        <w:rPr>
          <w:rStyle w:val="CharSectno"/>
        </w:rPr>
        <w:t>75J</w:t>
      </w:r>
      <w:r>
        <w:rPr>
          <w:snapToGrid w:val="0"/>
        </w:rPr>
        <w:t>.</w:t>
      </w:r>
      <w:r>
        <w:rPr>
          <w:snapToGrid w:val="0"/>
        </w:rPr>
        <w:tab/>
        <w:t>Interpretation in Part</w:t>
      </w:r>
      <w:bookmarkEnd w:id="737"/>
      <w:bookmarkEnd w:id="738"/>
      <w:bookmarkEnd w:id="739"/>
      <w:bookmarkEnd w:id="740"/>
      <w:r>
        <w:rPr>
          <w:snapToGrid w:val="0"/>
        </w:rPr>
        <w:t xml:space="preserve"> IIIBAAA</w:t>
      </w:r>
      <w:bookmarkEnd w:id="741"/>
      <w:bookmarkEnd w:id="742"/>
      <w:bookmarkEnd w:id="743"/>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pPr>
      <w:r>
        <w:tab/>
        <w:t>(1a)</w:t>
      </w:r>
      <w:r>
        <w:tab/>
        <w:t>For the purposes of this Part a section 31B or 31C statement is taken to have been executed on the day on which the conveyance, transfer or assignment to which it relates occurred.</w:t>
      </w:r>
    </w:p>
    <w:p>
      <w:pPr>
        <w:pStyle w:val="Subsection"/>
        <w:rPr>
          <w:snapToGrid w:val="0"/>
        </w:rPr>
      </w:pPr>
      <w:r>
        <w:rPr>
          <w:snapToGrid w:val="0"/>
        </w:rPr>
        <w:tab/>
        <w:t>(2)</w:t>
      </w:r>
      <w:r>
        <w:rPr>
          <w:snapToGrid w:val="0"/>
        </w:rPr>
        <w:tab/>
        <w:t>In this Part, unless the contrary intention appears —</w:t>
      </w:r>
    </w:p>
    <w:p>
      <w:pPr>
        <w:pStyle w:val="Indenta"/>
        <w:spacing w:before="60"/>
        <w:rPr>
          <w:snapToGrid w:val="0"/>
        </w:rPr>
      </w:pPr>
      <w:r>
        <w:rPr>
          <w:snapToGrid w:val="0"/>
        </w:rPr>
        <w:tab/>
        <w:t>(a)</w:t>
      </w:r>
      <w:r>
        <w:rPr>
          <w:snapToGrid w:val="0"/>
        </w:rPr>
        <w:tab/>
        <w:t>2 bodies corporate are associated if —</w:t>
      </w:r>
    </w:p>
    <w:p>
      <w:pPr>
        <w:pStyle w:val="Indenti"/>
        <w:spacing w:before="6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6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60"/>
        <w:rPr>
          <w:snapToGrid w:val="0"/>
        </w:rPr>
      </w:pPr>
      <w:r>
        <w:rPr>
          <w:snapToGrid w:val="0"/>
        </w:rPr>
        <w:tab/>
        <w:t>(b)</w:t>
      </w:r>
      <w:r>
        <w:rPr>
          <w:snapToGrid w:val="0"/>
        </w:rPr>
        <w:tab/>
        <w:t>a body corporate (“A”) has voting control over another body corporate (“B”)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spacing w:before="60"/>
        <w:rPr>
          <w:snapToGrid w:val="0"/>
        </w:rPr>
      </w:pPr>
      <w:r>
        <w:rPr>
          <w:snapToGrid w:val="0"/>
        </w:rPr>
        <w:tab/>
        <w:t>(c)</w:t>
      </w:r>
      <w:r>
        <w:rPr>
          <w:snapToGrid w:val="0"/>
        </w:rPr>
        <w:tab/>
        <w:t>if the claw</w:t>
      </w:r>
      <w:r>
        <w:rPr>
          <w:snapToGrid w:val="0"/>
        </w:rPr>
        <w:noBreakHyphen/>
        <w:t>back applies —</w:t>
      </w:r>
    </w:p>
    <w:p>
      <w:pPr>
        <w:pStyle w:val="Indenti"/>
        <w:spacing w:before="60"/>
        <w:rPr>
          <w:snapToGrid w:val="0"/>
        </w:rPr>
      </w:pPr>
      <w:r>
        <w:rPr>
          <w:snapToGrid w:val="0"/>
        </w:rPr>
        <w:tab/>
        <w:t>(i)</w:t>
      </w:r>
      <w:r>
        <w:rPr>
          <w:snapToGrid w:val="0"/>
        </w:rPr>
        <w:tab/>
        <w:t>in the case of an instrument, section 75JE applies; or</w:t>
      </w:r>
    </w:p>
    <w:p>
      <w:pPr>
        <w:pStyle w:val="Indenti"/>
        <w:spacing w:before="60"/>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spacing w:before="60"/>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spacing w:before="100"/>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744" w:name="_Toc520101149"/>
      <w:bookmarkStart w:id="745" w:name="_Toc520533048"/>
      <w:bookmarkStart w:id="746" w:name="_Toc49223933"/>
      <w:bookmarkStart w:id="747" w:name="_Toc107054930"/>
      <w:bookmarkStart w:id="748" w:name="_Toc134854667"/>
      <w:bookmarkStart w:id="749" w:name="_Toc136841120"/>
      <w:bookmarkStart w:id="750" w:name="_Toc500739958"/>
      <w:r>
        <w:rPr>
          <w:rStyle w:val="CharSectno"/>
        </w:rPr>
        <w:t>75JAA</w:t>
      </w:r>
      <w:r>
        <w:t>.</w:t>
      </w:r>
      <w:r>
        <w:tab/>
        <w:t>Meaning of dormant body corporate</w:t>
      </w:r>
      <w:bookmarkEnd w:id="744"/>
      <w:bookmarkEnd w:id="745"/>
      <w:bookmarkEnd w:id="746"/>
      <w:bookmarkEnd w:id="747"/>
      <w:bookmarkEnd w:id="748"/>
      <w:bookmarkEnd w:id="749"/>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pPr>
      <w:r>
        <w:tab/>
        <w:t>[Section 75JAA inserted by No. 10 of 2001 s. 171.]</w:t>
      </w:r>
    </w:p>
    <w:p>
      <w:pPr>
        <w:pStyle w:val="Heading5"/>
        <w:rPr>
          <w:snapToGrid w:val="0"/>
        </w:rPr>
      </w:pPr>
      <w:bookmarkStart w:id="751" w:name="_Toc520101150"/>
      <w:bookmarkStart w:id="752" w:name="_Toc520533049"/>
      <w:bookmarkStart w:id="753" w:name="_Toc49223934"/>
      <w:bookmarkStart w:id="754" w:name="_Toc107054931"/>
      <w:bookmarkStart w:id="755" w:name="_Toc134854668"/>
      <w:bookmarkStart w:id="756" w:name="_Toc136841121"/>
      <w:r>
        <w:rPr>
          <w:rStyle w:val="CharSectno"/>
        </w:rPr>
        <w:t>75JA</w:t>
      </w:r>
      <w:r>
        <w:rPr>
          <w:snapToGrid w:val="0"/>
        </w:rPr>
        <w:t>.</w:t>
      </w:r>
      <w:r>
        <w:rPr>
          <w:snapToGrid w:val="0"/>
        </w:rPr>
        <w:tab/>
        <w:t>Corporate reconstructions: exemptions</w:t>
      </w:r>
      <w:bookmarkEnd w:id="750"/>
      <w:bookmarkEnd w:id="751"/>
      <w:bookmarkEnd w:id="752"/>
      <w:bookmarkEnd w:id="753"/>
      <w:bookmarkEnd w:id="754"/>
      <w:bookmarkEnd w:id="755"/>
      <w:bookmarkEnd w:id="756"/>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80"/>
        <w:rPr>
          <w:snapToGrid w:val="0"/>
        </w:rPr>
      </w:pPr>
      <w:r>
        <w:rPr>
          <w:snapToGrid w:val="0"/>
        </w:rPr>
        <w:tab/>
      </w:r>
      <w:r>
        <w:rPr>
          <w:snapToGrid w:val="0"/>
        </w:rPr>
        <w:tab/>
        <w:t>then —</w:t>
      </w:r>
    </w:p>
    <w:p>
      <w:pPr>
        <w:pStyle w:val="Indenta"/>
        <w:spacing w:before="60"/>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spacing w:before="60"/>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757" w:name="_Toc500739959"/>
      <w:bookmarkStart w:id="758" w:name="_Toc520101151"/>
      <w:bookmarkStart w:id="759" w:name="_Toc520533050"/>
      <w:bookmarkStart w:id="760" w:name="_Toc49223935"/>
      <w:bookmarkStart w:id="761" w:name="_Toc107054932"/>
      <w:bookmarkStart w:id="762" w:name="_Toc134854669"/>
      <w:bookmarkStart w:id="763" w:name="_Toc136841122"/>
      <w:r>
        <w:rPr>
          <w:rStyle w:val="CharSectno"/>
        </w:rPr>
        <w:t>75JB</w:t>
      </w:r>
      <w:r>
        <w:rPr>
          <w:snapToGrid w:val="0"/>
        </w:rPr>
        <w:t>.</w:t>
      </w:r>
      <w:r>
        <w:rPr>
          <w:snapToGrid w:val="0"/>
        </w:rPr>
        <w:tab/>
        <w:t>Corporate reorganisations: exemption from duty on conveyances between associated bodies corporate</w:t>
      </w:r>
      <w:bookmarkEnd w:id="757"/>
      <w:bookmarkEnd w:id="758"/>
      <w:bookmarkEnd w:id="759"/>
      <w:bookmarkEnd w:id="760"/>
      <w:bookmarkEnd w:id="761"/>
      <w:bookmarkEnd w:id="762"/>
      <w:bookmarkEnd w:id="763"/>
    </w:p>
    <w:p>
      <w:pPr>
        <w:pStyle w:val="Subsection"/>
        <w:keepNext/>
        <w:spacing w:before="10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(“A”) to another body corporate (“B”);</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spacing w:before="100"/>
        <w:rPr>
          <w:snapToGrid w:val="0"/>
        </w:rPr>
      </w:pPr>
      <w:r>
        <w:rPr>
          <w:snapToGrid w:val="0"/>
        </w:rPr>
        <w:tab/>
        <w:t>(c)</w:t>
      </w:r>
      <w:r>
        <w:rPr>
          <w:snapToGrid w:val="0"/>
        </w:rPr>
        <w:tab/>
        <w:t>A and B are associated bodies corporate;</w:t>
      </w:r>
    </w:p>
    <w:p>
      <w:pPr>
        <w:pStyle w:val="Indenta"/>
        <w:spacing w:before="100"/>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spacing w:before="100"/>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spacing w:before="100"/>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spacing w:before="100"/>
        <w:rPr>
          <w:snapToGrid w:val="0"/>
        </w:rPr>
      </w:pPr>
      <w:r>
        <w:rPr>
          <w:snapToGrid w:val="0"/>
        </w:rPr>
        <w:tab/>
      </w:r>
      <w:r>
        <w:rPr>
          <w:snapToGrid w:val="0"/>
        </w:rPr>
        <w:tab/>
        <w:t>and B has been dormant from when A and B became associated until B resolved to acquire the beneficial interest;</w:t>
      </w:r>
    </w:p>
    <w:p>
      <w:pPr>
        <w:pStyle w:val="Indenti"/>
        <w:spacing w:before="100"/>
        <w:rPr>
          <w:snapToGrid w:val="0"/>
        </w:rPr>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w:t>
      </w:r>
    </w:p>
    <w:p>
      <w:pPr>
        <w:pStyle w:val="Indenti"/>
      </w:pPr>
      <w:r>
        <w:tab/>
      </w:r>
      <w:r>
        <w:tab/>
        <w:t>or</w:t>
      </w:r>
    </w:p>
    <w:p>
      <w:pPr>
        <w:pStyle w:val="Indenti"/>
        <w:rPr>
          <w:snapToGrid w:val="0"/>
        </w:rPr>
      </w:pPr>
      <w:r>
        <w:rPr>
          <w:spacing w:val="-4"/>
        </w:rPr>
        <w:tab/>
        <w:t>(iv)</w:t>
      </w:r>
      <w:r>
        <w:rPr>
          <w:spacing w:val="-4"/>
        </w:rPr>
        <w:tab/>
        <w:t>A and B are associated in the circumstances described in section 75J(2)(a)(ii), the third body corporate referred to in section 75J(2)(a)(ii) (“</w:t>
      </w:r>
      <w:r>
        <w:t>C</w:t>
      </w:r>
      <w:r>
        <w:rPr>
          <w:spacing w:val="-4"/>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spacing w:before="60"/>
      </w:pPr>
      <w:r>
        <w:tab/>
        <w:t>(a)</w:t>
      </w:r>
      <w:r>
        <w:tab/>
        <w:t>subsection (5f) then applies as if references in it to the parent body were references to the body corporate approved under subsection (5g); and</w:t>
      </w:r>
    </w:p>
    <w:p>
      <w:pPr>
        <w:pStyle w:val="Indenta"/>
        <w:spacing w:before="60"/>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rPr>
          <w:snapToGrid w:val="0"/>
        </w:rPr>
      </w:pPr>
      <w:r>
        <w:rPr>
          <w:snapToGrid w:val="0"/>
        </w:rPr>
        <w:tab/>
        <w:t>(c)</w:t>
      </w:r>
      <w:r>
        <w:rPr>
          <w:snapToGrid w:val="0"/>
        </w:rPr>
        <w:tab/>
        <w:t>B’s assets are distributed to its shareholders on a liquidation,</w:t>
      </w:r>
    </w:p>
    <w:p>
      <w:pPr>
        <w:pStyle w:val="Subsection"/>
        <w:spacing w:before="18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80"/>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spacing w:before="180"/>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 xml:space="preserve">and section 75J(4) applied to the issued share capital of A or B, </w:t>
      </w:r>
      <w:r>
        <w:rPr>
          <w:spacing w:val="-4"/>
        </w:rPr>
        <w:t>the claw</w:t>
      </w:r>
      <w:r>
        <w:rPr>
          <w:spacing w:val="-4"/>
        </w:rPr>
        <w:noBreakHyphen/>
        <w:t xml:space="preserve">back applies if the Commissioner is satisfied that </w:t>
      </w:r>
      <w:r>
        <w:t>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w:t>
      </w:r>
      <w:r>
        <w:rPr>
          <w:spacing w:val="-4"/>
        </w:rPr>
        <w:t xml:space="preserve"> </w:t>
      </w:r>
      <w:r>
        <w:t>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r>
      <w:r>
        <w:rPr>
          <w:spacing w:val="-4"/>
        </w:rPr>
        <w:t>the claw</w:t>
      </w:r>
      <w:r>
        <w:rPr>
          <w:spacing w:val="-4"/>
        </w:rPr>
        <w:noBreakHyphen/>
        <w:t xml:space="preserve">back applies if </w:t>
      </w:r>
      <w:r>
        <w:t>there is a transfer of the kind referred to in subsection (4)(ca) on or after 18 May 2005 and within 5 years after the execution of the instrument or the date of the relevant acquisition.</w:t>
      </w:r>
    </w:p>
    <w:p>
      <w:pPr>
        <w:pStyle w:val="Footnotesection"/>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764" w:name="_Toc500739960"/>
      <w:bookmarkStart w:id="765" w:name="_Toc520101152"/>
      <w:bookmarkStart w:id="766" w:name="_Toc520533051"/>
      <w:bookmarkStart w:id="767" w:name="_Toc49223936"/>
      <w:bookmarkStart w:id="768" w:name="_Toc107054933"/>
      <w:bookmarkStart w:id="769" w:name="_Toc134854670"/>
      <w:bookmarkStart w:id="770" w:name="_Toc136841123"/>
      <w:r>
        <w:rPr>
          <w:rStyle w:val="CharSectno"/>
        </w:rPr>
        <w:t>75JBA</w:t>
      </w:r>
      <w:r>
        <w:t>.</w:t>
      </w:r>
      <w:r>
        <w:tab/>
        <w:t>Operation of claw</w:t>
      </w:r>
      <w:r>
        <w:rPr>
          <w:snapToGrid w:val="0"/>
        </w:rPr>
        <w:noBreakHyphen/>
      </w:r>
      <w:r>
        <w:t>back: application for pre</w:t>
      </w:r>
      <w:r>
        <w:noBreakHyphen/>
        <w:t>determination in certain cases</w:t>
      </w:r>
      <w:bookmarkEnd w:id="764"/>
      <w:bookmarkEnd w:id="765"/>
      <w:bookmarkEnd w:id="766"/>
      <w:bookmarkEnd w:id="767"/>
      <w:bookmarkEnd w:id="768"/>
      <w:bookmarkEnd w:id="769"/>
      <w:bookmarkEnd w:id="770"/>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771" w:name="_Toc500739961"/>
      <w:bookmarkStart w:id="772" w:name="_Toc520101153"/>
      <w:bookmarkStart w:id="773" w:name="_Toc520533052"/>
      <w:bookmarkStart w:id="774" w:name="_Toc49223937"/>
      <w:bookmarkStart w:id="775" w:name="_Toc107054934"/>
      <w:bookmarkStart w:id="776" w:name="_Toc134854671"/>
      <w:bookmarkStart w:id="777" w:name="_Toc136841124"/>
      <w:r>
        <w:rPr>
          <w:rStyle w:val="CharSectno"/>
        </w:rPr>
        <w:t>75JC</w:t>
      </w:r>
      <w:r>
        <w:rPr>
          <w:snapToGrid w:val="0"/>
        </w:rPr>
        <w:t>.</w:t>
      </w:r>
      <w:r>
        <w:rPr>
          <w:snapToGrid w:val="0"/>
        </w:rPr>
        <w:tab/>
        <w:t>Corporate reorganisations: application for pre</w:t>
      </w:r>
      <w:r>
        <w:rPr>
          <w:snapToGrid w:val="0"/>
        </w:rPr>
        <w:noBreakHyphen/>
        <w:t>determination</w:t>
      </w:r>
      <w:bookmarkEnd w:id="771"/>
      <w:bookmarkEnd w:id="772"/>
      <w:bookmarkEnd w:id="773"/>
      <w:bookmarkEnd w:id="774"/>
      <w:bookmarkEnd w:id="775"/>
      <w:bookmarkEnd w:id="776"/>
      <w:bookmarkEnd w:id="777"/>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spacing w:before="140"/>
        <w:rPr>
          <w:snapToGrid w:val="0"/>
        </w:rPr>
      </w:pPr>
      <w:r>
        <w:rPr>
          <w:snapToGrid w:val="0"/>
        </w:rPr>
        <w:tab/>
        <w:t>(2)</w:t>
      </w:r>
      <w:r>
        <w:rPr>
          <w:snapToGrid w:val="0"/>
        </w:rPr>
        <w:tab/>
        <w:t>The request shall be in</w:t>
      </w:r>
      <w:r>
        <w:t xml:space="preserve"> an approved form</w:t>
      </w:r>
      <w:r>
        <w:rPr>
          <w:snapToGrid w:val="0"/>
        </w:rPr>
        <w:t>.</w:t>
      </w:r>
    </w:p>
    <w:p>
      <w:pPr>
        <w:pStyle w:val="Subsection"/>
        <w:spacing w:before="140"/>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spacing w:before="140"/>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778" w:name="_Toc500739962"/>
      <w:bookmarkStart w:id="779" w:name="_Toc520101154"/>
      <w:bookmarkStart w:id="780" w:name="_Toc520533053"/>
      <w:bookmarkStart w:id="781" w:name="_Toc49223938"/>
      <w:bookmarkStart w:id="782" w:name="_Toc107054935"/>
      <w:bookmarkStart w:id="783" w:name="_Toc134854672"/>
      <w:bookmarkStart w:id="784" w:name="_Toc136841125"/>
      <w:r>
        <w:rPr>
          <w:rStyle w:val="CharSectno"/>
        </w:rPr>
        <w:t>75JD</w:t>
      </w:r>
      <w:r>
        <w:rPr>
          <w:snapToGrid w:val="0"/>
        </w:rPr>
        <w:t>.</w:t>
      </w:r>
      <w:r>
        <w:rPr>
          <w:snapToGrid w:val="0"/>
        </w:rPr>
        <w:tab/>
        <w:t>Corporate reorganisations: application for exemption</w:t>
      </w:r>
      <w:bookmarkEnd w:id="778"/>
      <w:bookmarkEnd w:id="779"/>
      <w:bookmarkEnd w:id="780"/>
      <w:bookmarkEnd w:id="781"/>
      <w:bookmarkEnd w:id="782"/>
      <w:bookmarkEnd w:id="783"/>
      <w:bookmarkEnd w:id="784"/>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spacing w:before="120"/>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spacing w:before="80"/>
        <w:ind w:left="890" w:hanging="890"/>
      </w:pPr>
      <w:r>
        <w:tab/>
        <w:t>[Section 75JD inserted by No. 48 of 1996 s. 42; amended by No. 2 of 2003 s. 80; No. 66 of 2003 s. 53; No. 11 of 2005 s. 15; No. 12 of 2005 s. 7.]</w:t>
      </w:r>
    </w:p>
    <w:p>
      <w:pPr>
        <w:pStyle w:val="Heading5"/>
      </w:pPr>
      <w:bookmarkStart w:id="785" w:name="_Toc500739963"/>
      <w:bookmarkStart w:id="786" w:name="_Toc520101155"/>
      <w:bookmarkStart w:id="787" w:name="_Toc520533054"/>
      <w:bookmarkStart w:id="788" w:name="_Toc49223939"/>
      <w:bookmarkStart w:id="789" w:name="_Toc107054936"/>
      <w:bookmarkStart w:id="790" w:name="_Toc134854673"/>
      <w:bookmarkStart w:id="791" w:name="_Toc136841126"/>
      <w:r>
        <w:rPr>
          <w:rStyle w:val="CharSectno"/>
        </w:rPr>
        <w:t>75JDA</w:t>
      </w:r>
      <w:r>
        <w:t>.</w:t>
      </w:r>
      <w:r>
        <w:tab/>
        <w:t>Exemption may be withheld in certain cases</w:t>
      </w:r>
      <w:bookmarkEnd w:id="785"/>
      <w:bookmarkEnd w:id="786"/>
      <w:bookmarkEnd w:id="787"/>
      <w:bookmarkEnd w:id="788"/>
      <w:bookmarkEnd w:id="789"/>
      <w:bookmarkEnd w:id="790"/>
      <w:bookmarkEnd w:id="791"/>
    </w:p>
    <w:p>
      <w:pPr>
        <w:pStyle w:val="Subsection"/>
        <w:spacing w:before="120"/>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2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2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2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pPr>
      <w:r>
        <w:tab/>
        <w:t>[Section 75JDA inserted by No. 29 of 2000 s. 8(1); amended by No. 2 of 2003 s. 81; No. 66 of 2003 s. 54.]</w:t>
      </w:r>
    </w:p>
    <w:p>
      <w:pPr>
        <w:pStyle w:val="Heading5"/>
        <w:rPr>
          <w:snapToGrid w:val="0"/>
        </w:rPr>
      </w:pPr>
      <w:bookmarkStart w:id="792" w:name="_Toc500739964"/>
      <w:bookmarkStart w:id="793" w:name="_Toc520101156"/>
      <w:bookmarkStart w:id="794" w:name="_Toc520533055"/>
      <w:bookmarkStart w:id="795" w:name="_Toc49223940"/>
      <w:bookmarkStart w:id="796" w:name="_Toc107054937"/>
      <w:bookmarkStart w:id="797" w:name="_Toc134854674"/>
      <w:bookmarkStart w:id="798" w:name="_Toc136841127"/>
      <w:r>
        <w:rPr>
          <w:rStyle w:val="CharSectno"/>
        </w:rPr>
        <w:t>75JE</w:t>
      </w:r>
      <w:r>
        <w:rPr>
          <w:snapToGrid w:val="0"/>
        </w:rPr>
        <w:t>.</w:t>
      </w:r>
      <w:r>
        <w:rPr>
          <w:snapToGrid w:val="0"/>
        </w:rPr>
        <w:tab/>
        <w:t>Claw</w:t>
      </w:r>
      <w:r>
        <w:rPr>
          <w:snapToGrid w:val="0"/>
        </w:rPr>
        <w:noBreakHyphen/>
        <w:t>back (instruments)</w:t>
      </w:r>
      <w:bookmarkEnd w:id="792"/>
      <w:bookmarkEnd w:id="793"/>
      <w:bookmarkEnd w:id="794"/>
      <w:bookmarkEnd w:id="795"/>
      <w:bookmarkEnd w:id="796"/>
      <w:bookmarkEnd w:id="797"/>
      <w:bookmarkEnd w:id="798"/>
    </w:p>
    <w:p>
      <w:pPr>
        <w:pStyle w:val="Subsection"/>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r>
      <w:r>
        <w:rPr>
          <w:snapToGrid w:val="0"/>
          <w:spacing w:val="-2"/>
        </w:rPr>
        <w:t xml:space="preserve">on payment of the duty and </w:t>
      </w:r>
      <w:r>
        <w:rPr>
          <w:spacing w:val="-2"/>
        </w:rPr>
        <w:t>penalty tax</w:t>
      </w:r>
      <w:r>
        <w:rPr>
          <w:snapToGrid w:val="0"/>
          <w:spacing w:val="-2"/>
        </w:rPr>
        <w:t xml:space="preserve"> the instrument shall be deemed </w:t>
      </w:r>
      <w:r>
        <w:rPr>
          <w:spacing w:val="-2"/>
        </w:rPr>
        <w:t xml:space="preserve">to be, and always to have been, </w:t>
      </w:r>
      <w:r>
        <w:rPr>
          <w:snapToGrid w:val="0"/>
          <w:spacing w:val="-2"/>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spacing w:before="60"/>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spacing w:before="60"/>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spacing w:before="120"/>
      </w:pPr>
      <w:r>
        <w:tab/>
        <w:t>(3)</w:t>
      </w:r>
      <w:r>
        <w:tab/>
        <w:t>For the purposes of subsection (2)(a) —</w:t>
      </w:r>
    </w:p>
    <w:p>
      <w:pPr>
        <w:pStyle w:val="Indenta"/>
        <w:spacing w:before="60"/>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799" w:name="_Toc500739965"/>
      <w:bookmarkStart w:id="800" w:name="_Toc520101157"/>
      <w:bookmarkStart w:id="801" w:name="_Toc520533056"/>
      <w:bookmarkStart w:id="802" w:name="_Toc49223941"/>
      <w:bookmarkStart w:id="803" w:name="_Toc107054938"/>
      <w:bookmarkStart w:id="804" w:name="_Toc134854675"/>
      <w:bookmarkStart w:id="805" w:name="_Toc136841128"/>
      <w:r>
        <w:rPr>
          <w:rStyle w:val="CharSectno"/>
        </w:rPr>
        <w:t>75JF</w:t>
      </w:r>
      <w:r>
        <w:rPr>
          <w:snapToGrid w:val="0"/>
        </w:rPr>
        <w:t>.</w:t>
      </w:r>
      <w:r>
        <w:rPr>
          <w:snapToGrid w:val="0"/>
        </w:rPr>
        <w:tab/>
        <w:t>Claw</w:t>
      </w:r>
      <w:r>
        <w:rPr>
          <w:snapToGrid w:val="0"/>
        </w:rPr>
        <w:noBreakHyphen/>
        <w:t>back (Part IIIBA statements)</w:t>
      </w:r>
      <w:bookmarkEnd w:id="799"/>
      <w:bookmarkEnd w:id="800"/>
      <w:bookmarkEnd w:id="801"/>
      <w:bookmarkEnd w:id="802"/>
      <w:bookmarkEnd w:id="803"/>
      <w:bookmarkEnd w:id="804"/>
      <w:bookmarkEnd w:id="805"/>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806" w:name="_Toc500739966"/>
      <w:bookmarkStart w:id="807" w:name="_Toc520101158"/>
      <w:bookmarkStart w:id="808" w:name="_Toc520533057"/>
      <w:bookmarkStart w:id="809" w:name="_Toc49223942"/>
      <w:bookmarkStart w:id="810" w:name="_Toc107054939"/>
      <w:bookmarkStart w:id="811" w:name="_Toc134854676"/>
      <w:bookmarkStart w:id="812" w:name="_Toc136841129"/>
      <w:r>
        <w:rPr>
          <w:rStyle w:val="CharSectno"/>
        </w:rPr>
        <w:t>75JG</w:t>
      </w:r>
      <w:r>
        <w:rPr>
          <w:snapToGrid w:val="0"/>
        </w:rPr>
        <w:t>.</w:t>
      </w:r>
      <w:r>
        <w:rPr>
          <w:snapToGrid w:val="0"/>
        </w:rPr>
        <w:tab/>
        <w:t>Offences and recovery of duty etc.</w:t>
      </w:r>
      <w:bookmarkEnd w:id="806"/>
      <w:bookmarkEnd w:id="807"/>
      <w:bookmarkEnd w:id="808"/>
      <w:bookmarkEnd w:id="809"/>
      <w:bookmarkEnd w:id="810"/>
      <w:bookmarkEnd w:id="811"/>
      <w:bookmarkEnd w:id="812"/>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r>
      <w:r>
        <w:rPr>
          <w:snapToGrid w:val="0"/>
          <w:spacing w:val="-2"/>
        </w:rPr>
        <w:t>If in connection with a request under section </w:t>
      </w:r>
      <w:r>
        <w:rPr>
          <w:spacing w:val="-2"/>
        </w:rPr>
        <w:t xml:space="preserve">75JBA or 75JC </w:t>
      </w:r>
      <w:r>
        <w:rPr>
          <w:snapToGrid w:val="0"/>
          <w:spacing w:val="-2"/>
        </w:rPr>
        <w:t>or</w:t>
      </w:r>
      <w:r>
        <w:rPr>
          <w:spacing w:val="-2"/>
        </w:rPr>
        <w:t xml:space="preserve"> an application under section 75JB(5g) or</w:t>
      </w:r>
      <w:r>
        <w:rPr>
          <w:snapToGrid w:val="0"/>
          <w:spacing w:val="-2"/>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813" w:name="_Toc58902596"/>
      <w:bookmarkStart w:id="814" w:name="_Toc76899609"/>
      <w:bookmarkStart w:id="815" w:name="_Toc78090511"/>
      <w:bookmarkStart w:id="816" w:name="_Toc88886879"/>
      <w:bookmarkStart w:id="817" w:name="_Toc90443495"/>
      <w:bookmarkStart w:id="818" w:name="_Toc90452846"/>
      <w:bookmarkStart w:id="819" w:name="_Toc100029437"/>
      <w:bookmarkStart w:id="820" w:name="_Toc100031510"/>
      <w:bookmarkStart w:id="821" w:name="_Toc100458569"/>
      <w:bookmarkStart w:id="822" w:name="_Toc101671985"/>
      <w:bookmarkStart w:id="823" w:name="_Toc101672242"/>
      <w:bookmarkStart w:id="824" w:name="_Toc102799268"/>
      <w:bookmarkStart w:id="825" w:name="_Toc102981942"/>
      <w:bookmarkStart w:id="826" w:name="_Toc103403255"/>
      <w:bookmarkStart w:id="827" w:name="_Toc103403512"/>
      <w:bookmarkStart w:id="828" w:name="_Toc103747511"/>
      <w:bookmarkStart w:id="829" w:name="_Toc107054940"/>
      <w:bookmarkStart w:id="830" w:name="_Toc113874387"/>
      <w:bookmarkStart w:id="831" w:name="_Toc113956803"/>
      <w:bookmarkStart w:id="832" w:name="_Toc116717359"/>
      <w:bookmarkStart w:id="833" w:name="_Toc116813386"/>
      <w:bookmarkStart w:id="834" w:name="_Toc122333038"/>
      <w:bookmarkStart w:id="835" w:name="_Toc122862008"/>
      <w:bookmarkStart w:id="836" w:name="_Toc122862604"/>
      <w:bookmarkStart w:id="837" w:name="_Toc122921211"/>
      <w:bookmarkStart w:id="838" w:name="_Toc122921471"/>
      <w:bookmarkStart w:id="839" w:name="_Toc122947416"/>
      <w:bookmarkStart w:id="840" w:name="_Toc124046252"/>
      <w:bookmarkStart w:id="841" w:name="_Toc130266573"/>
      <w:bookmarkStart w:id="842" w:name="_Toc130266849"/>
      <w:bookmarkStart w:id="843" w:name="_Toc131382952"/>
      <w:bookmarkStart w:id="844" w:name="_Toc133812333"/>
      <w:bookmarkStart w:id="845" w:name="_Toc133920280"/>
      <w:bookmarkStart w:id="846" w:name="_Toc134854677"/>
      <w:bookmarkStart w:id="847" w:name="_Toc134854953"/>
      <w:bookmarkStart w:id="848" w:name="_Toc136841130"/>
      <w:r>
        <w:rPr>
          <w:rStyle w:val="CharPartNo"/>
        </w:rPr>
        <w:t>Part IIIBA</w:t>
      </w:r>
      <w:r>
        <w:t> — </w:t>
      </w:r>
      <w:r>
        <w:rPr>
          <w:rStyle w:val="CharPartText"/>
        </w:rPr>
        <w:t>Duty on change of control of certain land</w:t>
      </w:r>
      <w:r>
        <w:rPr>
          <w:rStyle w:val="CharPartText"/>
        </w:rPr>
        <w:noBreakHyphen/>
        <w:t>owning corporations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849" w:name="_Toc58902597"/>
      <w:bookmarkStart w:id="850" w:name="_Toc76899610"/>
      <w:bookmarkStart w:id="851" w:name="_Toc78090512"/>
      <w:bookmarkStart w:id="852" w:name="_Toc88886880"/>
      <w:bookmarkStart w:id="853" w:name="_Toc90443496"/>
      <w:bookmarkStart w:id="854" w:name="_Toc90452847"/>
      <w:bookmarkStart w:id="855" w:name="_Toc100029438"/>
      <w:bookmarkStart w:id="856" w:name="_Toc100031511"/>
      <w:bookmarkStart w:id="857" w:name="_Toc100458570"/>
      <w:bookmarkStart w:id="858" w:name="_Toc101671986"/>
      <w:bookmarkStart w:id="859" w:name="_Toc101672243"/>
      <w:bookmarkStart w:id="860" w:name="_Toc102799269"/>
      <w:bookmarkStart w:id="861" w:name="_Toc102981943"/>
      <w:bookmarkStart w:id="862" w:name="_Toc103403256"/>
      <w:bookmarkStart w:id="863" w:name="_Toc103403513"/>
      <w:bookmarkStart w:id="864" w:name="_Toc103747512"/>
      <w:bookmarkStart w:id="865" w:name="_Toc107054941"/>
      <w:bookmarkStart w:id="866" w:name="_Toc113874388"/>
      <w:bookmarkStart w:id="867" w:name="_Toc113956804"/>
      <w:bookmarkStart w:id="868" w:name="_Toc116717360"/>
      <w:bookmarkStart w:id="869" w:name="_Toc116813387"/>
      <w:bookmarkStart w:id="870" w:name="_Toc122333039"/>
      <w:bookmarkStart w:id="871" w:name="_Toc122862009"/>
      <w:bookmarkStart w:id="872" w:name="_Toc122862605"/>
      <w:bookmarkStart w:id="873" w:name="_Toc122921212"/>
      <w:bookmarkStart w:id="874" w:name="_Toc122921472"/>
      <w:bookmarkStart w:id="875" w:name="_Toc122947417"/>
      <w:bookmarkStart w:id="876" w:name="_Toc124046253"/>
      <w:bookmarkStart w:id="877" w:name="_Toc130266574"/>
      <w:bookmarkStart w:id="878" w:name="_Toc130266850"/>
      <w:bookmarkStart w:id="879" w:name="_Toc131382953"/>
      <w:bookmarkStart w:id="880" w:name="_Toc133812334"/>
      <w:bookmarkStart w:id="881" w:name="_Toc133920281"/>
      <w:bookmarkStart w:id="882" w:name="_Toc134854678"/>
      <w:bookmarkStart w:id="883" w:name="_Toc134854954"/>
      <w:bookmarkStart w:id="884" w:name="_Toc136841131"/>
      <w:r>
        <w:rPr>
          <w:rStyle w:val="CharDivNo"/>
        </w:rPr>
        <w:t>Division 1</w:t>
      </w:r>
      <w:r>
        <w:rPr>
          <w:snapToGrid w:val="0"/>
        </w:rPr>
        <w:t> — </w:t>
      </w:r>
      <w:r>
        <w:rPr>
          <w:rStyle w:val="CharDivText"/>
        </w:rPr>
        <w:t xml:space="preserve">Provisions applicable to </w:t>
      </w:r>
      <w:bookmarkEnd w:id="849"/>
      <w:r>
        <w:rPr>
          <w:rStyle w:val="CharDivText"/>
        </w:rPr>
        <w:t>this Part</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885" w:name="_Toc500739967"/>
      <w:bookmarkStart w:id="886" w:name="_Toc520101159"/>
      <w:bookmarkStart w:id="887" w:name="_Toc520533058"/>
      <w:bookmarkStart w:id="888" w:name="_Toc49223943"/>
      <w:bookmarkStart w:id="889" w:name="_Toc107054942"/>
      <w:bookmarkStart w:id="890" w:name="_Toc134854679"/>
      <w:bookmarkStart w:id="891" w:name="_Toc136841132"/>
      <w:r>
        <w:rPr>
          <w:rStyle w:val="CharSectno"/>
        </w:rPr>
        <w:t>76</w:t>
      </w:r>
      <w:r>
        <w:rPr>
          <w:snapToGrid w:val="0"/>
        </w:rPr>
        <w:t>.</w:t>
      </w:r>
      <w:r>
        <w:rPr>
          <w:snapToGrid w:val="0"/>
        </w:rPr>
        <w:tab/>
        <w:t>Interpretation in Part IIIBA</w:t>
      </w:r>
      <w:bookmarkEnd w:id="885"/>
      <w:bookmarkEnd w:id="886"/>
      <w:bookmarkEnd w:id="887"/>
      <w:bookmarkEnd w:id="888"/>
      <w:bookmarkEnd w:id="889"/>
      <w:bookmarkEnd w:id="890"/>
      <w:bookmarkEnd w:id="891"/>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spacing w:before="60"/>
      </w:pPr>
      <w:r>
        <w:tab/>
        <w:t>(I)</w:t>
      </w:r>
      <w:r>
        <w:tab/>
        <w:t>which has been made with the corporation’s creditors or a class of them;</w:t>
      </w:r>
    </w:p>
    <w:p>
      <w:pPr>
        <w:pStyle w:val="Defitem"/>
        <w:spacing w:before="60"/>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spacing w:before="60"/>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spacing w:before="60"/>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r>
      <w:r>
        <w:rPr>
          <w:spacing w:val="-4"/>
        </w:rPr>
        <w:t xml:space="preserve">a majority shareholder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w:t>
      </w:r>
    </w:p>
    <w:p>
      <w:pPr>
        <w:pStyle w:val="Subsection"/>
        <w:spacing w:before="120"/>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spacing w:before="120"/>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spacing w:before="60"/>
      </w:pPr>
      <w:r>
        <w:tab/>
        <w:t>(a)</w:t>
      </w:r>
      <w:r>
        <w:tab/>
        <w:t>as if the winding up were carried out at that time in accordance with the rules of the corporation and any law relevant to the winding up, as the rules and law then exist; or</w:t>
      </w:r>
    </w:p>
    <w:p>
      <w:pPr>
        <w:pStyle w:val="Indenta"/>
        <w:spacing w:before="60"/>
      </w:pPr>
      <w:r>
        <w:tab/>
        <w:t>(b)</w:t>
      </w:r>
      <w:r>
        <w:tab/>
        <w:t>as if the person had, immediately prior to the winding up, exercised all powers and discretions exercisable by the person by reason of having acquired an interest in the corporation —</w:t>
      </w:r>
    </w:p>
    <w:p>
      <w:pPr>
        <w:pStyle w:val="Indenti"/>
        <w:spacing w:before="60"/>
      </w:pPr>
      <w:r>
        <w:tab/>
        <w:t>(i)</w:t>
      </w:r>
      <w:r>
        <w:tab/>
        <w:t>to effect or compel an alteration to the rules;</w:t>
      </w:r>
    </w:p>
    <w:p>
      <w:pPr>
        <w:pStyle w:val="Indenti"/>
        <w:spacing w:before="60"/>
      </w:pPr>
      <w:r>
        <w:tab/>
        <w:t>(ii)</w:t>
      </w:r>
      <w:r>
        <w:tab/>
        <w:t>to vary the rights conferred by shares in the corporation; or</w:t>
      </w:r>
    </w:p>
    <w:p>
      <w:pPr>
        <w:pStyle w:val="Indenti"/>
        <w:spacing w:before="60"/>
      </w:pPr>
      <w:r>
        <w:tab/>
        <w:t>(iii)</w:t>
      </w:r>
      <w:r>
        <w:tab/>
        <w:t>to effect or compel the substitution or replacement of shares in the corporation with other shares in the corporation,</w:t>
      </w:r>
    </w:p>
    <w:p>
      <w:pPr>
        <w:pStyle w:val="Indenta"/>
        <w:spacing w:before="60"/>
      </w:pPr>
      <w:r>
        <w:tab/>
      </w:r>
      <w:r>
        <w:tab/>
        <w:t>in such manner as to maximise that amount,</w:t>
      </w:r>
    </w:p>
    <w:p>
      <w:pPr>
        <w:pStyle w:val="Subsection"/>
        <w:spacing w:before="120"/>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spacing w:before="120"/>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spacing w:before="120"/>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spacing w:before="120"/>
        <w:rPr>
          <w:snapToGrid w:val="0"/>
        </w:rPr>
      </w:pPr>
      <w:r>
        <w:rPr>
          <w:snapToGrid w:val="0"/>
        </w:rPr>
        <w:tab/>
        <w:t>(b)</w:t>
      </w:r>
      <w:r>
        <w:rPr>
          <w:snapToGrid w:val="0"/>
        </w:rPr>
        <w:tab/>
        <w:t>such part of that property as the Commissioner determines.</w:t>
      </w:r>
    </w:p>
    <w:p>
      <w:pPr>
        <w:pStyle w:val="Subsection"/>
        <w:spacing w:before="120"/>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spacing w:before="120"/>
        <w:rPr>
          <w:snapToGrid w:val="0"/>
        </w:rPr>
      </w:pPr>
      <w:r>
        <w:rPr>
          <w:snapToGrid w:val="0"/>
        </w:rPr>
        <w:tab/>
        <w:t>(a)</w:t>
      </w:r>
      <w:r>
        <w:rPr>
          <w:snapToGrid w:val="0"/>
        </w:rPr>
        <w:tab/>
        <w:t>includes a share or interest, whether vested or contingent, or direct or indirect, in that other trust; or</w:t>
      </w:r>
    </w:p>
    <w:p>
      <w:pPr>
        <w:pStyle w:val="Indenta"/>
        <w:spacing w:before="120"/>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 inserted by No. 33 of 1987 s. 22; amended by No. 39 of 1994 s. 21; No. 57 of 1996 s. 7; No. 13 of 1997 s. 32 and 42; No. 22 of 1998 s. 36; No. 60 of 2000 s. 4; No. 10 of 2001 s. 174; No. 2 of 2003 s. 85; No. 28 of 2003 s. 192; No. 66 of 2003 s. 57; No. 11 of 2004 s. 17.]</w:t>
      </w:r>
    </w:p>
    <w:p>
      <w:pPr>
        <w:pStyle w:val="Heading5"/>
      </w:pPr>
      <w:bookmarkStart w:id="892" w:name="_Toc49223944"/>
      <w:bookmarkStart w:id="893" w:name="_Toc107054943"/>
      <w:bookmarkStart w:id="894" w:name="_Toc134854680"/>
      <w:bookmarkStart w:id="895" w:name="_Toc136841133"/>
      <w:r>
        <w:rPr>
          <w:rStyle w:val="CharSectno"/>
        </w:rPr>
        <w:t>76A</w:t>
      </w:r>
      <w:r>
        <w:t>.</w:t>
      </w:r>
      <w:r>
        <w:tab/>
        <w:t>Relevant acquisitions by trustees</w:t>
      </w:r>
      <w:bookmarkEnd w:id="892"/>
      <w:bookmarkEnd w:id="893"/>
      <w:bookmarkEnd w:id="894"/>
      <w:bookmarkEnd w:id="895"/>
    </w:p>
    <w:p>
      <w:pPr>
        <w:pStyle w:val="Subsection"/>
        <w:spacing w:before="180"/>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spacing w:before="180"/>
      </w:pPr>
      <w:r>
        <w:tab/>
        <w:t>(2)</w:t>
      </w:r>
      <w:r>
        <w:tab/>
        <w:t>If the combined interest in the WA company or corporation of a beneficiary and any person related to the beneficiary is greater than the combined interest of the trustee and any person related to the trustee —</w:t>
      </w:r>
    </w:p>
    <w:p>
      <w:pPr>
        <w:pStyle w:val="Indenta"/>
        <w:spacing w:before="60"/>
      </w:pPr>
      <w:r>
        <w:tab/>
        <w:t>(a)</w:t>
      </w:r>
      <w:r>
        <w:tab/>
        <w:t>the relevant acquisition is taken to have been made by the beneficiary;</w:t>
      </w:r>
    </w:p>
    <w:p>
      <w:pPr>
        <w:pStyle w:val="Indenta"/>
        <w:spacing w:before="60"/>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spacing w:before="60"/>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spacing w:before="100"/>
      </w:pPr>
      <w:r>
        <w:tab/>
        <w:t>(a)</w:t>
      </w:r>
      <w:r>
        <w:tab/>
        <w:t>in relation to a section 76AG statement, have the meanings given by section 76AK; and</w:t>
      </w:r>
    </w:p>
    <w:p>
      <w:pPr>
        <w:pStyle w:val="Defpara"/>
        <w:spacing w:before="100"/>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pPr>
      <w:r>
        <w:tab/>
        <w:t>[Section 76A inserted by No. 2 of 2003 s. 86; amended by No. 66 of 2003 s. 58; No. 11 of 2004 s. 18.]</w:t>
      </w:r>
    </w:p>
    <w:p>
      <w:pPr>
        <w:pStyle w:val="Heading5"/>
      </w:pPr>
      <w:bookmarkStart w:id="896" w:name="_Toc49223945"/>
      <w:bookmarkStart w:id="897" w:name="_Toc107054944"/>
      <w:bookmarkStart w:id="898" w:name="_Toc134854681"/>
      <w:bookmarkStart w:id="899" w:name="_Toc136841134"/>
      <w:r>
        <w:rPr>
          <w:rStyle w:val="CharSectno"/>
        </w:rPr>
        <w:t>76AA</w:t>
      </w:r>
      <w:r>
        <w:t>.</w:t>
      </w:r>
      <w:r>
        <w:tab/>
        <w:t>Assessment in the absence of a dutiable statement</w:t>
      </w:r>
      <w:bookmarkEnd w:id="896"/>
      <w:bookmarkEnd w:id="897"/>
      <w:bookmarkEnd w:id="898"/>
      <w:bookmarkEnd w:id="899"/>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spacing w:before="60"/>
      </w:pPr>
      <w:r>
        <w:tab/>
        <w:t>(b)</w:t>
      </w:r>
      <w:r>
        <w:tab/>
        <w:t>an acquisition had occurred; and</w:t>
      </w:r>
    </w:p>
    <w:p>
      <w:pPr>
        <w:pStyle w:val="Indenta"/>
        <w:spacing w:before="60"/>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pPr>
      <w:bookmarkStart w:id="900" w:name="_Toc107054945"/>
      <w:bookmarkStart w:id="901" w:name="_Toc134854682"/>
      <w:bookmarkStart w:id="902" w:name="_Toc136841135"/>
      <w:r>
        <w:rPr>
          <w:rStyle w:val="CharSectno"/>
        </w:rPr>
        <w:t>76AB</w:t>
      </w:r>
      <w:r>
        <w:t>.</w:t>
      </w:r>
      <w:r>
        <w:tab/>
        <w:t>Request that Commissioner determine whether dutiable statement is required to be lodged</w:t>
      </w:r>
      <w:bookmarkEnd w:id="900"/>
      <w:bookmarkEnd w:id="901"/>
      <w:bookmarkEnd w:id="902"/>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spacing w:before="60"/>
      </w:pPr>
      <w:r>
        <w:tab/>
        <w:t>(a)</w:t>
      </w:r>
      <w:r>
        <w:tab/>
        <w:t>the information that would be required under —</w:t>
      </w:r>
    </w:p>
    <w:p>
      <w:pPr>
        <w:pStyle w:val="Indenti"/>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pPr>
      <w:r>
        <w:tab/>
        <w:t>[Section 76AB inserted by No. 66 of 2003 s. 60; amended by No. 11 of 2004 s. 20.]</w:t>
      </w:r>
    </w:p>
    <w:p>
      <w:pPr>
        <w:pStyle w:val="Ednotesection"/>
      </w:pPr>
      <w:r>
        <w:t>[</w:t>
      </w:r>
      <w:r>
        <w:rPr>
          <w:b/>
        </w:rPr>
        <w:t>76AC</w:t>
      </w:r>
      <w:r>
        <w:rPr>
          <w:b/>
        </w:rPr>
        <w:noBreakHyphen/>
        <w:t>76AF.</w:t>
      </w:r>
      <w:r>
        <w:tab/>
        <w:t>Repealed by No. 2 of 2003 s. 86.]</w:t>
      </w:r>
    </w:p>
    <w:p>
      <w:pPr>
        <w:pStyle w:val="Heading3"/>
        <w:spacing w:before="260"/>
        <w:rPr>
          <w:snapToGrid w:val="0"/>
        </w:rPr>
      </w:pPr>
      <w:bookmarkStart w:id="903" w:name="_Toc58902601"/>
      <w:bookmarkStart w:id="904" w:name="_Toc76899615"/>
      <w:bookmarkStart w:id="905" w:name="_Toc78090517"/>
      <w:bookmarkStart w:id="906" w:name="_Toc88886885"/>
      <w:bookmarkStart w:id="907" w:name="_Toc90443501"/>
      <w:bookmarkStart w:id="908" w:name="_Toc90452852"/>
      <w:bookmarkStart w:id="909" w:name="_Toc100029443"/>
      <w:bookmarkStart w:id="910" w:name="_Toc100031516"/>
      <w:bookmarkStart w:id="911" w:name="_Toc100458575"/>
      <w:bookmarkStart w:id="912" w:name="_Toc101671991"/>
      <w:bookmarkStart w:id="913" w:name="_Toc101672248"/>
      <w:bookmarkStart w:id="914" w:name="_Toc102799274"/>
      <w:bookmarkStart w:id="915" w:name="_Toc102981948"/>
      <w:bookmarkStart w:id="916" w:name="_Toc103403261"/>
      <w:bookmarkStart w:id="917" w:name="_Toc103403518"/>
      <w:bookmarkStart w:id="918" w:name="_Toc103747517"/>
      <w:bookmarkStart w:id="919" w:name="_Toc107054946"/>
      <w:bookmarkStart w:id="920" w:name="_Toc113874393"/>
      <w:bookmarkStart w:id="921" w:name="_Toc113956809"/>
      <w:bookmarkStart w:id="922" w:name="_Toc116717365"/>
      <w:bookmarkStart w:id="923" w:name="_Toc116813392"/>
      <w:bookmarkStart w:id="924" w:name="_Toc122333044"/>
      <w:bookmarkStart w:id="925" w:name="_Toc122862014"/>
      <w:bookmarkStart w:id="926" w:name="_Toc122862610"/>
      <w:bookmarkStart w:id="927" w:name="_Toc122921217"/>
      <w:bookmarkStart w:id="928" w:name="_Toc122921477"/>
      <w:bookmarkStart w:id="929" w:name="_Toc122947422"/>
      <w:bookmarkStart w:id="930" w:name="_Toc124046258"/>
      <w:bookmarkStart w:id="931" w:name="_Toc130266579"/>
      <w:bookmarkStart w:id="932" w:name="_Toc130266855"/>
      <w:bookmarkStart w:id="933" w:name="_Toc131382958"/>
      <w:bookmarkStart w:id="934" w:name="_Toc133812339"/>
      <w:bookmarkStart w:id="935" w:name="_Toc133920286"/>
      <w:bookmarkStart w:id="936" w:name="_Toc134854683"/>
      <w:bookmarkStart w:id="937" w:name="_Toc134854959"/>
      <w:bookmarkStart w:id="938" w:name="_Toc136841136"/>
      <w:r>
        <w:rPr>
          <w:rStyle w:val="CharDivNo"/>
        </w:rPr>
        <w:t>Division 2</w:t>
      </w:r>
      <w:r>
        <w:rPr>
          <w:snapToGrid w:val="0"/>
        </w:rPr>
        <w:t> — </w:t>
      </w:r>
      <w:r>
        <w:rPr>
          <w:rStyle w:val="CharDivText"/>
        </w:rPr>
        <w:t>Companies taken to be registered in Western Australia</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Footnoteheading"/>
        <w:tabs>
          <w:tab w:val="left" w:pos="923"/>
        </w:tabs>
        <w:ind w:left="937" w:hanging="937"/>
        <w:rPr>
          <w:snapToGrid w:val="0"/>
        </w:rPr>
      </w:pPr>
      <w:r>
        <w:rPr>
          <w:snapToGrid w:val="0"/>
        </w:rPr>
        <w:tab/>
        <w:t>[Heading inserted by No. 33 of 1987 s. 22; amended by No. 10 of 2001 s. 175; No. 2 of 2003 s. 87.]</w:t>
      </w:r>
    </w:p>
    <w:p>
      <w:pPr>
        <w:pStyle w:val="Heading5"/>
        <w:rPr>
          <w:snapToGrid w:val="0"/>
        </w:rPr>
      </w:pPr>
      <w:bookmarkStart w:id="939" w:name="_Toc500739975"/>
      <w:bookmarkStart w:id="940" w:name="_Toc520101167"/>
      <w:bookmarkStart w:id="941" w:name="_Toc520533066"/>
      <w:bookmarkStart w:id="942" w:name="_Toc49223946"/>
      <w:bookmarkStart w:id="943" w:name="_Toc107054947"/>
      <w:bookmarkStart w:id="944" w:name="_Toc134854684"/>
      <w:bookmarkStart w:id="945" w:name="_Toc136841137"/>
      <w:r>
        <w:rPr>
          <w:rStyle w:val="CharSectno"/>
        </w:rPr>
        <w:t>76AG</w:t>
      </w:r>
      <w:r>
        <w:rPr>
          <w:snapToGrid w:val="0"/>
        </w:rPr>
        <w:t>.</w:t>
      </w:r>
      <w:r>
        <w:rPr>
          <w:snapToGrid w:val="0"/>
        </w:rPr>
        <w:tab/>
      </w:r>
      <w:bookmarkEnd w:id="939"/>
      <w:bookmarkEnd w:id="940"/>
      <w:bookmarkEnd w:id="941"/>
      <w:bookmarkEnd w:id="942"/>
      <w:r>
        <w:rPr>
          <w:snapToGrid w:val="0"/>
        </w:rPr>
        <w:t>Preparation of dutiable statement</w:t>
      </w:r>
      <w:bookmarkEnd w:id="943"/>
      <w:bookmarkEnd w:id="944"/>
      <w:bookmarkEnd w:id="945"/>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spacing w:before="80"/>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spacing w:before="50"/>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spacing w:before="50"/>
        <w:rPr>
          <w:snapToGrid w:val="0"/>
        </w:rPr>
      </w:pPr>
      <w:r>
        <w:rPr>
          <w:snapToGrid w:val="0"/>
        </w:rPr>
        <w:tab/>
        <w:t>(b)</w:t>
      </w:r>
      <w:r>
        <w:rPr>
          <w:snapToGrid w:val="0"/>
        </w:rPr>
        <w:tab/>
        <w:t>the date of the acquisition;</w:t>
      </w:r>
    </w:p>
    <w:p>
      <w:pPr>
        <w:pStyle w:val="Indenta"/>
        <w:spacing w:before="50"/>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spacing w:before="50"/>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spacing w:before="50"/>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spacing w:before="50"/>
        <w:rPr>
          <w:snapToGrid w:val="0"/>
        </w:rPr>
      </w:pPr>
      <w:r>
        <w:tab/>
        <w:t>(db)</w:t>
      </w:r>
      <w:r>
        <w:tab/>
        <w:t>the person’s estimate of the unencumbered value of those chattels;</w:t>
      </w:r>
    </w:p>
    <w:p>
      <w:pPr>
        <w:pStyle w:val="Indenta"/>
        <w:spacing w:before="50"/>
      </w:pPr>
      <w:r>
        <w:rPr>
          <w:snapToGrid w:val="0"/>
        </w:rPr>
        <w:tab/>
        <w:t>(e)</w:t>
      </w:r>
      <w:r>
        <w:rPr>
          <w:snapToGrid w:val="0"/>
        </w:rPr>
        <w:tab/>
        <w:t>the person’s estimate of the unencumbered value of the property of the WA company as at</w:t>
      </w:r>
      <w:r>
        <w:t xml:space="preserve"> the date of the acquisition; and</w:t>
      </w:r>
    </w:p>
    <w:p>
      <w:pPr>
        <w:pStyle w:val="Indenta"/>
        <w:spacing w:before="50"/>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pPr>
      <w:r>
        <w:tab/>
        <w:t>[Section 76AG inserted by No. 33 of 1987 s. 22; amended by No. 41 of 1989 s. 15; No. 39 of 1994 s. 21; No. 22 of 1998 s. 38 and 39; No. 60 of 2000 s. 7; No. 3 of 2001 s. 20; No. 2 of 2003 s. 88; No. 66 of 2003 s. 61.]</w:t>
      </w:r>
    </w:p>
    <w:p>
      <w:pPr>
        <w:pStyle w:val="Heading5"/>
        <w:spacing w:before="180"/>
        <w:rPr>
          <w:snapToGrid w:val="0"/>
        </w:rPr>
      </w:pPr>
      <w:bookmarkStart w:id="946" w:name="_Toc500739976"/>
      <w:bookmarkStart w:id="947" w:name="_Toc520101168"/>
      <w:bookmarkStart w:id="948" w:name="_Toc520533067"/>
      <w:bookmarkStart w:id="949" w:name="_Toc49223947"/>
      <w:bookmarkStart w:id="950" w:name="_Toc107054948"/>
      <w:bookmarkStart w:id="951" w:name="_Toc134854685"/>
      <w:bookmarkStart w:id="952" w:name="_Toc136841138"/>
      <w:r>
        <w:rPr>
          <w:rStyle w:val="CharSectno"/>
        </w:rPr>
        <w:t>76AH</w:t>
      </w:r>
      <w:r>
        <w:rPr>
          <w:snapToGrid w:val="0"/>
        </w:rPr>
        <w:t>.</w:t>
      </w:r>
      <w:r>
        <w:rPr>
          <w:snapToGrid w:val="0"/>
        </w:rPr>
        <w:tab/>
        <w:t>Statement chargeable with duty</w:t>
      </w:r>
      <w:bookmarkEnd w:id="946"/>
      <w:bookmarkEnd w:id="947"/>
      <w:bookmarkEnd w:id="948"/>
      <w:bookmarkEnd w:id="949"/>
      <w:bookmarkEnd w:id="950"/>
      <w:bookmarkEnd w:id="951"/>
      <w:bookmarkEnd w:id="952"/>
    </w:p>
    <w:p>
      <w:pPr>
        <w:pStyle w:val="Subsection"/>
        <w:spacing w:before="10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spacing w:before="60"/>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spacing w:before="60"/>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0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pict>
          <v:shape id="_x0000_i1030" type="#_x0000_t75" style="width:98.25pt;height:33.75pt">
            <v:imagedata r:id="rId21" o:title=""/>
          </v:shape>
        </w:pict>
      </w:r>
    </w:p>
    <w:p>
      <w:pPr>
        <w:pStyle w:val="Subsection"/>
        <w:keepNext/>
        <w:spacing w:before="80"/>
        <w:rPr>
          <w:snapToGrid w:val="0"/>
        </w:rPr>
      </w:pPr>
      <w:r>
        <w:rPr>
          <w:snapToGrid w:val="0"/>
        </w:rPr>
        <w:tab/>
      </w:r>
      <w:r>
        <w:rPr>
          <w:snapToGrid w:val="0"/>
        </w:rPr>
        <w:tab/>
        <w:t>where —</w:t>
      </w:r>
    </w:p>
    <w:p>
      <w:pPr>
        <w:pStyle w:val="Indenta"/>
        <w:spacing w:before="4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76AG statement relates or by a related person;</w:t>
      </w:r>
    </w:p>
    <w:p>
      <w:pPr>
        <w:pStyle w:val="Indenta"/>
        <w:spacing w:before="6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60"/>
      </w:pPr>
      <w:r>
        <w:tab/>
        <w:t>(c)</w:t>
      </w:r>
      <w:r>
        <w:tab/>
        <w:t>any of the chattels that, in the opinion of the Commissioner, are usually not situated in Western Australia.</w:t>
      </w:r>
    </w:p>
    <w:p>
      <w:pPr>
        <w:pStyle w:val="Subsection"/>
        <w:spacing w:before="13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pPr>
      <w:r>
        <w:tab/>
        <w:t>[Section 76AH inserted by No. 33 of 1987 s. 22; amended by No. 39 of 1994 s. 14 and 21; No. 22 of 1998 s. 38 and 40; No. 60 of 2000 s. 8; No. 36 of 2001 s. 22; No. 2 of 2003 s. 89; No. 66 of 2003 s. 62; No. 11 of 2004 s. 21.]</w:t>
      </w:r>
    </w:p>
    <w:p>
      <w:pPr>
        <w:pStyle w:val="Heading5"/>
        <w:spacing w:before="200"/>
        <w:rPr>
          <w:snapToGrid w:val="0"/>
        </w:rPr>
      </w:pPr>
      <w:bookmarkStart w:id="953" w:name="_Toc500739977"/>
      <w:bookmarkStart w:id="954" w:name="_Toc520101169"/>
      <w:bookmarkStart w:id="955" w:name="_Toc520533068"/>
      <w:bookmarkStart w:id="956" w:name="_Toc49223948"/>
      <w:bookmarkStart w:id="957" w:name="_Toc107054949"/>
      <w:bookmarkStart w:id="958" w:name="_Toc134854686"/>
      <w:bookmarkStart w:id="959" w:name="_Toc136841139"/>
      <w:r>
        <w:rPr>
          <w:rStyle w:val="CharSectno"/>
        </w:rPr>
        <w:t>76AI</w:t>
      </w:r>
      <w:r>
        <w:rPr>
          <w:snapToGrid w:val="0"/>
        </w:rPr>
        <w:t>.</w:t>
      </w:r>
      <w:r>
        <w:rPr>
          <w:snapToGrid w:val="0"/>
        </w:rPr>
        <w:tab/>
        <w:t>Companies to which this Division applies</w:t>
      </w:r>
      <w:bookmarkEnd w:id="953"/>
      <w:bookmarkEnd w:id="954"/>
      <w:bookmarkEnd w:id="955"/>
      <w:bookmarkEnd w:id="956"/>
      <w:bookmarkEnd w:id="957"/>
      <w:bookmarkEnd w:id="958"/>
      <w:bookmarkEnd w:id="959"/>
    </w:p>
    <w:p>
      <w:pPr>
        <w:pStyle w:val="Subsection"/>
      </w:pPr>
      <w:r>
        <w:tab/>
        <w:t>(1)</w:t>
      </w:r>
      <w:r>
        <w:tab/>
        <w:t>This Division applies to a WA company if it is a land</w:t>
      </w:r>
      <w:r>
        <w:noBreakHyphen/>
        <w:t>holder within the meaning in subsection (2) unless —</w:t>
      </w:r>
    </w:p>
    <w:p>
      <w:pPr>
        <w:pStyle w:val="Indenta"/>
        <w:spacing w:before="60"/>
      </w:pPr>
      <w:r>
        <w:tab/>
        <w:t>(a)</w:t>
      </w:r>
      <w:r>
        <w:tab/>
        <w:t>it is listed on a recognised financial market; and</w:t>
      </w:r>
    </w:p>
    <w:p>
      <w:pPr>
        <w:pStyle w:val="Indenta"/>
        <w:spacing w:before="60"/>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spacing w:before="60"/>
      </w:pPr>
      <w:r>
        <w:tab/>
        <w:t>(a)</w:t>
      </w:r>
      <w:r>
        <w:tab/>
        <w:t>how long the WA company has been listed on a recognised financial market;</w:t>
      </w:r>
    </w:p>
    <w:p>
      <w:pPr>
        <w:pStyle w:val="Indenta"/>
        <w:spacing w:before="60"/>
      </w:pPr>
      <w:r>
        <w:tab/>
        <w:t>(b)</w:t>
      </w:r>
      <w:r>
        <w:tab/>
        <w:t>any conditions or exemptions that apply to the approval of the listing of the company;</w:t>
      </w:r>
    </w:p>
    <w:p>
      <w:pPr>
        <w:pStyle w:val="Indenta"/>
        <w:spacing w:before="60"/>
      </w:pPr>
      <w:r>
        <w:tab/>
        <w:t>(c)</w:t>
      </w:r>
      <w:r>
        <w:tab/>
        <w:t>who owns the company’s shares;</w:t>
      </w:r>
    </w:p>
    <w:p>
      <w:pPr>
        <w:pStyle w:val="Indenta"/>
        <w:spacing w:before="60"/>
      </w:pPr>
      <w:r>
        <w:tab/>
        <w:t>(d)</w:t>
      </w:r>
      <w:r>
        <w:tab/>
        <w:t>what proportion of the company’s shares are available to be traded on the market; and</w:t>
      </w:r>
    </w:p>
    <w:p>
      <w:pPr>
        <w:pStyle w:val="Indenta"/>
        <w:spacing w:before="60"/>
      </w:pPr>
      <w:r>
        <w:tab/>
        <w:t>(e)</w:t>
      </w:r>
      <w:r>
        <w:tab/>
        <w:t>the turnover of the company’s shares on the market.</w:t>
      </w:r>
    </w:p>
    <w:p>
      <w:pPr>
        <w:pStyle w:val="Subsection"/>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8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r>
      <w:r>
        <w:rPr>
          <w:spacing w:val="-4"/>
        </w:rPr>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6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keepNext/>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960" w:name="_Toc500739978"/>
      <w:bookmarkStart w:id="961" w:name="_Toc520101170"/>
      <w:bookmarkStart w:id="962" w:name="_Toc520533069"/>
      <w:bookmarkStart w:id="963" w:name="_Toc49223949"/>
      <w:bookmarkStart w:id="964" w:name="_Toc107054950"/>
      <w:bookmarkStart w:id="965" w:name="_Toc134854687"/>
      <w:bookmarkStart w:id="966" w:name="_Toc136841140"/>
      <w:r>
        <w:rPr>
          <w:rStyle w:val="CharSectno"/>
        </w:rPr>
        <w:t>76AJ</w:t>
      </w:r>
      <w:r>
        <w:t>.</w:t>
      </w:r>
      <w:r>
        <w:tab/>
        <w:t>Meaning of “</w:t>
      </w:r>
      <w:r>
        <w:rPr>
          <w:rStyle w:val="CharDefText"/>
          <w:b/>
        </w:rPr>
        <w:t>relevant acquisition</w:t>
      </w:r>
      <w:r>
        <w:t>”</w:t>
      </w:r>
      <w:bookmarkEnd w:id="960"/>
      <w:bookmarkEnd w:id="961"/>
      <w:bookmarkEnd w:id="962"/>
      <w:bookmarkEnd w:id="963"/>
      <w:bookmarkEnd w:id="964"/>
      <w:bookmarkEnd w:id="965"/>
      <w:bookmarkEnd w:id="966"/>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spacing w:before="140"/>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pPr>
      <w:r>
        <w:tab/>
        <w:t>(5)</w:t>
      </w:r>
      <w:r>
        <w:tab/>
        <w:t>In subsection (3) —</w:t>
      </w:r>
    </w:p>
    <w:p>
      <w:pPr>
        <w:pStyle w:val="Defstart"/>
        <w:spacing w:before="60"/>
      </w:pPr>
      <w:r>
        <w:tab/>
      </w:r>
      <w:r>
        <w:rPr>
          <w:b/>
        </w:rPr>
        <w:t>“</w:t>
      </w:r>
      <w:r>
        <w:rPr>
          <w:rStyle w:val="CharDefText"/>
        </w:rPr>
        <w:t>relevant period</w:t>
      </w:r>
      <w:r>
        <w:rPr>
          <w:b/>
        </w:rPr>
        <w:t>”</w:t>
      </w:r>
      <w:r>
        <w:t xml:space="preserve"> means —</w:t>
      </w:r>
    </w:p>
    <w:p>
      <w:pPr>
        <w:pStyle w:val="Defpara"/>
        <w:spacing w:before="60"/>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spacing w:before="60"/>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spacing w:before="60"/>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spacing w:before="260"/>
      </w:pPr>
      <w:bookmarkStart w:id="967" w:name="_Toc500739979"/>
      <w:bookmarkStart w:id="968" w:name="_Toc520101171"/>
      <w:bookmarkStart w:id="969" w:name="_Toc520533070"/>
      <w:bookmarkStart w:id="970" w:name="_Toc49223950"/>
      <w:bookmarkStart w:id="971" w:name="_Toc107054951"/>
      <w:bookmarkStart w:id="972" w:name="_Toc134854688"/>
      <w:bookmarkStart w:id="973" w:name="_Toc136841141"/>
      <w:r>
        <w:rPr>
          <w:rStyle w:val="CharSectno"/>
        </w:rPr>
        <w:t>76AK</w:t>
      </w:r>
      <w:r>
        <w:t>.</w:t>
      </w:r>
      <w:r>
        <w:tab/>
        <w:t>Meaning of “</w:t>
      </w:r>
      <w:r>
        <w:rPr>
          <w:rStyle w:val="CharDefText"/>
          <w:b/>
        </w:rPr>
        <w:t>interest</w:t>
      </w:r>
      <w:r>
        <w:t>”, “majority interest” or “</w:t>
      </w:r>
      <w:r>
        <w:rPr>
          <w:rStyle w:val="CharDefText"/>
          <w:b/>
        </w:rPr>
        <w:t>further interest</w:t>
      </w:r>
      <w:bookmarkEnd w:id="967"/>
      <w:bookmarkEnd w:id="968"/>
      <w:bookmarkEnd w:id="969"/>
      <w:bookmarkEnd w:id="970"/>
      <w:r>
        <w:t>”</w:t>
      </w:r>
      <w:bookmarkEnd w:id="971"/>
      <w:bookmarkEnd w:id="972"/>
      <w:bookmarkEnd w:id="973"/>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spacing w:before="180"/>
      </w:pPr>
      <w:r>
        <w:tab/>
        <w:t>(3)</w:t>
      </w:r>
      <w:r>
        <w:tab/>
        <w:t>For the purposes of this Division, a person acquires a further interest in a WA company if —</w:t>
      </w:r>
    </w:p>
    <w:p>
      <w:pPr>
        <w:pStyle w:val="Indenta"/>
        <w:spacing w:before="100"/>
      </w:pPr>
      <w:r>
        <w:tab/>
        <w:t>(a)</w:t>
      </w:r>
      <w:r>
        <w:tab/>
        <w:t>the person has, or the person and any related person have, a majority interest in the WA company;</w:t>
      </w:r>
    </w:p>
    <w:p>
      <w:pPr>
        <w:pStyle w:val="Indenta"/>
        <w:spacing w:before="100"/>
      </w:pPr>
      <w:r>
        <w:tab/>
        <w:t>(b)</w:t>
      </w:r>
      <w:r>
        <w:tab/>
        <w:t>the acquisition of that majority interest gave rise to a liability for duty under this Part; and</w:t>
      </w:r>
    </w:p>
    <w:p>
      <w:pPr>
        <w:pStyle w:val="Indenta"/>
        <w:spacing w:before="10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76AK inserted by No. 60 of 2000 s. 10.]</w:t>
      </w:r>
    </w:p>
    <w:p>
      <w:pPr>
        <w:pStyle w:val="Heading5"/>
        <w:rPr>
          <w:snapToGrid w:val="0"/>
        </w:rPr>
      </w:pPr>
      <w:bookmarkStart w:id="974" w:name="_Toc500739980"/>
      <w:bookmarkStart w:id="975" w:name="_Toc520101172"/>
      <w:bookmarkStart w:id="976" w:name="_Toc520533071"/>
      <w:bookmarkStart w:id="977" w:name="_Toc49223951"/>
      <w:bookmarkStart w:id="978" w:name="_Toc107054952"/>
      <w:bookmarkStart w:id="979" w:name="_Toc134854689"/>
      <w:bookmarkStart w:id="980" w:name="_Toc136841142"/>
      <w:r>
        <w:rPr>
          <w:rStyle w:val="CharSectno"/>
        </w:rPr>
        <w:t>76AL</w:t>
      </w:r>
      <w:r>
        <w:rPr>
          <w:snapToGrid w:val="0"/>
        </w:rPr>
        <w:t>.</w:t>
      </w:r>
      <w:r>
        <w:rPr>
          <w:snapToGrid w:val="0"/>
        </w:rPr>
        <w:tab/>
        <w:t>How dutiable value is determined</w:t>
      </w:r>
      <w:bookmarkEnd w:id="974"/>
      <w:bookmarkEnd w:id="975"/>
      <w:bookmarkEnd w:id="976"/>
      <w:bookmarkEnd w:id="977"/>
      <w:bookmarkEnd w:id="978"/>
      <w:bookmarkEnd w:id="979"/>
      <w:bookmarkEnd w:id="980"/>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pPr>
      <w:r>
        <w:tab/>
        <w:t>[Section 76AL inserted by No. 33 of 1987 s. 22; amended by No. 39 of 1994 s. 21; No. 22 of 1998 s. 38; No. 60 of 2000 s. 11; No. 2 of 2003 s. 91; No. 11 of 2004 s. 24.]</w:t>
      </w:r>
    </w:p>
    <w:p>
      <w:pPr>
        <w:pStyle w:val="Heading5"/>
        <w:rPr>
          <w:snapToGrid w:val="0"/>
        </w:rPr>
      </w:pPr>
      <w:bookmarkStart w:id="981" w:name="_Toc500739981"/>
      <w:bookmarkStart w:id="982" w:name="_Toc520101173"/>
      <w:bookmarkStart w:id="983" w:name="_Toc520533072"/>
      <w:bookmarkStart w:id="984" w:name="_Toc49223952"/>
      <w:bookmarkStart w:id="985" w:name="_Toc107054953"/>
      <w:bookmarkStart w:id="986" w:name="_Toc134854690"/>
      <w:bookmarkStart w:id="987" w:name="_Toc136841143"/>
      <w:r>
        <w:rPr>
          <w:rStyle w:val="CharSectno"/>
        </w:rPr>
        <w:t>76AM</w:t>
      </w:r>
      <w:r>
        <w:rPr>
          <w:snapToGrid w:val="0"/>
        </w:rPr>
        <w:t>.</w:t>
      </w:r>
      <w:r>
        <w:rPr>
          <w:snapToGrid w:val="0"/>
        </w:rPr>
        <w:tab/>
        <w:t>Liability for duty</w:t>
      </w:r>
      <w:bookmarkEnd w:id="981"/>
      <w:bookmarkEnd w:id="982"/>
      <w:bookmarkEnd w:id="983"/>
      <w:bookmarkEnd w:id="984"/>
      <w:bookmarkEnd w:id="985"/>
      <w:bookmarkEnd w:id="986"/>
      <w:bookmarkEnd w:id="987"/>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pPr>
      <w:r>
        <w:tab/>
        <w:t>[Section 76AM inserted by No. 33 of 1987 s. 22; amended by No. 39 of 1994 s. 21; No. 60 of 2000 s. 12; No. 2 of 2003 s. 92; No. 66 of 2003 s. 65.]</w:t>
      </w:r>
    </w:p>
    <w:p>
      <w:pPr>
        <w:pStyle w:val="Heading3"/>
        <w:keepLines/>
      </w:pPr>
      <w:bookmarkStart w:id="988" w:name="_Toc58902609"/>
      <w:bookmarkStart w:id="989" w:name="_Toc76899623"/>
      <w:bookmarkStart w:id="990" w:name="_Toc78090525"/>
      <w:bookmarkStart w:id="991" w:name="_Toc88886893"/>
      <w:bookmarkStart w:id="992" w:name="_Toc90443509"/>
      <w:bookmarkStart w:id="993" w:name="_Toc90452860"/>
      <w:bookmarkStart w:id="994" w:name="_Toc100029451"/>
      <w:bookmarkStart w:id="995" w:name="_Toc100031524"/>
      <w:bookmarkStart w:id="996" w:name="_Toc100458583"/>
      <w:bookmarkStart w:id="997" w:name="_Toc101671999"/>
      <w:bookmarkStart w:id="998" w:name="_Toc101672256"/>
      <w:bookmarkStart w:id="999" w:name="_Toc102799282"/>
      <w:bookmarkStart w:id="1000" w:name="_Toc102981956"/>
      <w:bookmarkStart w:id="1001" w:name="_Toc103403269"/>
      <w:bookmarkStart w:id="1002" w:name="_Toc103403526"/>
      <w:bookmarkStart w:id="1003" w:name="_Toc103747525"/>
      <w:bookmarkStart w:id="1004" w:name="_Toc107054954"/>
      <w:bookmarkStart w:id="1005" w:name="_Toc113874401"/>
      <w:bookmarkStart w:id="1006" w:name="_Toc113956817"/>
      <w:bookmarkStart w:id="1007" w:name="_Toc116717373"/>
      <w:bookmarkStart w:id="1008" w:name="_Toc116813400"/>
      <w:bookmarkStart w:id="1009" w:name="_Toc122333052"/>
      <w:bookmarkStart w:id="1010" w:name="_Toc122862022"/>
      <w:bookmarkStart w:id="1011" w:name="_Toc122862618"/>
      <w:bookmarkStart w:id="1012" w:name="_Toc122921225"/>
      <w:bookmarkStart w:id="1013" w:name="_Toc122921485"/>
      <w:bookmarkStart w:id="1014" w:name="_Toc122947430"/>
      <w:bookmarkStart w:id="1015" w:name="_Toc124046266"/>
      <w:bookmarkStart w:id="1016" w:name="_Toc130266587"/>
      <w:bookmarkStart w:id="1017" w:name="_Toc130266863"/>
      <w:bookmarkStart w:id="1018" w:name="_Toc131382966"/>
      <w:bookmarkStart w:id="1019" w:name="_Toc133812347"/>
      <w:bookmarkStart w:id="1020" w:name="_Toc133920294"/>
      <w:bookmarkStart w:id="1021" w:name="_Toc134854691"/>
      <w:bookmarkStart w:id="1022" w:name="_Toc134854967"/>
      <w:bookmarkStart w:id="1023" w:name="_Toc136841144"/>
      <w:bookmarkStart w:id="1024" w:name="_Toc500739982"/>
      <w:r>
        <w:rPr>
          <w:rStyle w:val="CharDivNo"/>
        </w:rPr>
        <w:t>Division 3</w:t>
      </w:r>
      <w:r>
        <w:t> — </w:t>
      </w:r>
      <w:r>
        <w:rPr>
          <w:rStyle w:val="CharDivText"/>
        </w:rPr>
        <w:t>Corporations incorporated, or taken to be registered, outside Western Australia, and certain other companies not within Division 2</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Footnoteheading"/>
        <w:keepNext/>
        <w:tabs>
          <w:tab w:val="left" w:pos="923"/>
        </w:tabs>
        <w:ind w:left="937" w:hanging="937"/>
      </w:pPr>
      <w:r>
        <w:tab/>
        <w:t>[Heading inserted by No. 10 of 2001 s. 177; amended by No. 2 of 2003 s. 93.]</w:t>
      </w:r>
    </w:p>
    <w:p>
      <w:pPr>
        <w:pStyle w:val="Heading5"/>
        <w:rPr>
          <w:snapToGrid w:val="0"/>
        </w:rPr>
      </w:pPr>
      <w:bookmarkStart w:id="1025" w:name="_Toc520101174"/>
      <w:bookmarkStart w:id="1026" w:name="_Toc520533073"/>
      <w:bookmarkStart w:id="1027" w:name="_Toc49223953"/>
      <w:bookmarkStart w:id="1028" w:name="_Toc107054955"/>
      <w:bookmarkStart w:id="1029" w:name="_Toc134854692"/>
      <w:bookmarkStart w:id="1030" w:name="_Toc136841145"/>
      <w:r>
        <w:rPr>
          <w:rStyle w:val="CharSectno"/>
        </w:rPr>
        <w:t>76AN</w:t>
      </w:r>
      <w:r>
        <w:rPr>
          <w:snapToGrid w:val="0"/>
        </w:rPr>
        <w:t>.</w:t>
      </w:r>
      <w:r>
        <w:rPr>
          <w:snapToGrid w:val="0"/>
        </w:rPr>
        <w:tab/>
      </w:r>
      <w:bookmarkEnd w:id="1024"/>
      <w:bookmarkEnd w:id="1025"/>
      <w:bookmarkEnd w:id="1026"/>
      <w:bookmarkEnd w:id="1027"/>
      <w:r>
        <w:rPr>
          <w:snapToGrid w:val="0"/>
        </w:rPr>
        <w:t>Preparation of dutiable statement</w:t>
      </w:r>
      <w:bookmarkEnd w:id="1028"/>
      <w:bookmarkEnd w:id="1029"/>
      <w:bookmarkEnd w:id="1030"/>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(4)</w:t>
      </w:r>
      <w:r>
        <w:tab/>
        <w:t>A dutiable statement lodged under subsection (1) is taken to be an instrument evidencing the relevant acquisition and is chargeable with duty accordingly.</w:t>
      </w:r>
    </w:p>
    <w:p>
      <w:pPr>
        <w:pStyle w:val="Subsection"/>
        <w:spacing w:before="12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pPr>
      <w:r>
        <w:tab/>
        <w:t>[Section 76AN inserted by No. 33 of 1987 s. 22; amended by No. 41 of 1989 s. 16; No. 22 of 1998 s. 38 and 41; No. 60 of 2000 s. 13; No. 3 of 2001 s. 21; No. 2 of 2003 s. 94; No. 66 of 2003 s. 66.]</w:t>
      </w:r>
    </w:p>
    <w:p>
      <w:pPr>
        <w:pStyle w:val="Heading5"/>
        <w:rPr>
          <w:snapToGrid w:val="0"/>
        </w:rPr>
      </w:pPr>
      <w:bookmarkStart w:id="1031" w:name="_Toc500739983"/>
      <w:bookmarkStart w:id="1032" w:name="_Toc520101175"/>
      <w:bookmarkStart w:id="1033" w:name="_Toc520533074"/>
      <w:bookmarkStart w:id="1034" w:name="_Toc49223954"/>
      <w:bookmarkStart w:id="1035" w:name="_Toc107054956"/>
      <w:bookmarkStart w:id="1036" w:name="_Toc134854693"/>
      <w:bookmarkStart w:id="1037" w:name="_Toc136841146"/>
      <w:r>
        <w:rPr>
          <w:rStyle w:val="CharSectno"/>
        </w:rPr>
        <w:t>76AO</w:t>
      </w:r>
      <w:r>
        <w:rPr>
          <w:snapToGrid w:val="0"/>
        </w:rPr>
        <w:t>.</w:t>
      </w:r>
      <w:r>
        <w:rPr>
          <w:snapToGrid w:val="0"/>
        </w:rPr>
        <w:tab/>
        <w:t>Statement chargeable with duty</w:t>
      </w:r>
      <w:bookmarkEnd w:id="1031"/>
      <w:bookmarkEnd w:id="1032"/>
      <w:bookmarkEnd w:id="1033"/>
      <w:bookmarkEnd w:id="1034"/>
      <w:bookmarkEnd w:id="1035"/>
      <w:bookmarkEnd w:id="1036"/>
      <w:bookmarkEnd w:id="1037"/>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spacing w:before="60"/>
      </w:pPr>
      <w:r>
        <w:tab/>
        <w:t>(i)</w:t>
      </w:r>
      <w:r>
        <w:tab/>
        <w:t>shall be calculated on the dutiable value determined under section 76AS(2a)(a); but</w:t>
      </w:r>
    </w:p>
    <w:p>
      <w:pPr>
        <w:pStyle w:val="Indenti"/>
        <w:spacing w:before="60"/>
      </w:pPr>
      <w:r>
        <w:tab/>
        <w:t>(ii)</w:t>
      </w:r>
      <w:r>
        <w:tab/>
        <w:t>shall be reduced by the amount of duty determined on the dutiable value calculated under section 76AS(2a)(b);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spacing w:before="60"/>
        <w:rPr>
          <w:snapToGrid w:val="0"/>
        </w:rPr>
      </w:pPr>
      <w:r>
        <w:rPr>
          <w:snapToGrid w:val="0"/>
        </w:rPr>
        <w:tab/>
        <w:t>(i)</w:t>
      </w:r>
      <w:r>
        <w:rPr>
          <w:snapToGrid w:val="0"/>
        </w:rPr>
        <w:tab/>
        <w:t>shall be calculated on the dutiable value determined under section 76AS(3)(a); but</w:t>
      </w:r>
    </w:p>
    <w:p>
      <w:pPr>
        <w:pStyle w:val="Indenti"/>
        <w:spacing w:before="60"/>
        <w:rPr>
          <w:snapToGrid w:val="0"/>
        </w:rPr>
      </w:pPr>
      <w:r>
        <w:rPr>
          <w:snapToGrid w:val="0"/>
        </w:rPr>
        <w:tab/>
        <w:t>(ii)</w:t>
      </w:r>
      <w:r>
        <w:rPr>
          <w:snapToGrid w:val="0"/>
        </w:rPr>
        <w:tab/>
        <w:t>shall be reduced by the amount of duty determined on the dutiable value calculated under section 76AS(3)(b).</w:t>
      </w:r>
    </w:p>
    <w:p>
      <w:pPr>
        <w:pStyle w:val="Subsection"/>
        <w:spacing w:before="10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pict>
          <v:shape id="_x0000_i1031" type="#_x0000_t75" style="width:98.25pt;height:33.75pt">
            <v:imagedata r:id="rId22" o:title=""/>
          </v:shape>
        </w:pict>
      </w:r>
    </w:p>
    <w:p>
      <w:pPr>
        <w:pStyle w:val="Subsection"/>
        <w:spacing w:before="80"/>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spacing w:before="100"/>
      </w:pPr>
      <w:r>
        <w:tab/>
        <w:t>(a)</w:t>
      </w:r>
      <w:r>
        <w:tab/>
        <w:t>any of the chattels in respect of which duty has been paid under section 31B, 31C or 70 by the person who made the relevant acquisition to which the section 76AN statement relates or by a related person;</w:t>
      </w:r>
    </w:p>
    <w:p>
      <w:pPr>
        <w:pStyle w:val="Indenta"/>
        <w:spacing w:before="10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spacing w:before="8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038" w:name="_Toc500739984"/>
      <w:bookmarkStart w:id="1039" w:name="_Toc520101176"/>
      <w:bookmarkStart w:id="1040" w:name="_Toc520533075"/>
      <w:bookmarkStart w:id="1041" w:name="_Toc49223955"/>
      <w:bookmarkStart w:id="1042" w:name="_Toc107054957"/>
      <w:bookmarkStart w:id="1043" w:name="_Toc134854694"/>
      <w:bookmarkStart w:id="1044" w:name="_Toc136841147"/>
      <w:r>
        <w:rPr>
          <w:rStyle w:val="CharSectno"/>
        </w:rPr>
        <w:t>76AP</w:t>
      </w:r>
      <w:r>
        <w:rPr>
          <w:snapToGrid w:val="0"/>
        </w:rPr>
        <w:t>.</w:t>
      </w:r>
      <w:r>
        <w:rPr>
          <w:snapToGrid w:val="0"/>
        </w:rPr>
        <w:tab/>
        <w:t>Corporations to which this Division applies</w:t>
      </w:r>
      <w:bookmarkEnd w:id="1038"/>
      <w:bookmarkEnd w:id="1039"/>
      <w:bookmarkEnd w:id="1040"/>
      <w:bookmarkEnd w:id="1041"/>
      <w:bookmarkEnd w:id="1042"/>
      <w:bookmarkEnd w:id="1043"/>
      <w:bookmarkEnd w:id="1044"/>
    </w:p>
    <w:p>
      <w:pPr>
        <w:pStyle w:val="Subsection"/>
        <w:rPr>
          <w:snapToGrid w:val="0"/>
        </w:rPr>
      </w:pPr>
      <w:r>
        <w:rPr>
          <w:snapToGrid w:val="0"/>
        </w:rPr>
        <w:tab/>
        <w:t>(1)</w:t>
      </w:r>
      <w:r>
        <w:rPr>
          <w:snapToGrid w:val="0"/>
        </w:rPr>
        <w:tab/>
        <w:t>This Division applies to a corporation if —</w:t>
      </w:r>
    </w:p>
    <w:p>
      <w:pPr>
        <w:pStyle w:val="Indenta"/>
        <w:spacing w:before="60"/>
        <w:rPr>
          <w:snapToGrid w:val="0"/>
        </w:rPr>
      </w:pPr>
      <w:r>
        <w:rPr>
          <w:snapToGrid w:val="0"/>
        </w:rPr>
        <w:tab/>
        <w:t>(a)</w:t>
      </w:r>
      <w:r>
        <w:rPr>
          <w:snapToGrid w:val="0"/>
        </w:rPr>
        <w:tab/>
        <w:t>it is —</w:t>
      </w:r>
    </w:p>
    <w:p>
      <w:pPr>
        <w:pStyle w:val="Indenti"/>
        <w:spacing w:before="60"/>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spacing w:before="60"/>
        <w:rPr>
          <w:snapToGrid w:val="0"/>
        </w:rPr>
      </w:pPr>
      <w:r>
        <w:rPr>
          <w:snapToGrid w:val="0"/>
        </w:rPr>
        <w:tab/>
        <w:t>(A)</w:t>
      </w:r>
      <w:r>
        <w:rPr>
          <w:snapToGrid w:val="0"/>
        </w:rPr>
        <w:tab/>
        <w:t>within paragraphs (a) to (d) of section 66A(4) of the Corporations Law; or</w:t>
      </w:r>
    </w:p>
    <w:p>
      <w:pPr>
        <w:pStyle w:val="IndentI0"/>
        <w:spacing w:before="60"/>
        <w:rPr>
          <w:snapToGrid w:val="0"/>
        </w:rPr>
      </w:pPr>
      <w:r>
        <w:rPr>
          <w:snapToGrid w:val="0"/>
        </w:rPr>
        <w:tab/>
        <w:t>(B)</w:t>
      </w:r>
      <w:r>
        <w:rPr>
          <w:snapToGrid w:val="0"/>
        </w:rPr>
        <w:tab/>
        <w:t>a subsidiary, within the meaning in section 76AI(4), of a WA company to which Division 2 applies;</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spacing w:before="60"/>
        <w:rPr>
          <w:snapToGrid w:val="0"/>
        </w:rPr>
      </w:pPr>
      <w:r>
        <w:rPr>
          <w:snapToGrid w:val="0"/>
        </w:rPr>
        <w:tab/>
      </w:r>
      <w:r>
        <w:rPr>
          <w:snapToGrid w:val="0"/>
        </w:rPr>
        <w:tab/>
        <w:t>and</w:t>
      </w:r>
    </w:p>
    <w:p>
      <w:pPr>
        <w:pStyle w:val="Ednotepara"/>
        <w:spacing w:before="80"/>
        <w:ind w:left="1610" w:hanging="1610"/>
      </w:pPr>
      <w:r>
        <w:tab/>
        <w:t>[(b)</w:t>
      </w:r>
      <w:r>
        <w:tab/>
        <w:t>deleted]</w:t>
      </w:r>
    </w:p>
    <w:p>
      <w:pPr>
        <w:pStyle w:val="Indenta"/>
        <w:rPr>
          <w:snapToGrid w:val="0"/>
        </w:rPr>
      </w:pPr>
      <w:r>
        <w:rPr>
          <w:snapToGrid w:val="0"/>
        </w:rPr>
        <w:tab/>
        <w:t>(c)</w:t>
      </w:r>
      <w:r>
        <w:rPr>
          <w:snapToGrid w:val="0"/>
        </w:rPr>
        <w:tab/>
        <w:t>it is a land</w:t>
      </w:r>
      <w:r>
        <w:rPr>
          <w:snapToGrid w:val="0"/>
        </w:rPr>
        <w:noBreakHyphen/>
        <w:t>holder within the meaning in subsection (2),</w:t>
      </w:r>
    </w:p>
    <w:p>
      <w:pPr>
        <w:pStyle w:val="Subsection"/>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spacing w:before="8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spacing w:before="60"/>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spacing w:before="60"/>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but an entitlement under subparagraph (i) is limited to the extent of that share or interest;</w:t>
      </w:r>
    </w:p>
    <w:p>
      <w:pPr>
        <w:pStyle w:val="Indenta"/>
        <w:spacing w:before="60"/>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4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spacing w:before="240"/>
      </w:pPr>
      <w:bookmarkStart w:id="1045" w:name="_Toc492201394"/>
      <w:bookmarkStart w:id="1046" w:name="_Toc500739985"/>
      <w:bookmarkStart w:id="1047" w:name="_Toc520101177"/>
      <w:bookmarkStart w:id="1048" w:name="_Toc520533076"/>
      <w:bookmarkStart w:id="1049" w:name="_Toc49223956"/>
      <w:bookmarkStart w:id="1050" w:name="_Toc107054958"/>
      <w:bookmarkStart w:id="1051" w:name="_Toc134854695"/>
      <w:bookmarkStart w:id="1052" w:name="_Toc136841148"/>
      <w:r>
        <w:rPr>
          <w:rStyle w:val="CharSectno"/>
        </w:rPr>
        <w:t>76AQ</w:t>
      </w:r>
      <w:r>
        <w:t>.</w:t>
      </w:r>
      <w:r>
        <w:tab/>
        <w:t>Meaning of “</w:t>
      </w:r>
      <w:r>
        <w:rPr>
          <w:rStyle w:val="CharDefText"/>
          <w:b/>
        </w:rPr>
        <w:t>relevant acquisition</w:t>
      </w:r>
      <w:r>
        <w:t>”</w:t>
      </w:r>
      <w:bookmarkEnd w:id="1045"/>
      <w:bookmarkEnd w:id="1046"/>
      <w:bookmarkEnd w:id="1047"/>
      <w:bookmarkEnd w:id="1048"/>
      <w:bookmarkEnd w:id="1049"/>
      <w:bookmarkEnd w:id="1050"/>
      <w:bookmarkEnd w:id="1051"/>
      <w:bookmarkEnd w:id="1052"/>
    </w:p>
    <w:p>
      <w:pPr>
        <w:pStyle w:val="Subsection"/>
        <w:spacing w:before="180"/>
      </w:pPr>
      <w:r>
        <w:tab/>
        <w:t>(1)</w:t>
      </w:r>
      <w:r>
        <w:tab/>
        <w:t>An acquisition is a relevant acquisition for the purposes of this Division —</w:t>
      </w:r>
    </w:p>
    <w:p>
      <w:pPr>
        <w:pStyle w:val="Indenta"/>
        <w:spacing w:before="100"/>
      </w:pPr>
      <w:r>
        <w:tab/>
        <w:t>(a)</w:t>
      </w:r>
      <w:r>
        <w:tab/>
        <w:t>if by that acquisition a person acquires a majority interest in a corporation by acquiring an interest —</w:t>
      </w:r>
    </w:p>
    <w:p>
      <w:pPr>
        <w:pStyle w:val="Indenti"/>
        <w:spacing w:before="100"/>
      </w:pPr>
      <w:r>
        <w:tab/>
        <w:t>(i)</w:t>
      </w:r>
      <w:r>
        <w:tab/>
        <w:t>that is itself a majority interest in the corporation; or</w:t>
      </w:r>
    </w:p>
    <w:p>
      <w:pPr>
        <w:pStyle w:val="Indenti"/>
        <w:spacing w:before="100"/>
      </w:pPr>
      <w:r>
        <w:tab/>
        <w:t>(ii)</w:t>
      </w:r>
      <w:r>
        <w:tab/>
        <w:t>that is, when taken with each previous acquisition of an interest in the corporation made by the person on or after the relevant day for that acquisition, a majority interest in the corporation;</w:t>
      </w:r>
    </w:p>
    <w:p>
      <w:pPr>
        <w:pStyle w:val="Indenta"/>
        <w:spacing w:before="100"/>
      </w:pPr>
      <w:r>
        <w:tab/>
      </w:r>
      <w:r>
        <w:tab/>
        <w:t>or</w:t>
      </w:r>
    </w:p>
    <w:p>
      <w:pPr>
        <w:pStyle w:val="Indenta"/>
        <w:spacing w:before="100"/>
      </w:pPr>
      <w:r>
        <w:tab/>
        <w:t>(b)</w:t>
      </w:r>
      <w:r>
        <w:tab/>
        <w:t>if by that acquisition a person acquires a further interest in the corporation.</w:t>
      </w:r>
    </w:p>
    <w:p>
      <w:pPr>
        <w:pStyle w:val="Subsection"/>
        <w:spacing w:before="180"/>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80"/>
        <w:ind w:left="890" w:hanging="890"/>
      </w:pPr>
      <w:r>
        <w:tab/>
        <w:t>[Section 76AQ inserted by No. 60 of 2000 s. 16; amended by No. 66 of 2003 s. 69; No. 11 of 2004 s. 27.]</w:t>
      </w:r>
    </w:p>
    <w:p>
      <w:pPr>
        <w:pStyle w:val="Heading5"/>
        <w:spacing w:before="180"/>
        <w:rPr>
          <w:b w:val="0"/>
        </w:rPr>
      </w:pPr>
      <w:bookmarkStart w:id="1053" w:name="_Toc500739986"/>
      <w:bookmarkStart w:id="1054" w:name="_Toc520101178"/>
      <w:bookmarkStart w:id="1055" w:name="_Toc520533077"/>
      <w:bookmarkStart w:id="1056" w:name="_Toc49223957"/>
      <w:bookmarkStart w:id="1057" w:name="_Toc107054959"/>
      <w:bookmarkStart w:id="1058" w:name="_Toc134854696"/>
      <w:bookmarkStart w:id="1059" w:name="_Toc136841149"/>
      <w:r>
        <w:rPr>
          <w:rStyle w:val="CharSectno"/>
        </w:rPr>
        <w:t>76AR</w:t>
      </w:r>
      <w:r>
        <w:t>.</w:t>
      </w:r>
      <w:r>
        <w:tab/>
        <w:t>Meaning of “</w:t>
      </w:r>
      <w:r>
        <w:rPr>
          <w:rStyle w:val="CharDefText"/>
          <w:b/>
        </w:rPr>
        <w:t>interest</w:t>
      </w:r>
      <w:r>
        <w:t>”, “majority interest”</w:t>
      </w:r>
      <w:r>
        <w:rPr>
          <w:b w:val="0"/>
        </w:rPr>
        <w:t xml:space="preserve"> </w:t>
      </w:r>
      <w:r>
        <w:t>or “</w:t>
      </w:r>
      <w:r>
        <w:rPr>
          <w:rStyle w:val="CharDefText"/>
          <w:b/>
        </w:rPr>
        <w:t>further interest</w:t>
      </w:r>
      <w:bookmarkEnd w:id="1053"/>
      <w:bookmarkEnd w:id="1054"/>
      <w:bookmarkEnd w:id="1055"/>
      <w:bookmarkEnd w:id="1056"/>
      <w:r>
        <w:t>”</w:t>
      </w:r>
      <w:bookmarkEnd w:id="1057"/>
      <w:bookmarkEnd w:id="1058"/>
      <w:bookmarkEnd w:id="1059"/>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76AR inserted by No. 60 of 2000 s. 16; amended by No. 10 of 2001 s. 179; No. 11 of 2005 s. 18 and 21.]</w:t>
      </w:r>
    </w:p>
    <w:p>
      <w:pPr>
        <w:pStyle w:val="Heading5"/>
        <w:rPr>
          <w:snapToGrid w:val="0"/>
        </w:rPr>
      </w:pPr>
      <w:bookmarkStart w:id="1060" w:name="_Toc500739987"/>
      <w:bookmarkStart w:id="1061" w:name="_Toc520101179"/>
      <w:bookmarkStart w:id="1062" w:name="_Toc520533078"/>
      <w:bookmarkStart w:id="1063" w:name="_Toc49223958"/>
      <w:bookmarkStart w:id="1064" w:name="_Toc107054960"/>
      <w:bookmarkStart w:id="1065" w:name="_Toc134854697"/>
      <w:bookmarkStart w:id="1066" w:name="_Toc136841150"/>
      <w:r>
        <w:rPr>
          <w:rStyle w:val="CharSectno"/>
        </w:rPr>
        <w:t>76AS</w:t>
      </w:r>
      <w:r>
        <w:rPr>
          <w:snapToGrid w:val="0"/>
        </w:rPr>
        <w:t>.</w:t>
      </w:r>
      <w:r>
        <w:rPr>
          <w:snapToGrid w:val="0"/>
        </w:rPr>
        <w:tab/>
        <w:t>How dutiable value is determined</w:t>
      </w:r>
      <w:bookmarkEnd w:id="1060"/>
      <w:bookmarkEnd w:id="1061"/>
      <w:bookmarkEnd w:id="1062"/>
      <w:bookmarkEnd w:id="1063"/>
      <w:bookmarkEnd w:id="1064"/>
      <w:bookmarkEnd w:id="1065"/>
      <w:bookmarkEnd w:id="1066"/>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spacing w:before="200"/>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pPr>
      <w:r>
        <w:tab/>
        <w:t>[Section 76AS inserted by No. 33 of 1987 s. 22; amended by No. 22 of 1998 s. 38; No. 60 of 2000 s. 17; No. 2 of 2003 s. 97; No. 11 of 2004 s. 28.]</w:t>
      </w:r>
    </w:p>
    <w:p>
      <w:pPr>
        <w:pStyle w:val="Heading3"/>
      </w:pPr>
      <w:bookmarkStart w:id="1067" w:name="_Toc76899630"/>
      <w:bookmarkStart w:id="1068" w:name="_Toc78090532"/>
      <w:bookmarkStart w:id="1069" w:name="_Toc88886900"/>
      <w:bookmarkStart w:id="1070" w:name="_Toc90443516"/>
      <w:bookmarkStart w:id="1071" w:name="_Toc90452867"/>
      <w:bookmarkStart w:id="1072" w:name="_Toc100029458"/>
      <w:bookmarkStart w:id="1073" w:name="_Toc100031531"/>
      <w:bookmarkStart w:id="1074" w:name="_Toc100458590"/>
      <w:bookmarkStart w:id="1075" w:name="_Toc101672006"/>
      <w:bookmarkStart w:id="1076" w:name="_Toc101672263"/>
      <w:bookmarkStart w:id="1077" w:name="_Toc102799289"/>
      <w:bookmarkStart w:id="1078" w:name="_Toc102981963"/>
      <w:bookmarkStart w:id="1079" w:name="_Toc103403276"/>
      <w:bookmarkStart w:id="1080" w:name="_Toc103403533"/>
      <w:bookmarkStart w:id="1081" w:name="_Toc103747532"/>
      <w:bookmarkStart w:id="1082" w:name="_Toc107054961"/>
      <w:bookmarkStart w:id="1083" w:name="_Toc113874408"/>
      <w:bookmarkStart w:id="1084" w:name="_Toc113956824"/>
      <w:bookmarkStart w:id="1085" w:name="_Toc116717380"/>
      <w:bookmarkStart w:id="1086" w:name="_Toc116813407"/>
      <w:bookmarkStart w:id="1087" w:name="_Toc122333059"/>
      <w:bookmarkStart w:id="1088" w:name="_Toc122862029"/>
      <w:bookmarkStart w:id="1089" w:name="_Toc122862625"/>
      <w:bookmarkStart w:id="1090" w:name="_Toc122921232"/>
      <w:bookmarkStart w:id="1091" w:name="_Toc122921492"/>
      <w:bookmarkStart w:id="1092" w:name="_Toc122947437"/>
      <w:bookmarkStart w:id="1093" w:name="_Toc124046273"/>
      <w:bookmarkStart w:id="1094" w:name="_Toc130266594"/>
      <w:bookmarkStart w:id="1095" w:name="_Toc130266870"/>
      <w:bookmarkStart w:id="1096" w:name="_Toc131382973"/>
      <w:bookmarkStart w:id="1097" w:name="_Toc133812354"/>
      <w:bookmarkStart w:id="1098" w:name="_Toc133920301"/>
      <w:bookmarkStart w:id="1099" w:name="_Toc134854698"/>
      <w:bookmarkStart w:id="1100" w:name="_Toc134854974"/>
      <w:bookmarkStart w:id="1101" w:name="_Toc136841151"/>
      <w:bookmarkStart w:id="1102" w:name="_Toc58902616"/>
      <w:r>
        <w:rPr>
          <w:rStyle w:val="CharDivNo"/>
        </w:rPr>
        <w:t>Division 3a</w:t>
      </w:r>
      <w:r>
        <w:t> — </w:t>
      </w:r>
      <w:r>
        <w:rPr>
          <w:rStyle w:val="CharDivText"/>
        </w:rPr>
        <w:t>Listed companies taken to be registered in Western Australia</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Footnoteheading"/>
        <w:tabs>
          <w:tab w:val="left" w:pos="851"/>
        </w:tabs>
      </w:pPr>
      <w:r>
        <w:tab/>
        <w:t>[Heading inserted by No. 11 of 2004 s. 29.]</w:t>
      </w:r>
    </w:p>
    <w:p>
      <w:pPr>
        <w:pStyle w:val="Heading5"/>
      </w:pPr>
      <w:bookmarkStart w:id="1103" w:name="_Toc107054962"/>
      <w:bookmarkStart w:id="1104" w:name="_Toc134854699"/>
      <w:bookmarkStart w:id="1105" w:name="_Toc136841152"/>
      <w:r>
        <w:rPr>
          <w:rStyle w:val="CharSectno"/>
        </w:rPr>
        <w:t>76AT</w:t>
      </w:r>
      <w:r>
        <w:t>.</w:t>
      </w:r>
      <w:r>
        <w:tab/>
        <w:t>Preparation of dutiable statement</w:t>
      </w:r>
      <w:bookmarkEnd w:id="1103"/>
      <w:bookmarkEnd w:id="1104"/>
      <w:bookmarkEnd w:id="1105"/>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person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person shall —</w:t>
      </w:r>
    </w:p>
    <w:p>
      <w:pPr>
        <w:pStyle w:val="Indenti"/>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pPr>
      <w:r>
        <w:tab/>
        <w:t>(8)</w:t>
      </w:r>
      <w:r>
        <w:tab/>
        <w:t>A dutiable statement under subsection (1) shall include the following information —</w:t>
      </w:r>
    </w:p>
    <w:p>
      <w:pPr>
        <w:pStyle w:val="Indenta"/>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60"/>
      </w:pPr>
      <w:r>
        <w:tab/>
        <w:t>(a)</w:t>
      </w:r>
      <w:r>
        <w:tab/>
        <w:t>the source of the goods, wares and merchandise and the source of funding for their acquisition;</w:t>
      </w:r>
    </w:p>
    <w:p>
      <w:pPr>
        <w:pStyle w:val="Indenta"/>
        <w:spacing w:before="60"/>
      </w:pPr>
      <w:r>
        <w:tab/>
        <w:t>(b)</w:t>
      </w:r>
      <w:r>
        <w:tab/>
        <w:t>their nature and their relevance to any business carried on by the WA company or any subsidiary;</w:t>
      </w:r>
    </w:p>
    <w:p>
      <w:pPr>
        <w:pStyle w:val="Indenta"/>
        <w:spacing w:before="6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106" w:name="_Toc107054963"/>
      <w:bookmarkStart w:id="1107" w:name="_Toc134854700"/>
      <w:bookmarkStart w:id="1108" w:name="_Toc136841153"/>
      <w:r>
        <w:rPr>
          <w:rStyle w:val="CharSectno"/>
        </w:rPr>
        <w:t>76ATA</w:t>
      </w:r>
      <w:r>
        <w:t>.</w:t>
      </w:r>
      <w:r>
        <w:tab/>
        <w:t>Statement chargeable with duty</w:t>
      </w:r>
      <w:bookmarkEnd w:id="1106"/>
      <w:bookmarkEnd w:id="1107"/>
      <w:bookmarkEnd w:id="1108"/>
    </w:p>
    <w:p>
      <w:pPr>
        <w:pStyle w:val="Subsection"/>
        <w:spacing w:before="100"/>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spacing w:before="60"/>
      </w:pPr>
      <w:r>
        <w:tab/>
        <w:t>(i)</w:t>
      </w:r>
      <w:r>
        <w:tab/>
        <w:t>shall be calculated on the dutiable value determined under section 76ATE(4)(a); but</w:t>
      </w:r>
    </w:p>
    <w:p>
      <w:pPr>
        <w:pStyle w:val="Indenti"/>
        <w:spacing w:before="60"/>
      </w:pPr>
      <w:r>
        <w:tab/>
        <w:t>(ii)</w:t>
      </w:r>
      <w:r>
        <w:tab/>
        <w:t>shall be reduced by the amount of duty determined on the dutiable value calculated under section 76ATE(4)(b);</w:t>
      </w:r>
    </w:p>
    <w:p>
      <w:pPr>
        <w:pStyle w:val="Indenta"/>
        <w:spacing w:before="60"/>
      </w:pPr>
      <w:r>
        <w:tab/>
        <w:t>(c)</w:t>
      </w:r>
      <w:r>
        <w:tab/>
        <w:t>unless paragraph (d) applies, where the section 76AT statement relates to a relevant acquisition within section 76ATC(1)(b), the duty —</w:t>
      </w:r>
    </w:p>
    <w:p>
      <w:pPr>
        <w:pStyle w:val="Indenti"/>
        <w:spacing w:before="60"/>
      </w:pPr>
      <w:r>
        <w:tab/>
        <w:t>(i)</w:t>
      </w:r>
      <w:r>
        <w:tab/>
        <w:t>shall be calculated on the dutiable value determined under section 76ATE(5)(a); but</w:t>
      </w:r>
    </w:p>
    <w:p>
      <w:pPr>
        <w:pStyle w:val="Indenti"/>
        <w:spacing w:before="60"/>
      </w:pPr>
      <w:r>
        <w:tab/>
        <w:t>(ii)</w:t>
      </w:r>
      <w:r>
        <w:tab/>
        <w:t>shall be reduced by the amount of duty determined on the dutiable value calculated under section 76ATE(5)(b);</w:t>
      </w:r>
    </w:p>
    <w:p>
      <w:pPr>
        <w:pStyle w:val="Indenta"/>
        <w:spacing w:before="60"/>
      </w:pPr>
      <w:r>
        <w:tab/>
        <w:t>(d)</w:t>
      </w:r>
      <w:r>
        <w:tab/>
        <w:t>where approval has been granted under section 76AT(4), the duty —</w:t>
      </w:r>
    </w:p>
    <w:p>
      <w:pPr>
        <w:pStyle w:val="Indenti"/>
        <w:spacing w:before="60"/>
      </w:pPr>
      <w:r>
        <w:tab/>
        <w:t>(i)</w:t>
      </w:r>
      <w:r>
        <w:tab/>
        <w:t>shall be calculated on the dutiable value determined under section 76ATE(6)(a); but</w:t>
      </w:r>
    </w:p>
    <w:p>
      <w:pPr>
        <w:pStyle w:val="Indenti"/>
        <w:spacing w:before="60"/>
      </w:pPr>
      <w:r>
        <w:tab/>
        <w:t>(ii)</w:t>
      </w:r>
      <w:r>
        <w:tab/>
        <w:t>shall be reduced by the amount of duty determined on the dutiable value calculated under section 76ATE(6)(b).</w:t>
      </w:r>
    </w:p>
    <w:p>
      <w:pPr>
        <w:pStyle w:val="Subsection"/>
        <w:spacing w:before="12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rPr>
          <w:position w:val="-30"/>
        </w:rPr>
        <w:pict>
          <v:shape id="_x0000_i1032" type="#_x0000_t75" style="width:98.25pt;height:33.75pt">
            <v:imagedata r:id="rId23" o:title=""/>
          </v:shape>
        </w:pict>
      </w:r>
    </w:p>
    <w:p>
      <w:pPr>
        <w:pStyle w:val="Subsection"/>
        <w:spacing w:before="0"/>
      </w:pPr>
      <w:r>
        <w:tab/>
      </w:r>
      <w:r>
        <w:tab/>
        <w:t>where —</w:t>
      </w:r>
    </w:p>
    <w:p>
      <w:pPr>
        <w:pStyle w:val="Indenta"/>
        <w:spacing w:before="60"/>
      </w:pPr>
      <w:r>
        <w:tab/>
        <w:t>A</w:t>
      </w:r>
      <w:r>
        <w:tab/>
        <w:t>is the value of the land and chattels situated in Western Australia to which the WA company is entitled as provided in section 76ATE(7); and</w:t>
      </w:r>
    </w:p>
    <w:p>
      <w:pPr>
        <w:pStyle w:val="Indenta"/>
        <w:spacing w:before="60"/>
      </w:pPr>
      <w:r>
        <w:tab/>
        <w:t>B</w:t>
      </w:r>
      <w:r>
        <w:tab/>
        <w:t>is the duty calculated under item 4(1) of the Second Schedule on the dutiable value determined under section 76ATE.</w:t>
      </w:r>
    </w:p>
    <w:p>
      <w:pPr>
        <w:pStyle w:val="Subsection"/>
        <w:spacing w:before="10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spacing w:before="50"/>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5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50"/>
      </w:pPr>
      <w:r>
        <w:tab/>
        <w:t>(c)</w:t>
      </w:r>
      <w:r>
        <w:tab/>
        <w:t>any of the chattels that, in the opinion of the Commissioner, are usually not situated in Western Australia.</w:t>
      </w:r>
    </w:p>
    <w:p>
      <w:pPr>
        <w:pStyle w:val="Subsection"/>
        <w:spacing w:before="10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0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spacing w:before="10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pPr>
      <w:r>
        <w:tab/>
        <w:t>[Section 76ATA inserted by No. 11 of 2004 s. 29.]</w:t>
      </w:r>
    </w:p>
    <w:p>
      <w:pPr>
        <w:pStyle w:val="Heading5"/>
        <w:spacing w:before="120"/>
      </w:pPr>
      <w:bookmarkStart w:id="1109" w:name="_Toc107054964"/>
      <w:bookmarkStart w:id="1110" w:name="_Toc134854701"/>
      <w:bookmarkStart w:id="1111" w:name="_Toc136841154"/>
      <w:r>
        <w:rPr>
          <w:rStyle w:val="CharSectno"/>
        </w:rPr>
        <w:t>76ATB</w:t>
      </w:r>
      <w:r>
        <w:t>.</w:t>
      </w:r>
      <w:r>
        <w:tab/>
        <w:t>Meaning of “listed land</w:t>
      </w:r>
      <w:r>
        <w:noBreakHyphen/>
        <w:t>holder WA company”</w:t>
      </w:r>
      <w:bookmarkEnd w:id="1109"/>
      <w:bookmarkEnd w:id="1110"/>
      <w:bookmarkEnd w:id="1111"/>
    </w:p>
    <w:p>
      <w:pPr>
        <w:pStyle w:val="Subsection"/>
        <w:spacing w:before="100"/>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spacing w:before="100"/>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spacing w:before="100"/>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76ATB inserted by No. 11 of 2004 s. 29; amended by No. 11 of 2005 s. 18, 19 and 24.]</w:t>
      </w:r>
    </w:p>
    <w:p>
      <w:pPr>
        <w:pStyle w:val="Heading5"/>
      </w:pPr>
      <w:bookmarkStart w:id="1112" w:name="_Toc107054965"/>
      <w:bookmarkStart w:id="1113" w:name="_Toc134854702"/>
      <w:bookmarkStart w:id="1114" w:name="_Toc136841155"/>
      <w:r>
        <w:rPr>
          <w:rStyle w:val="CharSectno"/>
        </w:rPr>
        <w:t>76ATC</w:t>
      </w:r>
      <w:r>
        <w:t>.</w:t>
      </w:r>
      <w:r>
        <w:tab/>
        <w:t>Meaning of “relevant acquisition”</w:t>
      </w:r>
      <w:bookmarkEnd w:id="1112"/>
      <w:bookmarkEnd w:id="1113"/>
      <w:bookmarkEnd w:id="1114"/>
    </w:p>
    <w:p>
      <w:pPr>
        <w:pStyle w:val="Subsection"/>
        <w:spacing w:before="140"/>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spacing w:before="60"/>
      </w:pPr>
      <w:r>
        <w:tab/>
        <w:t>(a)</w:t>
      </w:r>
      <w:r>
        <w:tab/>
        <w:t>if by that acquisition a person acquires a controlling interest in a WA company by acquiring an interest —</w:t>
      </w:r>
    </w:p>
    <w:p>
      <w:pPr>
        <w:pStyle w:val="Indenti"/>
        <w:spacing w:before="60"/>
      </w:pPr>
      <w:r>
        <w:tab/>
        <w:t>(i)</w:t>
      </w:r>
      <w:r>
        <w:tab/>
        <w:t>that is itself a controlling interest in the WA company; or</w:t>
      </w:r>
    </w:p>
    <w:p>
      <w:pPr>
        <w:pStyle w:val="Indenti"/>
        <w:spacing w:before="60"/>
      </w:pPr>
      <w:r>
        <w:tab/>
        <w:t>(ii)</w:t>
      </w:r>
      <w:r>
        <w:tab/>
        <w:t>that is, when taken with each previous acquisition of an interest in the WA company made by the person, a controlling interest in the WA company;</w:t>
      </w:r>
    </w:p>
    <w:p>
      <w:pPr>
        <w:pStyle w:val="Indenta"/>
        <w:spacing w:before="60"/>
      </w:pPr>
      <w:r>
        <w:tab/>
      </w:r>
      <w:r>
        <w:tab/>
        <w:t>or</w:t>
      </w:r>
    </w:p>
    <w:p>
      <w:pPr>
        <w:pStyle w:val="Indenta"/>
        <w:spacing w:before="60"/>
      </w:pPr>
      <w:r>
        <w:tab/>
        <w:t>(b)</w:t>
      </w:r>
      <w:r>
        <w:tab/>
        <w:t>if by that acquisition a person acquires an additional interest in the WA company.</w:t>
      </w:r>
    </w:p>
    <w:p>
      <w:pPr>
        <w:pStyle w:val="Subsection"/>
        <w:spacing w:before="130"/>
      </w:pPr>
      <w:r>
        <w:tab/>
        <w:t>(2)</w:t>
      </w:r>
      <w:r>
        <w:tab/>
        <w:t>If subsection (1)(b) applies to an acquisition, subsection (1)(a)(ii) does not apply to it.</w:t>
      </w:r>
    </w:p>
    <w:p>
      <w:pPr>
        <w:pStyle w:val="Subsection"/>
        <w:spacing w:before="130"/>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115" w:name="_Toc107054966"/>
      <w:bookmarkStart w:id="1116" w:name="_Toc134854703"/>
      <w:bookmarkStart w:id="1117" w:name="_Toc136841156"/>
      <w:r>
        <w:rPr>
          <w:rStyle w:val="CharSectno"/>
        </w:rPr>
        <w:t>76ATD</w:t>
      </w:r>
      <w:r>
        <w:t>.</w:t>
      </w:r>
      <w:r>
        <w:tab/>
        <w:t>Meaning of “interest”, “controlling interest” or “additional interest”</w:t>
      </w:r>
      <w:bookmarkEnd w:id="1115"/>
      <w:bookmarkEnd w:id="1116"/>
      <w:bookmarkEnd w:id="1117"/>
    </w:p>
    <w:p>
      <w:pPr>
        <w:pStyle w:val="Subsection"/>
        <w:spacing w:before="130"/>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00"/>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spacing w:before="100"/>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spacing w:before="60"/>
      </w:pPr>
      <w:r>
        <w:tab/>
        <w:t>(a)</w:t>
      </w:r>
      <w:r>
        <w:tab/>
        <w:t>the person has, or the person and any related person have, a controlling interest in the WA company;</w:t>
      </w:r>
    </w:p>
    <w:p>
      <w:pPr>
        <w:pStyle w:val="Indenta"/>
        <w:spacing w:before="60"/>
      </w:pPr>
      <w:r>
        <w:tab/>
        <w:t>(b)</w:t>
      </w:r>
      <w:r>
        <w:tab/>
        <w:t>the acquisition of that controlling interest gave rise to a liability for duty under this Part; and</w:t>
      </w:r>
    </w:p>
    <w:p>
      <w:pPr>
        <w:pStyle w:val="Indenta"/>
        <w:spacing w:before="6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76ATD inserted by No. 11 of 2004 s. 29.]</w:t>
      </w:r>
    </w:p>
    <w:p>
      <w:pPr>
        <w:pStyle w:val="Heading5"/>
      </w:pPr>
      <w:bookmarkStart w:id="1118" w:name="_Toc107054967"/>
      <w:bookmarkStart w:id="1119" w:name="_Toc134854704"/>
      <w:bookmarkStart w:id="1120" w:name="_Toc136841157"/>
      <w:r>
        <w:rPr>
          <w:rStyle w:val="CharSectno"/>
        </w:rPr>
        <w:t>76ATE</w:t>
      </w:r>
      <w:r>
        <w:t>.</w:t>
      </w:r>
      <w:r>
        <w:tab/>
        <w:t>How dutiable value is determined</w:t>
      </w:r>
      <w:bookmarkEnd w:id="1118"/>
      <w:bookmarkEnd w:id="1119"/>
      <w:bookmarkEnd w:id="1120"/>
    </w:p>
    <w:p>
      <w:pPr>
        <w:pStyle w:val="Subsection"/>
        <w:spacing w:before="100"/>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spacing w:before="100"/>
      </w:pPr>
      <w:r>
        <w:tab/>
        <w:t>(2)</w:t>
      </w:r>
      <w:r>
        <w:tab/>
        <w:t>The method of determining the dutiable value depends on the nature of a relevant acquisition by which a person acquires an interest in a WA company.</w:t>
      </w:r>
    </w:p>
    <w:p>
      <w:pPr>
        <w:pStyle w:val="Subsection"/>
        <w:spacing w:before="14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00"/>
      </w:pPr>
      <w:r>
        <w:tab/>
        <w:t>(5)</w:t>
      </w:r>
      <w:r>
        <w:tab/>
        <w:t>Unless subsection (6) applies, where the relevant acquisition is within section 76ATC(1)(b) the dutiable value —</w:t>
      </w:r>
    </w:p>
    <w:p>
      <w:pPr>
        <w:pStyle w:val="Indenta"/>
        <w:spacing w:before="10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spacing w:before="120"/>
      </w:pPr>
      <w:r>
        <w:tab/>
        <w:t>(a)</w:t>
      </w:r>
      <w:r>
        <w:tab/>
        <w:t>in the case of land and chattels to which the WA company is entitled without reference to subsection (6) of section 76ATB, the unencumbered value of the land and chattels at that time; and</w:t>
      </w:r>
    </w:p>
    <w:p>
      <w:pPr>
        <w:pStyle w:val="Indenta"/>
        <w:spacing w:before="12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4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4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ind w:left="890" w:hanging="890"/>
      </w:pPr>
      <w:r>
        <w:tab/>
        <w:t>[Section 76ATE inserted by No. 11 of 2004 s. 29.]</w:t>
      </w:r>
    </w:p>
    <w:p>
      <w:pPr>
        <w:pStyle w:val="Heading5"/>
        <w:spacing w:before="240"/>
      </w:pPr>
      <w:bookmarkStart w:id="1121" w:name="_Toc107054968"/>
      <w:bookmarkStart w:id="1122" w:name="_Toc134854705"/>
      <w:bookmarkStart w:id="1123" w:name="_Toc136841158"/>
      <w:r>
        <w:rPr>
          <w:rStyle w:val="CharSectno"/>
        </w:rPr>
        <w:t>76ATF</w:t>
      </w:r>
      <w:r>
        <w:t>.</w:t>
      </w:r>
      <w:r>
        <w:tab/>
        <w:t>Liability for duty</w:t>
      </w:r>
      <w:bookmarkEnd w:id="1121"/>
      <w:bookmarkEnd w:id="1122"/>
      <w:bookmarkEnd w:id="1123"/>
    </w:p>
    <w:p>
      <w:pPr>
        <w:pStyle w:val="Subsection"/>
        <w:spacing w:before="14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pPr>
      <w:r>
        <w:tab/>
        <w:t>[Section 76ATF inserted by No. 11 of 2004 s. 29.]</w:t>
      </w:r>
    </w:p>
    <w:p>
      <w:pPr>
        <w:pStyle w:val="Heading3"/>
      </w:pPr>
      <w:bookmarkStart w:id="1124" w:name="_Toc76899638"/>
      <w:bookmarkStart w:id="1125" w:name="_Toc78090540"/>
      <w:bookmarkStart w:id="1126" w:name="_Toc88886908"/>
      <w:bookmarkStart w:id="1127" w:name="_Toc90443524"/>
      <w:bookmarkStart w:id="1128" w:name="_Toc90452875"/>
      <w:bookmarkStart w:id="1129" w:name="_Toc100029466"/>
      <w:bookmarkStart w:id="1130" w:name="_Toc100031539"/>
      <w:bookmarkStart w:id="1131" w:name="_Toc100458598"/>
      <w:bookmarkStart w:id="1132" w:name="_Toc101672014"/>
      <w:bookmarkStart w:id="1133" w:name="_Toc101672271"/>
      <w:bookmarkStart w:id="1134" w:name="_Toc102799297"/>
      <w:bookmarkStart w:id="1135" w:name="_Toc102981971"/>
      <w:bookmarkStart w:id="1136" w:name="_Toc103403284"/>
      <w:bookmarkStart w:id="1137" w:name="_Toc103403541"/>
      <w:bookmarkStart w:id="1138" w:name="_Toc103747540"/>
      <w:bookmarkStart w:id="1139" w:name="_Toc107054969"/>
      <w:bookmarkStart w:id="1140" w:name="_Toc113874416"/>
      <w:bookmarkStart w:id="1141" w:name="_Toc113956832"/>
      <w:bookmarkStart w:id="1142" w:name="_Toc116717388"/>
      <w:bookmarkStart w:id="1143" w:name="_Toc116813415"/>
      <w:bookmarkStart w:id="1144" w:name="_Toc122333067"/>
      <w:bookmarkStart w:id="1145" w:name="_Toc122862037"/>
      <w:bookmarkStart w:id="1146" w:name="_Toc122862633"/>
      <w:bookmarkStart w:id="1147" w:name="_Toc122921240"/>
      <w:bookmarkStart w:id="1148" w:name="_Toc122921500"/>
      <w:bookmarkStart w:id="1149" w:name="_Toc122947445"/>
      <w:bookmarkStart w:id="1150" w:name="_Toc124046281"/>
      <w:bookmarkStart w:id="1151" w:name="_Toc130266602"/>
      <w:bookmarkStart w:id="1152" w:name="_Toc130266878"/>
      <w:bookmarkStart w:id="1153" w:name="_Toc131382981"/>
      <w:bookmarkStart w:id="1154" w:name="_Toc133812362"/>
      <w:bookmarkStart w:id="1155" w:name="_Toc133920309"/>
      <w:bookmarkStart w:id="1156" w:name="_Toc134854706"/>
      <w:bookmarkStart w:id="1157" w:name="_Toc134854982"/>
      <w:bookmarkStart w:id="1158" w:name="_Toc136841159"/>
      <w:r>
        <w:rPr>
          <w:rStyle w:val="CharDivNo"/>
        </w:rPr>
        <w:t>Division 3b</w:t>
      </w:r>
      <w:r>
        <w:t> — </w:t>
      </w:r>
      <w:r>
        <w:rPr>
          <w:rStyle w:val="CharDivText"/>
        </w:rPr>
        <w:t>Listed corporations incorporated, or taken to be registered, outside Western Australia, and certain other companies not within Division 3a</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Footnoteheading"/>
        <w:tabs>
          <w:tab w:val="left" w:pos="851"/>
        </w:tabs>
      </w:pPr>
      <w:r>
        <w:tab/>
        <w:t>[Heading inserted by No. 11 of 2004 s. 29.]</w:t>
      </w:r>
    </w:p>
    <w:p>
      <w:pPr>
        <w:pStyle w:val="Heading5"/>
      </w:pPr>
      <w:bookmarkStart w:id="1159" w:name="_Toc107054970"/>
      <w:bookmarkStart w:id="1160" w:name="_Toc134854707"/>
      <w:bookmarkStart w:id="1161" w:name="_Toc136841160"/>
      <w:r>
        <w:rPr>
          <w:rStyle w:val="CharSectno"/>
        </w:rPr>
        <w:t>76ATG</w:t>
      </w:r>
      <w:r>
        <w:t>.</w:t>
      </w:r>
      <w:r>
        <w:tab/>
        <w:t>Preparation of dutiable statement</w:t>
      </w:r>
      <w:bookmarkEnd w:id="1159"/>
      <w:bookmarkEnd w:id="1160"/>
      <w:bookmarkEnd w:id="1161"/>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162" w:name="_Toc107054971"/>
      <w:bookmarkStart w:id="1163" w:name="_Toc134854708"/>
      <w:bookmarkStart w:id="1164" w:name="_Toc136841161"/>
      <w:r>
        <w:rPr>
          <w:rStyle w:val="CharSectno"/>
        </w:rPr>
        <w:t>76ATH</w:t>
      </w:r>
      <w:r>
        <w:t>.</w:t>
      </w:r>
      <w:r>
        <w:tab/>
        <w:t>Statement chargeable with duty</w:t>
      </w:r>
      <w:bookmarkEnd w:id="1162"/>
      <w:bookmarkEnd w:id="1163"/>
      <w:bookmarkEnd w:id="1164"/>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pict>
          <v:shape id="_x0000_i1033" type="#_x0000_t75" style="width:96.75pt;height:33.75pt">
            <v:imagedata r:id="rId24" o:title=""/>
          </v:shape>
        </w:pict>
      </w:r>
    </w:p>
    <w:p>
      <w:pPr>
        <w:pStyle w:val="Subsection"/>
        <w:keepNext/>
        <w:keepLines/>
        <w:spacing w:before="60"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165" w:name="_Toc107054972"/>
      <w:bookmarkStart w:id="1166" w:name="_Toc134854709"/>
      <w:bookmarkStart w:id="1167" w:name="_Toc136841162"/>
      <w:r>
        <w:rPr>
          <w:rStyle w:val="CharSectno"/>
        </w:rPr>
        <w:t>76ATI</w:t>
      </w:r>
      <w:r>
        <w:t>.</w:t>
      </w:r>
      <w:r>
        <w:tab/>
        <w:t>Meaning of “listed land</w:t>
      </w:r>
      <w:r>
        <w:rPr>
          <w:snapToGrid w:val="0"/>
        </w:rPr>
        <w:noBreakHyphen/>
      </w:r>
      <w:r>
        <w:t>holder corporation”</w:t>
      </w:r>
      <w:bookmarkEnd w:id="1165"/>
      <w:bookmarkEnd w:id="1166"/>
      <w:bookmarkEnd w:id="1167"/>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spacing w:before="120"/>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spacing w:before="120"/>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spacing w:before="60"/>
      </w:pPr>
      <w:r>
        <w:tab/>
        <w:t>(a)</w:t>
      </w:r>
      <w:r>
        <w:tab/>
        <w:t>cash or money in an account at call;</w:t>
      </w:r>
    </w:p>
    <w:p>
      <w:pPr>
        <w:pStyle w:val="Indenta"/>
        <w:spacing w:before="60"/>
      </w:pPr>
      <w:r>
        <w:tab/>
        <w:t>(b)</w:t>
      </w:r>
      <w:r>
        <w:tab/>
        <w:t>negotiable instruments, and money on deposit with any person;</w:t>
      </w:r>
    </w:p>
    <w:p>
      <w:pPr>
        <w:pStyle w:val="Indenta"/>
        <w:spacing w:before="60"/>
      </w:pPr>
      <w:r>
        <w:tab/>
        <w:t>(c)</w:t>
      </w:r>
      <w:r>
        <w:tab/>
        <w:t>property consisting of rights or interests under a sales contract (including a forward sales contract) relating to minerals, primary products or other commodities;</w:t>
      </w:r>
    </w:p>
    <w:p>
      <w:pPr>
        <w:pStyle w:val="Indenta"/>
        <w:spacing w:before="60"/>
      </w:pPr>
      <w:r>
        <w:tab/>
        <w:t>(ca)</w:t>
      </w:r>
      <w:r>
        <w:tab/>
        <w:t>an amount paid or payable to the corporation or the trustee or other corporation referred to in subsection (6) under a contract or agreement referred to in subsection (7)(b);</w:t>
      </w:r>
    </w:p>
    <w:p>
      <w:pPr>
        <w:pStyle w:val="Indenta"/>
        <w:spacing w:before="60"/>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168" w:name="_Toc107054973"/>
      <w:bookmarkStart w:id="1169" w:name="_Toc134854710"/>
      <w:bookmarkStart w:id="1170" w:name="_Toc136841163"/>
      <w:r>
        <w:rPr>
          <w:rStyle w:val="CharSectno"/>
        </w:rPr>
        <w:t>76ATJ</w:t>
      </w:r>
      <w:r>
        <w:t>.</w:t>
      </w:r>
      <w:r>
        <w:tab/>
        <w:t>Meaning o</w:t>
      </w:r>
      <w:r>
        <w:rPr>
          <w:rFonts w:ascii="Times" w:hAnsi="Times"/>
          <w:spacing w:val="40"/>
        </w:rPr>
        <w:t>f</w:t>
      </w:r>
      <w:r>
        <w:t xml:space="preserve"> “relevant acquisition”</w:t>
      </w:r>
      <w:bookmarkEnd w:id="1168"/>
      <w:bookmarkEnd w:id="1169"/>
      <w:bookmarkEnd w:id="1170"/>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171" w:name="_Toc107054974"/>
      <w:bookmarkStart w:id="1172" w:name="_Toc134854711"/>
      <w:bookmarkStart w:id="1173" w:name="_Toc136841164"/>
      <w:r>
        <w:rPr>
          <w:rStyle w:val="CharSectno"/>
        </w:rPr>
        <w:t>76ATK</w:t>
      </w:r>
      <w:r>
        <w:t>.</w:t>
      </w:r>
      <w:r>
        <w:tab/>
        <w:t>Meaning of “interest”, “controlling interest” or “additional interest”</w:t>
      </w:r>
      <w:bookmarkEnd w:id="1171"/>
      <w:bookmarkEnd w:id="1172"/>
      <w:bookmarkEnd w:id="1173"/>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76ATK inserted by No. 11 of 2004 s. 29; amended by No. 11 of 2005 s. 18 and 21.]</w:t>
      </w:r>
    </w:p>
    <w:p>
      <w:pPr>
        <w:pStyle w:val="Heading5"/>
      </w:pPr>
      <w:bookmarkStart w:id="1174" w:name="_Toc107054975"/>
      <w:bookmarkStart w:id="1175" w:name="_Toc134854712"/>
      <w:bookmarkStart w:id="1176" w:name="_Toc136841165"/>
      <w:r>
        <w:rPr>
          <w:rStyle w:val="CharSectno"/>
        </w:rPr>
        <w:t>76ATL</w:t>
      </w:r>
      <w:r>
        <w:t>.</w:t>
      </w:r>
      <w:r>
        <w:tab/>
        <w:t>How dutiable value is determined</w:t>
      </w:r>
      <w:bookmarkEnd w:id="1174"/>
      <w:bookmarkEnd w:id="1175"/>
      <w:bookmarkEnd w:id="1176"/>
    </w:p>
    <w:p>
      <w:pPr>
        <w:pStyle w:val="Subsection"/>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177" w:name="_Toc76899645"/>
      <w:bookmarkStart w:id="1178" w:name="_Toc78090547"/>
      <w:bookmarkStart w:id="1179" w:name="_Toc88886915"/>
      <w:bookmarkStart w:id="1180" w:name="_Toc90443531"/>
      <w:bookmarkStart w:id="1181" w:name="_Toc90452882"/>
      <w:bookmarkStart w:id="1182" w:name="_Toc100029473"/>
      <w:bookmarkStart w:id="1183" w:name="_Toc100031546"/>
      <w:bookmarkStart w:id="1184" w:name="_Toc100458605"/>
      <w:bookmarkStart w:id="1185" w:name="_Toc101672021"/>
      <w:bookmarkStart w:id="1186" w:name="_Toc101672278"/>
      <w:bookmarkStart w:id="1187" w:name="_Toc102799304"/>
      <w:bookmarkStart w:id="1188" w:name="_Toc102981978"/>
      <w:bookmarkStart w:id="1189" w:name="_Toc103403291"/>
      <w:bookmarkStart w:id="1190" w:name="_Toc103403548"/>
      <w:bookmarkStart w:id="1191" w:name="_Toc103747547"/>
      <w:bookmarkStart w:id="1192" w:name="_Toc107054976"/>
      <w:bookmarkStart w:id="1193" w:name="_Toc113874423"/>
      <w:bookmarkStart w:id="1194" w:name="_Toc113956839"/>
      <w:bookmarkStart w:id="1195" w:name="_Toc116717395"/>
      <w:bookmarkStart w:id="1196" w:name="_Toc116813422"/>
      <w:bookmarkStart w:id="1197" w:name="_Toc122333074"/>
      <w:bookmarkStart w:id="1198" w:name="_Toc122862044"/>
      <w:bookmarkStart w:id="1199" w:name="_Toc122862640"/>
      <w:bookmarkStart w:id="1200" w:name="_Toc122921247"/>
      <w:bookmarkStart w:id="1201" w:name="_Toc122921507"/>
      <w:bookmarkStart w:id="1202" w:name="_Toc122947452"/>
      <w:bookmarkStart w:id="1203" w:name="_Toc124046288"/>
      <w:bookmarkStart w:id="1204" w:name="_Toc130266609"/>
      <w:bookmarkStart w:id="1205" w:name="_Toc130266885"/>
      <w:bookmarkStart w:id="1206" w:name="_Toc131382988"/>
      <w:bookmarkStart w:id="1207" w:name="_Toc133812369"/>
      <w:bookmarkStart w:id="1208" w:name="_Toc133920316"/>
      <w:bookmarkStart w:id="1209" w:name="_Toc134854713"/>
      <w:bookmarkStart w:id="1210" w:name="_Toc134854989"/>
      <w:bookmarkStart w:id="1211" w:name="_Toc136841166"/>
      <w:r>
        <w:rPr>
          <w:rStyle w:val="CharDivNo"/>
        </w:rPr>
        <w:t>Division 4</w:t>
      </w:r>
      <w:r>
        <w:t> — </w:t>
      </w:r>
      <w:r>
        <w:rPr>
          <w:rStyle w:val="CharDivText"/>
        </w:rPr>
        <w:t>Reassessment of liability for duty</w:t>
      </w:r>
      <w:bookmarkEnd w:id="1102"/>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Footnoteheading"/>
        <w:keepNext/>
        <w:keepLines/>
        <w:tabs>
          <w:tab w:val="left" w:pos="923"/>
        </w:tabs>
        <w:ind w:left="937" w:hanging="937"/>
      </w:pPr>
      <w:r>
        <w:tab/>
        <w:t>[Heading inserted by No. 60 of 2000 s. 19.]</w:t>
      </w:r>
    </w:p>
    <w:p>
      <w:pPr>
        <w:pStyle w:val="Heading5"/>
      </w:pPr>
      <w:bookmarkStart w:id="1212" w:name="_Toc49223959"/>
      <w:bookmarkStart w:id="1213" w:name="_Toc107054977"/>
      <w:bookmarkStart w:id="1214" w:name="_Toc134854714"/>
      <w:bookmarkStart w:id="1215" w:name="_Toc136841167"/>
      <w:r>
        <w:rPr>
          <w:rStyle w:val="CharSectno"/>
        </w:rPr>
        <w:t>76AU</w:t>
      </w:r>
      <w:r>
        <w:t>.</w:t>
      </w:r>
      <w:r>
        <w:tab/>
        <w:t>Reassessment where deeming provision applied</w:t>
      </w:r>
      <w:bookmarkEnd w:id="1212"/>
      <w:bookmarkEnd w:id="1213"/>
      <w:bookmarkEnd w:id="1214"/>
      <w:bookmarkEnd w:id="1215"/>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Footnotesection"/>
      </w:pPr>
      <w:r>
        <w:tab/>
        <w:t>[Section 76AU inserted by No. 2 of 2003 s. 99; amended by No. 11 of 2004 s. 30.]</w:t>
      </w:r>
    </w:p>
    <w:p>
      <w:pPr>
        <w:pStyle w:val="Heading3"/>
      </w:pPr>
      <w:bookmarkStart w:id="1216" w:name="_Toc76899647"/>
      <w:bookmarkStart w:id="1217" w:name="_Toc78090549"/>
      <w:bookmarkStart w:id="1218" w:name="_Toc88886917"/>
      <w:bookmarkStart w:id="1219" w:name="_Toc90443533"/>
      <w:bookmarkStart w:id="1220" w:name="_Toc90452884"/>
      <w:bookmarkStart w:id="1221" w:name="_Toc100029475"/>
      <w:bookmarkStart w:id="1222" w:name="_Toc100031548"/>
      <w:bookmarkStart w:id="1223" w:name="_Toc100458607"/>
      <w:bookmarkStart w:id="1224" w:name="_Toc101672023"/>
      <w:bookmarkStart w:id="1225" w:name="_Toc101672280"/>
      <w:bookmarkStart w:id="1226" w:name="_Toc102799306"/>
      <w:bookmarkStart w:id="1227" w:name="_Toc102981980"/>
      <w:bookmarkStart w:id="1228" w:name="_Toc103403293"/>
      <w:bookmarkStart w:id="1229" w:name="_Toc103403550"/>
      <w:bookmarkStart w:id="1230" w:name="_Toc103747549"/>
      <w:bookmarkStart w:id="1231" w:name="_Toc107054978"/>
      <w:bookmarkStart w:id="1232" w:name="_Toc113874425"/>
      <w:bookmarkStart w:id="1233" w:name="_Toc113956841"/>
      <w:bookmarkStart w:id="1234" w:name="_Toc116717397"/>
      <w:bookmarkStart w:id="1235" w:name="_Toc116813424"/>
      <w:bookmarkStart w:id="1236" w:name="_Toc122333076"/>
      <w:bookmarkStart w:id="1237" w:name="_Toc122862046"/>
      <w:bookmarkStart w:id="1238" w:name="_Toc122862642"/>
      <w:bookmarkStart w:id="1239" w:name="_Toc122921249"/>
      <w:bookmarkStart w:id="1240" w:name="_Toc122921509"/>
      <w:bookmarkStart w:id="1241" w:name="_Toc122947454"/>
      <w:bookmarkStart w:id="1242" w:name="_Toc124046290"/>
      <w:bookmarkStart w:id="1243" w:name="_Toc130266611"/>
      <w:bookmarkStart w:id="1244" w:name="_Toc130266887"/>
      <w:bookmarkStart w:id="1245" w:name="_Toc131382990"/>
      <w:bookmarkStart w:id="1246" w:name="_Toc133812371"/>
      <w:bookmarkStart w:id="1247" w:name="_Toc133920318"/>
      <w:bookmarkStart w:id="1248" w:name="_Toc134854715"/>
      <w:bookmarkStart w:id="1249" w:name="_Toc134854991"/>
      <w:bookmarkStart w:id="1250" w:name="_Toc136841168"/>
      <w:r>
        <w:rPr>
          <w:rStyle w:val="CharDivNo"/>
        </w:rPr>
        <w:t>Division 5</w:t>
      </w:r>
      <w:r>
        <w:t> — </w:t>
      </w:r>
      <w:r>
        <w:rPr>
          <w:rStyle w:val="CharDivText"/>
        </w:rPr>
        <w:t>Avoidance of duty</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Footnoteheading"/>
        <w:keepNext/>
        <w:tabs>
          <w:tab w:val="left" w:pos="851"/>
        </w:tabs>
        <w:spacing w:before="100"/>
      </w:pPr>
      <w:r>
        <w:tab/>
        <w:t>[Heading inserted by No. 11 of 2004 s. 31.]</w:t>
      </w:r>
    </w:p>
    <w:p>
      <w:pPr>
        <w:pStyle w:val="Heading5"/>
        <w:spacing w:before="200"/>
      </w:pPr>
      <w:bookmarkStart w:id="1251" w:name="_Toc107054979"/>
      <w:bookmarkStart w:id="1252" w:name="_Toc134854716"/>
      <w:bookmarkStart w:id="1253" w:name="_Toc136841169"/>
      <w:r>
        <w:rPr>
          <w:rStyle w:val="CharSectno"/>
        </w:rPr>
        <w:t>76AV</w:t>
      </w:r>
      <w:r>
        <w:t>.</w:t>
      </w:r>
      <w:r>
        <w:tab/>
        <w:t>Commissioner may determine that an obligation to lodge a statement has been avoided</w:t>
      </w:r>
      <w:bookmarkEnd w:id="1251"/>
      <w:bookmarkEnd w:id="1252"/>
      <w:bookmarkEnd w:id="1253"/>
    </w:p>
    <w:p>
      <w:pPr>
        <w:pStyle w:val="Subsection"/>
        <w:spacing w:before="140"/>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spacing w:before="60"/>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254" w:name="_Toc107054980"/>
      <w:bookmarkStart w:id="1255" w:name="_Toc134854717"/>
      <w:bookmarkStart w:id="1256" w:name="_Toc136841170"/>
      <w:r>
        <w:rPr>
          <w:rStyle w:val="CharSectno"/>
        </w:rPr>
        <w:t>76AW</w:t>
      </w:r>
      <w:r>
        <w:t>.</w:t>
      </w:r>
      <w:r>
        <w:tab/>
        <w:t>Liability to pay duty that has been avoided</w:t>
      </w:r>
      <w:bookmarkEnd w:id="1254"/>
      <w:bookmarkEnd w:id="1255"/>
      <w:bookmarkEnd w:id="1256"/>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257" w:name="_Toc107054981"/>
      <w:bookmarkStart w:id="1258" w:name="_Toc134854718"/>
      <w:bookmarkStart w:id="1259" w:name="_Toc136841171"/>
      <w:r>
        <w:rPr>
          <w:rStyle w:val="CharSectno"/>
        </w:rPr>
        <w:t>76AX</w:t>
      </w:r>
      <w:r>
        <w:t>.</w:t>
      </w:r>
      <w:r>
        <w:tab/>
        <w:t>Reasons for determination that duty has been avoided</w:t>
      </w:r>
      <w:bookmarkEnd w:id="1257"/>
      <w:bookmarkEnd w:id="1258"/>
      <w:bookmarkEnd w:id="1259"/>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260" w:name="_Toc58902618"/>
      <w:bookmarkStart w:id="1261" w:name="_Toc76899651"/>
      <w:bookmarkStart w:id="1262" w:name="_Toc78090553"/>
      <w:bookmarkStart w:id="1263" w:name="_Toc88886921"/>
      <w:bookmarkStart w:id="1264" w:name="_Toc90443537"/>
      <w:bookmarkStart w:id="1265" w:name="_Toc90452888"/>
      <w:bookmarkStart w:id="1266" w:name="_Toc100029479"/>
      <w:bookmarkStart w:id="1267" w:name="_Toc100031552"/>
      <w:bookmarkStart w:id="1268" w:name="_Toc100458611"/>
      <w:bookmarkStart w:id="1269" w:name="_Toc101672027"/>
      <w:bookmarkStart w:id="1270" w:name="_Toc101672284"/>
      <w:bookmarkStart w:id="1271" w:name="_Toc102799310"/>
      <w:bookmarkStart w:id="1272" w:name="_Toc102981984"/>
      <w:bookmarkStart w:id="1273" w:name="_Toc103403297"/>
      <w:bookmarkStart w:id="1274" w:name="_Toc103403554"/>
      <w:bookmarkStart w:id="1275" w:name="_Toc103747553"/>
      <w:bookmarkStart w:id="1276" w:name="_Toc107054982"/>
      <w:bookmarkStart w:id="1277" w:name="_Toc113874429"/>
      <w:bookmarkStart w:id="1278" w:name="_Toc113956845"/>
      <w:bookmarkStart w:id="1279" w:name="_Toc116717401"/>
      <w:bookmarkStart w:id="1280" w:name="_Toc116813428"/>
      <w:bookmarkStart w:id="1281" w:name="_Toc122333080"/>
      <w:bookmarkStart w:id="1282" w:name="_Toc122862050"/>
      <w:bookmarkStart w:id="1283" w:name="_Toc122862646"/>
      <w:bookmarkStart w:id="1284" w:name="_Toc122921253"/>
      <w:bookmarkStart w:id="1285" w:name="_Toc122921513"/>
      <w:bookmarkStart w:id="1286" w:name="_Toc122947458"/>
      <w:bookmarkStart w:id="1287" w:name="_Toc124046294"/>
      <w:bookmarkStart w:id="1288" w:name="_Toc130266615"/>
      <w:bookmarkStart w:id="1289" w:name="_Toc130266891"/>
      <w:bookmarkStart w:id="1290" w:name="_Toc131382994"/>
      <w:bookmarkStart w:id="1291" w:name="_Toc133812375"/>
      <w:bookmarkStart w:id="1292" w:name="_Toc133920322"/>
      <w:bookmarkStart w:id="1293" w:name="_Toc134854719"/>
      <w:bookmarkStart w:id="1294" w:name="_Toc134854995"/>
      <w:bookmarkStart w:id="1295" w:name="_Toc136841172"/>
      <w:r>
        <w:rPr>
          <w:rStyle w:val="CharPartNo"/>
        </w:rPr>
        <w:t>Part IIIC</w:t>
      </w:r>
      <w:r>
        <w:rPr>
          <w:rStyle w:val="CharDivNo"/>
        </w:rPr>
        <w:t> </w:t>
      </w:r>
      <w:r>
        <w:t>—</w:t>
      </w:r>
      <w:r>
        <w:rPr>
          <w:rStyle w:val="CharDivText"/>
        </w:rPr>
        <w:t> </w:t>
      </w:r>
      <w:r>
        <w:rPr>
          <w:rStyle w:val="CharPartText"/>
        </w:rPr>
        <w:t>Vehicle licences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Footnoteheading"/>
        <w:tabs>
          <w:tab w:val="left" w:pos="923"/>
        </w:tabs>
        <w:ind w:left="937" w:hanging="937"/>
      </w:pPr>
      <w:r>
        <w:tab/>
        <w:t>[Heading inserted by No. 2 of 2003 s. 100.]</w:t>
      </w:r>
    </w:p>
    <w:p>
      <w:pPr>
        <w:pStyle w:val="Heading5"/>
      </w:pPr>
      <w:bookmarkStart w:id="1296" w:name="_Toc49223960"/>
      <w:bookmarkStart w:id="1297" w:name="_Toc107054983"/>
      <w:bookmarkStart w:id="1298" w:name="_Toc134854720"/>
      <w:bookmarkStart w:id="1299" w:name="_Toc136841173"/>
      <w:r>
        <w:rPr>
          <w:rStyle w:val="CharSectno"/>
        </w:rPr>
        <w:t>76B</w:t>
      </w:r>
      <w:r>
        <w:t>.</w:t>
      </w:r>
      <w:r>
        <w:tab/>
        <w:t>Interpretation in Part IIIC</w:t>
      </w:r>
      <w:bookmarkEnd w:id="1296"/>
      <w:bookmarkEnd w:id="1297"/>
      <w:bookmarkEnd w:id="1298"/>
      <w:bookmarkEnd w:id="1299"/>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bCs/>
        </w:rPr>
        <w:t>“</w:t>
      </w:r>
      <w:r>
        <w:rPr>
          <w:rStyle w:val="CharDefText"/>
        </w:rPr>
        <w:t>market value</w:t>
      </w:r>
      <w:r>
        <w:rPr>
          <w:b/>
          <w:bCs/>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spacing w:before="70"/>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spacing w:before="70"/>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spacing w:before="70"/>
      </w:pPr>
      <w:r>
        <w:rPr>
          <w:b/>
        </w:rPr>
        <w:tab/>
        <w:t>“</w:t>
      </w:r>
      <w:r>
        <w:rPr>
          <w:rStyle w:val="CharDefText"/>
        </w:rPr>
        <w:t>optional feature</w:t>
      </w:r>
      <w:r>
        <w:rPr>
          <w:b/>
        </w:rPr>
        <w:t>”</w:t>
      </w:r>
      <w:r>
        <w:t xml:space="preserve"> means —</w:t>
      </w:r>
    </w:p>
    <w:p>
      <w:pPr>
        <w:pStyle w:val="Defpara"/>
        <w:spacing w:before="70"/>
      </w:pPr>
      <w:r>
        <w:tab/>
        <w:t>(a)</w:t>
      </w:r>
      <w:r>
        <w:tab/>
        <w:t>any particular kind of transmission in a vehicle; and</w:t>
      </w:r>
    </w:p>
    <w:p>
      <w:pPr>
        <w:pStyle w:val="Defpara"/>
        <w:spacing w:before="70"/>
      </w:pPr>
      <w:r>
        <w:tab/>
        <w:t>(b)</w:t>
      </w:r>
      <w:r>
        <w:tab/>
        <w:t>any other feature in or of a vehicle prescribed by the regulations,</w:t>
      </w:r>
    </w:p>
    <w:p>
      <w:pPr>
        <w:pStyle w:val="Defstart"/>
        <w:spacing w:before="70"/>
      </w:pPr>
      <w:r>
        <w:tab/>
      </w:r>
      <w:r>
        <w:tab/>
        <w:t>that is not a standard feature of a vehicle of that make and model;</w:t>
      </w:r>
    </w:p>
    <w:p>
      <w:pPr>
        <w:pStyle w:val="Defstart"/>
        <w:spacing w:before="70"/>
      </w:pPr>
      <w:r>
        <w:tab/>
      </w:r>
      <w:r>
        <w:rPr>
          <w:b/>
        </w:rPr>
        <w:t>“</w:t>
      </w:r>
      <w:r>
        <w:rPr>
          <w:rStyle w:val="CharDefText"/>
        </w:rPr>
        <w:t>purchase price</w:t>
      </w:r>
      <w:r>
        <w:rPr>
          <w:b/>
        </w:rPr>
        <w:t>”</w:t>
      </w:r>
      <w:r>
        <w:t>, in relation to a vehicle, includes any amount —</w:t>
      </w:r>
    </w:p>
    <w:p>
      <w:pPr>
        <w:pStyle w:val="Defpara"/>
        <w:spacing w:before="70"/>
      </w:pPr>
      <w:r>
        <w:tab/>
        <w:t>(a)</w:t>
      </w:r>
      <w:r>
        <w:tab/>
        <w:t>allowed by the seller on a trade</w:t>
      </w:r>
      <w:r>
        <w:noBreakHyphen/>
        <w:t>in or an exchange of any article;</w:t>
      </w:r>
    </w:p>
    <w:p>
      <w:pPr>
        <w:pStyle w:val="Defpara"/>
        <w:spacing w:before="70"/>
      </w:pPr>
      <w:r>
        <w:tab/>
        <w:t>(b)</w:t>
      </w:r>
      <w:r>
        <w:tab/>
        <w:t>paid to the seller for anything included with or incorporated into the vehicle; or</w:t>
      </w:r>
    </w:p>
    <w:p>
      <w:pPr>
        <w:pStyle w:val="Defpara"/>
        <w:spacing w:before="70"/>
      </w:pPr>
      <w:r>
        <w:tab/>
        <w:t>(c)</w:t>
      </w:r>
      <w:r>
        <w:tab/>
        <w:t>paid to the seller for the preparation of the vehicle for delivery to the purchaser;</w:t>
      </w:r>
    </w:p>
    <w:p>
      <w:pPr>
        <w:pStyle w:val="Defstart"/>
        <w:spacing w:before="70"/>
      </w:pPr>
      <w:r>
        <w:tab/>
      </w:r>
      <w:r>
        <w:rPr>
          <w:b/>
        </w:rPr>
        <w:t>“</w:t>
      </w:r>
      <w:r>
        <w:rPr>
          <w:rStyle w:val="CharDefText"/>
        </w:rPr>
        <w:t>specialised equipment</w:t>
      </w:r>
      <w:r>
        <w:rPr>
          <w:b/>
        </w:rPr>
        <w:t>”</w:t>
      </w:r>
      <w:r>
        <w:t xml:space="preserve"> means —</w:t>
      </w:r>
    </w:p>
    <w:p>
      <w:pPr>
        <w:pStyle w:val="Defpara"/>
        <w:spacing w:before="70"/>
      </w:pPr>
      <w:r>
        <w:tab/>
        <w:t>(a)</w:t>
      </w:r>
      <w:r>
        <w:tab/>
        <w:t>a crane;</w:t>
      </w:r>
    </w:p>
    <w:p>
      <w:pPr>
        <w:pStyle w:val="Defpara"/>
        <w:spacing w:before="7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spacing w:before="60"/>
      </w:pPr>
      <w:r>
        <w:tab/>
        <w:t>(d)</w:t>
      </w:r>
      <w:r>
        <w:tab/>
        <w:t>bitumen spraying equipment;</w:t>
      </w:r>
    </w:p>
    <w:p>
      <w:pPr>
        <w:pStyle w:val="Defpara"/>
        <w:spacing w:before="60"/>
      </w:pPr>
      <w:r>
        <w:tab/>
        <w:t>(e)</w:t>
      </w:r>
      <w:r>
        <w:tab/>
        <w:t>a cement agitator;</w:t>
      </w:r>
    </w:p>
    <w:p>
      <w:pPr>
        <w:pStyle w:val="Defpara"/>
        <w:spacing w:before="60"/>
      </w:pPr>
      <w:r>
        <w:tab/>
        <w:t>(f)</w:t>
      </w:r>
      <w:r>
        <w:tab/>
        <w:t>garbage collection equipment;</w:t>
      </w:r>
    </w:p>
    <w:p>
      <w:pPr>
        <w:pStyle w:val="Defpara"/>
        <w:spacing w:before="60"/>
      </w:pPr>
      <w:r>
        <w:tab/>
        <w:t>(g)</w:t>
      </w:r>
      <w:r>
        <w:tab/>
        <w:t>road sweeping equipment;</w:t>
      </w:r>
    </w:p>
    <w:p>
      <w:pPr>
        <w:pStyle w:val="Defpara"/>
        <w:spacing w:before="60"/>
      </w:pPr>
      <w:r>
        <w:tab/>
        <w:t>(h)</w:t>
      </w:r>
      <w:r>
        <w:tab/>
        <w:t>a refrigeration unit;</w:t>
      </w:r>
    </w:p>
    <w:p>
      <w:pPr>
        <w:pStyle w:val="Defpara"/>
        <w:spacing w:before="60"/>
      </w:pPr>
      <w:r>
        <w:tab/>
        <w:t>(i)</w:t>
      </w:r>
      <w:r>
        <w:tab/>
        <w:t>a stock crate;</w:t>
      </w:r>
    </w:p>
    <w:p>
      <w:pPr>
        <w:pStyle w:val="Defpara"/>
        <w:spacing w:before="60"/>
      </w:pPr>
      <w:r>
        <w:tab/>
        <w:t>(j)</w:t>
      </w:r>
      <w:r>
        <w:tab/>
        <w:t>a tank for transporting liquids;</w:t>
      </w:r>
    </w:p>
    <w:p>
      <w:pPr>
        <w:pStyle w:val="Defpara"/>
        <w:spacing w:before="60"/>
      </w:pPr>
      <w:r>
        <w:tab/>
        <w:t>(k)</w:t>
      </w:r>
      <w:r>
        <w:tab/>
        <w:t>equipment to make the vehicle habitable by a person in the course of a journey; or</w:t>
      </w:r>
    </w:p>
    <w:p>
      <w:pPr>
        <w:pStyle w:val="Defpara"/>
        <w:spacing w:before="60"/>
      </w:pPr>
      <w:r>
        <w:tab/>
        <w:t>(l)</w:t>
      </w:r>
      <w:r>
        <w:tab/>
        <w:t>any similar plant or equipment;</w:t>
      </w:r>
    </w:p>
    <w:p>
      <w:pPr>
        <w:pStyle w:val="Defstart"/>
        <w:spacing w:before="60"/>
      </w:pPr>
      <w:r>
        <w:tab/>
      </w:r>
      <w:r>
        <w:rPr>
          <w:b/>
        </w:rPr>
        <w:t>“</w:t>
      </w:r>
      <w:r>
        <w:rPr>
          <w:rStyle w:val="CharDefText"/>
        </w:rPr>
        <w:t>trustee</w:t>
      </w:r>
      <w:r>
        <w:rPr>
          <w:b/>
        </w:rPr>
        <w:t>”</w:t>
      </w:r>
      <w:r>
        <w:t xml:space="preserve"> does not include a discretionary trustee or a unit trustee;</w:t>
      </w:r>
    </w:p>
    <w:p>
      <w:pPr>
        <w:pStyle w:val="Defstart"/>
        <w:spacing w:before="60"/>
      </w:pPr>
      <w:r>
        <w:tab/>
      </w:r>
      <w:r>
        <w:rPr>
          <w:b/>
        </w:rPr>
        <w:t>“</w:t>
      </w:r>
      <w:r>
        <w:rPr>
          <w:rStyle w:val="CharDefText"/>
        </w:rPr>
        <w:t>unit trustee</w:t>
      </w:r>
      <w:r>
        <w:rPr>
          <w:b/>
        </w:rPr>
        <w:t>”</w:t>
      </w:r>
      <w:r>
        <w:t xml:space="preserve"> means a trustee of a unit trust scheme;</w:t>
      </w:r>
    </w:p>
    <w:p>
      <w:pPr>
        <w:pStyle w:val="Defstart"/>
        <w:spacing w:before="60"/>
      </w:pPr>
      <w:r>
        <w:tab/>
      </w:r>
      <w:r>
        <w:rPr>
          <w:b/>
        </w:rPr>
        <w:t>“</w:t>
      </w:r>
      <w:r>
        <w:rPr>
          <w:rStyle w:val="CharDefText"/>
        </w:rPr>
        <w:t>unit trust scheme</w:t>
      </w:r>
      <w:r>
        <w:rPr>
          <w:b/>
        </w:rPr>
        <w:t>”</w:t>
      </w:r>
      <w:r>
        <w:t xml:space="preserve"> means a private unit trust scheme within the meaning in section 63(2);</w:t>
      </w:r>
    </w:p>
    <w:p>
      <w:pPr>
        <w:pStyle w:val="Defstart"/>
        <w:spacing w:before="60"/>
      </w:pPr>
      <w:r>
        <w:tab/>
      </w:r>
      <w:r>
        <w:rPr>
          <w:b/>
        </w:rPr>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300" w:name="_Toc49223961"/>
      <w:bookmarkStart w:id="1301" w:name="_Toc107054984"/>
      <w:bookmarkStart w:id="1302" w:name="_Toc134854721"/>
      <w:bookmarkStart w:id="1303" w:name="_Toc136841174"/>
      <w:r>
        <w:rPr>
          <w:rStyle w:val="CharSectno"/>
        </w:rPr>
        <w:t>76C</w:t>
      </w:r>
      <w:r>
        <w:t>.</w:t>
      </w:r>
      <w:r>
        <w:tab/>
        <w:t>Non</w:t>
      </w:r>
      <w:r>
        <w:noBreakHyphen/>
        <w:t>beneficial change of ownership</w:t>
      </w:r>
      <w:bookmarkEnd w:id="1300"/>
      <w:bookmarkEnd w:id="1301"/>
      <w:bookmarkEnd w:id="1302"/>
      <w:bookmarkEnd w:id="1303"/>
    </w:p>
    <w:p>
      <w:pPr>
        <w:pStyle w:val="Subsection"/>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spacing w:before="100"/>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spacing w:before="100"/>
      </w:pPr>
      <w:r>
        <w:tab/>
        <w:t>(e)</w:t>
      </w:r>
      <w:r>
        <w:tab/>
        <w:t>the legal ownership of the vehicle passes to the holder of a unit in a unit trust scheme from the unit trustee if the change in the legal ownership of the vehicle —</w:t>
      </w:r>
    </w:p>
    <w:p>
      <w:pPr>
        <w:pStyle w:val="Indenti"/>
        <w:spacing w:before="100"/>
      </w:pPr>
      <w:r>
        <w:tab/>
        <w:t>(i)</w:t>
      </w:r>
      <w:r>
        <w:tab/>
        <w:t>has the effect of reducing the rights of the transferee in respect of the trust property to the extent of the vehicle or the value of the vehicle; and</w:t>
      </w:r>
    </w:p>
    <w:p>
      <w:pPr>
        <w:pStyle w:val="Indenti"/>
        <w:spacing w:before="100"/>
      </w:pPr>
      <w:r>
        <w:tab/>
        <w:t>(ii)</w:t>
      </w:r>
      <w:r>
        <w:tab/>
        <w:t>does not have the effect of varying, abrogating or altering the rights of the holder or holders of other units under the unit trust scheme in respect of the remaining trust property;</w:t>
      </w:r>
    </w:p>
    <w:p>
      <w:pPr>
        <w:pStyle w:val="Indenta"/>
        <w:spacing w:before="100"/>
      </w:pPr>
      <w:r>
        <w:tab/>
      </w:r>
      <w:r>
        <w:tab/>
        <w:t>or</w:t>
      </w:r>
    </w:p>
    <w:p>
      <w:pPr>
        <w:pStyle w:val="Indenta"/>
        <w:spacing w:before="100"/>
      </w:pPr>
      <w:r>
        <w:tab/>
        <w:t>(f)</w:t>
      </w:r>
      <w:r>
        <w:tab/>
        <w:t>the change in the legal ownership of the vehicle —</w:t>
      </w:r>
    </w:p>
    <w:p>
      <w:pPr>
        <w:pStyle w:val="Indenti"/>
        <w:spacing w:before="100"/>
      </w:pPr>
      <w:r>
        <w:tab/>
        <w:t>(i)</w:t>
      </w:r>
      <w:r>
        <w:tab/>
        <w:t>does not pass a beneficial interest in the vehicle;</w:t>
      </w:r>
    </w:p>
    <w:p>
      <w:pPr>
        <w:pStyle w:val="Indenti"/>
        <w:spacing w:before="100"/>
      </w:pPr>
      <w:r>
        <w:tab/>
        <w:t>(ii)</w:t>
      </w:r>
      <w:r>
        <w:tab/>
        <w:t>is not made in contemplation of the passing of a beneficial interest in the vehicle; and</w:t>
      </w:r>
    </w:p>
    <w:p>
      <w:pPr>
        <w:pStyle w:val="Indenti"/>
        <w:spacing w:before="100"/>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260"/>
        <w:ind w:left="890" w:hanging="890"/>
      </w:pPr>
      <w:r>
        <w:t>[</w:t>
      </w:r>
      <w:r>
        <w:rPr>
          <w:b/>
        </w:rPr>
        <w:t>76CA, 76CB.</w:t>
      </w:r>
      <w:r>
        <w:tab/>
        <w:t>Repealed by No. 2 of 2003 s. 100.]</w:t>
      </w:r>
    </w:p>
    <w:p>
      <w:pPr>
        <w:pStyle w:val="Heading5"/>
      </w:pPr>
      <w:bookmarkStart w:id="1304" w:name="_Toc49223962"/>
      <w:bookmarkStart w:id="1305" w:name="_Toc107054985"/>
      <w:bookmarkStart w:id="1306" w:name="_Toc134854722"/>
      <w:bookmarkStart w:id="1307" w:name="_Toc136841175"/>
      <w:r>
        <w:rPr>
          <w:rStyle w:val="CharSectno"/>
        </w:rPr>
        <w:t>76D</w:t>
      </w:r>
      <w:r>
        <w:t>.</w:t>
      </w:r>
      <w:r>
        <w:tab/>
        <w:t>Duty on the grant or transfer of a vehicle licence</w:t>
      </w:r>
      <w:bookmarkEnd w:id="1304"/>
      <w:bookmarkEnd w:id="1305"/>
      <w:bookmarkEnd w:id="1306"/>
      <w:bookmarkEnd w:id="1307"/>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308" w:name="_Toc49223963"/>
      <w:bookmarkStart w:id="1309" w:name="_Toc107054986"/>
      <w:bookmarkStart w:id="1310" w:name="_Toc134854723"/>
      <w:bookmarkStart w:id="1311" w:name="_Toc136841176"/>
      <w:r>
        <w:rPr>
          <w:rStyle w:val="CharSectno"/>
        </w:rPr>
        <w:t>76E</w:t>
      </w:r>
      <w:r>
        <w:t>.</w:t>
      </w:r>
      <w:r>
        <w:tab/>
        <w:t>Determination of value and assessment of duty</w:t>
      </w:r>
      <w:bookmarkEnd w:id="1308"/>
      <w:bookmarkEnd w:id="1309"/>
      <w:bookmarkEnd w:id="1310"/>
      <w:bookmarkEnd w:id="1311"/>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312" w:name="_Toc49223964"/>
      <w:bookmarkStart w:id="1313" w:name="_Toc107054987"/>
      <w:bookmarkStart w:id="1314" w:name="_Toc134854724"/>
      <w:bookmarkStart w:id="1315" w:name="_Toc136841177"/>
      <w:r>
        <w:rPr>
          <w:rStyle w:val="CharSectno"/>
        </w:rPr>
        <w:t>76F</w:t>
      </w:r>
      <w:r>
        <w:t>.</w:t>
      </w:r>
      <w:r>
        <w:tab/>
        <w:t>Payment of duty</w:t>
      </w:r>
      <w:bookmarkEnd w:id="1312"/>
      <w:bookmarkEnd w:id="1313"/>
      <w:bookmarkEnd w:id="1314"/>
      <w:bookmarkEnd w:id="1315"/>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316" w:name="_Toc49223965"/>
      <w:bookmarkStart w:id="1317" w:name="_Toc107054988"/>
      <w:bookmarkStart w:id="1318" w:name="_Toc134854725"/>
      <w:bookmarkStart w:id="1319" w:name="_Toc136841178"/>
      <w:r>
        <w:rPr>
          <w:rStyle w:val="CharSectno"/>
        </w:rPr>
        <w:t>76G</w:t>
      </w:r>
      <w:r>
        <w:t>.</w:t>
      </w:r>
      <w:r>
        <w:tab/>
        <w:t>Applicant’s statement of value in application</w:t>
      </w:r>
      <w:bookmarkEnd w:id="1316"/>
      <w:bookmarkEnd w:id="1317"/>
      <w:bookmarkEnd w:id="1318"/>
      <w:bookmarkEnd w:id="1319"/>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320" w:name="_Toc49223966"/>
      <w:bookmarkStart w:id="1321" w:name="_Toc107054989"/>
      <w:bookmarkStart w:id="1322" w:name="_Toc134854726"/>
      <w:bookmarkStart w:id="1323" w:name="_Toc136841179"/>
      <w:r>
        <w:rPr>
          <w:rStyle w:val="CharSectno"/>
        </w:rPr>
        <w:t>76H</w:t>
      </w:r>
      <w:r>
        <w:t>.</w:t>
      </w:r>
      <w:r>
        <w:tab/>
        <w:t>Seller’s obligation to notify purchase price</w:t>
      </w:r>
      <w:bookmarkEnd w:id="1320"/>
      <w:bookmarkEnd w:id="1321"/>
      <w:bookmarkEnd w:id="1322"/>
      <w:bookmarkEnd w:id="1323"/>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324" w:name="_Toc49223967"/>
      <w:bookmarkStart w:id="1325" w:name="_Toc107054990"/>
      <w:bookmarkStart w:id="1326" w:name="_Toc134854727"/>
      <w:bookmarkStart w:id="1327" w:name="_Toc136841180"/>
      <w:r>
        <w:rPr>
          <w:rStyle w:val="CharSectno"/>
        </w:rPr>
        <w:t>76I</w:t>
      </w:r>
      <w:r>
        <w:t>.</w:t>
      </w:r>
      <w:r>
        <w:tab/>
        <w:t>Use of dealer registered vehicle for other purposes</w:t>
      </w:r>
      <w:bookmarkEnd w:id="1324"/>
      <w:bookmarkEnd w:id="1325"/>
      <w:bookmarkEnd w:id="1326"/>
      <w:bookmarkEnd w:id="1327"/>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328" w:name="_Toc49223968"/>
      <w:bookmarkStart w:id="1329" w:name="_Toc107054991"/>
      <w:bookmarkStart w:id="1330" w:name="_Toc134854728"/>
      <w:bookmarkStart w:id="1331" w:name="_Toc136841181"/>
      <w:r>
        <w:rPr>
          <w:rStyle w:val="CharSectno"/>
        </w:rPr>
        <w:t>76J</w:t>
      </w:r>
      <w:r>
        <w:t>.</w:t>
      </w:r>
      <w:r>
        <w:tab/>
        <w:t>Use of specialised equipment on another vehicle</w:t>
      </w:r>
      <w:bookmarkEnd w:id="1328"/>
      <w:bookmarkEnd w:id="1329"/>
      <w:bookmarkEnd w:id="1330"/>
      <w:bookmarkEnd w:id="1331"/>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spacing w:val="-4"/>
        </w:rPr>
      </w:pPr>
      <w:r>
        <w:rPr>
          <w:spacing w:val="-4"/>
        </w:rPr>
        <w:tab/>
        <w:t>(a)</w:t>
      </w:r>
      <w:r>
        <w:rPr>
          <w:spacing w:val="-4"/>
        </w:rPr>
        <w:tab/>
      </w:r>
      <w:r>
        <w:rPr>
          <w:snapToGrid w:val="0"/>
          <w:spacing w:val="-4"/>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332" w:name="_Toc49223969"/>
      <w:bookmarkStart w:id="1333" w:name="_Toc107054992"/>
      <w:bookmarkStart w:id="1334" w:name="_Toc134854729"/>
      <w:bookmarkStart w:id="1335" w:name="_Toc136841182"/>
      <w:r>
        <w:rPr>
          <w:rStyle w:val="CharSectno"/>
        </w:rPr>
        <w:t>76K</w:t>
      </w:r>
      <w:r>
        <w:t>.</w:t>
      </w:r>
      <w:r>
        <w:tab/>
        <w:t>Failure to apply for transfer of licence</w:t>
      </w:r>
      <w:bookmarkEnd w:id="1332"/>
      <w:bookmarkEnd w:id="1333"/>
      <w:bookmarkEnd w:id="1334"/>
      <w:bookmarkEnd w:id="1335"/>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336" w:name="_Toc49223970"/>
      <w:bookmarkStart w:id="1337" w:name="_Toc107054993"/>
      <w:bookmarkStart w:id="1338" w:name="_Toc134854730"/>
      <w:bookmarkStart w:id="1339" w:name="_Toc136841183"/>
      <w:r>
        <w:rPr>
          <w:rStyle w:val="CharSectno"/>
        </w:rPr>
        <w:t>76L</w:t>
      </w:r>
      <w:r>
        <w:t>.</w:t>
      </w:r>
      <w:r>
        <w:tab/>
        <w:t>Powers of Director General and Commissioner</w:t>
      </w:r>
      <w:bookmarkEnd w:id="1336"/>
      <w:bookmarkEnd w:id="1337"/>
      <w:bookmarkEnd w:id="1338"/>
      <w:bookmarkEnd w:id="1339"/>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340" w:name="_Toc49223971"/>
      <w:bookmarkStart w:id="1341" w:name="_Toc107054994"/>
      <w:bookmarkStart w:id="1342" w:name="_Toc134854731"/>
      <w:bookmarkStart w:id="1343" w:name="_Toc136841184"/>
      <w:r>
        <w:rPr>
          <w:rStyle w:val="CharSectno"/>
        </w:rPr>
        <w:t>76M</w:t>
      </w:r>
      <w:r>
        <w:t>.</w:t>
      </w:r>
      <w:r>
        <w:tab/>
        <w:t>Duty to be remitted to Commissioner</w:t>
      </w:r>
      <w:bookmarkEnd w:id="1340"/>
      <w:bookmarkEnd w:id="1341"/>
      <w:bookmarkEnd w:id="1342"/>
      <w:bookmarkEnd w:id="1343"/>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344" w:name="_Toc122241798"/>
      <w:bookmarkStart w:id="1345" w:name="_Toc122331086"/>
      <w:bookmarkStart w:id="1346" w:name="_Toc134854732"/>
      <w:bookmarkStart w:id="1347" w:name="_Toc136841185"/>
      <w:r>
        <w:rPr>
          <w:rStyle w:val="CharSectno"/>
        </w:rPr>
        <w:t>76N</w:t>
      </w:r>
      <w:r>
        <w:t>.</w:t>
      </w:r>
      <w:r>
        <w:tab/>
        <w:t>Records</w:t>
      </w:r>
      <w:bookmarkEnd w:id="1344"/>
      <w:bookmarkEnd w:id="1345"/>
      <w:bookmarkEnd w:id="1346"/>
      <w:bookmarkEnd w:id="1347"/>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348" w:name="_Toc58902631"/>
      <w:bookmarkStart w:id="1349" w:name="_Toc76899664"/>
      <w:bookmarkStart w:id="1350" w:name="_Toc78090566"/>
      <w:bookmarkStart w:id="1351" w:name="_Toc88886934"/>
      <w:bookmarkStart w:id="1352" w:name="_Toc90443550"/>
      <w:bookmarkStart w:id="1353" w:name="_Toc90452901"/>
      <w:bookmarkStart w:id="1354" w:name="_Toc100029492"/>
      <w:bookmarkStart w:id="1355" w:name="_Toc100031565"/>
      <w:bookmarkStart w:id="1356" w:name="_Toc100458624"/>
      <w:bookmarkStart w:id="1357" w:name="_Toc101672040"/>
      <w:bookmarkStart w:id="1358" w:name="_Toc101672297"/>
      <w:bookmarkStart w:id="1359" w:name="_Toc102799323"/>
      <w:bookmarkStart w:id="1360" w:name="_Toc102981997"/>
      <w:bookmarkStart w:id="1361" w:name="_Toc103403310"/>
      <w:bookmarkStart w:id="1362" w:name="_Toc103403567"/>
      <w:bookmarkStart w:id="1363" w:name="_Toc103747566"/>
      <w:bookmarkStart w:id="1364" w:name="_Toc107054995"/>
      <w:bookmarkStart w:id="1365" w:name="_Toc113874442"/>
      <w:bookmarkStart w:id="1366" w:name="_Toc113956858"/>
      <w:bookmarkStart w:id="1367" w:name="_Toc116717414"/>
      <w:bookmarkStart w:id="1368" w:name="_Toc116813441"/>
      <w:bookmarkStart w:id="1369" w:name="_Toc122333094"/>
      <w:bookmarkStart w:id="1370" w:name="_Toc122862064"/>
      <w:bookmarkStart w:id="1371" w:name="_Toc122862660"/>
      <w:bookmarkStart w:id="1372" w:name="_Toc122921267"/>
      <w:bookmarkStart w:id="1373" w:name="_Toc122921527"/>
      <w:bookmarkStart w:id="1374" w:name="_Toc122947472"/>
      <w:bookmarkStart w:id="1375" w:name="_Toc124046308"/>
      <w:bookmarkStart w:id="1376" w:name="_Toc130266629"/>
      <w:bookmarkStart w:id="1377" w:name="_Toc130266905"/>
      <w:bookmarkStart w:id="1378" w:name="_Toc131383008"/>
      <w:bookmarkStart w:id="1379" w:name="_Toc133812389"/>
      <w:bookmarkStart w:id="1380" w:name="_Toc133920336"/>
      <w:bookmarkStart w:id="1381" w:name="_Toc134854733"/>
      <w:bookmarkStart w:id="1382" w:name="_Toc134855009"/>
      <w:bookmarkStart w:id="1383" w:name="_Toc136841186"/>
      <w:r>
        <w:rPr>
          <w:rStyle w:val="CharPartNo"/>
        </w:rPr>
        <w:t>Part IIID</w:t>
      </w:r>
      <w:r>
        <w:rPr>
          <w:rStyle w:val="CharDivNo"/>
        </w:rPr>
        <w:t> </w:t>
      </w:r>
      <w:r>
        <w:t>—</w:t>
      </w:r>
      <w:r>
        <w:rPr>
          <w:rStyle w:val="CharDivText"/>
        </w:rPr>
        <w:t> </w:t>
      </w:r>
      <w:r>
        <w:rPr>
          <w:rStyle w:val="CharPartText"/>
        </w:rPr>
        <w:t>Leases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384" w:name="_Toc500739998"/>
      <w:bookmarkStart w:id="1385" w:name="_Toc520101190"/>
      <w:bookmarkStart w:id="1386" w:name="_Toc520533089"/>
      <w:bookmarkStart w:id="1387" w:name="_Toc49223972"/>
      <w:bookmarkStart w:id="1388" w:name="_Toc107054996"/>
      <w:bookmarkStart w:id="1389" w:name="_Toc134854734"/>
      <w:bookmarkStart w:id="1390" w:name="_Toc136841187"/>
      <w:r>
        <w:rPr>
          <w:rStyle w:val="CharSectno"/>
        </w:rPr>
        <w:t>77</w:t>
      </w:r>
      <w:r>
        <w:rPr>
          <w:snapToGrid w:val="0"/>
        </w:rPr>
        <w:t>.</w:t>
      </w:r>
      <w:r>
        <w:rPr>
          <w:snapToGrid w:val="0"/>
        </w:rPr>
        <w:tab/>
        <w:t>Agreement for any lease to be charged as a lease</w:t>
      </w:r>
      <w:bookmarkEnd w:id="1384"/>
      <w:bookmarkEnd w:id="1385"/>
      <w:bookmarkEnd w:id="1386"/>
      <w:bookmarkEnd w:id="1387"/>
      <w:bookmarkEnd w:id="1388"/>
      <w:bookmarkEnd w:id="1389"/>
      <w:bookmarkEnd w:id="1390"/>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391" w:name="_Toc107054997"/>
      <w:bookmarkStart w:id="1392" w:name="_Toc134854735"/>
      <w:bookmarkStart w:id="1393" w:name="_Toc136841188"/>
      <w:bookmarkStart w:id="1394" w:name="_Toc500739999"/>
      <w:bookmarkStart w:id="1395" w:name="_Toc520101191"/>
      <w:bookmarkStart w:id="1396" w:name="_Toc520533090"/>
      <w:bookmarkStart w:id="1397" w:name="_Toc49223973"/>
      <w:r>
        <w:rPr>
          <w:rStyle w:val="CharSectno"/>
        </w:rPr>
        <w:t>77A</w:t>
      </w:r>
      <w:r>
        <w:t>.</w:t>
      </w:r>
      <w:r>
        <w:tab/>
        <w:t>Offer to lease</w:t>
      </w:r>
      <w:bookmarkEnd w:id="1391"/>
      <w:bookmarkEnd w:id="1392"/>
      <w:bookmarkEnd w:id="1393"/>
    </w:p>
    <w:p>
      <w:pPr>
        <w:pStyle w:val="Subsection"/>
      </w:pPr>
      <w:r>
        <w:tab/>
        <w:t>(1)</w:t>
      </w:r>
      <w:r>
        <w:tab/>
        <w:t xml:space="preserve">Subject to </w:t>
      </w:r>
      <w:r>
        <w:rPr>
          <w:snapToGrid w:val="0"/>
        </w:rPr>
        <w:t>subsection</w:t>
      </w:r>
      <w:r>
        <w:t> (2),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398" w:name="_Toc107054998"/>
      <w:bookmarkStart w:id="1399" w:name="_Toc134854736"/>
      <w:bookmarkStart w:id="1400" w:name="_Toc136841189"/>
      <w:r>
        <w:rPr>
          <w:rStyle w:val="CharSectno"/>
        </w:rPr>
        <w:t>78</w:t>
      </w:r>
      <w:r>
        <w:rPr>
          <w:snapToGrid w:val="0"/>
        </w:rPr>
        <w:t>.</w:t>
      </w:r>
      <w:r>
        <w:rPr>
          <w:snapToGrid w:val="0"/>
        </w:rPr>
        <w:tab/>
        <w:t>Leases: how to be charged in respect of produce, etc.</w:t>
      </w:r>
      <w:bookmarkEnd w:id="1394"/>
      <w:bookmarkEnd w:id="1395"/>
      <w:bookmarkEnd w:id="1396"/>
      <w:bookmarkEnd w:id="1397"/>
      <w:bookmarkEnd w:id="1398"/>
      <w:bookmarkEnd w:id="1399"/>
      <w:bookmarkEnd w:id="1400"/>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spacing w:before="120"/>
        <w:rPr>
          <w:snapToGrid w:val="0"/>
          <w:spacing w:val="-4"/>
        </w:rPr>
      </w:pPr>
      <w:r>
        <w:rPr>
          <w:snapToGrid w:val="0"/>
          <w:spacing w:val="-4"/>
        </w:rPr>
        <w:tab/>
        <w:t>(2)</w:t>
      </w:r>
      <w:r>
        <w:rPr>
          <w:snapToGrid w:val="0"/>
          <w:spacing w:val="-4"/>
        </w:rPr>
        <w:tab/>
        <w:t xml:space="preserve">A lease or </w:t>
      </w:r>
      <w:r>
        <w:rPr>
          <w:snapToGrid w:val="0"/>
        </w:rPr>
        <w:t>agreement</w:t>
      </w:r>
      <w:r>
        <w:rPr>
          <w:snapToGrid w:val="0"/>
          <w:spacing w:val="-4"/>
        </w:rPr>
        <w:t xml:space="preserve">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401" w:name="_Toc500740000"/>
      <w:bookmarkStart w:id="1402" w:name="_Toc520101192"/>
      <w:bookmarkStart w:id="1403" w:name="_Toc520533091"/>
      <w:r>
        <w:tab/>
        <w:t>[Section 78 amended by No. 2 of 2003 s. 102.]</w:t>
      </w:r>
    </w:p>
    <w:p>
      <w:pPr>
        <w:pStyle w:val="Heading5"/>
        <w:spacing w:before="120"/>
        <w:rPr>
          <w:snapToGrid w:val="0"/>
        </w:rPr>
      </w:pPr>
      <w:bookmarkStart w:id="1404" w:name="_Toc49223974"/>
      <w:bookmarkStart w:id="1405" w:name="_Toc107054999"/>
      <w:bookmarkStart w:id="1406" w:name="_Toc134854737"/>
      <w:bookmarkStart w:id="1407" w:name="_Toc136841190"/>
      <w:r>
        <w:rPr>
          <w:rStyle w:val="CharSectno"/>
        </w:rPr>
        <w:t>79</w:t>
      </w:r>
      <w:r>
        <w:rPr>
          <w:snapToGrid w:val="0"/>
        </w:rPr>
        <w:t>.</w:t>
      </w:r>
      <w:r>
        <w:rPr>
          <w:snapToGrid w:val="0"/>
        </w:rPr>
        <w:tab/>
        <w:t>Directions as to duty in certain cases</w:t>
      </w:r>
      <w:bookmarkEnd w:id="1401"/>
      <w:bookmarkEnd w:id="1402"/>
      <w:bookmarkEnd w:id="1403"/>
      <w:bookmarkEnd w:id="1404"/>
      <w:bookmarkEnd w:id="1405"/>
      <w:bookmarkEnd w:id="1406"/>
      <w:bookmarkEnd w:id="1407"/>
    </w:p>
    <w:p>
      <w:pPr>
        <w:pStyle w:val="Subsection"/>
        <w:spacing w:before="120"/>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spacing w:before="120"/>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spacing w:before="120"/>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408" w:name="_Toc500740002"/>
      <w:bookmarkStart w:id="1409" w:name="_Toc520101194"/>
      <w:bookmarkStart w:id="1410" w:name="_Toc520533093"/>
      <w:bookmarkStart w:id="1411" w:name="_Toc49223976"/>
      <w:bookmarkStart w:id="1412" w:name="_Toc107055000"/>
      <w:bookmarkStart w:id="1413" w:name="_Toc134854738"/>
      <w:bookmarkStart w:id="1414" w:name="_Toc136841191"/>
      <w:r>
        <w:rPr>
          <w:rStyle w:val="CharSectno"/>
        </w:rPr>
        <w:t>80A</w:t>
      </w:r>
      <w:r>
        <w:rPr>
          <w:snapToGrid w:val="0"/>
        </w:rPr>
        <w:t>.</w:t>
      </w:r>
      <w:r>
        <w:rPr>
          <w:snapToGrid w:val="0"/>
        </w:rPr>
        <w:tab/>
        <w:t xml:space="preserve">Power </w:t>
      </w:r>
      <w:bookmarkEnd w:id="1408"/>
      <w:bookmarkEnd w:id="1409"/>
      <w:bookmarkEnd w:id="1410"/>
      <w:bookmarkEnd w:id="1411"/>
      <w:r>
        <w:rPr>
          <w:snapToGrid w:val="0"/>
        </w:rPr>
        <w:t>to exempt instruments made for charitable or similar purposes</w:t>
      </w:r>
      <w:bookmarkEnd w:id="1412"/>
      <w:bookmarkEnd w:id="1413"/>
      <w:bookmarkEnd w:id="1414"/>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415" w:name="_Toc76899670"/>
      <w:bookmarkStart w:id="1416" w:name="_Toc78090572"/>
      <w:bookmarkStart w:id="1417" w:name="_Toc88886940"/>
      <w:bookmarkStart w:id="1418" w:name="_Toc90443556"/>
      <w:bookmarkStart w:id="1419" w:name="_Toc90452907"/>
      <w:bookmarkStart w:id="1420" w:name="_Toc100029498"/>
      <w:bookmarkStart w:id="1421" w:name="_Toc100031571"/>
      <w:bookmarkStart w:id="1422" w:name="_Toc100458630"/>
      <w:bookmarkStart w:id="1423" w:name="_Toc101672046"/>
      <w:bookmarkStart w:id="1424" w:name="_Toc101672303"/>
      <w:bookmarkStart w:id="1425" w:name="_Toc102799329"/>
      <w:bookmarkStart w:id="1426" w:name="_Toc102982003"/>
      <w:bookmarkStart w:id="1427" w:name="_Toc103403316"/>
      <w:bookmarkStart w:id="1428" w:name="_Toc103403573"/>
      <w:bookmarkStart w:id="1429" w:name="_Toc103747572"/>
      <w:bookmarkStart w:id="1430" w:name="_Toc107055001"/>
      <w:bookmarkStart w:id="1431" w:name="_Toc113874448"/>
      <w:bookmarkStart w:id="1432" w:name="_Toc113956864"/>
      <w:bookmarkStart w:id="1433" w:name="_Toc116717420"/>
      <w:bookmarkStart w:id="1434" w:name="_Toc116813447"/>
      <w:bookmarkStart w:id="1435" w:name="_Toc122333100"/>
      <w:bookmarkStart w:id="1436" w:name="_Toc122862070"/>
      <w:bookmarkStart w:id="1437" w:name="_Toc122862666"/>
      <w:bookmarkStart w:id="1438" w:name="_Toc122921273"/>
      <w:bookmarkStart w:id="1439" w:name="_Toc122921533"/>
      <w:bookmarkStart w:id="1440" w:name="_Toc122947478"/>
      <w:bookmarkStart w:id="1441" w:name="_Toc124046314"/>
      <w:bookmarkStart w:id="1442" w:name="_Toc130266635"/>
      <w:bookmarkStart w:id="1443" w:name="_Toc130266911"/>
      <w:bookmarkStart w:id="1444" w:name="_Toc131383014"/>
      <w:bookmarkStart w:id="1445" w:name="_Toc133812395"/>
      <w:bookmarkStart w:id="1446" w:name="_Toc133920342"/>
      <w:bookmarkStart w:id="1447" w:name="_Toc134854739"/>
      <w:bookmarkStart w:id="1448" w:name="_Toc134855015"/>
      <w:bookmarkStart w:id="1449" w:name="_Toc136841192"/>
      <w:r>
        <w:rPr>
          <w:rStyle w:val="CharPartNo"/>
        </w:rPr>
        <w:t>Part IIIE</w:t>
      </w:r>
      <w:r>
        <w:rPr>
          <w:b w:val="0"/>
        </w:rPr>
        <w:t> </w:t>
      </w:r>
      <w:r>
        <w:t>—</w:t>
      </w:r>
      <w:r>
        <w:rPr>
          <w:b w:val="0"/>
        </w:rPr>
        <w:t> </w:t>
      </w:r>
      <w:r>
        <w:rPr>
          <w:rStyle w:val="CharPartText"/>
        </w:rPr>
        <w:t>Mortgage duty</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Footnoteheading"/>
        <w:tabs>
          <w:tab w:val="left" w:pos="851"/>
        </w:tabs>
      </w:pPr>
      <w:r>
        <w:tab/>
        <w:t>[Heading inserted by No. 66 of 2003 s. 79.]</w:t>
      </w:r>
    </w:p>
    <w:p>
      <w:pPr>
        <w:pStyle w:val="Heading3"/>
      </w:pPr>
      <w:bookmarkStart w:id="1450" w:name="_Toc76899671"/>
      <w:bookmarkStart w:id="1451" w:name="_Toc78090573"/>
      <w:bookmarkStart w:id="1452" w:name="_Toc88886941"/>
      <w:bookmarkStart w:id="1453" w:name="_Toc90443557"/>
      <w:bookmarkStart w:id="1454" w:name="_Toc90452908"/>
      <w:bookmarkStart w:id="1455" w:name="_Toc100029499"/>
      <w:bookmarkStart w:id="1456" w:name="_Toc100031572"/>
      <w:bookmarkStart w:id="1457" w:name="_Toc100458631"/>
      <w:bookmarkStart w:id="1458" w:name="_Toc101672047"/>
      <w:bookmarkStart w:id="1459" w:name="_Toc101672304"/>
      <w:bookmarkStart w:id="1460" w:name="_Toc102799330"/>
      <w:bookmarkStart w:id="1461" w:name="_Toc102982004"/>
      <w:bookmarkStart w:id="1462" w:name="_Toc103403317"/>
      <w:bookmarkStart w:id="1463" w:name="_Toc103403574"/>
      <w:bookmarkStart w:id="1464" w:name="_Toc103747573"/>
      <w:bookmarkStart w:id="1465" w:name="_Toc107055002"/>
      <w:bookmarkStart w:id="1466" w:name="_Toc113874449"/>
      <w:bookmarkStart w:id="1467" w:name="_Toc113956865"/>
      <w:bookmarkStart w:id="1468" w:name="_Toc116717421"/>
      <w:bookmarkStart w:id="1469" w:name="_Toc116813448"/>
      <w:bookmarkStart w:id="1470" w:name="_Toc122333101"/>
      <w:bookmarkStart w:id="1471" w:name="_Toc122862071"/>
      <w:bookmarkStart w:id="1472" w:name="_Toc122862667"/>
      <w:bookmarkStart w:id="1473" w:name="_Toc122921274"/>
      <w:bookmarkStart w:id="1474" w:name="_Toc122921534"/>
      <w:bookmarkStart w:id="1475" w:name="_Toc122947479"/>
      <w:bookmarkStart w:id="1476" w:name="_Toc124046315"/>
      <w:bookmarkStart w:id="1477" w:name="_Toc130266636"/>
      <w:bookmarkStart w:id="1478" w:name="_Toc130266912"/>
      <w:bookmarkStart w:id="1479" w:name="_Toc131383015"/>
      <w:bookmarkStart w:id="1480" w:name="_Toc133812396"/>
      <w:bookmarkStart w:id="1481" w:name="_Toc133920343"/>
      <w:bookmarkStart w:id="1482" w:name="_Toc134854740"/>
      <w:bookmarkStart w:id="1483" w:name="_Toc134855016"/>
      <w:bookmarkStart w:id="1484" w:name="_Toc136841193"/>
      <w:r>
        <w:rPr>
          <w:rStyle w:val="CharDivNo"/>
        </w:rPr>
        <w:t>Division 1</w:t>
      </w:r>
      <w:r>
        <w:t> — </w:t>
      </w:r>
      <w:r>
        <w:rPr>
          <w:rStyle w:val="CharDivText"/>
        </w:rPr>
        <w:t>Interpretation for this Part</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Footnoteheading"/>
        <w:tabs>
          <w:tab w:val="left" w:pos="851"/>
        </w:tabs>
      </w:pPr>
      <w:r>
        <w:tab/>
        <w:t>[Heading inserted by No. 66 of 2003 s. 79.]</w:t>
      </w:r>
    </w:p>
    <w:p>
      <w:pPr>
        <w:pStyle w:val="Heading5"/>
      </w:pPr>
      <w:bookmarkStart w:id="1485" w:name="_Toc107055003"/>
      <w:bookmarkStart w:id="1486" w:name="_Toc134854741"/>
      <w:bookmarkStart w:id="1487" w:name="_Toc136841194"/>
      <w:r>
        <w:rPr>
          <w:rStyle w:val="CharSectno"/>
        </w:rPr>
        <w:t>81</w:t>
      </w:r>
      <w:r>
        <w:t>.</w:t>
      </w:r>
      <w:r>
        <w:tab/>
        <w:t>Definitions</w:t>
      </w:r>
      <w:bookmarkEnd w:id="1485"/>
      <w:bookmarkEnd w:id="1486"/>
      <w:bookmarkEnd w:id="1487"/>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488" w:name="_Toc107055004"/>
      <w:bookmarkStart w:id="1489" w:name="_Toc134854742"/>
      <w:bookmarkStart w:id="1490" w:name="_Toc136841195"/>
      <w:r>
        <w:rPr>
          <w:rStyle w:val="CharSectno"/>
        </w:rPr>
        <w:t>82</w:t>
      </w:r>
      <w:r>
        <w:t>.</w:t>
      </w:r>
      <w:r>
        <w:tab/>
        <w:t>Mortgages</w:t>
      </w:r>
      <w:bookmarkEnd w:id="1488"/>
      <w:bookmarkEnd w:id="1489"/>
      <w:bookmarkEnd w:id="1490"/>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491" w:name="_Toc107055005"/>
      <w:bookmarkStart w:id="1492" w:name="_Toc134854743"/>
      <w:bookmarkStart w:id="1493" w:name="_Toc136841196"/>
      <w:r>
        <w:rPr>
          <w:rStyle w:val="CharSectno"/>
        </w:rPr>
        <w:t>83</w:t>
      </w:r>
      <w:r>
        <w:t>.</w:t>
      </w:r>
      <w:r>
        <w:tab/>
        <w:t>Advances</w:t>
      </w:r>
      <w:bookmarkEnd w:id="1491"/>
      <w:bookmarkEnd w:id="1492"/>
      <w:bookmarkEnd w:id="1493"/>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rPr>
          <w:spacing w:val="-4"/>
        </w:rPr>
      </w:pPr>
      <w:r>
        <w:rPr>
          <w:spacing w:val="-4"/>
        </w:rPr>
        <w:tab/>
        <w:t>(b)</w:t>
      </w:r>
      <w:r>
        <w:rPr>
          <w:spacing w:val="-4"/>
        </w:rPr>
        <w:tab/>
        <w:t>a bill facility that is one or more agreements, understandings or arrangements as a consequence of which a bill of exchange or promissory note —</w:t>
      </w:r>
    </w:p>
    <w:p>
      <w:pPr>
        <w:pStyle w:val="Indenti"/>
      </w:pPr>
      <w:r>
        <w:rPr>
          <w:spacing w:val="-4"/>
        </w:rPr>
        <w:tab/>
        <w:t>(i)</w:t>
      </w:r>
      <w:r>
        <w:rPr>
          <w:spacing w:val="-4"/>
        </w:rP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rPr>
          <w:spacing w:val="-4"/>
        </w:rPr>
        <w:tab/>
        <w:t>(a)</w:t>
      </w:r>
      <w:r>
        <w:rPr>
          <w:spacing w:val="-4"/>
        </w:rP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pPr>
      <w:bookmarkStart w:id="1494" w:name="_Toc107055006"/>
      <w:bookmarkStart w:id="1495" w:name="_Toc134854744"/>
      <w:bookmarkStart w:id="1496" w:name="_Toc136841197"/>
      <w:r>
        <w:rPr>
          <w:rStyle w:val="CharSectno"/>
        </w:rPr>
        <w:t>84</w:t>
      </w:r>
      <w:r>
        <w:t>.</w:t>
      </w:r>
      <w:r>
        <w:tab/>
        <w:t>Loans</w:t>
      </w:r>
      <w:bookmarkEnd w:id="1494"/>
      <w:bookmarkEnd w:id="1495"/>
      <w:bookmarkEnd w:id="1496"/>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spacing w:before="60"/>
      </w:pPr>
      <w:r>
        <w:tab/>
        <w:t>(b)</w:t>
      </w:r>
      <w:r>
        <w:tab/>
        <w:t>the payment of money for or on account of, or at the request of, any person;</w:t>
      </w:r>
    </w:p>
    <w:p>
      <w:pPr>
        <w:pStyle w:val="Indenta"/>
        <w:spacing w:before="60"/>
      </w:pPr>
      <w:r>
        <w:tab/>
        <w:t>(c)</w:t>
      </w:r>
      <w:r>
        <w:tab/>
        <w:t>a forbearance to require the payment of money owing on any account;</w:t>
      </w:r>
    </w:p>
    <w:p>
      <w:pPr>
        <w:pStyle w:val="Indenta"/>
        <w:spacing w:before="60"/>
      </w:pPr>
      <w:r>
        <w:tab/>
        <w:t>(d)</w:t>
      </w:r>
      <w:r>
        <w:tab/>
        <w:t>any transaction, whatever its terms or form, that in substance effects a loan of money.</w:t>
      </w:r>
    </w:p>
    <w:p>
      <w:pPr>
        <w:pStyle w:val="Footnotesection"/>
      </w:pPr>
      <w:r>
        <w:tab/>
        <w:t>[Section 84 inserted by No. 66 of 2003 s. 79.]</w:t>
      </w:r>
    </w:p>
    <w:p>
      <w:pPr>
        <w:pStyle w:val="Ednotesection"/>
      </w:pPr>
      <w:r>
        <w:t>[</w:t>
      </w:r>
      <w:r>
        <w:rPr>
          <w:b/>
        </w:rPr>
        <w:t>84A.</w:t>
      </w:r>
      <w:r>
        <w:rPr>
          <w:b/>
        </w:rPr>
        <w:tab/>
      </w:r>
      <w:r>
        <w:t>Repealed by No. 39 of 1994 s. 9.]</w:t>
      </w:r>
    </w:p>
    <w:p>
      <w:pPr>
        <w:pStyle w:val="Heading5"/>
        <w:spacing w:before="180"/>
      </w:pPr>
      <w:bookmarkStart w:id="1497" w:name="_Toc107055007"/>
      <w:bookmarkStart w:id="1498" w:name="_Toc134854745"/>
      <w:bookmarkStart w:id="1499" w:name="_Toc136841198"/>
      <w:r>
        <w:rPr>
          <w:rStyle w:val="CharSectno"/>
        </w:rPr>
        <w:t>85</w:t>
      </w:r>
      <w:r>
        <w:t>.</w:t>
      </w:r>
      <w:r>
        <w:tab/>
        <w:t>Home mortgages</w:t>
      </w:r>
      <w:bookmarkEnd w:id="1497"/>
      <w:bookmarkEnd w:id="1498"/>
      <w:bookmarkEnd w:id="1499"/>
    </w:p>
    <w:p>
      <w:pPr>
        <w:pStyle w:val="Subsection"/>
        <w:spacing w:before="120"/>
      </w:pPr>
      <w:r>
        <w:tab/>
        <w:t>(1)</w:t>
      </w:r>
      <w:r>
        <w:tab/>
        <w:t>A mortgage is a home mortgage if —</w:t>
      </w:r>
    </w:p>
    <w:p>
      <w:pPr>
        <w:pStyle w:val="Indenta"/>
        <w:spacing w:before="60"/>
      </w:pPr>
      <w:r>
        <w:tab/>
        <w:t>(a)</w:t>
      </w:r>
      <w:r>
        <w:tab/>
        <w:t>the mortgagor is an individual;</w:t>
      </w:r>
    </w:p>
    <w:p>
      <w:pPr>
        <w:pStyle w:val="Indenta"/>
        <w:spacing w:before="60"/>
      </w:pPr>
      <w:r>
        <w:tab/>
        <w:t>(b)</w:t>
      </w:r>
      <w:r>
        <w:tab/>
        <w:t>part or all of the secured amount is used for a dwellinghouse as provided by subsection (2); and</w:t>
      </w:r>
    </w:p>
    <w:p>
      <w:pPr>
        <w:pStyle w:val="Indenta"/>
        <w:spacing w:before="60"/>
      </w:pPr>
      <w:r>
        <w:tab/>
        <w:t>(c)</w:t>
      </w:r>
      <w:r>
        <w:tab/>
        <w:t>the dwellinghouse is being or will be used by the mortgagor as his or her sole or principal place of residence.</w:t>
      </w:r>
    </w:p>
    <w:p>
      <w:pPr>
        <w:pStyle w:val="Subsection"/>
        <w:spacing w:before="120"/>
      </w:pPr>
      <w:r>
        <w:tab/>
        <w:t>(2)</w:t>
      </w:r>
      <w:r>
        <w:tab/>
        <w:t>An amount is used for a dwellinghouse if it is used solely in or towards the cost of any of the following —</w:t>
      </w:r>
    </w:p>
    <w:p>
      <w:pPr>
        <w:pStyle w:val="Indenta"/>
        <w:spacing w:before="60"/>
      </w:pPr>
      <w:r>
        <w:tab/>
        <w:t>(a)</w:t>
      </w:r>
      <w:r>
        <w:tab/>
        <w:t>purchasing any property which is or includes a dwellinghouse;</w:t>
      </w:r>
    </w:p>
    <w:p>
      <w:pPr>
        <w:pStyle w:val="Indenta"/>
        <w:spacing w:before="60"/>
      </w:pPr>
      <w:r>
        <w:tab/>
        <w:t>(b)</w:t>
      </w:r>
      <w:r>
        <w:tab/>
        <w:t>building a dwellinghouse;</w:t>
      </w:r>
    </w:p>
    <w:p>
      <w:pPr>
        <w:pStyle w:val="Indenta"/>
        <w:spacing w:before="60"/>
      </w:pPr>
      <w:r>
        <w:tab/>
        <w:t>(c)</w:t>
      </w:r>
      <w:r>
        <w:tab/>
        <w:t>effecting improvements or additions to a dwellinghouse;</w:t>
      </w:r>
    </w:p>
    <w:p>
      <w:pPr>
        <w:pStyle w:val="Indenta"/>
        <w:spacing w:before="60"/>
      </w:pPr>
      <w:r>
        <w:tab/>
        <w:t>(d)</w:t>
      </w:r>
      <w:r>
        <w:tab/>
        <w:t>repaying money that was used solely for a purpose referred to in paragraph (a), (b) or (c).</w:t>
      </w:r>
    </w:p>
    <w:p>
      <w:pPr>
        <w:pStyle w:val="Footnotesection"/>
      </w:pPr>
      <w:r>
        <w:tab/>
        <w:t>[Section 85 inserted by No. 66 of 2003 s. 79.]</w:t>
      </w:r>
    </w:p>
    <w:p>
      <w:pPr>
        <w:pStyle w:val="Heading3"/>
        <w:spacing w:before="180"/>
      </w:pPr>
      <w:bookmarkStart w:id="1500" w:name="_Toc76899677"/>
      <w:bookmarkStart w:id="1501" w:name="_Toc78090579"/>
      <w:bookmarkStart w:id="1502" w:name="_Toc88886947"/>
      <w:bookmarkStart w:id="1503" w:name="_Toc90443563"/>
      <w:bookmarkStart w:id="1504" w:name="_Toc90452914"/>
      <w:bookmarkStart w:id="1505" w:name="_Toc100029505"/>
      <w:bookmarkStart w:id="1506" w:name="_Toc100031578"/>
      <w:bookmarkStart w:id="1507" w:name="_Toc100458637"/>
      <w:bookmarkStart w:id="1508" w:name="_Toc101672053"/>
      <w:bookmarkStart w:id="1509" w:name="_Toc101672310"/>
      <w:bookmarkStart w:id="1510" w:name="_Toc102799336"/>
      <w:bookmarkStart w:id="1511" w:name="_Toc102982010"/>
      <w:bookmarkStart w:id="1512" w:name="_Toc103403323"/>
      <w:bookmarkStart w:id="1513" w:name="_Toc103403580"/>
      <w:bookmarkStart w:id="1514" w:name="_Toc103747579"/>
      <w:bookmarkStart w:id="1515" w:name="_Toc107055008"/>
      <w:bookmarkStart w:id="1516" w:name="_Toc113874455"/>
      <w:bookmarkStart w:id="1517" w:name="_Toc113956871"/>
      <w:bookmarkStart w:id="1518" w:name="_Toc116717427"/>
      <w:bookmarkStart w:id="1519" w:name="_Toc116813454"/>
      <w:bookmarkStart w:id="1520" w:name="_Toc122333107"/>
      <w:bookmarkStart w:id="1521" w:name="_Toc122862077"/>
      <w:bookmarkStart w:id="1522" w:name="_Toc122862673"/>
      <w:bookmarkStart w:id="1523" w:name="_Toc122921280"/>
      <w:bookmarkStart w:id="1524" w:name="_Toc122921540"/>
      <w:bookmarkStart w:id="1525" w:name="_Toc122947485"/>
      <w:bookmarkStart w:id="1526" w:name="_Toc124046321"/>
      <w:bookmarkStart w:id="1527" w:name="_Toc130266642"/>
      <w:bookmarkStart w:id="1528" w:name="_Toc130266918"/>
      <w:bookmarkStart w:id="1529" w:name="_Toc131383021"/>
      <w:bookmarkStart w:id="1530" w:name="_Toc133812402"/>
      <w:bookmarkStart w:id="1531" w:name="_Toc133920349"/>
      <w:bookmarkStart w:id="1532" w:name="_Toc134854746"/>
      <w:bookmarkStart w:id="1533" w:name="_Toc134855022"/>
      <w:bookmarkStart w:id="1534" w:name="_Toc136841199"/>
      <w:r>
        <w:rPr>
          <w:rStyle w:val="CharDivNo"/>
        </w:rPr>
        <w:t>Division 2</w:t>
      </w:r>
      <w:r>
        <w:rPr>
          <w:sz w:val="24"/>
        </w:rPr>
        <w:t> — </w:t>
      </w:r>
      <w:r>
        <w:rPr>
          <w:rStyle w:val="CharDivText"/>
        </w:rPr>
        <w:t>Liability for mortgage duty</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Footnoteheading"/>
        <w:tabs>
          <w:tab w:val="left" w:pos="851"/>
        </w:tabs>
      </w:pPr>
      <w:r>
        <w:tab/>
        <w:t>[Heading inserted by No. 66 of 2003 s. 79.]</w:t>
      </w:r>
    </w:p>
    <w:p>
      <w:pPr>
        <w:pStyle w:val="Heading5"/>
        <w:spacing w:before="180"/>
      </w:pPr>
      <w:bookmarkStart w:id="1535" w:name="_Toc107055009"/>
      <w:bookmarkStart w:id="1536" w:name="_Toc134854747"/>
      <w:bookmarkStart w:id="1537" w:name="_Toc136841200"/>
      <w:r>
        <w:rPr>
          <w:rStyle w:val="CharSectno"/>
        </w:rPr>
        <w:t>86</w:t>
      </w:r>
      <w:r>
        <w:t>.</w:t>
      </w:r>
      <w:r>
        <w:tab/>
        <w:t>Assessing mortgage duty</w:t>
      </w:r>
      <w:bookmarkEnd w:id="1535"/>
      <w:bookmarkEnd w:id="1536"/>
      <w:bookmarkEnd w:id="1537"/>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other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w:t>
      </w:r>
    </w:p>
    <w:p>
      <w:pPr>
        <w:pStyle w:val="Heading5"/>
      </w:pPr>
      <w:bookmarkStart w:id="1538" w:name="_Toc123698930"/>
      <w:bookmarkStart w:id="1539" w:name="_Toc134854748"/>
      <w:bookmarkStart w:id="1540" w:name="_Toc136841201"/>
      <w:bookmarkStart w:id="1541" w:name="_Toc107055010"/>
      <w:r>
        <w:rPr>
          <w:rStyle w:val="CharSectno"/>
        </w:rPr>
        <w:t>86A</w:t>
      </w:r>
      <w:r>
        <w:t>.</w:t>
      </w:r>
      <w:r>
        <w:tab/>
        <w:t>Exemption — refinancing home loans</w:t>
      </w:r>
      <w:bookmarkEnd w:id="1538"/>
      <w:bookmarkEnd w:id="1539"/>
      <w:bookmarkEnd w:id="1540"/>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bCs/>
        </w:rPr>
        <w:t>“</w:t>
      </w:r>
      <w:r>
        <w:rPr>
          <w:rStyle w:val="CharDefText"/>
        </w:rPr>
        <w:t>previous mortgage</w:t>
      </w:r>
      <w:r>
        <w:rPr>
          <w:b/>
          <w:bCs/>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542" w:name="_Toc123698931"/>
      <w:r>
        <w:tab/>
        <w:t>[Section 86A inserted by No. 34 of 2005 s. 10(1).]</w:t>
      </w:r>
    </w:p>
    <w:p>
      <w:pPr>
        <w:pStyle w:val="Heading5"/>
      </w:pPr>
      <w:bookmarkStart w:id="1543" w:name="_Toc134854749"/>
      <w:bookmarkStart w:id="1544" w:name="_Toc136841202"/>
      <w:r>
        <w:rPr>
          <w:rStyle w:val="CharSectno"/>
        </w:rPr>
        <w:t>86B</w:t>
      </w:r>
      <w:r>
        <w:t>.</w:t>
      </w:r>
      <w:r>
        <w:tab/>
        <w:t>Exemption — refinancing small business loans</w:t>
      </w:r>
      <w:bookmarkEnd w:id="1542"/>
      <w:bookmarkEnd w:id="1543"/>
      <w:bookmarkEnd w:id="1544"/>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bCs/>
        </w:rPr>
        <w:t>“</w:t>
      </w:r>
      <w:r>
        <w:rPr>
          <w:rStyle w:val="CharDefText"/>
        </w:rPr>
        <w:t>previous mortgage</w:t>
      </w:r>
      <w:r>
        <w:rPr>
          <w:b/>
          <w:bCs/>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bCs/>
        </w:rPr>
        <w:t>“</w:t>
      </w:r>
      <w:r>
        <w:rPr>
          <w:rStyle w:val="CharDefText"/>
        </w:rPr>
        <w:t>business mortgage</w:t>
      </w:r>
      <w:r>
        <w:rPr>
          <w:b/>
          <w:bCs/>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bCs/>
        </w:rPr>
        <w:t>“</w:t>
      </w:r>
      <w:r>
        <w:rPr>
          <w:rStyle w:val="CharDefText"/>
        </w:rPr>
        <w:t>business owner</w:t>
      </w:r>
      <w:r>
        <w:rPr>
          <w:b/>
          <w:bCs/>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545" w:name="_Toc134854750"/>
      <w:bookmarkStart w:id="1546" w:name="_Toc136841203"/>
      <w:r>
        <w:rPr>
          <w:rStyle w:val="CharSectno"/>
        </w:rPr>
        <w:t>87</w:t>
      </w:r>
      <w:r>
        <w:t>.</w:t>
      </w:r>
      <w:r>
        <w:tab/>
        <w:t>Liability dates</w:t>
      </w:r>
      <w:bookmarkEnd w:id="1541"/>
      <w:bookmarkEnd w:id="1545"/>
      <w:bookmarkEnd w:id="1546"/>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pPr>
      <w:r>
        <w:t>[</w:t>
      </w:r>
      <w:r>
        <w:rPr>
          <w:b/>
        </w:rPr>
        <w:t>87A.</w:t>
      </w:r>
      <w:r>
        <w:rPr>
          <w:b/>
        </w:rPr>
        <w:tab/>
      </w:r>
      <w:r>
        <w:t>Repealed by No. 37 of 1979 s. 66.]</w:t>
      </w:r>
    </w:p>
    <w:p>
      <w:pPr>
        <w:pStyle w:val="Heading5"/>
      </w:pPr>
      <w:bookmarkStart w:id="1547" w:name="_Toc107055011"/>
      <w:bookmarkStart w:id="1548" w:name="_Toc134854751"/>
      <w:bookmarkStart w:id="1549" w:name="_Toc136841204"/>
      <w:r>
        <w:rPr>
          <w:rStyle w:val="CharSectno"/>
        </w:rPr>
        <w:t>88</w:t>
      </w:r>
      <w:r>
        <w:t>.</w:t>
      </w:r>
      <w:r>
        <w:tab/>
        <w:t>Stamping before advance</w:t>
      </w:r>
      <w:bookmarkEnd w:id="1547"/>
      <w:bookmarkEnd w:id="1548"/>
      <w:bookmarkEnd w:id="1549"/>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pPr>
      <w:r>
        <w:t>[</w:t>
      </w:r>
      <w:r>
        <w:rPr>
          <w:b/>
        </w:rPr>
        <w:t>88A.</w:t>
      </w:r>
      <w:r>
        <w:rPr>
          <w:b/>
        </w:rPr>
        <w:tab/>
      </w:r>
      <w:r>
        <w:t>Repealed by No. 66 of 2003 s. 79.]</w:t>
      </w:r>
    </w:p>
    <w:p>
      <w:pPr>
        <w:pStyle w:val="Heading3"/>
      </w:pPr>
      <w:bookmarkStart w:id="1550" w:name="_Toc76899681"/>
      <w:bookmarkStart w:id="1551" w:name="_Toc78090583"/>
      <w:bookmarkStart w:id="1552" w:name="_Toc88886951"/>
      <w:bookmarkStart w:id="1553" w:name="_Toc90443567"/>
      <w:bookmarkStart w:id="1554" w:name="_Toc90452918"/>
      <w:bookmarkStart w:id="1555" w:name="_Toc100029509"/>
      <w:bookmarkStart w:id="1556" w:name="_Toc100031582"/>
      <w:bookmarkStart w:id="1557" w:name="_Toc100458641"/>
      <w:bookmarkStart w:id="1558" w:name="_Toc101672057"/>
      <w:bookmarkStart w:id="1559" w:name="_Toc101672314"/>
      <w:bookmarkStart w:id="1560" w:name="_Toc102799340"/>
      <w:bookmarkStart w:id="1561" w:name="_Toc102982014"/>
      <w:bookmarkStart w:id="1562" w:name="_Toc103403327"/>
      <w:bookmarkStart w:id="1563" w:name="_Toc103403584"/>
      <w:bookmarkStart w:id="1564" w:name="_Toc103747583"/>
      <w:bookmarkStart w:id="1565" w:name="_Toc107055012"/>
      <w:bookmarkStart w:id="1566" w:name="_Toc113874459"/>
      <w:bookmarkStart w:id="1567" w:name="_Toc113956875"/>
      <w:bookmarkStart w:id="1568" w:name="_Toc116717431"/>
      <w:bookmarkStart w:id="1569" w:name="_Toc116813458"/>
      <w:bookmarkStart w:id="1570" w:name="_Toc122333111"/>
      <w:bookmarkStart w:id="1571" w:name="_Toc122862081"/>
      <w:bookmarkStart w:id="1572" w:name="_Toc122862677"/>
      <w:bookmarkStart w:id="1573" w:name="_Toc122921284"/>
      <w:bookmarkStart w:id="1574" w:name="_Toc122921544"/>
      <w:bookmarkStart w:id="1575" w:name="_Toc122947489"/>
      <w:bookmarkStart w:id="1576" w:name="_Toc124046327"/>
      <w:bookmarkStart w:id="1577" w:name="_Toc130266648"/>
      <w:bookmarkStart w:id="1578" w:name="_Toc130266924"/>
      <w:bookmarkStart w:id="1579" w:name="_Toc131383027"/>
      <w:bookmarkStart w:id="1580" w:name="_Toc133812408"/>
      <w:bookmarkStart w:id="1581" w:name="_Toc133920355"/>
      <w:bookmarkStart w:id="1582" w:name="_Toc134854752"/>
      <w:bookmarkStart w:id="1583" w:name="_Toc134855028"/>
      <w:bookmarkStart w:id="1584" w:name="_Toc136841205"/>
      <w:r>
        <w:rPr>
          <w:rStyle w:val="CharDivNo"/>
        </w:rPr>
        <w:t>Division 3</w:t>
      </w:r>
      <w:r>
        <w:t> — </w:t>
      </w:r>
      <w:r>
        <w:rPr>
          <w:rStyle w:val="CharDivText"/>
        </w:rPr>
        <w:t>Amount secured by a mortgage</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Footnoteheading"/>
        <w:keepNext/>
        <w:tabs>
          <w:tab w:val="left" w:pos="851"/>
        </w:tabs>
      </w:pPr>
      <w:r>
        <w:tab/>
        <w:t>[Heading inserted by No. 66 of 2003 s. 79.]</w:t>
      </w:r>
    </w:p>
    <w:p>
      <w:pPr>
        <w:pStyle w:val="Heading5"/>
      </w:pPr>
      <w:bookmarkStart w:id="1585" w:name="_Toc107055013"/>
      <w:bookmarkStart w:id="1586" w:name="_Toc134854753"/>
      <w:bookmarkStart w:id="1587" w:name="_Toc136841206"/>
      <w:r>
        <w:rPr>
          <w:rStyle w:val="CharSectno"/>
        </w:rPr>
        <w:t>89</w:t>
      </w:r>
      <w:r>
        <w:t>.</w:t>
      </w:r>
      <w:r>
        <w:tab/>
        <w:t>The secured amount</w:t>
      </w:r>
      <w:bookmarkEnd w:id="1585"/>
      <w:bookmarkEnd w:id="1586"/>
      <w:bookmarkEnd w:id="1587"/>
    </w:p>
    <w:p>
      <w:pPr>
        <w:pStyle w:val="Subsection"/>
      </w:pPr>
      <w:r>
        <w:tab/>
        <w:t>(1)</w:t>
      </w:r>
      <w:r>
        <w:tab/>
        <w:t>The amount secured by a mortgage is the amount equal to the sum of the advances actually secured by it and recoverable under the terms of the mortgage.</w:t>
      </w:r>
    </w:p>
    <w:p>
      <w:pPr>
        <w:pStyle w:val="Subsection"/>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pPr>
      <w:r>
        <w:tab/>
        <w:t>(c)</w:t>
      </w:r>
      <w:r>
        <w:tab/>
        <w:t>the total amount secured by the mortgage exceeds the amount for which the mortgage has been stamped,</w:t>
      </w:r>
    </w:p>
    <w:p>
      <w:pPr>
        <w:pStyle w:val="Subsection"/>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588" w:name="_Toc107055014"/>
      <w:bookmarkStart w:id="1589" w:name="_Toc134854754"/>
      <w:bookmarkStart w:id="1590" w:name="_Toc136841207"/>
      <w:r>
        <w:rPr>
          <w:rStyle w:val="CharSectno"/>
        </w:rPr>
        <w:t>90</w:t>
      </w:r>
      <w:r>
        <w:t>.</w:t>
      </w:r>
      <w:r>
        <w:tab/>
        <w:t>Contingent liabilities</w:t>
      </w:r>
      <w:bookmarkEnd w:id="1588"/>
      <w:bookmarkEnd w:id="1589"/>
      <w:bookmarkEnd w:id="1590"/>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591" w:name="_Toc107055015"/>
      <w:bookmarkStart w:id="1592" w:name="_Toc134854755"/>
      <w:bookmarkStart w:id="1593" w:name="_Toc136841208"/>
      <w:r>
        <w:rPr>
          <w:rStyle w:val="CharSectno"/>
        </w:rPr>
        <w:t>91</w:t>
      </w:r>
      <w:r>
        <w:t>.</w:t>
      </w:r>
      <w:r>
        <w:tab/>
        <w:t>Mortgage over property partly outside WA</w:t>
      </w:r>
      <w:bookmarkEnd w:id="1591"/>
      <w:bookmarkEnd w:id="1592"/>
      <w:bookmarkEnd w:id="1593"/>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1594" w:name="_Toc107055016"/>
      <w:bookmarkStart w:id="1595" w:name="_Toc134854756"/>
      <w:bookmarkStart w:id="1596" w:name="_Toc136841209"/>
      <w:r>
        <w:rPr>
          <w:rStyle w:val="CharSectno"/>
        </w:rPr>
        <w:t>91A</w:t>
      </w:r>
      <w:r>
        <w:t>.</w:t>
      </w:r>
      <w:r>
        <w:tab/>
        <w:t>Mortgage packages</w:t>
      </w:r>
      <w:bookmarkEnd w:id="1594"/>
      <w:bookmarkEnd w:id="1595"/>
      <w:bookmarkEnd w:id="1596"/>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597" w:name="_Toc107055017"/>
      <w:bookmarkStart w:id="1598" w:name="_Toc134854757"/>
      <w:bookmarkStart w:id="1599" w:name="_Toc136841210"/>
      <w:r>
        <w:rPr>
          <w:rStyle w:val="CharSectno"/>
        </w:rPr>
        <w:t>91B</w:t>
      </w:r>
      <w:r>
        <w:t>.</w:t>
      </w:r>
      <w:r>
        <w:tab/>
        <w:t>Collateral mortgages</w:t>
      </w:r>
      <w:bookmarkEnd w:id="1597"/>
      <w:bookmarkEnd w:id="1598"/>
      <w:bookmarkEnd w:id="1599"/>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600" w:name="_Toc107055018"/>
      <w:bookmarkStart w:id="1601" w:name="_Toc134854758"/>
      <w:bookmarkStart w:id="1602" w:name="_Toc136841211"/>
      <w:r>
        <w:rPr>
          <w:rStyle w:val="CharSectno"/>
        </w:rPr>
        <w:t>91C</w:t>
      </w:r>
      <w:r>
        <w:t>.</w:t>
      </w:r>
      <w:r>
        <w:tab/>
        <w:t>Extent to which mortgage can be enforced</w:t>
      </w:r>
      <w:bookmarkEnd w:id="1600"/>
      <w:bookmarkEnd w:id="1601"/>
      <w:bookmarkEnd w:id="1602"/>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603" w:name="_Toc107055019"/>
      <w:bookmarkStart w:id="1604" w:name="_Toc134854759"/>
      <w:bookmarkStart w:id="1605" w:name="_Toc136841212"/>
      <w:r>
        <w:rPr>
          <w:rStyle w:val="CharSectno"/>
        </w:rPr>
        <w:t>91D</w:t>
      </w:r>
      <w:r>
        <w:t>.</w:t>
      </w:r>
      <w:r>
        <w:tab/>
        <w:t>Use of stamped and collateral mortgages as security</w:t>
      </w:r>
      <w:bookmarkEnd w:id="1603"/>
      <w:bookmarkEnd w:id="1604"/>
      <w:bookmarkEnd w:id="1605"/>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606" w:name="_Toc107055020"/>
      <w:bookmarkStart w:id="1607" w:name="_Toc134854760"/>
      <w:bookmarkStart w:id="1608" w:name="_Toc136841213"/>
      <w:r>
        <w:rPr>
          <w:rStyle w:val="CharSectno"/>
        </w:rPr>
        <w:t>91E</w:t>
      </w:r>
      <w:r>
        <w:t>.</w:t>
      </w:r>
      <w:r>
        <w:tab/>
        <w:t>Multi</w:t>
      </w:r>
      <w:r>
        <w:noBreakHyphen/>
        <w:t>jurisdictional statement</w:t>
      </w:r>
      <w:bookmarkEnd w:id="1606"/>
      <w:bookmarkEnd w:id="1607"/>
      <w:bookmarkEnd w:id="1608"/>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609" w:name="_Toc107055021"/>
      <w:bookmarkStart w:id="1610" w:name="_Toc134854761"/>
      <w:bookmarkStart w:id="1611" w:name="_Toc136841214"/>
      <w:r>
        <w:rPr>
          <w:rStyle w:val="CharSectno"/>
        </w:rPr>
        <w:t>91F</w:t>
      </w:r>
      <w:r>
        <w:t>.</w:t>
      </w:r>
      <w:r>
        <w:tab/>
        <w:t>Exemptions for charitable or public purposes</w:t>
      </w:r>
      <w:bookmarkEnd w:id="1609"/>
      <w:bookmarkEnd w:id="1610"/>
      <w:bookmarkEnd w:id="1611"/>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612" w:name="_Toc128285588"/>
      <w:bookmarkStart w:id="1613" w:name="_Toc130266658"/>
      <w:bookmarkStart w:id="1614" w:name="_Toc130266934"/>
      <w:bookmarkStart w:id="1615" w:name="_Toc131383037"/>
      <w:bookmarkStart w:id="1616" w:name="_Toc133812418"/>
      <w:bookmarkStart w:id="1617" w:name="_Toc133920365"/>
      <w:bookmarkStart w:id="1618" w:name="_Toc134854762"/>
      <w:bookmarkStart w:id="1619" w:name="_Toc134855038"/>
      <w:bookmarkStart w:id="1620" w:name="_Toc136841215"/>
      <w:r>
        <w:rPr>
          <w:rStyle w:val="CharPartNo"/>
        </w:rPr>
        <w:t>Part IIIF</w:t>
      </w:r>
      <w:r>
        <w:rPr>
          <w:b w:val="0"/>
        </w:rPr>
        <w:t> </w:t>
      </w:r>
      <w:r>
        <w:t>—</w:t>
      </w:r>
      <w:r>
        <w:rPr>
          <w:b w:val="0"/>
        </w:rPr>
        <w:t> </w:t>
      </w:r>
      <w:r>
        <w:rPr>
          <w:rStyle w:val="CharPartText"/>
        </w:rPr>
        <w:t>Insurance</w:t>
      </w:r>
      <w:bookmarkEnd w:id="1612"/>
      <w:bookmarkEnd w:id="1613"/>
      <w:bookmarkEnd w:id="1614"/>
      <w:bookmarkEnd w:id="1615"/>
      <w:bookmarkEnd w:id="1616"/>
      <w:bookmarkEnd w:id="1617"/>
      <w:bookmarkEnd w:id="1618"/>
      <w:bookmarkEnd w:id="1619"/>
      <w:bookmarkEnd w:id="1620"/>
    </w:p>
    <w:p>
      <w:pPr>
        <w:pStyle w:val="Footnoteheading"/>
      </w:pPr>
      <w:r>
        <w:tab/>
        <w:t>[Heading inserted by No. 36 of 2005 s. 6.]</w:t>
      </w:r>
    </w:p>
    <w:p>
      <w:pPr>
        <w:pStyle w:val="Heading3"/>
        <w:spacing w:before="180"/>
      </w:pPr>
      <w:bookmarkStart w:id="1621" w:name="_Toc128285589"/>
      <w:bookmarkStart w:id="1622" w:name="_Toc130266659"/>
      <w:bookmarkStart w:id="1623" w:name="_Toc130266935"/>
      <w:bookmarkStart w:id="1624" w:name="_Toc131383038"/>
      <w:bookmarkStart w:id="1625" w:name="_Toc133812419"/>
      <w:bookmarkStart w:id="1626" w:name="_Toc133920366"/>
      <w:bookmarkStart w:id="1627" w:name="_Toc134854763"/>
      <w:bookmarkStart w:id="1628" w:name="_Toc134855039"/>
      <w:bookmarkStart w:id="1629" w:name="_Toc136841216"/>
      <w:r>
        <w:rPr>
          <w:rStyle w:val="CharDivNo"/>
        </w:rPr>
        <w:t>Division 1</w:t>
      </w:r>
      <w:r>
        <w:t> — </w:t>
      </w:r>
      <w:r>
        <w:rPr>
          <w:rStyle w:val="CharDivText"/>
        </w:rPr>
        <w:t>Interpretation in Part IIIF and connection to the State</w:t>
      </w:r>
      <w:bookmarkEnd w:id="1621"/>
      <w:bookmarkEnd w:id="1622"/>
      <w:bookmarkEnd w:id="1623"/>
      <w:bookmarkEnd w:id="1624"/>
      <w:bookmarkEnd w:id="1625"/>
      <w:bookmarkEnd w:id="1626"/>
      <w:bookmarkEnd w:id="1627"/>
      <w:bookmarkEnd w:id="1628"/>
      <w:bookmarkEnd w:id="1629"/>
    </w:p>
    <w:p>
      <w:pPr>
        <w:pStyle w:val="Footnoteheading"/>
      </w:pPr>
      <w:bookmarkStart w:id="1630" w:name="_Toc128285590"/>
      <w:r>
        <w:tab/>
        <w:t>[Heading inserted by No. 36 of 2005 s. 6.]</w:t>
      </w:r>
    </w:p>
    <w:p>
      <w:pPr>
        <w:pStyle w:val="Heading5"/>
        <w:spacing w:before="180"/>
      </w:pPr>
      <w:bookmarkStart w:id="1631" w:name="_Toc134854764"/>
      <w:bookmarkStart w:id="1632" w:name="_Toc136841217"/>
      <w:r>
        <w:rPr>
          <w:rStyle w:val="CharSectno"/>
        </w:rPr>
        <w:t>92</w:t>
      </w:r>
      <w:r>
        <w:t>.</w:t>
      </w:r>
      <w:r>
        <w:tab/>
        <w:t>Terms used in this Part</w:t>
      </w:r>
      <w:bookmarkEnd w:id="1630"/>
      <w:bookmarkEnd w:id="1631"/>
      <w:bookmarkEnd w:id="1632"/>
    </w:p>
    <w:p>
      <w:pPr>
        <w:pStyle w:val="Subsection"/>
        <w:spacing w:before="120"/>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rPr>
          <w:iCs/>
        </w:rPr>
        <w:t xml:space="preserve"> of</w:t>
      </w:r>
      <w:r>
        <w:t xml:space="preserve">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6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iCs/>
        </w:rPr>
        <w:t>Insurance Act 1973</w:t>
      </w:r>
      <w:r>
        <w:t xml:space="preserve"> of the Commonwealth; or</w:t>
      </w:r>
    </w:p>
    <w:p>
      <w:pPr>
        <w:pStyle w:val="Defsubpara"/>
        <w:keepLines w:val="0"/>
      </w:pPr>
      <w:r>
        <w:tab/>
        <w:t>(ii)</w:t>
      </w:r>
      <w:r>
        <w:tab/>
        <w:t xml:space="preserve">registered under the </w:t>
      </w:r>
      <w:r>
        <w:rPr>
          <w:i/>
          <w:iCs/>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rPr>
          <w:bCs/>
        </w:rPr>
        <w:t>,</w:t>
      </w:r>
      <w:r>
        <w:rPr>
          <w:b/>
        </w:rPr>
        <w:t xml:space="preserve"> </w:t>
      </w:r>
      <w:r>
        <w:t>of a registered insurer, has the meaning given in section 94B.</w:t>
      </w:r>
    </w:p>
    <w:p>
      <w:pPr>
        <w:pStyle w:val="Footnotesection"/>
      </w:pPr>
      <w:r>
        <w:tab/>
        <w:t>[Section 92 inserted by No. 36 of 2005 s. 6.]</w:t>
      </w:r>
    </w:p>
    <w:p>
      <w:pPr>
        <w:pStyle w:val="Heading5"/>
      </w:pPr>
      <w:bookmarkStart w:id="1633" w:name="_Toc128285591"/>
      <w:bookmarkStart w:id="1634" w:name="_Toc134854765"/>
      <w:bookmarkStart w:id="1635" w:name="_Toc136841218"/>
      <w:r>
        <w:rPr>
          <w:rStyle w:val="CharSectno"/>
        </w:rPr>
        <w:t>92A</w:t>
      </w:r>
      <w:r>
        <w:t>.</w:t>
      </w:r>
      <w:r>
        <w:tab/>
        <w:t>Meaning of general insurance and connection to the State</w:t>
      </w:r>
      <w:bookmarkEnd w:id="1633"/>
      <w:bookmarkEnd w:id="1634"/>
      <w:bookmarkEnd w:id="1635"/>
    </w:p>
    <w:p>
      <w:pPr>
        <w:pStyle w:val="Subsection"/>
      </w:pPr>
      <w:r>
        <w:tab/>
        <w:t>(1)</w:t>
      </w:r>
      <w:r>
        <w:tab/>
      </w:r>
      <w:r>
        <w:rPr>
          <w:b/>
          <w:bCs/>
        </w:rPr>
        <w:t>“</w:t>
      </w:r>
      <w:r>
        <w:rPr>
          <w:rStyle w:val="CharDefText"/>
        </w:rPr>
        <w:t>General insurance</w:t>
      </w:r>
      <w:r>
        <w:rPr>
          <w:b/>
          <w:bCs/>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1636" w:name="_Toc128285592"/>
      <w:r>
        <w:tab/>
        <w:t>[Section 92A inserted by No. 36 of 2005 s. 6.]</w:t>
      </w:r>
    </w:p>
    <w:p>
      <w:pPr>
        <w:pStyle w:val="Heading5"/>
      </w:pPr>
      <w:bookmarkStart w:id="1637" w:name="_Toc134854766"/>
      <w:bookmarkStart w:id="1638" w:name="_Toc136841219"/>
      <w:r>
        <w:rPr>
          <w:rStyle w:val="CharSectno"/>
        </w:rPr>
        <w:t>92B</w:t>
      </w:r>
      <w:r>
        <w:t>.</w:t>
      </w:r>
      <w:r>
        <w:tab/>
        <w:t>Additional insurance — life riders</w:t>
      </w:r>
      <w:bookmarkEnd w:id="1636"/>
      <w:bookmarkEnd w:id="1637"/>
      <w:bookmarkEnd w:id="1638"/>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1639" w:name="_Toc128285593"/>
      <w:r>
        <w:tab/>
        <w:t>[Section 92B inserted by No. 36 of 2005 s. 6.]</w:t>
      </w:r>
    </w:p>
    <w:p>
      <w:pPr>
        <w:pStyle w:val="Heading5"/>
      </w:pPr>
      <w:bookmarkStart w:id="1640" w:name="_Toc134854767"/>
      <w:bookmarkStart w:id="1641" w:name="_Toc136841220"/>
      <w:r>
        <w:rPr>
          <w:rStyle w:val="CharSectno"/>
        </w:rPr>
        <w:t>92C</w:t>
      </w:r>
      <w:r>
        <w:t>.</w:t>
      </w:r>
      <w:r>
        <w:tab/>
        <w:t>Payment of premiums</w:t>
      </w:r>
      <w:bookmarkEnd w:id="1639"/>
      <w:bookmarkEnd w:id="1640"/>
      <w:bookmarkEnd w:id="1641"/>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1642" w:name="_Toc128285594"/>
      <w:r>
        <w:tab/>
        <w:t>[Section 92C inserted by No. 36 of 2005 s. 6.]</w:t>
      </w:r>
    </w:p>
    <w:p>
      <w:pPr>
        <w:pStyle w:val="Heading3"/>
      </w:pPr>
      <w:bookmarkStart w:id="1643" w:name="_Toc130266664"/>
      <w:bookmarkStart w:id="1644" w:name="_Toc130266940"/>
      <w:bookmarkStart w:id="1645" w:name="_Toc131383043"/>
      <w:bookmarkStart w:id="1646" w:name="_Toc133812424"/>
      <w:bookmarkStart w:id="1647" w:name="_Toc133920371"/>
      <w:bookmarkStart w:id="1648" w:name="_Toc134854768"/>
      <w:bookmarkStart w:id="1649" w:name="_Toc134855044"/>
      <w:bookmarkStart w:id="1650" w:name="_Toc136841221"/>
      <w:r>
        <w:rPr>
          <w:rStyle w:val="CharDivNo"/>
        </w:rPr>
        <w:t>Division 2</w:t>
      </w:r>
      <w:r>
        <w:t> — </w:t>
      </w:r>
      <w:r>
        <w:rPr>
          <w:rStyle w:val="CharDivText"/>
        </w:rPr>
        <w:t>Registration of insurers</w:t>
      </w:r>
      <w:bookmarkEnd w:id="1642"/>
      <w:bookmarkEnd w:id="1643"/>
      <w:bookmarkEnd w:id="1644"/>
      <w:bookmarkEnd w:id="1645"/>
      <w:bookmarkEnd w:id="1646"/>
      <w:bookmarkEnd w:id="1647"/>
      <w:bookmarkEnd w:id="1648"/>
      <w:bookmarkEnd w:id="1649"/>
      <w:bookmarkEnd w:id="1650"/>
    </w:p>
    <w:p>
      <w:pPr>
        <w:pStyle w:val="Footnoteheading"/>
      </w:pPr>
      <w:bookmarkStart w:id="1651" w:name="_Toc128285595"/>
      <w:r>
        <w:tab/>
        <w:t>[Heading inserted by No. 36 of 2005 s. 6.]</w:t>
      </w:r>
    </w:p>
    <w:p>
      <w:pPr>
        <w:pStyle w:val="Heading5"/>
      </w:pPr>
      <w:bookmarkStart w:id="1652" w:name="_Toc134854769"/>
      <w:bookmarkStart w:id="1653" w:name="_Toc136841222"/>
      <w:r>
        <w:rPr>
          <w:rStyle w:val="CharSectno"/>
        </w:rPr>
        <w:t>93</w:t>
      </w:r>
      <w:r>
        <w:t>.</w:t>
      </w:r>
      <w:r>
        <w:tab/>
        <w:t>Insurers to be registered</w:t>
      </w:r>
      <w:bookmarkEnd w:id="1651"/>
      <w:bookmarkEnd w:id="1652"/>
      <w:bookmarkEnd w:id="1653"/>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1654" w:name="_Toc128285596"/>
      <w:r>
        <w:tab/>
        <w:t>[Section 93 inserted by No. 36 of 2005 s. 6.]</w:t>
      </w:r>
    </w:p>
    <w:p>
      <w:pPr>
        <w:pStyle w:val="Heading5"/>
      </w:pPr>
      <w:bookmarkStart w:id="1655" w:name="_Toc134854770"/>
      <w:bookmarkStart w:id="1656" w:name="_Toc136841223"/>
      <w:r>
        <w:rPr>
          <w:rStyle w:val="CharSectno"/>
        </w:rPr>
        <w:t>93A</w:t>
      </w:r>
      <w:r>
        <w:t>.</w:t>
      </w:r>
      <w:r>
        <w:tab/>
        <w:t>Registration of insurers</w:t>
      </w:r>
      <w:bookmarkEnd w:id="1654"/>
      <w:bookmarkEnd w:id="1655"/>
      <w:bookmarkEnd w:id="1656"/>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1657" w:name="_Toc128285597"/>
      <w:r>
        <w:tab/>
        <w:t>[Section 93A inserted by No. 36 of 2005 s. 6.]</w:t>
      </w:r>
    </w:p>
    <w:p>
      <w:pPr>
        <w:pStyle w:val="Heading5"/>
      </w:pPr>
      <w:bookmarkStart w:id="1658" w:name="_Toc134854771"/>
      <w:bookmarkStart w:id="1659" w:name="_Toc136841224"/>
      <w:r>
        <w:rPr>
          <w:rStyle w:val="CharSectno"/>
        </w:rPr>
        <w:t>93B</w:t>
      </w:r>
      <w:r>
        <w:t>.</w:t>
      </w:r>
      <w:r>
        <w:tab/>
        <w:t>Cancelling registration of insurers</w:t>
      </w:r>
      <w:bookmarkEnd w:id="1657"/>
      <w:bookmarkEnd w:id="1658"/>
      <w:bookmarkEnd w:id="1659"/>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1660" w:name="_Toc128285598"/>
      <w:r>
        <w:tab/>
        <w:t>[Section 93B inserted by No. 36 of 2005 s. 6.]</w:t>
      </w:r>
    </w:p>
    <w:p>
      <w:pPr>
        <w:pStyle w:val="Heading3"/>
      </w:pPr>
      <w:bookmarkStart w:id="1661" w:name="_Toc130266668"/>
      <w:bookmarkStart w:id="1662" w:name="_Toc130266944"/>
      <w:bookmarkStart w:id="1663" w:name="_Toc131383047"/>
      <w:bookmarkStart w:id="1664" w:name="_Toc133812428"/>
      <w:bookmarkStart w:id="1665" w:name="_Toc133920375"/>
      <w:bookmarkStart w:id="1666" w:name="_Toc134854772"/>
      <w:bookmarkStart w:id="1667" w:name="_Toc134855048"/>
      <w:bookmarkStart w:id="1668" w:name="_Toc136841225"/>
      <w:r>
        <w:rPr>
          <w:rStyle w:val="CharDivNo"/>
        </w:rPr>
        <w:t>Division 3</w:t>
      </w:r>
      <w:r>
        <w:t> — </w:t>
      </w:r>
      <w:r>
        <w:rPr>
          <w:rStyle w:val="CharDivText"/>
        </w:rPr>
        <w:t>Duty payable by insurers</w:t>
      </w:r>
      <w:bookmarkEnd w:id="1660"/>
      <w:bookmarkEnd w:id="1661"/>
      <w:bookmarkEnd w:id="1662"/>
      <w:bookmarkEnd w:id="1663"/>
      <w:bookmarkEnd w:id="1664"/>
      <w:bookmarkEnd w:id="1665"/>
      <w:bookmarkEnd w:id="1666"/>
      <w:bookmarkEnd w:id="1667"/>
      <w:bookmarkEnd w:id="1668"/>
    </w:p>
    <w:p>
      <w:pPr>
        <w:pStyle w:val="Footnoteheading"/>
      </w:pPr>
      <w:bookmarkStart w:id="1669" w:name="_Toc128285599"/>
      <w:r>
        <w:tab/>
        <w:t>[Heading inserted by No. 36 of 2005 s. 6.]</w:t>
      </w:r>
    </w:p>
    <w:p>
      <w:pPr>
        <w:pStyle w:val="Heading5"/>
      </w:pPr>
      <w:bookmarkStart w:id="1670" w:name="_Toc134854773"/>
      <w:bookmarkStart w:id="1671" w:name="_Toc136841226"/>
      <w:r>
        <w:rPr>
          <w:rStyle w:val="CharSectno"/>
        </w:rPr>
        <w:t>94</w:t>
      </w:r>
      <w:r>
        <w:t>.</w:t>
      </w:r>
      <w:r>
        <w:tab/>
        <w:t>Lodging returns and paying duty</w:t>
      </w:r>
      <w:bookmarkEnd w:id="1669"/>
      <w:bookmarkEnd w:id="1670"/>
      <w:bookmarkEnd w:id="1671"/>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1672" w:name="_Toc128285600"/>
      <w:r>
        <w:tab/>
        <w:t>[Section 94 inserted by No. 36 of 2005 s. 6.]</w:t>
      </w:r>
    </w:p>
    <w:p>
      <w:pPr>
        <w:pStyle w:val="Heading5"/>
      </w:pPr>
      <w:bookmarkStart w:id="1673" w:name="_Toc134854774"/>
      <w:bookmarkStart w:id="1674" w:name="_Toc136841227"/>
      <w:r>
        <w:rPr>
          <w:rStyle w:val="CharSectno"/>
        </w:rPr>
        <w:t>94A</w:t>
      </w:r>
      <w:r>
        <w:t>.</w:t>
      </w:r>
      <w:r>
        <w:tab/>
        <w:t>Calculating the amount of duty payable on a return</w:t>
      </w:r>
      <w:bookmarkEnd w:id="1672"/>
      <w:bookmarkEnd w:id="1673"/>
      <w:bookmarkEnd w:id="1674"/>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1675" w:name="_Toc128285601"/>
      <w:r>
        <w:tab/>
        <w:t>[Section 94A inserted by No. 36 of 2005 s. 6.]</w:t>
      </w:r>
    </w:p>
    <w:p>
      <w:pPr>
        <w:pStyle w:val="Heading5"/>
      </w:pPr>
      <w:bookmarkStart w:id="1676" w:name="_Toc134854775"/>
      <w:bookmarkStart w:id="1677" w:name="_Toc136841228"/>
      <w:r>
        <w:rPr>
          <w:rStyle w:val="CharSectno"/>
        </w:rPr>
        <w:t>94B</w:t>
      </w:r>
      <w:r>
        <w:t>.</w:t>
      </w:r>
      <w:r>
        <w:tab/>
        <w:t>Return period of an insurer</w:t>
      </w:r>
      <w:bookmarkEnd w:id="1675"/>
      <w:bookmarkEnd w:id="1676"/>
      <w:bookmarkEnd w:id="1677"/>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1678" w:name="_Toc128285602"/>
      <w:r>
        <w:tab/>
        <w:t>[Section 94B inserted by No. 36 of 2005 s. 6.]</w:t>
      </w:r>
    </w:p>
    <w:p>
      <w:pPr>
        <w:pStyle w:val="Heading3"/>
      </w:pPr>
      <w:bookmarkStart w:id="1679" w:name="_Toc130266672"/>
      <w:bookmarkStart w:id="1680" w:name="_Toc130266948"/>
      <w:bookmarkStart w:id="1681" w:name="_Toc131383051"/>
      <w:bookmarkStart w:id="1682" w:name="_Toc133812432"/>
      <w:bookmarkStart w:id="1683" w:name="_Toc133920379"/>
      <w:bookmarkStart w:id="1684" w:name="_Toc134854776"/>
      <w:bookmarkStart w:id="1685" w:name="_Toc134855052"/>
      <w:bookmarkStart w:id="1686" w:name="_Toc136841229"/>
      <w:r>
        <w:rPr>
          <w:rStyle w:val="CharDivNo"/>
        </w:rPr>
        <w:t>Division 4</w:t>
      </w:r>
      <w:r>
        <w:t> — </w:t>
      </w:r>
      <w:r>
        <w:rPr>
          <w:rStyle w:val="CharDivText"/>
        </w:rPr>
        <w:t>Duty payable by insured persons</w:t>
      </w:r>
      <w:bookmarkEnd w:id="1678"/>
      <w:bookmarkEnd w:id="1679"/>
      <w:bookmarkEnd w:id="1680"/>
      <w:bookmarkEnd w:id="1681"/>
      <w:bookmarkEnd w:id="1682"/>
      <w:bookmarkEnd w:id="1683"/>
      <w:bookmarkEnd w:id="1684"/>
      <w:bookmarkEnd w:id="1685"/>
      <w:bookmarkEnd w:id="1686"/>
    </w:p>
    <w:p>
      <w:pPr>
        <w:pStyle w:val="Footnoteheading"/>
      </w:pPr>
      <w:bookmarkStart w:id="1687" w:name="_Toc128285603"/>
      <w:r>
        <w:tab/>
        <w:t>[Heading inserted by No. 36 of 2005 s. 6.]</w:t>
      </w:r>
    </w:p>
    <w:p>
      <w:pPr>
        <w:pStyle w:val="Heading5"/>
      </w:pPr>
      <w:bookmarkStart w:id="1688" w:name="_Toc134854777"/>
      <w:bookmarkStart w:id="1689" w:name="_Toc136841230"/>
      <w:r>
        <w:rPr>
          <w:rStyle w:val="CharSectno"/>
        </w:rPr>
        <w:t>95</w:t>
      </w:r>
      <w:r>
        <w:t>.</w:t>
      </w:r>
      <w:r>
        <w:tab/>
        <w:t>Meaning of insurer in this Division</w:t>
      </w:r>
      <w:bookmarkEnd w:id="1687"/>
      <w:bookmarkEnd w:id="1688"/>
      <w:bookmarkEnd w:id="1689"/>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iCs/>
        </w:rPr>
        <w:t>Insurance Act 1973</w:t>
      </w:r>
      <w:r>
        <w:t xml:space="preserve"> of the Commonwealth and not registered under the </w:t>
      </w:r>
      <w:r>
        <w:rPr>
          <w:i/>
          <w:iCs/>
        </w:rPr>
        <w:t>Life Insurance Act 1995</w:t>
      </w:r>
      <w:r>
        <w:t xml:space="preserve"> of the Commonwealth.</w:t>
      </w:r>
    </w:p>
    <w:p>
      <w:pPr>
        <w:pStyle w:val="Footnotesection"/>
      </w:pPr>
      <w:bookmarkStart w:id="1690" w:name="_Toc128285604"/>
      <w:r>
        <w:tab/>
        <w:t>[Section 95 inserted by No. 36 of 2005 s. 6.]</w:t>
      </w:r>
    </w:p>
    <w:p>
      <w:pPr>
        <w:pStyle w:val="Heading5"/>
      </w:pPr>
      <w:bookmarkStart w:id="1691" w:name="_Toc134854778"/>
      <w:bookmarkStart w:id="1692" w:name="_Toc136841231"/>
      <w:r>
        <w:rPr>
          <w:rStyle w:val="CharSectno"/>
        </w:rPr>
        <w:t>95A</w:t>
      </w:r>
      <w:r>
        <w:t>.</w:t>
      </w:r>
      <w:r>
        <w:tab/>
        <w:t>Insured person to lodge statement and pay duty</w:t>
      </w:r>
      <w:bookmarkEnd w:id="1690"/>
      <w:bookmarkEnd w:id="1691"/>
      <w:bookmarkEnd w:id="1692"/>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1693" w:name="_Toc128285605"/>
      <w:r>
        <w:tab/>
        <w:t>[Section 95A inserted by No. 36 of 2005 s. 6.]</w:t>
      </w:r>
    </w:p>
    <w:p>
      <w:pPr>
        <w:pStyle w:val="Heading5"/>
        <w:spacing w:before="180"/>
      </w:pPr>
      <w:bookmarkStart w:id="1694" w:name="_Toc134854779"/>
      <w:bookmarkStart w:id="1695" w:name="_Toc136841232"/>
      <w:r>
        <w:rPr>
          <w:rStyle w:val="CharSectno"/>
        </w:rPr>
        <w:t>95B</w:t>
      </w:r>
      <w:r>
        <w:t>.</w:t>
      </w:r>
      <w:r>
        <w:tab/>
        <w:t>Insurer and intermediary to notify Commissioner of contracts of insurance</w:t>
      </w:r>
      <w:bookmarkEnd w:id="1693"/>
      <w:bookmarkEnd w:id="1694"/>
      <w:bookmarkEnd w:id="1695"/>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1696" w:name="_Toc128285606"/>
      <w:r>
        <w:tab/>
        <w:t>[Section 95B inserted by No. 36 of 2005 s. 6.]</w:t>
      </w:r>
    </w:p>
    <w:p>
      <w:pPr>
        <w:pStyle w:val="Heading3"/>
      </w:pPr>
      <w:bookmarkStart w:id="1697" w:name="_Toc130266676"/>
      <w:bookmarkStart w:id="1698" w:name="_Toc130266952"/>
      <w:bookmarkStart w:id="1699" w:name="_Toc131383055"/>
      <w:bookmarkStart w:id="1700" w:name="_Toc133812436"/>
      <w:bookmarkStart w:id="1701" w:name="_Toc133920383"/>
      <w:bookmarkStart w:id="1702" w:name="_Toc134854780"/>
      <w:bookmarkStart w:id="1703" w:name="_Toc134855056"/>
      <w:bookmarkStart w:id="1704" w:name="_Toc136841233"/>
      <w:r>
        <w:rPr>
          <w:rStyle w:val="CharDivNo"/>
        </w:rPr>
        <w:t>Division 5</w:t>
      </w:r>
      <w:r>
        <w:t> — </w:t>
      </w:r>
      <w:r>
        <w:rPr>
          <w:rStyle w:val="CharDivText"/>
        </w:rPr>
        <w:t>General provisions</w:t>
      </w:r>
      <w:bookmarkEnd w:id="1696"/>
      <w:bookmarkEnd w:id="1697"/>
      <w:bookmarkEnd w:id="1698"/>
      <w:bookmarkEnd w:id="1699"/>
      <w:bookmarkEnd w:id="1700"/>
      <w:bookmarkEnd w:id="1701"/>
      <w:bookmarkEnd w:id="1702"/>
      <w:bookmarkEnd w:id="1703"/>
      <w:bookmarkEnd w:id="1704"/>
    </w:p>
    <w:p>
      <w:pPr>
        <w:pStyle w:val="Footnoteheading"/>
      </w:pPr>
      <w:bookmarkStart w:id="1705" w:name="_Toc128285607"/>
      <w:r>
        <w:tab/>
        <w:t>[Heading inserted by No. 36 of 2005 s. 6.]</w:t>
      </w:r>
    </w:p>
    <w:p>
      <w:pPr>
        <w:pStyle w:val="Heading5"/>
      </w:pPr>
      <w:bookmarkStart w:id="1706" w:name="_Toc134854781"/>
      <w:bookmarkStart w:id="1707" w:name="_Toc136841234"/>
      <w:r>
        <w:rPr>
          <w:rStyle w:val="CharSectno"/>
        </w:rPr>
        <w:t>96</w:t>
      </w:r>
      <w:r>
        <w:t>.</w:t>
      </w:r>
      <w:r>
        <w:tab/>
        <w:t>Apportionment of premiums and instalments</w:t>
      </w:r>
      <w:bookmarkEnd w:id="1705"/>
      <w:bookmarkEnd w:id="1706"/>
      <w:bookmarkEnd w:id="1707"/>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iCs/>
        </w:rPr>
        <w:t>Taxation Administration Act 2003</w:t>
      </w:r>
      <w:r>
        <w:t>.</w:t>
      </w:r>
    </w:p>
    <w:p>
      <w:pPr>
        <w:pStyle w:val="Subsection"/>
      </w:pPr>
      <w:r>
        <w:tab/>
        <w:t>(3)</w:t>
      </w:r>
      <w:r>
        <w:tab/>
        <w:t xml:space="preserve">A method of apportionment published under section 127 of the </w:t>
      </w:r>
      <w:r>
        <w:rPr>
          <w:i/>
          <w:iCs/>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1708" w:name="_Toc128285608"/>
      <w:r>
        <w:tab/>
        <w:t>[Section 96 inserted by No. 36 of 2005 s. 6.]</w:t>
      </w:r>
    </w:p>
    <w:p>
      <w:pPr>
        <w:pStyle w:val="Heading5"/>
      </w:pPr>
      <w:bookmarkStart w:id="1709" w:name="_Toc134854782"/>
      <w:bookmarkStart w:id="1710" w:name="_Toc136841235"/>
      <w:r>
        <w:rPr>
          <w:rStyle w:val="CharSectno"/>
        </w:rPr>
        <w:t>96A</w:t>
      </w:r>
      <w:r>
        <w:t>.</w:t>
      </w:r>
      <w:r>
        <w:tab/>
        <w:t>Refunds</w:t>
      </w:r>
      <w:bookmarkEnd w:id="1708"/>
      <w:bookmarkEnd w:id="1709"/>
      <w:bookmarkEnd w:id="1710"/>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1711" w:name="_Toc128285609"/>
      <w:r>
        <w:tab/>
        <w:t>[Section 96A inserted by No. 36 of 2005 s. 6.]</w:t>
      </w:r>
    </w:p>
    <w:p>
      <w:pPr>
        <w:pStyle w:val="Heading5"/>
      </w:pPr>
      <w:bookmarkStart w:id="1712" w:name="_Toc134854783"/>
      <w:bookmarkStart w:id="1713" w:name="_Toc136841236"/>
      <w:r>
        <w:rPr>
          <w:rStyle w:val="CharSectno"/>
        </w:rPr>
        <w:t>96B</w:t>
      </w:r>
      <w:r>
        <w:t>.</w:t>
      </w:r>
      <w:r>
        <w:tab/>
        <w:t>Records</w:t>
      </w:r>
      <w:bookmarkEnd w:id="1711"/>
      <w:bookmarkEnd w:id="1712"/>
      <w:bookmarkEnd w:id="1713"/>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2 of 2003 s. 119.]</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pPr>
      <w:r>
        <w:t>[Part IV (s. 100</w:t>
      </w:r>
      <w:r>
        <w:noBreakHyphen/>
        <w:t>107) repealed by No. 66 of 2003 s. 84.]</w:t>
      </w:r>
    </w:p>
    <w:p>
      <w:pPr>
        <w:pStyle w:val="Ednotesection"/>
        <w:spacing w:before="180"/>
      </w:pPr>
      <w:r>
        <w:t>[</w:t>
      </w:r>
      <w:r>
        <w:rPr>
          <w:b/>
        </w:rPr>
        <w:t>101A.</w:t>
      </w:r>
      <w:r>
        <w:tab/>
        <w:t>Repealed by No. 102 of 1970 s. 11.]</w:t>
      </w:r>
    </w:p>
    <w:p>
      <w:pPr>
        <w:pStyle w:val="Ednotepart"/>
      </w:pPr>
      <w:r>
        <w:t>[Part IVAA (s. 108</w:t>
      </w:r>
      <w:r>
        <w:noBreakHyphen/>
        <w:t>112) repealed by No. 6 of 2000 s. 5.]</w:t>
      </w:r>
    </w:p>
    <w:p>
      <w:pPr>
        <w:pStyle w:val="Ednotepart"/>
      </w:pPr>
      <w:r>
        <w:t>[Part IVA: s. 112A, 112D</w:t>
      </w:r>
      <w:r>
        <w:noBreakHyphen/>
        <w:t xml:space="preserve">112F repealed by No. 53 of 1999 s. 31; </w:t>
      </w:r>
      <w:r>
        <w:br/>
        <w:t>Div. 3, 4, 5 (s. 112FA</w:t>
      </w:r>
      <w:r>
        <w:noBreakHyphen/>
        <w:t xml:space="preserve">112FQ) repealed by No. 53 of 1999 s. 31; </w:t>
      </w:r>
      <w:r>
        <w:br/>
        <w:t>balance repealed by No. 2 of 2003 s. 120.]</w:t>
      </w:r>
    </w:p>
    <w:p>
      <w:pPr>
        <w:pStyle w:val="Ednotepart"/>
      </w:pPr>
      <w:r>
        <w:t>[Part IVAB (s. 112GA</w:t>
      </w:r>
      <w:r>
        <w:noBreakHyphen/>
        <w:t>112GG) repealed by No. 53 of 1999 s. 31.]</w:t>
      </w:r>
    </w:p>
    <w:p>
      <w:pPr>
        <w:pStyle w:val="Ednotepart"/>
      </w:pPr>
      <w:r>
        <w:t>[Part IVAC: s. 112HB repealed by No. 10 of 2001 s. 185;</w:t>
      </w:r>
      <w:r>
        <w:br/>
        <w:t>s. 112H</w:t>
      </w:r>
      <w:r>
        <w:noBreakHyphen/>
        <w:t>112HA repealed by No. 66 of 2003 s. 84.]</w:t>
      </w:r>
    </w:p>
    <w:p>
      <w:pPr>
        <w:pStyle w:val="Ednotepart"/>
      </w:pPr>
      <w:r>
        <w:t>[Part IVBA repealed by No. 39 of 1994 s. 11.]</w:t>
      </w:r>
    </w:p>
    <w:p>
      <w:pPr>
        <w:pStyle w:val="Heading2"/>
      </w:pPr>
      <w:bookmarkStart w:id="1714" w:name="_Toc76899698"/>
      <w:bookmarkStart w:id="1715" w:name="_Toc78090600"/>
      <w:bookmarkStart w:id="1716" w:name="_Toc88886968"/>
      <w:bookmarkStart w:id="1717" w:name="_Toc90443584"/>
      <w:bookmarkStart w:id="1718" w:name="_Toc90452935"/>
      <w:bookmarkStart w:id="1719" w:name="_Toc100029526"/>
      <w:bookmarkStart w:id="1720" w:name="_Toc100031599"/>
      <w:bookmarkStart w:id="1721" w:name="_Toc100458658"/>
      <w:bookmarkStart w:id="1722" w:name="_Toc101672074"/>
      <w:bookmarkStart w:id="1723" w:name="_Toc101672331"/>
      <w:bookmarkStart w:id="1724" w:name="_Toc102799357"/>
      <w:bookmarkStart w:id="1725" w:name="_Toc102982031"/>
      <w:bookmarkStart w:id="1726" w:name="_Toc103403344"/>
      <w:bookmarkStart w:id="1727" w:name="_Toc103403601"/>
      <w:bookmarkStart w:id="1728" w:name="_Toc103747600"/>
      <w:bookmarkStart w:id="1729" w:name="_Toc107055029"/>
      <w:bookmarkStart w:id="1730" w:name="_Toc113874476"/>
      <w:bookmarkStart w:id="1731" w:name="_Toc113956892"/>
      <w:bookmarkStart w:id="1732" w:name="_Toc116717448"/>
      <w:bookmarkStart w:id="1733" w:name="_Toc116813475"/>
      <w:bookmarkStart w:id="1734" w:name="_Toc122333128"/>
      <w:bookmarkStart w:id="1735" w:name="_Toc122862098"/>
      <w:bookmarkStart w:id="1736" w:name="_Toc122862694"/>
      <w:bookmarkStart w:id="1737" w:name="_Toc122921301"/>
      <w:bookmarkStart w:id="1738" w:name="_Toc122921561"/>
      <w:bookmarkStart w:id="1739" w:name="_Toc122947507"/>
      <w:bookmarkStart w:id="1740" w:name="_Toc124046345"/>
      <w:bookmarkStart w:id="1741" w:name="_Toc130266680"/>
      <w:bookmarkStart w:id="1742" w:name="_Toc130266956"/>
      <w:bookmarkStart w:id="1743" w:name="_Toc131383059"/>
      <w:bookmarkStart w:id="1744" w:name="_Toc133812440"/>
      <w:bookmarkStart w:id="1745" w:name="_Toc133920387"/>
      <w:bookmarkStart w:id="1746" w:name="_Toc134854784"/>
      <w:bookmarkStart w:id="1747" w:name="_Toc134855060"/>
      <w:bookmarkStart w:id="1748" w:name="_Toc136841237"/>
      <w:bookmarkStart w:id="1749" w:name="_Toc58902676"/>
      <w:r>
        <w:rPr>
          <w:rStyle w:val="CharPartNo"/>
        </w:rPr>
        <w:t>Part IVB</w:t>
      </w:r>
      <w:r>
        <w:rPr>
          <w:b w:val="0"/>
        </w:rPr>
        <w:t> </w:t>
      </w:r>
      <w:r>
        <w:t>—</w:t>
      </w:r>
      <w:r>
        <w:rPr>
          <w:b w:val="0"/>
        </w:rPr>
        <w:t> </w:t>
      </w:r>
      <w:r>
        <w:rPr>
          <w:rStyle w:val="CharPartText"/>
        </w:rPr>
        <w:t>Hire of goods</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pPr>
        <w:pStyle w:val="Footnoteheading"/>
        <w:tabs>
          <w:tab w:val="left" w:pos="923"/>
        </w:tabs>
        <w:ind w:left="937" w:hanging="937"/>
        <w:rPr>
          <w:snapToGrid w:val="0"/>
        </w:rPr>
      </w:pPr>
      <w:r>
        <w:rPr>
          <w:snapToGrid w:val="0"/>
        </w:rPr>
        <w:tab/>
        <w:t>[Heading inserted by No. 66 of 2003 s. 85.]</w:t>
      </w:r>
    </w:p>
    <w:p>
      <w:pPr>
        <w:pStyle w:val="Heading3"/>
      </w:pPr>
      <w:bookmarkStart w:id="1750" w:name="_Toc76899699"/>
      <w:bookmarkStart w:id="1751" w:name="_Toc78090601"/>
      <w:bookmarkStart w:id="1752" w:name="_Toc88886969"/>
      <w:bookmarkStart w:id="1753" w:name="_Toc90443585"/>
      <w:bookmarkStart w:id="1754" w:name="_Toc90452936"/>
      <w:bookmarkStart w:id="1755" w:name="_Toc100029527"/>
      <w:bookmarkStart w:id="1756" w:name="_Toc100031600"/>
      <w:bookmarkStart w:id="1757" w:name="_Toc100458659"/>
      <w:bookmarkStart w:id="1758" w:name="_Toc101672075"/>
      <w:bookmarkStart w:id="1759" w:name="_Toc101672332"/>
      <w:bookmarkStart w:id="1760" w:name="_Toc102799358"/>
      <w:bookmarkStart w:id="1761" w:name="_Toc102982032"/>
      <w:bookmarkStart w:id="1762" w:name="_Toc103403345"/>
      <w:bookmarkStart w:id="1763" w:name="_Toc103403602"/>
      <w:bookmarkStart w:id="1764" w:name="_Toc103747601"/>
      <w:bookmarkStart w:id="1765" w:name="_Toc107055030"/>
      <w:bookmarkStart w:id="1766" w:name="_Toc113874477"/>
      <w:bookmarkStart w:id="1767" w:name="_Toc113956893"/>
      <w:bookmarkStart w:id="1768" w:name="_Toc116717449"/>
      <w:bookmarkStart w:id="1769" w:name="_Toc116813476"/>
      <w:bookmarkStart w:id="1770" w:name="_Toc122333129"/>
      <w:bookmarkStart w:id="1771" w:name="_Toc122862099"/>
      <w:bookmarkStart w:id="1772" w:name="_Toc122862695"/>
      <w:bookmarkStart w:id="1773" w:name="_Toc122921302"/>
      <w:bookmarkStart w:id="1774" w:name="_Toc122921562"/>
      <w:bookmarkStart w:id="1775" w:name="_Toc122947508"/>
      <w:bookmarkStart w:id="1776" w:name="_Toc124046346"/>
      <w:bookmarkStart w:id="1777" w:name="_Toc130266681"/>
      <w:bookmarkStart w:id="1778" w:name="_Toc130266957"/>
      <w:bookmarkStart w:id="1779" w:name="_Toc131383060"/>
      <w:bookmarkStart w:id="1780" w:name="_Toc133812441"/>
      <w:bookmarkStart w:id="1781" w:name="_Toc133920388"/>
      <w:bookmarkStart w:id="1782" w:name="_Toc134854785"/>
      <w:bookmarkStart w:id="1783" w:name="_Toc134855061"/>
      <w:bookmarkStart w:id="1784" w:name="_Toc136841238"/>
      <w:r>
        <w:rPr>
          <w:rStyle w:val="CharDivNo"/>
        </w:rPr>
        <w:t>Division 1</w:t>
      </w:r>
      <w:r>
        <w:t> — </w:t>
      </w:r>
      <w:r>
        <w:rPr>
          <w:rStyle w:val="CharDivText"/>
        </w:rPr>
        <w:t>Interpretation in Part IVB</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Footnoteheading"/>
        <w:tabs>
          <w:tab w:val="left" w:pos="923"/>
        </w:tabs>
        <w:ind w:left="937" w:hanging="937"/>
        <w:rPr>
          <w:snapToGrid w:val="0"/>
        </w:rPr>
      </w:pPr>
      <w:r>
        <w:rPr>
          <w:snapToGrid w:val="0"/>
        </w:rPr>
        <w:tab/>
        <w:t>[Heading inserted by No. 66 of 2003 s. 85.]</w:t>
      </w:r>
    </w:p>
    <w:p>
      <w:pPr>
        <w:pStyle w:val="Heading5"/>
      </w:pPr>
      <w:bookmarkStart w:id="1785" w:name="_Toc107055031"/>
      <w:bookmarkStart w:id="1786" w:name="_Toc134854786"/>
      <w:bookmarkStart w:id="1787" w:name="_Toc136841239"/>
      <w:r>
        <w:rPr>
          <w:rStyle w:val="CharSectno"/>
        </w:rPr>
        <w:t>112I</w:t>
      </w:r>
      <w:r>
        <w:t>.</w:t>
      </w:r>
      <w:r>
        <w:tab/>
        <w:t>Commercial hire business</w:t>
      </w:r>
      <w:bookmarkEnd w:id="1785"/>
      <w:bookmarkEnd w:id="1786"/>
      <w:bookmarkEnd w:id="1787"/>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1788" w:name="_Toc107055032"/>
      <w:bookmarkStart w:id="1789" w:name="_Toc134854787"/>
      <w:bookmarkStart w:id="1790" w:name="_Toc136841240"/>
      <w:r>
        <w:rPr>
          <w:rStyle w:val="CharSectno"/>
        </w:rPr>
        <w:t>112IA</w:t>
      </w:r>
      <w:r>
        <w:t>.</w:t>
      </w:r>
      <w:r>
        <w:tab/>
        <w:t>Goods</w:t>
      </w:r>
      <w:bookmarkEnd w:id="1788"/>
      <w:bookmarkEnd w:id="1789"/>
      <w:bookmarkEnd w:id="1790"/>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1791" w:name="_Toc107055033"/>
      <w:bookmarkStart w:id="1792" w:name="_Toc134854788"/>
      <w:bookmarkStart w:id="1793" w:name="_Toc136841241"/>
      <w:r>
        <w:rPr>
          <w:rStyle w:val="CharSectno"/>
        </w:rPr>
        <w:t>112IB</w:t>
      </w:r>
      <w:r>
        <w:t>.</w:t>
      </w:r>
      <w:r>
        <w:tab/>
        <w:t>Hire of goods</w:t>
      </w:r>
      <w:bookmarkEnd w:id="1791"/>
      <w:bookmarkEnd w:id="1792"/>
      <w:bookmarkEnd w:id="1793"/>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spacing w:before="120"/>
      </w:pPr>
      <w:r>
        <w:tab/>
        <w:t>(4)</w:t>
      </w:r>
      <w:r>
        <w:tab/>
        <w:t>A hire of goods need not be effected or evidenced by an instrument in writing for the purposes of this Part.</w:t>
      </w:r>
    </w:p>
    <w:p>
      <w:pPr>
        <w:pStyle w:val="Subsection"/>
        <w:spacing w:before="120"/>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1794" w:name="_Toc107055034"/>
      <w:bookmarkStart w:id="1795" w:name="_Toc134854789"/>
      <w:bookmarkStart w:id="1796" w:name="_Toc136841242"/>
      <w:r>
        <w:rPr>
          <w:rStyle w:val="CharSectno"/>
        </w:rPr>
        <w:t>112IC</w:t>
      </w:r>
      <w:r>
        <w:t>.</w:t>
      </w:r>
      <w:r>
        <w:tab/>
        <w:t>State hire of goods</w:t>
      </w:r>
      <w:bookmarkEnd w:id="1794"/>
      <w:bookmarkEnd w:id="1795"/>
      <w:bookmarkEnd w:id="1796"/>
    </w:p>
    <w:p>
      <w:pPr>
        <w:pStyle w:val="Subsection"/>
        <w:spacing w:before="120"/>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2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2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pPr>
      <w:bookmarkStart w:id="1797" w:name="_Toc107055035"/>
      <w:bookmarkStart w:id="1798" w:name="_Toc134854790"/>
      <w:bookmarkStart w:id="1799" w:name="_Toc136841243"/>
      <w:r>
        <w:rPr>
          <w:rStyle w:val="CharSectno"/>
        </w:rPr>
        <w:t>112ID</w:t>
      </w:r>
      <w:r>
        <w:t>.</w:t>
      </w:r>
      <w:r>
        <w:tab/>
        <w:t>Equipment financing arrangements</w:t>
      </w:r>
      <w:bookmarkEnd w:id="1797"/>
      <w:bookmarkEnd w:id="1798"/>
      <w:bookmarkEnd w:id="1799"/>
    </w:p>
    <w:p>
      <w:pPr>
        <w:pStyle w:val="Subsection"/>
        <w:spacing w:before="12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1800" w:name="_Toc107055036"/>
      <w:bookmarkStart w:id="1801" w:name="_Toc134854791"/>
      <w:bookmarkStart w:id="1802" w:name="_Toc136841244"/>
      <w:r>
        <w:rPr>
          <w:rStyle w:val="CharSectno"/>
        </w:rPr>
        <w:t>112IE</w:t>
      </w:r>
      <w:r>
        <w:t>.</w:t>
      </w:r>
      <w:r>
        <w:tab/>
        <w:t>Hiring charges</w:t>
      </w:r>
      <w:bookmarkEnd w:id="1800"/>
      <w:bookmarkEnd w:id="1801"/>
      <w:bookmarkEnd w:id="1802"/>
    </w:p>
    <w:p>
      <w:pPr>
        <w:pStyle w:val="Subsection"/>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keepNext/>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pPr>
      <w:r>
        <w:tab/>
        <w:t>[Section 112IE inserted by No. 66 of 2003 s. 85.]</w:t>
      </w:r>
    </w:p>
    <w:p>
      <w:pPr>
        <w:pStyle w:val="Heading5"/>
      </w:pPr>
      <w:bookmarkStart w:id="1803" w:name="_Toc107055037"/>
      <w:bookmarkStart w:id="1804" w:name="_Toc134854792"/>
      <w:bookmarkStart w:id="1805" w:name="_Toc136841245"/>
      <w:r>
        <w:rPr>
          <w:rStyle w:val="CharSectno"/>
        </w:rPr>
        <w:t>112IF</w:t>
      </w:r>
      <w:r>
        <w:t>.</w:t>
      </w:r>
      <w:r>
        <w:tab/>
        <w:t>Terms used in this Part</w:t>
      </w:r>
      <w:bookmarkEnd w:id="1803"/>
      <w:bookmarkEnd w:id="1804"/>
      <w:bookmarkEnd w:id="1805"/>
    </w:p>
    <w:p>
      <w:pPr>
        <w:pStyle w:val="Subsection"/>
      </w:pPr>
      <w:r>
        <w:tab/>
      </w:r>
      <w:r>
        <w:tab/>
        <w:t>In this Part —</w:t>
      </w:r>
    </w:p>
    <w:p>
      <w:pPr>
        <w:pStyle w:val="Defstart"/>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pPr>
      <w:r>
        <w:rPr>
          <w:b/>
        </w:rPr>
        <w:tab/>
        <w:t>“</w:t>
      </w:r>
      <w:r>
        <w:rPr>
          <w:rStyle w:val="CharDefText"/>
        </w:rPr>
        <w:t>commercial hire business</w:t>
      </w:r>
      <w:r>
        <w:rPr>
          <w:b/>
        </w:rPr>
        <w:t>”</w:t>
      </w:r>
      <w:r>
        <w:t xml:space="preserve"> has the meaning given by section 112I;</w:t>
      </w:r>
    </w:p>
    <w:p>
      <w:pPr>
        <w:pStyle w:val="Defstart"/>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pPr>
      <w:r>
        <w:rPr>
          <w:b/>
        </w:rPr>
        <w:tab/>
        <w:t>“</w:t>
      </w:r>
      <w:r>
        <w:rPr>
          <w:rStyle w:val="CharDefText"/>
        </w:rPr>
        <w:t>equipment financing arrangement</w:t>
      </w:r>
      <w:r>
        <w:rPr>
          <w:b/>
        </w:rPr>
        <w:t>”</w:t>
      </w:r>
      <w:r>
        <w:t xml:space="preserve"> has the meaning given by section 112ID(1);</w:t>
      </w:r>
    </w:p>
    <w:p>
      <w:pPr>
        <w:pStyle w:val="Defstart"/>
      </w:pPr>
      <w:r>
        <w:rPr>
          <w:b/>
        </w:rPr>
        <w:tab/>
        <w:t>“</w:t>
      </w:r>
      <w:r>
        <w:rPr>
          <w:rStyle w:val="CharDefText"/>
        </w:rPr>
        <w:t>goods</w:t>
      </w:r>
      <w:r>
        <w:rPr>
          <w:b/>
        </w:rPr>
        <w:t>”</w:t>
      </w:r>
      <w:r>
        <w:t xml:space="preserve"> has the meaning given by section 112IA;</w:t>
      </w:r>
    </w:p>
    <w:p>
      <w:pPr>
        <w:pStyle w:val="Defstart"/>
      </w:pPr>
      <w:r>
        <w:rPr>
          <w:b/>
        </w:rPr>
        <w:tab/>
        <w:t>“</w:t>
      </w:r>
      <w:r>
        <w:rPr>
          <w:rStyle w:val="CharDefText"/>
        </w:rPr>
        <w:t>hire of goods</w:t>
      </w:r>
      <w:r>
        <w:rPr>
          <w:b/>
        </w:rPr>
        <w:t>”</w:t>
      </w:r>
      <w:r>
        <w:t xml:space="preserve"> has the meaning given by section 112IB;</w:t>
      </w:r>
    </w:p>
    <w:p>
      <w:pPr>
        <w:pStyle w:val="Defstart"/>
      </w:pPr>
      <w:r>
        <w:rPr>
          <w:b/>
        </w:rPr>
        <w:tab/>
        <w:t>“</w:t>
      </w:r>
      <w:r>
        <w:rPr>
          <w:rStyle w:val="CharDefText"/>
        </w:rPr>
        <w:t>hire purchase agreement</w:t>
      </w:r>
      <w:r>
        <w:rPr>
          <w:b/>
        </w:rPr>
        <w:t>”</w:t>
      </w:r>
      <w:r>
        <w:t xml:space="preserve"> has the meaning given by section 112ID(2);</w:t>
      </w:r>
    </w:p>
    <w:p>
      <w:pPr>
        <w:pStyle w:val="Defstart"/>
      </w:pPr>
      <w:r>
        <w:rPr>
          <w:b/>
        </w:rPr>
        <w:tab/>
        <w:t>“</w:t>
      </w:r>
      <w:r>
        <w:rPr>
          <w:rStyle w:val="CharDefText"/>
        </w:rPr>
        <w:t>hirer</w:t>
      </w:r>
      <w:r>
        <w:rPr>
          <w:b/>
        </w:rPr>
        <w:t>”</w:t>
      </w:r>
      <w:r>
        <w:t xml:space="preserve"> means a person who hires goods from a person who hires out goods under a hire of goods;</w:t>
      </w:r>
    </w:p>
    <w:p>
      <w:pPr>
        <w:pStyle w:val="Defstart"/>
      </w:pPr>
      <w:r>
        <w:rPr>
          <w:b/>
        </w:rPr>
        <w:tab/>
        <w:t>“</w:t>
      </w:r>
      <w:r>
        <w:rPr>
          <w:rStyle w:val="CharDefText"/>
        </w:rPr>
        <w:t>hiring charges</w:t>
      </w:r>
      <w:r>
        <w:rPr>
          <w:b/>
        </w:rPr>
        <w:t>”</w:t>
      </w:r>
      <w:r>
        <w:t xml:space="preserve"> has the meaning given by section 112IE;</w:t>
      </w:r>
    </w:p>
    <w:p>
      <w:pPr>
        <w:pStyle w:val="Defstart"/>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pPr>
      <w:r>
        <w:rPr>
          <w:b/>
        </w:rPr>
        <w:tab/>
        <w:t>“</w:t>
      </w:r>
      <w:r>
        <w:rPr>
          <w:rStyle w:val="CharDefText"/>
        </w:rPr>
        <w:t>registered commercial hire business</w:t>
      </w:r>
      <w:r>
        <w:rPr>
          <w:b/>
        </w:rPr>
        <w:t>”</w:t>
      </w:r>
      <w:r>
        <w:t xml:space="preserve"> means a commercial hire business that is registered under section 112JA;</w:t>
      </w:r>
    </w:p>
    <w:p>
      <w:pPr>
        <w:pStyle w:val="Defstart"/>
      </w:pPr>
      <w:r>
        <w:rPr>
          <w:b/>
        </w:rPr>
        <w:tab/>
        <w:t>“</w:t>
      </w:r>
      <w:r>
        <w:rPr>
          <w:rStyle w:val="CharDefText"/>
        </w:rPr>
        <w:t>return period</w:t>
      </w:r>
      <w:r>
        <w:rPr>
          <w:b/>
        </w:rPr>
        <w:t>”</w:t>
      </w:r>
      <w:r>
        <w:t xml:space="preserve"> has the meaning given by section 112LC;</w:t>
      </w:r>
    </w:p>
    <w:p>
      <w:pPr>
        <w:pStyle w:val="Defstart"/>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pPr>
      <w:bookmarkStart w:id="1806" w:name="_Toc76899707"/>
      <w:bookmarkStart w:id="1807" w:name="_Toc78090609"/>
      <w:bookmarkStart w:id="1808" w:name="_Toc88886977"/>
      <w:bookmarkStart w:id="1809" w:name="_Toc90443593"/>
      <w:bookmarkStart w:id="1810" w:name="_Toc90452944"/>
      <w:bookmarkStart w:id="1811" w:name="_Toc100029535"/>
      <w:bookmarkStart w:id="1812" w:name="_Toc100031608"/>
      <w:bookmarkStart w:id="1813" w:name="_Toc100458667"/>
      <w:bookmarkStart w:id="1814" w:name="_Toc101672083"/>
      <w:bookmarkStart w:id="1815" w:name="_Toc101672340"/>
      <w:bookmarkStart w:id="1816" w:name="_Toc102799366"/>
      <w:bookmarkStart w:id="1817" w:name="_Toc102982040"/>
      <w:bookmarkStart w:id="1818" w:name="_Toc103403353"/>
      <w:bookmarkStart w:id="1819" w:name="_Toc103403610"/>
      <w:bookmarkStart w:id="1820" w:name="_Toc103747609"/>
      <w:bookmarkStart w:id="1821" w:name="_Toc107055038"/>
      <w:bookmarkStart w:id="1822" w:name="_Toc113874485"/>
      <w:bookmarkStart w:id="1823" w:name="_Toc113956901"/>
      <w:bookmarkStart w:id="1824" w:name="_Toc116717457"/>
      <w:bookmarkStart w:id="1825" w:name="_Toc116813484"/>
      <w:bookmarkStart w:id="1826" w:name="_Toc122333137"/>
      <w:bookmarkStart w:id="1827" w:name="_Toc122862107"/>
      <w:bookmarkStart w:id="1828" w:name="_Toc122862703"/>
      <w:bookmarkStart w:id="1829" w:name="_Toc122921310"/>
      <w:bookmarkStart w:id="1830" w:name="_Toc122921570"/>
      <w:bookmarkStart w:id="1831" w:name="_Toc122947516"/>
      <w:bookmarkStart w:id="1832" w:name="_Toc124046354"/>
      <w:bookmarkStart w:id="1833" w:name="_Toc130266689"/>
      <w:bookmarkStart w:id="1834" w:name="_Toc130266965"/>
      <w:bookmarkStart w:id="1835" w:name="_Toc131383068"/>
      <w:bookmarkStart w:id="1836" w:name="_Toc133812449"/>
      <w:bookmarkStart w:id="1837" w:name="_Toc133920396"/>
      <w:bookmarkStart w:id="1838" w:name="_Toc134854793"/>
      <w:bookmarkStart w:id="1839" w:name="_Toc134855069"/>
      <w:bookmarkStart w:id="1840" w:name="_Toc136841246"/>
      <w:r>
        <w:rPr>
          <w:rStyle w:val="CharDivNo"/>
        </w:rPr>
        <w:t>Division 2</w:t>
      </w:r>
      <w:r>
        <w:t> — </w:t>
      </w:r>
      <w:r>
        <w:rPr>
          <w:rStyle w:val="CharDivText"/>
        </w:rPr>
        <w:t>Registration of commercial hire businesses</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Footnoteheading"/>
        <w:tabs>
          <w:tab w:val="left" w:pos="923"/>
        </w:tabs>
        <w:ind w:left="937" w:hanging="937"/>
        <w:rPr>
          <w:snapToGrid w:val="0"/>
        </w:rPr>
      </w:pPr>
      <w:r>
        <w:rPr>
          <w:snapToGrid w:val="0"/>
        </w:rPr>
        <w:tab/>
        <w:t>[Heading inserted by No. 66 of 2003 s. 85.]</w:t>
      </w:r>
    </w:p>
    <w:p>
      <w:pPr>
        <w:pStyle w:val="Heading5"/>
      </w:pPr>
      <w:bookmarkStart w:id="1841" w:name="_Toc107055039"/>
      <w:bookmarkStart w:id="1842" w:name="_Toc134854794"/>
      <w:bookmarkStart w:id="1843" w:name="_Toc136841247"/>
      <w:r>
        <w:rPr>
          <w:rStyle w:val="CharSectno"/>
        </w:rPr>
        <w:t>112J</w:t>
      </w:r>
      <w:r>
        <w:t>.</w:t>
      </w:r>
      <w:r>
        <w:tab/>
        <w:t>Commercial hire businesses to be registered</w:t>
      </w:r>
      <w:bookmarkEnd w:id="1841"/>
      <w:bookmarkEnd w:id="1842"/>
      <w:bookmarkEnd w:id="1843"/>
    </w:p>
    <w:p>
      <w:pPr>
        <w:pStyle w:val="Subsection"/>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Footnotesection"/>
      </w:pPr>
      <w:r>
        <w:tab/>
        <w:t>[Section 112J inserted by No. 66 of 2003 s. 85.]</w:t>
      </w:r>
    </w:p>
    <w:p>
      <w:pPr>
        <w:pStyle w:val="Heading5"/>
      </w:pPr>
      <w:bookmarkStart w:id="1844" w:name="_Toc107055040"/>
      <w:bookmarkStart w:id="1845" w:name="_Toc134854795"/>
      <w:bookmarkStart w:id="1846" w:name="_Toc136841248"/>
      <w:r>
        <w:rPr>
          <w:rStyle w:val="CharSectno"/>
        </w:rPr>
        <w:t>112JA</w:t>
      </w:r>
      <w:r>
        <w:t>.</w:t>
      </w:r>
      <w:r>
        <w:tab/>
        <w:t>Registration of commercial hire businesses</w:t>
      </w:r>
      <w:bookmarkEnd w:id="1844"/>
      <w:bookmarkEnd w:id="1845"/>
      <w:bookmarkEnd w:id="1846"/>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pPr>
      <w:bookmarkStart w:id="1847" w:name="_Toc107055041"/>
      <w:bookmarkStart w:id="1848" w:name="_Toc134854796"/>
      <w:bookmarkStart w:id="1849" w:name="_Toc136841249"/>
      <w:r>
        <w:rPr>
          <w:rStyle w:val="CharSectno"/>
        </w:rPr>
        <w:t>112JB</w:t>
      </w:r>
      <w:r>
        <w:t>.</w:t>
      </w:r>
      <w:r>
        <w:tab/>
        <w:t>Cancelling registration of commercial hire businesses</w:t>
      </w:r>
      <w:bookmarkEnd w:id="1847"/>
      <w:bookmarkEnd w:id="1848"/>
      <w:bookmarkEnd w:id="1849"/>
    </w:p>
    <w:p>
      <w:pPr>
        <w:pStyle w:val="Subsection"/>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1850" w:name="_Toc76899711"/>
      <w:bookmarkStart w:id="1851" w:name="_Toc78090613"/>
      <w:bookmarkStart w:id="1852" w:name="_Toc88886981"/>
      <w:bookmarkStart w:id="1853" w:name="_Toc90443597"/>
      <w:bookmarkStart w:id="1854" w:name="_Toc90452948"/>
      <w:bookmarkStart w:id="1855" w:name="_Toc100029539"/>
      <w:bookmarkStart w:id="1856" w:name="_Toc100031612"/>
      <w:bookmarkStart w:id="1857" w:name="_Toc100458671"/>
      <w:bookmarkStart w:id="1858" w:name="_Toc101672087"/>
      <w:bookmarkStart w:id="1859" w:name="_Toc101672344"/>
      <w:bookmarkStart w:id="1860" w:name="_Toc102799370"/>
      <w:bookmarkStart w:id="1861" w:name="_Toc102982044"/>
      <w:bookmarkStart w:id="1862" w:name="_Toc103403357"/>
      <w:bookmarkStart w:id="1863" w:name="_Toc103403614"/>
      <w:bookmarkStart w:id="1864" w:name="_Toc103747613"/>
      <w:bookmarkStart w:id="1865" w:name="_Toc107055042"/>
      <w:bookmarkStart w:id="1866" w:name="_Toc113874489"/>
      <w:bookmarkStart w:id="1867" w:name="_Toc113956905"/>
      <w:bookmarkStart w:id="1868" w:name="_Toc116717461"/>
      <w:bookmarkStart w:id="1869" w:name="_Toc116813488"/>
      <w:bookmarkStart w:id="1870" w:name="_Toc122333141"/>
      <w:bookmarkStart w:id="1871" w:name="_Toc122862111"/>
      <w:bookmarkStart w:id="1872" w:name="_Toc122862707"/>
      <w:bookmarkStart w:id="1873" w:name="_Toc122921314"/>
      <w:bookmarkStart w:id="1874" w:name="_Toc122921574"/>
      <w:bookmarkStart w:id="1875" w:name="_Toc122947520"/>
      <w:bookmarkStart w:id="1876" w:name="_Toc124046358"/>
      <w:bookmarkStart w:id="1877" w:name="_Toc130266693"/>
      <w:bookmarkStart w:id="1878" w:name="_Toc130266969"/>
      <w:bookmarkStart w:id="1879" w:name="_Toc131383072"/>
      <w:bookmarkStart w:id="1880" w:name="_Toc133812453"/>
      <w:bookmarkStart w:id="1881" w:name="_Toc133920400"/>
      <w:bookmarkStart w:id="1882" w:name="_Toc134854797"/>
      <w:bookmarkStart w:id="1883" w:name="_Toc134855073"/>
      <w:bookmarkStart w:id="1884" w:name="_Toc136841250"/>
      <w:r>
        <w:rPr>
          <w:rStyle w:val="CharDivNo"/>
        </w:rPr>
        <w:t>Division 3</w:t>
      </w:r>
      <w:r>
        <w:t> — </w:t>
      </w:r>
      <w:r>
        <w:rPr>
          <w:rStyle w:val="CharDivText"/>
        </w:rPr>
        <w:t>Connection to the State</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Footnoteheading"/>
        <w:tabs>
          <w:tab w:val="left" w:pos="923"/>
        </w:tabs>
        <w:ind w:left="937" w:hanging="937"/>
        <w:rPr>
          <w:snapToGrid w:val="0"/>
        </w:rPr>
      </w:pPr>
      <w:r>
        <w:rPr>
          <w:snapToGrid w:val="0"/>
        </w:rPr>
        <w:tab/>
        <w:t>[Heading inserted by No. 66 of 2003 s. 85.]</w:t>
      </w:r>
    </w:p>
    <w:p>
      <w:pPr>
        <w:pStyle w:val="Heading5"/>
      </w:pPr>
      <w:bookmarkStart w:id="1885" w:name="_Toc107055043"/>
      <w:bookmarkStart w:id="1886" w:name="_Toc134854798"/>
      <w:bookmarkStart w:id="1887" w:name="_Toc136841251"/>
      <w:r>
        <w:rPr>
          <w:rStyle w:val="CharSectno"/>
        </w:rPr>
        <w:t>112K</w:t>
      </w:r>
      <w:r>
        <w:t>.</w:t>
      </w:r>
      <w:r>
        <w:tab/>
        <w:t>Connection to the State — hire of goods and persons to which this Part applies</w:t>
      </w:r>
      <w:bookmarkEnd w:id="1885"/>
      <w:bookmarkEnd w:id="1886"/>
      <w:bookmarkEnd w:id="1887"/>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spacing w:before="140"/>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spacing w:before="60"/>
      </w:pPr>
      <w:r>
        <w:tab/>
        <w:t>(c)</w:t>
      </w:r>
      <w:r>
        <w:tab/>
        <w:t>in any other case — goods are used predominantly in Western Australia if they are used more in Western Australia than in any other single State or Territory; and</w:t>
      </w:r>
    </w:p>
    <w:p>
      <w:pPr>
        <w:pStyle w:val="Indenta"/>
        <w:spacing w:before="60"/>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spacing w:before="100"/>
        <w:ind w:left="890" w:hanging="890"/>
      </w:pPr>
      <w:r>
        <w:tab/>
        <w:t>[Section 112K inserted by No. 66 of 2003 s. 85.]</w:t>
      </w:r>
    </w:p>
    <w:p>
      <w:pPr>
        <w:pStyle w:val="Ednotesection"/>
        <w:spacing w:before="180"/>
        <w:ind w:left="890" w:hanging="890"/>
      </w:pPr>
      <w:r>
        <w:t>[</w:t>
      </w:r>
      <w:r>
        <w:rPr>
          <w:b/>
        </w:rPr>
        <w:t>112KA.</w:t>
      </w:r>
      <w:r>
        <w:tab/>
        <w:t>Repealed by No. 66 of 2003 s. 85.]</w:t>
      </w:r>
    </w:p>
    <w:p>
      <w:pPr>
        <w:pStyle w:val="Heading3"/>
        <w:spacing w:before="220"/>
      </w:pPr>
      <w:bookmarkStart w:id="1888" w:name="_Toc76899713"/>
      <w:bookmarkStart w:id="1889" w:name="_Toc78090615"/>
      <w:bookmarkStart w:id="1890" w:name="_Toc88886983"/>
      <w:bookmarkStart w:id="1891" w:name="_Toc90443599"/>
      <w:bookmarkStart w:id="1892" w:name="_Toc90452950"/>
      <w:bookmarkStart w:id="1893" w:name="_Toc100029541"/>
      <w:bookmarkStart w:id="1894" w:name="_Toc100031614"/>
      <w:bookmarkStart w:id="1895" w:name="_Toc100458673"/>
      <w:bookmarkStart w:id="1896" w:name="_Toc101672089"/>
      <w:bookmarkStart w:id="1897" w:name="_Toc101672346"/>
      <w:bookmarkStart w:id="1898" w:name="_Toc102799372"/>
      <w:bookmarkStart w:id="1899" w:name="_Toc102982046"/>
      <w:bookmarkStart w:id="1900" w:name="_Toc103403359"/>
      <w:bookmarkStart w:id="1901" w:name="_Toc103403616"/>
      <w:bookmarkStart w:id="1902" w:name="_Toc103747615"/>
      <w:bookmarkStart w:id="1903" w:name="_Toc107055044"/>
      <w:bookmarkStart w:id="1904" w:name="_Toc113874491"/>
      <w:bookmarkStart w:id="1905" w:name="_Toc113956907"/>
      <w:bookmarkStart w:id="1906" w:name="_Toc116717463"/>
      <w:bookmarkStart w:id="1907" w:name="_Toc116813490"/>
      <w:bookmarkStart w:id="1908" w:name="_Toc122333143"/>
      <w:bookmarkStart w:id="1909" w:name="_Toc122862113"/>
      <w:bookmarkStart w:id="1910" w:name="_Toc122862709"/>
      <w:bookmarkStart w:id="1911" w:name="_Toc122921316"/>
      <w:bookmarkStart w:id="1912" w:name="_Toc122921576"/>
      <w:bookmarkStart w:id="1913" w:name="_Toc122947522"/>
      <w:bookmarkStart w:id="1914" w:name="_Toc124046360"/>
      <w:bookmarkStart w:id="1915" w:name="_Toc130266695"/>
      <w:bookmarkStart w:id="1916" w:name="_Toc130266971"/>
      <w:bookmarkStart w:id="1917" w:name="_Toc131383074"/>
      <w:bookmarkStart w:id="1918" w:name="_Toc133812455"/>
      <w:bookmarkStart w:id="1919" w:name="_Toc133920402"/>
      <w:bookmarkStart w:id="1920" w:name="_Toc134854799"/>
      <w:bookmarkStart w:id="1921" w:name="_Toc134855075"/>
      <w:bookmarkStart w:id="1922" w:name="_Toc136841252"/>
      <w:r>
        <w:rPr>
          <w:rStyle w:val="CharDivNo"/>
        </w:rPr>
        <w:t>Division 4</w:t>
      </w:r>
      <w:r>
        <w:t> — </w:t>
      </w:r>
      <w:r>
        <w:rPr>
          <w:rStyle w:val="CharDivText"/>
        </w:rPr>
        <w:t>Commercial hire businesses</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Footnoteheading"/>
        <w:tabs>
          <w:tab w:val="left" w:pos="923"/>
        </w:tabs>
        <w:spacing w:before="80"/>
        <w:ind w:left="936" w:hanging="936"/>
        <w:rPr>
          <w:snapToGrid w:val="0"/>
        </w:rPr>
      </w:pPr>
      <w:r>
        <w:rPr>
          <w:snapToGrid w:val="0"/>
        </w:rPr>
        <w:tab/>
        <w:t>[Heading inserted by No. 66 of 2003 s. 85.]</w:t>
      </w:r>
    </w:p>
    <w:p>
      <w:pPr>
        <w:pStyle w:val="Heading5"/>
        <w:spacing w:before="180"/>
      </w:pPr>
      <w:bookmarkStart w:id="1923" w:name="_Toc107055045"/>
      <w:bookmarkStart w:id="1924" w:name="_Toc134854800"/>
      <w:bookmarkStart w:id="1925" w:name="_Toc136841253"/>
      <w:r>
        <w:rPr>
          <w:rStyle w:val="CharSectno"/>
        </w:rPr>
        <w:t>112L</w:t>
      </w:r>
      <w:r>
        <w:t>.</w:t>
      </w:r>
      <w:r>
        <w:tab/>
        <w:t>Lodging returns and paying duty</w:t>
      </w:r>
      <w:bookmarkEnd w:id="1923"/>
      <w:bookmarkEnd w:id="1924"/>
      <w:bookmarkEnd w:id="1925"/>
    </w:p>
    <w:p>
      <w:pPr>
        <w:pStyle w:val="Subsection"/>
        <w:spacing w:before="140"/>
      </w:pPr>
      <w:r>
        <w:tab/>
        <w:t>(1)</w:t>
      </w:r>
      <w:r>
        <w:tab/>
        <w:t>A registered commercial hire business must —</w:t>
      </w:r>
    </w:p>
    <w:p>
      <w:pPr>
        <w:pStyle w:val="Indenta"/>
        <w:spacing w:before="60"/>
      </w:pPr>
      <w:r>
        <w:tab/>
        <w:t>(a)</w:t>
      </w:r>
      <w:r>
        <w:tab/>
        <w:t>lodge a return in an approved form for each return period of the commercial hire business; and</w:t>
      </w:r>
    </w:p>
    <w:p>
      <w:pPr>
        <w:pStyle w:val="Indenta"/>
        <w:spacing w:before="60"/>
      </w:pPr>
      <w:r>
        <w:tab/>
        <w:t>(b)</w:t>
      </w:r>
      <w:r>
        <w:tab/>
        <w:t>pay the duty payable on the return (if any),</w:t>
      </w:r>
    </w:p>
    <w:p>
      <w:pPr>
        <w:pStyle w:val="Subsection"/>
        <w:spacing w:before="80"/>
      </w:pPr>
      <w:r>
        <w:tab/>
      </w:r>
      <w:r>
        <w:tab/>
        <w:t>on or before the 21</w:t>
      </w:r>
      <w:r>
        <w:rPr>
          <w:vertAlign w:val="superscript"/>
        </w:rPr>
        <w:t>st</w:t>
      </w:r>
      <w:r>
        <w:t xml:space="preserve"> day after the end of the return period.</w:t>
      </w:r>
    </w:p>
    <w:p>
      <w:pPr>
        <w:pStyle w:val="Penstart"/>
        <w:spacing w:before="60"/>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r>
        <w:tab/>
        <w:t>[Section 112L inserted by No. 66 of 2003 s. 85.]</w:t>
      </w:r>
    </w:p>
    <w:p>
      <w:pPr>
        <w:pStyle w:val="Heading5"/>
      </w:pPr>
      <w:bookmarkStart w:id="1926" w:name="_Toc107055046"/>
      <w:bookmarkStart w:id="1927" w:name="_Toc134854801"/>
      <w:bookmarkStart w:id="1928" w:name="_Toc136841254"/>
      <w:r>
        <w:rPr>
          <w:rStyle w:val="CharSectno"/>
        </w:rPr>
        <w:t>112LA</w:t>
      </w:r>
      <w:r>
        <w:t>.</w:t>
      </w:r>
      <w:r>
        <w:tab/>
        <w:t>Calculating the assessable amount for a return period</w:t>
      </w:r>
      <w:bookmarkEnd w:id="1926"/>
      <w:bookmarkEnd w:id="1927"/>
      <w:bookmarkEnd w:id="1928"/>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spacing w:before="120"/>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spacing w:before="120"/>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1929" w:name="_Toc107055047"/>
      <w:bookmarkStart w:id="1930" w:name="_Toc134854802"/>
      <w:bookmarkStart w:id="1931" w:name="_Toc136841255"/>
      <w:r>
        <w:rPr>
          <w:rStyle w:val="CharSectno"/>
        </w:rPr>
        <w:t>112LB</w:t>
      </w:r>
      <w:r>
        <w:t>.</w:t>
      </w:r>
      <w:r>
        <w:tab/>
        <w:t>Calculating the amount of duty payable on a return</w:t>
      </w:r>
      <w:bookmarkEnd w:id="1929"/>
      <w:bookmarkEnd w:id="1930"/>
      <w:bookmarkEnd w:id="1931"/>
    </w:p>
    <w:p>
      <w:pPr>
        <w:pStyle w:val="Subsection"/>
        <w:spacing w:before="120"/>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spacing w:before="120"/>
      </w:pPr>
      <w:r>
        <w:tab/>
        <w:t>(2)</w:t>
      </w:r>
      <w:r>
        <w:tab/>
        <w:t>The duty</w:t>
      </w:r>
      <w:r>
        <w:noBreakHyphen/>
        <w:t>free threshold for a return period is —</w:t>
      </w:r>
    </w:p>
    <w:p>
      <w:pPr>
        <w:pStyle w:val="Equation"/>
        <w:spacing w:before="100"/>
        <w:ind w:left="839"/>
      </w:pPr>
      <w:r>
        <w:rPr>
          <w:position w:val="-20"/>
          <w:sz w:val="20"/>
        </w:rPr>
        <w:pict>
          <v:shape id="_x0000_i1034" type="#_x0000_t75" style="width:303pt;height:26.25pt">
            <v:imagedata r:id="rId25" o:title=""/>
          </v:shape>
        </w:pi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pPr>
      <w:r>
        <w:tab/>
        <w:t>[Section 112LB inserted by No. 66 of 2003 s. 85.]</w:t>
      </w:r>
    </w:p>
    <w:p>
      <w:pPr>
        <w:pStyle w:val="Heading5"/>
      </w:pPr>
      <w:bookmarkStart w:id="1932" w:name="_Toc107055048"/>
      <w:bookmarkStart w:id="1933" w:name="_Toc134854803"/>
      <w:bookmarkStart w:id="1934" w:name="_Toc136841256"/>
      <w:r>
        <w:rPr>
          <w:rStyle w:val="CharSectno"/>
        </w:rPr>
        <w:t>112LC</w:t>
      </w:r>
      <w:r>
        <w:t>.</w:t>
      </w:r>
      <w:r>
        <w:tab/>
        <w:t>Return period for a commercial hire business</w:t>
      </w:r>
      <w:bookmarkEnd w:id="1932"/>
      <w:bookmarkEnd w:id="1933"/>
      <w:bookmarkEnd w:id="1934"/>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112LC inserted by No. 66 of 2003 s. 85.]</w:t>
      </w:r>
    </w:p>
    <w:p>
      <w:pPr>
        <w:pStyle w:val="Heading5"/>
      </w:pPr>
      <w:bookmarkStart w:id="1935" w:name="_Toc107055049"/>
      <w:bookmarkStart w:id="1936" w:name="_Toc134854804"/>
      <w:bookmarkStart w:id="1937" w:name="_Toc136841257"/>
      <w:r>
        <w:rPr>
          <w:rStyle w:val="CharSectno"/>
        </w:rPr>
        <w:t>112LD</w:t>
      </w:r>
      <w:r>
        <w:t>.</w:t>
      </w:r>
      <w:r>
        <w:tab/>
        <w:t>Annual reconciliation</w:t>
      </w:r>
      <w:bookmarkEnd w:id="1935"/>
      <w:bookmarkEnd w:id="1936"/>
      <w:bookmarkEnd w:id="1937"/>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spacing w:before="60"/>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80"/>
      </w:pPr>
      <w:r>
        <w:tab/>
      </w:r>
      <w:r>
        <w:tab/>
        <w:t>then the commercial hire business is entitled to a rebate equal to the difference between the total amount of duty paid in respect of the attributable amounts and 1.5% of the dutiable amount.</w:t>
      </w:r>
    </w:p>
    <w:p>
      <w:pPr>
        <w:pStyle w:val="Subsection"/>
        <w:spacing w:before="140"/>
      </w:pPr>
      <w:r>
        <w:tab/>
        <w:t>(4)</w:t>
      </w:r>
      <w:r>
        <w:tab/>
        <w:t>In subsection (3)(d) —</w:t>
      </w:r>
    </w:p>
    <w:p>
      <w:pPr>
        <w:pStyle w:val="Defstart"/>
        <w:spacing w:before="60"/>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4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120"/>
        <w:jc w:val="right"/>
      </w:pPr>
      <w:r>
        <w:rPr>
          <w:position w:val="-26"/>
        </w:rPr>
        <w:pict>
          <v:shape id="_x0000_i1035" type="#_x0000_t75" style="width:353.25pt;height:26.25pt">
            <v:imagedata r:id="rId26" o:title=""/>
          </v:shape>
        </w:pict>
      </w:r>
    </w:p>
    <w:p>
      <w:pPr>
        <w:pStyle w:val="Subsection"/>
        <w:spacing w:before="140"/>
      </w:pPr>
      <w:r>
        <w:tab/>
        <w:t>(6)</w:t>
      </w:r>
      <w:r>
        <w:tab/>
        <w:t xml:space="preserve">Subject to section 17(4) of the </w:t>
      </w:r>
      <w:r>
        <w:rPr>
          <w:i/>
        </w:rPr>
        <w:t>Taxation Administration Act 2003</w:t>
      </w:r>
      <w:r>
        <w:t>, the Commissioner must make any assessment necessary to give effect to this section.</w:t>
      </w:r>
    </w:p>
    <w:p>
      <w:pPr>
        <w:pStyle w:val="Footnotesection"/>
      </w:pPr>
      <w:r>
        <w:tab/>
        <w:t>[Section 112LD inserted by No. 66 of 2003 s. 85.]</w:t>
      </w:r>
    </w:p>
    <w:p>
      <w:pPr>
        <w:pStyle w:val="Heading3"/>
      </w:pPr>
      <w:bookmarkStart w:id="1938" w:name="_Toc76899719"/>
      <w:bookmarkStart w:id="1939" w:name="_Toc78090621"/>
      <w:bookmarkStart w:id="1940" w:name="_Toc88886989"/>
      <w:bookmarkStart w:id="1941" w:name="_Toc90443605"/>
      <w:bookmarkStart w:id="1942" w:name="_Toc90452956"/>
      <w:bookmarkStart w:id="1943" w:name="_Toc100029547"/>
      <w:bookmarkStart w:id="1944" w:name="_Toc100031620"/>
      <w:bookmarkStart w:id="1945" w:name="_Toc100458679"/>
      <w:bookmarkStart w:id="1946" w:name="_Toc101672095"/>
      <w:bookmarkStart w:id="1947" w:name="_Toc101672352"/>
      <w:bookmarkStart w:id="1948" w:name="_Toc102799378"/>
      <w:bookmarkStart w:id="1949" w:name="_Toc102982052"/>
      <w:bookmarkStart w:id="1950" w:name="_Toc103403365"/>
      <w:bookmarkStart w:id="1951" w:name="_Toc103403622"/>
      <w:bookmarkStart w:id="1952" w:name="_Toc103747621"/>
      <w:bookmarkStart w:id="1953" w:name="_Toc107055050"/>
      <w:bookmarkStart w:id="1954" w:name="_Toc113874497"/>
      <w:bookmarkStart w:id="1955" w:name="_Toc113956913"/>
      <w:bookmarkStart w:id="1956" w:name="_Toc116717469"/>
      <w:bookmarkStart w:id="1957" w:name="_Toc116813496"/>
      <w:bookmarkStart w:id="1958" w:name="_Toc122333149"/>
      <w:bookmarkStart w:id="1959" w:name="_Toc122862119"/>
      <w:bookmarkStart w:id="1960" w:name="_Toc122862715"/>
      <w:bookmarkStart w:id="1961" w:name="_Toc122921322"/>
      <w:bookmarkStart w:id="1962" w:name="_Toc122921582"/>
      <w:bookmarkStart w:id="1963" w:name="_Toc122947528"/>
      <w:bookmarkStart w:id="1964" w:name="_Toc124046366"/>
      <w:bookmarkStart w:id="1965" w:name="_Toc130266701"/>
      <w:bookmarkStart w:id="1966" w:name="_Toc130266977"/>
      <w:bookmarkStart w:id="1967" w:name="_Toc131383080"/>
      <w:bookmarkStart w:id="1968" w:name="_Toc133812461"/>
      <w:bookmarkStart w:id="1969" w:name="_Toc133920408"/>
      <w:bookmarkStart w:id="1970" w:name="_Toc134854805"/>
      <w:bookmarkStart w:id="1971" w:name="_Toc134855081"/>
      <w:bookmarkStart w:id="1972" w:name="_Toc136841258"/>
      <w:r>
        <w:rPr>
          <w:rStyle w:val="CharDivNo"/>
        </w:rPr>
        <w:t>Division 5</w:t>
      </w:r>
      <w:r>
        <w:t> — </w:t>
      </w:r>
      <w:r>
        <w:rPr>
          <w:rStyle w:val="CharDivText"/>
        </w:rPr>
        <w:t>Persons other than commercial hire businesses</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Footnoteheading"/>
        <w:keepNext/>
        <w:tabs>
          <w:tab w:val="left" w:pos="923"/>
        </w:tabs>
        <w:ind w:left="937" w:hanging="937"/>
        <w:rPr>
          <w:snapToGrid w:val="0"/>
        </w:rPr>
      </w:pPr>
      <w:r>
        <w:rPr>
          <w:snapToGrid w:val="0"/>
        </w:rPr>
        <w:tab/>
        <w:t>[Heading inserted by No. 66 of 2003 s. 85.]</w:t>
      </w:r>
    </w:p>
    <w:p>
      <w:pPr>
        <w:pStyle w:val="Heading5"/>
      </w:pPr>
      <w:bookmarkStart w:id="1973" w:name="_Toc107055051"/>
      <w:bookmarkStart w:id="1974" w:name="_Toc134854806"/>
      <w:bookmarkStart w:id="1975" w:name="_Toc136841259"/>
      <w:r>
        <w:rPr>
          <w:rStyle w:val="CharSectno"/>
        </w:rPr>
        <w:t>112M</w:t>
      </w:r>
      <w:r>
        <w:t>.</w:t>
      </w:r>
      <w:r>
        <w:tab/>
        <w:t>Statement of transaction</w:t>
      </w:r>
      <w:bookmarkEnd w:id="1973"/>
      <w:bookmarkEnd w:id="1974"/>
      <w:bookmarkEnd w:id="1975"/>
    </w:p>
    <w:p>
      <w:pPr>
        <w:pStyle w:val="Subsection"/>
        <w:spacing w:before="14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spacing w:before="120"/>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spacing w:before="120"/>
      </w:pPr>
      <w:r>
        <w:tab/>
        <w:t>(4)</w:t>
      </w:r>
      <w:r>
        <w:tab/>
        <w:t>The hirer need not prepare a statement under subsection (1) if the hire of goods is wholly for private or domestic purposes.</w:t>
      </w:r>
    </w:p>
    <w:p>
      <w:pPr>
        <w:pStyle w:val="Footnotesection"/>
      </w:pPr>
      <w:r>
        <w:tab/>
        <w:t>[Section 112M inserted by No. 66 of 2003 s. 85.]</w:t>
      </w:r>
    </w:p>
    <w:p>
      <w:pPr>
        <w:pStyle w:val="Heading5"/>
      </w:pPr>
      <w:bookmarkStart w:id="1976" w:name="_Toc107055052"/>
      <w:bookmarkStart w:id="1977" w:name="_Toc134854807"/>
      <w:bookmarkStart w:id="1978" w:name="_Toc136841260"/>
      <w:r>
        <w:rPr>
          <w:rStyle w:val="CharSectno"/>
        </w:rPr>
        <w:t>112MA</w:t>
      </w:r>
      <w:r>
        <w:t>.</w:t>
      </w:r>
      <w:r>
        <w:tab/>
        <w:t>Lodging statements and paying duty</w:t>
      </w:r>
      <w:bookmarkEnd w:id="1976"/>
      <w:bookmarkEnd w:id="1977"/>
      <w:bookmarkEnd w:id="1978"/>
    </w:p>
    <w:p>
      <w:pPr>
        <w:pStyle w:val="Subsection"/>
        <w:spacing w:before="120"/>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spacing w:before="120"/>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pPr>
      <w:r>
        <w:tab/>
        <w:t>[Section 112MA inserted by No. 66 of 2003 s. 85.]</w:t>
      </w:r>
    </w:p>
    <w:p>
      <w:pPr>
        <w:pStyle w:val="Heading5"/>
      </w:pPr>
      <w:bookmarkStart w:id="1979" w:name="_Toc107055053"/>
      <w:bookmarkStart w:id="1980" w:name="_Toc134854808"/>
      <w:bookmarkStart w:id="1981" w:name="_Toc136841261"/>
      <w:r>
        <w:rPr>
          <w:rStyle w:val="CharSectno"/>
        </w:rPr>
        <w:t>112MB</w:t>
      </w:r>
      <w:r>
        <w:t>.</w:t>
      </w:r>
      <w:r>
        <w:tab/>
        <w:t>Method of calculating total hiring charges if they are not readily ascertainable</w:t>
      </w:r>
      <w:bookmarkEnd w:id="1979"/>
      <w:bookmarkEnd w:id="1980"/>
      <w:bookmarkEnd w:id="1981"/>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pPr>
      <w:r>
        <w:tab/>
        <w:t>[Section 112MB inserted by No. 66 of 2003 s. 85.]</w:t>
      </w:r>
    </w:p>
    <w:p>
      <w:pPr>
        <w:pStyle w:val="Heading3"/>
      </w:pPr>
      <w:bookmarkStart w:id="1982" w:name="_Toc76899723"/>
      <w:bookmarkStart w:id="1983" w:name="_Toc78090625"/>
      <w:bookmarkStart w:id="1984" w:name="_Toc88886993"/>
      <w:bookmarkStart w:id="1985" w:name="_Toc90443609"/>
      <w:bookmarkStart w:id="1986" w:name="_Toc90452960"/>
      <w:bookmarkStart w:id="1987" w:name="_Toc100029551"/>
      <w:bookmarkStart w:id="1988" w:name="_Toc100031624"/>
      <w:bookmarkStart w:id="1989" w:name="_Toc100458683"/>
      <w:bookmarkStart w:id="1990" w:name="_Toc101672099"/>
      <w:bookmarkStart w:id="1991" w:name="_Toc101672356"/>
      <w:bookmarkStart w:id="1992" w:name="_Toc102799382"/>
      <w:bookmarkStart w:id="1993" w:name="_Toc102982056"/>
      <w:bookmarkStart w:id="1994" w:name="_Toc103403369"/>
      <w:bookmarkStart w:id="1995" w:name="_Toc103403626"/>
      <w:bookmarkStart w:id="1996" w:name="_Toc103747625"/>
      <w:bookmarkStart w:id="1997" w:name="_Toc107055054"/>
      <w:bookmarkStart w:id="1998" w:name="_Toc113874501"/>
      <w:bookmarkStart w:id="1999" w:name="_Toc113956917"/>
      <w:bookmarkStart w:id="2000" w:name="_Toc116717473"/>
      <w:bookmarkStart w:id="2001" w:name="_Toc116813500"/>
      <w:bookmarkStart w:id="2002" w:name="_Toc122333153"/>
      <w:bookmarkStart w:id="2003" w:name="_Toc122862123"/>
      <w:bookmarkStart w:id="2004" w:name="_Toc122862719"/>
      <w:bookmarkStart w:id="2005" w:name="_Toc122921326"/>
      <w:bookmarkStart w:id="2006" w:name="_Toc122921586"/>
      <w:bookmarkStart w:id="2007" w:name="_Toc122947532"/>
      <w:bookmarkStart w:id="2008" w:name="_Toc124046370"/>
      <w:bookmarkStart w:id="2009" w:name="_Toc130266705"/>
      <w:bookmarkStart w:id="2010" w:name="_Toc130266981"/>
      <w:bookmarkStart w:id="2011" w:name="_Toc131383084"/>
      <w:bookmarkStart w:id="2012" w:name="_Toc133812465"/>
      <w:bookmarkStart w:id="2013" w:name="_Toc133920412"/>
      <w:bookmarkStart w:id="2014" w:name="_Toc134854809"/>
      <w:bookmarkStart w:id="2015" w:name="_Toc134855085"/>
      <w:bookmarkStart w:id="2016" w:name="_Toc136841262"/>
      <w:r>
        <w:rPr>
          <w:rStyle w:val="CharDivNo"/>
        </w:rPr>
        <w:t>Division 6</w:t>
      </w:r>
      <w:r>
        <w:t> — </w:t>
      </w:r>
      <w:r>
        <w:rPr>
          <w:rStyle w:val="CharDivText"/>
        </w:rPr>
        <w:t>General provisions</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Footnoteheading"/>
        <w:tabs>
          <w:tab w:val="left" w:pos="923"/>
        </w:tabs>
        <w:ind w:left="937" w:hanging="937"/>
        <w:rPr>
          <w:snapToGrid w:val="0"/>
        </w:rPr>
      </w:pPr>
      <w:r>
        <w:rPr>
          <w:snapToGrid w:val="0"/>
        </w:rPr>
        <w:tab/>
        <w:t>[Heading inserted by No. 66 of 2003 s. 85.]</w:t>
      </w:r>
    </w:p>
    <w:p>
      <w:pPr>
        <w:pStyle w:val="Heading5"/>
      </w:pPr>
      <w:bookmarkStart w:id="2017" w:name="_Toc107055055"/>
      <w:bookmarkStart w:id="2018" w:name="_Toc134854810"/>
      <w:bookmarkStart w:id="2019" w:name="_Toc136841263"/>
      <w:r>
        <w:rPr>
          <w:rStyle w:val="CharSectno"/>
        </w:rPr>
        <w:t>112N</w:t>
      </w:r>
      <w:r>
        <w:t>.</w:t>
      </w:r>
      <w:r>
        <w:tab/>
        <w:t>Credit for duty paid in another Australian jurisdiction</w:t>
      </w:r>
      <w:bookmarkEnd w:id="2017"/>
      <w:bookmarkEnd w:id="2018"/>
      <w:bookmarkEnd w:id="2019"/>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spacing w:before="180"/>
      </w:pPr>
      <w:bookmarkStart w:id="2020" w:name="_Toc107055056"/>
      <w:bookmarkStart w:id="2021" w:name="_Toc134854811"/>
      <w:bookmarkStart w:id="2022" w:name="_Toc136841264"/>
      <w:r>
        <w:rPr>
          <w:rStyle w:val="CharSectno"/>
        </w:rPr>
        <w:t>112NA</w:t>
      </w:r>
      <w:r>
        <w:t>.</w:t>
      </w:r>
      <w:r>
        <w:tab/>
        <w:t>Splitting or redirecting hiring charges — anti</w:t>
      </w:r>
      <w:r>
        <w:noBreakHyphen/>
        <w:t>avoidance provision</w:t>
      </w:r>
      <w:bookmarkEnd w:id="2020"/>
      <w:bookmarkEnd w:id="2021"/>
      <w:bookmarkEnd w:id="2022"/>
    </w:p>
    <w:p>
      <w:pPr>
        <w:pStyle w:val="Subsection"/>
        <w:spacing w:before="100"/>
      </w:pPr>
      <w:r>
        <w:tab/>
        <w:t>(1)</w:t>
      </w:r>
      <w:r>
        <w:tab/>
        <w:t>The Commissioner may include in an assessment or reassessment, as part of an amount received as hiring charges, any of the following —</w:t>
      </w:r>
    </w:p>
    <w:p>
      <w:pPr>
        <w:pStyle w:val="Indenta"/>
        <w:spacing w:before="60"/>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spacing w:before="60"/>
      </w:pPr>
      <w:r>
        <w:tab/>
        <w:t>(b)</w:t>
      </w:r>
      <w:r>
        <w:tab/>
        <w:t>a payment that would be a hiring charge except for the fact that it is paid to a person other than the person who hires out the goods.</w:t>
      </w:r>
    </w:p>
    <w:p>
      <w:pPr>
        <w:pStyle w:val="Subsection"/>
        <w:spacing w:before="100"/>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spacing w:before="180"/>
      </w:pPr>
      <w:bookmarkStart w:id="2023" w:name="_Toc107055057"/>
      <w:bookmarkStart w:id="2024" w:name="_Toc134854812"/>
      <w:bookmarkStart w:id="2025" w:name="_Toc136841265"/>
      <w:r>
        <w:rPr>
          <w:rStyle w:val="CharSectno"/>
        </w:rPr>
        <w:t>112NB</w:t>
      </w:r>
      <w:r>
        <w:t>.</w:t>
      </w:r>
      <w:r>
        <w:tab/>
        <w:t>Ascertainment and disclosure of place of use of goods</w:t>
      </w:r>
      <w:bookmarkEnd w:id="2023"/>
      <w:bookmarkEnd w:id="2024"/>
      <w:bookmarkEnd w:id="2025"/>
    </w:p>
    <w:p>
      <w:pPr>
        <w:pStyle w:val="Subsection"/>
        <w:spacing w:before="100"/>
      </w:pPr>
      <w:r>
        <w:tab/>
        <w:t>(1)</w:t>
      </w:r>
      <w:r>
        <w:tab/>
        <w:t>A commercial hire business may, in determining the commercial hire business’s liability to duty, rely on a statement of the hirer as to —</w:t>
      </w:r>
    </w:p>
    <w:p>
      <w:pPr>
        <w:pStyle w:val="Indenta"/>
        <w:spacing w:before="60"/>
      </w:pPr>
      <w:r>
        <w:tab/>
        <w:t>(a)</w:t>
      </w:r>
      <w:r>
        <w:tab/>
        <w:t>where the goods will be solely or predominantly used in the course of the hire; or</w:t>
      </w:r>
    </w:p>
    <w:p>
      <w:pPr>
        <w:pStyle w:val="Indenta"/>
        <w:spacing w:before="60"/>
      </w:pPr>
      <w:r>
        <w:tab/>
        <w:t>(b)</w:t>
      </w:r>
      <w:r>
        <w:tab/>
        <w:t>in the case of an unregistered motor vehicle, where the motor vehicle will be registered during the course of the hire,</w:t>
      </w:r>
    </w:p>
    <w:p>
      <w:pPr>
        <w:pStyle w:val="Subsection"/>
        <w:spacing w:before="80"/>
      </w:pPr>
      <w:r>
        <w:tab/>
      </w:r>
      <w:r>
        <w:tab/>
        <w:t>unless the commercial hire business knows that the statement is false.</w:t>
      </w:r>
    </w:p>
    <w:p>
      <w:pPr>
        <w:pStyle w:val="Subsection"/>
        <w:spacing w:before="100"/>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spacing w:before="120"/>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spacing w:before="120"/>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spacing w:before="120"/>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spacing w:before="120"/>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spacing w:before="180"/>
      </w:pPr>
      <w:bookmarkStart w:id="2026" w:name="_Toc107055058"/>
      <w:bookmarkStart w:id="2027" w:name="_Toc134854813"/>
      <w:bookmarkStart w:id="2028" w:name="_Toc136841266"/>
      <w:r>
        <w:rPr>
          <w:rStyle w:val="CharSectno"/>
        </w:rPr>
        <w:t>112NC</w:t>
      </w:r>
      <w:r>
        <w:t>.</w:t>
      </w:r>
      <w:r>
        <w:tab/>
        <w:t>Records</w:t>
      </w:r>
      <w:bookmarkEnd w:id="2026"/>
      <w:bookmarkEnd w:id="2027"/>
      <w:bookmarkEnd w:id="2028"/>
    </w:p>
    <w:p>
      <w:pPr>
        <w:pStyle w:val="Subsection"/>
        <w:spacing w:before="120"/>
      </w:pPr>
      <w:r>
        <w:tab/>
      </w:r>
      <w:r>
        <w:tab/>
        <w:t>A commercial hire business and a hirer who must prepare a statement under Division 5 must keep —</w:t>
      </w:r>
    </w:p>
    <w:p>
      <w:pPr>
        <w:pStyle w:val="Indenta"/>
        <w:spacing w:before="60"/>
      </w:pPr>
      <w:r>
        <w:tab/>
        <w:t>(a)</w:t>
      </w:r>
      <w:r>
        <w:tab/>
        <w:t>the records that are prescribed in the regulations for the purposes of this section (if any); and</w:t>
      </w:r>
    </w:p>
    <w:p>
      <w:pPr>
        <w:pStyle w:val="Indenta"/>
        <w:spacing w:before="60"/>
      </w:pPr>
      <w:r>
        <w:tab/>
        <w:t>(b)</w:t>
      </w:r>
      <w:r>
        <w:tab/>
        <w:t>any other records necessary to enable the Commissioner to determine the person’s liability to duty under this Part.</w:t>
      </w:r>
    </w:p>
    <w:p>
      <w:pPr>
        <w:pStyle w:val="Penstart"/>
        <w:spacing w:before="60"/>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029" w:name="_Toc76899728"/>
      <w:bookmarkStart w:id="2030" w:name="_Toc78090630"/>
      <w:bookmarkStart w:id="2031" w:name="_Toc88886998"/>
      <w:bookmarkStart w:id="2032" w:name="_Toc90443614"/>
      <w:bookmarkStart w:id="2033" w:name="_Toc90452965"/>
      <w:bookmarkStart w:id="2034" w:name="_Toc100029556"/>
      <w:bookmarkStart w:id="2035" w:name="_Toc100031629"/>
      <w:bookmarkStart w:id="2036" w:name="_Toc100458688"/>
      <w:bookmarkStart w:id="2037" w:name="_Toc101672104"/>
      <w:bookmarkStart w:id="2038" w:name="_Toc101672361"/>
      <w:bookmarkStart w:id="2039" w:name="_Toc102799387"/>
      <w:bookmarkStart w:id="2040" w:name="_Toc102982061"/>
      <w:bookmarkStart w:id="2041" w:name="_Toc103403374"/>
      <w:bookmarkStart w:id="2042" w:name="_Toc103403631"/>
      <w:bookmarkStart w:id="2043" w:name="_Toc103747630"/>
      <w:bookmarkStart w:id="2044" w:name="_Toc107055059"/>
      <w:bookmarkStart w:id="2045" w:name="_Toc113874506"/>
      <w:bookmarkStart w:id="2046" w:name="_Toc113956922"/>
      <w:bookmarkStart w:id="2047" w:name="_Toc116717478"/>
      <w:bookmarkStart w:id="2048" w:name="_Toc116813505"/>
      <w:bookmarkStart w:id="2049" w:name="_Toc122333158"/>
      <w:bookmarkStart w:id="2050" w:name="_Toc122862128"/>
      <w:bookmarkStart w:id="2051" w:name="_Toc122862724"/>
      <w:bookmarkStart w:id="2052" w:name="_Toc122921331"/>
      <w:bookmarkStart w:id="2053" w:name="_Toc122921591"/>
      <w:bookmarkStart w:id="2054" w:name="_Toc122947537"/>
      <w:bookmarkStart w:id="2055" w:name="_Toc124046375"/>
      <w:bookmarkStart w:id="2056" w:name="_Toc130266710"/>
      <w:bookmarkStart w:id="2057" w:name="_Toc130266986"/>
      <w:bookmarkStart w:id="2058" w:name="_Toc131383089"/>
      <w:bookmarkStart w:id="2059" w:name="_Toc133812470"/>
      <w:bookmarkStart w:id="2060" w:name="_Toc133920417"/>
      <w:bookmarkStart w:id="2061" w:name="_Toc134854814"/>
      <w:bookmarkStart w:id="2062" w:name="_Toc134855090"/>
      <w:bookmarkStart w:id="2063" w:name="_Toc136841267"/>
      <w:r>
        <w:rPr>
          <w:rStyle w:val="CharPartNo"/>
        </w:rPr>
        <w:t>Part IVC</w:t>
      </w:r>
      <w:r>
        <w:rPr>
          <w:rStyle w:val="CharDivNo"/>
        </w:rPr>
        <w:t> </w:t>
      </w:r>
      <w:r>
        <w:t>—</w:t>
      </w:r>
      <w:r>
        <w:rPr>
          <w:rStyle w:val="CharDivText"/>
        </w:rPr>
        <w:t> </w:t>
      </w:r>
      <w:r>
        <w:rPr>
          <w:rStyle w:val="CharPartText"/>
        </w:rPr>
        <w:t>Exemptions in relation to aged or disabled persons</w:t>
      </w:r>
      <w:bookmarkEnd w:id="1749"/>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064" w:name="_Toc500740069"/>
      <w:bookmarkStart w:id="2065" w:name="_Toc520101232"/>
      <w:bookmarkStart w:id="2066" w:name="_Toc520533131"/>
      <w:bookmarkStart w:id="2067" w:name="_Toc49224011"/>
      <w:bookmarkStart w:id="2068" w:name="_Toc107055060"/>
      <w:bookmarkStart w:id="2069" w:name="_Toc134854815"/>
      <w:bookmarkStart w:id="2070" w:name="_Toc136841268"/>
      <w:r>
        <w:rPr>
          <w:rStyle w:val="CharSectno"/>
        </w:rPr>
        <w:t>112Q</w:t>
      </w:r>
      <w:r>
        <w:rPr>
          <w:snapToGrid w:val="0"/>
        </w:rPr>
        <w:t>.</w:t>
      </w:r>
      <w:r>
        <w:rPr>
          <w:snapToGrid w:val="0"/>
        </w:rPr>
        <w:tab/>
        <w:t>Certain residential agreements with charitable bodies exempt</w:t>
      </w:r>
      <w:bookmarkEnd w:id="2064"/>
      <w:bookmarkEnd w:id="2065"/>
      <w:bookmarkEnd w:id="2066"/>
      <w:bookmarkEnd w:id="2067"/>
      <w:bookmarkEnd w:id="2068"/>
      <w:bookmarkEnd w:id="2069"/>
      <w:bookmarkEnd w:id="2070"/>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071" w:name="_Toc500740070"/>
      <w:bookmarkStart w:id="2072" w:name="_Toc520101233"/>
      <w:bookmarkStart w:id="2073" w:name="_Toc520533132"/>
      <w:bookmarkStart w:id="2074" w:name="_Toc49224012"/>
      <w:bookmarkStart w:id="2075" w:name="_Toc107055061"/>
      <w:bookmarkStart w:id="2076" w:name="_Toc134854816"/>
      <w:bookmarkStart w:id="2077" w:name="_Toc136841269"/>
      <w:r>
        <w:rPr>
          <w:rStyle w:val="CharSectno"/>
        </w:rPr>
        <w:t>112R</w:t>
      </w:r>
      <w:r>
        <w:rPr>
          <w:snapToGrid w:val="0"/>
        </w:rPr>
        <w:t>.</w:t>
      </w:r>
      <w:r>
        <w:rPr>
          <w:snapToGrid w:val="0"/>
        </w:rPr>
        <w:tab/>
        <w:t>Certain aged care agreements exempt</w:t>
      </w:r>
      <w:bookmarkEnd w:id="2071"/>
      <w:bookmarkEnd w:id="2072"/>
      <w:bookmarkEnd w:id="2073"/>
      <w:bookmarkEnd w:id="2074"/>
      <w:bookmarkEnd w:id="2075"/>
      <w:bookmarkEnd w:id="2076"/>
      <w:bookmarkEnd w:id="2077"/>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078" w:name="_Toc500740071"/>
      <w:bookmarkStart w:id="2079" w:name="_Toc520101234"/>
      <w:bookmarkStart w:id="2080" w:name="_Toc520533133"/>
      <w:bookmarkStart w:id="2081" w:name="_Toc49224013"/>
      <w:bookmarkStart w:id="2082" w:name="_Toc107055062"/>
      <w:bookmarkStart w:id="2083" w:name="_Toc134854817"/>
      <w:bookmarkStart w:id="2084" w:name="_Toc136841270"/>
      <w:r>
        <w:rPr>
          <w:rStyle w:val="CharSectno"/>
        </w:rPr>
        <w:t>112S</w:t>
      </w:r>
      <w:r>
        <w:rPr>
          <w:snapToGrid w:val="0"/>
        </w:rPr>
        <w:t>.</w:t>
      </w:r>
      <w:r>
        <w:rPr>
          <w:snapToGrid w:val="0"/>
        </w:rPr>
        <w:tab/>
        <w:t>Instruments not required to be lodged</w:t>
      </w:r>
      <w:bookmarkEnd w:id="2078"/>
      <w:bookmarkEnd w:id="2079"/>
      <w:bookmarkEnd w:id="2080"/>
      <w:bookmarkEnd w:id="2081"/>
      <w:bookmarkEnd w:id="2082"/>
      <w:bookmarkEnd w:id="2083"/>
      <w:bookmarkEnd w:id="2084"/>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085" w:name="_Toc58902680"/>
      <w:bookmarkStart w:id="2086" w:name="_Toc76899732"/>
      <w:bookmarkStart w:id="2087" w:name="_Toc78090634"/>
      <w:bookmarkStart w:id="2088" w:name="_Toc88887002"/>
      <w:bookmarkStart w:id="2089" w:name="_Toc90443618"/>
      <w:bookmarkStart w:id="2090" w:name="_Toc90452969"/>
      <w:bookmarkStart w:id="2091" w:name="_Toc100029560"/>
      <w:bookmarkStart w:id="2092" w:name="_Toc100031633"/>
      <w:bookmarkStart w:id="2093" w:name="_Toc100458692"/>
      <w:bookmarkStart w:id="2094" w:name="_Toc101672108"/>
      <w:bookmarkStart w:id="2095" w:name="_Toc101672365"/>
      <w:bookmarkStart w:id="2096" w:name="_Toc102799391"/>
      <w:bookmarkStart w:id="2097" w:name="_Toc102982065"/>
      <w:bookmarkStart w:id="2098" w:name="_Toc103403378"/>
      <w:bookmarkStart w:id="2099" w:name="_Toc103403635"/>
      <w:bookmarkStart w:id="2100" w:name="_Toc103747634"/>
      <w:bookmarkStart w:id="2101" w:name="_Toc107055063"/>
      <w:bookmarkStart w:id="2102" w:name="_Toc113874510"/>
      <w:bookmarkStart w:id="2103" w:name="_Toc113956926"/>
      <w:bookmarkStart w:id="2104" w:name="_Toc116717482"/>
      <w:bookmarkStart w:id="2105" w:name="_Toc116813509"/>
      <w:bookmarkStart w:id="2106" w:name="_Toc122333162"/>
      <w:bookmarkStart w:id="2107" w:name="_Toc122862132"/>
      <w:bookmarkStart w:id="2108" w:name="_Toc122862728"/>
      <w:bookmarkStart w:id="2109" w:name="_Toc122921335"/>
      <w:bookmarkStart w:id="2110" w:name="_Toc122921595"/>
      <w:bookmarkStart w:id="2111" w:name="_Toc122947541"/>
      <w:bookmarkStart w:id="2112" w:name="_Toc124046379"/>
      <w:bookmarkStart w:id="2113" w:name="_Toc130266714"/>
      <w:bookmarkStart w:id="2114" w:name="_Toc130266990"/>
      <w:bookmarkStart w:id="2115" w:name="_Toc131383093"/>
      <w:bookmarkStart w:id="2116" w:name="_Toc133812474"/>
      <w:bookmarkStart w:id="2117" w:name="_Toc133920421"/>
      <w:bookmarkStart w:id="2118" w:name="_Toc134854818"/>
      <w:bookmarkStart w:id="2119" w:name="_Toc134855094"/>
      <w:bookmarkStart w:id="2120" w:name="_Toc136841271"/>
      <w:r>
        <w:rPr>
          <w:rStyle w:val="CharPartNo"/>
        </w:rPr>
        <w:t>Part IVD</w:t>
      </w:r>
      <w:r>
        <w:rPr>
          <w:rStyle w:val="CharDivNo"/>
        </w:rPr>
        <w:t> </w:t>
      </w:r>
      <w:r>
        <w:t>—</w:t>
      </w:r>
      <w:r>
        <w:rPr>
          <w:rStyle w:val="CharDivText"/>
        </w:rPr>
        <w:t> </w:t>
      </w:r>
      <w:r>
        <w:rPr>
          <w:rStyle w:val="CharPartText"/>
        </w:rPr>
        <w:t>Maintenance agreements and orders</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2121" w:name="_Toc500740072"/>
      <w:bookmarkStart w:id="2122" w:name="_Toc520101235"/>
      <w:bookmarkStart w:id="2123" w:name="_Toc520533134"/>
      <w:bookmarkStart w:id="2124" w:name="_Toc49224014"/>
      <w:bookmarkStart w:id="2125" w:name="_Toc107055064"/>
      <w:bookmarkStart w:id="2126" w:name="_Toc134854819"/>
      <w:bookmarkStart w:id="2127" w:name="_Toc136841272"/>
      <w:r>
        <w:rPr>
          <w:rStyle w:val="CharSectno"/>
        </w:rPr>
        <w:t>112UA</w:t>
      </w:r>
      <w:r>
        <w:rPr>
          <w:snapToGrid w:val="0"/>
        </w:rPr>
        <w:t>.</w:t>
      </w:r>
      <w:r>
        <w:rPr>
          <w:snapToGrid w:val="0"/>
        </w:rPr>
        <w:tab/>
        <w:t>Interpretation in Part IVD</w:t>
      </w:r>
      <w:bookmarkEnd w:id="2121"/>
      <w:bookmarkEnd w:id="2122"/>
      <w:bookmarkEnd w:id="2123"/>
      <w:bookmarkEnd w:id="2124"/>
      <w:bookmarkEnd w:id="2125"/>
      <w:bookmarkEnd w:id="2126"/>
      <w:bookmarkEnd w:id="2127"/>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2128" w:name="_Toc500740073"/>
      <w:bookmarkStart w:id="2129" w:name="_Toc520101236"/>
      <w:bookmarkStart w:id="2130" w:name="_Toc520533135"/>
      <w:bookmarkStart w:id="2131" w:name="_Toc49224015"/>
      <w:bookmarkStart w:id="2132" w:name="_Toc107055065"/>
      <w:bookmarkStart w:id="2133" w:name="_Toc134854820"/>
      <w:bookmarkStart w:id="2134" w:name="_Toc136841273"/>
      <w:r>
        <w:rPr>
          <w:rStyle w:val="CharSectno"/>
        </w:rPr>
        <w:t>112UB</w:t>
      </w:r>
      <w:r>
        <w:rPr>
          <w:snapToGrid w:val="0"/>
        </w:rPr>
        <w:t>.</w:t>
      </w:r>
      <w:r>
        <w:rPr>
          <w:snapToGrid w:val="0"/>
        </w:rPr>
        <w:tab/>
        <w:t>Application of Part IVD</w:t>
      </w:r>
      <w:bookmarkEnd w:id="2128"/>
      <w:bookmarkEnd w:id="2129"/>
      <w:bookmarkEnd w:id="2130"/>
      <w:bookmarkEnd w:id="2131"/>
      <w:bookmarkEnd w:id="2132"/>
      <w:bookmarkEnd w:id="2133"/>
      <w:bookmarkEnd w:id="2134"/>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80"/>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rPr>
          <w:snapToGrid w:val="0"/>
        </w:rPr>
      </w:pPr>
      <w:bookmarkStart w:id="2135" w:name="_Toc500740074"/>
      <w:bookmarkStart w:id="2136" w:name="_Toc520101237"/>
      <w:bookmarkStart w:id="2137" w:name="_Toc520533136"/>
      <w:bookmarkStart w:id="2138" w:name="_Toc49224016"/>
      <w:bookmarkStart w:id="2139" w:name="_Toc107055066"/>
      <w:bookmarkStart w:id="2140" w:name="_Toc134854821"/>
      <w:bookmarkStart w:id="2141" w:name="_Toc136841274"/>
      <w:r>
        <w:rPr>
          <w:rStyle w:val="CharSectno"/>
        </w:rPr>
        <w:t>112UC</w:t>
      </w:r>
      <w:r>
        <w:rPr>
          <w:snapToGrid w:val="0"/>
        </w:rPr>
        <w:t>.</w:t>
      </w:r>
      <w:r>
        <w:rPr>
          <w:snapToGrid w:val="0"/>
        </w:rPr>
        <w:tab/>
        <w:t>Duty on maintenance agreements and orders</w:t>
      </w:r>
      <w:bookmarkEnd w:id="2135"/>
      <w:bookmarkEnd w:id="2136"/>
      <w:bookmarkEnd w:id="2137"/>
      <w:bookmarkEnd w:id="2138"/>
      <w:bookmarkEnd w:id="2139"/>
      <w:bookmarkEnd w:id="2140"/>
      <w:bookmarkEnd w:id="2141"/>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pPr>
      <w:r>
        <w:tab/>
        <w:t>[Section 112UC inserted by No. 45 of 1982 s. 3; amended by No. 2 of 2003 s. 134.]</w:t>
      </w:r>
    </w:p>
    <w:p>
      <w:pPr>
        <w:pStyle w:val="Heading5"/>
        <w:rPr>
          <w:snapToGrid w:val="0"/>
        </w:rPr>
      </w:pPr>
      <w:bookmarkStart w:id="2142" w:name="_Toc500740075"/>
      <w:bookmarkStart w:id="2143" w:name="_Toc520101238"/>
      <w:bookmarkStart w:id="2144" w:name="_Toc520533137"/>
      <w:bookmarkStart w:id="2145" w:name="_Toc49224017"/>
      <w:bookmarkStart w:id="2146" w:name="_Toc107055067"/>
      <w:bookmarkStart w:id="2147" w:name="_Toc134854822"/>
      <w:bookmarkStart w:id="2148" w:name="_Toc136841275"/>
      <w:r>
        <w:rPr>
          <w:rStyle w:val="CharSectno"/>
        </w:rPr>
        <w:t>112UD</w:t>
      </w:r>
      <w:r>
        <w:rPr>
          <w:snapToGrid w:val="0"/>
        </w:rPr>
        <w:t>.</w:t>
      </w:r>
      <w:r>
        <w:rPr>
          <w:snapToGrid w:val="0"/>
        </w:rPr>
        <w:tab/>
        <w:t>Duty on conveyance or transfer under maintenance agreement or order</w:t>
      </w:r>
      <w:bookmarkEnd w:id="2142"/>
      <w:bookmarkEnd w:id="2143"/>
      <w:bookmarkEnd w:id="2144"/>
      <w:bookmarkEnd w:id="2145"/>
      <w:bookmarkEnd w:id="2146"/>
      <w:bookmarkEnd w:id="2147"/>
      <w:bookmarkEnd w:id="2148"/>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2149" w:name="_Toc58902685"/>
      <w:bookmarkStart w:id="2150" w:name="_Toc76899737"/>
      <w:bookmarkStart w:id="2151" w:name="_Toc78090639"/>
      <w:bookmarkStart w:id="2152" w:name="_Toc88887007"/>
      <w:bookmarkStart w:id="2153" w:name="_Toc90443623"/>
      <w:bookmarkStart w:id="2154" w:name="_Toc90452974"/>
      <w:bookmarkStart w:id="2155" w:name="_Toc100029565"/>
      <w:bookmarkStart w:id="2156" w:name="_Toc100031638"/>
      <w:bookmarkStart w:id="2157" w:name="_Toc100458697"/>
      <w:bookmarkStart w:id="2158" w:name="_Toc101672113"/>
      <w:bookmarkStart w:id="2159" w:name="_Toc101672370"/>
      <w:bookmarkStart w:id="2160" w:name="_Toc102799396"/>
      <w:bookmarkStart w:id="2161" w:name="_Toc102982070"/>
      <w:bookmarkStart w:id="2162" w:name="_Toc103403383"/>
      <w:bookmarkStart w:id="2163" w:name="_Toc103403640"/>
      <w:bookmarkStart w:id="2164" w:name="_Toc103747639"/>
      <w:bookmarkStart w:id="2165" w:name="_Toc107055068"/>
      <w:bookmarkStart w:id="2166" w:name="_Toc113874515"/>
      <w:bookmarkStart w:id="2167" w:name="_Toc113956931"/>
      <w:bookmarkStart w:id="2168" w:name="_Toc116717487"/>
      <w:bookmarkStart w:id="2169" w:name="_Toc116813514"/>
      <w:bookmarkStart w:id="2170" w:name="_Toc122333167"/>
      <w:bookmarkStart w:id="2171" w:name="_Toc122862137"/>
      <w:bookmarkStart w:id="2172" w:name="_Toc122862733"/>
      <w:bookmarkStart w:id="2173" w:name="_Toc122921340"/>
      <w:bookmarkStart w:id="2174" w:name="_Toc122921600"/>
      <w:bookmarkStart w:id="2175" w:name="_Toc122947546"/>
      <w:bookmarkStart w:id="2176" w:name="_Toc124046384"/>
      <w:bookmarkStart w:id="2177" w:name="_Toc130266719"/>
      <w:bookmarkStart w:id="2178" w:name="_Toc130266995"/>
      <w:bookmarkStart w:id="2179" w:name="_Toc131383098"/>
      <w:bookmarkStart w:id="2180" w:name="_Toc133812479"/>
      <w:bookmarkStart w:id="2181" w:name="_Toc133920426"/>
      <w:bookmarkStart w:id="2182" w:name="_Toc134854823"/>
      <w:bookmarkStart w:id="2183" w:name="_Toc134855099"/>
      <w:bookmarkStart w:id="2184" w:name="_Toc136841276"/>
      <w:r>
        <w:rPr>
          <w:rStyle w:val="CharPartNo"/>
        </w:rPr>
        <w:t>Part IVE</w:t>
      </w:r>
      <w:r>
        <w:rPr>
          <w:rStyle w:val="CharDivNo"/>
        </w:rPr>
        <w:t> </w:t>
      </w:r>
      <w:r>
        <w:t>—</w:t>
      </w:r>
      <w:r>
        <w:rPr>
          <w:rStyle w:val="CharDivText"/>
        </w:rPr>
        <w:t> </w:t>
      </w:r>
      <w:r>
        <w:rPr>
          <w:rStyle w:val="CharPartText"/>
        </w:rPr>
        <w:t>Managed investment schemes</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Footnoteheading"/>
        <w:tabs>
          <w:tab w:val="left" w:pos="923"/>
        </w:tabs>
        <w:ind w:left="937" w:hanging="937"/>
      </w:pPr>
      <w:r>
        <w:tab/>
        <w:t>[Heading inserted by No. 24 of 1999 s. 6.]</w:t>
      </w:r>
    </w:p>
    <w:p>
      <w:pPr>
        <w:pStyle w:val="Heading5"/>
      </w:pPr>
      <w:bookmarkStart w:id="2185" w:name="_Toc500740076"/>
      <w:bookmarkStart w:id="2186" w:name="_Toc520101239"/>
      <w:bookmarkStart w:id="2187" w:name="_Toc520533138"/>
      <w:bookmarkStart w:id="2188" w:name="_Toc49224018"/>
      <w:bookmarkStart w:id="2189" w:name="_Toc107055069"/>
      <w:bookmarkStart w:id="2190" w:name="_Toc134854824"/>
      <w:bookmarkStart w:id="2191" w:name="_Toc136841277"/>
      <w:r>
        <w:rPr>
          <w:rStyle w:val="CharSectno"/>
        </w:rPr>
        <w:t>112UE</w:t>
      </w:r>
      <w:r>
        <w:t>.</w:t>
      </w:r>
      <w:r>
        <w:tab/>
        <w:t>Duty on certain instruments for the purpose of managed investment schemes</w:t>
      </w:r>
      <w:bookmarkEnd w:id="2185"/>
      <w:bookmarkEnd w:id="2186"/>
      <w:bookmarkEnd w:id="2187"/>
      <w:bookmarkEnd w:id="2188"/>
      <w:bookmarkEnd w:id="2189"/>
      <w:bookmarkEnd w:id="2190"/>
      <w:bookmarkEnd w:id="2191"/>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192" w:name="_Toc58902687"/>
      <w:bookmarkStart w:id="2193" w:name="_Toc76899739"/>
      <w:bookmarkStart w:id="2194" w:name="_Toc78090641"/>
      <w:bookmarkStart w:id="2195" w:name="_Toc88887009"/>
      <w:bookmarkStart w:id="2196" w:name="_Toc90443625"/>
      <w:bookmarkStart w:id="2197" w:name="_Toc90452976"/>
      <w:bookmarkStart w:id="2198" w:name="_Toc100029567"/>
      <w:bookmarkStart w:id="2199" w:name="_Toc100031640"/>
      <w:bookmarkStart w:id="2200" w:name="_Toc100458699"/>
      <w:bookmarkStart w:id="2201" w:name="_Toc101672115"/>
      <w:bookmarkStart w:id="2202" w:name="_Toc101672372"/>
      <w:bookmarkStart w:id="2203" w:name="_Toc102799398"/>
      <w:bookmarkStart w:id="2204" w:name="_Toc102982072"/>
      <w:bookmarkStart w:id="2205" w:name="_Toc103403385"/>
      <w:bookmarkStart w:id="2206" w:name="_Toc103403642"/>
      <w:bookmarkStart w:id="2207" w:name="_Toc103747641"/>
      <w:bookmarkStart w:id="2208" w:name="_Toc107055070"/>
      <w:bookmarkStart w:id="2209" w:name="_Toc113874517"/>
      <w:bookmarkStart w:id="2210" w:name="_Toc113956933"/>
      <w:bookmarkStart w:id="2211" w:name="_Toc116717489"/>
      <w:bookmarkStart w:id="2212" w:name="_Toc116813516"/>
      <w:bookmarkStart w:id="2213" w:name="_Toc122333169"/>
      <w:bookmarkStart w:id="2214" w:name="_Toc122862139"/>
      <w:bookmarkStart w:id="2215" w:name="_Toc122862735"/>
      <w:bookmarkStart w:id="2216" w:name="_Toc122921342"/>
      <w:bookmarkStart w:id="2217" w:name="_Toc122921602"/>
      <w:bookmarkStart w:id="2218" w:name="_Toc122947548"/>
      <w:bookmarkStart w:id="2219" w:name="_Toc124046386"/>
      <w:bookmarkStart w:id="2220" w:name="_Toc130266721"/>
      <w:bookmarkStart w:id="2221" w:name="_Toc130266997"/>
      <w:bookmarkStart w:id="2222" w:name="_Toc131383100"/>
      <w:bookmarkStart w:id="2223" w:name="_Toc133812481"/>
      <w:bookmarkStart w:id="2224" w:name="_Toc133920428"/>
      <w:bookmarkStart w:id="2225" w:name="_Toc134854825"/>
      <w:bookmarkStart w:id="2226" w:name="_Toc134855101"/>
      <w:bookmarkStart w:id="2227" w:name="_Toc136841278"/>
      <w:r>
        <w:rPr>
          <w:rStyle w:val="CharPartNo"/>
        </w:rPr>
        <w:t>Part V</w:t>
      </w:r>
      <w:r>
        <w:rPr>
          <w:rStyle w:val="CharDivNo"/>
        </w:rPr>
        <w:t> </w:t>
      </w:r>
      <w:r>
        <w:t>—</w:t>
      </w:r>
      <w:r>
        <w:rPr>
          <w:rStyle w:val="CharDivText"/>
        </w:rPr>
        <w:t> </w:t>
      </w:r>
      <w:r>
        <w:rPr>
          <w:rStyle w:val="CharPartText"/>
        </w:rPr>
        <w:t>Miscellaneous</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2228" w:name="_Toc49224019"/>
      <w:bookmarkStart w:id="2229" w:name="_Toc107055071"/>
      <w:bookmarkStart w:id="2230" w:name="_Toc134854826"/>
      <w:bookmarkStart w:id="2231" w:name="_Toc136841279"/>
      <w:bookmarkStart w:id="2232" w:name="_Toc500740084"/>
      <w:bookmarkStart w:id="2233" w:name="_Toc520101247"/>
      <w:bookmarkStart w:id="2234" w:name="_Toc520533146"/>
      <w:r>
        <w:rPr>
          <w:rStyle w:val="CharSectno"/>
        </w:rPr>
        <w:t>113</w:t>
      </w:r>
      <w:r>
        <w:t>.</w:t>
      </w:r>
      <w:r>
        <w:tab/>
        <w:t>Commissioner may impound unstamped documents</w:t>
      </w:r>
      <w:bookmarkEnd w:id="2228"/>
      <w:bookmarkEnd w:id="2229"/>
      <w:bookmarkEnd w:id="2230"/>
      <w:bookmarkEnd w:id="2231"/>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235" w:name="_Toc49224020"/>
      <w:bookmarkStart w:id="2236" w:name="_Toc107055072"/>
      <w:bookmarkStart w:id="2237" w:name="_Toc134854827"/>
      <w:bookmarkStart w:id="2238" w:name="_Toc136841280"/>
      <w:r>
        <w:rPr>
          <w:rStyle w:val="CharSectno"/>
        </w:rPr>
        <w:t>114</w:t>
      </w:r>
      <w:r>
        <w:t>.</w:t>
      </w:r>
      <w:r>
        <w:tab/>
        <w:t>Commissioner may destroy instruments</w:t>
      </w:r>
      <w:bookmarkEnd w:id="2235"/>
      <w:bookmarkEnd w:id="2236"/>
      <w:bookmarkEnd w:id="2237"/>
      <w:bookmarkEnd w:id="2238"/>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2239" w:name="_Toc49224021"/>
      <w:bookmarkStart w:id="2240" w:name="_Toc107055073"/>
      <w:bookmarkStart w:id="2241" w:name="_Toc134854828"/>
      <w:bookmarkStart w:id="2242" w:name="_Toc136841281"/>
      <w:r>
        <w:rPr>
          <w:rStyle w:val="CharSectno"/>
        </w:rPr>
        <w:t>119</w:t>
      </w:r>
      <w:r>
        <w:rPr>
          <w:snapToGrid w:val="0"/>
        </w:rPr>
        <w:t>.</w:t>
      </w:r>
      <w:r>
        <w:rPr>
          <w:snapToGrid w:val="0"/>
        </w:rPr>
        <w:tab/>
        <w:t>Certain exemptions where the State of Western Australia etc. is a party</w:t>
      </w:r>
      <w:bookmarkEnd w:id="2232"/>
      <w:bookmarkEnd w:id="2233"/>
      <w:bookmarkEnd w:id="2234"/>
      <w:bookmarkEnd w:id="2239"/>
      <w:bookmarkEnd w:id="2240"/>
      <w:bookmarkEnd w:id="2241"/>
      <w:bookmarkEnd w:id="2242"/>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2243" w:name="_Toc49224022"/>
      <w:bookmarkStart w:id="2244" w:name="_Toc107055074"/>
      <w:bookmarkStart w:id="2245" w:name="_Toc134854829"/>
      <w:bookmarkStart w:id="2246" w:name="_Toc136841282"/>
      <w:r>
        <w:rPr>
          <w:rStyle w:val="CharSectno"/>
        </w:rPr>
        <w:t>120</w:t>
      </w:r>
      <w:r>
        <w:t>.</w:t>
      </w:r>
      <w:r>
        <w:tab/>
        <w:t>Regulations</w:t>
      </w:r>
      <w:bookmarkEnd w:id="2243"/>
      <w:bookmarkEnd w:id="2244"/>
      <w:bookmarkEnd w:id="2245"/>
      <w:bookmarkEnd w:id="2246"/>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2247" w:name="_Toc49224023"/>
      <w:bookmarkStart w:id="2248" w:name="_Toc107055075"/>
      <w:bookmarkStart w:id="2249" w:name="_Toc134854830"/>
      <w:bookmarkStart w:id="2250" w:name="_Toc136841283"/>
      <w:r>
        <w:rPr>
          <w:rStyle w:val="CharSectno"/>
        </w:rPr>
        <w:t>121</w:t>
      </w:r>
      <w:r>
        <w:t>.</w:t>
      </w:r>
      <w:r>
        <w:tab/>
        <w:t>Application of section 1070A of the Corporations Act limited</w:t>
      </w:r>
      <w:bookmarkEnd w:id="2247"/>
      <w:bookmarkEnd w:id="2248"/>
      <w:bookmarkEnd w:id="2249"/>
      <w:bookmarkEnd w:id="2250"/>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yEdnoteschedule"/>
      </w:pPr>
      <w:r>
        <w:t>[First Schedule repealed by No. 2 of 2003 s. 140.]</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yScheduleHeading"/>
      </w:pPr>
      <w:bookmarkStart w:id="2251" w:name="_Toc520101250"/>
      <w:bookmarkStart w:id="2252" w:name="_Toc49224024"/>
      <w:bookmarkStart w:id="2253" w:name="_Toc49332683"/>
      <w:bookmarkStart w:id="2254" w:name="_Toc51126861"/>
      <w:bookmarkStart w:id="2255" w:name="_Toc101672378"/>
      <w:bookmarkStart w:id="2256" w:name="_Toc103403648"/>
      <w:bookmarkStart w:id="2257" w:name="_Toc103747647"/>
      <w:bookmarkStart w:id="2258" w:name="_Toc107055076"/>
      <w:bookmarkStart w:id="2259" w:name="_Toc113874523"/>
      <w:bookmarkStart w:id="2260" w:name="_Toc113956939"/>
      <w:bookmarkStart w:id="2261" w:name="_Toc116717495"/>
      <w:bookmarkStart w:id="2262" w:name="_Toc116813522"/>
      <w:bookmarkStart w:id="2263" w:name="_Toc122333175"/>
      <w:bookmarkStart w:id="2264" w:name="_Toc122862145"/>
      <w:bookmarkStart w:id="2265" w:name="_Toc122862741"/>
      <w:bookmarkStart w:id="2266" w:name="_Toc122921348"/>
      <w:bookmarkStart w:id="2267" w:name="_Toc122921608"/>
      <w:bookmarkStart w:id="2268" w:name="_Toc122947554"/>
      <w:bookmarkStart w:id="2269" w:name="_Toc124046392"/>
      <w:bookmarkStart w:id="2270" w:name="_Toc130266727"/>
      <w:bookmarkStart w:id="2271" w:name="_Toc130267003"/>
      <w:bookmarkStart w:id="2272" w:name="_Toc131383106"/>
      <w:bookmarkStart w:id="2273" w:name="_Toc133812487"/>
      <w:bookmarkStart w:id="2274" w:name="_Toc133920434"/>
      <w:bookmarkStart w:id="2275" w:name="_Toc134854831"/>
      <w:bookmarkStart w:id="2276" w:name="_Toc134855107"/>
      <w:bookmarkStart w:id="2277" w:name="_Toc136841284"/>
      <w:r>
        <w:rPr>
          <w:rStyle w:val="CharSchNo"/>
        </w:rPr>
        <w:t>Second Schedule</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yShoulderClause"/>
        <w:spacing w:before="0"/>
        <w:rPr>
          <w:snapToGrid w:val="0"/>
        </w:rPr>
      </w:pPr>
      <w:r>
        <w:rPr>
          <w:snapToGrid w:val="0"/>
        </w:rPr>
        <w:t>[Section 16(1)]</w:t>
      </w:r>
    </w:p>
    <w:p>
      <w:pPr>
        <w:pStyle w:val="yHeading2"/>
      </w:pPr>
      <w:bookmarkStart w:id="2278" w:name="_Toc49569867"/>
      <w:bookmarkStart w:id="2279" w:name="_Toc51491318"/>
      <w:bookmarkStart w:id="2280" w:name="_Toc51659581"/>
      <w:bookmarkStart w:id="2281" w:name="_Toc100458706"/>
      <w:bookmarkStart w:id="2282" w:name="_Toc101672379"/>
      <w:bookmarkStart w:id="2283" w:name="_Toc102982079"/>
      <w:bookmarkStart w:id="2284" w:name="_Toc103403649"/>
      <w:bookmarkStart w:id="2285" w:name="_Toc103747648"/>
      <w:bookmarkStart w:id="2286" w:name="_Toc107055077"/>
      <w:bookmarkStart w:id="2287" w:name="_Toc113874524"/>
      <w:bookmarkStart w:id="2288" w:name="_Toc113956940"/>
      <w:bookmarkStart w:id="2289" w:name="_Toc116717496"/>
      <w:bookmarkStart w:id="2290" w:name="_Toc116813523"/>
      <w:bookmarkStart w:id="2291" w:name="_Toc122333176"/>
      <w:bookmarkStart w:id="2292" w:name="_Toc122862146"/>
      <w:bookmarkStart w:id="2293" w:name="_Toc122862742"/>
      <w:bookmarkStart w:id="2294" w:name="_Toc122921349"/>
      <w:bookmarkStart w:id="2295" w:name="_Toc122921609"/>
      <w:bookmarkStart w:id="2296" w:name="_Toc122947555"/>
      <w:bookmarkStart w:id="2297" w:name="_Toc124046393"/>
      <w:bookmarkStart w:id="2298" w:name="_Toc130266728"/>
      <w:bookmarkStart w:id="2299" w:name="_Toc130267004"/>
      <w:bookmarkStart w:id="2300" w:name="_Toc131383107"/>
      <w:bookmarkStart w:id="2301" w:name="_Toc133812488"/>
      <w:bookmarkStart w:id="2302" w:name="_Toc133920435"/>
      <w:bookmarkStart w:id="2303" w:name="_Toc134854832"/>
      <w:bookmarkStart w:id="2304" w:name="_Toc134855108"/>
      <w:bookmarkStart w:id="2305" w:name="_Toc136841285"/>
      <w:r>
        <w:rPr>
          <w:rStyle w:val="CharSchText"/>
        </w:rPr>
        <w:t>Duties payable on instruments</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pacing w:val="-2"/>
                <w:sz w:val="18"/>
              </w:rPr>
            </w:pPr>
            <w:r>
              <w:rPr>
                <w:spacing w:val="-2"/>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pacing w:val="-2"/>
                <w:sz w:val="18"/>
              </w:rPr>
            </w:pPr>
            <w:r>
              <w:rPr>
                <w:spacing w:val="-2"/>
                <w:sz w:val="18"/>
              </w:rPr>
              <w:t>(1)</w:t>
            </w:r>
            <w:r>
              <w:rPr>
                <w:spacing w:val="-2"/>
                <w:sz w:val="18"/>
              </w:rPr>
              <w:tab/>
              <w:t xml:space="preserve">Any statement written out or caused to be written out by the owner or his agent, pursuant to the </w:t>
            </w:r>
            <w:r>
              <w:rPr>
                <w:i/>
                <w:spacing w:val="-2"/>
                <w:sz w:val="18"/>
              </w:rPr>
              <w:t>Cattle Industry Compensation Act 1965</w:t>
            </w:r>
            <w:r>
              <w:rPr>
                <w:spacing w:val="-2"/>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(a)</w:t>
            </w:r>
            <w:r>
              <w:rPr>
                <w:spacing w:val="-2"/>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r>
            <w:r>
              <w:rPr>
                <w:spacing w:val="-2"/>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(b)</w:t>
            </w:r>
            <w:r>
              <w:rPr>
                <w:spacing w:val="-2"/>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pacing w:val="-2"/>
                <w:sz w:val="18"/>
              </w:rPr>
            </w:pPr>
            <w:r>
              <w:rPr>
                <w:spacing w:val="-2"/>
                <w:sz w:val="18"/>
              </w:rPr>
              <w:t>(2)</w:t>
            </w:r>
            <w:r>
              <w:rPr>
                <w:spacing w:val="-2"/>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pacing w:val="-2"/>
                <w:sz w:val="18"/>
              </w:rPr>
            </w:pPr>
            <w:r>
              <w:rPr>
                <w:spacing w:val="-2"/>
                <w:sz w:val="18"/>
              </w:rPr>
              <w:t>CONVEYANCE OR TRANSFER ON SALE OF PROPERTY</w:t>
            </w:r>
          </w:p>
        </w:tc>
        <w:tc>
          <w:tcPr>
            <w:tcW w:w="1563" w:type="dxa"/>
          </w:tcPr>
          <w:p>
            <w:pPr>
              <w:pStyle w:val="yTable"/>
              <w:keepNext/>
              <w:spacing w:before="120"/>
              <w:rPr>
                <w:spacing w:val="-2"/>
                <w:sz w:val="18"/>
              </w:rPr>
            </w:pPr>
            <w:r>
              <w:rPr>
                <w:spacing w:val="-2"/>
                <w:sz w:val="18"/>
              </w:rPr>
              <w:t xml:space="preserve"> </w:t>
            </w:r>
          </w:p>
        </w:tc>
        <w:tc>
          <w:tcPr>
            <w:tcW w:w="1419" w:type="dxa"/>
            <w:gridSpan w:val="2"/>
          </w:tcPr>
          <w:p>
            <w:pPr>
              <w:pStyle w:val="yTable"/>
              <w:keepNext/>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pacing w:val="-2"/>
                <w:sz w:val="18"/>
              </w:rPr>
            </w:pPr>
            <w:r>
              <w:rPr>
                <w:spacing w:val="-2"/>
                <w:sz w:val="18"/>
              </w:rPr>
              <w:t>(1)</w:t>
            </w:r>
            <w:r>
              <w:rPr>
                <w:spacing w:val="-2"/>
                <w:sz w:val="18"/>
              </w:rPr>
              <w:tab/>
              <w:t xml:space="preserve">Transfer of land under the </w:t>
            </w:r>
            <w:r>
              <w:rPr>
                <w:i/>
                <w:spacing w:val="-2"/>
                <w:sz w:val="18"/>
              </w:rPr>
              <w:t>Transfer of Land Act 1893</w:t>
            </w:r>
            <w:r>
              <w:rPr>
                <w:spacing w:val="-2"/>
                <w:sz w:val="18"/>
              </w:rPr>
              <w:t xml:space="preserve"> on a sale thereof or conveyance or transfer of any other property —</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pacing w:val="-2"/>
                <w:sz w:val="18"/>
              </w:rPr>
            </w:pPr>
            <w:r>
              <w:rPr>
                <w:spacing w:val="-2"/>
                <w:sz w:val="18"/>
              </w:rPr>
              <w:tab/>
              <w:t>Where the amount or value of the consideration —</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pacing w:val="-2"/>
                <w:sz w:val="18"/>
              </w:rPr>
            </w:pPr>
            <w:r>
              <w:rPr>
                <w:spacing w:val="-2"/>
                <w:sz w:val="18"/>
              </w:rPr>
              <w:tab/>
              <w:t>(a)</w:t>
            </w:r>
            <w:r>
              <w:rPr>
                <w:spacing w:val="-2"/>
                <w:sz w:val="18"/>
              </w:rPr>
              <w:tab/>
              <w:t>does not exceed $80 000 ........</w:t>
            </w:r>
          </w:p>
        </w:tc>
        <w:tc>
          <w:tcPr>
            <w:tcW w:w="1563" w:type="dxa"/>
          </w:tcPr>
          <w:p>
            <w:pPr>
              <w:pStyle w:val="yTable"/>
              <w:keepNext/>
              <w:keepLines/>
              <w:spacing w:before="0"/>
              <w:ind w:right="-113"/>
              <w:rPr>
                <w:spacing w:val="-2"/>
                <w:sz w:val="18"/>
              </w:rPr>
            </w:pPr>
            <w:r>
              <w:rPr>
                <w:spacing w:val="-2"/>
                <w:sz w:val="18"/>
              </w:rPr>
              <w:t>$2.00</w:t>
            </w:r>
            <w:r>
              <w:t xml:space="preserve"> </w:t>
            </w:r>
            <w:r>
              <w:rPr>
                <w:spacing w:val="-2"/>
                <w:sz w:val="18"/>
              </w:rPr>
              <w:t>for every $100 of the amount or value of the consideration and every fractional part of $100</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t>(b)</w:t>
            </w:r>
            <w:r>
              <w:rPr>
                <w:spacing w:val="-2"/>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pacing w:val="-2"/>
                <w:sz w:val="18"/>
              </w:rPr>
              <w:t xml:space="preserve">$1 600 and $3.00 </w:t>
            </w:r>
            <w:r>
              <w:rPr>
                <w:sz w:val="18"/>
              </w:rPr>
              <w:t>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pacing w:val="-2"/>
                <w:sz w:val="18"/>
              </w:rPr>
              <w:t xml:space="preserve">$2 200 and $4.00 </w:t>
            </w:r>
            <w:r>
              <w:rPr>
                <w:sz w:val="18"/>
              </w:rPr>
              <w:t>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pacing w:val="-2"/>
                <w:sz w:val="18"/>
              </w:rPr>
              <w:t xml:space="preserve">$8 200 and $5.00 </w:t>
            </w:r>
            <w:r>
              <w:rPr>
                <w:sz w:val="18"/>
              </w:rPr>
              <w:t>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pacing w:val="-2"/>
                <w:sz w:val="18"/>
              </w:rPr>
              <w:t xml:space="preserve">$20 700 and $5.40 </w:t>
            </w:r>
            <w:r>
              <w:rPr>
                <w:sz w:val="18"/>
              </w:rPr>
              <w:t>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(2)</w:t>
            </w:r>
            <w:r>
              <w:rPr>
                <w:spacing w:val="-2"/>
                <w:sz w:val="18"/>
              </w:rPr>
              <w:tab/>
              <w:t xml:space="preserve">Transfer under the </w:t>
            </w:r>
            <w:r>
              <w:rPr>
                <w:i/>
                <w:spacing w:val="-2"/>
                <w:sz w:val="18"/>
              </w:rPr>
              <w:t>Transfer of Land Act 1893</w:t>
            </w:r>
            <w:r>
              <w:rPr>
                <w:spacing w:val="-2"/>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$250 000......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 xml:space="preserve">exceeds </w:t>
            </w:r>
            <w:r>
              <w:rPr>
                <w:spacing w:val="-2"/>
                <w:sz w:val="18"/>
              </w:rPr>
              <w:t>$250 000</w:t>
            </w:r>
            <w:r>
              <w:rPr>
                <w:sz w:val="18"/>
              </w:rPr>
              <w:t xml:space="preserve"> but does not exceed </w:t>
            </w:r>
            <w:r>
              <w:rPr>
                <w:spacing w:val="-2"/>
                <w:sz w:val="18"/>
              </w:rPr>
              <w:t>$350 000</w:t>
            </w:r>
            <w:r>
              <w:rPr>
                <w:sz w:val="18"/>
              </w:rPr>
              <w:t xml:space="preserve"> ...................</w:t>
            </w:r>
          </w:p>
        </w:tc>
        <w:tc>
          <w:tcPr>
            <w:tcW w:w="1563" w:type="dxa"/>
            <w:tcBorders>
              <w:top w:val="nil"/>
              <w:left w:val="nil"/>
              <w:bottom w:val="nil"/>
              <w:right w:val="nil"/>
            </w:tcBorders>
          </w:tcPr>
          <w:p>
            <w:pPr>
              <w:pStyle w:val="yTable"/>
              <w:spacing w:before="0"/>
              <w:rPr>
                <w:sz w:val="18"/>
              </w:rPr>
            </w:pPr>
            <w:r>
              <w:rPr>
                <w:spacing w:val="-2"/>
                <w:sz w:val="18"/>
              </w:rPr>
              <w:br/>
              <w:t xml:space="preserve">$13.20 </w:t>
            </w:r>
            <w:r>
              <w:rPr>
                <w:sz w:val="18"/>
              </w:rPr>
              <w:t xml:space="preserve">for every $100 and any fractional part of $100 by which the amount or value of the consideration exceeds </w:t>
            </w:r>
            <w:r>
              <w:rPr>
                <w:spacing w:val="-2"/>
                <w:sz w:val="18"/>
              </w:rPr>
              <w:t>$250 000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r>
            <w:r>
              <w:rPr>
                <w:spacing w:val="-2"/>
                <w:sz w:val="18"/>
              </w:rPr>
              <w:t>Transfer</w:t>
            </w:r>
            <w:r>
              <w:rPr>
                <w:sz w:val="18"/>
              </w:rPr>
              <w:t xml:space="preserve">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$150 000.......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 xml:space="preserve">exceeds </w:t>
            </w:r>
            <w:r>
              <w:rPr>
                <w:spacing w:val="-2"/>
                <w:sz w:val="18"/>
              </w:rPr>
              <w:t xml:space="preserve">$150 000 </w:t>
            </w:r>
            <w:r>
              <w:rPr>
                <w:sz w:val="18"/>
              </w:rPr>
              <w:t xml:space="preserve">but does not exceed </w:t>
            </w:r>
            <w:r>
              <w:rPr>
                <w:spacing w:val="-2"/>
                <w:sz w:val="18"/>
              </w:rPr>
              <w:t>$200 000......................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 xml:space="preserve">$12.40 for every $100 and for any fractional part of $100 by which the amount or value of the consideration exceeds </w:t>
            </w:r>
            <w:r>
              <w:rPr>
                <w:spacing w:val="-2"/>
                <w:sz w:val="18"/>
              </w:rPr>
              <w:t>$150 000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iCs/>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r>
              <w:rPr>
                <w:i/>
                <w:spacing w:val="-2"/>
                <w:sz w:val="18"/>
              </w:rPr>
              <w:t>[(2)     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pacing w:val="-2"/>
                <w:sz w:val="18"/>
              </w:rPr>
            </w:pPr>
            <w:r>
              <w:rPr>
                <w:sz w:val="18"/>
              </w:rPr>
              <w:t>(1)</w:t>
            </w:r>
          </w:p>
        </w:tc>
        <w:tc>
          <w:tcPr>
            <w:tcW w:w="2671" w:type="dxa"/>
          </w:tcPr>
          <w:p>
            <w:pPr>
              <w:pStyle w:val="yTable"/>
              <w:tabs>
                <w:tab w:val="left" w:pos="611"/>
              </w:tabs>
              <w:rPr>
                <w:spacing w:val="-2"/>
                <w:sz w:val="18"/>
              </w:rPr>
            </w:pPr>
            <w:r>
              <w:rPr>
                <w:sz w:val="18"/>
              </w:rPr>
              <w:t>If no advance has been made under the mortgage....................................</w:t>
            </w:r>
          </w:p>
        </w:tc>
        <w:tc>
          <w:tcPr>
            <w:tcW w:w="1563" w:type="dxa"/>
          </w:tcPr>
          <w:p>
            <w:pPr>
              <w:pStyle w:val="yTable"/>
              <w:rPr>
                <w:spacing w:val="-2"/>
                <w:sz w:val="18"/>
              </w:rPr>
            </w:pPr>
            <w:r>
              <w:rPr>
                <w:spacing w:val="-2"/>
                <w:sz w:val="18"/>
              </w:rPr>
              <w:br/>
              <w:t>$20.00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pacing w:val="-2"/>
                <w:sz w:val="18"/>
              </w:rPr>
            </w:pPr>
            <w:r>
              <w:rPr>
                <w:sz w:val="18"/>
              </w:rPr>
              <w:t>(2)</w:t>
            </w:r>
            <w:r>
              <w:rPr>
                <w:sz w:val="18"/>
              </w:rPr>
              <w:tab/>
            </w:r>
          </w:p>
        </w:tc>
        <w:tc>
          <w:tcPr>
            <w:tcW w:w="2671" w:type="dxa"/>
          </w:tcPr>
          <w:p>
            <w:pPr>
              <w:pStyle w:val="yTable"/>
              <w:rPr>
                <w:spacing w:val="-2"/>
                <w:sz w:val="18"/>
              </w:rPr>
            </w:pPr>
            <w:r>
              <w:rPr>
                <w:sz w:val="18"/>
              </w:rPr>
              <w:t>For the amount secured by a mortgage other than a home mortgage.........................................</w:t>
            </w:r>
          </w:p>
        </w:tc>
        <w:tc>
          <w:tcPr>
            <w:tcW w:w="1563" w:type="dxa"/>
          </w:tcPr>
          <w:p>
            <w:pPr>
              <w:pStyle w:val="yTable"/>
              <w:rPr>
                <w:spacing w:val="-2"/>
                <w:sz w:val="18"/>
              </w:rPr>
            </w:pPr>
            <w:r>
              <w:rPr>
                <w:spacing w:val="-2"/>
                <w:sz w:val="18"/>
              </w:rPr>
              <w:br/>
            </w:r>
            <w:r>
              <w:rPr>
                <w:spacing w:val="-2"/>
                <w:sz w:val="18"/>
              </w:rPr>
              <w:br/>
              <w:t>$20.00 for any amount up to and including $5 000,</w:t>
            </w:r>
          </w:p>
          <w:p>
            <w:pPr>
              <w:pStyle w:val="yTable"/>
              <w:rPr>
                <w:spacing w:val="-2"/>
                <w:sz w:val="18"/>
              </w:rPr>
            </w:pPr>
            <w:r>
              <w:rPr>
                <w:spacing w:val="-2"/>
                <w:sz w:val="18"/>
              </w:rPr>
              <w:t>plus $0.40 for each additional $100 and every fractional part of $100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(2a)</w:t>
            </w:r>
            <w:r>
              <w:rPr>
                <w:spacing w:val="-2"/>
                <w:sz w:val="18"/>
              </w:rPr>
              <w:tab/>
              <w:t>For the amount secured by a home mortgage where the whole of the secured amount is used for the mortgagor’s dwellinghouse as provided in section 85(2)......................</w:t>
            </w:r>
          </w:p>
        </w:tc>
        <w:tc>
          <w:tcPr>
            <w:tcW w:w="1563" w:type="dxa"/>
          </w:tcPr>
          <w:p>
            <w:pPr>
              <w:pStyle w:val="yTable"/>
              <w:keepNext/>
              <w:rPr>
                <w:spacing w:val="-2"/>
                <w:sz w:val="18"/>
              </w:rPr>
            </w:pPr>
            <w:r>
              <w:rPr>
                <w:spacing w:val="-2"/>
                <w:sz w:val="18"/>
              </w:rPr>
              <w:br/>
            </w:r>
            <w:r>
              <w:rPr>
                <w:spacing w:val="-2"/>
                <w:sz w:val="18"/>
              </w:rPr>
              <w:br/>
            </w:r>
            <w:r>
              <w:rPr>
                <w:spacing w:val="-2"/>
                <w:sz w:val="18"/>
              </w:rPr>
              <w:br/>
            </w:r>
            <w:r>
              <w:rPr>
                <w:spacing w:val="-2"/>
                <w:sz w:val="18"/>
              </w:rPr>
              <w:br/>
              <w:t>$20.00 for any amount up to and including $8 000</w:t>
            </w:r>
          </w:p>
          <w:p>
            <w:pPr>
              <w:pStyle w:val="yTable"/>
              <w:spacing w:before="0"/>
              <w:rPr>
                <w:spacing w:val="-2"/>
                <w:sz w:val="16"/>
              </w:rPr>
            </w:pPr>
            <w:r>
              <w:rPr>
                <w:spacing w:val="-2"/>
                <w:sz w:val="18"/>
              </w:rPr>
              <w:t>plus $0.25 for each additional $100 and every fractional part of $100</w:t>
            </w:r>
          </w:p>
        </w:tc>
        <w:tc>
          <w:tcPr>
            <w:tcW w:w="1419" w:type="dxa"/>
            <w:gridSpan w:val="2"/>
          </w:tcPr>
          <w:p>
            <w:pPr>
              <w:pStyle w:val="yTable"/>
              <w:spacing w:before="40"/>
              <w:rPr>
                <w:spacing w:val="-2"/>
                <w:sz w:val="16"/>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pacing w:val="-2"/>
                <w:sz w:val="18"/>
              </w:rPr>
            </w:pPr>
            <w:r>
              <w:rPr>
                <w:spacing w:val="-2"/>
                <w:sz w:val="18"/>
              </w:rPr>
              <w:t>(2b)</w:t>
            </w:r>
            <w:r>
              <w:rPr>
                <w:spacing w:val="-2"/>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$20.00 for any amount up to and including $8 000 plus $0.25 for each additional $100 and every fractional part of $100 that is used for the mortgagor’s dwellinghouse, plus $0.40 for each $100 and every fractional part of $100 that is not used for the mortgagor’s dwellinghouse</w:t>
            </w:r>
          </w:p>
        </w:tc>
        <w:tc>
          <w:tcPr>
            <w:tcW w:w="1419" w:type="dxa"/>
            <w:gridSpan w:val="2"/>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(3)</w:t>
            </w:r>
            <w:r>
              <w:rPr>
                <w:spacing w:val="-2"/>
                <w:sz w:val="18"/>
              </w:rPr>
              <w:tab/>
            </w:r>
            <w:r>
              <w:rPr>
                <w:sz w:val="18"/>
              </w:rPr>
              <w:t>An</w:t>
            </w:r>
            <w:r>
              <w:rPr>
                <w:spacing w:val="-2"/>
                <w:sz w:val="18"/>
              </w:rPr>
              <w:t xml:space="preserve"> instrument setting out the transfer or assignment of any mortgage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w:t>
            </w:r>
            <w:r>
              <w:rPr>
                <w:spacing w:val="-2"/>
                <w:sz w:val="18"/>
              </w:rPr>
              <w:tab/>
              <w:t xml:space="preserve">by way of sale for a consideration in money or money’s worth for not less than market value.....................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(aa)</w:t>
            </w:r>
            <w:r>
              <w:rPr>
                <w:spacing w:val="-2"/>
                <w:sz w:val="18"/>
              </w:rPr>
              <w:tab/>
              <w:t xml:space="preserve">by way of sale, other than a sale to which paragraph (a) of this subitem applies..................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See item 4</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z w:val="18"/>
              </w:rPr>
              <w:tab/>
              <w:t>(</w:t>
            </w:r>
            <w:r>
              <w:rPr>
                <w:spacing w:val="-2"/>
                <w:sz w:val="18"/>
              </w:rPr>
              <w:t>b)</w:t>
            </w:r>
            <w:r>
              <w:rPr>
                <w:spacing w:val="-2"/>
                <w:sz w:val="18"/>
              </w:rPr>
              <w:tab/>
              <w:t>by way of gift............................</w:t>
            </w:r>
          </w:p>
        </w:tc>
        <w:tc>
          <w:tcPr>
            <w:tcW w:w="1563" w:type="dxa"/>
          </w:tcPr>
          <w:p>
            <w:pPr>
              <w:pStyle w:val="yTable"/>
              <w:spacing w:before="40"/>
              <w:rPr>
                <w:spacing w:val="-2"/>
                <w:sz w:val="18"/>
              </w:rPr>
            </w:pPr>
            <w:r>
              <w:rPr>
                <w:spacing w:val="-2"/>
                <w:sz w:val="18"/>
              </w:rPr>
              <w:t>See item 19</w:t>
            </w:r>
          </w:p>
        </w:tc>
        <w:tc>
          <w:tcPr>
            <w:tcW w:w="1419" w:type="dxa"/>
            <w:gridSpan w:val="2"/>
          </w:tcPr>
          <w:p>
            <w:pPr>
              <w:pStyle w:val="yTable"/>
              <w:spacing w:before="40"/>
              <w:rPr>
                <w:spacing w:val="-2"/>
                <w:sz w:val="18"/>
              </w:rPr>
            </w:pPr>
            <w:r>
              <w:rPr>
                <w:spacing w:val="-2"/>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pacing w:val="-2"/>
                <w:sz w:val="18"/>
              </w:rPr>
            </w:pPr>
            <w:r>
              <w:rPr>
                <w:i/>
                <w:spacing w:val="-2"/>
                <w:sz w:val="18"/>
              </w:rPr>
              <w:tab/>
              <w:t>[(c)</w:t>
            </w:r>
            <w:r>
              <w:rPr>
                <w:i/>
                <w:spacing w:val="-2"/>
                <w:sz w:val="18"/>
              </w:rPr>
              <w:tab/>
              <w:t>deleted]</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(d)</w:t>
            </w:r>
            <w:r>
              <w:rPr>
                <w:spacing w:val="-2"/>
                <w:sz w:val="18"/>
              </w:rPr>
              <w:tab/>
              <w:t>of any other kind.......................</w:t>
            </w:r>
          </w:p>
        </w:tc>
        <w:tc>
          <w:tcPr>
            <w:tcW w:w="1563" w:type="dxa"/>
          </w:tcPr>
          <w:p>
            <w:pPr>
              <w:pStyle w:val="yTable"/>
              <w:spacing w:before="40"/>
              <w:rPr>
                <w:spacing w:val="-2"/>
                <w:sz w:val="18"/>
              </w:rPr>
            </w:pPr>
            <w:r>
              <w:rPr>
                <w:spacing w:val="-2"/>
                <w:sz w:val="18"/>
              </w:rPr>
              <w:t>20.00</w:t>
            </w:r>
          </w:p>
        </w:tc>
        <w:tc>
          <w:tcPr>
            <w:tcW w:w="1419" w:type="dxa"/>
            <w:gridSpan w:val="2"/>
          </w:tcPr>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120"/>
              <w:rPr>
                <w:caps/>
                <w:sz w:val="18"/>
              </w:rPr>
            </w:pPr>
            <w:r>
              <w:rPr>
                <w:caps/>
                <w:sz w:val="18"/>
              </w:rPr>
              <w:t>14.</w:t>
            </w:r>
          </w:p>
        </w:tc>
        <w:tc>
          <w:tcPr>
            <w:tcW w:w="3402" w:type="dxa"/>
            <w:gridSpan w:val="2"/>
          </w:tcPr>
          <w:p>
            <w:pPr>
              <w:pStyle w:val="yTable"/>
              <w:tabs>
                <w:tab w:val="right" w:leader="dot" w:pos="3205"/>
              </w:tabs>
              <w:spacing w:before="120"/>
              <w:ind w:right="448"/>
              <w:rPr>
                <w:caps/>
                <w:sz w:val="18"/>
              </w:rPr>
            </w:pPr>
            <w:r>
              <w:rPr>
                <w:caps/>
                <w:sz w:val="18"/>
              </w:rPr>
              <w:t>VEHICLE LICENCES, GRANT OR TRANSFER</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spacing w:before="40"/>
              <w:rPr>
                <w:sz w:val="18"/>
              </w:rPr>
            </w:pPr>
          </w:p>
        </w:tc>
        <w:tc>
          <w:tcPr>
            <w:tcW w:w="1419" w:type="dxa"/>
            <w:gridSpan w:val="2"/>
            <w:vMerge w:val="restart"/>
          </w:tcPr>
          <w:p>
            <w:pPr>
              <w:pStyle w:val="yTable"/>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$15 000</w:t>
            </w:r>
          </w:p>
        </w:tc>
        <w:tc>
          <w:tcPr>
            <w:tcW w:w="1563" w:type="dxa"/>
          </w:tcPr>
          <w:p>
            <w:pPr>
              <w:pStyle w:val="yTable"/>
              <w:spacing w:before="40"/>
              <w:rPr>
                <w:spacing w:val="-2"/>
                <w:sz w:val="18"/>
              </w:rPr>
            </w:pPr>
          </w:p>
          <w:p>
            <w:pPr>
              <w:pStyle w:val="yTable"/>
              <w:spacing w:before="0"/>
              <w:ind w:left="113"/>
              <w:rPr>
                <w:spacing w:val="-2"/>
                <w:sz w:val="18"/>
              </w:rPr>
            </w:pPr>
            <w:r>
              <w:rPr>
                <w:spacing w:val="-2"/>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spacing w:before="40"/>
              <w:ind w:right="1531"/>
              <w:rPr>
                <w:sz w:val="18"/>
              </w:rPr>
            </w:pPr>
          </w:p>
          <w:p>
            <w:pPr>
              <w:pStyle w:val="yTable"/>
              <w:spacing w:before="40"/>
              <w:ind w:right="465"/>
              <w:rPr>
                <w:sz w:val="18"/>
              </w:rPr>
            </w:pPr>
            <w:r>
              <w:rPr>
                <w:position w:val="-28"/>
                <w:sz w:val="18"/>
              </w:rPr>
              <w:pict>
                <v:shape id="_x0000_i1036" type="#_x0000_t75" style="width:113.25pt;height:33pt">
                  <v:imagedata r:id="rId33" o:title=""/>
                </v:shape>
              </w:pi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 xml:space="preserve">On the grant of a licence for a heavy vehicle that has not previously been used nor licensed or registered under the </w:t>
            </w:r>
            <w:r>
              <w:rPr>
                <w:i/>
                <w:sz w:val="18"/>
              </w:rPr>
              <w:t>Road Traffic Act 1974</w:t>
            </w:r>
            <w:r>
              <w:rPr>
                <w:sz w:val="18"/>
              </w:rPr>
              <w:t xml:space="preserve"> or a corresponding State law ......................</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On the grant or transfer of a licence for any other heavy vehicle —</w:t>
            </w: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(a)</w:t>
            </w:r>
            <w:r>
              <w:rPr>
                <w:sz w:val="18"/>
              </w:rPr>
              <w:tab/>
              <w:t>where the market value of the vehicle does not exceed $15 000</w:t>
            </w:r>
          </w:p>
        </w:tc>
        <w:tc>
          <w:tcPr>
            <w:tcW w:w="1701" w:type="dxa"/>
            <w:gridSpan w:val="2"/>
          </w:tcPr>
          <w:p>
            <w:pPr>
              <w:pStyle w:val="yTable"/>
              <w:tabs>
                <w:tab w:val="left" w:pos="414"/>
                <w:tab w:val="left" w:pos="981"/>
              </w:tabs>
              <w:spacing w:before="0"/>
              <w:ind w:left="981" w:hanging="981"/>
              <w:rPr>
                <w:sz w:val="18"/>
              </w:rPr>
            </w:pPr>
          </w:p>
          <w:p>
            <w:pPr>
              <w:pStyle w:val="yTable"/>
              <w:spacing w:before="0"/>
              <w:rPr>
                <w:b/>
                <w:sz w:val="18"/>
              </w:rPr>
            </w:pPr>
            <w:bookmarkStart w:id="2306" w:name="_Toc113874525"/>
            <w:bookmarkStart w:id="2307" w:name="_Toc113956941"/>
            <w:bookmarkStart w:id="2308" w:name="_Toc116717497"/>
            <w:bookmarkStart w:id="2309" w:name="_Toc116813524"/>
            <w:bookmarkStart w:id="2310" w:name="_Toc122333177"/>
            <w:bookmarkStart w:id="2311" w:name="_Toc122862147"/>
            <w:bookmarkStart w:id="2312" w:name="_Toc122862743"/>
            <w:bookmarkStart w:id="2313" w:name="_Toc122921350"/>
            <w:bookmarkStart w:id="2314" w:name="_Toc122921610"/>
            <w:bookmarkStart w:id="2315" w:name="_Toc122947556"/>
            <w:bookmarkStart w:id="2316" w:name="_Toc124046394"/>
            <w:bookmarkStart w:id="2317" w:name="_Toc130266729"/>
            <w:bookmarkStart w:id="2318" w:name="_Toc130267005"/>
            <w:bookmarkStart w:id="2319" w:name="_Toc131383108"/>
            <w:bookmarkStart w:id="2320" w:name="_Toc133812489"/>
            <w:r>
              <w:rPr>
                <w:sz w:val="18"/>
              </w:rPr>
              <w:t>2.5% of the market value</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tc>
        <w:tc>
          <w:tcPr>
            <w:tcW w:w="1281" w:type="dxa"/>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rPr>
                <w:sz w:val="18"/>
              </w:rPr>
            </w:pPr>
          </w:p>
          <w:p>
            <w:pPr>
              <w:pStyle w:val="yTable"/>
              <w:rPr>
                <w:sz w:val="18"/>
              </w:rPr>
            </w:pPr>
            <w:r>
              <w:rPr>
                <w:position w:val="-28"/>
                <w:sz w:val="18"/>
              </w:rPr>
              <w:pict>
                <v:shape id="_x0000_i1037" type="#_x0000_t75" style="width:108pt;height:33pt">
                  <v:imagedata r:id="rId34" o:title=""/>
                </v:shape>
              </w:pict>
            </w:r>
          </w:p>
          <w:p>
            <w:pPr>
              <w:pStyle w:val="yTable"/>
            </w:pPr>
            <w:bookmarkStart w:id="2321" w:name="_Toc113874526"/>
            <w:bookmarkStart w:id="2322" w:name="_Toc113956942"/>
            <w:bookmarkStart w:id="2323" w:name="_Toc116717498"/>
            <w:bookmarkStart w:id="2324" w:name="_Toc116813525"/>
            <w:r>
              <w:rPr>
                <w:sz w:val="18"/>
              </w:rPr>
              <w:t>(rounded to 2 decimal places) of the market value (MV)</w:t>
            </w:r>
            <w:bookmarkEnd w:id="2321"/>
            <w:bookmarkEnd w:id="2322"/>
            <w:bookmarkEnd w:id="2323"/>
            <w:bookmarkEnd w:id="2324"/>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563" w:type="dxa"/>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5% of the market value; and</w:t>
            </w:r>
          </w:p>
          <w:p>
            <w:pPr>
              <w:pStyle w:val="yTable"/>
              <w:tabs>
                <w:tab w:val="left" w:pos="397"/>
              </w:tabs>
              <w:spacing w:before="0"/>
              <w:ind w:left="397" w:hanging="397"/>
              <w:rPr>
                <w:sz w:val="18"/>
              </w:rPr>
            </w:pPr>
            <w:r>
              <w:rPr>
                <w:sz w:val="18"/>
              </w:rPr>
              <w:t>(b)</w:t>
            </w:r>
            <w:r>
              <w:rPr>
                <w:sz w:val="18"/>
              </w:rPr>
              <w:tab/>
              <w:t>$20 000</w:t>
            </w:r>
          </w:p>
        </w:tc>
        <w:tc>
          <w:tcPr>
            <w:tcW w:w="1419" w:type="dxa"/>
            <w:gridSpan w:val="2"/>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zyHeading4"/>
              <w:keepNext w:val="0"/>
              <w:tabs>
                <w:tab w:val="left" w:pos="397"/>
              </w:tabs>
              <w:spacing w:before="0"/>
              <w:ind w:left="397" w:hanging="397"/>
              <w:rPr>
                <w:sz w:val="18"/>
              </w:rPr>
            </w:pPr>
          </w:p>
        </w:tc>
        <w:tc>
          <w:tcPr>
            <w:tcW w:w="1563" w:type="dxa"/>
          </w:tcPr>
          <w:p>
            <w:pPr>
              <w:pStyle w:val="yTable"/>
              <w:spacing w:before="0"/>
              <w:rPr>
                <w:sz w:val="18"/>
              </w:rPr>
            </w:pPr>
          </w:p>
          <w:p>
            <w:pPr>
              <w:pStyle w:val="yTable"/>
              <w:spacing w:before="0"/>
              <w:rPr>
                <w:sz w:val="18"/>
              </w:rPr>
            </w:pPr>
            <w:r>
              <w:rPr>
                <w:sz w:val="18"/>
              </w:rPr>
              <w:t>The duty payable under item 14 is to be rounded down to the nearest 5 cents</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14A.</w:t>
            </w:r>
          </w:p>
        </w:tc>
        <w:tc>
          <w:tcPr>
            <w:tcW w:w="3402" w:type="dxa"/>
            <w:gridSpan w:val="2"/>
          </w:tcPr>
          <w:p>
            <w:pPr>
              <w:pStyle w:val="yTable"/>
              <w:keepNext/>
              <w:spacing w:before="120"/>
              <w:rPr>
                <w:spacing w:val="-2"/>
                <w:sz w:val="18"/>
              </w:rPr>
            </w:pPr>
            <w:r>
              <w:rPr>
                <w:spacing w:val="-2"/>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keepNext/>
              <w:spacing w:before="120"/>
              <w:ind w:right="-113"/>
              <w:rPr>
                <w:spacing w:val="-2"/>
                <w:sz w:val="18"/>
              </w:rPr>
            </w:pPr>
            <w:r>
              <w:rPr>
                <w:spacing w:val="-2"/>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15.</w:t>
            </w:r>
          </w:p>
        </w:tc>
        <w:tc>
          <w:tcPr>
            <w:tcW w:w="3402" w:type="dxa"/>
            <w:gridSpan w:val="2"/>
          </w:tcPr>
          <w:p>
            <w:pPr>
              <w:pStyle w:val="yTable"/>
              <w:spacing w:before="120"/>
              <w:rPr>
                <w:spacing w:val="-2"/>
                <w:sz w:val="18"/>
              </w:rPr>
            </w:pPr>
            <w:r>
              <w:rPr>
                <w:spacing w:val="-2"/>
                <w:sz w:val="18"/>
              </w:rPr>
              <w:t>PARTITION</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(1)</w:t>
            </w:r>
            <w:r>
              <w:rPr>
                <w:spacing w:val="-2"/>
                <w:sz w:val="18"/>
              </w:rPr>
              <w:tab/>
              <w:t>Any instrument effecting a partition of any property ........................................</w:t>
            </w:r>
          </w:p>
        </w:tc>
        <w:tc>
          <w:tcPr>
            <w:tcW w:w="1563" w:type="dxa"/>
          </w:tcPr>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r>
              <w:rPr>
                <w:spacing w:val="-2"/>
                <w:sz w:val="18"/>
              </w:rPr>
              <w:t>The parties</w:t>
            </w:r>
            <w:r>
              <w:rPr>
                <w:spacing w:val="-2"/>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Any instrument setting out any amount required to achieve equality ................</w:t>
            </w:r>
          </w:p>
        </w:tc>
        <w:tc>
          <w:tcPr>
            <w:tcW w:w="1563" w:type="dxa"/>
          </w:tcPr>
          <w:p>
            <w:pPr>
              <w:pStyle w:val="yTable"/>
              <w:spacing w:before="0"/>
              <w:rPr>
                <w:spacing w:val="-2"/>
                <w:sz w:val="18"/>
              </w:rPr>
            </w:pPr>
          </w:p>
          <w:p>
            <w:pPr>
              <w:pStyle w:val="yTable"/>
              <w:spacing w:before="40"/>
              <w:rPr>
                <w:spacing w:val="-2"/>
                <w:sz w:val="18"/>
              </w:rPr>
            </w:pPr>
            <w:r>
              <w:rPr>
                <w:spacing w:val="-2"/>
                <w:sz w:val="18"/>
              </w:rPr>
              <w:t>See section 75AD</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z w:val="18"/>
              </w:rPr>
              <w:t>16.</w:t>
            </w:r>
          </w:p>
        </w:tc>
        <w:tc>
          <w:tcPr>
            <w:tcW w:w="3402" w:type="dxa"/>
            <w:gridSpan w:val="2"/>
          </w:tcPr>
          <w:p>
            <w:pPr>
              <w:pStyle w:val="yTable"/>
              <w:tabs>
                <w:tab w:val="left" w:pos="394"/>
              </w:tabs>
              <w:spacing w:before="120"/>
              <w:ind w:left="414" w:hanging="414"/>
              <w:rPr>
                <w:spacing w:val="-2"/>
                <w:sz w:val="18"/>
              </w:rPr>
            </w:pPr>
            <w:r>
              <w:rPr>
                <w:sz w:val="18"/>
              </w:rPr>
              <w:t>POLICY OF INSURANCE</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pacing w:val="-2"/>
                <w:sz w:val="18"/>
              </w:rPr>
              <w:t>(1)</w:t>
            </w:r>
            <w:r>
              <w:rPr>
                <w:spacing w:val="-2"/>
                <w:sz w:val="18"/>
              </w:rPr>
              <w:tab/>
              <w:t>A return under section 94 ......................</w:t>
            </w:r>
          </w:p>
        </w:tc>
        <w:tc>
          <w:tcPr>
            <w:tcW w:w="1563" w:type="dxa"/>
          </w:tcPr>
          <w:p>
            <w:pPr>
              <w:pStyle w:val="yTable"/>
              <w:spacing w:before="40"/>
              <w:rPr>
                <w:spacing w:val="-2"/>
                <w:sz w:val="18"/>
              </w:rPr>
            </w:pPr>
            <w:r>
              <w:rPr>
                <w:spacing w:val="-2"/>
                <w:sz w:val="18"/>
              </w:rPr>
              <w:t>See section 94A</w:t>
            </w:r>
          </w:p>
        </w:tc>
        <w:tc>
          <w:tcPr>
            <w:tcW w:w="1419" w:type="dxa"/>
            <w:gridSpan w:val="2"/>
          </w:tcPr>
          <w:p>
            <w:pPr>
              <w:pStyle w:val="yTable"/>
              <w:spacing w:before="40"/>
              <w:rPr>
                <w:spacing w:val="-2"/>
                <w:sz w:val="18"/>
              </w:rPr>
            </w:pPr>
            <w:r>
              <w:rPr>
                <w:spacing w:val="-2"/>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 statement under section 95A .............</w:t>
            </w:r>
          </w:p>
        </w:tc>
        <w:tc>
          <w:tcPr>
            <w:tcW w:w="1563" w:type="dxa"/>
          </w:tcPr>
          <w:p>
            <w:pPr>
              <w:pStyle w:val="yTable"/>
              <w:spacing w:before="40"/>
              <w:rPr>
                <w:spacing w:val="-2"/>
                <w:sz w:val="18"/>
              </w:rPr>
            </w:pPr>
            <w:r>
              <w:rPr>
                <w:spacing w:val="-2"/>
                <w:sz w:val="18"/>
              </w:rPr>
              <w:t>See section 95A</w:t>
            </w:r>
          </w:p>
        </w:tc>
        <w:tc>
          <w:tcPr>
            <w:tcW w:w="1419" w:type="dxa"/>
            <w:gridSpan w:val="2"/>
          </w:tcPr>
          <w:p>
            <w:pPr>
              <w:pStyle w:val="yTable"/>
              <w:spacing w:before="40"/>
              <w:rPr>
                <w:spacing w:val="-2"/>
                <w:sz w:val="18"/>
              </w:rPr>
            </w:pPr>
            <w:r>
              <w:rPr>
                <w:spacing w:val="-2"/>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19.</w:t>
            </w:r>
          </w:p>
        </w:tc>
        <w:tc>
          <w:tcPr>
            <w:tcW w:w="3402" w:type="dxa"/>
            <w:gridSpan w:val="2"/>
          </w:tcPr>
          <w:p>
            <w:pPr>
              <w:pStyle w:val="yTable"/>
              <w:keepNext/>
              <w:spacing w:before="120"/>
              <w:rPr>
                <w:sz w:val="18"/>
              </w:rPr>
            </w:pPr>
            <w:r>
              <w:rPr>
                <w:sz w:val="18"/>
              </w:rPr>
              <w:t>SETTLEMENT, DEED OF, OR DEED OF GIFT</w:t>
            </w:r>
          </w:p>
        </w:tc>
        <w:tc>
          <w:tcPr>
            <w:tcW w:w="1563" w:type="dxa"/>
          </w:tcPr>
          <w:p>
            <w:pPr>
              <w:pStyle w:val="yTable"/>
              <w:keepNext/>
              <w:spacing w:before="120"/>
              <w:ind w:right="-113"/>
              <w:rPr>
                <w:sz w:val="18"/>
              </w:rPr>
            </w:pPr>
            <w:r>
              <w:rPr>
                <w:sz w:val="18"/>
              </w:rPr>
              <w:t xml:space="preserve">See item 4 </w:t>
            </w:r>
          </w:p>
        </w:tc>
        <w:tc>
          <w:tcPr>
            <w:tcW w:w="1419" w:type="dxa"/>
            <w:gridSpan w:val="2"/>
          </w:tcPr>
          <w:p>
            <w:pPr>
              <w:pStyle w:val="yTable"/>
              <w:keepNext/>
              <w:spacing w:before="120"/>
              <w:rPr>
                <w:sz w:val="18"/>
              </w:rPr>
            </w:pPr>
            <w:r>
              <w:rPr>
                <w:sz w:val="18"/>
              </w:rPr>
              <w:t>The settlor or 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keepNext/>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keepNext/>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w:t>
      </w:r>
      <w:r>
        <w:t>.]</w:t>
      </w:r>
    </w:p>
    <w:p>
      <w:pPr>
        <w:pStyle w:val="yScheduleHeading"/>
      </w:pPr>
      <w:bookmarkStart w:id="2325" w:name="_Toc520101251"/>
      <w:bookmarkStart w:id="2326" w:name="_Toc49224025"/>
      <w:bookmarkStart w:id="2327" w:name="_Toc49332685"/>
      <w:bookmarkStart w:id="2328" w:name="_Toc51126863"/>
      <w:bookmarkStart w:id="2329" w:name="_Toc101672380"/>
      <w:bookmarkStart w:id="2330" w:name="_Toc103403650"/>
      <w:bookmarkStart w:id="2331" w:name="_Toc103747649"/>
      <w:bookmarkStart w:id="2332" w:name="_Toc107055078"/>
      <w:bookmarkStart w:id="2333" w:name="_Toc113874527"/>
      <w:bookmarkStart w:id="2334" w:name="_Toc113956943"/>
      <w:bookmarkStart w:id="2335" w:name="_Toc116717499"/>
      <w:bookmarkStart w:id="2336" w:name="_Toc116813526"/>
      <w:bookmarkStart w:id="2337" w:name="_Toc122333178"/>
      <w:bookmarkStart w:id="2338" w:name="_Toc122862148"/>
      <w:bookmarkStart w:id="2339" w:name="_Toc122862744"/>
      <w:bookmarkStart w:id="2340" w:name="_Toc122921351"/>
      <w:bookmarkStart w:id="2341" w:name="_Toc122921611"/>
      <w:bookmarkStart w:id="2342" w:name="_Toc122947557"/>
      <w:bookmarkStart w:id="2343" w:name="_Toc124046395"/>
      <w:bookmarkStart w:id="2344" w:name="_Toc130266730"/>
      <w:bookmarkStart w:id="2345" w:name="_Toc130267006"/>
      <w:bookmarkStart w:id="2346" w:name="_Toc131383109"/>
      <w:bookmarkStart w:id="2347" w:name="_Toc133812490"/>
      <w:bookmarkStart w:id="2348" w:name="_Toc133920436"/>
      <w:bookmarkStart w:id="2349" w:name="_Toc134854833"/>
      <w:bookmarkStart w:id="2350" w:name="_Toc134855109"/>
      <w:bookmarkStart w:id="2351" w:name="_Toc136841286"/>
      <w:r>
        <w:rPr>
          <w:rStyle w:val="CharSchNo"/>
        </w:rPr>
        <w:t>Third Schedule</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pPr>
        <w:pStyle w:val="yShoulderClause"/>
        <w:rPr>
          <w:snapToGrid w:val="0"/>
        </w:rPr>
      </w:pPr>
      <w:r>
        <w:rPr>
          <w:snapToGrid w:val="0"/>
        </w:rPr>
        <w:t>[Section 16(2)]</w:t>
      </w:r>
    </w:p>
    <w:p>
      <w:pPr>
        <w:pStyle w:val="yHeading2"/>
      </w:pPr>
      <w:bookmarkStart w:id="2352" w:name="_Toc49569869"/>
      <w:bookmarkStart w:id="2353" w:name="_Toc51491320"/>
      <w:bookmarkStart w:id="2354" w:name="_Toc51659583"/>
      <w:bookmarkStart w:id="2355" w:name="_Toc100458708"/>
      <w:bookmarkStart w:id="2356" w:name="_Toc101672381"/>
      <w:bookmarkStart w:id="2357" w:name="_Toc102982081"/>
      <w:bookmarkStart w:id="2358" w:name="_Toc103403651"/>
      <w:bookmarkStart w:id="2359" w:name="_Toc103747650"/>
      <w:bookmarkStart w:id="2360" w:name="_Toc107055079"/>
      <w:bookmarkStart w:id="2361" w:name="_Toc113874528"/>
      <w:bookmarkStart w:id="2362" w:name="_Toc113956944"/>
      <w:bookmarkStart w:id="2363" w:name="_Toc116717500"/>
      <w:bookmarkStart w:id="2364" w:name="_Toc116813527"/>
      <w:bookmarkStart w:id="2365" w:name="_Toc122333179"/>
      <w:bookmarkStart w:id="2366" w:name="_Toc122862149"/>
      <w:bookmarkStart w:id="2367" w:name="_Toc122862745"/>
      <w:bookmarkStart w:id="2368" w:name="_Toc122921352"/>
      <w:bookmarkStart w:id="2369" w:name="_Toc122921612"/>
      <w:bookmarkStart w:id="2370" w:name="_Toc122947558"/>
      <w:bookmarkStart w:id="2371" w:name="_Toc124046396"/>
      <w:bookmarkStart w:id="2372" w:name="_Toc130266731"/>
      <w:bookmarkStart w:id="2373" w:name="_Toc130267007"/>
      <w:bookmarkStart w:id="2374" w:name="_Toc131383110"/>
      <w:bookmarkStart w:id="2375" w:name="_Toc133812491"/>
      <w:bookmarkStart w:id="2376" w:name="_Toc133920437"/>
      <w:bookmarkStart w:id="2377" w:name="_Toc134854834"/>
      <w:bookmarkStart w:id="2378" w:name="_Toc134855110"/>
      <w:bookmarkStart w:id="2379" w:name="_Toc136841287"/>
      <w:r>
        <w:rPr>
          <w:rStyle w:val="CharSchText"/>
        </w:rPr>
        <w:t>Exemptions from duty</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iCs/>
                <w:snapToGrid w:val="0"/>
              </w:rPr>
            </w:pPr>
            <w:r>
              <w:rPr>
                <w:i/>
                <w:iCs/>
                <w:snapToGrid w:val="0"/>
              </w:rPr>
              <w:t>[8.</w:t>
            </w:r>
          </w:p>
        </w:tc>
        <w:tc>
          <w:tcPr>
            <w:tcW w:w="6484" w:type="dxa"/>
          </w:tcPr>
          <w:p>
            <w:pPr>
              <w:pStyle w:val="yTable"/>
              <w:keepNext/>
              <w:tabs>
                <w:tab w:val="left" w:pos="600"/>
              </w:tabs>
              <w:ind w:left="608" w:hanging="608"/>
              <w:rPr>
                <w:i/>
                <w:iCs/>
                <w:snapToGrid w:val="0"/>
                <w:sz w:val="20"/>
              </w:rPr>
            </w:pPr>
            <w:r>
              <w:rPr>
                <w:i/>
                <w:iCs/>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w:t>
      </w:r>
    </w:p>
    <w:p>
      <w:pPr>
        <w:pStyle w:val="nHeading2"/>
        <w:sectPr>
          <w:headerReference w:type="even" r:id="rId35"/>
          <w:headerReference w:type="default" r:id="rId36"/>
          <w:headerReference w:type="first" r:id="rId37"/>
          <w:pgSz w:w="11906" w:h="16838" w:code="9"/>
          <w:pgMar w:top="2381" w:right="2409" w:bottom="3543" w:left="2410" w:header="720" w:footer="3380" w:gutter="0"/>
          <w:cols w:space="720"/>
          <w:noEndnote/>
          <w:docGrid w:linePitch="326"/>
        </w:sectPr>
      </w:pPr>
    </w:p>
    <w:p>
      <w:pPr>
        <w:pStyle w:val="nHeading2"/>
      </w:pPr>
      <w:bookmarkStart w:id="2380" w:name="_Toc58902697"/>
      <w:bookmarkStart w:id="2381" w:name="_Toc76899749"/>
      <w:bookmarkStart w:id="2382" w:name="_Toc78090651"/>
      <w:bookmarkStart w:id="2383" w:name="_Toc88887019"/>
      <w:bookmarkStart w:id="2384" w:name="_Toc90443635"/>
      <w:bookmarkStart w:id="2385" w:name="_Toc90452986"/>
      <w:bookmarkStart w:id="2386" w:name="_Toc100029577"/>
      <w:bookmarkStart w:id="2387" w:name="_Toc100031650"/>
      <w:bookmarkStart w:id="2388" w:name="_Toc100458709"/>
      <w:bookmarkStart w:id="2389" w:name="_Toc101672125"/>
      <w:bookmarkStart w:id="2390" w:name="_Toc101672382"/>
      <w:bookmarkStart w:id="2391" w:name="_Toc102799408"/>
      <w:bookmarkStart w:id="2392" w:name="_Toc102982082"/>
      <w:bookmarkStart w:id="2393" w:name="_Toc103403395"/>
      <w:bookmarkStart w:id="2394" w:name="_Toc103403652"/>
      <w:bookmarkStart w:id="2395" w:name="_Toc103747651"/>
      <w:bookmarkStart w:id="2396" w:name="_Toc107055080"/>
      <w:bookmarkStart w:id="2397" w:name="_Toc113874529"/>
      <w:bookmarkStart w:id="2398" w:name="_Toc113956945"/>
      <w:bookmarkStart w:id="2399" w:name="_Toc116717501"/>
      <w:bookmarkStart w:id="2400" w:name="_Toc116813528"/>
      <w:bookmarkStart w:id="2401" w:name="_Toc122333180"/>
      <w:bookmarkStart w:id="2402" w:name="_Toc122862150"/>
      <w:bookmarkStart w:id="2403" w:name="_Toc122862746"/>
      <w:bookmarkStart w:id="2404" w:name="_Toc122921353"/>
      <w:bookmarkStart w:id="2405" w:name="_Toc122921613"/>
      <w:bookmarkStart w:id="2406" w:name="_Toc122947559"/>
      <w:bookmarkStart w:id="2407" w:name="_Toc124046397"/>
      <w:bookmarkStart w:id="2408" w:name="_Toc130266732"/>
      <w:bookmarkStart w:id="2409" w:name="_Toc130267008"/>
      <w:bookmarkStart w:id="2410" w:name="_Toc131383111"/>
      <w:bookmarkStart w:id="2411" w:name="_Toc133812492"/>
      <w:bookmarkStart w:id="2412" w:name="_Toc133920438"/>
      <w:bookmarkStart w:id="2413" w:name="_Toc134854835"/>
      <w:bookmarkStart w:id="2414" w:name="_Toc134855111"/>
      <w:bookmarkStart w:id="2415" w:name="_Toc136841288"/>
      <w:r>
        <w:t>Notes</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p>
    <w:p>
      <w:pPr>
        <w:pStyle w:val="nSubsection"/>
        <w:rPr>
          <w:snapToGrid w:val="0"/>
        </w:rPr>
      </w:pPr>
      <w:r>
        <w:rPr>
          <w:snapToGrid w:val="0"/>
          <w:vertAlign w:val="superscript"/>
        </w:rPr>
        <w:t>1</w:t>
      </w:r>
      <w:r>
        <w:rPr>
          <w:snapToGrid w:val="0"/>
        </w:rPr>
        <w:tab/>
        <w:t xml:space="preserve">This reprint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rPr>
          <w:snapToGrid w:val="0"/>
        </w:rPr>
      </w:pPr>
      <w:bookmarkStart w:id="2416" w:name="_Toc107055081"/>
      <w:bookmarkStart w:id="2417" w:name="_Toc134854836"/>
      <w:bookmarkStart w:id="2418" w:name="_Toc136841289"/>
      <w:r>
        <w:rPr>
          <w:snapToGrid w:val="0"/>
        </w:rPr>
        <w:t>Compilation table</w:t>
      </w:r>
      <w:bookmarkEnd w:id="2416"/>
      <w:bookmarkEnd w:id="2417"/>
      <w:bookmarkEnd w:id="2418"/>
    </w:p>
    <w:tbl>
      <w:tblPr>
        <w:tblW w:w="6985" w:type="dxa"/>
        <w:tblInd w:w="56" w:type="dxa"/>
        <w:tblLayout w:type="fixed"/>
        <w:tblCellMar>
          <w:left w:w="56" w:type="dxa"/>
          <w:right w:w="56" w:type="dxa"/>
        </w:tblCellMar>
        <w:tblLook w:val="0000" w:firstRow="0" w:lastRow="0" w:firstColumn="0" w:lastColumn="0" w:noHBand="0" w:noVBand="0"/>
      </w:tblPr>
      <w:tblGrid>
        <w:gridCol w:w="2184"/>
        <w:gridCol w:w="1043"/>
        <w:gridCol w:w="61"/>
        <w:gridCol w:w="1130"/>
        <w:gridCol w:w="21"/>
        <w:gridCol w:w="2546"/>
      </w:tblGrid>
      <w:tr>
        <w:trPr>
          <w:cantSplit/>
          <w:tblHeader/>
        </w:trPr>
        <w:tc>
          <w:tcPr>
            <w:tcW w:w="218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184" w:type="dxa"/>
          </w:tcPr>
          <w:p>
            <w:pPr>
              <w:pStyle w:val="nTable"/>
              <w:spacing w:after="40"/>
              <w:ind w:right="113"/>
              <w:rPr>
                <w:sz w:val="19"/>
              </w:rPr>
            </w:pPr>
            <w:r>
              <w:rPr>
                <w:i/>
                <w:sz w:val="19"/>
              </w:rPr>
              <w:t>Stamp Act 1921</w:t>
            </w:r>
          </w:p>
        </w:tc>
        <w:tc>
          <w:tcPr>
            <w:tcW w:w="1104" w:type="dxa"/>
            <w:gridSpan w:val="2"/>
          </w:tcPr>
          <w:p>
            <w:pPr>
              <w:pStyle w:val="nTable"/>
              <w:spacing w:after="40"/>
              <w:rPr>
                <w:sz w:val="19"/>
              </w:rPr>
            </w:pPr>
            <w:r>
              <w:rPr>
                <w:sz w:val="19"/>
              </w:rPr>
              <w:t>10 of 1922</w:t>
            </w:r>
          </w:p>
        </w:tc>
        <w:tc>
          <w:tcPr>
            <w:tcW w:w="1130" w:type="dxa"/>
          </w:tcPr>
          <w:p>
            <w:pPr>
              <w:pStyle w:val="nTable"/>
              <w:spacing w:after="40"/>
              <w:rPr>
                <w:sz w:val="19"/>
              </w:rPr>
            </w:pPr>
            <w:r>
              <w:rPr>
                <w:sz w:val="19"/>
              </w:rPr>
              <w:t>31 Jan 1922</w:t>
            </w:r>
          </w:p>
        </w:tc>
        <w:tc>
          <w:tcPr>
            <w:tcW w:w="2567" w:type="dxa"/>
            <w:gridSpan w:val="2"/>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184" w:type="dxa"/>
          </w:tcPr>
          <w:p>
            <w:pPr>
              <w:pStyle w:val="nTable"/>
              <w:spacing w:after="40"/>
              <w:ind w:right="113"/>
              <w:rPr>
                <w:sz w:val="19"/>
              </w:rPr>
            </w:pPr>
            <w:r>
              <w:rPr>
                <w:i/>
                <w:sz w:val="19"/>
              </w:rPr>
              <w:t>Stamp Act Amendment Act 1923</w:t>
            </w:r>
          </w:p>
        </w:tc>
        <w:tc>
          <w:tcPr>
            <w:tcW w:w="1104" w:type="dxa"/>
            <w:gridSpan w:val="2"/>
          </w:tcPr>
          <w:p>
            <w:pPr>
              <w:pStyle w:val="nTable"/>
              <w:spacing w:after="40"/>
              <w:rPr>
                <w:sz w:val="19"/>
              </w:rPr>
            </w:pPr>
            <w:r>
              <w:rPr>
                <w:sz w:val="19"/>
              </w:rPr>
              <w:t>53 of 1923</w:t>
            </w:r>
          </w:p>
        </w:tc>
        <w:tc>
          <w:tcPr>
            <w:tcW w:w="1130" w:type="dxa"/>
          </w:tcPr>
          <w:p>
            <w:pPr>
              <w:pStyle w:val="nTable"/>
              <w:spacing w:after="40"/>
              <w:rPr>
                <w:sz w:val="19"/>
              </w:rPr>
            </w:pPr>
            <w:r>
              <w:rPr>
                <w:sz w:val="19"/>
              </w:rPr>
              <w:t>22 Dec 1923</w:t>
            </w:r>
          </w:p>
        </w:tc>
        <w:tc>
          <w:tcPr>
            <w:tcW w:w="2567" w:type="dxa"/>
            <w:gridSpan w:val="2"/>
          </w:tcPr>
          <w:p>
            <w:pPr>
              <w:pStyle w:val="nTable"/>
              <w:spacing w:after="40"/>
              <w:rPr>
                <w:sz w:val="19"/>
              </w:rPr>
            </w:pPr>
            <w:r>
              <w:rPr>
                <w:sz w:val="19"/>
              </w:rPr>
              <w:t>22 Dec 1923</w:t>
            </w:r>
          </w:p>
        </w:tc>
      </w:tr>
      <w:tr>
        <w:trPr>
          <w:cantSplit/>
        </w:trPr>
        <w:tc>
          <w:tcPr>
            <w:tcW w:w="2184" w:type="dxa"/>
          </w:tcPr>
          <w:p>
            <w:pPr>
              <w:pStyle w:val="nTable"/>
              <w:spacing w:after="40"/>
              <w:ind w:right="113"/>
              <w:rPr>
                <w:sz w:val="19"/>
              </w:rPr>
            </w:pPr>
            <w:r>
              <w:rPr>
                <w:i/>
                <w:sz w:val="19"/>
              </w:rPr>
              <w:t>Stamp Act Amendment Act 1924</w:t>
            </w:r>
          </w:p>
        </w:tc>
        <w:tc>
          <w:tcPr>
            <w:tcW w:w="1104" w:type="dxa"/>
            <w:gridSpan w:val="2"/>
          </w:tcPr>
          <w:p>
            <w:pPr>
              <w:pStyle w:val="nTable"/>
              <w:spacing w:after="40"/>
              <w:rPr>
                <w:sz w:val="19"/>
              </w:rPr>
            </w:pPr>
            <w:r>
              <w:rPr>
                <w:sz w:val="19"/>
              </w:rPr>
              <w:t>23 of 1924</w:t>
            </w:r>
          </w:p>
        </w:tc>
        <w:tc>
          <w:tcPr>
            <w:tcW w:w="1130" w:type="dxa"/>
          </w:tcPr>
          <w:p>
            <w:pPr>
              <w:pStyle w:val="nTable"/>
              <w:spacing w:after="40"/>
              <w:rPr>
                <w:sz w:val="19"/>
              </w:rPr>
            </w:pPr>
            <w:r>
              <w:rPr>
                <w:sz w:val="19"/>
              </w:rPr>
              <w:t>31 Dec 1924</w:t>
            </w:r>
          </w:p>
        </w:tc>
        <w:tc>
          <w:tcPr>
            <w:tcW w:w="2567" w:type="dxa"/>
            <w:gridSpan w:val="2"/>
          </w:tcPr>
          <w:p>
            <w:pPr>
              <w:pStyle w:val="nTable"/>
              <w:spacing w:after="40"/>
              <w:rPr>
                <w:sz w:val="19"/>
              </w:rPr>
            </w:pPr>
            <w:r>
              <w:rPr>
                <w:sz w:val="19"/>
              </w:rPr>
              <w:t>31 Dec 1924</w:t>
            </w:r>
          </w:p>
        </w:tc>
      </w:tr>
      <w:tr>
        <w:trPr>
          <w:cantSplit/>
        </w:trPr>
        <w:tc>
          <w:tcPr>
            <w:tcW w:w="2184" w:type="dxa"/>
          </w:tcPr>
          <w:p>
            <w:pPr>
              <w:pStyle w:val="nTable"/>
              <w:spacing w:after="40"/>
              <w:ind w:right="113"/>
              <w:rPr>
                <w:sz w:val="19"/>
              </w:rPr>
            </w:pPr>
            <w:r>
              <w:rPr>
                <w:i/>
                <w:sz w:val="19"/>
              </w:rPr>
              <w:t xml:space="preserve">Ministers’ Titles Act 1925 </w:t>
            </w:r>
            <w:r>
              <w:rPr>
                <w:sz w:val="19"/>
              </w:rPr>
              <w:t>s. 2</w:t>
            </w:r>
          </w:p>
        </w:tc>
        <w:tc>
          <w:tcPr>
            <w:tcW w:w="1104" w:type="dxa"/>
            <w:gridSpan w:val="2"/>
          </w:tcPr>
          <w:p>
            <w:pPr>
              <w:pStyle w:val="nTable"/>
              <w:spacing w:after="40"/>
              <w:rPr>
                <w:sz w:val="19"/>
              </w:rPr>
            </w:pPr>
            <w:r>
              <w:rPr>
                <w:sz w:val="19"/>
              </w:rPr>
              <w:t>8 of 1925</w:t>
            </w:r>
          </w:p>
        </w:tc>
        <w:tc>
          <w:tcPr>
            <w:tcW w:w="1130" w:type="dxa"/>
          </w:tcPr>
          <w:p>
            <w:pPr>
              <w:pStyle w:val="nTable"/>
              <w:spacing w:after="40"/>
              <w:rPr>
                <w:sz w:val="19"/>
              </w:rPr>
            </w:pPr>
            <w:r>
              <w:rPr>
                <w:sz w:val="19"/>
              </w:rPr>
              <w:t>24 Sep 1925</w:t>
            </w:r>
          </w:p>
        </w:tc>
        <w:tc>
          <w:tcPr>
            <w:tcW w:w="2567" w:type="dxa"/>
            <w:gridSpan w:val="2"/>
          </w:tcPr>
          <w:p>
            <w:pPr>
              <w:pStyle w:val="nTable"/>
              <w:spacing w:after="40"/>
              <w:rPr>
                <w:sz w:val="19"/>
              </w:rPr>
            </w:pPr>
            <w:r>
              <w:rPr>
                <w:sz w:val="19"/>
              </w:rPr>
              <w:t>24 Sep 1925</w:t>
            </w:r>
          </w:p>
        </w:tc>
      </w:tr>
      <w:tr>
        <w:trPr>
          <w:cantSplit/>
        </w:trPr>
        <w:tc>
          <w:tcPr>
            <w:tcW w:w="2184" w:type="dxa"/>
          </w:tcPr>
          <w:p>
            <w:pPr>
              <w:pStyle w:val="nTable"/>
              <w:spacing w:after="40"/>
              <w:ind w:right="113"/>
              <w:rPr>
                <w:sz w:val="19"/>
              </w:rPr>
            </w:pPr>
            <w:r>
              <w:rPr>
                <w:i/>
                <w:sz w:val="19"/>
              </w:rPr>
              <w:t>Stamp Act Amendment Act 1925</w:t>
            </w:r>
          </w:p>
        </w:tc>
        <w:tc>
          <w:tcPr>
            <w:tcW w:w="1104" w:type="dxa"/>
            <w:gridSpan w:val="2"/>
          </w:tcPr>
          <w:p>
            <w:pPr>
              <w:pStyle w:val="nTable"/>
              <w:spacing w:after="40"/>
              <w:rPr>
                <w:sz w:val="19"/>
              </w:rPr>
            </w:pPr>
            <w:r>
              <w:rPr>
                <w:sz w:val="19"/>
              </w:rPr>
              <w:t>47 of 1925</w:t>
            </w:r>
          </w:p>
        </w:tc>
        <w:tc>
          <w:tcPr>
            <w:tcW w:w="1130" w:type="dxa"/>
          </w:tcPr>
          <w:p>
            <w:pPr>
              <w:pStyle w:val="nTable"/>
              <w:spacing w:after="40"/>
              <w:rPr>
                <w:sz w:val="19"/>
              </w:rPr>
            </w:pPr>
            <w:r>
              <w:rPr>
                <w:sz w:val="19"/>
              </w:rPr>
              <w:t>31 Dec 1925</w:t>
            </w:r>
          </w:p>
        </w:tc>
        <w:tc>
          <w:tcPr>
            <w:tcW w:w="2567" w:type="dxa"/>
            <w:gridSpan w:val="2"/>
          </w:tcPr>
          <w:p>
            <w:pPr>
              <w:pStyle w:val="nTable"/>
              <w:spacing w:after="40"/>
              <w:rPr>
                <w:sz w:val="19"/>
              </w:rPr>
            </w:pPr>
            <w:r>
              <w:rPr>
                <w:sz w:val="19"/>
              </w:rPr>
              <w:t>31 Dec 1925</w:t>
            </w:r>
          </w:p>
        </w:tc>
      </w:tr>
      <w:tr>
        <w:trPr>
          <w:cantSplit/>
        </w:trPr>
        <w:tc>
          <w:tcPr>
            <w:tcW w:w="2184" w:type="dxa"/>
          </w:tcPr>
          <w:p>
            <w:pPr>
              <w:pStyle w:val="nTable"/>
              <w:spacing w:after="40"/>
              <w:ind w:right="113"/>
              <w:rPr>
                <w:sz w:val="19"/>
              </w:rPr>
            </w:pPr>
            <w:r>
              <w:rPr>
                <w:i/>
                <w:sz w:val="19"/>
              </w:rPr>
              <w:t>Stamp Act Amendment Act 1926</w:t>
            </w:r>
          </w:p>
        </w:tc>
        <w:tc>
          <w:tcPr>
            <w:tcW w:w="1104" w:type="dxa"/>
            <w:gridSpan w:val="2"/>
          </w:tcPr>
          <w:p>
            <w:pPr>
              <w:pStyle w:val="nTable"/>
              <w:spacing w:after="40"/>
              <w:rPr>
                <w:sz w:val="19"/>
              </w:rPr>
            </w:pPr>
            <w:r>
              <w:rPr>
                <w:sz w:val="19"/>
              </w:rPr>
              <w:t>17 of 1926</w:t>
            </w:r>
          </w:p>
        </w:tc>
        <w:tc>
          <w:tcPr>
            <w:tcW w:w="1130" w:type="dxa"/>
          </w:tcPr>
          <w:p>
            <w:pPr>
              <w:pStyle w:val="nTable"/>
              <w:spacing w:after="40"/>
              <w:rPr>
                <w:sz w:val="19"/>
              </w:rPr>
            </w:pPr>
            <w:r>
              <w:rPr>
                <w:sz w:val="19"/>
              </w:rPr>
              <w:t>6 Nov 1926</w:t>
            </w:r>
          </w:p>
        </w:tc>
        <w:tc>
          <w:tcPr>
            <w:tcW w:w="2567" w:type="dxa"/>
            <w:gridSpan w:val="2"/>
          </w:tcPr>
          <w:p>
            <w:pPr>
              <w:pStyle w:val="nTable"/>
              <w:spacing w:after="40"/>
              <w:rPr>
                <w:sz w:val="19"/>
              </w:rPr>
            </w:pPr>
            <w:r>
              <w:rPr>
                <w:sz w:val="19"/>
              </w:rPr>
              <w:t>6 Nov 1926</w:t>
            </w:r>
          </w:p>
        </w:tc>
      </w:tr>
      <w:tr>
        <w:trPr>
          <w:cantSplit/>
        </w:trPr>
        <w:tc>
          <w:tcPr>
            <w:tcW w:w="2184" w:type="dxa"/>
          </w:tcPr>
          <w:p>
            <w:pPr>
              <w:pStyle w:val="nTable"/>
              <w:spacing w:after="40"/>
              <w:ind w:right="113"/>
              <w:rPr>
                <w:sz w:val="19"/>
              </w:rPr>
            </w:pPr>
            <w:r>
              <w:rPr>
                <w:i/>
                <w:sz w:val="19"/>
              </w:rPr>
              <w:t>Stamp Act Amendment Act 1927</w:t>
            </w:r>
          </w:p>
        </w:tc>
        <w:tc>
          <w:tcPr>
            <w:tcW w:w="1104" w:type="dxa"/>
            <w:gridSpan w:val="2"/>
          </w:tcPr>
          <w:p>
            <w:pPr>
              <w:pStyle w:val="nTable"/>
              <w:spacing w:after="40"/>
              <w:rPr>
                <w:sz w:val="19"/>
              </w:rPr>
            </w:pPr>
            <w:r>
              <w:rPr>
                <w:sz w:val="19"/>
              </w:rPr>
              <w:t>10 of 1927</w:t>
            </w:r>
          </w:p>
        </w:tc>
        <w:tc>
          <w:tcPr>
            <w:tcW w:w="1130" w:type="dxa"/>
          </w:tcPr>
          <w:p>
            <w:pPr>
              <w:pStyle w:val="nTable"/>
              <w:spacing w:after="40"/>
              <w:rPr>
                <w:sz w:val="19"/>
              </w:rPr>
            </w:pPr>
            <w:r>
              <w:rPr>
                <w:sz w:val="19"/>
              </w:rPr>
              <w:t>6 Dec 1927</w:t>
            </w:r>
          </w:p>
        </w:tc>
        <w:tc>
          <w:tcPr>
            <w:tcW w:w="2567" w:type="dxa"/>
            <w:gridSpan w:val="2"/>
          </w:tcPr>
          <w:p>
            <w:pPr>
              <w:pStyle w:val="nTable"/>
              <w:spacing w:after="40"/>
              <w:rPr>
                <w:sz w:val="19"/>
              </w:rPr>
            </w:pPr>
            <w:r>
              <w:rPr>
                <w:sz w:val="19"/>
              </w:rPr>
              <w:t>6 Dec 1927</w:t>
            </w:r>
          </w:p>
        </w:tc>
      </w:tr>
      <w:tr>
        <w:trPr>
          <w:cantSplit/>
        </w:trPr>
        <w:tc>
          <w:tcPr>
            <w:tcW w:w="2184" w:type="dxa"/>
          </w:tcPr>
          <w:p>
            <w:pPr>
              <w:pStyle w:val="nTable"/>
              <w:spacing w:after="40"/>
              <w:ind w:right="113"/>
              <w:rPr>
                <w:sz w:val="19"/>
              </w:rPr>
            </w:pPr>
            <w:r>
              <w:rPr>
                <w:i/>
                <w:sz w:val="19"/>
              </w:rPr>
              <w:t>Stamp Act Amendment Act 1928</w:t>
            </w:r>
          </w:p>
        </w:tc>
        <w:tc>
          <w:tcPr>
            <w:tcW w:w="1104" w:type="dxa"/>
            <w:gridSpan w:val="2"/>
          </w:tcPr>
          <w:p>
            <w:pPr>
              <w:pStyle w:val="nTable"/>
              <w:spacing w:after="40"/>
              <w:rPr>
                <w:sz w:val="19"/>
              </w:rPr>
            </w:pPr>
            <w:r>
              <w:rPr>
                <w:sz w:val="19"/>
              </w:rPr>
              <w:t>22 of 1928</w:t>
            </w:r>
          </w:p>
        </w:tc>
        <w:tc>
          <w:tcPr>
            <w:tcW w:w="1130" w:type="dxa"/>
          </w:tcPr>
          <w:p>
            <w:pPr>
              <w:pStyle w:val="nTable"/>
              <w:spacing w:after="40"/>
              <w:rPr>
                <w:sz w:val="19"/>
              </w:rPr>
            </w:pPr>
            <w:r>
              <w:rPr>
                <w:sz w:val="19"/>
              </w:rPr>
              <w:t>21 Dec 1928</w:t>
            </w:r>
          </w:p>
        </w:tc>
        <w:tc>
          <w:tcPr>
            <w:tcW w:w="2567" w:type="dxa"/>
            <w:gridSpan w:val="2"/>
          </w:tcPr>
          <w:p>
            <w:pPr>
              <w:pStyle w:val="nTable"/>
              <w:spacing w:after="40"/>
              <w:rPr>
                <w:sz w:val="19"/>
              </w:rPr>
            </w:pPr>
            <w:r>
              <w:rPr>
                <w:sz w:val="19"/>
              </w:rPr>
              <w:t>21 Dec 1928</w:t>
            </w:r>
          </w:p>
        </w:tc>
      </w:tr>
      <w:tr>
        <w:trPr>
          <w:cantSplit/>
        </w:trPr>
        <w:tc>
          <w:tcPr>
            <w:tcW w:w="2184" w:type="dxa"/>
          </w:tcPr>
          <w:p>
            <w:pPr>
              <w:pStyle w:val="nTable"/>
              <w:spacing w:after="40"/>
              <w:ind w:right="113"/>
              <w:rPr>
                <w:sz w:val="19"/>
                <w:vertAlign w:val="superscript"/>
              </w:rPr>
            </w:pPr>
            <w:r>
              <w:rPr>
                <w:i/>
                <w:sz w:val="19"/>
              </w:rPr>
              <w:t>Stamp Act Amendment Act 1929</w:t>
            </w:r>
          </w:p>
        </w:tc>
        <w:tc>
          <w:tcPr>
            <w:tcW w:w="1104" w:type="dxa"/>
            <w:gridSpan w:val="2"/>
          </w:tcPr>
          <w:p>
            <w:pPr>
              <w:pStyle w:val="nTable"/>
              <w:spacing w:after="40"/>
              <w:rPr>
                <w:sz w:val="19"/>
              </w:rPr>
            </w:pPr>
            <w:r>
              <w:rPr>
                <w:sz w:val="19"/>
              </w:rPr>
              <w:t>5 of 1929</w:t>
            </w:r>
          </w:p>
        </w:tc>
        <w:tc>
          <w:tcPr>
            <w:tcW w:w="1130" w:type="dxa"/>
          </w:tcPr>
          <w:p>
            <w:pPr>
              <w:pStyle w:val="nTable"/>
              <w:spacing w:after="40"/>
              <w:rPr>
                <w:sz w:val="19"/>
              </w:rPr>
            </w:pPr>
            <w:r>
              <w:rPr>
                <w:sz w:val="19"/>
              </w:rPr>
              <w:t>7 Oct 1929</w:t>
            </w:r>
          </w:p>
        </w:tc>
        <w:tc>
          <w:tcPr>
            <w:tcW w:w="2567" w:type="dxa"/>
            <w:gridSpan w:val="2"/>
          </w:tcPr>
          <w:p>
            <w:pPr>
              <w:pStyle w:val="nTable"/>
              <w:spacing w:after="40"/>
              <w:rPr>
                <w:sz w:val="19"/>
              </w:rPr>
            </w:pPr>
            <w:r>
              <w:rPr>
                <w:sz w:val="19"/>
              </w:rPr>
              <w:t>7 Oct 1929</w:t>
            </w:r>
          </w:p>
        </w:tc>
      </w:tr>
      <w:tr>
        <w:trPr>
          <w:cantSplit/>
        </w:trPr>
        <w:tc>
          <w:tcPr>
            <w:tcW w:w="2184" w:type="dxa"/>
          </w:tcPr>
          <w:p>
            <w:pPr>
              <w:pStyle w:val="nTable"/>
              <w:spacing w:after="40"/>
              <w:ind w:right="113"/>
              <w:rPr>
                <w:sz w:val="19"/>
              </w:rPr>
            </w:pPr>
            <w:r>
              <w:rPr>
                <w:i/>
                <w:sz w:val="19"/>
              </w:rPr>
              <w:t>Stamp Act Amendment Act (No. 3) 1930</w:t>
            </w:r>
          </w:p>
        </w:tc>
        <w:tc>
          <w:tcPr>
            <w:tcW w:w="1104" w:type="dxa"/>
            <w:gridSpan w:val="2"/>
          </w:tcPr>
          <w:p>
            <w:pPr>
              <w:pStyle w:val="nTable"/>
              <w:spacing w:after="40"/>
              <w:rPr>
                <w:sz w:val="19"/>
              </w:rPr>
            </w:pPr>
            <w:r>
              <w:rPr>
                <w:sz w:val="19"/>
              </w:rPr>
              <w:t>11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(No. 1) 1930</w:t>
            </w:r>
          </w:p>
        </w:tc>
        <w:tc>
          <w:tcPr>
            <w:tcW w:w="1104" w:type="dxa"/>
            <w:gridSpan w:val="2"/>
          </w:tcPr>
          <w:p>
            <w:pPr>
              <w:pStyle w:val="nTable"/>
              <w:spacing w:after="40"/>
              <w:rPr>
                <w:sz w:val="19"/>
              </w:rPr>
            </w:pPr>
            <w:r>
              <w:rPr>
                <w:sz w:val="19"/>
              </w:rPr>
              <w:t>12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1931</w:t>
            </w:r>
          </w:p>
        </w:tc>
        <w:tc>
          <w:tcPr>
            <w:tcW w:w="1104" w:type="dxa"/>
            <w:gridSpan w:val="2"/>
          </w:tcPr>
          <w:p>
            <w:pPr>
              <w:pStyle w:val="nTable"/>
              <w:spacing w:after="40"/>
              <w:rPr>
                <w:sz w:val="19"/>
              </w:rPr>
            </w:pPr>
            <w:r>
              <w:rPr>
                <w:sz w:val="19"/>
              </w:rPr>
              <w:t>39 of 1931</w:t>
            </w:r>
          </w:p>
        </w:tc>
        <w:tc>
          <w:tcPr>
            <w:tcW w:w="1130" w:type="dxa"/>
          </w:tcPr>
          <w:p>
            <w:pPr>
              <w:pStyle w:val="nTable"/>
              <w:spacing w:after="40"/>
              <w:rPr>
                <w:sz w:val="19"/>
              </w:rPr>
            </w:pPr>
            <w:r>
              <w:rPr>
                <w:sz w:val="19"/>
              </w:rPr>
              <w:t>26 Nov 1931</w:t>
            </w:r>
          </w:p>
        </w:tc>
        <w:tc>
          <w:tcPr>
            <w:tcW w:w="2567" w:type="dxa"/>
            <w:gridSpan w:val="2"/>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1941</w:t>
            </w:r>
          </w:p>
        </w:tc>
        <w:tc>
          <w:tcPr>
            <w:tcW w:w="1104" w:type="dxa"/>
            <w:gridSpan w:val="2"/>
          </w:tcPr>
          <w:p>
            <w:pPr>
              <w:pStyle w:val="nTable"/>
              <w:spacing w:after="40"/>
              <w:rPr>
                <w:sz w:val="19"/>
              </w:rPr>
            </w:pPr>
            <w:r>
              <w:rPr>
                <w:sz w:val="19"/>
              </w:rPr>
              <w:t>35 of 1941</w:t>
            </w:r>
          </w:p>
        </w:tc>
        <w:tc>
          <w:tcPr>
            <w:tcW w:w="1130" w:type="dxa"/>
          </w:tcPr>
          <w:p>
            <w:pPr>
              <w:pStyle w:val="nTable"/>
              <w:spacing w:after="40"/>
              <w:rPr>
                <w:sz w:val="19"/>
              </w:rPr>
            </w:pPr>
            <w:r>
              <w:rPr>
                <w:sz w:val="19"/>
              </w:rPr>
              <w:t>19 Dec 1941</w:t>
            </w:r>
          </w:p>
        </w:tc>
        <w:tc>
          <w:tcPr>
            <w:tcW w:w="2567" w:type="dxa"/>
            <w:gridSpan w:val="2"/>
          </w:tcPr>
          <w:p>
            <w:pPr>
              <w:pStyle w:val="nTable"/>
              <w:spacing w:after="40"/>
              <w:rPr>
                <w:sz w:val="19"/>
              </w:rPr>
            </w:pPr>
            <w:r>
              <w:rPr>
                <w:sz w:val="19"/>
              </w:rPr>
              <w:t>19 Dec 1941</w:t>
            </w:r>
          </w:p>
        </w:tc>
      </w:tr>
      <w:tr>
        <w:trPr>
          <w:cantSplit/>
        </w:trPr>
        <w:tc>
          <w:tcPr>
            <w:tcW w:w="2184" w:type="dxa"/>
          </w:tcPr>
          <w:p>
            <w:pPr>
              <w:pStyle w:val="nTable"/>
              <w:spacing w:after="40"/>
              <w:ind w:right="113"/>
              <w:rPr>
                <w:sz w:val="19"/>
              </w:rPr>
            </w:pPr>
            <w:r>
              <w:rPr>
                <w:i/>
                <w:sz w:val="19"/>
              </w:rPr>
              <w:t>Stamp Act Amendment Act 1942</w:t>
            </w:r>
          </w:p>
        </w:tc>
        <w:tc>
          <w:tcPr>
            <w:tcW w:w="1104" w:type="dxa"/>
            <w:gridSpan w:val="2"/>
          </w:tcPr>
          <w:p>
            <w:pPr>
              <w:pStyle w:val="nTable"/>
              <w:spacing w:after="40"/>
              <w:rPr>
                <w:sz w:val="19"/>
              </w:rPr>
            </w:pPr>
            <w:r>
              <w:rPr>
                <w:sz w:val="19"/>
              </w:rPr>
              <w:t>40 of 1942</w:t>
            </w:r>
          </w:p>
        </w:tc>
        <w:tc>
          <w:tcPr>
            <w:tcW w:w="1130" w:type="dxa"/>
          </w:tcPr>
          <w:p>
            <w:pPr>
              <w:pStyle w:val="nTable"/>
              <w:spacing w:after="40"/>
              <w:rPr>
                <w:sz w:val="19"/>
              </w:rPr>
            </w:pPr>
            <w:r>
              <w:rPr>
                <w:sz w:val="19"/>
              </w:rPr>
              <w:t>23 Dec 1942</w:t>
            </w:r>
          </w:p>
        </w:tc>
        <w:tc>
          <w:tcPr>
            <w:tcW w:w="2567" w:type="dxa"/>
            <w:gridSpan w:val="2"/>
          </w:tcPr>
          <w:p>
            <w:pPr>
              <w:pStyle w:val="nTable"/>
              <w:spacing w:after="40"/>
              <w:rPr>
                <w:sz w:val="19"/>
              </w:rPr>
            </w:pPr>
            <w:r>
              <w:rPr>
                <w:sz w:val="19"/>
              </w:rPr>
              <w:t>23 Dec 1942</w:t>
            </w:r>
          </w:p>
        </w:tc>
      </w:tr>
      <w:tr>
        <w:trPr>
          <w:cantSplit/>
        </w:trPr>
        <w:tc>
          <w:tcPr>
            <w:tcW w:w="2184" w:type="dxa"/>
          </w:tcPr>
          <w:p>
            <w:pPr>
              <w:pStyle w:val="nTable"/>
              <w:spacing w:after="40"/>
              <w:ind w:right="113"/>
              <w:rPr>
                <w:sz w:val="19"/>
              </w:rPr>
            </w:pPr>
            <w:r>
              <w:rPr>
                <w:i/>
                <w:sz w:val="19"/>
              </w:rPr>
              <w:t>Stamp Act Amendment Act 1944</w:t>
            </w:r>
          </w:p>
        </w:tc>
        <w:tc>
          <w:tcPr>
            <w:tcW w:w="1104" w:type="dxa"/>
            <w:gridSpan w:val="2"/>
          </w:tcPr>
          <w:p>
            <w:pPr>
              <w:pStyle w:val="nTable"/>
              <w:spacing w:after="40"/>
              <w:rPr>
                <w:sz w:val="19"/>
              </w:rPr>
            </w:pPr>
            <w:r>
              <w:rPr>
                <w:sz w:val="19"/>
              </w:rPr>
              <w:t>20 of 1944</w:t>
            </w:r>
          </w:p>
        </w:tc>
        <w:tc>
          <w:tcPr>
            <w:tcW w:w="1130" w:type="dxa"/>
          </w:tcPr>
          <w:p>
            <w:pPr>
              <w:pStyle w:val="nTable"/>
              <w:spacing w:after="40"/>
              <w:rPr>
                <w:sz w:val="19"/>
              </w:rPr>
            </w:pPr>
            <w:r>
              <w:rPr>
                <w:sz w:val="19"/>
              </w:rPr>
              <w:t>23 Dec 1944</w:t>
            </w:r>
          </w:p>
        </w:tc>
        <w:tc>
          <w:tcPr>
            <w:tcW w:w="2567" w:type="dxa"/>
            <w:gridSpan w:val="2"/>
          </w:tcPr>
          <w:p>
            <w:pPr>
              <w:pStyle w:val="nTable"/>
              <w:spacing w:after="40"/>
              <w:rPr>
                <w:sz w:val="19"/>
              </w:rPr>
            </w:pPr>
            <w:r>
              <w:rPr>
                <w:sz w:val="19"/>
              </w:rPr>
              <w:t>23 Dec 1944</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1950</w:t>
            </w:r>
          </w:p>
        </w:tc>
        <w:tc>
          <w:tcPr>
            <w:tcW w:w="1104" w:type="dxa"/>
            <w:gridSpan w:val="2"/>
          </w:tcPr>
          <w:p>
            <w:pPr>
              <w:pStyle w:val="nTable"/>
              <w:spacing w:after="40"/>
              <w:rPr>
                <w:sz w:val="19"/>
              </w:rPr>
            </w:pPr>
            <w:r>
              <w:rPr>
                <w:sz w:val="19"/>
              </w:rPr>
              <w:t>11 of 1950</w:t>
            </w:r>
          </w:p>
        </w:tc>
        <w:tc>
          <w:tcPr>
            <w:tcW w:w="1130" w:type="dxa"/>
          </w:tcPr>
          <w:p>
            <w:pPr>
              <w:pStyle w:val="nTable"/>
              <w:spacing w:after="40"/>
              <w:rPr>
                <w:sz w:val="19"/>
              </w:rPr>
            </w:pPr>
            <w:r>
              <w:rPr>
                <w:sz w:val="19"/>
              </w:rPr>
              <w:t>17 Nov 1950</w:t>
            </w:r>
          </w:p>
        </w:tc>
        <w:tc>
          <w:tcPr>
            <w:tcW w:w="2567" w:type="dxa"/>
            <w:gridSpan w:val="2"/>
          </w:tcPr>
          <w:p>
            <w:pPr>
              <w:pStyle w:val="nTable"/>
              <w:spacing w:after="40"/>
              <w:rPr>
                <w:sz w:val="19"/>
              </w:rPr>
            </w:pPr>
            <w:r>
              <w:rPr>
                <w:sz w:val="19"/>
              </w:rPr>
              <w:t>17 Nov 1950</w:t>
            </w:r>
          </w:p>
        </w:tc>
      </w:tr>
      <w:tr>
        <w:trPr>
          <w:cantSplit/>
        </w:trPr>
        <w:tc>
          <w:tcPr>
            <w:tcW w:w="2184" w:type="dxa"/>
          </w:tcPr>
          <w:p>
            <w:pPr>
              <w:pStyle w:val="nTable"/>
              <w:spacing w:after="40"/>
              <w:ind w:right="113"/>
              <w:rPr>
                <w:sz w:val="19"/>
              </w:rPr>
            </w:pPr>
            <w:r>
              <w:rPr>
                <w:i/>
                <w:sz w:val="19"/>
              </w:rPr>
              <w:t>Stamp Act Amendment Act 1954</w:t>
            </w:r>
          </w:p>
        </w:tc>
        <w:tc>
          <w:tcPr>
            <w:tcW w:w="1104" w:type="dxa"/>
            <w:gridSpan w:val="2"/>
          </w:tcPr>
          <w:p>
            <w:pPr>
              <w:pStyle w:val="nTable"/>
              <w:spacing w:after="40"/>
              <w:rPr>
                <w:sz w:val="19"/>
              </w:rPr>
            </w:pPr>
            <w:r>
              <w:rPr>
                <w:sz w:val="19"/>
              </w:rPr>
              <w:t>5 of 1954</w:t>
            </w:r>
          </w:p>
        </w:tc>
        <w:tc>
          <w:tcPr>
            <w:tcW w:w="1130" w:type="dxa"/>
          </w:tcPr>
          <w:p>
            <w:pPr>
              <w:pStyle w:val="nTable"/>
              <w:spacing w:after="40"/>
              <w:rPr>
                <w:sz w:val="19"/>
              </w:rPr>
            </w:pPr>
            <w:r>
              <w:rPr>
                <w:sz w:val="19"/>
              </w:rPr>
              <w:t>25 Aug 1954</w:t>
            </w:r>
          </w:p>
        </w:tc>
        <w:tc>
          <w:tcPr>
            <w:tcW w:w="2567" w:type="dxa"/>
            <w:gridSpan w:val="2"/>
          </w:tcPr>
          <w:p>
            <w:pPr>
              <w:pStyle w:val="nTable"/>
              <w:spacing w:after="40"/>
              <w:rPr>
                <w:sz w:val="19"/>
              </w:rPr>
            </w:pPr>
            <w:r>
              <w:rPr>
                <w:sz w:val="19"/>
              </w:rPr>
              <w:t>25 Aug 1954</w:t>
            </w:r>
          </w:p>
        </w:tc>
      </w:tr>
      <w:tr>
        <w:trPr>
          <w:cantSplit/>
        </w:trPr>
        <w:tc>
          <w:tcPr>
            <w:tcW w:w="2184" w:type="dxa"/>
          </w:tcPr>
          <w:p>
            <w:pPr>
              <w:pStyle w:val="nTable"/>
              <w:spacing w:after="40"/>
              <w:ind w:right="113"/>
              <w:rPr>
                <w:sz w:val="19"/>
                <w:vertAlign w:val="superscript"/>
              </w:rPr>
            </w:pPr>
            <w:r>
              <w:rPr>
                <w:i/>
                <w:sz w:val="19"/>
              </w:rPr>
              <w:t xml:space="preserve">Betting Control Act 1954 </w:t>
            </w:r>
            <w:r>
              <w:rPr>
                <w:sz w:val="19"/>
              </w:rPr>
              <w:t>s. 3(2)</w:t>
            </w:r>
          </w:p>
        </w:tc>
        <w:tc>
          <w:tcPr>
            <w:tcW w:w="1104" w:type="dxa"/>
            <w:gridSpan w:val="2"/>
          </w:tcPr>
          <w:p>
            <w:pPr>
              <w:pStyle w:val="nTable"/>
              <w:spacing w:after="40"/>
              <w:rPr>
                <w:sz w:val="19"/>
              </w:rPr>
            </w:pPr>
            <w:r>
              <w:rPr>
                <w:sz w:val="19"/>
              </w:rPr>
              <w:t>63 of 1954</w:t>
            </w:r>
          </w:p>
        </w:tc>
        <w:tc>
          <w:tcPr>
            <w:tcW w:w="1130" w:type="dxa"/>
          </w:tcPr>
          <w:p>
            <w:pPr>
              <w:pStyle w:val="nTable"/>
              <w:spacing w:after="40"/>
              <w:rPr>
                <w:sz w:val="19"/>
              </w:rPr>
            </w:pPr>
            <w:r>
              <w:rPr>
                <w:sz w:val="19"/>
              </w:rPr>
              <w:t>30 Dec 1954</w:t>
            </w:r>
          </w:p>
        </w:tc>
        <w:tc>
          <w:tcPr>
            <w:tcW w:w="2567" w:type="dxa"/>
            <w:gridSpan w:val="2"/>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184" w:type="dxa"/>
          </w:tcPr>
          <w:p>
            <w:pPr>
              <w:pStyle w:val="nTable"/>
              <w:spacing w:after="40"/>
              <w:ind w:right="113"/>
              <w:rPr>
                <w:sz w:val="19"/>
              </w:rPr>
            </w:pPr>
            <w:r>
              <w:rPr>
                <w:i/>
                <w:sz w:val="19"/>
              </w:rPr>
              <w:t>Stamp Act Amendment Act 1957</w:t>
            </w:r>
          </w:p>
        </w:tc>
        <w:tc>
          <w:tcPr>
            <w:tcW w:w="1104" w:type="dxa"/>
            <w:gridSpan w:val="2"/>
          </w:tcPr>
          <w:p>
            <w:pPr>
              <w:pStyle w:val="nTable"/>
              <w:spacing w:after="40"/>
              <w:rPr>
                <w:sz w:val="19"/>
              </w:rPr>
            </w:pPr>
            <w:r>
              <w:rPr>
                <w:sz w:val="19"/>
              </w:rPr>
              <w:t>70 of 1957</w:t>
            </w:r>
          </w:p>
        </w:tc>
        <w:tc>
          <w:tcPr>
            <w:tcW w:w="1130" w:type="dxa"/>
          </w:tcPr>
          <w:p>
            <w:pPr>
              <w:pStyle w:val="nTable"/>
              <w:spacing w:after="40"/>
              <w:rPr>
                <w:sz w:val="19"/>
              </w:rPr>
            </w:pPr>
            <w:r>
              <w:rPr>
                <w:sz w:val="19"/>
              </w:rPr>
              <w:t>6 Dec 1957</w:t>
            </w:r>
          </w:p>
        </w:tc>
        <w:tc>
          <w:tcPr>
            <w:tcW w:w="2567" w:type="dxa"/>
            <w:gridSpan w:val="2"/>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(No. 2) 1959</w:t>
            </w:r>
          </w:p>
        </w:tc>
        <w:tc>
          <w:tcPr>
            <w:tcW w:w="1104" w:type="dxa"/>
            <w:gridSpan w:val="2"/>
          </w:tcPr>
          <w:p>
            <w:pPr>
              <w:pStyle w:val="nTable"/>
              <w:spacing w:after="40"/>
              <w:rPr>
                <w:sz w:val="19"/>
              </w:rPr>
            </w:pPr>
            <w:r>
              <w:rPr>
                <w:sz w:val="19"/>
              </w:rPr>
              <w:t>64 of 1959</w:t>
            </w:r>
          </w:p>
        </w:tc>
        <w:tc>
          <w:tcPr>
            <w:tcW w:w="1130" w:type="dxa"/>
          </w:tcPr>
          <w:p>
            <w:pPr>
              <w:pStyle w:val="nTable"/>
              <w:spacing w:after="40"/>
              <w:rPr>
                <w:sz w:val="19"/>
              </w:rPr>
            </w:pPr>
            <w:r>
              <w:rPr>
                <w:sz w:val="19"/>
              </w:rPr>
              <w:t>10 Dec 1959</w:t>
            </w:r>
          </w:p>
        </w:tc>
        <w:tc>
          <w:tcPr>
            <w:tcW w:w="2567" w:type="dxa"/>
            <w:gridSpan w:val="2"/>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184" w:type="dxa"/>
          </w:tcPr>
          <w:p>
            <w:pPr>
              <w:pStyle w:val="nTable"/>
              <w:spacing w:after="40"/>
              <w:ind w:right="113"/>
              <w:rPr>
                <w:sz w:val="19"/>
              </w:rPr>
            </w:pPr>
            <w:r>
              <w:rPr>
                <w:i/>
                <w:sz w:val="19"/>
              </w:rPr>
              <w:t>Stamp Act Amendment Act 1959</w:t>
            </w:r>
          </w:p>
        </w:tc>
        <w:tc>
          <w:tcPr>
            <w:tcW w:w="1104" w:type="dxa"/>
            <w:gridSpan w:val="2"/>
          </w:tcPr>
          <w:p>
            <w:pPr>
              <w:pStyle w:val="nTable"/>
              <w:spacing w:after="40"/>
              <w:rPr>
                <w:sz w:val="19"/>
              </w:rPr>
            </w:pPr>
            <w:r>
              <w:rPr>
                <w:sz w:val="19"/>
              </w:rPr>
              <w:t>72 of 1959</w:t>
            </w:r>
          </w:p>
        </w:tc>
        <w:tc>
          <w:tcPr>
            <w:tcW w:w="1130" w:type="dxa"/>
          </w:tcPr>
          <w:p>
            <w:pPr>
              <w:pStyle w:val="nTable"/>
              <w:spacing w:after="40"/>
              <w:rPr>
                <w:sz w:val="19"/>
              </w:rPr>
            </w:pPr>
            <w:r>
              <w:rPr>
                <w:sz w:val="19"/>
              </w:rPr>
              <w:t>14 Dec 1959</w:t>
            </w:r>
          </w:p>
        </w:tc>
        <w:tc>
          <w:tcPr>
            <w:tcW w:w="2567" w:type="dxa"/>
            <w:gridSpan w:val="2"/>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184" w:type="dxa"/>
          </w:tcPr>
          <w:p>
            <w:pPr>
              <w:pStyle w:val="nTable"/>
              <w:spacing w:after="40"/>
              <w:ind w:right="113"/>
              <w:rPr>
                <w:sz w:val="19"/>
              </w:rPr>
            </w:pPr>
            <w:r>
              <w:rPr>
                <w:i/>
                <w:sz w:val="19"/>
              </w:rPr>
              <w:t>Stamp Act Amendment Act 1960</w:t>
            </w:r>
          </w:p>
        </w:tc>
        <w:tc>
          <w:tcPr>
            <w:tcW w:w="1104" w:type="dxa"/>
            <w:gridSpan w:val="2"/>
          </w:tcPr>
          <w:p>
            <w:pPr>
              <w:pStyle w:val="nTable"/>
              <w:spacing w:after="40"/>
              <w:rPr>
                <w:sz w:val="19"/>
              </w:rPr>
            </w:pPr>
            <w:r>
              <w:rPr>
                <w:sz w:val="19"/>
              </w:rPr>
              <w:t>22 of 1960</w:t>
            </w:r>
          </w:p>
        </w:tc>
        <w:tc>
          <w:tcPr>
            <w:tcW w:w="1130" w:type="dxa"/>
          </w:tcPr>
          <w:p>
            <w:pPr>
              <w:pStyle w:val="nTable"/>
              <w:spacing w:after="40"/>
              <w:rPr>
                <w:sz w:val="19"/>
              </w:rPr>
            </w:pPr>
            <w:r>
              <w:rPr>
                <w:sz w:val="19"/>
              </w:rPr>
              <w:t>11 Oct 1960</w:t>
            </w:r>
          </w:p>
        </w:tc>
        <w:tc>
          <w:tcPr>
            <w:tcW w:w="2567" w:type="dxa"/>
            <w:gridSpan w:val="2"/>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184" w:type="dxa"/>
          </w:tcPr>
          <w:p>
            <w:pPr>
              <w:pStyle w:val="nTable"/>
              <w:spacing w:after="40"/>
              <w:ind w:right="113"/>
              <w:rPr>
                <w:sz w:val="19"/>
              </w:rPr>
            </w:pPr>
            <w:r>
              <w:rPr>
                <w:i/>
                <w:sz w:val="19"/>
              </w:rPr>
              <w:t>Stamp Act Amendment Act (No. 2) 1960</w:t>
            </w:r>
          </w:p>
        </w:tc>
        <w:tc>
          <w:tcPr>
            <w:tcW w:w="1104" w:type="dxa"/>
            <w:gridSpan w:val="2"/>
          </w:tcPr>
          <w:p>
            <w:pPr>
              <w:pStyle w:val="nTable"/>
              <w:spacing w:after="40"/>
              <w:rPr>
                <w:sz w:val="19"/>
              </w:rPr>
            </w:pPr>
            <w:r>
              <w:rPr>
                <w:sz w:val="19"/>
              </w:rPr>
              <w:t>41 of 1960</w:t>
            </w:r>
          </w:p>
        </w:tc>
        <w:tc>
          <w:tcPr>
            <w:tcW w:w="1130" w:type="dxa"/>
          </w:tcPr>
          <w:p>
            <w:pPr>
              <w:pStyle w:val="nTable"/>
              <w:spacing w:after="40"/>
              <w:rPr>
                <w:sz w:val="19"/>
              </w:rPr>
            </w:pPr>
            <w:r>
              <w:rPr>
                <w:sz w:val="19"/>
              </w:rPr>
              <w:t>3 Nov 1960</w:t>
            </w:r>
          </w:p>
        </w:tc>
        <w:tc>
          <w:tcPr>
            <w:tcW w:w="2567" w:type="dxa"/>
            <w:gridSpan w:val="2"/>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184" w:type="dxa"/>
          </w:tcPr>
          <w:p>
            <w:pPr>
              <w:pStyle w:val="nTable"/>
              <w:spacing w:after="40"/>
              <w:ind w:right="113"/>
              <w:rPr>
                <w:sz w:val="19"/>
              </w:rPr>
            </w:pPr>
            <w:r>
              <w:rPr>
                <w:i/>
                <w:sz w:val="19"/>
              </w:rPr>
              <w:t>Stamp Act Amendment Act 1961</w:t>
            </w:r>
          </w:p>
        </w:tc>
        <w:tc>
          <w:tcPr>
            <w:tcW w:w="1104" w:type="dxa"/>
            <w:gridSpan w:val="2"/>
          </w:tcPr>
          <w:p>
            <w:pPr>
              <w:pStyle w:val="nTable"/>
              <w:spacing w:after="40"/>
              <w:rPr>
                <w:sz w:val="19"/>
              </w:rPr>
            </w:pPr>
            <w:r>
              <w:rPr>
                <w:sz w:val="19"/>
              </w:rPr>
              <w:t>21 of 1961</w:t>
            </w:r>
          </w:p>
        </w:tc>
        <w:tc>
          <w:tcPr>
            <w:tcW w:w="1130" w:type="dxa"/>
          </w:tcPr>
          <w:p>
            <w:pPr>
              <w:pStyle w:val="nTable"/>
              <w:spacing w:after="40"/>
              <w:rPr>
                <w:sz w:val="19"/>
              </w:rPr>
            </w:pPr>
            <w:r>
              <w:rPr>
                <w:sz w:val="19"/>
              </w:rPr>
              <w:t>30 Oct 1961</w:t>
            </w:r>
          </w:p>
        </w:tc>
        <w:tc>
          <w:tcPr>
            <w:tcW w:w="2567" w:type="dxa"/>
            <w:gridSpan w:val="2"/>
          </w:tcPr>
          <w:p>
            <w:pPr>
              <w:pStyle w:val="nTable"/>
              <w:spacing w:after="40"/>
              <w:rPr>
                <w:sz w:val="19"/>
              </w:rPr>
            </w:pPr>
            <w:r>
              <w:rPr>
                <w:sz w:val="19"/>
              </w:rPr>
              <w:t>30 Oct 1961</w:t>
            </w:r>
          </w:p>
        </w:tc>
      </w:tr>
      <w:tr>
        <w:trPr>
          <w:cantSplit/>
        </w:trPr>
        <w:tc>
          <w:tcPr>
            <w:tcW w:w="2184" w:type="dxa"/>
          </w:tcPr>
          <w:p>
            <w:pPr>
              <w:pStyle w:val="nTable"/>
              <w:spacing w:after="40"/>
              <w:ind w:right="113"/>
              <w:rPr>
                <w:sz w:val="19"/>
              </w:rPr>
            </w:pPr>
            <w:r>
              <w:rPr>
                <w:i/>
                <w:sz w:val="19"/>
              </w:rPr>
              <w:t>Stamp Act Amendment Act 1962</w:t>
            </w:r>
          </w:p>
        </w:tc>
        <w:tc>
          <w:tcPr>
            <w:tcW w:w="1104" w:type="dxa"/>
            <w:gridSpan w:val="2"/>
          </w:tcPr>
          <w:p>
            <w:pPr>
              <w:pStyle w:val="nTable"/>
              <w:spacing w:after="40"/>
              <w:rPr>
                <w:sz w:val="19"/>
              </w:rPr>
            </w:pPr>
            <w:r>
              <w:rPr>
                <w:sz w:val="19"/>
              </w:rPr>
              <w:t>20 of 1962</w:t>
            </w:r>
          </w:p>
        </w:tc>
        <w:tc>
          <w:tcPr>
            <w:tcW w:w="1130" w:type="dxa"/>
          </w:tcPr>
          <w:p>
            <w:pPr>
              <w:pStyle w:val="nTable"/>
              <w:spacing w:after="40"/>
              <w:rPr>
                <w:sz w:val="19"/>
              </w:rPr>
            </w:pPr>
            <w:r>
              <w:rPr>
                <w:sz w:val="19"/>
              </w:rPr>
              <w:t>1 Oct 1962</w:t>
            </w:r>
          </w:p>
        </w:tc>
        <w:tc>
          <w:tcPr>
            <w:tcW w:w="2567" w:type="dxa"/>
            <w:gridSpan w:val="2"/>
          </w:tcPr>
          <w:p>
            <w:pPr>
              <w:pStyle w:val="nTable"/>
              <w:spacing w:after="40"/>
              <w:rPr>
                <w:sz w:val="19"/>
              </w:rPr>
            </w:pPr>
            <w:r>
              <w:rPr>
                <w:sz w:val="19"/>
              </w:rPr>
              <w:t>1 Oct 1962</w:t>
            </w:r>
          </w:p>
        </w:tc>
      </w:tr>
      <w:tr>
        <w:trPr>
          <w:cantSplit/>
        </w:trPr>
        <w:tc>
          <w:tcPr>
            <w:tcW w:w="2184" w:type="dxa"/>
          </w:tcPr>
          <w:p>
            <w:pPr>
              <w:pStyle w:val="nTable"/>
              <w:spacing w:after="40"/>
              <w:ind w:right="113"/>
              <w:rPr>
                <w:sz w:val="19"/>
              </w:rPr>
            </w:pPr>
            <w:r>
              <w:rPr>
                <w:i/>
                <w:sz w:val="19"/>
              </w:rPr>
              <w:t>Stamp Act Amendment Act (No. 2) 1962</w:t>
            </w:r>
          </w:p>
        </w:tc>
        <w:tc>
          <w:tcPr>
            <w:tcW w:w="1104" w:type="dxa"/>
            <w:gridSpan w:val="2"/>
          </w:tcPr>
          <w:p>
            <w:pPr>
              <w:pStyle w:val="nTable"/>
              <w:spacing w:after="40"/>
              <w:rPr>
                <w:sz w:val="19"/>
              </w:rPr>
            </w:pPr>
            <w:r>
              <w:rPr>
                <w:sz w:val="19"/>
              </w:rPr>
              <w:t>60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1 Jan 1963 (see s. 2)</w:t>
            </w:r>
          </w:p>
        </w:tc>
      </w:tr>
      <w:tr>
        <w:trPr>
          <w:cantSplit/>
        </w:trPr>
        <w:tc>
          <w:tcPr>
            <w:tcW w:w="2184" w:type="dxa"/>
          </w:tcPr>
          <w:p>
            <w:pPr>
              <w:pStyle w:val="nTable"/>
              <w:spacing w:after="40"/>
              <w:ind w:right="113"/>
              <w:rPr>
                <w:sz w:val="19"/>
              </w:rPr>
            </w:pPr>
            <w:r>
              <w:rPr>
                <w:i/>
                <w:sz w:val="19"/>
              </w:rPr>
              <w:t>Stamp Act Amendment Act (No. 3) 1962</w:t>
            </w:r>
          </w:p>
        </w:tc>
        <w:tc>
          <w:tcPr>
            <w:tcW w:w="1104" w:type="dxa"/>
            <w:gridSpan w:val="2"/>
          </w:tcPr>
          <w:p>
            <w:pPr>
              <w:pStyle w:val="nTable"/>
              <w:spacing w:after="40"/>
              <w:rPr>
                <w:sz w:val="19"/>
              </w:rPr>
            </w:pPr>
            <w:r>
              <w:rPr>
                <w:sz w:val="19"/>
              </w:rPr>
              <w:t>69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30 Nov 1962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1963</w:t>
            </w:r>
          </w:p>
        </w:tc>
        <w:tc>
          <w:tcPr>
            <w:tcW w:w="1104" w:type="dxa"/>
            <w:gridSpan w:val="2"/>
          </w:tcPr>
          <w:p>
            <w:pPr>
              <w:pStyle w:val="nTable"/>
              <w:spacing w:after="40"/>
              <w:rPr>
                <w:sz w:val="19"/>
              </w:rPr>
            </w:pPr>
            <w:r>
              <w:rPr>
                <w:sz w:val="19"/>
              </w:rPr>
              <w:t>7 of 1963</w:t>
            </w:r>
          </w:p>
        </w:tc>
        <w:tc>
          <w:tcPr>
            <w:tcW w:w="1151" w:type="dxa"/>
            <w:gridSpan w:val="2"/>
          </w:tcPr>
          <w:p>
            <w:pPr>
              <w:pStyle w:val="nTable"/>
              <w:spacing w:after="40"/>
              <w:rPr>
                <w:sz w:val="19"/>
              </w:rPr>
            </w:pPr>
            <w:r>
              <w:rPr>
                <w:sz w:val="19"/>
              </w:rPr>
              <w:t>15 Oct 1963</w:t>
            </w:r>
          </w:p>
        </w:tc>
        <w:tc>
          <w:tcPr>
            <w:tcW w:w="2546" w:type="dxa"/>
          </w:tcPr>
          <w:p>
            <w:pPr>
              <w:pStyle w:val="nTable"/>
              <w:spacing w:after="40"/>
              <w:rPr>
                <w:sz w:val="19"/>
              </w:rPr>
            </w:pPr>
            <w:r>
              <w:rPr>
                <w:sz w:val="19"/>
              </w:rPr>
              <w:t>15 Oct 1963</w:t>
            </w:r>
          </w:p>
        </w:tc>
      </w:tr>
      <w:tr>
        <w:trPr>
          <w:cantSplit/>
        </w:trPr>
        <w:tc>
          <w:tcPr>
            <w:tcW w:w="2184" w:type="dxa"/>
          </w:tcPr>
          <w:p>
            <w:pPr>
              <w:pStyle w:val="nTable"/>
              <w:spacing w:after="40"/>
              <w:ind w:right="113"/>
              <w:rPr>
                <w:sz w:val="19"/>
              </w:rPr>
            </w:pPr>
            <w:r>
              <w:rPr>
                <w:i/>
                <w:sz w:val="19"/>
              </w:rPr>
              <w:t>Stamp Act Amendment Act (No. 2) 1963</w:t>
            </w:r>
          </w:p>
        </w:tc>
        <w:tc>
          <w:tcPr>
            <w:tcW w:w="1104" w:type="dxa"/>
            <w:gridSpan w:val="2"/>
          </w:tcPr>
          <w:p>
            <w:pPr>
              <w:pStyle w:val="nTable"/>
              <w:spacing w:after="40"/>
              <w:rPr>
                <w:sz w:val="19"/>
              </w:rPr>
            </w:pPr>
            <w:r>
              <w:rPr>
                <w:sz w:val="19"/>
              </w:rPr>
              <w:t>37 of 1963</w:t>
            </w:r>
          </w:p>
        </w:tc>
        <w:tc>
          <w:tcPr>
            <w:tcW w:w="1151" w:type="dxa"/>
            <w:gridSpan w:val="2"/>
          </w:tcPr>
          <w:p>
            <w:pPr>
              <w:pStyle w:val="nTable"/>
              <w:spacing w:after="40"/>
              <w:rPr>
                <w:sz w:val="19"/>
              </w:rPr>
            </w:pPr>
            <w:r>
              <w:rPr>
                <w:sz w:val="19"/>
              </w:rPr>
              <w:t>19 Nov 1963</w:t>
            </w:r>
          </w:p>
        </w:tc>
        <w:tc>
          <w:tcPr>
            <w:tcW w:w="2546" w:type="dxa"/>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184" w:type="dxa"/>
          </w:tcPr>
          <w:p>
            <w:pPr>
              <w:pStyle w:val="nTable"/>
              <w:spacing w:after="40"/>
              <w:ind w:right="113"/>
              <w:rPr>
                <w:sz w:val="19"/>
              </w:rPr>
            </w:pPr>
            <w:r>
              <w:rPr>
                <w:i/>
                <w:sz w:val="19"/>
              </w:rPr>
              <w:t>Stamp Act Amendment Act (No. 3) 1963</w:t>
            </w:r>
          </w:p>
        </w:tc>
        <w:tc>
          <w:tcPr>
            <w:tcW w:w="1104" w:type="dxa"/>
            <w:gridSpan w:val="2"/>
          </w:tcPr>
          <w:p>
            <w:pPr>
              <w:pStyle w:val="nTable"/>
              <w:spacing w:after="40"/>
              <w:rPr>
                <w:sz w:val="19"/>
              </w:rPr>
            </w:pPr>
            <w:r>
              <w:rPr>
                <w:sz w:val="19"/>
              </w:rPr>
              <w:t>57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17 Dec 1963</w:t>
            </w:r>
          </w:p>
        </w:tc>
      </w:tr>
      <w:tr>
        <w:trPr>
          <w:cantSplit/>
        </w:trPr>
        <w:tc>
          <w:tcPr>
            <w:tcW w:w="2184" w:type="dxa"/>
          </w:tcPr>
          <w:p>
            <w:pPr>
              <w:pStyle w:val="nTable"/>
              <w:spacing w:after="40"/>
              <w:ind w:right="113"/>
              <w:rPr>
                <w:sz w:val="19"/>
              </w:rPr>
            </w:pPr>
            <w:r>
              <w:rPr>
                <w:i/>
                <w:sz w:val="19"/>
              </w:rPr>
              <w:t>Stamp Act Amendment Act (No. 4) 1963</w:t>
            </w:r>
          </w:p>
        </w:tc>
        <w:tc>
          <w:tcPr>
            <w:tcW w:w="1104" w:type="dxa"/>
            <w:gridSpan w:val="2"/>
          </w:tcPr>
          <w:p>
            <w:pPr>
              <w:pStyle w:val="nTable"/>
              <w:spacing w:after="40"/>
              <w:rPr>
                <w:sz w:val="19"/>
              </w:rPr>
            </w:pPr>
            <w:r>
              <w:rPr>
                <w:sz w:val="19"/>
              </w:rPr>
              <w:t>58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184" w:type="dxa"/>
          </w:tcPr>
          <w:p>
            <w:pPr>
              <w:pStyle w:val="nTable"/>
              <w:spacing w:after="40"/>
              <w:ind w:right="113"/>
              <w:rPr>
                <w:sz w:val="19"/>
              </w:rPr>
            </w:pPr>
            <w:r>
              <w:rPr>
                <w:i/>
                <w:sz w:val="19"/>
              </w:rPr>
              <w:t>Stamp Act Amendment Act 1965</w:t>
            </w:r>
          </w:p>
        </w:tc>
        <w:tc>
          <w:tcPr>
            <w:tcW w:w="1104" w:type="dxa"/>
            <w:gridSpan w:val="2"/>
          </w:tcPr>
          <w:p>
            <w:pPr>
              <w:pStyle w:val="nTable"/>
              <w:spacing w:after="40"/>
              <w:rPr>
                <w:sz w:val="19"/>
              </w:rPr>
            </w:pPr>
            <w:r>
              <w:rPr>
                <w:sz w:val="19"/>
              </w:rPr>
              <w:t>72 of 1965</w:t>
            </w:r>
          </w:p>
        </w:tc>
        <w:tc>
          <w:tcPr>
            <w:tcW w:w="1151" w:type="dxa"/>
            <w:gridSpan w:val="2"/>
          </w:tcPr>
          <w:p>
            <w:pPr>
              <w:pStyle w:val="nTable"/>
              <w:spacing w:after="40"/>
              <w:rPr>
                <w:sz w:val="19"/>
              </w:rPr>
            </w:pPr>
            <w:r>
              <w:rPr>
                <w:sz w:val="19"/>
              </w:rPr>
              <w:t>25 Nov 1965</w:t>
            </w:r>
          </w:p>
        </w:tc>
        <w:tc>
          <w:tcPr>
            <w:tcW w:w="2546" w:type="dxa"/>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184" w:type="dxa"/>
          </w:tcPr>
          <w:p>
            <w:pPr>
              <w:pStyle w:val="nTable"/>
              <w:spacing w:after="40"/>
              <w:ind w:right="113"/>
              <w:rPr>
                <w:sz w:val="19"/>
              </w:rPr>
            </w:pPr>
            <w:r>
              <w:rPr>
                <w:i/>
                <w:sz w:val="19"/>
              </w:rPr>
              <w:t>Decimal Currency Act 1965</w:t>
            </w:r>
          </w:p>
        </w:tc>
        <w:tc>
          <w:tcPr>
            <w:tcW w:w="1104" w:type="dxa"/>
            <w:gridSpan w:val="2"/>
          </w:tcPr>
          <w:p>
            <w:pPr>
              <w:pStyle w:val="nTable"/>
              <w:spacing w:after="40"/>
              <w:rPr>
                <w:sz w:val="19"/>
              </w:rPr>
            </w:pPr>
            <w:r>
              <w:rPr>
                <w:sz w:val="19"/>
              </w:rPr>
              <w:t>113 of 1965</w:t>
            </w:r>
          </w:p>
        </w:tc>
        <w:tc>
          <w:tcPr>
            <w:tcW w:w="1151" w:type="dxa"/>
            <w:gridSpan w:val="2"/>
          </w:tcPr>
          <w:p>
            <w:pPr>
              <w:pStyle w:val="nTable"/>
              <w:spacing w:after="40"/>
              <w:rPr>
                <w:sz w:val="19"/>
              </w:rPr>
            </w:pPr>
            <w:r>
              <w:rPr>
                <w:sz w:val="19"/>
              </w:rPr>
              <w:t>21 Dec 1965</w:t>
            </w:r>
          </w:p>
        </w:tc>
        <w:tc>
          <w:tcPr>
            <w:tcW w:w="2546" w:type="dxa"/>
          </w:tcPr>
          <w:p>
            <w:pPr>
              <w:pStyle w:val="nTable"/>
              <w:spacing w:after="40"/>
              <w:rPr>
                <w:sz w:val="19"/>
              </w:rPr>
            </w:pPr>
            <w:r>
              <w:rPr>
                <w:sz w:val="19"/>
              </w:rPr>
              <w:t>Act other than s. 4-9: 21 Dec 1965 (see s. 2(1));</w:t>
            </w:r>
            <w:r>
              <w:rPr>
                <w:sz w:val="19"/>
              </w:rPr>
              <w:br/>
              <w:t>s. 4</w:t>
            </w:r>
            <w:r>
              <w:rPr>
                <w:sz w:val="19"/>
              </w:rPr>
              <w:noBreakHyphen/>
              <w:t xml:space="preserve">9: 14 Feb 1966 (see s. 2(2)) </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1966</w:t>
            </w:r>
          </w:p>
        </w:tc>
        <w:tc>
          <w:tcPr>
            <w:tcW w:w="1104" w:type="dxa"/>
            <w:gridSpan w:val="2"/>
          </w:tcPr>
          <w:p>
            <w:pPr>
              <w:pStyle w:val="nTable"/>
              <w:spacing w:after="40"/>
              <w:rPr>
                <w:sz w:val="19"/>
              </w:rPr>
            </w:pPr>
            <w:r>
              <w:rPr>
                <w:sz w:val="19"/>
              </w:rPr>
              <w:t>67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184" w:type="dxa"/>
          </w:tcPr>
          <w:p>
            <w:pPr>
              <w:pStyle w:val="nTable"/>
              <w:spacing w:after="40"/>
              <w:ind w:right="113"/>
              <w:rPr>
                <w:sz w:val="19"/>
              </w:rPr>
            </w:pPr>
            <w:r>
              <w:rPr>
                <w:i/>
                <w:sz w:val="19"/>
              </w:rPr>
              <w:t>Stamp Act Amendment Act (No. 2) 1966</w:t>
            </w:r>
          </w:p>
        </w:tc>
        <w:tc>
          <w:tcPr>
            <w:tcW w:w="1104" w:type="dxa"/>
            <w:gridSpan w:val="2"/>
          </w:tcPr>
          <w:p>
            <w:pPr>
              <w:pStyle w:val="nTable"/>
              <w:spacing w:after="40"/>
              <w:rPr>
                <w:sz w:val="19"/>
              </w:rPr>
            </w:pPr>
            <w:r>
              <w:rPr>
                <w:sz w:val="19"/>
              </w:rPr>
              <w:t>90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1 Jan 1967 (see s. 2)</w:t>
            </w:r>
          </w:p>
        </w:tc>
      </w:tr>
      <w:tr>
        <w:trPr>
          <w:cantSplit/>
        </w:trPr>
        <w:tc>
          <w:tcPr>
            <w:tcW w:w="2184" w:type="dxa"/>
          </w:tcPr>
          <w:p>
            <w:pPr>
              <w:pStyle w:val="nTable"/>
              <w:spacing w:after="40"/>
              <w:ind w:right="113"/>
              <w:rPr>
                <w:sz w:val="19"/>
              </w:rPr>
            </w:pPr>
            <w:r>
              <w:rPr>
                <w:i/>
                <w:sz w:val="19"/>
              </w:rPr>
              <w:t>Stamp Act Amendment Act (No. 3) 1966</w:t>
            </w:r>
          </w:p>
        </w:tc>
        <w:tc>
          <w:tcPr>
            <w:tcW w:w="1104" w:type="dxa"/>
            <w:gridSpan w:val="2"/>
          </w:tcPr>
          <w:p>
            <w:pPr>
              <w:pStyle w:val="nTable"/>
              <w:spacing w:after="40"/>
              <w:rPr>
                <w:sz w:val="19"/>
              </w:rPr>
            </w:pPr>
            <w:r>
              <w:rPr>
                <w:sz w:val="19"/>
              </w:rPr>
              <w:t>93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184" w:type="dxa"/>
          </w:tcPr>
          <w:p>
            <w:pPr>
              <w:pStyle w:val="nTable"/>
              <w:spacing w:after="40"/>
              <w:ind w:right="113"/>
              <w:rPr>
                <w:sz w:val="19"/>
              </w:rPr>
            </w:pPr>
            <w:r>
              <w:rPr>
                <w:i/>
                <w:sz w:val="19"/>
              </w:rPr>
              <w:t>Stamp Act Amendment Act 1967</w:t>
            </w:r>
          </w:p>
        </w:tc>
        <w:tc>
          <w:tcPr>
            <w:tcW w:w="1104" w:type="dxa"/>
            <w:gridSpan w:val="2"/>
          </w:tcPr>
          <w:p>
            <w:pPr>
              <w:pStyle w:val="nTable"/>
              <w:spacing w:after="40"/>
              <w:rPr>
                <w:sz w:val="19"/>
              </w:rPr>
            </w:pPr>
            <w:r>
              <w:rPr>
                <w:sz w:val="19"/>
              </w:rPr>
              <w:t>50 of 1967</w:t>
            </w:r>
          </w:p>
        </w:tc>
        <w:tc>
          <w:tcPr>
            <w:tcW w:w="1151" w:type="dxa"/>
            <w:gridSpan w:val="2"/>
          </w:tcPr>
          <w:p>
            <w:pPr>
              <w:pStyle w:val="nTable"/>
              <w:spacing w:after="40"/>
              <w:rPr>
                <w:sz w:val="19"/>
              </w:rPr>
            </w:pPr>
            <w:r>
              <w:rPr>
                <w:sz w:val="19"/>
              </w:rPr>
              <w:t>24 Nov 1967</w:t>
            </w:r>
          </w:p>
        </w:tc>
        <w:tc>
          <w:tcPr>
            <w:tcW w:w="2546" w:type="dxa"/>
          </w:tcPr>
          <w:p>
            <w:pPr>
              <w:pStyle w:val="nTable"/>
              <w:spacing w:after="40"/>
              <w:rPr>
                <w:sz w:val="19"/>
              </w:rPr>
            </w:pPr>
            <w:r>
              <w:rPr>
                <w:sz w:val="19"/>
              </w:rPr>
              <w:t>1 Dec 1967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1968</w:t>
            </w:r>
          </w:p>
        </w:tc>
        <w:tc>
          <w:tcPr>
            <w:tcW w:w="1104" w:type="dxa"/>
            <w:gridSpan w:val="2"/>
          </w:tcPr>
          <w:p>
            <w:pPr>
              <w:pStyle w:val="nTable"/>
              <w:spacing w:after="40"/>
              <w:rPr>
                <w:sz w:val="19"/>
              </w:rPr>
            </w:pPr>
            <w:r>
              <w:rPr>
                <w:sz w:val="19"/>
              </w:rPr>
              <w:t>54 of 1968</w:t>
            </w:r>
          </w:p>
        </w:tc>
        <w:tc>
          <w:tcPr>
            <w:tcW w:w="1151" w:type="dxa"/>
            <w:gridSpan w:val="2"/>
          </w:tcPr>
          <w:p>
            <w:pPr>
              <w:pStyle w:val="nTable"/>
              <w:spacing w:after="40"/>
              <w:rPr>
                <w:sz w:val="19"/>
              </w:rPr>
            </w:pPr>
            <w:r>
              <w:rPr>
                <w:sz w:val="19"/>
              </w:rPr>
              <w:t>13 Nov 1968</w:t>
            </w:r>
          </w:p>
        </w:tc>
        <w:tc>
          <w:tcPr>
            <w:tcW w:w="2546" w:type="dxa"/>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184" w:type="dxa"/>
          </w:tcPr>
          <w:p>
            <w:pPr>
              <w:pStyle w:val="nTable"/>
              <w:spacing w:after="40"/>
              <w:ind w:right="113"/>
              <w:rPr>
                <w:sz w:val="19"/>
              </w:rPr>
            </w:pPr>
            <w:r>
              <w:rPr>
                <w:i/>
                <w:sz w:val="19"/>
              </w:rPr>
              <w:t>Stamp Act Amendment Act 1969</w:t>
            </w:r>
          </w:p>
        </w:tc>
        <w:tc>
          <w:tcPr>
            <w:tcW w:w="1104" w:type="dxa"/>
            <w:gridSpan w:val="2"/>
          </w:tcPr>
          <w:p>
            <w:pPr>
              <w:pStyle w:val="nTable"/>
              <w:spacing w:after="40"/>
              <w:rPr>
                <w:sz w:val="19"/>
              </w:rPr>
            </w:pPr>
            <w:r>
              <w:rPr>
                <w:sz w:val="19"/>
              </w:rPr>
              <w:t>113 of 1969</w:t>
            </w:r>
          </w:p>
        </w:tc>
        <w:tc>
          <w:tcPr>
            <w:tcW w:w="1151" w:type="dxa"/>
            <w:gridSpan w:val="2"/>
          </w:tcPr>
          <w:p>
            <w:pPr>
              <w:pStyle w:val="nTable"/>
              <w:spacing w:after="40"/>
              <w:rPr>
                <w:sz w:val="19"/>
              </w:rPr>
            </w:pPr>
            <w:r>
              <w:rPr>
                <w:sz w:val="19"/>
              </w:rPr>
              <w:t>28 Nov 1969</w:t>
            </w:r>
          </w:p>
        </w:tc>
        <w:tc>
          <w:tcPr>
            <w:tcW w:w="2546" w:type="dxa"/>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184" w:type="dxa"/>
          </w:tcPr>
          <w:p>
            <w:pPr>
              <w:pStyle w:val="nTable"/>
              <w:spacing w:after="40"/>
              <w:ind w:right="113"/>
              <w:rPr>
                <w:sz w:val="19"/>
              </w:rPr>
            </w:pPr>
            <w:r>
              <w:rPr>
                <w:i/>
                <w:sz w:val="19"/>
              </w:rPr>
              <w:t xml:space="preserve">Acts Amendment (Commissioner of State Taxation) Act 1970 </w:t>
            </w:r>
            <w:r>
              <w:rPr>
                <w:sz w:val="19"/>
              </w:rPr>
              <w:t>Pt. VI</w:t>
            </w:r>
          </w:p>
        </w:tc>
        <w:tc>
          <w:tcPr>
            <w:tcW w:w="1104" w:type="dxa"/>
            <w:gridSpan w:val="2"/>
          </w:tcPr>
          <w:p>
            <w:pPr>
              <w:pStyle w:val="nTable"/>
              <w:spacing w:after="40"/>
              <w:rPr>
                <w:sz w:val="19"/>
              </w:rPr>
            </w:pPr>
            <w:r>
              <w:rPr>
                <w:sz w:val="19"/>
              </w:rPr>
              <w:t>21 of 1970</w:t>
            </w:r>
          </w:p>
        </w:tc>
        <w:tc>
          <w:tcPr>
            <w:tcW w:w="1151" w:type="dxa"/>
            <w:gridSpan w:val="2"/>
          </w:tcPr>
          <w:p>
            <w:pPr>
              <w:pStyle w:val="nTable"/>
              <w:spacing w:after="40"/>
              <w:rPr>
                <w:sz w:val="19"/>
              </w:rPr>
            </w:pPr>
            <w:r>
              <w:rPr>
                <w:sz w:val="19"/>
              </w:rPr>
              <w:t>8 May 1970</w:t>
            </w:r>
          </w:p>
        </w:tc>
        <w:tc>
          <w:tcPr>
            <w:tcW w:w="2546"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184" w:type="dxa"/>
          </w:tcPr>
          <w:p>
            <w:pPr>
              <w:pStyle w:val="nTable"/>
              <w:spacing w:after="40"/>
              <w:ind w:right="113"/>
              <w:rPr>
                <w:sz w:val="19"/>
              </w:rPr>
            </w:pPr>
            <w:r>
              <w:rPr>
                <w:i/>
                <w:sz w:val="19"/>
              </w:rPr>
              <w:t>Stamp Act Amendment Act 1970</w:t>
            </w:r>
          </w:p>
        </w:tc>
        <w:tc>
          <w:tcPr>
            <w:tcW w:w="1104" w:type="dxa"/>
            <w:gridSpan w:val="2"/>
          </w:tcPr>
          <w:p>
            <w:pPr>
              <w:pStyle w:val="nTable"/>
              <w:spacing w:after="40"/>
              <w:rPr>
                <w:sz w:val="19"/>
              </w:rPr>
            </w:pPr>
            <w:r>
              <w:rPr>
                <w:sz w:val="19"/>
              </w:rPr>
              <w:t>102 of 1970</w:t>
            </w:r>
          </w:p>
        </w:tc>
        <w:tc>
          <w:tcPr>
            <w:tcW w:w="1151" w:type="dxa"/>
            <w:gridSpan w:val="2"/>
          </w:tcPr>
          <w:p>
            <w:pPr>
              <w:pStyle w:val="nTable"/>
              <w:spacing w:after="40"/>
              <w:rPr>
                <w:sz w:val="19"/>
              </w:rPr>
            </w:pPr>
            <w:r>
              <w:rPr>
                <w:sz w:val="19"/>
              </w:rPr>
              <w:t>8 Dec 1970</w:t>
            </w:r>
          </w:p>
        </w:tc>
        <w:tc>
          <w:tcPr>
            <w:tcW w:w="2546" w:type="dxa"/>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184" w:type="dxa"/>
          </w:tcPr>
          <w:p>
            <w:pPr>
              <w:pStyle w:val="nTable"/>
              <w:spacing w:after="40"/>
              <w:ind w:right="113"/>
              <w:rPr>
                <w:sz w:val="19"/>
              </w:rPr>
            </w:pPr>
            <w:r>
              <w:rPr>
                <w:i/>
                <w:sz w:val="19"/>
              </w:rPr>
              <w:t>Stamp Act Amendment Act 1971</w:t>
            </w:r>
          </w:p>
        </w:tc>
        <w:tc>
          <w:tcPr>
            <w:tcW w:w="1104" w:type="dxa"/>
            <w:gridSpan w:val="2"/>
          </w:tcPr>
          <w:p>
            <w:pPr>
              <w:pStyle w:val="nTable"/>
              <w:spacing w:after="40"/>
              <w:rPr>
                <w:sz w:val="19"/>
              </w:rPr>
            </w:pPr>
            <w:r>
              <w:rPr>
                <w:sz w:val="19"/>
              </w:rPr>
              <w:t>3 of 1971</w:t>
            </w:r>
          </w:p>
        </w:tc>
        <w:tc>
          <w:tcPr>
            <w:tcW w:w="1151" w:type="dxa"/>
            <w:gridSpan w:val="2"/>
          </w:tcPr>
          <w:p>
            <w:pPr>
              <w:pStyle w:val="nTable"/>
              <w:spacing w:after="40"/>
              <w:rPr>
                <w:sz w:val="19"/>
              </w:rPr>
            </w:pPr>
            <w:r>
              <w:rPr>
                <w:sz w:val="19"/>
              </w:rPr>
              <w:t>13 Sep 1971</w:t>
            </w:r>
          </w:p>
        </w:tc>
        <w:tc>
          <w:tcPr>
            <w:tcW w:w="2546" w:type="dxa"/>
          </w:tcPr>
          <w:p>
            <w:pPr>
              <w:pStyle w:val="nTable"/>
              <w:spacing w:after="40"/>
              <w:rPr>
                <w:sz w:val="19"/>
              </w:rPr>
            </w:pPr>
            <w:r>
              <w:rPr>
                <w:sz w:val="19"/>
              </w:rPr>
              <w:t>13 Sep 1971</w:t>
            </w:r>
          </w:p>
        </w:tc>
      </w:tr>
      <w:tr>
        <w:trPr>
          <w:cantSplit/>
        </w:trPr>
        <w:tc>
          <w:tcPr>
            <w:tcW w:w="2184" w:type="dxa"/>
          </w:tcPr>
          <w:p>
            <w:pPr>
              <w:pStyle w:val="nTable"/>
              <w:spacing w:after="40"/>
              <w:ind w:right="113"/>
              <w:rPr>
                <w:sz w:val="19"/>
              </w:rPr>
            </w:pPr>
            <w:r>
              <w:rPr>
                <w:i/>
                <w:sz w:val="19"/>
              </w:rPr>
              <w:t>Stamp Act Amendment Act (No. 2) 1971</w:t>
            </w:r>
          </w:p>
        </w:tc>
        <w:tc>
          <w:tcPr>
            <w:tcW w:w="1104" w:type="dxa"/>
            <w:gridSpan w:val="2"/>
          </w:tcPr>
          <w:p>
            <w:pPr>
              <w:pStyle w:val="nTable"/>
              <w:spacing w:after="40"/>
              <w:rPr>
                <w:sz w:val="19"/>
              </w:rPr>
            </w:pPr>
            <w:r>
              <w:rPr>
                <w:sz w:val="19"/>
              </w:rPr>
              <w:t>29 of 1971</w:t>
            </w:r>
          </w:p>
        </w:tc>
        <w:tc>
          <w:tcPr>
            <w:tcW w:w="1151" w:type="dxa"/>
            <w:gridSpan w:val="2"/>
          </w:tcPr>
          <w:p>
            <w:pPr>
              <w:pStyle w:val="nTable"/>
              <w:spacing w:after="40"/>
              <w:rPr>
                <w:sz w:val="19"/>
              </w:rPr>
            </w:pPr>
            <w:r>
              <w:rPr>
                <w:sz w:val="19"/>
              </w:rPr>
              <w:t>1 Dec 1971</w:t>
            </w:r>
          </w:p>
        </w:tc>
        <w:tc>
          <w:tcPr>
            <w:tcW w:w="2546" w:type="dxa"/>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184" w:type="dxa"/>
          </w:tcPr>
          <w:p>
            <w:pPr>
              <w:pStyle w:val="nTable"/>
              <w:spacing w:after="40"/>
              <w:ind w:right="113"/>
              <w:rPr>
                <w:sz w:val="19"/>
              </w:rPr>
            </w:pPr>
            <w:r>
              <w:rPr>
                <w:i/>
                <w:sz w:val="19"/>
              </w:rPr>
              <w:t>Stamp Act Amendment Act 1972</w:t>
            </w:r>
          </w:p>
        </w:tc>
        <w:tc>
          <w:tcPr>
            <w:tcW w:w="1104" w:type="dxa"/>
            <w:gridSpan w:val="2"/>
          </w:tcPr>
          <w:p>
            <w:pPr>
              <w:pStyle w:val="nTable"/>
              <w:spacing w:after="40"/>
              <w:rPr>
                <w:sz w:val="19"/>
              </w:rPr>
            </w:pPr>
            <w:r>
              <w:rPr>
                <w:sz w:val="19"/>
              </w:rPr>
              <w:t>32 of 1972</w:t>
            </w:r>
          </w:p>
        </w:tc>
        <w:tc>
          <w:tcPr>
            <w:tcW w:w="1151" w:type="dxa"/>
            <w:gridSpan w:val="2"/>
          </w:tcPr>
          <w:p>
            <w:pPr>
              <w:pStyle w:val="nTable"/>
              <w:spacing w:after="40"/>
              <w:rPr>
                <w:sz w:val="19"/>
              </w:rPr>
            </w:pPr>
            <w:r>
              <w:rPr>
                <w:sz w:val="19"/>
              </w:rPr>
              <w:t>16 Jun 1972</w:t>
            </w:r>
          </w:p>
        </w:tc>
        <w:tc>
          <w:tcPr>
            <w:tcW w:w="2546" w:type="dxa"/>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184" w:type="dxa"/>
          </w:tcPr>
          <w:p>
            <w:pPr>
              <w:pStyle w:val="nTable"/>
              <w:spacing w:after="40"/>
              <w:ind w:right="113"/>
              <w:rPr>
                <w:sz w:val="19"/>
              </w:rPr>
            </w:pPr>
            <w:r>
              <w:rPr>
                <w:i/>
                <w:sz w:val="19"/>
              </w:rPr>
              <w:t>Metric Conversion Act 1972</w:t>
            </w:r>
          </w:p>
        </w:tc>
        <w:tc>
          <w:tcPr>
            <w:tcW w:w="1104" w:type="dxa"/>
            <w:gridSpan w:val="2"/>
          </w:tcPr>
          <w:p>
            <w:pPr>
              <w:pStyle w:val="nTable"/>
              <w:spacing w:after="40"/>
              <w:rPr>
                <w:sz w:val="19"/>
              </w:rPr>
            </w:pPr>
            <w:r>
              <w:rPr>
                <w:sz w:val="19"/>
              </w:rPr>
              <w:t>94 of 1972 (as amended by No. 19 of 1973 s. 4)</w:t>
            </w:r>
          </w:p>
        </w:tc>
        <w:tc>
          <w:tcPr>
            <w:tcW w:w="1151" w:type="dxa"/>
            <w:gridSpan w:val="2"/>
          </w:tcPr>
          <w:p>
            <w:pPr>
              <w:pStyle w:val="nTable"/>
              <w:spacing w:after="40"/>
              <w:rPr>
                <w:sz w:val="19"/>
              </w:rPr>
            </w:pPr>
            <w:r>
              <w:rPr>
                <w:sz w:val="19"/>
              </w:rPr>
              <w:t>4 Dec 1972</w:t>
            </w:r>
          </w:p>
        </w:tc>
        <w:tc>
          <w:tcPr>
            <w:tcW w:w="2546" w:type="dxa"/>
          </w:tcPr>
          <w:p>
            <w:pPr>
              <w:pStyle w:val="nTable"/>
              <w:spacing w:after="40"/>
              <w:rPr>
                <w:sz w:val="19"/>
              </w:rPr>
            </w:pPr>
            <w:r>
              <w:rPr>
                <w:sz w:val="19"/>
              </w:rPr>
              <w:t xml:space="preserve">Relevant amendments (see Second Sch. </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184" w:type="dxa"/>
          </w:tcPr>
          <w:p>
            <w:pPr>
              <w:pStyle w:val="nTable"/>
              <w:spacing w:after="40"/>
              <w:ind w:right="113"/>
              <w:rPr>
                <w:sz w:val="19"/>
              </w:rPr>
            </w:pPr>
            <w:r>
              <w:rPr>
                <w:i/>
                <w:sz w:val="19"/>
              </w:rPr>
              <w:t>Stamp Act Amendment Act 1974</w:t>
            </w:r>
          </w:p>
        </w:tc>
        <w:tc>
          <w:tcPr>
            <w:tcW w:w="1104" w:type="dxa"/>
            <w:gridSpan w:val="2"/>
          </w:tcPr>
          <w:p>
            <w:pPr>
              <w:pStyle w:val="nTable"/>
              <w:spacing w:after="40"/>
              <w:rPr>
                <w:sz w:val="19"/>
              </w:rPr>
            </w:pPr>
            <w:r>
              <w:rPr>
                <w:sz w:val="19"/>
              </w:rPr>
              <w:t>9 of 1974</w:t>
            </w:r>
          </w:p>
        </w:tc>
        <w:tc>
          <w:tcPr>
            <w:tcW w:w="1151" w:type="dxa"/>
            <w:gridSpan w:val="2"/>
          </w:tcPr>
          <w:p>
            <w:pPr>
              <w:pStyle w:val="nTable"/>
              <w:spacing w:after="40"/>
              <w:rPr>
                <w:sz w:val="19"/>
              </w:rPr>
            </w:pPr>
            <w:r>
              <w:rPr>
                <w:sz w:val="19"/>
              </w:rPr>
              <w:t xml:space="preserve">27 Sep 1974 </w:t>
            </w:r>
          </w:p>
        </w:tc>
        <w:tc>
          <w:tcPr>
            <w:tcW w:w="2546" w:type="dxa"/>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184" w:type="dxa"/>
          </w:tcPr>
          <w:p>
            <w:pPr>
              <w:pStyle w:val="nTable"/>
              <w:spacing w:after="40"/>
              <w:ind w:right="113"/>
              <w:rPr>
                <w:sz w:val="19"/>
              </w:rPr>
            </w:pPr>
            <w:r>
              <w:rPr>
                <w:i/>
                <w:sz w:val="19"/>
              </w:rPr>
              <w:t>Stamp Act Amendment Act (No. 2) 1974</w:t>
            </w:r>
          </w:p>
        </w:tc>
        <w:tc>
          <w:tcPr>
            <w:tcW w:w="1104" w:type="dxa"/>
            <w:gridSpan w:val="2"/>
          </w:tcPr>
          <w:p>
            <w:pPr>
              <w:pStyle w:val="nTable"/>
              <w:spacing w:after="40"/>
              <w:rPr>
                <w:sz w:val="19"/>
              </w:rPr>
            </w:pPr>
            <w:r>
              <w:rPr>
                <w:sz w:val="19"/>
              </w:rPr>
              <w:t>46 of 1974</w:t>
            </w:r>
          </w:p>
        </w:tc>
        <w:tc>
          <w:tcPr>
            <w:tcW w:w="1151" w:type="dxa"/>
            <w:gridSpan w:val="2"/>
          </w:tcPr>
          <w:p>
            <w:pPr>
              <w:pStyle w:val="nTable"/>
              <w:spacing w:after="40"/>
              <w:rPr>
                <w:sz w:val="19"/>
              </w:rPr>
            </w:pPr>
            <w:r>
              <w:rPr>
                <w:sz w:val="19"/>
              </w:rPr>
              <w:t>18 Nov 1974</w:t>
            </w:r>
          </w:p>
        </w:tc>
        <w:tc>
          <w:tcPr>
            <w:tcW w:w="2546" w:type="dxa"/>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184" w:type="dxa"/>
          </w:tcPr>
          <w:p>
            <w:pPr>
              <w:pStyle w:val="nTable"/>
              <w:spacing w:after="40"/>
              <w:ind w:right="113"/>
              <w:rPr>
                <w:sz w:val="19"/>
              </w:rPr>
            </w:pPr>
            <w:r>
              <w:rPr>
                <w:i/>
                <w:sz w:val="19"/>
              </w:rPr>
              <w:t>Stamp Act Amendment Act 1976</w:t>
            </w:r>
          </w:p>
        </w:tc>
        <w:tc>
          <w:tcPr>
            <w:tcW w:w="1104" w:type="dxa"/>
            <w:gridSpan w:val="2"/>
          </w:tcPr>
          <w:p>
            <w:pPr>
              <w:pStyle w:val="nTable"/>
              <w:spacing w:after="40"/>
              <w:rPr>
                <w:sz w:val="19"/>
              </w:rPr>
            </w:pPr>
            <w:r>
              <w:rPr>
                <w:sz w:val="19"/>
              </w:rPr>
              <w:t>96 of 1976</w:t>
            </w:r>
          </w:p>
        </w:tc>
        <w:tc>
          <w:tcPr>
            <w:tcW w:w="1151" w:type="dxa"/>
            <w:gridSpan w:val="2"/>
          </w:tcPr>
          <w:p>
            <w:pPr>
              <w:pStyle w:val="nTable"/>
              <w:spacing w:after="40"/>
              <w:rPr>
                <w:sz w:val="19"/>
              </w:rPr>
            </w:pPr>
            <w:r>
              <w:rPr>
                <w:sz w:val="19"/>
              </w:rPr>
              <w:t>12 Nov 1976</w:t>
            </w:r>
          </w:p>
        </w:tc>
        <w:tc>
          <w:tcPr>
            <w:tcW w:w="2546" w:type="dxa"/>
          </w:tcPr>
          <w:p>
            <w:pPr>
              <w:pStyle w:val="nTable"/>
              <w:spacing w:after="40"/>
              <w:rPr>
                <w:sz w:val="19"/>
              </w:rPr>
            </w:pPr>
            <w:r>
              <w:rPr>
                <w:sz w:val="19"/>
              </w:rPr>
              <w:t>1 Jan 1977 (see s. 2)</w:t>
            </w:r>
          </w:p>
        </w:tc>
      </w:tr>
      <w:tr>
        <w:trPr>
          <w:cantSplit/>
        </w:trPr>
        <w:tc>
          <w:tcPr>
            <w:tcW w:w="2184" w:type="dxa"/>
          </w:tcPr>
          <w:p>
            <w:pPr>
              <w:pStyle w:val="nTable"/>
              <w:spacing w:after="40"/>
              <w:ind w:right="113"/>
              <w:rPr>
                <w:sz w:val="19"/>
              </w:rPr>
            </w:pPr>
            <w:r>
              <w:rPr>
                <w:i/>
                <w:sz w:val="19"/>
              </w:rPr>
              <w:t>Stamp Act Amendment Act 1977</w:t>
            </w:r>
          </w:p>
        </w:tc>
        <w:tc>
          <w:tcPr>
            <w:tcW w:w="1104" w:type="dxa"/>
            <w:gridSpan w:val="2"/>
          </w:tcPr>
          <w:p>
            <w:pPr>
              <w:pStyle w:val="nTable"/>
              <w:spacing w:after="40"/>
              <w:rPr>
                <w:sz w:val="19"/>
              </w:rPr>
            </w:pPr>
            <w:r>
              <w:rPr>
                <w:sz w:val="19"/>
              </w:rPr>
              <w:t>63 of 1977</w:t>
            </w:r>
          </w:p>
        </w:tc>
        <w:tc>
          <w:tcPr>
            <w:tcW w:w="1151" w:type="dxa"/>
            <w:gridSpan w:val="2"/>
          </w:tcPr>
          <w:p>
            <w:pPr>
              <w:pStyle w:val="nTable"/>
              <w:spacing w:after="40"/>
              <w:rPr>
                <w:sz w:val="19"/>
              </w:rPr>
            </w:pPr>
            <w:r>
              <w:rPr>
                <w:sz w:val="19"/>
              </w:rPr>
              <w:t>23 Nov 1977</w:t>
            </w:r>
          </w:p>
        </w:tc>
        <w:tc>
          <w:tcPr>
            <w:tcW w:w="2546" w:type="dxa"/>
          </w:tcPr>
          <w:p>
            <w:pPr>
              <w:pStyle w:val="nTable"/>
              <w:spacing w:after="40"/>
              <w:rPr>
                <w:sz w:val="19"/>
              </w:rPr>
            </w:pPr>
            <w:r>
              <w:rPr>
                <w:sz w:val="19"/>
              </w:rPr>
              <w:t>23 Nov 1977</w:t>
            </w:r>
          </w:p>
        </w:tc>
      </w:tr>
      <w:tr>
        <w:trPr>
          <w:cantSplit/>
        </w:trPr>
        <w:tc>
          <w:tcPr>
            <w:tcW w:w="2184" w:type="dxa"/>
          </w:tcPr>
          <w:p>
            <w:pPr>
              <w:pStyle w:val="nTable"/>
              <w:spacing w:after="40"/>
              <w:ind w:right="113"/>
              <w:rPr>
                <w:sz w:val="19"/>
              </w:rPr>
            </w:pPr>
            <w:r>
              <w:rPr>
                <w:i/>
                <w:sz w:val="19"/>
              </w:rPr>
              <w:t>Stamp Act Amendment Act 1979</w:t>
            </w:r>
          </w:p>
        </w:tc>
        <w:tc>
          <w:tcPr>
            <w:tcW w:w="1104" w:type="dxa"/>
            <w:gridSpan w:val="2"/>
          </w:tcPr>
          <w:p>
            <w:pPr>
              <w:pStyle w:val="nTable"/>
              <w:spacing w:after="40"/>
              <w:rPr>
                <w:sz w:val="19"/>
              </w:rPr>
            </w:pPr>
            <w:r>
              <w:rPr>
                <w:sz w:val="19"/>
              </w:rPr>
              <w:t>37 of 1979</w:t>
            </w:r>
          </w:p>
        </w:tc>
        <w:tc>
          <w:tcPr>
            <w:tcW w:w="1151" w:type="dxa"/>
            <w:gridSpan w:val="2"/>
          </w:tcPr>
          <w:p>
            <w:pPr>
              <w:pStyle w:val="nTable"/>
              <w:spacing w:after="40"/>
              <w:rPr>
                <w:sz w:val="19"/>
              </w:rPr>
            </w:pPr>
            <w:r>
              <w:rPr>
                <w:sz w:val="19"/>
              </w:rPr>
              <w:t>18 Oct 1979</w:t>
            </w:r>
          </w:p>
        </w:tc>
        <w:tc>
          <w:tcPr>
            <w:tcW w:w="2546" w:type="dxa"/>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 1979 p. 3769)</w:t>
            </w:r>
          </w:p>
        </w:tc>
      </w:tr>
      <w:tr>
        <w:trPr>
          <w:cantSplit/>
        </w:trPr>
        <w:tc>
          <w:tcPr>
            <w:tcW w:w="2184" w:type="dxa"/>
          </w:tcPr>
          <w:p>
            <w:pPr>
              <w:pStyle w:val="nTable"/>
              <w:spacing w:after="40"/>
              <w:ind w:right="113"/>
              <w:rPr>
                <w:sz w:val="19"/>
              </w:rPr>
            </w:pPr>
            <w:r>
              <w:rPr>
                <w:i/>
                <w:sz w:val="19"/>
              </w:rPr>
              <w:t xml:space="preserve">Credit Unions (Consequential Provisions) Act 1979 </w:t>
            </w:r>
            <w:r>
              <w:rPr>
                <w:sz w:val="19"/>
              </w:rPr>
              <w:t>Pt. 1</w:t>
            </w:r>
          </w:p>
        </w:tc>
        <w:tc>
          <w:tcPr>
            <w:tcW w:w="1104" w:type="dxa"/>
            <w:gridSpan w:val="2"/>
          </w:tcPr>
          <w:p>
            <w:pPr>
              <w:pStyle w:val="nTable"/>
              <w:spacing w:after="40"/>
              <w:rPr>
                <w:sz w:val="19"/>
              </w:rPr>
            </w:pPr>
            <w:r>
              <w:rPr>
                <w:sz w:val="19"/>
              </w:rPr>
              <w:t>47 of 1979</w:t>
            </w:r>
          </w:p>
        </w:tc>
        <w:tc>
          <w:tcPr>
            <w:tcW w:w="1151" w:type="dxa"/>
            <w:gridSpan w:val="2"/>
          </w:tcPr>
          <w:p>
            <w:pPr>
              <w:pStyle w:val="nTable"/>
              <w:spacing w:after="40"/>
              <w:rPr>
                <w:sz w:val="19"/>
              </w:rPr>
            </w:pPr>
            <w:r>
              <w:rPr>
                <w:sz w:val="19"/>
              </w:rPr>
              <w:t>7 Nov 1979</w:t>
            </w:r>
          </w:p>
        </w:tc>
        <w:tc>
          <w:tcPr>
            <w:tcW w:w="2546" w:type="dxa"/>
          </w:tcPr>
          <w:p>
            <w:pPr>
              <w:pStyle w:val="nTable"/>
              <w:spacing w:after="40"/>
              <w:rPr>
                <w:sz w:val="19"/>
              </w:rPr>
            </w:pPr>
            <w:r>
              <w:rPr>
                <w:sz w:val="19"/>
              </w:rPr>
              <w:t>1 Jul 1980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184" w:type="dxa"/>
          </w:tcPr>
          <w:p>
            <w:pPr>
              <w:pStyle w:val="nTable"/>
              <w:spacing w:after="40"/>
              <w:ind w:right="113"/>
              <w:rPr>
                <w:sz w:val="19"/>
              </w:rPr>
            </w:pPr>
            <w:r>
              <w:rPr>
                <w:i/>
                <w:sz w:val="19"/>
              </w:rPr>
              <w:t>Stamp Amendment Act 1980</w:t>
            </w:r>
          </w:p>
        </w:tc>
        <w:tc>
          <w:tcPr>
            <w:tcW w:w="1104" w:type="dxa"/>
            <w:gridSpan w:val="2"/>
          </w:tcPr>
          <w:p>
            <w:pPr>
              <w:pStyle w:val="nTable"/>
              <w:spacing w:after="40"/>
              <w:rPr>
                <w:sz w:val="19"/>
              </w:rPr>
            </w:pPr>
            <w:r>
              <w:rPr>
                <w:sz w:val="19"/>
              </w:rPr>
              <w:t>63 of 1980</w:t>
            </w:r>
          </w:p>
        </w:tc>
        <w:tc>
          <w:tcPr>
            <w:tcW w:w="1151" w:type="dxa"/>
            <w:gridSpan w:val="2"/>
          </w:tcPr>
          <w:p>
            <w:pPr>
              <w:pStyle w:val="nTable"/>
              <w:spacing w:after="40"/>
              <w:rPr>
                <w:sz w:val="19"/>
              </w:rPr>
            </w:pPr>
            <w:r>
              <w:rPr>
                <w:sz w:val="19"/>
              </w:rPr>
              <w:t>26 Nov 1980</w:t>
            </w:r>
          </w:p>
        </w:tc>
        <w:tc>
          <w:tcPr>
            <w:tcW w:w="2546" w:type="dxa"/>
          </w:tcPr>
          <w:p>
            <w:pPr>
              <w:pStyle w:val="nTable"/>
              <w:spacing w:after="40"/>
              <w:rPr>
                <w:sz w:val="19"/>
              </w:rPr>
            </w:pPr>
            <w:r>
              <w:rPr>
                <w:sz w:val="19"/>
              </w:rPr>
              <w:t>4 Nov 1980 (see s. 1(4))</w:t>
            </w:r>
          </w:p>
        </w:tc>
      </w:tr>
      <w:tr>
        <w:trPr>
          <w:cantSplit/>
        </w:trPr>
        <w:tc>
          <w:tcPr>
            <w:tcW w:w="2184" w:type="dxa"/>
          </w:tcPr>
          <w:p>
            <w:pPr>
              <w:pStyle w:val="nTable"/>
              <w:spacing w:after="40"/>
              <w:ind w:right="113"/>
              <w:rPr>
                <w:sz w:val="19"/>
              </w:rPr>
            </w:pPr>
            <w:r>
              <w:rPr>
                <w:i/>
                <w:sz w:val="19"/>
              </w:rPr>
              <w:t>Stamp Amendment Act 1981 </w:t>
            </w:r>
            <w:r>
              <w:rPr>
                <w:sz w:val="19"/>
                <w:vertAlign w:val="superscript"/>
              </w:rPr>
              <w:t>12</w:t>
            </w:r>
          </w:p>
        </w:tc>
        <w:tc>
          <w:tcPr>
            <w:tcW w:w="1104" w:type="dxa"/>
            <w:gridSpan w:val="2"/>
          </w:tcPr>
          <w:p>
            <w:pPr>
              <w:pStyle w:val="nTable"/>
              <w:spacing w:after="40"/>
              <w:rPr>
                <w:sz w:val="19"/>
              </w:rPr>
            </w:pPr>
            <w:r>
              <w:rPr>
                <w:sz w:val="19"/>
              </w:rPr>
              <w:t>81 of 1981</w:t>
            </w:r>
          </w:p>
        </w:tc>
        <w:tc>
          <w:tcPr>
            <w:tcW w:w="1151" w:type="dxa"/>
            <w:gridSpan w:val="2"/>
          </w:tcPr>
          <w:p>
            <w:pPr>
              <w:pStyle w:val="nTable"/>
              <w:spacing w:after="40"/>
              <w:rPr>
                <w:sz w:val="19"/>
              </w:rPr>
            </w:pPr>
            <w:r>
              <w:rPr>
                <w:sz w:val="19"/>
              </w:rPr>
              <w:t>9 Nov 1981</w:t>
            </w:r>
          </w:p>
        </w:tc>
        <w:tc>
          <w:tcPr>
            <w:tcW w:w="2546" w:type="dxa"/>
          </w:tcPr>
          <w:p>
            <w:pPr>
              <w:pStyle w:val="nTable"/>
              <w:spacing w:after="40"/>
              <w:rPr>
                <w:sz w:val="19"/>
              </w:rPr>
            </w:pPr>
            <w:r>
              <w:rPr>
                <w:sz w:val="19"/>
              </w:rPr>
              <w:t>Act other than s. 3 and 8: 1 Dec 1981 (see s. 2(1));</w:t>
            </w:r>
            <w:r>
              <w:rPr>
                <w:sz w:val="19"/>
              </w:rPr>
              <w:br/>
              <w:t>s. 3 and 8: 1 Jan 1982 (see s. 2(2))</w:t>
            </w:r>
          </w:p>
        </w:tc>
      </w:tr>
      <w:tr>
        <w:trPr>
          <w:cantSplit/>
        </w:trPr>
        <w:tc>
          <w:tcPr>
            <w:tcW w:w="2184" w:type="dxa"/>
          </w:tcPr>
          <w:p>
            <w:pPr>
              <w:pStyle w:val="nTable"/>
              <w:spacing w:after="40"/>
              <w:ind w:right="113"/>
              <w:rPr>
                <w:sz w:val="19"/>
              </w:rPr>
            </w:pPr>
            <w:r>
              <w:rPr>
                <w:i/>
                <w:sz w:val="19"/>
              </w:rPr>
              <w:t xml:space="preserve">Acts Amendment (Traffic Board) Act 1981 </w:t>
            </w:r>
            <w:r>
              <w:rPr>
                <w:sz w:val="19"/>
              </w:rPr>
              <w:t>Pt. VIII</w:t>
            </w:r>
          </w:p>
        </w:tc>
        <w:tc>
          <w:tcPr>
            <w:tcW w:w="1104" w:type="dxa"/>
            <w:gridSpan w:val="2"/>
          </w:tcPr>
          <w:p>
            <w:pPr>
              <w:pStyle w:val="nTable"/>
              <w:spacing w:after="40"/>
              <w:rPr>
                <w:sz w:val="19"/>
              </w:rPr>
            </w:pPr>
            <w:r>
              <w:rPr>
                <w:sz w:val="19"/>
              </w:rPr>
              <w:t>106 of 1981</w:t>
            </w:r>
          </w:p>
        </w:tc>
        <w:tc>
          <w:tcPr>
            <w:tcW w:w="1151" w:type="dxa"/>
            <w:gridSpan w:val="2"/>
          </w:tcPr>
          <w:p>
            <w:pPr>
              <w:pStyle w:val="nTable"/>
              <w:spacing w:after="40"/>
              <w:rPr>
                <w:sz w:val="19"/>
              </w:rPr>
            </w:pPr>
            <w:r>
              <w:rPr>
                <w:sz w:val="19"/>
              </w:rPr>
              <w:t>4 Dec 1981</w:t>
            </w:r>
          </w:p>
        </w:tc>
        <w:tc>
          <w:tcPr>
            <w:tcW w:w="2546" w:type="dxa"/>
          </w:tcPr>
          <w:p>
            <w:pPr>
              <w:pStyle w:val="nTable"/>
              <w:spacing w:after="40"/>
              <w:rPr>
                <w:sz w:val="19"/>
              </w:rPr>
            </w:pPr>
            <w:r>
              <w:rPr>
                <w:sz w:val="19"/>
              </w:rPr>
              <w:t>2 Feb 1982 (see s. 2)</w:t>
            </w:r>
          </w:p>
        </w:tc>
      </w:tr>
      <w:tr>
        <w:trPr>
          <w:cantSplit/>
        </w:trPr>
        <w:tc>
          <w:tcPr>
            <w:tcW w:w="2184" w:type="dxa"/>
          </w:tcPr>
          <w:p>
            <w:pPr>
              <w:pStyle w:val="nTable"/>
              <w:spacing w:after="40"/>
              <w:ind w:right="113"/>
              <w:rPr>
                <w:sz w:val="19"/>
              </w:rPr>
            </w:pPr>
            <w:r>
              <w:rPr>
                <w:i/>
                <w:sz w:val="19"/>
              </w:rPr>
              <w:t>Stamp Amendment Act 1982</w:t>
            </w:r>
          </w:p>
        </w:tc>
        <w:tc>
          <w:tcPr>
            <w:tcW w:w="1104" w:type="dxa"/>
            <w:gridSpan w:val="2"/>
          </w:tcPr>
          <w:p>
            <w:pPr>
              <w:pStyle w:val="nTable"/>
              <w:spacing w:after="40"/>
              <w:rPr>
                <w:sz w:val="19"/>
              </w:rPr>
            </w:pPr>
            <w:r>
              <w:rPr>
                <w:sz w:val="19"/>
              </w:rPr>
              <w:t>1 of 1982</w:t>
            </w:r>
          </w:p>
        </w:tc>
        <w:tc>
          <w:tcPr>
            <w:tcW w:w="1151" w:type="dxa"/>
            <w:gridSpan w:val="2"/>
          </w:tcPr>
          <w:p>
            <w:pPr>
              <w:pStyle w:val="nTable"/>
              <w:spacing w:after="40"/>
              <w:rPr>
                <w:sz w:val="19"/>
              </w:rPr>
            </w:pPr>
            <w:r>
              <w:rPr>
                <w:sz w:val="19"/>
              </w:rPr>
              <w:t>8 Apr 1982</w:t>
            </w:r>
          </w:p>
        </w:tc>
        <w:tc>
          <w:tcPr>
            <w:tcW w:w="2546" w:type="dxa"/>
          </w:tcPr>
          <w:p>
            <w:pPr>
              <w:pStyle w:val="nTable"/>
              <w:spacing w:after="40"/>
              <w:rPr>
                <w:sz w:val="19"/>
              </w:rPr>
            </w:pPr>
            <w:r>
              <w:rPr>
                <w:sz w:val="19"/>
              </w:rPr>
              <w:t>8 Apr 1982</w:t>
            </w:r>
          </w:p>
        </w:tc>
      </w:tr>
      <w:tr>
        <w:trPr>
          <w:cantSplit/>
        </w:trPr>
        <w:tc>
          <w:tcPr>
            <w:tcW w:w="2184" w:type="dxa"/>
          </w:tcPr>
          <w:p>
            <w:pPr>
              <w:pStyle w:val="nTable"/>
              <w:spacing w:after="40"/>
              <w:ind w:right="113"/>
              <w:rPr>
                <w:sz w:val="19"/>
              </w:rPr>
            </w:pPr>
            <w:r>
              <w:rPr>
                <w:i/>
                <w:sz w:val="19"/>
              </w:rPr>
              <w:t xml:space="preserve">Companies (Consequential Amendments) Act 1982 </w:t>
            </w:r>
            <w:r>
              <w:rPr>
                <w:sz w:val="19"/>
              </w:rPr>
              <w:t xml:space="preserve">s. 28 </w:t>
            </w:r>
          </w:p>
        </w:tc>
        <w:tc>
          <w:tcPr>
            <w:tcW w:w="1104" w:type="dxa"/>
            <w:gridSpan w:val="2"/>
          </w:tcPr>
          <w:p>
            <w:pPr>
              <w:pStyle w:val="nTable"/>
              <w:spacing w:after="40"/>
              <w:rPr>
                <w:sz w:val="19"/>
              </w:rPr>
            </w:pPr>
            <w:r>
              <w:rPr>
                <w:sz w:val="19"/>
              </w:rPr>
              <w:t>10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184" w:type="dxa"/>
          </w:tcPr>
          <w:p>
            <w:pPr>
              <w:pStyle w:val="nTable"/>
              <w:spacing w:after="40"/>
              <w:ind w:right="113"/>
              <w:rPr>
                <w:sz w:val="19"/>
              </w:rPr>
            </w:pPr>
            <w:r>
              <w:rPr>
                <w:i/>
                <w:sz w:val="19"/>
              </w:rPr>
              <w:t>Stamp Amendment Act (No. 2) 1982</w:t>
            </w:r>
          </w:p>
        </w:tc>
        <w:tc>
          <w:tcPr>
            <w:tcW w:w="1104" w:type="dxa"/>
            <w:gridSpan w:val="2"/>
          </w:tcPr>
          <w:p>
            <w:pPr>
              <w:pStyle w:val="nTable"/>
              <w:spacing w:after="40"/>
              <w:rPr>
                <w:sz w:val="19"/>
              </w:rPr>
            </w:pPr>
            <w:r>
              <w:rPr>
                <w:sz w:val="19"/>
              </w:rPr>
              <w:t>15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Act other than s. 4: 8 Apr 1982 (see s. 2(1));</w:t>
            </w:r>
            <w:r>
              <w:rPr>
                <w:sz w:val="19"/>
              </w:rPr>
              <w:br/>
              <w:t>s. 4: 14 May 1982 (see s. 2(2))</w:t>
            </w:r>
          </w:p>
        </w:tc>
      </w:tr>
      <w:tr>
        <w:trPr>
          <w:cantSplit/>
        </w:trPr>
        <w:tc>
          <w:tcPr>
            <w:tcW w:w="2184" w:type="dxa"/>
          </w:tcPr>
          <w:p>
            <w:pPr>
              <w:pStyle w:val="nTable"/>
              <w:spacing w:after="40"/>
              <w:ind w:right="113"/>
              <w:rPr>
                <w:sz w:val="19"/>
              </w:rPr>
            </w:pPr>
            <w:r>
              <w:rPr>
                <w:i/>
                <w:sz w:val="19"/>
              </w:rPr>
              <w:t>Stamp Amendment Act (No. 3) 1982</w:t>
            </w:r>
          </w:p>
        </w:tc>
        <w:tc>
          <w:tcPr>
            <w:tcW w:w="1104" w:type="dxa"/>
            <w:gridSpan w:val="2"/>
          </w:tcPr>
          <w:p>
            <w:pPr>
              <w:pStyle w:val="nTable"/>
              <w:spacing w:after="40"/>
              <w:rPr>
                <w:sz w:val="19"/>
              </w:rPr>
            </w:pPr>
            <w:r>
              <w:rPr>
                <w:sz w:val="19"/>
              </w:rPr>
              <w:t>45 of 1982</w:t>
            </w:r>
          </w:p>
        </w:tc>
        <w:tc>
          <w:tcPr>
            <w:tcW w:w="1151" w:type="dxa"/>
            <w:gridSpan w:val="2"/>
          </w:tcPr>
          <w:p>
            <w:pPr>
              <w:pStyle w:val="nTable"/>
              <w:spacing w:after="40"/>
              <w:rPr>
                <w:sz w:val="19"/>
              </w:rPr>
            </w:pPr>
            <w:r>
              <w:rPr>
                <w:sz w:val="19"/>
              </w:rPr>
              <w:t>26 Aug 1982</w:t>
            </w:r>
          </w:p>
        </w:tc>
        <w:tc>
          <w:tcPr>
            <w:tcW w:w="2546" w:type="dxa"/>
          </w:tcPr>
          <w:p>
            <w:pPr>
              <w:pStyle w:val="nTable"/>
              <w:spacing w:after="40"/>
              <w:rPr>
                <w:sz w:val="19"/>
              </w:rPr>
            </w:pPr>
            <w:r>
              <w:rPr>
                <w:sz w:val="19"/>
              </w:rPr>
              <w:t>24 Dec 1981 (see s. 2)</w:t>
            </w:r>
          </w:p>
        </w:tc>
      </w:tr>
      <w:tr>
        <w:trPr>
          <w:cantSplit/>
        </w:trPr>
        <w:tc>
          <w:tcPr>
            <w:tcW w:w="2184" w:type="dxa"/>
          </w:tcPr>
          <w:p>
            <w:pPr>
              <w:pStyle w:val="nTable"/>
              <w:spacing w:after="40"/>
              <w:ind w:right="113"/>
              <w:rPr>
                <w:sz w:val="19"/>
              </w:rPr>
            </w:pPr>
            <w:r>
              <w:rPr>
                <w:i/>
                <w:sz w:val="19"/>
              </w:rPr>
              <w:t>Stamp Amendment Act (No. 4) 1982</w:t>
            </w:r>
          </w:p>
        </w:tc>
        <w:tc>
          <w:tcPr>
            <w:tcW w:w="1104" w:type="dxa"/>
            <w:gridSpan w:val="2"/>
          </w:tcPr>
          <w:p>
            <w:pPr>
              <w:pStyle w:val="nTable"/>
              <w:spacing w:after="40"/>
              <w:rPr>
                <w:sz w:val="19"/>
              </w:rPr>
            </w:pPr>
            <w:r>
              <w:rPr>
                <w:sz w:val="19"/>
              </w:rPr>
              <w:t>93 of 1982</w:t>
            </w:r>
          </w:p>
        </w:tc>
        <w:tc>
          <w:tcPr>
            <w:tcW w:w="1151" w:type="dxa"/>
            <w:gridSpan w:val="2"/>
          </w:tcPr>
          <w:p>
            <w:pPr>
              <w:pStyle w:val="nTable"/>
              <w:spacing w:after="40"/>
              <w:rPr>
                <w:sz w:val="19"/>
              </w:rPr>
            </w:pPr>
            <w:r>
              <w:rPr>
                <w:sz w:val="19"/>
              </w:rPr>
              <w:t>22 Nov 1982</w:t>
            </w:r>
          </w:p>
        </w:tc>
        <w:tc>
          <w:tcPr>
            <w:tcW w:w="2546" w:type="dxa"/>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184" w:type="dxa"/>
          </w:tcPr>
          <w:p>
            <w:pPr>
              <w:pStyle w:val="nTable"/>
              <w:spacing w:after="40"/>
              <w:ind w:right="113"/>
              <w:rPr>
                <w:sz w:val="19"/>
              </w:rPr>
            </w:pPr>
            <w:r>
              <w:rPr>
                <w:i/>
                <w:sz w:val="19"/>
              </w:rPr>
              <w:t>Stamp Amendment Act (No. 5) 1982</w:t>
            </w:r>
          </w:p>
        </w:tc>
        <w:tc>
          <w:tcPr>
            <w:tcW w:w="1104" w:type="dxa"/>
            <w:gridSpan w:val="2"/>
          </w:tcPr>
          <w:p>
            <w:pPr>
              <w:pStyle w:val="nTable"/>
              <w:spacing w:after="40"/>
              <w:rPr>
                <w:sz w:val="19"/>
              </w:rPr>
            </w:pPr>
            <w:r>
              <w:rPr>
                <w:sz w:val="19"/>
              </w:rPr>
              <w:t>99 of 1982</w:t>
            </w:r>
          </w:p>
        </w:tc>
        <w:tc>
          <w:tcPr>
            <w:tcW w:w="1151" w:type="dxa"/>
            <w:gridSpan w:val="2"/>
          </w:tcPr>
          <w:p>
            <w:pPr>
              <w:pStyle w:val="nTable"/>
              <w:spacing w:after="40"/>
              <w:rPr>
                <w:sz w:val="19"/>
              </w:rPr>
            </w:pPr>
            <w:r>
              <w:rPr>
                <w:sz w:val="19"/>
              </w:rPr>
              <w:t>24 Nov 1982</w:t>
            </w:r>
          </w:p>
        </w:tc>
        <w:tc>
          <w:tcPr>
            <w:tcW w:w="2546" w:type="dxa"/>
          </w:tcPr>
          <w:p>
            <w:pPr>
              <w:pStyle w:val="nTable"/>
              <w:spacing w:after="40"/>
              <w:rPr>
                <w:sz w:val="19"/>
              </w:rPr>
            </w:pPr>
            <w:r>
              <w:rPr>
                <w:sz w:val="19"/>
              </w:rPr>
              <w:t>1 Jan 1983 (see s. 2)</w:t>
            </w:r>
          </w:p>
        </w:tc>
      </w:tr>
      <w:tr>
        <w:trPr>
          <w:cantSplit/>
        </w:trPr>
        <w:tc>
          <w:tcPr>
            <w:tcW w:w="2184" w:type="dxa"/>
          </w:tcPr>
          <w:p>
            <w:pPr>
              <w:pStyle w:val="nTable"/>
              <w:spacing w:after="40"/>
              <w:ind w:right="113"/>
              <w:rPr>
                <w:sz w:val="19"/>
              </w:rPr>
            </w:pPr>
            <w:r>
              <w:rPr>
                <w:i/>
                <w:sz w:val="19"/>
              </w:rPr>
              <w:t>Stamp Amendment Act (No. 6) 1982</w:t>
            </w:r>
          </w:p>
        </w:tc>
        <w:tc>
          <w:tcPr>
            <w:tcW w:w="1104" w:type="dxa"/>
            <w:gridSpan w:val="2"/>
          </w:tcPr>
          <w:p>
            <w:pPr>
              <w:pStyle w:val="nTable"/>
              <w:spacing w:after="40"/>
              <w:rPr>
                <w:sz w:val="19"/>
              </w:rPr>
            </w:pPr>
            <w:r>
              <w:rPr>
                <w:sz w:val="19"/>
              </w:rPr>
              <w:t>112 of 1982</w:t>
            </w:r>
          </w:p>
        </w:tc>
        <w:tc>
          <w:tcPr>
            <w:tcW w:w="1151" w:type="dxa"/>
            <w:gridSpan w:val="2"/>
          </w:tcPr>
          <w:p>
            <w:pPr>
              <w:pStyle w:val="nTable"/>
              <w:spacing w:after="40"/>
              <w:rPr>
                <w:sz w:val="19"/>
              </w:rPr>
            </w:pPr>
            <w:r>
              <w:rPr>
                <w:sz w:val="19"/>
              </w:rPr>
              <w:t>8 Dec 1982</w:t>
            </w:r>
          </w:p>
        </w:tc>
        <w:tc>
          <w:tcPr>
            <w:tcW w:w="2546" w:type="dxa"/>
          </w:tcPr>
          <w:p>
            <w:pPr>
              <w:pStyle w:val="nTable"/>
              <w:spacing w:after="40"/>
              <w:rPr>
                <w:sz w:val="19"/>
              </w:rPr>
            </w:pPr>
            <w:r>
              <w:rPr>
                <w:sz w:val="19"/>
              </w:rPr>
              <w:t>26 Oct 1982 (see s. 2)</w:t>
            </w:r>
          </w:p>
        </w:tc>
      </w:tr>
      <w:tr>
        <w:trPr>
          <w:cantSplit/>
        </w:trPr>
        <w:tc>
          <w:tcPr>
            <w:tcW w:w="2184" w:type="dxa"/>
          </w:tcPr>
          <w:p>
            <w:pPr>
              <w:pStyle w:val="nTable"/>
              <w:spacing w:after="40"/>
              <w:ind w:right="113"/>
              <w:rPr>
                <w:sz w:val="19"/>
              </w:rPr>
            </w:pPr>
            <w:r>
              <w:rPr>
                <w:i/>
                <w:sz w:val="19"/>
              </w:rPr>
              <w:t>Stamp Amendment Act 1983</w:t>
            </w:r>
          </w:p>
        </w:tc>
        <w:tc>
          <w:tcPr>
            <w:tcW w:w="1104" w:type="dxa"/>
            <w:gridSpan w:val="2"/>
          </w:tcPr>
          <w:p>
            <w:pPr>
              <w:pStyle w:val="nTable"/>
              <w:spacing w:after="40"/>
              <w:rPr>
                <w:sz w:val="19"/>
              </w:rPr>
            </w:pPr>
            <w:r>
              <w:rPr>
                <w:sz w:val="19"/>
              </w:rPr>
              <w:t>14 of 1983</w:t>
            </w:r>
          </w:p>
        </w:tc>
        <w:tc>
          <w:tcPr>
            <w:tcW w:w="1151" w:type="dxa"/>
            <w:gridSpan w:val="2"/>
          </w:tcPr>
          <w:p>
            <w:pPr>
              <w:pStyle w:val="nTable"/>
              <w:spacing w:after="40"/>
              <w:rPr>
                <w:sz w:val="19"/>
              </w:rPr>
            </w:pPr>
            <w:r>
              <w:rPr>
                <w:sz w:val="19"/>
              </w:rPr>
              <w:t>31 Oct 1983</w:t>
            </w:r>
          </w:p>
        </w:tc>
        <w:tc>
          <w:tcPr>
            <w:tcW w:w="2546" w:type="dxa"/>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184" w:type="dxa"/>
          </w:tcPr>
          <w:p>
            <w:pPr>
              <w:pStyle w:val="nTable"/>
              <w:spacing w:after="40"/>
              <w:ind w:right="113"/>
              <w:rPr>
                <w:sz w:val="19"/>
              </w:rPr>
            </w:pPr>
            <w:r>
              <w:rPr>
                <w:i/>
                <w:sz w:val="19"/>
              </w:rPr>
              <w:t>Stamp Amendment Act (No. 2) 1983</w:t>
            </w:r>
          </w:p>
        </w:tc>
        <w:tc>
          <w:tcPr>
            <w:tcW w:w="1104" w:type="dxa"/>
            <w:gridSpan w:val="2"/>
          </w:tcPr>
          <w:p>
            <w:pPr>
              <w:pStyle w:val="nTable"/>
              <w:spacing w:after="40"/>
              <w:rPr>
                <w:sz w:val="19"/>
              </w:rPr>
            </w:pPr>
            <w:r>
              <w:rPr>
                <w:sz w:val="19"/>
              </w:rPr>
              <w:t>61 of 1983</w:t>
            </w:r>
          </w:p>
        </w:tc>
        <w:tc>
          <w:tcPr>
            <w:tcW w:w="1151" w:type="dxa"/>
            <w:gridSpan w:val="2"/>
          </w:tcPr>
          <w:p>
            <w:pPr>
              <w:pStyle w:val="nTable"/>
              <w:spacing w:after="40"/>
              <w:rPr>
                <w:sz w:val="19"/>
              </w:rPr>
            </w:pPr>
            <w:r>
              <w:rPr>
                <w:sz w:val="19"/>
              </w:rPr>
              <w:t>13 Dec 1983</w:t>
            </w:r>
          </w:p>
        </w:tc>
        <w:tc>
          <w:tcPr>
            <w:tcW w:w="2546" w:type="dxa"/>
          </w:tcPr>
          <w:p>
            <w:pPr>
              <w:pStyle w:val="nTable"/>
              <w:spacing w:after="40"/>
              <w:rPr>
                <w:sz w:val="19"/>
              </w:rPr>
            </w:pPr>
            <w:r>
              <w:rPr>
                <w:sz w:val="19"/>
              </w:rPr>
              <w:t>s. 1</w:t>
            </w:r>
            <w:r>
              <w:rPr>
                <w:sz w:val="19"/>
              </w:rPr>
              <w:noBreakHyphen/>
              <w:t>4: 13 Dec 1983 (see s. 2(1));</w:t>
            </w:r>
            <w:r>
              <w:rPr>
                <w:sz w:val="19"/>
              </w:rPr>
              <w:br/>
              <w:t>balance: 1 Jan 1984 (see s. 2(2))</w:t>
            </w:r>
          </w:p>
        </w:tc>
      </w:tr>
      <w:tr>
        <w:trPr>
          <w:cantSplit/>
        </w:trPr>
        <w:tc>
          <w:tcPr>
            <w:tcW w:w="2184" w:type="dxa"/>
          </w:tcPr>
          <w:p>
            <w:pPr>
              <w:pStyle w:val="nTable"/>
              <w:spacing w:after="40"/>
              <w:ind w:right="113"/>
              <w:rPr>
                <w:sz w:val="19"/>
              </w:rPr>
            </w:pPr>
            <w:r>
              <w:rPr>
                <w:i/>
                <w:sz w:val="19"/>
              </w:rPr>
              <w:t>Stamp Amendment Act 1984</w:t>
            </w:r>
          </w:p>
        </w:tc>
        <w:tc>
          <w:tcPr>
            <w:tcW w:w="1104" w:type="dxa"/>
            <w:gridSpan w:val="2"/>
          </w:tcPr>
          <w:p>
            <w:pPr>
              <w:pStyle w:val="nTable"/>
              <w:spacing w:after="40"/>
              <w:rPr>
                <w:sz w:val="19"/>
              </w:rPr>
            </w:pPr>
            <w:r>
              <w:rPr>
                <w:sz w:val="19"/>
              </w:rPr>
              <w:t>81 of 1984</w:t>
            </w:r>
          </w:p>
        </w:tc>
        <w:tc>
          <w:tcPr>
            <w:tcW w:w="1151" w:type="dxa"/>
            <w:gridSpan w:val="2"/>
          </w:tcPr>
          <w:p>
            <w:pPr>
              <w:pStyle w:val="nTable"/>
              <w:spacing w:after="40"/>
              <w:rPr>
                <w:sz w:val="19"/>
              </w:rPr>
            </w:pPr>
            <w:r>
              <w:rPr>
                <w:sz w:val="19"/>
              </w:rPr>
              <w:t>7 Dec 1984</w:t>
            </w:r>
          </w:p>
        </w:tc>
        <w:tc>
          <w:tcPr>
            <w:tcW w:w="2546"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184" w:type="dxa"/>
          </w:tcPr>
          <w:p>
            <w:pPr>
              <w:pStyle w:val="nTable"/>
              <w:spacing w:after="40"/>
              <w:ind w:right="113"/>
              <w:rPr>
                <w:sz w:val="19"/>
              </w:rPr>
            </w:pPr>
            <w:r>
              <w:rPr>
                <w:i/>
                <w:sz w:val="19"/>
              </w:rPr>
              <w:t>Stamp Amendment Act (No. 2) 1984</w:t>
            </w:r>
          </w:p>
        </w:tc>
        <w:tc>
          <w:tcPr>
            <w:tcW w:w="1104" w:type="dxa"/>
            <w:gridSpan w:val="2"/>
          </w:tcPr>
          <w:p>
            <w:pPr>
              <w:pStyle w:val="nTable"/>
              <w:spacing w:after="40"/>
              <w:rPr>
                <w:sz w:val="19"/>
              </w:rPr>
            </w:pPr>
            <w:r>
              <w:rPr>
                <w:sz w:val="19"/>
              </w:rPr>
              <w:t>109 of 1984</w:t>
            </w:r>
          </w:p>
        </w:tc>
        <w:tc>
          <w:tcPr>
            <w:tcW w:w="1151" w:type="dxa"/>
            <w:gridSpan w:val="2"/>
          </w:tcPr>
          <w:p>
            <w:pPr>
              <w:pStyle w:val="nTable"/>
              <w:spacing w:after="40"/>
              <w:rPr>
                <w:sz w:val="19"/>
              </w:rPr>
            </w:pPr>
            <w:r>
              <w:rPr>
                <w:sz w:val="19"/>
              </w:rPr>
              <w:t>19 Dec 1984</w:t>
            </w:r>
          </w:p>
        </w:tc>
        <w:tc>
          <w:tcPr>
            <w:tcW w:w="2546" w:type="dxa"/>
          </w:tcPr>
          <w:p>
            <w:pPr>
              <w:pStyle w:val="nTable"/>
              <w:spacing w:after="40"/>
              <w:rPr>
                <w:sz w:val="19"/>
              </w:rPr>
            </w:pPr>
            <w:r>
              <w:rPr>
                <w:sz w:val="19"/>
              </w:rPr>
              <w:t>1 Jan 1985 (see s. 2)</w:t>
            </w:r>
          </w:p>
        </w:tc>
      </w:tr>
      <w:tr>
        <w:trPr>
          <w:cantSplit/>
        </w:trPr>
        <w:tc>
          <w:tcPr>
            <w:tcW w:w="2184" w:type="dxa"/>
          </w:tcPr>
          <w:p>
            <w:pPr>
              <w:pStyle w:val="nTable"/>
              <w:spacing w:after="40"/>
              <w:ind w:right="113"/>
              <w:rPr>
                <w:sz w:val="19"/>
              </w:rPr>
            </w:pPr>
            <w:r>
              <w:rPr>
                <w:i/>
                <w:sz w:val="19"/>
              </w:rPr>
              <w:t>Acts Amendment (Lotteries) Act 1985</w:t>
            </w:r>
            <w:r>
              <w:rPr>
                <w:sz w:val="19"/>
              </w:rPr>
              <w:t xml:space="preserve"> Pt. V</w:t>
            </w:r>
          </w:p>
        </w:tc>
        <w:tc>
          <w:tcPr>
            <w:tcW w:w="1104" w:type="dxa"/>
            <w:gridSpan w:val="2"/>
          </w:tcPr>
          <w:p>
            <w:pPr>
              <w:pStyle w:val="nTable"/>
              <w:spacing w:after="40"/>
              <w:rPr>
                <w:sz w:val="19"/>
              </w:rPr>
            </w:pPr>
            <w:r>
              <w:rPr>
                <w:sz w:val="19"/>
              </w:rPr>
              <w:t>19 of 1985</w:t>
            </w:r>
          </w:p>
        </w:tc>
        <w:tc>
          <w:tcPr>
            <w:tcW w:w="1151" w:type="dxa"/>
            <w:gridSpan w:val="2"/>
          </w:tcPr>
          <w:p>
            <w:pPr>
              <w:pStyle w:val="nTable"/>
              <w:spacing w:after="40"/>
              <w:rPr>
                <w:sz w:val="19"/>
              </w:rPr>
            </w:pPr>
            <w:r>
              <w:rPr>
                <w:sz w:val="19"/>
              </w:rPr>
              <w:t>19 Apr 1985</w:t>
            </w:r>
          </w:p>
        </w:tc>
        <w:tc>
          <w:tcPr>
            <w:tcW w:w="2546" w:type="dxa"/>
          </w:tcPr>
          <w:p>
            <w:pPr>
              <w:pStyle w:val="nTable"/>
              <w:spacing w:after="40"/>
              <w:rPr>
                <w:sz w:val="19"/>
              </w:rPr>
            </w:pPr>
            <w:r>
              <w:rPr>
                <w:sz w:val="19"/>
              </w:rPr>
              <w:t>19 Apr 1985 (see s. 2(1))</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184" w:type="dxa"/>
          </w:tcPr>
          <w:p>
            <w:pPr>
              <w:pStyle w:val="nTable"/>
              <w:spacing w:after="40"/>
              <w:ind w:right="113"/>
              <w:rPr>
                <w:sz w:val="19"/>
              </w:rPr>
            </w:pPr>
            <w:r>
              <w:rPr>
                <w:i/>
                <w:sz w:val="19"/>
              </w:rPr>
              <w:t>Stamp Amendment Act 1985</w:t>
            </w:r>
          </w:p>
        </w:tc>
        <w:tc>
          <w:tcPr>
            <w:tcW w:w="1104" w:type="dxa"/>
            <w:gridSpan w:val="2"/>
          </w:tcPr>
          <w:p>
            <w:pPr>
              <w:pStyle w:val="nTable"/>
              <w:spacing w:after="40"/>
              <w:rPr>
                <w:sz w:val="19"/>
              </w:rPr>
            </w:pPr>
            <w:r>
              <w:rPr>
                <w:sz w:val="19"/>
              </w:rPr>
              <w:t>84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rPr>
            </w:pPr>
            <w:r>
              <w:rPr>
                <w:i/>
                <w:sz w:val="19"/>
              </w:rPr>
              <w:t>Stamp Amendment Act (No. 2) 1985</w:t>
            </w:r>
          </w:p>
        </w:tc>
        <w:tc>
          <w:tcPr>
            <w:tcW w:w="1104" w:type="dxa"/>
            <w:gridSpan w:val="2"/>
          </w:tcPr>
          <w:p>
            <w:pPr>
              <w:pStyle w:val="nTable"/>
              <w:spacing w:after="40"/>
              <w:rPr>
                <w:sz w:val="19"/>
              </w:rPr>
            </w:pPr>
            <w:r>
              <w:rPr>
                <w:sz w:val="19"/>
              </w:rPr>
              <w:t>85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vertAlign w:val="superscript"/>
              </w:rPr>
            </w:pPr>
            <w:r>
              <w:rPr>
                <w:i/>
                <w:sz w:val="19"/>
              </w:rPr>
              <w:t>Stamp Amendment Act 1986</w:t>
            </w:r>
            <w:r>
              <w:rPr>
                <w:sz w:val="19"/>
                <w:vertAlign w:val="superscript"/>
              </w:rPr>
              <w:t> 13</w:t>
            </w:r>
          </w:p>
        </w:tc>
        <w:tc>
          <w:tcPr>
            <w:tcW w:w="1104" w:type="dxa"/>
            <w:gridSpan w:val="2"/>
          </w:tcPr>
          <w:p>
            <w:pPr>
              <w:pStyle w:val="nTable"/>
              <w:spacing w:after="40"/>
              <w:rPr>
                <w:sz w:val="19"/>
              </w:rPr>
            </w:pPr>
            <w:r>
              <w:rPr>
                <w:sz w:val="19"/>
              </w:rPr>
              <w:t>98 of 1986</w:t>
            </w:r>
          </w:p>
        </w:tc>
        <w:tc>
          <w:tcPr>
            <w:tcW w:w="1151" w:type="dxa"/>
            <w:gridSpan w:val="2"/>
          </w:tcPr>
          <w:p>
            <w:pPr>
              <w:pStyle w:val="nTable"/>
              <w:spacing w:after="40"/>
              <w:rPr>
                <w:sz w:val="19"/>
              </w:rPr>
            </w:pPr>
            <w:r>
              <w:rPr>
                <w:sz w:val="19"/>
              </w:rPr>
              <w:t>11 Dec 1986</w:t>
            </w:r>
          </w:p>
        </w:tc>
        <w:tc>
          <w:tcPr>
            <w:tcW w:w="2546" w:type="dxa"/>
          </w:tcPr>
          <w:p>
            <w:pPr>
              <w:pStyle w:val="nTable"/>
              <w:spacing w:after="40"/>
              <w:rPr>
                <w:sz w:val="19"/>
              </w:rPr>
            </w:pPr>
            <w:r>
              <w:rPr>
                <w:sz w:val="19"/>
              </w:rPr>
              <w:t>s. 4</w:t>
            </w:r>
            <w:r>
              <w:rPr>
                <w:sz w:val="19"/>
              </w:rPr>
              <w:noBreakHyphen/>
              <w:t>10: 11 Nov 1986 (see s. 2(2));</w:t>
            </w:r>
            <w:r>
              <w:rPr>
                <w:sz w:val="19"/>
              </w:rPr>
              <w:br/>
              <w:t>s.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184" w:type="dxa"/>
          </w:tcPr>
          <w:p>
            <w:pPr>
              <w:pStyle w:val="nTable"/>
              <w:spacing w:after="40"/>
              <w:ind w:right="113"/>
              <w:rPr>
                <w:sz w:val="19"/>
              </w:rPr>
            </w:pPr>
            <w:r>
              <w:rPr>
                <w:i/>
                <w:sz w:val="19"/>
              </w:rPr>
              <w:t>Stamp Amendment Act 1987 </w:t>
            </w:r>
            <w:r>
              <w:rPr>
                <w:sz w:val="19"/>
                <w:vertAlign w:val="superscript"/>
              </w:rPr>
              <w:t>14</w:t>
            </w:r>
          </w:p>
        </w:tc>
        <w:tc>
          <w:tcPr>
            <w:tcW w:w="1104" w:type="dxa"/>
            <w:gridSpan w:val="2"/>
          </w:tcPr>
          <w:p>
            <w:pPr>
              <w:pStyle w:val="nTable"/>
              <w:spacing w:after="40"/>
              <w:rPr>
                <w:sz w:val="19"/>
              </w:rPr>
            </w:pPr>
            <w:r>
              <w:rPr>
                <w:sz w:val="19"/>
              </w:rPr>
              <w:t>33 of 1987</w:t>
            </w:r>
          </w:p>
        </w:tc>
        <w:tc>
          <w:tcPr>
            <w:tcW w:w="1151" w:type="dxa"/>
            <w:gridSpan w:val="2"/>
          </w:tcPr>
          <w:p>
            <w:pPr>
              <w:pStyle w:val="nTable"/>
              <w:spacing w:after="40"/>
              <w:rPr>
                <w:sz w:val="19"/>
              </w:rPr>
            </w:pPr>
            <w:r>
              <w:rPr>
                <w:sz w:val="19"/>
              </w:rPr>
              <w:t>30 Jun 1987</w:t>
            </w:r>
          </w:p>
        </w:tc>
        <w:tc>
          <w:tcPr>
            <w:tcW w:w="2546" w:type="dxa"/>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184" w:type="dxa"/>
          </w:tcPr>
          <w:p>
            <w:pPr>
              <w:pStyle w:val="nTable"/>
              <w:keepNext/>
              <w:spacing w:after="40"/>
              <w:ind w:right="113"/>
              <w:rPr>
                <w:sz w:val="19"/>
              </w:rPr>
            </w:pPr>
            <w:r>
              <w:rPr>
                <w:i/>
                <w:sz w:val="19"/>
              </w:rPr>
              <w:t>Stamp Amendment Act (No. 2) 1987</w:t>
            </w:r>
            <w:r>
              <w:rPr>
                <w:sz w:val="19"/>
                <w:vertAlign w:val="superscript"/>
              </w:rPr>
              <w:t xml:space="preserve"> 15</w:t>
            </w:r>
          </w:p>
        </w:tc>
        <w:tc>
          <w:tcPr>
            <w:tcW w:w="1104" w:type="dxa"/>
            <w:gridSpan w:val="2"/>
          </w:tcPr>
          <w:p>
            <w:pPr>
              <w:pStyle w:val="nTable"/>
              <w:keepNext/>
              <w:spacing w:after="40"/>
              <w:rPr>
                <w:sz w:val="19"/>
              </w:rPr>
            </w:pPr>
            <w:r>
              <w:rPr>
                <w:sz w:val="19"/>
              </w:rPr>
              <w:t>100 of 1987</w:t>
            </w:r>
          </w:p>
        </w:tc>
        <w:tc>
          <w:tcPr>
            <w:tcW w:w="1151" w:type="dxa"/>
            <w:gridSpan w:val="2"/>
          </w:tcPr>
          <w:p>
            <w:pPr>
              <w:pStyle w:val="nTable"/>
              <w:keepNext/>
              <w:spacing w:after="40"/>
              <w:rPr>
                <w:sz w:val="19"/>
              </w:rPr>
            </w:pPr>
            <w:r>
              <w:rPr>
                <w:sz w:val="19"/>
              </w:rPr>
              <w:t>18 Dec 1987</w:t>
            </w:r>
          </w:p>
        </w:tc>
        <w:tc>
          <w:tcPr>
            <w:tcW w:w="2546" w:type="dxa"/>
          </w:tcPr>
          <w:p>
            <w:pPr>
              <w:pStyle w:val="nTable"/>
              <w:keepNext/>
              <w:spacing w:after="40"/>
              <w:rPr>
                <w:sz w:val="19"/>
              </w:rPr>
            </w:pPr>
            <w:r>
              <w:rPr>
                <w:sz w:val="19"/>
              </w:rPr>
              <w:t>1 Jan 1988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184" w:type="dxa"/>
          </w:tcPr>
          <w:p>
            <w:pPr>
              <w:pStyle w:val="nTable"/>
              <w:spacing w:after="40"/>
              <w:ind w:right="113"/>
              <w:rPr>
                <w:sz w:val="19"/>
              </w:rPr>
            </w:pPr>
            <w:r>
              <w:rPr>
                <w:i/>
                <w:sz w:val="19"/>
              </w:rPr>
              <w:t>Stamp Amendment Act (No. 2) 1989</w:t>
            </w:r>
          </w:p>
        </w:tc>
        <w:tc>
          <w:tcPr>
            <w:tcW w:w="1104" w:type="dxa"/>
            <w:gridSpan w:val="2"/>
          </w:tcPr>
          <w:p>
            <w:pPr>
              <w:pStyle w:val="nTable"/>
              <w:spacing w:after="40"/>
              <w:rPr>
                <w:sz w:val="19"/>
              </w:rPr>
            </w:pPr>
            <w:r>
              <w:rPr>
                <w:sz w:val="19"/>
              </w:rPr>
              <w:t>3 of 1989</w:t>
            </w:r>
          </w:p>
        </w:tc>
        <w:tc>
          <w:tcPr>
            <w:tcW w:w="1151" w:type="dxa"/>
            <w:gridSpan w:val="2"/>
          </w:tcPr>
          <w:p>
            <w:pPr>
              <w:pStyle w:val="nTable"/>
              <w:spacing w:after="40"/>
              <w:rPr>
                <w:sz w:val="19"/>
              </w:rPr>
            </w:pPr>
            <w:r>
              <w:rPr>
                <w:sz w:val="19"/>
              </w:rPr>
              <w:t>20 Apr 1989</w:t>
            </w:r>
          </w:p>
        </w:tc>
        <w:tc>
          <w:tcPr>
            <w:tcW w:w="2546" w:type="dxa"/>
          </w:tcPr>
          <w:p>
            <w:pPr>
              <w:pStyle w:val="nTable"/>
              <w:spacing w:after="40"/>
              <w:rPr>
                <w:sz w:val="19"/>
              </w:rPr>
            </w:pPr>
            <w:r>
              <w:rPr>
                <w:sz w:val="19"/>
              </w:rPr>
              <w:t>20 Apr 1989 (see s. 2)</w:t>
            </w:r>
          </w:p>
        </w:tc>
      </w:tr>
      <w:tr>
        <w:trPr>
          <w:cantSplit/>
        </w:trPr>
        <w:tc>
          <w:tcPr>
            <w:tcW w:w="2184" w:type="dxa"/>
          </w:tcPr>
          <w:p>
            <w:pPr>
              <w:pStyle w:val="nTable"/>
              <w:spacing w:after="40"/>
              <w:ind w:right="113"/>
              <w:rPr>
                <w:sz w:val="19"/>
              </w:rPr>
            </w:pPr>
            <w:r>
              <w:rPr>
                <w:i/>
                <w:sz w:val="19"/>
              </w:rPr>
              <w:t>Stamp Amendment Act (No. 4) 1989</w:t>
            </w:r>
          </w:p>
        </w:tc>
        <w:tc>
          <w:tcPr>
            <w:tcW w:w="1104" w:type="dxa"/>
            <w:gridSpan w:val="2"/>
          </w:tcPr>
          <w:p>
            <w:pPr>
              <w:pStyle w:val="nTable"/>
              <w:spacing w:after="40"/>
              <w:rPr>
                <w:sz w:val="19"/>
              </w:rPr>
            </w:pPr>
            <w:r>
              <w:rPr>
                <w:sz w:val="19"/>
              </w:rPr>
              <w:t>16 of 1989</w:t>
            </w:r>
            <w:r>
              <w:rPr>
                <w:sz w:val="19"/>
              </w:rPr>
              <w:br/>
              <w:t>(as amended by No. 41 of 1989 s. 28)</w:t>
            </w:r>
          </w:p>
        </w:tc>
        <w:tc>
          <w:tcPr>
            <w:tcW w:w="1151" w:type="dxa"/>
            <w:gridSpan w:val="2"/>
          </w:tcPr>
          <w:p>
            <w:pPr>
              <w:pStyle w:val="nTable"/>
              <w:spacing w:after="40"/>
              <w:rPr>
                <w:sz w:val="19"/>
              </w:rPr>
            </w:pPr>
            <w:r>
              <w:rPr>
                <w:sz w:val="19"/>
              </w:rPr>
              <w:t>16 Nov 1989</w:t>
            </w:r>
          </w:p>
        </w:tc>
        <w:tc>
          <w:tcPr>
            <w:tcW w:w="2546" w:type="dxa"/>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4(1): 16 Nov 1989 (see s. 2(1)); </w:t>
            </w:r>
            <w:r>
              <w:rPr>
                <w:sz w:val="19"/>
              </w:rPr>
              <w:br/>
              <w:t xml:space="preserve">s. 4(3): 1 Jul 1990 (see s. 2(3)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 xml:space="preserve">Taxation (Reciprocal Powers) Act 1989 </w:t>
            </w:r>
            <w:r>
              <w:rPr>
                <w:sz w:val="19"/>
              </w:rPr>
              <w:t>s. 16</w:t>
            </w:r>
          </w:p>
        </w:tc>
        <w:tc>
          <w:tcPr>
            <w:tcW w:w="1104" w:type="dxa"/>
            <w:gridSpan w:val="2"/>
          </w:tcPr>
          <w:p>
            <w:pPr>
              <w:pStyle w:val="nTable"/>
              <w:spacing w:after="40"/>
              <w:rPr>
                <w:sz w:val="19"/>
              </w:rPr>
            </w:pPr>
            <w:r>
              <w:rPr>
                <w:sz w:val="19"/>
              </w:rPr>
              <w:t>18 of 1989</w:t>
            </w:r>
          </w:p>
        </w:tc>
        <w:tc>
          <w:tcPr>
            <w:tcW w:w="1151" w:type="dxa"/>
            <w:gridSpan w:val="2"/>
          </w:tcPr>
          <w:p>
            <w:pPr>
              <w:pStyle w:val="nTable"/>
              <w:spacing w:after="40"/>
              <w:rPr>
                <w:sz w:val="19"/>
              </w:rPr>
            </w:pPr>
            <w:r>
              <w:rPr>
                <w:sz w:val="19"/>
              </w:rPr>
              <w:t>1 Dec 1989</w:t>
            </w:r>
          </w:p>
        </w:tc>
        <w:tc>
          <w:tcPr>
            <w:tcW w:w="2546" w:type="dxa"/>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184" w:type="dxa"/>
          </w:tcPr>
          <w:p>
            <w:pPr>
              <w:pStyle w:val="nTable"/>
              <w:spacing w:after="40"/>
              <w:ind w:right="113"/>
              <w:rPr>
                <w:sz w:val="19"/>
              </w:rPr>
            </w:pPr>
            <w:r>
              <w:rPr>
                <w:i/>
                <w:sz w:val="19"/>
              </w:rPr>
              <w:t>Stamp Amendment Act (No. 3) 1989</w:t>
            </w:r>
          </w:p>
        </w:tc>
        <w:tc>
          <w:tcPr>
            <w:tcW w:w="1104" w:type="dxa"/>
            <w:gridSpan w:val="2"/>
          </w:tcPr>
          <w:p>
            <w:pPr>
              <w:pStyle w:val="nTable"/>
              <w:spacing w:after="40"/>
              <w:rPr>
                <w:sz w:val="19"/>
              </w:rPr>
            </w:pPr>
            <w:r>
              <w:rPr>
                <w:sz w:val="19"/>
              </w:rPr>
              <w:t>41 of 1989</w:t>
            </w:r>
          </w:p>
        </w:tc>
        <w:tc>
          <w:tcPr>
            <w:tcW w:w="1151" w:type="dxa"/>
            <w:gridSpan w:val="2"/>
          </w:tcPr>
          <w:p>
            <w:pPr>
              <w:pStyle w:val="nTable"/>
              <w:spacing w:after="40"/>
              <w:rPr>
                <w:sz w:val="19"/>
              </w:rPr>
            </w:pPr>
            <w:r>
              <w:rPr>
                <w:sz w:val="19"/>
              </w:rPr>
              <w:t>21 Dec 1989</w:t>
            </w:r>
          </w:p>
        </w:tc>
        <w:tc>
          <w:tcPr>
            <w:tcW w:w="2546" w:type="dxa"/>
          </w:tcPr>
          <w:p>
            <w:pPr>
              <w:pStyle w:val="nTable"/>
              <w:spacing w:after="40"/>
              <w:rPr>
                <w:sz w:val="19"/>
              </w:rPr>
            </w:pPr>
            <w:r>
              <w:rPr>
                <w:sz w:val="19"/>
              </w:rPr>
              <w:t>s. 27(3): 30 Jun 1989 (see s. 2(4));</w:t>
            </w:r>
            <w:r>
              <w:rPr>
                <w:sz w:val="19"/>
              </w:rPr>
              <w:b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Stamp Amendment Act 1990</w:t>
            </w:r>
          </w:p>
        </w:tc>
        <w:tc>
          <w:tcPr>
            <w:tcW w:w="1104" w:type="dxa"/>
            <w:gridSpan w:val="2"/>
          </w:tcPr>
          <w:p>
            <w:pPr>
              <w:pStyle w:val="nTable"/>
              <w:spacing w:after="40"/>
              <w:rPr>
                <w:sz w:val="19"/>
              </w:rPr>
            </w:pPr>
            <w:r>
              <w:rPr>
                <w:sz w:val="19"/>
              </w:rPr>
              <w:t>20 of 1990</w:t>
            </w:r>
          </w:p>
        </w:tc>
        <w:tc>
          <w:tcPr>
            <w:tcW w:w="1151" w:type="dxa"/>
            <w:gridSpan w:val="2"/>
          </w:tcPr>
          <w:p>
            <w:pPr>
              <w:pStyle w:val="nTable"/>
              <w:spacing w:after="40"/>
              <w:rPr>
                <w:sz w:val="19"/>
              </w:rPr>
            </w:pPr>
            <w:r>
              <w:rPr>
                <w:sz w:val="19"/>
              </w:rPr>
              <w:t>24 Jul 1990</w:t>
            </w:r>
          </w:p>
        </w:tc>
        <w:tc>
          <w:tcPr>
            <w:tcW w:w="2546" w:type="dxa"/>
          </w:tcPr>
          <w:p>
            <w:pPr>
              <w:pStyle w:val="nTable"/>
              <w:spacing w:after="40"/>
              <w:rPr>
                <w:sz w:val="19"/>
              </w:rPr>
            </w:pPr>
            <w:r>
              <w:rPr>
                <w:sz w:val="19"/>
              </w:rPr>
              <w:t>24 Jul 1990 (see s. 2)</w:t>
            </w:r>
          </w:p>
        </w:tc>
      </w:tr>
      <w:tr>
        <w:trPr>
          <w:cantSplit/>
        </w:trPr>
        <w:tc>
          <w:tcPr>
            <w:tcW w:w="2184" w:type="dxa"/>
          </w:tcPr>
          <w:p>
            <w:pPr>
              <w:pStyle w:val="nTable"/>
              <w:spacing w:after="40"/>
              <w:ind w:right="113"/>
              <w:rPr>
                <w:sz w:val="19"/>
              </w:rPr>
            </w:pPr>
            <w:r>
              <w:rPr>
                <w:i/>
                <w:sz w:val="19"/>
              </w:rPr>
              <w:t xml:space="preserve">Acts Amendment (Betting Tax and Stamp Duty) Act (No. 2) 1990 </w:t>
            </w:r>
            <w:r>
              <w:rPr>
                <w:sz w:val="19"/>
              </w:rPr>
              <w:t>Pt. 2</w:t>
            </w:r>
          </w:p>
        </w:tc>
        <w:tc>
          <w:tcPr>
            <w:tcW w:w="1104" w:type="dxa"/>
            <w:gridSpan w:val="2"/>
          </w:tcPr>
          <w:p>
            <w:pPr>
              <w:pStyle w:val="nTable"/>
              <w:spacing w:after="40"/>
              <w:rPr>
                <w:sz w:val="19"/>
              </w:rPr>
            </w:pPr>
            <w:r>
              <w:rPr>
                <w:sz w:val="19"/>
              </w:rPr>
              <w:t>58 of 1990</w:t>
            </w:r>
          </w:p>
        </w:tc>
        <w:tc>
          <w:tcPr>
            <w:tcW w:w="1151" w:type="dxa"/>
            <w:gridSpan w:val="2"/>
          </w:tcPr>
          <w:p>
            <w:pPr>
              <w:pStyle w:val="nTable"/>
              <w:spacing w:after="40"/>
              <w:rPr>
                <w:sz w:val="19"/>
              </w:rPr>
            </w:pPr>
            <w:r>
              <w:rPr>
                <w:sz w:val="19"/>
              </w:rPr>
              <w:t>17 Dec 1990</w:t>
            </w:r>
          </w:p>
        </w:tc>
        <w:tc>
          <w:tcPr>
            <w:tcW w:w="2546" w:type="dxa"/>
          </w:tcPr>
          <w:p>
            <w:pPr>
              <w:pStyle w:val="nTable"/>
              <w:spacing w:after="40"/>
              <w:rPr>
                <w:sz w:val="19"/>
              </w:rPr>
            </w:pPr>
            <w:r>
              <w:rPr>
                <w:sz w:val="19"/>
              </w:rPr>
              <w:t>1 Aug 1989 (see s. 2)</w:t>
            </w:r>
          </w:p>
        </w:tc>
      </w:tr>
      <w:tr>
        <w:trPr>
          <w:cantSplit/>
        </w:trPr>
        <w:tc>
          <w:tcPr>
            <w:tcW w:w="2184" w:type="dxa"/>
          </w:tcPr>
          <w:p>
            <w:pPr>
              <w:pStyle w:val="nTable"/>
              <w:spacing w:after="40"/>
              <w:ind w:right="113"/>
              <w:rPr>
                <w:sz w:val="19"/>
              </w:rPr>
            </w:pPr>
            <w:r>
              <w:rPr>
                <w:i/>
                <w:sz w:val="19"/>
              </w:rPr>
              <w:t xml:space="preserve">R &amp; I Bank Act 1990 </w:t>
            </w:r>
            <w:r>
              <w:rPr>
                <w:sz w:val="19"/>
              </w:rPr>
              <w:t>s. 45(1)</w:t>
            </w:r>
          </w:p>
        </w:tc>
        <w:tc>
          <w:tcPr>
            <w:tcW w:w="1104" w:type="dxa"/>
            <w:gridSpan w:val="2"/>
          </w:tcPr>
          <w:p>
            <w:pPr>
              <w:pStyle w:val="nTable"/>
              <w:spacing w:after="40"/>
              <w:rPr>
                <w:sz w:val="19"/>
              </w:rPr>
            </w:pPr>
            <w:r>
              <w:rPr>
                <w:sz w:val="19"/>
              </w:rPr>
              <w:t>73 of 1990</w:t>
            </w:r>
          </w:p>
        </w:tc>
        <w:tc>
          <w:tcPr>
            <w:tcW w:w="1151" w:type="dxa"/>
            <w:gridSpan w:val="2"/>
          </w:tcPr>
          <w:p>
            <w:pPr>
              <w:pStyle w:val="nTable"/>
              <w:spacing w:after="40"/>
              <w:rPr>
                <w:sz w:val="19"/>
              </w:rPr>
            </w:pPr>
            <w:r>
              <w:rPr>
                <w:sz w:val="19"/>
              </w:rPr>
              <w:t>20 Dec 1990</w:t>
            </w:r>
          </w:p>
        </w:tc>
        <w:tc>
          <w:tcPr>
            <w:tcW w:w="2546"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184" w:type="dxa"/>
          </w:tcPr>
          <w:p>
            <w:pPr>
              <w:pStyle w:val="nTable"/>
              <w:spacing w:after="40"/>
              <w:ind w:right="113"/>
              <w:rPr>
                <w:sz w:val="19"/>
              </w:rPr>
            </w:pPr>
            <w:r>
              <w:rPr>
                <w:i/>
                <w:sz w:val="19"/>
              </w:rPr>
              <w:t>Stamp Amendment Act 1991 </w:t>
            </w:r>
            <w:r>
              <w:rPr>
                <w:sz w:val="19"/>
                <w:vertAlign w:val="superscript"/>
              </w:rPr>
              <w:t>16</w:t>
            </w:r>
          </w:p>
        </w:tc>
        <w:tc>
          <w:tcPr>
            <w:tcW w:w="1104" w:type="dxa"/>
            <w:gridSpan w:val="2"/>
          </w:tcPr>
          <w:p>
            <w:pPr>
              <w:pStyle w:val="nTable"/>
              <w:spacing w:after="40"/>
              <w:rPr>
                <w:sz w:val="19"/>
              </w:rPr>
            </w:pPr>
            <w:r>
              <w:rPr>
                <w:sz w:val="19"/>
              </w:rPr>
              <w:t>52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 xml:space="preserve">s. 4 and 6: 29 Aug 1991 (see s. 2(2)); </w:t>
            </w:r>
            <w:r>
              <w:rPr>
                <w:sz w:val="19"/>
              </w:rPr>
              <w:br/>
              <w:t>balance: 17 Dec 1991 (see s. 2(1))</w:t>
            </w:r>
          </w:p>
        </w:tc>
      </w:tr>
      <w:tr>
        <w:trPr>
          <w:cantSplit/>
        </w:trPr>
        <w:tc>
          <w:tcPr>
            <w:tcW w:w="2184" w:type="dxa"/>
          </w:tcPr>
          <w:p>
            <w:pPr>
              <w:pStyle w:val="nTable"/>
              <w:spacing w:after="40"/>
              <w:ind w:right="113"/>
              <w:rPr>
                <w:sz w:val="19"/>
              </w:rPr>
            </w:pPr>
            <w:r>
              <w:rPr>
                <w:i/>
                <w:sz w:val="19"/>
              </w:rPr>
              <w:t>Stamp Amendment Act (No. 2) 1991</w:t>
            </w:r>
          </w:p>
        </w:tc>
        <w:tc>
          <w:tcPr>
            <w:tcW w:w="1104" w:type="dxa"/>
            <w:gridSpan w:val="2"/>
          </w:tcPr>
          <w:p>
            <w:pPr>
              <w:pStyle w:val="nTable"/>
              <w:spacing w:after="40"/>
              <w:rPr>
                <w:sz w:val="19"/>
              </w:rPr>
            </w:pPr>
            <w:r>
              <w:rPr>
                <w:sz w:val="19"/>
              </w:rPr>
              <w:t>53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17 Dec 1991 (see s. 2)</w:t>
            </w:r>
          </w:p>
        </w:tc>
      </w:tr>
      <w:tr>
        <w:trPr>
          <w:cantSplit/>
        </w:trPr>
        <w:tc>
          <w:tcPr>
            <w:tcW w:w="2184" w:type="dxa"/>
          </w:tcPr>
          <w:p>
            <w:pPr>
              <w:pStyle w:val="nTable"/>
              <w:keepNext/>
              <w:keepLines/>
              <w:spacing w:after="40"/>
              <w:ind w:right="113"/>
              <w:rPr>
                <w:sz w:val="19"/>
              </w:rPr>
            </w:pPr>
            <w:r>
              <w:rPr>
                <w:i/>
                <w:sz w:val="19"/>
              </w:rPr>
              <w:t xml:space="preserve">SGIO Privatisation Act 1992 </w:t>
            </w:r>
            <w:r>
              <w:rPr>
                <w:sz w:val="19"/>
              </w:rPr>
              <w:t>s. 29</w:t>
            </w:r>
          </w:p>
        </w:tc>
        <w:tc>
          <w:tcPr>
            <w:tcW w:w="1104" w:type="dxa"/>
            <w:gridSpan w:val="2"/>
          </w:tcPr>
          <w:p>
            <w:pPr>
              <w:pStyle w:val="nTable"/>
              <w:keepNext/>
              <w:keepLines/>
              <w:spacing w:after="40"/>
              <w:rPr>
                <w:sz w:val="19"/>
              </w:rPr>
            </w:pPr>
            <w:r>
              <w:rPr>
                <w:sz w:val="19"/>
              </w:rPr>
              <w:t>49 of 1992</w:t>
            </w:r>
          </w:p>
        </w:tc>
        <w:tc>
          <w:tcPr>
            <w:tcW w:w="1151" w:type="dxa"/>
            <w:gridSpan w:val="2"/>
          </w:tcPr>
          <w:p>
            <w:pPr>
              <w:pStyle w:val="nTable"/>
              <w:keepNext/>
              <w:keepLines/>
              <w:spacing w:after="40"/>
              <w:rPr>
                <w:sz w:val="19"/>
              </w:rPr>
            </w:pPr>
            <w:r>
              <w:rPr>
                <w:sz w:val="19"/>
              </w:rPr>
              <w:t>9 Dec 1992</w:t>
            </w:r>
          </w:p>
        </w:tc>
        <w:tc>
          <w:tcPr>
            <w:tcW w:w="2546" w:type="dxa"/>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184" w:type="dxa"/>
          </w:tcPr>
          <w:p>
            <w:pPr>
              <w:pStyle w:val="nTable"/>
              <w:spacing w:after="40"/>
              <w:ind w:right="113"/>
              <w:rPr>
                <w:sz w:val="19"/>
              </w:rPr>
            </w:pPr>
            <w:r>
              <w:rPr>
                <w:i/>
                <w:sz w:val="19"/>
              </w:rPr>
              <w:t>Stamp Amendment Act 1993</w:t>
            </w:r>
          </w:p>
        </w:tc>
        <w:tc>
          <w:tcPr>
            <w:tcW w:w="1104" w:type="dxa"/>
            <w:gridSpan w:val="2"/>
          </w:tcPr>
          <w:p>
            <w:pPr>
              <w:pStyle w:val="nTable"/>
              <w:spacing w:after="40"/>
              <w:rPr>
                <w:sz w:val="19"/>
              </w:rPr>
            </w:pPr>
            <w:r>
              <w:rPr>
                <w:sz w:val="19"/>
              </w:rPr>
              <w:t>42 of 1993</w:t>
            </w:r>
          </w:p>
        </w:tc>
        <w:tc>
          <w:tcPr>
            <w:tcW w:w="1151" w:type="dxa"/>
            <w:gridSpan w:val="2"/>
          </w:tcPr>
          <w:p>
            <w:pPr>
              <w:pStyle w:val="nTable"/>
              <w:spacing w:after="40"/>
              <w:rPr>
                <w:sz w:val="19"/>
              </w:rPr>
            </w:pPr>
            <w:r>
              <w:rPr>
                <w:sz w:val="19"/>
              </w:rPr>
              <w:t>20 Dec 1993</w:t>
            </w:r>
          </w:p>
        </w:tc>
        <w:tc>
          <w:tcPr>
            <w:tcW w:w="2546" w:type="dxa"/>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184" w:type="dxa"/>
          </w:tcPr>
          <w:p>
            <w:pPr>
              <w:pStyle w:val="nTable"/>
              <w:spacing w:after="40"/>
              <w:ind w:right="113"/>
              <w:rPr>
                <w:sz w:val="19"/>
              </w:rPr>
            </w:pPr>
            <w:r>
              <w:rPr>
                <w:i/>
                <w:sz w:val="19"/>
              </w:rPr>
              <w:t xml:space="preserve">R &amp; I Bank Amendment Act 1994 </w:t>
            </w:r>
            <w:r>
              <w:rPr>
                <w:sz w:val="19"/>
              </w:rPr>
              <w:t>s. 13</w:t>
            </w:r>
          </w:p>
        </w:tc>
        <w:tc>
          <w:tcPr>
            <w:tcW w:w="1104" w:type="dxa"/>
            <w:gridSpan w:val="2"/>
          </w:tcPr>
          <w:p>
            <w:pPr>
              <w:pStyle w:val="nTable"/>
              <w:spacing w:after="40"/>
              <w:rPr>
                <w:sz w:val="19"/>
              </w:rPr>
            </w:pPr>
            <w:r>
              <w:rPr>
                <w:sz w:val="19"/>
              </w:rPr>
              <w:t>6 of 1994</w:t>
            </w:r>
          </w:p>
        </w:tc>
        <w:tc>
          <w:tcPr>
            <w:tcW w:w="1151" w:type="dxa"/>
            <w:gridSpan w:val="2"/>
          </w:tcPr>
          <w:p>
            <w:pPr>
              <w:pStyle w:val="nTable"/>
              <w:spacing w:after="40"/>
              <w:rPr>
                <w:sz w:val="19"/>
              </w:rPr>
            </w:pPr>
            <w:r>
              <w:rPr>
                <w:sz w:val="19"/>
              </w:rPr>
              <w:t>11 Apr 1994</w:t>
            </w:r>
          </w:p>
        </w:tc>
        <w:tc>
          <w:tcPr>
            <w:tcW w:w="2546"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184" w:type="dxa"/>
          </w:tcPr>
          <w:p>
            <w:pPr>
              <w:pStyle w:val="nTable"/>
              <w:spacing w:after="40"/>
              <w:ind w:right="113"/>
              <w:rPr>
                <w:sz w:val="19"/>
              </w:rPr>
            </w:pPr>
            <w:r>
              <w:rPr>
                <w:i/>
                <w:sz w:val="19"/>
              </w:rPr>
              <w:t>Stamp Amendment Act 1994</w:t>
            </w:r>
          </w:p>
        </w:tc>
        <w:tc>
          <w:tcPr>
            <w:tcW w:w="1104" w:type="dxa"/>
            <w:gridSpan w:val="2"/>
          </w:tcPr>
          <w:p>
            <w:pPr>
              <w:pStyle w:val="nTable"/>
              <w:spacing w:after="40"/>
              <w:rPr>
                <w:sz w:val="19"/>
              </w:rPr>
            </w:pPr>
            <w:r>
              <w:rPr>
                <w:sz w:val="19"/>
              </w:rPr>
              <w:t>39 of 1994</w:t>
            </w:r>
          </w:p>
        </w:tc>
        <w:tc>
          <w:tcPr>
            <w:tcW w:w="1151" w:type="dxa"/>
            <w:gridSpan w:val="2"/>
          </w:tcPr>
          <w:p>
            <w:pPr>
              <w:pStyle w:val="nTable"/>
              <w:spacing w:after="40"/>
              <w:rPr>
                <w:sz w:val="19"/>
              </w:rPr>
            </w:pPr>
            <w:r>
              <w:rPr>
                <w:sz w:val="19"/>
              </w:rPr>
              <w:t>26 Aug 1994</w:t>
            </w:r>
          </w:p>
        </w:tc>
        <w:tc>
          <w:tcPr>
            <w:tcW w:w="2546" w:type="dxa"/>
          </w:tcPr>
          <w:p>
            <w:pPr>
              <w:pStyle w:val="nTable"/>
              <w:spacing w:after="40"/>
              <w:rPr>
                <w:sz w:val="19"/>
              </w:rPr>
            </w:pPr>
            <w:r>
              <w:rPr>
                <w:sz w:val="19"/>
              </w:rPr>
              <w:t>1 Sep 1994 (see s. 2)</w:t>
            </w:r>
          </w:p>
        </w:tc>
      </w:tr>
      <w:tr>
        <w:trPr>
          <w:cantSplit/>
        </w:trPr>
        <w:tc>
          <w:tcPr>
            <w:tcW w:w="2184" w:type="dxa"/>
          </w:tcPr>
          <w:p>
            <w:pPr>
              <w:pStyle w:val="nTable"/>
              <w:spacing w:after="40"/>
              <w:ind w:right="113"/>
              <w:rPr>
                <w:sz w:val="19"/>
              </w:rPr>
            </w:pPr>
            <w:r>
              <w:rPr>
                <w:i/>
                <w:sz w:val="19"/>
              </w:rPr>
              <w:t>Stamp Amendment Act (No. 2) 1994 </w:t>
            </w:r>
            <w:r>
              <w:rPr>
                <w:sz w:val="19"/>
                <w:vertAlign w:val="superscript"/>
              </w:rPr>
              <w:t>3, 17</w:t>
            </w:r>
          </w:p>
        </w:tc>
        <w:tc>
          <w:tcPr>
            <w:tcW w:w="1104" w:type="dxa"/>
            <w:gridSpan w:val="2"/>
          </w:tcPr>
          <w:p>
            <w:pPr>
              <w:pStyle w:val="nTable"/>
              <w:spacing w:after="40"/>
              <w:rPr>
                <w:sz w:val="19"/>
              </w:rPr>
            </w:pPr>
            <w:r>
              <w:rPr>
                <w:sz w:val="19"/>
              </w:rPr>
              <w:t>79 of 1994</w:t>
            </w:r>
          </w:p>
        </w:tc>
        <w:tc>
          <w:tcPr>
            <w:tcW w:w="1151" w:type="dxa"/>
            <w:gridSpan w:val="2"/>
          </w:tcPr>
          <w:p>
            <w:pPr>
              <w:pStyle w:val="nTable"/>
              <w:spacing w:after="40"/>
              <w:rPr>
                <w:sz w:val="19"/>
              </w:rPr>
            </w:pPr>
            <w:r>
              <w:rPr>
                <w:sz w:val="19"/>
              </w:rPr>
              <w:t>22 Dec 1994</w:t>
            </w:r>
          </w:p>
        </w:tc>
        <w:tc>
          <w:tcPr>
            <w:tcW w:w="2546" w:type="dxa"/>
          </w:tcPr>
          <w:p>
            <w:pPr>
              <w:pStyle w:val="nTable"/>
              <w:spacing w:after="40"/>
              <w:rPr>
                <w:sz w:val="19"/>
              </w:rPr>
            </w:pPr>
            <w:r>
              <w:rPr>
                <w:sz w:val="19"/>
              </w:rPr>
              <w:t>22 Dec 1994 (see s. 2)</w:t>
            </w:r>
          </w:p>
        </w:tc>
      </w:tr>
      <w:tr>
        <w:trPr>
          <w:cantSplit/>
        </w:trPr>
        <w:tc>
          <w:tcPr>
            <w:tcW w:w="2184" w:type="dxa"/>
          </w:tcPr>
          <w:p>
            <w:pPr>
              <w:pStyle w:val="nTable"/>
              <w:spacing w:after="40"/>
              <w:ind w:right="113"/>
              <w:rPr>
                <w:sz w:val="19"/>
              </w:rPr>
            </w:pPr>
            <w:r>
              <w:rPr>
                <w:i/>
                <w:sz w:val="19"/>
              </w:rPr>
              <w:t xml:space="preserve">Bank of Western Australia Act 1995 </w:t>
            </w:r>
            <w:r>
              <w:rPr>
                <w:sz w:val="19"/>
              </w:rPr>
              <w:t>s. 44</w:t>
            </w:r>
          </w:p>
        </w:tc>
        <w:tc>
          <w:tcPr>
            <w:tcW w:w="1104" w:type="dxa"/>
            <w:gridSpan w:val="2"/>
          </w:tcPr>
          <w:p>
            <w:pPr>
              <w:pStyle w:val="nTable"/>
              <w:spacing w:after="40"/>
              <w:rPr>
                <w:sz w:val="19"/>
              </w:rPr>
            </w:pPr>
            <w:r>
              <w:rPr>
                <w:sz w:val="19"/>
              </w:rPr>
              <w:t>14 of 1995</w:t>
            </w:r>
          </w:p>
        </w:tc>
        <w:tc>
          <w:tcPr>
            <w:tcW w:w="1151" w:type="dxa"/>
            <w:gridSpan w:val="2"/>
          </w:tcPr>
          <w:p>
            <w:pPr>
              <w:pStyle w:val="nTable"/>
              <w:spacing w:after="40"/>
              <w:rPr>
                <w:sz w:val="19"/>
              </w:rPr>
            </w:pPr>
            <w:r>
              <w:rPr>
                <w:sz w:val="19"/>
              </w:rPr>
              <w:t>4 Jul 1995</w:t>
            </w:r>
          </w:p>
        </w:tc>
        <w:tc>
          <w:tcPr>
            <w:tcW w:w="2546"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184" w:type="dxa"/>
          </w:tcPr>
          <w:p>
            <w:pPr>
              <w:pStyle w:val="nTable"/>
              <w:spacing w:after="40"/>
              <w:ind w:right="113"/>
              <w:rPr>
                <w:sz w:val="19"/>
              </w:rPr>
            </w:pPr>
            <w:r>
              <w:rPr>
                <w:i/>
                <w:sz w:val="19"/>
              </w:rPr>
              <w:t xml:space="preserve">Road Traffic Amendment Act 1995 </w:t>
            </w:r>
            <w:r>
              <w:rPr>
                <w:sz w:val="19"/>
              </w:rPr>
              <w:t>s. 14</w:t>
            </w:r>
          </w:p>
        </w:tc>
        <w:tc>
          <w:tcPr>
            <w:tcW w:w="1104" w:type="dxa"/>
            <w:gridSpan w:val="2"/>
          </w:tcPr>
          <w:p>
            <w:pPr>
              <w:pStyle w:val="nTable"/>
              <w:spacing w:after="40"/>
              <w:rPr>
                <w:sz w:val="19"/>
              </w:rPr>
            </w:pPr>
            <w:r>
              <w:rPr>
                <w:sz w:val="19"/>
              </w:rPr>
              <w:t>21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184" w:type="dxa"/>
          </w:tcPr>
          <w:p>
            <w:pPr>
              <w:pStyle w:val="nTable"/>
              <w:spacing w:after="40"/>
              <w:ind w:right="113"/>
              <w:rPr>
                <w:sz w:val="19"/>
              </w:rPr>
            </w:pPr>
            <w:r>
              <w:rPr>
                <w:i/>
                <w:sz w:val="19"/>
              </w:rPr>
              <w:t>Stamp Amendment (Marketable Securities Duty) Act 1995</w:t>
            </w:r>
            <w:r>
              <w:rPr>
                <w:sz w:val="19"/>
                <w:vertAlign w:val="superscript"/>
              </w:rPr>
              <w:t> 18</w:t>
            </w:r>
          </w:p>
        </w:tc>
        <w:tc>
          <w:tcPr>
            <w:tcW w:w="1104" w:type="dxa"/>
            <w:gridSpan w:val="2"/>
          </w:tcPr>
          <w:p>
            <w:pPr>
              <w:pStyle w:val="nTable"/>
              <w:spacing w:after="40"/>
              <w:rPr>
                <w:sz w:val="19"/>
              </w:rPr>
            </w:pPr>
            <w:r>
              <w:rPr>
                <w:sz w:val="19"/>
              </w:rPr>
              <w:t>22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1 Jul 1995 (see s. 2)</w:t>
            </w:r>
          </w:p>
        </w:tc>
      </w:tr>
      <w:tr>
        <w:trPr>
          <w:cantSplit/>
        </w:trPr>
        <w:tc>
          <w:tcPr>
            <w:tcW w:w="2184" w:type="dxa"/>
          </w:tcPr>
          <w:p>
            <w:pPr>
              <w:pStyle w:val="nTable"/>
              <w:spacing w:after="40"/>
              <w:ind w:right="113"/>
              <w:rPr>
                <w:sz w:val="19"/>
              </w:rPr>
            </w:pPr>
            <w:r>
              <w:rPr>
                <w:i/>
                <w:sz w:val="19"/>
              </w:rPr>
              <w:t>Stamp Amendment Act 1995</w:t>
            </w:r>
            <w:r>
              <w:rPr>
                <w:sz w:val="19"/>
                <w:vertAlign w:val="superscript"/>
              </w:rPr>
              <w:t> 19, 20</w:t>
            </w:r>
          </w:p>
        </w:tc>
        <w:tc>
          <w:tcPr>
            <w:tcW w:w="1104" w:type="dxa"/>
            <w:gridSpan w:val="2"/>
          </w:tcPr>
          <w:p>
            <w:pPr>
              <w:pStyle w:val="nTable"/>
              <w:spacing w:after="40"/>
              <w:rPr>
                <w:sz w:val="19"/>
              </w:rPr>
            </w:pPr>
            <w:r>
              <w:rPr>
                <w:sz w:val="19"/>
              </w:rPr>
              <w:t>41 of 1995</w:t>
            </w:r>
          </w:p>
        </w:tc>
        <w:tc>
          <w:tcPr>
            <w:tcW w:w="1151" w:type="dxa"/>
            <w:gridSpan w:val="2"/>
          </w:tcPr>
          <w:p>
            <w:pPr>
              <w:pStyle w:val="nTable"/>
              <w:spacing w:after="40"/>
              <w:rPr>
                <w:sz w:val="19"/>
              </w:rPr>
            </w:pPr>
            <w:r>
              <w:rPr>
                <w:sz w:val="19"/>
              </w:rPr>
              <w:t>24 Oct 1995</w:t>
            </w:r>
          </w:p>
        </w:tc>
        <w:tc>
          <w:tcPr>
            <w:tcW w:w="2546" w:type="dxa"/>
          </w:tcPr>
          <w:p>
            <w:pPr>
              <w:pStyle w:val="nTable"/>
              <w:spacing w:after="40"/>
              <w:rPr>
                <w:sz w:val="19"/>
              </w:rPr>
            </w:pPr>
            <w:r>
              <w:rPr>
                <w:sz w:val="19"/>
              </w:rPr>
              <w:t>24 Oct 1995 (see s. 2)</w:t>
            </w:r>
          </w:p>
        </w:tc>
      </w:tr>
      <w:tr>
        <w:trPr>
          <w:cantSplit/>
        </w:trPr>
        <w:tc>
          <w:tcPr>
            <w:tcW w:w="2184" w:type="dxa"/>
          </w:tcPr>
          <w:p>
            <w:pPr>
              <w:pStyle w:val="nTable"/>
              <w:spacing w:after="40"/>
              <w:ind w:right="113"/>
              <w:rPr>
                <w:sz w:val="19"/>
              </w:rPr>
            </w:pPr>
            <w:r>
              <w:rPr>
                <w:i/>
                <w:sz w:val="19"/>
              </w:rPr>
              <w:t xml:space="preserve">Acts Amendment (Vehicle Licences) Act 1995 </w:t>
            </w:r>
            <w:r>
              <w:rPr>
                <w:sz w:val="19"/>
              </w:rPr>
              <w:t>Pt. 3</w:t>
            </w:r>
          </w:p>
        </w:tc>
        <w:tc>
          <w:tcPr>
            <w:tcW w:w="1104" w:type="dxa"/>
            <w:gridSpan w:val="2"/>
          </w:tcPr>
          <w:p>
            <w:pPr>
              <w:pStyle w:val="nTable"/>
              <w:spacing w:after="40"/>
              <w:rPr>
                <w:sz w:val="19"/>
              </w:rPr>
            </w:pPr>
            <w:r>
              <w:rPr>
                <w:sz w:val="19"/>
              </w:rPr>
              <w:t>57 of 1995</w:t>
            </w:r>
          </w:p>
        </w:tc>
        <w:tc>
          <w:tcPr>
            <w:tcW w:w="1151" w:type="dxa"/>
            <w:gridSpan w:val="2"/>
          </w:tcPr>
          <w:p>
            <w:pPr>
              <w:pStyle w:val="nTable"/>
              <w:spacing w:after="40"/>
              <w:rPr>
                <w:sz w:val="19"/>
              </w:rPr>
            </w:pPr>
            <w:r>
              <w:rPr>
                <w:sz w:val="19"/>
              </w:rPr>
              <w:t>20 Dec 1995</w:t>
            </w:r>
          </w:p>
        </w:tc>
        <w:tc>
          <w:tcPr>
            <w:tcW w:w="2546" w:type="dxa"/>
          </w:tcPr>
          <w:p>
            <w:pPr>
              <w:pStyle w:val="nTable"/>
              <w:spacing w:after="40"/>
              <w:rPr>
                <w:sz w:val="19"/>
              </w:rPr>
            </w:pPr>
            <w:r>
              <w:rPr>
                <w:sz w:val="19"/>
              </w:rPr>
              <w:t>20 Dec 1995 (see s. 2)</w:t>
            </w:r>
          </w:p>
        </w:tc>
      </w:tr>
      <w:tr>
        <w:trPr>
          <w:cantSplit/>
        </w:trPr>
        <w:tc>
          <w:tcPr>
            <w:tcW w:w="6985" w:type="dxa"/>
            <w:gridSpan w:val="6"/>
          </w:tcPr>
          <w:p>
            <w:pPr>
              <w:pStyle w:val="nTable"/>
              <w:spacing w:after="40"/>
              <w:rPr>
                <w:sz w:val="19"/>
              </w:rPr>
            </w:pPr>
            <w:r>
              <w:rPr>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184" w:type="dxa"/>
          </w:tcPr>
          <w:p>
            <w:pPr>
              <w:pStyle w:val="nTable"/>
              <w:spacing w:after="40"/>
              <w:ind w:right="113"/>
              <w:rPr>
                <w:sz w:val="19"/>
              </w:rPr>
            </w:pPr>
            <w:r>
              <w:rPr>
                <w:i/>
                <w:sz w:val="19"/>
              </w:rPr>
              <w:t xml:space="preserve">Local Government (Consequential Amendments) Act 1996 </w:t>
            </w:r>
            <w:r>
              <w:rPr>
                <w:sz w:val="19"/>
              </w:rPr>
              <w:t>s. 4</w:t>
            </w:r>
          </w:p>
        </w:tc>
        <w:tc>
          <w:tcPr>
            <w:tcW w:w="1104" w:type="dxa"/>
            <w:gridSpan w:val="2"/>
          </w:tcPr>
          <w:p>
            <w:pPr>
              <w:pStyle w:val="nTable"/>
              <w:spacing w:after="40"/>
              <w:rPr>
                <w:sz w:val="19"/>
              </w:rPr>
            </w:pPr>
            <w:r>
              <w:rPr>
                <w:sz w:val="19"/>
              </w:rPr>
              <w:t>14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1 Jul 1996 (see s. 2)</w:t>
            </w:r>
          </w:p>
        </w:tc>
      </w:tr>
      <w:tr>
        <w:trPr>
          <w:cantSplit/>
        </w:trPr>
        <w:tc>
          <w:tcPr>
            <w:tcW w:w="2184" w:type="dxa"/>
          </w:tcPr>
          <w:p>
            <w:pPr>
              <w:pStyle w:val="nTable"/>
              <w:spacing w:after="40"/>
              <w:ind w:right="113"/>
              <w:rPr>
                <w:sz w:val="19"/>
              </w:rPr>
            </w:pPr>
            <w:r>
              <w:rPr>
                <w:i/>
                <w:sz w:val="19"/>
              </w:rPr>
              <w:t xml:space="preserve">Revenue Laws Amendment (Assessment) Act 1996 </w:t>
            </w:r>
            <w:r>
              <w:rPr>
                <w:sz w:val="19"/>
              </w:rPr>
              <w:t>Pt. 5 </w:t>
            </w:r>
            <w:r>
              <w:rPr>
                <w:sz w:val="19"/>
                <w:vertAlign w:val="superscript"/>
              </w:rPr>
              <w:t>21</w:t>
            </w:r>
          </w:p>
        </w:tc>
        <w:tc>
          <w:tcPr>
            <w:tcW w:w="1104" w:type="dxa"/>
            <w:gridSpan w:val="2"/>
          </w:tcPr>
          <w:p>
            <w:pPr>
              <w:pStyle w:val="nTable"/>
              <w:spacing w:after="40"/>
              <w:rPr>
                <w:sz w:val="19"/>
              </w:rPr>
            </w:pPr>
            <w:r>
              <w:rPr>
                <w:sz w:val="19"/>
              </w:rPr>
              <w:t>20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28 Jun 1996 (see s. 2(1))</w:t>
            </w:r>
          </w:p>
        </w:tc>
      </w:tr>
      <w:tr>
        <w:trPr>
          <w:cantSplit/>
        </w:trPr>
        <w:tc>
          <w:tcPr>
            <w:tcW w:w="2184" w:type="dxa"/>
          </w:tcPr>
          <w:p>
            <w:pPr>
              <w:pStyle w:val="nTable"/>
              <w:spacing w:after="40"/>
              <w:ind w:right="113"/>
              <w:rPr>
                <w:sz w:val="19"/>
              </w:rPr>
            </w:pPr>
            <w:r>
              <w:rPr>
                <w:i/>
                <w:sz w:val="19"/>
              </w:rPr>
              <w:t xml:space="preserve">Acts Amendment (ICWA) Act 1996 </w:t>
            </w:r>
            <w:r>
              <w:rPr>
                <w:sz w:val="19"/>
              </w:rPr>
              <w:t>s. 38</w:t>
            </w:r>
          </w:p>
        </w:tc>
        <w:tc>
          <w:tcPr>
            <w:tcW w:w="1104" w:type="dxa"/>
            <w:gridSpan w:val="2"/>
          </w:tcPr>
          <w:p>
            <w:pPr>
              <w:pStyle w:val="nTable"/>
              <w:spacing w:after="40"/>
              <w:rPr>
                <w:sz w:val="19"/>
              </w:rPr>
            </w:pPr>
            <w:r>
              <w:rPr>
                <w:sz w:val="19"/>
              </w:rPr>
              <w:t>45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184" w:type="dxa"/>
          </w:tcPr>
          <w:p>
            <w:pPr>
              <w:pStyle w:val="nTable"/>
              <w:spacing w:after="40"/>
              <w:ind w:right="113"/>
              <w:rPr>
                <w:sz w:val="19"/>
              </w:rPr>
            </w:pPr>
            <w:r>
              <w:rPr>
                <w:i/>
                <w:sz w:val="19"/>
              </w:rPr>
              <w:t xml:space="preserve">Revenue Laws Amendment (Assessment) Act (No. 2) 1996 </w:t>
            </w:r>
            <w:r>
              <w:rPr>
                <w:sz w:val="19"/>
              </w:rPr>
              <w:t>Pt. 5</w:t>
            </w:r>
          </w:p>
        </w:tc>
        <w:tc>
          <w:tcPr>
            <w:tcW w:w="1104" w:type="dxa"/>
            <w:gridSpan w:val="2"/>
          </w:tcPr>
          <w:p>
            <w:pPr>
              <w:pStyle w:val="nTable"/>
              <w:spacing w:after="40"/>
              <w:rPr>
                <w:sz w:val="19"/>
              </w:rPr>
            </w:pPr>
            <w:r>
              <w:rPr>
                <w:sz w:val="19"/>
              </w:rPr>
              <w:t>48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Div. 1</w:t>
            </w:r>
            <w:r>
              <w:rPr>
                <w:sz w:val="19"/>
              </w:rPr>
              <w:noBreakHyphen/>
              <w:t xml:space="preserve">2: 30 Nov 1995 (see s. 2(2)); </w:t>
            </w:r>
            <w:r>
              <w:rPr>
                <w:sz w:val="19"/>
              </w:rPr>
              <w:br/>
              <w:t>Div. 3: 15 Jul 1996 (see s. 2(3));</w:t>
            </w:r>
            <w:r>
              <w:rPr>
                <w:sz w:val="19"/>
              </w:rPr>
              <w:br/>
              <w:t>Div. 4: 1 Oct 1996 (see s. 2(4));</w:t>
            </w:r>
            <w:r>
              <w:rPr>
                <w:sz w:val="19"/>
              </w:rPr>
              <w:br/>
              <w:t>Div. 5: 25 Oct 1996 (see s. 2(1))</w:t>
            </w:r>
          </w:p>
        </w:tc>
      </w:tr>
      <w:tr>
        <w:trPr>
          <w:cantSplit/>
        </w:trPr>
        <w:tc>
          <w:tcPr>
            <w:tcW w:w="2184" w:type="dxa"/>
          </w:tcPr>
          <w:p>
            <w:pPr>
              <w:pStyle w:val="nTable"/>
              <w:spacing w:after="40"/>
              <w:ind w:right="113"/>
              <w:rPr>
                <w:sz w:val="19"/>
              </w:rPr>
            </w:pPr>
            <w:r>
              <w:rPr>
                <w:i/>
                <w:sz w:val="19"/>
              </w:rPr>
              <w:t>Stamp Amendment Act 1996 </w:t>
            </w:r>
            <w:r>
              <w:rPr>
                <w:sz w:val="19"/>
                <w:vertAlign w:val="superscript"/>
              </w:rPr>
              <w:t>22</w:t>
            </w:r>
          </w:p>
        </w:tc>
        <w:tc>
          <w:tcPr>
            <w:tcW w:w="1104" w:type="dxa"/>
            <w:gridSpan w:val="2"/>
          </w:tcPr>
          <w:p>
            <w:pPr>
              <w:pStyle w:val="nTable"/>
              <w:spacing w:after="40"/>
              <w:rPr>
                <w:sz w:val="19"/>
              </w:rPr>
            </w:pPr>
            <w:r>
              <w:rPr>
                <w:sz w:val="19"/>
              </w:rPr>
              <w:t>57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20 Nov 1995 (see s. 2)</w:t>
            </w:r>
          </w:p>
        </w:tc>
      </w:tr>
      <w:tr>
        <w:trPr>
          <w:cantSplit/>
        </w:trPr>
        <w:tc>
          <w:tcPr>
            <w:tcW w:w="2184" w:type="dxa"/>
          </w:tcPr>
          <w:p>
            <w:pPr>
              <w:pStyle w:val="nTable"/>
              <w:spacing w:after="40"/>
              <w:ind w:right="113"/>
              <w:rPr>
                <w:sz w:val="19"/>
              </w:rPr>
            </w:pPr>
            <w:r>
              <w:rPr>
                <w:i/>
                <w:sz w:val="19"/>
              </w:rPr>
              <w:t xml:space="preserve">Strata Titles Amendment Act 1996 </w:t>
            </w:r>
            <w:r>
              <w:rPr>
                <w:sz w:val="19"/>
              </w:rPr>
              <w:t>s. 40</w:t>
            </w:r>
          </w:p>
        </w:tc>
        <w:tc>
          <w:tcPr>
            <w:tcW w:w="1104" w:type="dxa"/>
            <w:gridSpan w:val="2"/>
          </w:tcPr>
          <w:p>
            <w:pPr>
              <w:pStyle w:val="nTable"/>
              <w:spacing w:after="40"/>
              <w:rPr>
                <w:sz w:val="19"/>
              </w:rPr>
            </w:pPr>
            <w:r>
              <w:rPr>
                <w:sz w:val="19"/>
              </w:rPr>
              <w:t>61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184" w:type="dxa"/>
          </w:tcPr>
          <w:p>
            <w:pPr>
              <w:pStyle w:val="nTable"/>
              <w:spacing w:after="40"/>
              <w:ind w:right="113"/>
              <w:rPr>
                <w:sz w:val="19"/>
              </w:rPr>
            </w:pPr>
            <w:r>
              <w:rPr>
                <w:i/>
                <w:sz w:val="19"/>
              </w:rPr>
              <w:t xml:space="preserve">Road Traffic Amendment Act 1996 </w:t>
            </w:r>
            <w:r>
              <w:rPr>
                <w:sz w:val="19"/>
              </w:rPr>
              <w:t>Pt. 3 Div. 8</w:t>
            </w:r>
          </w:p>
        </w:tc>
        <w:tc>
          <w:tcPr>
            <w:tcW w:w="1104" w:type="dxa"/>
            <w:gridSpan w:val="2"/>
          </w:tcPr>
          <w:p>
            <w:pPr>
              <w:pStyle w:val="nTable"/>
              <w:spacing w:after="40"/>
              <w:rPr>
                <w:sz w:val="19"/>
              </w:rPr>
            </w:pPr>
            <w:r>
              <w:rPr>
                <w:sz w:val="19"/>
              </w:rPr>
              <w:t>76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184" w:type="dxa"/>
          </w:tcPr>
          <w:p>
            <w:pPr>
              <w:pStyle w:val="nTable"/>
              <w:spacing w:after="40"/>
              <w:ind w:right="113"/>
              <w:rPr>
                <w:sz w:val="19"/>
              </w:rPr>
            </w:pPr>
            <w:r>
              <w:rPr>
                <w:i/>
                <w:sz w:val="19"/>
              </w:rPr>
              <w:t xml:space="preserve">Transfer of Land Amendment Act 1996 </w:t>
            </w:r>
            <w:r>
              <w:rPr>
                <w:sz w:val="19"/>
              </w:rPr>
              <w:t>s. 153(1) and (2)</w:t>
            </w:r>
          </w:p>
        </w:tc>
        <w:tc>
          <w:tcPr>
            <w:tcW w:w="1104" w:type="dxa"/>
            <w:gridSpan w:val="2"/>
          </w:tcPr>
          <w:p>
            <w:pPr>
              <w:pStyle w:val="nTable"/>
              <w:spacing w:after="40"/>
              <w:rPr>
                <w:sz w:val="19"/>
              </w:rPr>
            </w:pPr>
            <w:r>
              <w:rPr>
                <w:sz w:val="19"/>
              </w:rPr>
              <w:t>81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14 Nov 1996 (see s. 2(1))</w:t>
            </w:r>
          </w:p>
        </w:tc>
      </w:tr>
      <w:tr>
        <w:trPr>
          <w:cantSplit/>
        </w:trPr>
        <w:tc>
          <w:tcPr>
            <w:tcW w:w="2184"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23-25</w:t>
            </w:r>
          </w:p>
        </w:tc>
        <w:tc>
          <w:tcPr>
            <w:tcW w:w="1104" w:type="dxa"/>
            <w:gridSpan w:val="2"/>
          </w:tcPr>
          <w:p>
            <w:pPr>
              <w:pStyle w:val="nTable"/>
              <w:spacing w:after="40"/>
              <w:rPr>
                <w:sz w:val="19"/>
              </w:rPr>
            </w:pPr>
            <w:r>
              <w:rPr>
                <w:sz w:val="19"/>
              </w:rPr>
              <w:t>13 of 1997</w:t>
            </w:r>
          </w:p>
        </w:tc>
        <w:tc>
          <w:tcPr>
            <w:tcW w:w="1151" w:type="dxa"/>
            <w:gridSpan w:val="2"/>
          </w:tcPr>
          <w:p>
            <w:pPr>
              <w:pStyle w:val="nTable"/>
              <w:spacing w:after="40"/>
              <w:rPr>
                <w:sz w:val="19"/>
              </w:rPr>
            </w:pPr>
            <w:r>
              <w:rPr>
                <w:sz w:val="19"/>
              </w:rPr>
              <w:t>25 Jun 1997</w:t>
            </w:r>
          </w:p>
        </w:tc>
        <w:tc>
          <w:tcPr>
            <w:tcW w:w="2546" w:type="dxa"/>
          </w:tcPr>
          <w:p>
            <w:pPr>
              <w:pStyle w:val="nTable"/>
              <w:spacing w:after="40"/>
              <w:rPr>
                <w:sz w:val="19"/>
              </w:rPr>
            </w:pPr>
            <w:r>
              <w:rPr>
                <w:sz w:val="19"/>
              </w:rPr>
              <w:t>Div. 2: 27 Dec 1996 (see s. 2(3));</w:t>
            </w:r>
            <w:r>
              <w:rPr>
                <w:sz w:val="19"/>
              </w:rPr>
              <w:br/>
              <w:t>Div. 3: 14 Jan 1997 (see s. 2(4));</w:t>
            </w:r>
            <w:r>
              <w:rPr>
                <w:sz w:val="19"/>
              </w:rPr>
              <w:br/>
              <w:t>Div. 4: 12 May 1997 (see s. 2(5));</w:t>
            </w:r>
            <w:r>
              <w:rPr>
                <w:sz w:val="19"/>
              </w:rPr>
              <w:br/>
              <w:t>Div. 1, 5</w:t>
            </w:r>
            <w:r>
              <w:rPr>
                <w:sz w:val="19"/>
              </w:rPr>
              <w:noBreakHyphen/>
              <w:t>6: 25 Jun 1997 (see s. 2(1))</w:t>
            </w:r>
          </w:p>
        </w:tc>
      </w:tr>
      <w:tr>
        <w:trPr>
          <w:cantSplit/>
        </w:trPr>
        <w:tc>
          <w:tcPr>
            <w:tcW w:w="2184" w:type="dxa"/>
          </w:tcPr>
          <w:p>
            <w:pPr>
              <w:pStyle w:val="nTable"/>
              <w:spacing w:after="40"/>
              <w:ind w:right="113"/>
              <w:rPr>
                <w:sz w:val="19"/>
              </w:rPr>
            </w:pPr>
            <w:r>
              <w:rPr>
                <w:i/>
                <w:sz w:val="19"/>
              </w:rPr>
              <w:t xml:space="preserve">Acts Amendment (Land Administration) Act 1997 </w:t>
            </w:r>
            <w:r>
              <w:rPr>
                <w:sz w:val="19"/>
              </w:rPr>
              <w:t>Pt. 55 and s. 141</w:t>
            </w:r>
          </w:p>
        </w:tc>
        <w:tc>
          <w:tcPr>
            <w:tcW w:w="1104" w:type="dxa"/>
            <w:gridSpan w:val="2"/>
          </w:tcPr>
          <w:p>
            <w:pPr>
              <w:pStyle w:val="nTable"/>
              <w:spacing w:after="40"/>
              <w:rPr>
                <w:sz w:val="19"/>
              </w:rPr>
            </w:pPr>
            <w:r>
              <w:rPr>
                <w:sz w:val="19"/>
              </w:rPr>
              <w:t>31 of 1997</w:t>
            </w:r>
          </w:p>
        </w:tc>
        <w:tc>
          <w:tcPr>
            <w:tcW w:w="1151" w:type="dxa"/>
            <w:gridSpan w:val="2"/>
          </w:tcPr>
          <w:p>
            <w:pPr>
              <w:pStyle w:val="nTable"/>
              <w:spacing w:after="40"/>
              <w:rPr>
                <w:sz w:val="19"/>
              </w:rPr>
            </w:pPr>
            <w:r>
              <w:rPr>
                <w:sz w:val="19"/>
              </w:rPr>
              <w:t>3 Oct 1997</w:t>
            </w:r>
          </w:p>
        </w:tc>
        <w:tc>
          <w:tcPr>
            <w:tcW w:w="2546" w:type="dxa"/>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184" w:type="dxa"/>
          </w:tcPr>
          <w:p>
            <w:pPr>
              <w:pStyle w:val="nTable"/>
              <w:spacing w:after="40"/>
              <w:ind w:right="113"/>
              <w:rPr>
                <w:sz w:val="19"/>
              </w:rPr>
            </w:pPr>
            <w:r>
              <w:rPr>
                <w:i/>
                <w:sz w:val="19"/>
              </w:rPr>
              <w:t xml:space="preserve">Acts Amendment and Repeal (Family Court) Act 1997 </w:t>
            </w:r>
            <w:r>
              <w:rPr>
                <w:sz w:val="19"/>
              </w:rPr>
              <w:t>s. 37</w:t>
            </w:r>
          </w:p>
        </w:tc>
        <w:tc>
          <w:tcPr>
            <w:tcW w:w="1104" w:type="dxa"/>
            <w:gridSpan w:val="2"/>
          </w:tcPr>
          <w:p>
            <w:pPr>
              <w:pStyle w:val="nTable"/>
              <w:spacing w:after="40"/>
              <w:rPr>
                <w:sz w:val="19"/>
              </w:rPr>
            </w:pPr>
            <w:r>
              <w:rPr>
                <w:sz w:val="19"/>
              </w:rPr>
              <w:t>41 of 1997</w:t>
            </w:r>
          </w:p>
        </w:tc>
        <w:tc>
          <w:tcPr>
            <w:tcW w:w="1151" w:type="dxa"/>
            <w:gridSpan w:val="2"/>
          </w:tcPr>
          <w:p>
            <w:pPr>
              <w:pStyle w:val="nTable"/>
              <w:spacing w:after="40"/>
              <w:rPr>
                <w:sz w:val="19"/>
              </w:rPr>
            </w:pPr>
            <w:r>
              <w:rPr>
                <w:sz w:val="19"/>
              </w:rPr>
              <w:t>9 Dec 1997</w:t>
            </w:r>
          </w:p>
        </w:tc>
        <w:tc>
          <w:tcPr>
            <w:tcW w:w="2546" w:type="dxa"/>
          </w:tcPr>
          <w:p>
            <w:pPr>
              <w:pStyle w:val="nTable"/>
              <w:spacing w:after="40"/>
              <w:rPr>
                <w:sz w:val="19"/>
              </w:rPr>
            </w:pPr>
            <w:r>
              <w:rPr>
                <w:sz w:val="19"/>
              </w:rPr>
              <w:t>26 Sep 1998 (see s. 2)</w:t>
            </w:r>
          </w:p>
        </w:tc>
      </w:tr>
      <w:tr>
        <w:trPr>
          <w:cantSplit/>
        </w:trPr>
        <w:tc>
          <w:tcPr>
            <w:tcW w:w="2184" w:type="dxa"/>
          </w:tcPr>
          <w:p>
            <w:pPr>
              <w:pStyle w:val="nTable"/>
              <w:spacing w:after="40"/>
              <w:ind w:right="113"/>
              <w:rPr>
                <w:sz w:val="19"/>
              </w:rPr>
            </w:pPr>
            <w:r>
              <w:rPr>
                <w:i/>
                <w:sz w:val="19"/>
              </w:rPr>
              <w:t xml:space="preserve">Revenue Laws Amendment (Assessment) Act (No. 2) 1997 </w:t>
            </w:r>
            <w:r>
              <w:rPr>
                <w:sz w:val="19"/>
              </w:rPr>
              <w:t>Pt. 3</w:t>
            </w:r>
          </w:p>
        </w:tc>
        <w:tc>
          <w:tcPr>
            <w:tcW w:w="1104" w:type="dxa"/>
            <w:gridSpan w:val="2"/>
          </w:tcPr>
          <w:p>
            <w:pPr>
              <w:pStyle w:val="nTable"/>
              <w:spacing w:after="40"/>
              <w:rPr>
                <w:sz w:val="19"/>
              </w:rPr>
            </w:pPr>
            <w:r>
              <w:rPr>
                <w:sz w:val="19"/>
              </w:rPr>
              <w:t>51 of 1997</w:t>
            </w:r>
          </w:p>
        </w:tc>
        <w:tc>
          <w:tcPr>
            <w:tcW w:w="1151" w:type="dxa"/>
            <w:gridSpan w:val="2"/>
          </w:tcPr>
          <w:p>
            <w:pPr>
              <w:pStyle w:val="nTable"/>
              <w:spacing w:after="40"/>
              <w:rPr>
                <w:sz w:val="19"/>
              </w:rPr>
            </w:pPr>
            <w:r>
              <w:rPr>
                <w:sz w:val="19"/>
              </w:rPr>
              <w:t>12 Dec 1997</w:t>
            </w:r>
          </w:p>
        </w:tc>
        <w:tc>
          <w:tcPr>
            <w:tcW w:w="2546" w:type="dxa"/>
          </w:tcPr>
          <w:p>
            <w:pPr>
              <w:pStyle w:val="nTable"/>
              <w:spacing w:after="40"/>
              <w:rPr>
                <w:sz w:val="19"/>
              </w:rPr>
            </w:pPr>
            <w:r>
              <w:rPr>
                <w:sz w:val="19"/>
              </w:rPr>
              <w:t>12 Dec 1997 (see s. 2)</w:t>
            </w:r>
          </w:p>
        </w:tc>
      </w:tr>
      <w:tr>
        <w:trPr>
          <w:cantSplit/>
        </w:trPr>
        <w:tc>
          <w:tcPr>
            <w:tcW w:w="2184" w:type="dxa"/>
          </w:tcPr>
          <w:p>
            <w:pPr>
              <w:pStyle w:val="nTable"/>
              <w:spacing w:after="40"/>
              <w:ind w:right="113"/>
              <w:rPr>
                <w:sz w:val="19"/>
              </w:rPr>
            </w:pPr>
            <w:r>
              <w:rPr>
                <w:i/>
                <w:sz w:val="19"/>
              </w:rPr>
              <w:t xml:space="preserve">Statutes (Repeals and Minor Amendments) Act 1997 </w:t>
            </w:r>
            <w:r>
              <w:rPr>
                <w:sz w:val="19"/>
              </w:rPr>
              <w:t>s. 113</w:t>
            </w:r>
          </w:p>
        </w:tc>
        <w:tc>
          <w:tcPr>
            <w:tcW w:w="1104" w:type="dxa"/>
            <w:gridSpan w:val="2"/>
          </w:tcPr>
          <w:p>
            <w:pPr>
              <w:pStyle w:val="nTable"/>
              <w:spacing w:after="40"/>
              <w:rPr>
                <w:sz w:val="19"/>
              </w:rPr>
            </w:pPr>
            <w:r>
              <w:rPr>
                <w:sz w:val="19"/>
              </w:rPr>
              <w:t>57 of 1997</w:t>
            </w:r>
          </w:p>
        </w:tc>
        <w:tc>
          <w:tcPr>
            <w:tcW w:w="1151" w:type="dxa"/>
            <w:gridSpan w:val="2"/>
          </w:tcPr>
          <w:p>
            <w:pPr>
              <w:pStyle w:val="nTable"/>
              <w:spacing w:after="40"/>
              <w:rPr>
                <w:sz w:val="19"/>
              </w:rPr>
            </w:pPr>
            <w:r>
              <w:rPr>
                <w:sz w:val="19"/>
              </w:rPr>
              <w:t>15 Dec 1997</w:t>
            </w:r>
          </w:p>
        </w:tc>
        <w:tc>
          <w:tcPr>
            <w:tcW w:w="2546" w:type="dxa"/>
          </w:tcPr>
          <w:p>
            <w:pPr>
              <w:pStyle w:val="nTable"/>
              <w:spacing w:after="40"/>
              <w:rPr>
                <w:sz w:val="19"/>
              </w:rPr>
            </w:pPr>
            <w:r>
              <w:rPr>
                <w:sz w:val="19"/>
              </w:rPr>
              <w:t>15 Dec 1997 (see s. 2(1))</w:t>
            </w:r>
          </w:p>
        </w:tc>
      </w:tr>
      <w:tr>
        <w:trPr>
          <w:cantSplit/>
        </w:trPr>
        <w:tc>
          <w:tcPr>
            <w:tcW w:w="2184" w:type="dxa"/>
          </w:tcPr>
          <w:p>
            <w:pPr>
              <w:pStyle w:val="nTable"/>
              <w:spacing w:after="40"/>
              <w:ind w:right="113"/>
              <w:rPr>
                <w:sz w:val="19"/>
                <w:vertAlign w:val="superscript"/>
              </w:rPr>
            </w:pPr>
            <w:r>
              <w:rPr>
                <w:i/>
                <w:sz w:val="19"/>
              </w:rPr>
              <w:t xml:space="preserve">Revenue Laws Amendment (Taxation) Act 1998 </w:t>
            </w:r>
            <w:r>
              <w:rPr>
                <w:sz w:val="19"/>
              </w:rPr>
              <w:t>Pt. 3 </w:t>
            </w:r>
            <w:r>
              <w:rPr>
                <w:sz w:val="19"/>
                <w:vertAlign w:val="superscript"/>
              </w:rPr>
              <w:t>26, 27</w:t>
            </w:r>
          </w:p>
        </w:tc>
        <w:tc>
          <w:tcPr>
            <w:tcW w:w="1104" w:type="dxa"/>
            <w:gridSpan w:val="2"/>
          </w:tcPr>
          <w:p>
            <w:pPr>
              <w:pStyle w:val="nTable"/>
              <w:spacing w:after="40"/>
              <w:rPr>
                <w:sz w:val="19"/>
              </w:rPr>
            </w:pPr>
            <w:r>
              <w:rPr>
                <w:sz w:val="19"/>
              </w:rPr>
              <w:t>18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1 Jul 1998 (see s. 2(2) and also take note of s. 2(4) and (5))</w:t>
            </w:r>
          </w:p>
        </w:tc>
      </w:tr>
      <w:tr>
        <w:trPr>
          <w:cantSplit/>
        </w:trPr>
        <w:tc>
          <w:tcPr>
            <w:tcW w:w="2184" w:type="dxa"/>
          </w:tcPr>
          <w:p>
            <w:pPr>
              <w:pStyle w:val="nTable"/>
              <w:spacing w:after="40"/>
              <w:ind w:right="113"/>
              <w:rPr>
                <w:sz w:val="19"/>
              </w:rPr>
            </w:pPr>
            <w:r>
              <w:rPr>
                <w:i/>
                <w:sz w:val="19"/>
              </w:rPr>
              <w:t>Revenue Laws Amendment (Assessment) Act 1998</w:t>
            </w:r>
            <w:r>
              <w:rPr>
                <w:sz w:val="19"/>
              </w:rPr>
              <w:t xml:space="preserve"> Pt. 5, Pt. 6 Div. 4 and Pt. 7</w:t>
            </w:r>
          </w:p>
        </w:tc>
        <w:tc>
          <w:tcPr>
            <w:tcW w:w="1104" w:type="dxa"/>
            <w:gridSpan w:val="2"/>
          </w:tcPr>
          <w:p>
            <w:pPr>
              <w:pStyle w:val="nTable"/>
              <w:spacing w:after="40"/>
              <w:rPr>
                <w:sz w:val="19"/>
              </w:rPr>
            </w:pPr>
            <w:r>
              <w:rPr>
                <w:sz w:val="19"/>
              </w:rPr>
              <w:t>22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 xml:space="preserve">Pt. 6 Div. 4: 2 Jul 1998 </w:t>
            </w:r>
            <w:r>
              <w:rPr>
                <w:sz w:val="19"/>
              </w:rPr>
              <w:br/>
              <w:t>(see s. 2(1))</w:t>
            </w:r>
          </w:p>
        </w:tc>
      </w:tr>
      <w:tr>
        <w:trPr>
          <w:cantSplit/>
        </w:trPr>
        <w:tc>
          <w:tcPr>
            <w:tcW w:w="2184" w:type="dxa"/>
          </w:tcPr>
          <w:p>
            <w:pPr>
              <w:pStyle w:val="nTable"/>
              <w:spacing w:after="40"/>
              <w:ind w:right="113"/>
              <w:rPr>
                <w:sz w:val="19"/>
              </w:rPr>
            </w:pPr>
            <w:r>
              <w:rPr>
                <w:i/>
                <w:sz w:val="19"/>
              </w:rPr>
              <w:t xml:space="preserve">Revenue Laws Amendment (Assessment) Act (No. 2) 1998 </w:t>
            </w:r>
            <w:r>
              <w:rPr>
                <w:sz w:val="19"/>
              </w:rPr>
              <w:t>Pt. 3</w:t>
            </w:r>
          </w:p>
        </w:tc>
        <w:tc>
          <w:tcPr>
            <w:tcW w:w="1104" w:type="dxa"/>
            <w:gridSpan w:val="2"/>
          </w:tcPr>
          <w:p>
            <w:pPr>
              <w:pStyle w:val="nTable"/>
              <w:spacing w:after="40"/>
              <w:rPr>
                <w:sz w:val="19"/>
              </w:rPr>
            </w:pPr>
            <w:r>
              <w:rPr>
                <w:sz w:val="19"/>
              </w:rPr>
              <w:t>58 of 1998</w:t>
            </w:r>
          </w:p>
        </w:tc>
        <w:tc>
          <w:tcPr>
            <w:tcW w:w="1151" w:type="dxa"/>
            <w:gridSpan w:val="2"/>
          </w:tcPr>
          <w:p>
            <w:pPr>
              <w:pStyle w:val="nTable"/>
              <w:spacing w:after="40"/>
              <w:rPr>
                <w:sz w:val="19"/>
              </w:rPr>
            </w:pPr>
            <w:r>
              <w:rPr>
                <w:sz w:val="19"/>
              </w:rPr>
              <w:t>18 Dec 1998</w:t>
            </w:r>
          </w:p>
        </w:tc>
        <w:tc>
          <w:tcPr>
            <w:tcW w:w="2546" w:type="dxa"/>
          </w:tcPr>
          <w:p>
            <w:pPr>
              <w:pStyle w:val="nTable"/>
              <w:spacing w:after="40"/>
              <w:rPr>
                <w:sz w:val="19"/>
              </w:rPr>
            </w:pPr>
            <w:r>
              <w:rPr>
                <w:sz w:val="19"/>
              </w:rPr>
              <w:t>s. 8: 30 Mar 1998 (see s. 2(2));</w:t>
            </w:r>
            <w:r>
              <w:rPr>
                <w:sz w:val="19"/>
              </w:rPr>
              <w:br/>
              <w:t>balance: 18 Dec 1998 (see s. 2(1))</w:t>
            </w:r>
          </w:p>
        </w:tc>
      </w:tr>
      <w:tr>
        <w:trPr>
          <w:cantSplit/>
        </w:trPr>
        <w:tc>
          <w:tcPr>
            <w:tcW w:w="2184" w:type="dxa"/>
          </w:tcPr>
          <w:p>
            <w:pPr>
              <w:pStyle w:val="nTable"/>
              <w:spacing w:after="40"/>
              <w:ind w:right="113"/>
              <w:rPr>
                <w:sz w:val="19"/>
              </w:rPr>
            </w:pPr>
            <w:r>
              <w:rPr>
                <w:i/>
                <w:sz w:val="19"/>
              </w:rPr>
              <w:t xml:space="preserve">Friendly Societies (Western Australia) Act 1999 </w:t>
            </w:r>
            <w:r>
              <w:rPr>
                <w:sz w:val="19"/>
              </w:rPr>
              <w:t>s. 23</w:t>
            </w:r>
          </w:p>
        </w:tc>
        <w:tc>
          <w:tcPr>
            <w:tcW w:w="1104" w:type="dxa"/>
            <w:gridSpan w:val="2"/>
          </w:tcPr>
          <w:p>
            <w:pPr>
              <w:pStyle w:val="nTable"/>
              <w:spacing w:after="40"/>
              <w:rPr>
                <w:sz w:val="19"/>
              </w:rPr>
            </w:pPr>
            <w:r>
              <w:rPr>
                <w:sz w:val="19"/>
              </w:rPr>
              <w:t>2 of 1999</w:t>
            </w:r>
          </w:p>
        </w:tc>
        <w:tc>
          <w:tcPr>
            <w:tcW w:w="1151" w:type="dxa"/>
            <w:gridSpan w:val="2"/>
          </w:tcPr>
          <w:p>
            <w:pPr>
              <w:pStyle w:val="nTable"/>
              <w:spacing w:after="40"/>
              <w:rPr>
                <w:sz w:val="19"/>
              </w:rPr>
            </w:pPr>
            <w:r>
              <w:rPr>
                <w:sz w:val="19"/>
              </w:rPr>
              <w:t>25 Mar 1999</w:t>
            </w:r>
          </w:p>
        </w:tc>
        <w:tc>
          <w:tcPr>
            <w:tcW w:w="2546"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184" w:type="dxa"/>
          </w:tcPr>
          <w:p>
            <w:pPr>
              <w:pStyle w:val="nTable"/>
              <w:spacing w:after="40"/>
              <w:ind w:right="113"/>
              <w:rPr>
                <w:sz w:val="19"/>
              </w:rPr>
            </w:pPr>
            <w:r>
              <w:rPr>
                <w:i/>
                <w:sz w:val="19"/>
              </w:rPr>
              <w:t xml:space="preserve">Revenue Laws Amendment (Assessment) Act 1999 </w:t>
            </w:r>
            <w:r>
              <w:rPr>
                <w:sz w:val="19"/>
              </w:rPr>
              <w:t>Pt. 2</w:t>
            </w:r>
          </w:p>
        </w:tc>
        <w:tc>
          <w:tcPr>
            <w:tcW w:w="1104" w:type="dxa"/>
            <w:gridSpan w:val="2"/>
          </w:tcPr>
          <w:p>
            <w:pPr>
              <w:pStyle w:val="nTable"/>
              <w:keepNext/>
              <w:keepLines/>
              <w:spacing w:after="40"/>
              <w:rPr>
                <w:sz w:val="19"/>
              </w:rPr>
            </w:pPr>
            <w:r>
              <w:rPr>
                <w:sz w:val="19"/>
              </w:rPr>
              <w:t>24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184" w:type="dxa"/>
          </w:tcPr>
          <w:p>
            <w:pPr>
              <w:pStyle w:val="nTable"/>
              <w:spacing w:after="40"/>
              <w:ind w:right="113"/>
              <w:rPr>
                <w:sz w:val="19"/>
                <w:lang w:val="en-US"/>
              </w:rPr>
            </w:pPr>
            <w:r>
              <w:rPr>
                <w:i/>
                <w:sz w:val="19"/>
              </w:rPr>
              <w:t xml:space="preserve">Revenue Laws Amendment (Taxation) Act 1999 </w:t>
            </w:r>
            <w:r>
              <w:rPr>
                <w:sz w:val="19"/>
                <w:lang w:val="en-US"/>
              </w:rPr>
              <w:t>Pt. 3 </w:t>
            </w:r>
            <w:r>
              <w:rPr>
                <w:sz w:val="19"/>
                <w:vertAlign w:val="superscript"/>
                <w:lang w:val="en-US"/>
              </w:rPr>
              <w:t>28</w:t>
            </w:r>
          </w:p>
        </w:tc>
        <w:tc>
          <w:tcPr>
            <w:tcW w:w="1104" w:type="dxa"/>
            <w:gridSpan w:val="2"/>
          </w:tcPr>
          <w:p>
            <w:pPr>
              <w:pStyle w:val="nTable"/>
              <w:keepNext/>
              <w:keepLines/>
              <w:spacing w:after="40"/>
              <w:rPr>
                <w:sz w:val="19"/>
              </w:rPr>
            </w:pPr>
            <w:r>
              <w:rPr>
                <w:sz w:val="19"/>
              </w:rPr>
              <w:t>25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1 Jul 1999 (see s. 2(4))</w:t>
            </w:r>
          </w:p>
        </w:tc>
      </w:tr>
      <w:tr>
        <w:trPr>
          <w:cantSplit/>
        </w:trPr>
        <w:tc>
          <w:tcPr>
            <w:tcW w:w="2184" w:type="dxa"/>
          </w:tcPr>
          <w:p>
            <w:pPr>
              <w:pStyle w:val="nTable"/>
              <w:spacing w:after="40"/>
              <w:ind w:right="113"/>
              <w:rPr>
                <w:sz w:val="19"/>
              </w:rPr>
            </w:pPr>
            <w:r>
              <w:rPr>
                <w:i/>
                <w:sz w:val="19"/>
              </w:rPr>
              <w:t xml:space="preserve">Acts Amendment and Repeal (Financial Sector Reform) Act 1999 </w:t>
            </w:r>
            <w:r>
              <w:rPr>
                <w:sz w:val="19"/>
              </w:rPr>
              <w:t>s. 103</w:t>
            </w:r>
          </w:p>
        </w:tc>
        <w:tc>
          <w:tcPr>
            <w:tcW w:w="1104" w:type="dxa"/>
            <w:gridSpan w:val="2"/>
          </w:tcPr>
          <w:p>
            <w:pPr>
              <w:pStyle w:val="nTable"/>
              <w:keepNext/>
              <w:keepLines/>
              <w:spacing w:after="40"/>
              <w:rPr>
                <w:sz w:val="19"/>
              </w:rPr>
            </w:pPr>
            <w:r>
              <w:rPr>
                <w:sz w:val="19"/>
              </w:rPr>
              <w:t>26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184" w:type="dxa"/>
          </w:tcPr>
          <w:p>
            <w:pPr>
              <w:pStyle w:val="nTable"/>
              <w:spacing w:after="40"/>
              <w:ind w:right="113"/>
              <w:rPr>
                <w:sz w:val="19"/>
              </w:rPr>
            </w:pPr>
            <w:r>
              <w:rPr>
                <w:i/>
                <w:sz w:val="19"/>
              </w:rPr>
              <w:t xml:space="preserve">Financial Relations Agreement (Consequential Provisions) Act 1999 </w:t>
            </w:r>
            <w:r>
              <w:rPr>
                <w:sz w:val="19"/>
              </w:rPr>
              <w:t>Pt. 5 </w:t>
            </w:r>
            <w:r>
              <w:rPr>
                <w:sz w:val="19"/>
                <w:vertAlign w:val="superscript"/>
              </w:rPr>
              <w:t>29</w:t>
            </w:r>
          </w:p>
        </w:tc>
        <w:tc>
          <w:tcPr>
            <w:tcW w:w="1104" w:type="dxa"/>
            <w:gridSpan w:val="2"/>
          </w:tcPr>
          <w:p>
            <w:pPr>
              <w:pStyle w:val="nTable"/>
              <w:spacing w:after="40"/>
              <w:rPr>
                <w:sz w:val="19"/>
              </w:rPr>
            </w:pPr>
            <w:r>
              <w:rPr>
                <w:sz w:val="19"/>
              </w:rPr>
              <w:t>53 of 1999</w:t>
            </w:r>
          </w:p>
        </w:tc>
        <w:tc>
          <w:tcPr>
            <w:tcW w:w="1151" w:type="dxa"/>
            <w:gridSpan w:val="2"/>
          </w:tcPr>
          <w:p>
            <w:pPr>
              <w:pStyle w:val="nTable"/>
              <w:spacing w:after="40"/>
              <w:rPr>
                <w:sz w:val="19"/>
              </w:rPr>
            </w:pPr>
            <w:r>
              <w:rPr>
                <w:sz w:val="19"/>
              </w:rPr>
              <w:t>13 Dec 1999</w:t>
            </w:r>
          </w:p>
        </w:tc>
        <w:tc>
          <w:tcPr>
            <w:tcW w:w="2546"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184"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30</w:t>
            </w:r>
          </w:p>
        </w:tc>
        <w:tc>
          <w:tcPr>
            <w:tcW w:w="1104" w:type="dxa"/>
            <w:gridSpan w:val="2"/>
          </w:tcPr>
          <w:p>
            <w:pPr>
              <w:pStyle w:val="nTable"/>
              <w:spacing w:after="40"/>
              <w:rPr>
                <w:sz w:val="19"/>
              </w:rPr>
            </w:pPr>
            <w:r>
              <w:rPr>
                <w:sz w:val="19"/>
              </w:rPr>
              <w:t>6 of 2000</w:t>
            </w:r>
            <w:r>
              <w:rPr>
                <w:sz w:val="19"/>
              </w:rPr>
              <w:br/>
              <w:t>(as amended by No. 45 of 2002 s. 6)</w:t>
            </w:r>
          </w:p>
        </w:tc>
        <w:tc>
          <w:tcPr>
            <w:tcW w:w="1151" w:type="dxa"/>
            <w:gridSpan w:val="2"/>
          </w:tcPr>
          <w:p>
            <w:pPr>
              <w:pStyle w:val="nTable"/>
              <w:spacing w:after="40"/>
              <w:rPr>
                <w:sz w:val="19"/>
              </w:rPr>
            </w:pPr>
            <w:r>
              <w:rPr>
                <w:sz w:val="19"/>
              </w:rPr>
              <w:t>11 Apr 2000</w:t>
            </w:r>
          </w:p>
        </w:tc>
        <w:tc>
          <w:tcPr>
            <w:tcW w:w="2546"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184" w:type="dxa"/>
          </w:tcPr>
          <w:p>
            <w:pPr>
              <w:pStyle w:val="nTable"/>
              <w:spacing w:after="40"/>
              <w:ind w:right="113"/>
              <w:rPr>
                <w:i/>
                <w:sz w:val="19"/>
              </w:rPr>
            </w:pPr>
            <w:r>
              <w:rPr>
                <w:i/>
                <w:sz w:val="19"/>
              </w:rPr>
              <w:t>Stamp Amendment Act 2000</w:t>
            </w:r>
          </w:p>
        </w:tc>
        <w:tc>
          <w:tcPr>
            <w:tcW w:w="1104" w:type="dxa"/>
            <w:gridSpan w:val="2"/>
          </w:tcPr>
          <w:p>
            <w:pPr>
              <w:pStyle w:val="nTable"/>
              <w:spacing w:after="40"/>
              <w:rPr>
                <w:sz w:val="19"/>
              </w:rPr>
            </w:pPr>
            <w:r>
              <w:rPr>
                <w:sz w:val="19"/>
              </w:rPr>
              <w:t>28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w:t>
            </w:r>
          </w:p>
        </w:tc>
      </w:tr>
      <w:tr>
        <w:trPr>
          <w:cantSplit/>
        </w:trPr>
        <w:tc>
          <w:tcPr>
            <w:tcW w:w="2184"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31, 32</w:t>
            </w:r>
          </w:p>
        </w:tc>
        <w:tc>
          <w:tcPr>
            <w:tcW w:w="1104" w:type="dxa"/>
            <w:gridSpan w:val="2"/>
          </w:tcPr>
          <w:p>
            <w:pPr>
              <w:pStyle w:val="nTable"/>
              <w:spacing w:after="40"/>
              <w:rPr>
                <w:sz w:val="19"/>
              </w:rPr>
            </w:pPr>
            <w:r>
              <w:rPr>
                <w:sz w:val="19"/>
              </w:rPr>
              <w:t>29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2(1))</w:t>
            </w:r>
          </w:p>
        </w:tc>
      </w:tr>
      <w:tr>
        <w:trPr>
          <w:cantSplit/>
        </w:trPr>
        <w:tc>
          <w:tcPr>
            <w:tcW w:w="2184" w:type="dxa"/>
          </w:tcPr>
          <w:p>
            <w:pPr>
              <w:pStyle w:val="nTable"/>
              <w:spacing w:after="40"/>
              <w:ind w:right="113"/>
              <w:rPr>
                <w:i/>
                <w:sz w:val="19"/>
                <w:vertAlign w:val="superscript"/>
              </w:rPr>
            </w:pPr>
            <w:r>
              <w:rPr>
                <w:i/>
                <w:sz w:val="19"/>
              </w:rPr>
              <w:t>Stamp Amendment Act (No. 3) 2000</w:t>
            </w:r>
            <w:r>
              <w:rPr>
                <w:i/>
                <w:sz w:val="19"/>
                <w:vertAlign w:val="superscript"/>
              </w:rPr>
              <w:t> </w:t>
            </w:r>
            <w:r>
              <w:rPr>
                <w:sz w:val="19"/>
                <w:vertAlign w:val="superscript"/>
              </w:rPr>
              <w:t>33</w:t>
            </w:r>
          </w:p>
        </w:tc>
        <w:tc>
          <w:tcPr>
            <w:tcW w:w="1104" w:type="dxa"/>
            <w:gridSpan w:val="2"/>
          </w:tcPr>
          <w:p>
            <w:pPr>
              <w:pStyle w:val="nTable"/>
              <w:spacing w:after="40"/>
              <w:rPr>
                <w:sz w:val="19"/>
              </w:rPr>
            </w:pPr>
            <w:r>
              <w:rPr>
                <w:sz w:val="19"/>
              </w:rPr>
              <w:t>60 of 2000</w:t>
            </w:r>
          </w:p>
        </w:tc>
        <w:tc>
          <w:tcPr>
            <w:tcW w:w="1151" w:type="dxa"/>
            <w:gridSpan w:val="2"/>
          </w:tcPr>
          <w:p>
            <w:pPr>
              <w:pStyle w:val="nTable"/>
              <w:spacing w:after="40"/>
              <w:rPr>
                <w:sz w:val="19"/>
              </w:rPr>
            </w:pPr>
            <w:r>
              <w:rPr>
                <w:sz w:val="19"/>
              </w:rPr>
              <w:t>4 Dec 2000</w:t>
            </w:r>
          </w:p>
        </w:tc>
        <w:tc>
          <w:tcPr>
            <w:tcW w:w="2546" w:type="dxa"/>
          </w:tcPr>
          <w:p>
            <w:pPr>
              <w:pStyle w:val="nTable"/>
              <w:spacing w:after="40"/>
              <w:rPr>
                <w:sz w:val="19"/>
              </w:rPr>
            </w:pPr>
            <w:r>
              <w:rPr>
                <w:sz w:val="19"/>
              </w:rPr>
              <w:t>10 Aug 2000 (see s. 2)</w:t>
            </w:r>
          </w:p>
        </w:tc>
      </w:tr>
      <w:tr>
        <w:trPr>
          <w:cantSplit/>
        </w:trPr>
        <w:tc>
          <w:tcPr>
            <w:tcW w:w="2184" w:type="dxa"/>
          </w:tcPr>
          <w:p>
            <w:pPr>
              <w:pStyle w:val="nTable"/>
              <w:spacing w:after="40"/>
              <w:rPr>
                <w:sz w:val="19"/>
              </w:rPr>
            </w:pPr>
            <w:r>
              <w:rPr>
                <w:i/>
                <w:sz w:val="19"/>
              </w:rPr>
              <w:t xml:space="preserve">Revenue Laws Amendment (Assessment) Act 2001 </w:t>
            </w:r>
            <w:r>
              <w:rPr>
                <w:sz w:val="19"/>
              </w:rPr>
              <w:t>Pt. 4</w:t>
            </w:r>
          </w:p>
        </w:tc>
        <w:tc>
          <w:tcPr>
            <w:tcW w:w="1104" w:type="dxa"/>
            <w:gridSpan w:val="2"/>
          </w:tcPr>
          <w:p>
            <w:pPr>
              <w:pStyle w:val="nTable"/>
              <w:spacing w:after="40"/>
              <w:rPr>
                <w:sz w:val="19"/>
              </w:rPr>
            </w:pPr>
            <w:r>
              <w:rPr>
                <w:sz w:val="19"/>
              </w:rPr>
              <w:t>3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184" w:type="dxa"/>
          </w:tcPr>
          <w:p>
            <w:pPr>
              <w:pStyle w:val="nTable"/>
              <w:spacing w:after="40"/>
              <w:rPr>
                <w:sz w:val="19"/>
              </w:rPr>
            </w:pPr>
            <w:r>
              <w:rPr>
                <w:i/>
                <w:sz w:val="19"/>
              </w:rPr>
              <w:t xml:space="preserve">Revenue Laws Amendment (Taxation) Act 2001 </w:t>
            </w:r>
            <w:r>
              <w:rPr>
                <w:sz w:val="19"/>
              </w:rPr>
              <w:t>Pt. 3</w:t>
            </w:r>
          </w:p>
        </w:tc>
        <w:tc>
          <w:tcPr>
            <w:tcW w:w="1104" w:type="dxa"/>
            <w:gridSpan w:val="2"/>
          </w:tcPr>
          <w:p>
            <w:pPr>
              <w:pStyle w:val="nTable"/>
              <w:spacing w:after="40"/>
              <w:rPr>
                <w:sz w:val="19"/>
              </w:rPr>
            </w:pPr>
            <w:r>
              <w:rPr>
                <w:sz w:val="19"/>
              </w:rPr>
              <w:t>4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30 Jun 2001 (see s. 2(4))</w:t>
            </w:r>
          </w:p>
        </w:tc>
      </w:tr>
      <w:tr>
        <w:trPr>
          <w:cantSplit/>
        </w:trPr>
        <w:tc>
          <w:tcPr>
            <w:tcW w:w="2184" w:type="dxa"/>
          </w:tcPr>
          <w:p>
            <w:pPr>
              <w:pStyle w:val="nTable"/>
              <w:keepLines/>
              <w:spacing w:after="40"/>
              <w:ind w:right="113"/>
              <w:rPr>
                <w:i/>
                <w:sz w:val="19"/>
              </w:rPr>
            </w:pPr>
            <w:r>
              <w:rPr>
                <w:i/>
                <w:sz w:val="19"/>
              </w:rPr>
              <w:t>Corporations (Consequential Amendments) Act 2001</w:t>
            </w:r>
            <w:r>
              <w:rPr>
                <w:sz w:val="19"/>
              </w:rPr>
              <w:t xml:space="preserve"> Pt. 48</w:t>
            </w:r>
          </w:p>
        </w:tc>
        <w:tc>
          <w:tcPr>
            <w:tcW w:w="1104" w:type="dxa"/>
            <w:gridSpan w:val="2"/>
          </w:tcPr>
          <w:p>
            <w:pPr>
              <w:pStyle w:val="nTable"/>
              <w:keepLines/>
              <w:spacing w:after="40"/>
              <w:rPr>
                <w:sz w:val="19"/>
              </w:rPr>
            </w:pPr>
            <w:r>
              <w:rPr>
                <w:sz w:val="19"/>
              </w:rPr>
              <w:t>10 of 2001</w:t>
            </w:r>
          </w:p>
        </w:tc>
        <w:tc>
          <w:tcPr>
            <w:tcW w:w="1151" w:type="dxa"/>
            <w:gridSpan w:val="2"/>
          </w:tcPr>
          <w:p>
            <w:pPr>
              <w:pStyle w:val="nTable"/>
              <w:keepLines/>
              <w:spacing w:after="40"/>
              <w:rPr>
                <w:sz w:val="19"/>
              </w:rPr>
            </w:pPr>
            <w:r>
              <w:rPr>
                <w:sz w:val="19"/>
              </w:rPr>
              <w:t>28 Jun 2001</w:t>
            </w:r>
          </w:p>
        </w:tc>
        <w:tc>
          <w:tcPr>
            <w:tcW w:w="2546"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184" w:type="dxa"/>
          </w:tcPr>
          <w:p>
            <w:pPr>
              <w:pStyle w:val="nTable"/>
              <w:spacing w:after="40"/>
              <w:ind w:right="113"/>
              <w:rPr>
                <w:sz w:val="19"/>
              </w:rPr>
            </w:pPr>
            <w:r>
              <w:rPr>
                <w:i/>
                <w:sz w:val="19"/>
              </w:rPr>
              <w:t xml:space="preserve">Building Societies Amendment Act 2001 </w:t>
            </w:r>
            <w:r>
              <w:rPr>
                <w:sz w:val="19"/>
              </w:rPr>
              <w:t>s. 51</w:t>
            </w:r>
          </w:p>
        </w:tc>
        <w:tc>
          <w:tcPr>
            <w:tcW w:w="1104" w:type="dxa"/>
            <w:gridSpan w:val="2"/>
          </w:tcPr>
          <w:p>
            <w:pPr>
              <w:pStyle w:val="nTable"/>
              <w:spacing w:after="40"/>
              <w:rPr>
                <w:sz w:val="19"/>
              </w:rPr>
            </w:pPr>
            <w:r>
              <w:rPr>
                <w:sz w:val="19"/>
              </w:rPr>
              <w:t>12 of 2001</w:t>
            </w:r>
          </w:p>
        </w:tc>
        <w:tc>
          <w:tcPr>
            <w:tcW w:w="1151" w:type="dxa"/>
            <w:gridSpan w:val="2"/>
          </w:tcPr>
          <w:p>
            <w:pPr>
              <w:pStyle w:val="nTable"/>
              <w:spacing w:after="40"/>
              <w:rPr>
                <w:sz w:val="19"/>
              </w:rPr>
            </w:pPr>
            <w:r>
              <w:rPr>
                <w:sz w:val="19"/>
              </w:rPr>
              <w:t>13 Jul 2001</w:t>
            </w:r>
          </w:p>
        </w:tc>
        <w:tc>
          <w:tcPr>
            <w:tcW w:w="2546" w:type="dxa"/>
          </w:tcPr>
          <w:p>
            <w:pPr>
              <w:pStyle w:val="nTable"/>
              <w:spacing w:after="40"/>
              <w:rPr>
                <w:sz w:val="19"/>
              </w:rPr>
            </w:pPr>
            <w:r>
              <w:rPr>
                <w:sz w:val="19"/>
              </w:rPr>
              <w:t>13 Jul 2001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184" w:type="dxa"/>
          </w:tcPr>
          <w:p>
            <w:pPr>
              <w:pStyle w:val="nTable"/>
              <w:spacing w:after="40"/>
              <w:ind w:right="113"/>
              <w:rPr>
                <w:sz w:val="19"/>
              </w:rPr>
            </w:pPr>
            <w:r>
              <w:rPr>
                <w:i/>
                <w:sz w:val="19"/>
              </w:rPr>
              <w:t>Revenue Laws Amendment (Assessment) Act (No. 2) 2001</w:t>
            </w:r>
            <w:r>
              <w:rPr>
                <w:sz w:val="19"/>
              </w:rPr>
              <w:t xml:space="preserve"> Pt. 5 and 6</w:t>
            </w:r>
          </w:p>
        </w:tc>
        <w:tc>
          <w:tcPr>
            <w:tcW w:w="1104" w:type="dxa"/>
            <w:gridSpan w:val="2"/>
          </w:tcPr>
          <w:p>
            <w:pPr>
              <w:pStyle w:val="nTable"/>
              <w:spacing w:after="40"/>
              <w:rPr>
                <w:sz w:val="19"/>
              </w:rPr>
            </w:pPr>
            <w:r>
              <w:rPr>
                <w:sz w:val="19"/>
              </w:rPr>
              <w:t>36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7 Jan 2002 (see s. 2(1))</w:t>
            </w:r>
          </w:p>
        </w:tc>
      </w:tr>
      <w:tr>
        <w:trPr>
          <w:cantSplit/>
        </w:trPr>
        <w:tc>
          <w:tcPr>
            <w:tcW w:w="2184" w:type="dxa"/>
          </w:tcPr>
          <w:p>
            <w:pPr>
              <w:pStyle w:val="nTable"/>
              <w:spacing w:after="40"/>
              <w:ind w:right="113"/>
              <w:rPr>
                <w:sz w:val="19"/>
              </w:rPr>
            </w:pPr>
            <w:r>
              <w:rPr>
                <w:i/>
                <w:sz w:val="19"/>
              </w:rPr>
              <w:t xml:space="preserve">Revenue Laws Amendment (Taxation) Act (No. 2) 2001 </w:t>
            </w:r>
            <w:r>
              <w:rPr>
                <w:sz w:val="19"/>
              </w:rPr>
              <w:t>Pt. 4 (s. 13</w:t>
            </w:r>
            <w:r>
              <w:rPr>
                <w:sz w:val="19"/>
              </w:rPr>
              <w:noBreakHyphen/>
              <w:t>15)</w:t>
            </w:r>
          </w:p>
        </w:tc>
        <w:tc>
          <w:tcPr>
            <w:tcW w:w="1104" w:type="dxa"/>
            <w:gridSpan w:val="2"/>
          </w:tcPr>
          <w:p>
            <w:pPr>
              <w:pStyle w:val="nTable"/>
              <w:spacing w:after="40"/>
              <w:rPr>
                <w:sz w:val="19"/>
              </w:rPr>
            </w:pPr>
            <w:r>
              <w:rPr>
                <w:sz w:val="19"/>
              </w:rPr>
              <w:t>37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184"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04" w:type="dxa"/>
            <w:gridSpan w:val="2"/>
          </w:tcPr>
          <w:p>
            <w:pPr>
              <w:pStyle w:val="nTable"/>
              <w:spacing w:after="40"/>
              <w:rPr>
                <w:sz w:val="19"/>
              </w:rPr>
            </w:pPr>
            <w:r>
              <w:rPr>
                <w:sz w:val="19"/>
              </w:rPr>
              <w:t>7 of 2002</w:t>
            </w:r>
          </w:p>
        </w:tc>
        <w:tc>
          <w:tcPr>
            <w:tcW w:w="1151" w:type="dxa"/>
            <w:gridSpan w:val="2"/>
          </w:tcPr>
          <w:p>
            <w:pPr>
              <w:pStyle w:val="nTable"/>
              <w:spacing w:after="40"/>
              <w:rPr>
                <w:sz w:val="19"/>
              </w:rPr>
            </w:pPr>
            <w:r>
              <w:rPr>
                <w:sz w:val="19"/>
              </w:rPr>
              <w:t>19 Jun 2002</w:t>
            </w:r>
          </w:p>
        </w:tc>
        <w:tc>
          <w:tcPr>
            <w:tcW w:w="254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184" w:type="dxa"/>
          </w:tcPr>
          <w:p>
            <w:pPr>
              <w:pStyle w:val="nTable"/>
              <w:spacing w:after="40"/>
              <w:ind w:right="113"/>
              <w:rPr>
                <w:sz w:val="19"/>
              </w:rPr>
            </w:pPr>
            <w:r>
              <w:rPr>
                <w:i/>
                <w:sz w:val="19"/>
              </w:rPr>
              <w:t>Stamp Amendment (Budget) Act 2002</w:t>
            </w:r>
            <w:r>
              <w:rPr>
                <w:sz w:val="19"/>
              </w:rPr>
              <w:t xml:space="preserve"> </w:t>
            </w:r>
            <w:r>
              <w:rPr>
                <w:sz w:val="19"/>
                <w:vertAlign w:val="superscript"/>
              </w:rPr>
              <w:t>34, 35</w:t>
            </w:r>
          </w:p>
        </w:tc>
        <w:tc>
          <w:tcPr>
            <w:tcW w:w="1104" w:type="dxa"/>
            <w:gridSpan w:val="2"/>
          </w:tcPr>
          <w:p>
            <w:pPr>
              <w:pStyle w:val="nTable"/>
              <w:spacing w:after="40"/>
              <w:rPr>
                <w:sz w:val="19"/>
              </w:rPr>
            </w:pPr>
            <w:r>
              <w:rPr>
                <w:sz w:val="19"/>
              </w:rPr>
              <w:t>11 of 2002</w:t>
            </w:r>
          </w:p>
        </w:tc>
        <w:tc>
          <w:tcPr>
            <w:tcW w:w="1151" w:type="dxa"/>
            <w:gridSpan w:val="2"/>
          </w:tcPr>
          <w:p>
            <w:pPr>
              <w:pStyle w:val="nTable"/>
              <w:spacing w:after="40"/>
              <w:rPr>
                <w:sz w:val="19"/>
              </w:rPr>
            </w:pPr>
            <w:r>
              <w:rPr>
                <w:sz w:val="19"/>
              </w:rPr>
              <w:t>28 Jun 2002</w:t>
            </w:r>
          </w:p>
        </w:tc>
        <w:tc>
          <w:tcPr>
            <w:tcW w:w="2546" w:type="dxa"/>
          </w:tcPr>
          <w:p>
            <w:pPr>
              <w:pStyle w:val="nTable"/>
              <w:spacing w:after="40"/>
              <w:rPr>
                <w:sz w:val="19"/>
              </w:rPr>
            </w:pPr>
            <w:r>
              <w:rPr>
                <w:sz w:val="19"/>
              </w:rPr>
              <w:t>1 Jul 2002 (see s. 2)</w:t>
            </w:r>
          </w:p>
        </w:tc>
      </w:tr>
      <w:tr>
        <w:trPr>
          <w:cantSplit/>
        </w:trPr>
        <w:tc>
          <w:tcPr>
            <w:tcW w:w="2184" w:type="dxa"/>
          </w:tcPr>
          <w:p>
            <w:pPr>
              <w:pStyle w:val="nTable"/>
              <w:spacing w:after="40"/>
              <w:ind w:right="113"/>
              <w:rPr>
                <w:sz w:val="19"/>
              </w:rPr>
            </w:pPr>
            <w:r>
              <w:rPr>
                <w:i/>
                <w:sz w:val="19"/>
              </w:rPr>
              <w:t>Family Court Amendment Act 2002</w:t>
            </w:r>
            <w:r>
              <w:rPr>
                <w:sz w:val="19"/>
              </w:rPr>
              <w:t xml:space="preserve"> s. 52</w:t>
            </w:r>
          </w:p>
        </w:tc>
        <w:tc>
          <w:tcPr>
            <w:tcW w:w="1104" w:type="dxa"/>
            <w:gridSpan w:val="2"/>
          </w:tcPr>
          <w:p>
            <w:pPr>
              <w:pStyle w:val="nTable"/>
              <w:spacing w:after="40"/>
              <w:rPr>
                <w:sz w:val="19"/>
              </w:rPr>
            </w:pPr>
            <w:r>
              <w:rPr>
                <w:sz w:val="19"/>
              </w:rPr>
              <w:t>25 of 2002</w:t>
            </w:r>
          </w:p>
        </w:tc>
        <w:tc>
          <w:tcPr>
            <w:tcW w:w="1151" w:type="dxa"/>
            <w:gridSpan w:val="2"/>
          </w:tcPr>
          <w:p>
            <w:pPr>
              <w:pStyle w:val="nTable"/>
              <w:spacing w:after="40"/>
              <w:rPr>
                <w:sz w:val="19"/>
              </w:rPr>
            </w:pPr>
            <w:r>
              <w:rPr>
                <w:sz w:val="19"/>
              </w:rPr>
              <w:t>25 Sep 2002</w:t>
            </w:r>
          </w:p>
        </w:tc>
        <w:tc>
          <w:tcPr>
            <w:tcW w:w="2546"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184"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36</w:t>
            </w:r>
          </w:p>
        </w:tc>
        <w:tc>
          <w:tcPr>
            <w:tcW w:w="1104" w:type="dxa"/>
            <w:gridSpan w:val="2"/>
          </w:tcPr>
          <w:p>
            <w:pPr>
              <w:pStyle w:val="nTable"/>
              <w:spacing w:after="40"/>
              <w:rPr>
                <w:sz w:val="19"/>
              </w:rPr>
            </w:pPr>
            <w:r>
              <w:rPr>
                <w:sz w:val="19"/>
              </w:rPr>
              <w:t>46 of 2002</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i/>
                <w:sz w:val="19"/>
              </w:rPr>
            </w:pPr>
            <w:r>
              <w:rPr>
                <w:i/>
                <w:sz w:val="19"/>
              </w:rPr>
              <w:t>Stamp Amendment Act 2003</w:t>
            </w:r>
          </w:p>
        </w:tc>
        <w:tc>
          <w:tcPr>
            <w:tcW w:w="1104" w:type="dxa"/>
            <w:gridSpan w:val="2"/>
          </w:tcPr>
          <w:p>
            <w:pPr>
              <w:pStyle w:val="nTable"/>
              <w:spacing w:after="40"/>
              <w:rPr>
                <w:sz w:val="19"/>
              </w:rPr>
            </w:pPr>
            <w:r>
              <w:rPr>
                <w:sz w:val="19"/>
              </w:rPr>
              <w:t>2 of 2003</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37</w:t>
            </w:r>
          </w:p>
        </w:tc>
        <w:tc>
          <w:tcPr>
            <w:tcW w:w="1104" w:type="dxa"/>
            <w:gridSpan w:val="2"/>
          </w:tcPr>
          <w:p>
            <w:pPr>
              <w:pStyle w:val="nTable"/>
              <w:spacing w:after="40"/>
              <w:rPr>
                <w:sz w:val="19"/>
              </w:rPr>
            </w:pPr>
            <w:r>
              <w:rPr>
                <w:sz w:val="19"/>
              </w:rPr>
              <w:t>21 of 2003</w:t>
            </w:r>
          </w:p>
        </w:tc>
        <w:tc>
          <w:tcPr>
            <w:tcW w:w="1151" w:type="dxa"/>
            <w:gridSpan w:val="2"/>
          </w:tcPr>
          <w:p>
            <w:pPr>
              <w:pStyle w:val="nTable"/>
              <w:spacing w:after="40"/>
              <w:rPr>
                <w:sz w:val="19"/>
              </w:rPr>
            </w:pPr>
            <w:r>
              <w:rPr>
                <w:sz w:val="19"/>
              </w:rPr>
              <w:t>23 Apr 2003</w:t>
            </w:r>
          </w:p>
        </w:tc>
        <w:tc>
          <w:tcPr>
            <w:tcW w:w="2546" w:type="dxa"/>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184" w:type="dxa"/>
          </w:tcPr>
          <w:p>
            <w:pPr>
              <w:pStyle w:val="nTable"/>
              <w:spacing w:after="40"/>
              <w:ind w:right="113"/>
              <w:rPr>
                <w:sz w:val="19"/>
              </w:rPr>
            </w:pPr>
            <w:r>
              <w:rPr>
                <w:i/>
                <w:sz w:val="19"/>
              </w:rPr>
              <w:t>Acts Amendment (Equality of Status) Act 2003</w:t>
            </w:r>
            <w:r>
              <w:rPr>
                <w:sz w:val="19"/>
              </w:rPr>
              <w:t xml:space="preserve"> Pt. 55</w:t>
            </w:r>
          </w:p>
        </w:tc>
        <w:tc>
          <w:tcPr>
            <w:tcW w:w="1104" w:type="dxa"/>
            <w:gridSpan w:val="2"/>
          </w:tcPr>
          <w:p>
            <w:pPr>
              <w:pStyle w:val="nTable"/>
              <w:spacing w:after="40"/>
              <w:rPr>
                <w:sz w:val="19"/>
              </w:rPr>
            </w:pPr>
            <w:r>
              <w:rPr>
                <w:sz w:val="19"/>
              </w:rPr>
              <w:t>28 of 2003</w:t>
            </w:r>
          </w:p>
        </w:tc>
        <w:tc>
          <w:tcPr>
            <w:tcW w:w="1151" w:type="dxa"/>
            <w:gridSpan w:val="2"/>
          </w:tcPr>
          <w:p>
            <w:pPr>
              <w:pStyle w:val="nTable"/>
              <w:spacing w:after="40"/>
              <w:rPr>
                <w:sz w:val="19"/>
              </w:rPr>
            </w:pPr>
            <w:r>
              <w:rPr>
                <w:sz w:val="19"/>
              </w:rPr>
              <w:t>22 May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184" w:type="dxa"/>
          </w:tcPr>
          <w:p>
            <w:pPr>
              <w:pStyle w:val="nTable"/>
              <w:spacing w:after="40"/>
              <w:ind w:right="113"/>
              <w:rPr>
                <w:sz w:val="19"/>
              </w:rPr>
            </w:pPr>
            <w:r>
              <w:rPr>
                <w:i/>
                <w:sz w:val="19"/>
              </w:rPr>
              <w:t>Stamp Amendment (Budget) Act 2003</w:t>
            </w:r>
            <w:r>
              <w:rPr>
                <w:sz w:val="19"/>
                <w:vertAlign w:val="superscript"/>
              </w:rPr>
              <w:t> 38</w:t>
            </w:r>
          </w:p>
        </w:tc>
        <w:tc>
          <w:tcPr>
            <w:tcW w:w="1104" w:type="dxa"/>
            <w:gridSpan w:val="2"/>
          </w:tcPr>
          <w:p>
            <w:pPr>
              <w:pStyle w:val="nTable"/>
              <w:spacing w:after="40"/>
              <w:rPr>
                <w:sz w:val="19"/>
              </w:rPr>
            </w:pPr>
            <w:r>
              <w:rPr>
                <w:sz w:val="19"/>
              </w:rPr>
              <w:t>44 of 2003</w:t>
            </w:r>
          </w:p>
        </w:tc>
        <w:tc>
          <w:tcPr>
            <w:tcW w:w="1151" w:type="dxa"/>
            <w:gridSpan w:val="2"/>
          </w:tcPr>
          <w:p>
            <w:pPr>
              <w:pStyle w:val="nTable"/>
              <w:spacing w:after="40"/>
              <w:rPr>
                <w:sz w:val="19"/>
              </w:rPr>
            </w:pPr>
            <w:r>
              <w:rPr>
                <w:sz w:val="19"/>
              </w:rPr>
              <w:t>30 Jun 2003</w:t>
            </w:r>
          </w:p>
        </w:tc>
        <w:tc>
          <w:tcPr>
            <w:tcW w:w="2546" w:type="dxa"/>
          </w:tcPr>
          <w:p>
            <w:pPr>
              <w:pStyle w:val="nTable"/>
              <w:spacing w:after="40"/>
              <w:rPr>
                <w:sz w:val="19"/>
              </w:rPr>
            </w:pPr>
            <w:r>
              <w:rPr>
                <w:sz w:val="19"/>
              </w:rPr>
              <w:t>s. 4: 1 Jul 2003 (see s. 2(2));</w:t>
            </w:r>
            <w:r>
              <w:rPr>
                <w:sz w:val="19"/>
              </w:rPr>
              <w:br/>
              <w:t>s. 5: 1 Jul 2003, but in relation to certain policies of insurance it comes into operation 8 May 2003 (see s. 2(3))</w:t>
            </w:r>
          </w:p>
        </w:tc>
      </w:tr>
      <w:tr>
        <w:trPr>
          <w:cantSplit/>
        </w:trPr>
        <w:tc>
          <w:tcPr>
            <w:tcW w:w="6985" w:type="dxa"/>
            <w:gridSpan w:val="6"/>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184" w:type="dxa"/>
          </w:tcPr>
          <w:p>
            <w:pPr>
              <w:pStyle w:val="nTable"/>
              <w:spacing w:after="40"/>
              <w:rPr>
                <w:sz w:val="19"/>
              </w:rPr>
            </w:pPr>
            <w:r>
              <w:rPr>
                <w:i/>
                <w:sz w:val="19"/>
              </w:rPr>
              <w:t>Acts Amendment (Carbon Rights and Tree Plantation Agreements) Act 2003</w:t>
            </w:r>
            <w:r>
              <w:rPr>
                <w:sz w:val="19"/>
              </w:rPr>
              <w:t xml:space="preserve"> Pt. 4</w:t>
            </w:r>
          </w:p>
        </w:tc>
        <w:tc>
          <w:tcPr>
            <w:tcW w:w="1104" w:type="dxa"/>
            <w:gridSpan w:val="2"/>
          </w:tcPr>
          <w:p>
            <w:pPr>
              <w:pStyle w:val="nTable"/>
              <w:spacing w:after="40"/>
              <w:rPr>
                <w:sz w:val="19"/>
              </w:rPr>
            </w:pPr>
            <w:r>
              <w:rPr>
                <w:sz w:val="19"/>
              </w:rPr>
              <w:t>56 of 2003</w:t>
            </w:r>
          </w:p>
        </w:tc>
        <w:tc>
          <w:tcPr>
            <w:tcW w:w="1151" w:type="dxa"/>
            <w:gridSpan w:val="2"/>
          </w:tcPr>
          <w:p>
            <w:pPr>
              <w:pStyle w:val="nTable"/>
              <w:spacing w:after="40"/>
              <w:rPr>
                <w:sz w:val="19"/>
              </w:rPr>
            </w:pPr>
            <w:r>
              <w:rPr>
                <w:sz w:val="19"/>
              </w:rPr>
              <w:t>29 Oct 2003</w:t>
            </w:r>
          </w:p>
        </w:tc>
        <w:tc>
          <w:tcPr>
            <w:tcW w:w="2546"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184" w:type="dxa"/>
          </w:tcPr>
          <w:p>
            <w:pPr>
              <w:pStyle w:val="nTable"/>
              <w:spacing w:after="40"/>
              <w:ind w:right="113"/>
              <w:rPr>
                <w:sz w:val="19"/>
                <w:vertAlign w:val="superscript"/>
              </w:rPr>
            </w:pPr>
            <w:r>
              <w:rPr>
                <w:i/>
                <w:sz w:val="19"/>
              </w:rPr>
              <w:t>Business Tax Review (Taxing) Act (No. 2) 2003</w:t>
            </w:r>
          </w:p>
        </w:tc>
        <w:tc>
          <w:tcPr>
            <w:tcW w:w="1104" w:type="dxa"/>
            <w:gridSpan w:val="2"/>
          </w:tcPr>
          <w:p>
            <w:pPr>
              <w:pStyle w:val="nTable"/>
              <w:spacing w:after="40"/>
              <w:rPr>
                <w:sz w:val="19"/>
              </w:rPr>
            </w:pPr>
            <w:r>
              <w:rPr>
                <w:sz w:val="19"/>
              </w:rPr>
              <w:t>59 of 2003</w:t>
            </w:r>
          </w:p>
        </w:tc>
        <w:tc>
          <w:tcPr>
            <w:tcW w:w="1151" w:type="dxa"/>
            <w:gridSpan w:val="2"/>
          </w:tcPr>
          <w:p>
            <w:pPr>
              <w:pStyle w:val="nTable"/>
              <w:spacing w:after="40"/>
              <w:rPr>
                <w:sz w:val="19"/>
              </w:rPr>
            </w:pPr>
            <w:r>
              <w:rPr>
                <w:sz w:val="19"/>
              </w:rPr>
              <w:t>26 Nov 2003</w:t>
            </w:r>
          </w:p>
        </w:tc>
        <w:tc>
          <w:tcPr>
            <w:tcW w:w="2546" w:type="dxa"/>
          </w:tcPr>
          <w:p>
            <w:pPr>
              <w:pStyle w:val="nTable"/>
              <w:spacing w:after="40"/>
              <w:rPr>
                <w:sz w:val="19"/>
              </w:rPr>
            </w:pPr>
            <w:r>
              <w:rPr>
                <w:sz w:val="19"/>
              </w:rPr>
              <w:t xml:space="preserve">Act other than s. 4(3): 1 Jan 2004 (see s. 2 and </w:t>
            </w:r>
            <w:r>
              <w:rPr>
                <w:i/>
                <w:sz w:val="19"/>
              </w:rPr>
              <w:t>Gazette</w:t>
            </w:r>
            <w:r>
              <w:rPr>
                <w:sz w:val="19"/>
              </w:rPr>
              <w:t xml:space="preserve"> 30 Dec 2003 p. 5721);</w:t>
            </w:r>
            <w:r>
              <w:rPr>
                <w:sz w:val="19"/>
              </w:rPr>
              <w:br/>
              <w:t xml:space="preserve">s. 4(3): </w:t>
            </w:r>
            <w:r>
              <w:rPr>
                <w:spacing w:val="-2"/>
                <w:sz w:val="19"/>
              </w:rPr>
              <w:t xml:space="preserve">1 Jul 2004 (see s. 2 and </w:t>
            </w:r>
            <w:r>
              <w:rPr>
                <w:i/>
                <w:spacing w:val="-2"/>
                <w:sz w:val="19"/>
              </w:rPr>
              <w:t>Gazette</w:t>
            </w:r>
            <w:r>
              <w:rPr>
                <w:spacing w:val="-2"/>
                <w:sz w:val="19"/>
              </w:rPr>
              <w:t xml:space="preserve"> 21 May 2004 p. 1711)</w:t>
            </w:r>
          </w:p>
        </w:tc>
      </w:tr>
      <w:tr>
        <w:trPr>
          <w:cantSplit/>
        </w:trPr>
        <w:tc>
          <w:tcPr>
            <w:tcW w:w="2184" w:type="dxa"/>
          </w:tcPr>
          <w:p>
            <w:pPr>
              <w:pStyle w:val="nTable"/>
              <w:spacing w:after="40"/>
              <w:rPr>
                <w:sz w:val="19"/>
              </w:rPr>
            </w:pPr>
            <w:r>
              <w:rPr>
                <w:i/>
                <w:sz w:val="19"/>
              </w:rPr>
              <w:t>Business Tax Review (Assessment) Act (No. 2) 2003</w:t>
            </w:r>
            <w:r>
              <w:rPr>
                <w:sz w:val="19"/>
              </w:rPr>
              <w:t xml:space="preserve"> Pt. 2 Div. 1 and 2, s. 97</w:t>
            </w:r>
            <w:r>
              <w:rPr>
                <w:sz w:val="19"/>
              </w:rPr>
              <w:noBreakHyphen/>
              <w:t>99 and s. 107 </w:t>
            </w:r>
            <w:r>
              <w:rPr>
                <w:sz w:val="19"/>
                <w:vertAlign w:val="superscript"/>
              </w:rPr>
              <w:t>39, 40</w:t>
            </w:r>
          </w:p>
        </w:tc>
        <w:tc>
          <w:tcPr>
            <w:tcW w:w="1104" w:type="dxa"/>
            <w:gridSpan w:val="2"/>
          </w:tcPr>
          <w:p>
            <w:pPr>
              <w:pStyle w:val="nTable"/>
              <w:spacing w:after="40"/>
              <w:rPr>
                <w:sz w:val="19"/>
              </w:rPr>
            </w:pPr>
            <w:r>
              <w:rPr>
                <w:sz w:val="19"/>
              </w:rPr>
              <w:t>66 of 2003</w:t>
            </w:r>
          </w:p>
        </w:tc>
        <w:tc>
          <w:tcPr>
            <w:tcW w:w="1151" w:type="dxa"/>
            <w:gridSpan w:val="2"/>
          </w:tcPr>
          <w:p>
            <w:pPr>
              <w:pStyle w:val="nTable"/>
              <w:spacing w:after="40"/>
              <w:rPr>
                <w:sz w:val="19"/>
              </w:rPr>
            </w:pPr>
            <w:r>
              <w:rPr>
                <w:sz w:val="19"/>
              </w:rPr>
              <w:t>5 Dec 2003</w:t>
            </w:r>
          </w:p>
        </w:tc>
        <w:tc>
          <w:tcPr>
            <w:tcW w:w="2546" w:type="dxa"/>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w:t>
            </w:r>
            <w:r>
              <w:rPr>
                <w:spacing w:val="-2"/>
                <w:sz w:val="19"/>
              </w:rPr>
              <w:t xml:space="preserve">(other than s. 70(1), 80, 81(1)(a), 82, 83, 85, 87(9), 93, and 94): 1 Jan 2004 (see s. 2(1) and (2) and </w:t>
            </w:r>
            <w:r>
              <w:rPr>
                <w:i/>
                <w:spacing w:val="-2"/>
                <w:sz w:val="19"/>
              </w:rPr>
              <w:t>Gazette</w:t>
            </w:r>
            <w:r>
              <w:rPr>
                <w:spacing w:val="-2"/>
                <w:sz w:val="19"/>
              </w:rPr>
              <w:t xml:space="preserve"> 30 Dec 2003 p. 5721);</w:t>
            </w:r>
            <w:r>
              <w:rPr>
                <w:spacing w:val="-2"/>
                <w:sz w:val="19"/>
              </w:rPr>
              <w:br/>
              <w:t xml:space="preserve">s. 70(1): 1 Mar 2004 (see s. 2(1) and (2) and </w:t>
            </w:r>
            <w:r>
              <w:rPr>
                <w:i/>
                <w:spacing w:val="-2"/>
                <w:sz w:val="19"/>
              </w:rPr>
              <w:t>Gazette</w:t>
            </w:r>
            <w:r>
              <w:rPr>
                <w:spacing w:val="-2"/>
                <w:sz w:val="19"/>
              </w:rPr>
              <w:t xml:space="preserve"> 30 Dec 2003 p. 5721)</w:t>
            </w:r>
            <w:r>
              <w:rPr>
                <w:sz w:val="19"/>
              </w:rPr>
              <w:t>;</w:t>
            </w:r>
            <w:r>
              <w:rPr>
                <w:sz w:val="19"/>
              </w:rPr>
              <w:br/>
              <w:t>s. </w:t>
            </w:r>
            <w:r>
              <w:rPr>
                <w:spacing w:val="-2"/>
                <w:sz w:val="19"/>
              </w:rPr>
              <w:t xml:space="preserve">80, 81(1)(a), 82, 83, 85, 87(9), 93 and 94: 1 Jul 2004 (see s. 2(1) and (2) and </w:t>
            </w:r>
            <w:r>
              <w:rPr>
                <w:i/>
                <w:spacing w:val="-2"/>
                <w:sz w:val="19"/>
              </w:rPr>
              <w:t>Gazette</w:t>
            </w:r>
            <w:r>
              <w:rPr>
                <w:spacing w:val="-2"/>
                <w:sz w:val="19"/>
              </w:rPr>
              <w:t xml:space="preserve"> 21 May 2004 p. 1711);</w:t>
            </w:r>
            <w:r>
              <w:rPr>
                <w:spacing w:val="-2"/>
                <w:sz w:val="19"/>
              </w:rPr>
              <w:br/>
              <w:t>s. 97</w:t>
            </w:r>
            <w:r>
              <w:rPr>
                <w:spacing w:val="-2"/>
                <w:sz w:val="19"/>
              </w:rPr>
              <w:noBreakHyphen/>
              <w:t>99: 1 Jul 2004 (see s. 2(3))</w:t>
            </w:r>
          </w:p>
        </w:tc>
      </w:tr>
      <w:tr>
        <w:trPr>
          <w:cantSplit/>
        </w:trPr>
        <w:tc>
          <w:tcPr>
            <w:tcW w:w="2184" w:type="dxa"/>
          </w:tcPr>
          <w:p>
            <w:pPr>
              <w:pStyle w:val="nTable"/>
              <w:spacing w:after="40"/>
              <w:rPr>
                <w:sz w:val="19"/>
              </w:rPr>
            </w:pPr>
            <w:r>
              <w:rPr>
                <w:i/>
                <w:sz w:val="19"/>
              </w:rPr>
              <w:t>Revenue Laws Amendment Act 2004</w:t>
            </w:r>
            <w:r>
              <w:rPr>
                <w:sz w:val="19"/>
              </w:rPr>
              <w:t xml:space="preserve"> Pt. 3 </w:t>
            </w:r>
            <w:r>
              <w:rPr>
                <w:sz w:val="19"/>
                <w:vertAlign w:val="superscript"/>
              </w:rPr>
              <w:t>41</w:t>
            </w:r>
          </w:p>
        </w:tc>
        <w:tc>
          <w:tcPr>
            <w:tcW w:w="1104" w:type="dxa"/>
            <w:gridSpan w:val="2"/>
          </w:tcPr>
          <w:p>
            <w:pPr>
              <w:pStyle w:val="nTable"/>
              <w:spacing w:after="40"/>
              <w:rPr>
                <w:sz w:val="19"/>
              </w:rPr>
            </w:pPr>
            <w:r>
              <w:rPr>
                <w:sz w:val="19"/>
              </w:rPr>
              <w:t>11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z w:val="19"/>
              </w:rPr>
              <w:t>1 Jul 2004 (see s. 2(2))</w:t>
            </w:r>
          </w:p>
        </w:tc>
      </w:tr>
      <w:tr>
        <w:trPr>
          <w:cantSplit/>
        </w:trPr>
        <w:tc>
          <w:tcPr>
            <w:tcW w:w="2184"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 </w:t>
            </w:r>
            <w:r>
              <w:rPr>
                <w:noProof/>
                <w:snapToGrid w:val="0"/>
                <w:sz w:val="19"/>
                <w:vertAlign w:val="superscript"/>
              </w:rPr>
              <w:t>42</w:t>
            </w:r>
          </w:p>
        </w:tc>
        <w:tc>
          <w:tcPr>
            <w:tcW w:w="1104" w:type="dxa"/>
            <w:gridSpan w:val="2"/>
          </w:tcPr>
          <w:p>
            <w:pPr>
              <w:pStyle w:val="nTable"/>
              <w:spacing w:after="40"/>
              <w:rPr>
                <w:sz w:val="19"/>
              </w:rPr>
            </w:pPr>
            <w:r>
              <w:rPr>
                <w:sz w:val="19"/>
              </w:rPr>
              <w:t>12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pacing w:val="-2"/>
                <w:sz w:val="19"/>
              </w:rPr>
              <w:t>Div. 1 and 4 (other than s. 26 and 32): 29 Jun 2004 (see s. 2(1));</w:t>
            </w:r>
            <w:r>
              <w:rPr>
                <w:spacing w:val="-2"/>
                <w:sz w:val="19"/>
              </w:rPr>
              <w:br/>
              <w:t>Div. 2 and 3 and s. 26 and 32: 1 Jul 2004 (see s. 2(2))</w:t>
            </w:r>
          </w:p>
        </w:tc>
      </w:tr>
      <w:tr>
        <w:trPr>
          <w:cantSplit/>
        </w:trPr>
        <w:tc>
          <w:tcPr>
            <w:tcW w:w="2184" w:type="dxa"/>
          </w:tcPr>
          <w:p>
            <w:pPr>
              <w:pStyle w:val="nTable"/>
              <w:spacing w:after="40"/>
              <w:rPr>
                <w:i/>
                <w:sz w:val="19"/>
              </w:rPr>
            </w:pPr>
            <w:r>
              <w:rPr>
                <w:i/>
                <w:snapToGrid w:val="0"/>
                <w:sz w:val="19"/>
                <w:lang w:val="en-US"/>
              </w:rPr>
              <w:t>Workers’ Compensation Reform Act 2004</w:t>
            </w:r>
            <w:r>
              <w:rPr>
                <w:snapToGrid w:val="0"/>
                <w:sz w:val="19"/>
                <w:lang w:val="en-US"/>
              </w:rPr>
              <w:t xml:space="preserve"> s. 174 </w:t>
            </w:r>
          </w:p>
        </w:tc>
        <w:tc>
          <w:tcPr>
            <w:tcW w:w="1104" w:type="dxa"/>
            <w:gridSpan w:val="2"/>
          </w:tcPr>
          <w:p>
            <w:pPr>
              <w:pStyle w:val="nTable"/>
              <w:spacing w:after="40"/>
              <w:rPr>
                <w:sz w:val="19"/>
              </w:rPr>
            </w:pPr>
            <w:r>
              <w:rPr>
                <w:snapToGrid w:val="0"/>
                <w:sz w:val="19"/>
                <w:lang w:val="en-US"/>
              </w:rPr>
              <w:t>42 of 2004</w:t>
            </w:r>
          </w:p>
        </w:tc>
        <w:tc>
          <w:tcPr>
            <w:tcW w:w="1151" w:type="dxa"/>
            <w:gridSpan w:val="2"/>
          </w:tcPr>
          <w:p>
            <w:pPr>
              <w:pStyle w:val="nTable"/>
              <w:spacing w:after="40"/>
              <w:rPr>
                <w:sz w:val="19"/>
              </w:rPr>
            </w:pPr>
            <w:r>
              <w:rPr>
                <w:sz w:val="19"/>
              </w:rPr>
              <w:t>9 Nov 2004</w:t>
            </w:r>
          </w:p>
        </w:tc>
        <w:tc>
          <w:tcPr>
            <w:tcW w:w="2546" w:type="dxa"/>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184" w:type="dxa"/>
          </w:tcPr>
          <w:p>
            <w:pPr>
              <w:pStyle w:val="nTable"/>
              <w:spacing w:after="40"/>
              <w:rPr>
                <w:i/>
                <w:noProof/>
                <w:snapToGrid w:val="0"/>
                <w:sz w:val="19"/>
                <w:vertAlign w:val="superscript"/>
              </w:rPr>
            </w:pPr>
            <w:r>
              <w:rPr>
                <w:i/>
                <w:sz w:val="19"/>
              </w:rPr>
              <w:t xml:space="preserve">Revenue Laws Amendment (Tax Relief) Act (No. 2) 2004 </w:t>
            </w:r>
            <w:r>
              <w:rPr>
                <w:sz w:val="19"/>
              </w:rPr>
              <w:t>Pt. 4 </w:t>
            </w:r>
            <w:r>
              <w:rPr>
                <w:sz w:val="19"/>
                <w:vertAlign w:val="superscript"/>
              </w:rPr>
              <w:t>43</w:t>
            </w:r>
          </w:p>
        </w:tc>
        <w:tc>
          <w:tcPr>
            <w:tcW w:w="1104" w:type="dxa"/>
            <w:gridSpan w:val="2"/>
          </w:tcPr>
          <w:p>
            <w:pPr>
              <w:pStyle w:val="nTable"/>
              <w:spacing w:after="40"/>
              <w:rPr>
                <w:sz w:val="19"/>
              </w:rPr>
            </w:pPr>
            <w:r>
              <w:rPr>
                <w:sz w:val="19"/>
              </w:rPr>
              <w:t>83 of 2004</w:t>
            </w:r>
          </w:p>
        </w:tc>
        <w:tc>
          <w:tcPr>
            <w:tcW w:w="1151" w:type="dxa"/>
            <w:gridSpan w:val="2"/>
          </w:tcPr>
          <w:p>
            <w:pPr>
              <w:pStyle w:val="nTable"/>
              <w:spacing w:after="40"/>
              <w:rPr>
                <w:sz w:val="19"/>
              </w:rPr>
            </w:pPr>
            <w:r>
              <w:rPr>
                <w:sz w:val="19"/>
              </w:rPr>
              <w:t>8 Dec 2004</w:t>
            </w:r>
          </w:p>
        </w:tc>
        <w:tc>
          <w:tcPr>
            <w:tcW w:w="2546" w:type="dxa"/>
          </w:tcPr>
          <w:p>
            <w:pPr>
              <w:pStyle w:val="nTable"/>
              <w:spacing w:after="40"/>
              <w:rPr>
                <w:spacing w:val="-2"/>
                <w:sz w:val="19"/>
              </w:rPr>
            </w:pPr>
            <w:r>
              <w:rPr>
                <w:sz w:val="19"/>
              </w:rPr>
              <w:t>8 Dec 2004 (see s. 2)</w:t>
            </w:r>
          </w:p>
        </w:tc>
      </w:tr>
      <w:tr>
        <w:trPr>
          <w:cantSplit/>
        </w:trPr>
        <w:tc>
          <w:tcPr>
            <w:tcW w:w="6985" w:type="dxa"/>
            <w:gridSpan w:val="6"/>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184" w:type="dxa"/>
          </w:tcPr>
          <w:p>
            <w:pPr>
              <w:pStyle w:val="nTable"/>
              <w:spacing w:after="40"/>
              <w:ind w:right="-32"/>
              <w:rPr>
                <w:sz w:val="19"/>
              </w:rPr>
            </w:pPr>
            <w:r>
              <w:rPr>
                <w:i/>
                <w:sz w:val="19"/>
              </w:rPr>
              <w:t>Revenue Laws Amendment Act 2005</w:t>
            </w:r>
            <w:r>
              <w:rPr>
                <w:sz w:val="19"/>
              </w:rPr>
              <w:br/>
              <w:t xml:space="preserve">Pt. 3 (s. 5-30) </w:t>
            </w:r>
            <w:r>
              <w:rPr>
                <w:sz w:val="19"/>
                <w:vertAlign w:val="superscript"/>
              </w:rPr>
              <w:t>44, 45</w:t>
            </w:r>
          </w:p>
        </w:tc>
        <w:tc>
          <w:tcPr>
            <w:tcW w:w="1043" w:type="dxa"/>
          </w:tcPr>
          <w:p>
            <w:pPr>
              <w:pStyle w:val="nTable"/>
              <w:spacing w:after="40"/>
              <w:rPr>
                <w:sz w:val="19"/>
              </w:rPr>
            </w:pPr>
            <w:r>
              <w:rPr>
                <w:sz w:val="19"/>
              </w:rPr>
              <w:t>11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s. 27 and 29: 1 Jan 2004 (see s. 2(3));</w:t>
            </w:r>
            <w:r>
              <w:rPr>
                <w:sz w:val="19"/>
              </w:rPr>
              <w:br/>
              <w:t>s. 28: 1 Jul 2004 (see s. 2(4));</w:t>
            </w:r>
            <w:r>
              <w:rPr>
                <w:sz w:val="19"/>
              </w:rPr>
              <w:br/>
              <w:t>s. 8, 11(1), 13(2) and (3) and 18</w:t>
            </w:r>
            <w:r>
              <w:rPr>
                <w:sz w:val="19"/>
              </w:rPr>
              <w:noBreakHyphen/>
              <w:t>25: 18 May 2005 (see s. 2(2));</w:t>
            </w:r>
            <w:r>
              <w:rPr>
                <w:sz w:val="19"/>
              </w:rPr>
              <w:br/>
              <w:t>balance: 30 Aug 2005 (see s. 2(1))</w:t>
            </w:r>
          </w:p>
        </w:tc>
      </w:tr>
      <w:tr>
        <w:trPr>
          <w:cantSplit/>
        </w:trPr>
        <w:tc>
          <w:tcPr>
            <w:tcW w:w="2184" w:type="dxa"/>
          </w:tcPr>
          <w:p>
            <w:pPr>
              <w:pStyle w:val="nTable"/>
              <w:spacing w:after="40"/>
              <w:rPr>
                <w:sz w:val="19"/>
              </w:rPr>
            </w:pPr>
            <w:r>
              <w:rPr>
                <w:i/>
                <w:sz w:val="19"/>
              </w:rPr>
              <w:t>Revenue Laws Amendment Act (No. 2) 2005</w:t>
            </w:r>
            <w:r>
              <w:rPr>
                <w:sz w:val="19"/>
              </w:rPr>
              <w:t xml:space="preserve"> Pt. 3</w:t>
            </w:r>
          </w:p>
        </w:tc>
        <w:tc>
          <w:tcPr>
            <w:tcW w:w="1043" w:type="dxa"/>
          </w:tcPr>
          <w:p>
            <w:pPr>
              <w:pStyle w:val="nTable"/>
              <w:spacing w:after="40"/>
              <w:rPr>
                <w:sz w:val="19"/>
              </w:rPr>
            </w:pPr>
            <w:r>
              <w:rPr>
                <w:sz w:val="19"/>
              </w:rPr>
              <w:t>12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30 Aug 2005 (see s. 2(1))</w:t>
            </w:r>
          </w:p>
        </w:tc>
      </w:tr>
      <w:tr>
        <w:trPr>
          <w:cantSplit/>
        </w:trPr>
        <w:tc>
          <w:tcPr>
            <w:tcW w:w="2184" w:type="dxa"/>
          </w:tcPr>
          <w:p>
            <w:pPr>
              <w:pStyle w:val="nTable"/>
              <w:spacing w:after="40"/>
              <w:rPr>
                <w:sz w:val="19"/>
              </w:rPr>
            </w:pPr>
            <w:r>
              <w:rPr>
                <w:i/>
                <w:sz w:val="19"/>
              </w:rPr>
              <w:t>Stamp Amendment Act 2005</w:t>
            </w:r>
            <w:r>
              <w:rPr>
                <w:sz w:val="19"/>
              </w:rPr>
              <w:t> </w:t>
            </w:r>
            <w:r>
              <w:rPr>
                <w:sz w:val="19"/>
                <w:vertAlign w:val="superscript"/>
              </w:rPr>
              <w:t>46, 47</w:t>
            </w:r>
          </w:p>
        </w:tc>
        <w:tc>
          <w:tcPr>
            <w:tcW w:w="1043" w:type="dxa"/>
          </w:tcPr>
          <w:p>
            <w:pPr>
              <w:pStyle w:val="nTable"/>
              <w:spacing w:after="40"/>
              <w:rPr>
                <w:sz w:val="19"/>
              </w:rPr>
            </w:pPr>
            <w:r>
              <w:rPr>
                <w:sz w:val="19"/>
              </w:rPr>
              <w:t>34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19"/>
              </w:rPr>
            </w:pPr>
            <w:r>
              <w:rPr>
                <w:sz w:val="19"/>
              </w:rPr>
              <w:t>Act</w:t>
            </w:r>
            <w:r>
              <w:rPr>
                <w:sz w:val="20"/>
              </w:rPr>
              <w:t xml:space="preserve"> other than Pt. 3: 12 Dec 2005 (see s. 2(1));</w:t>
            </w:r>
            <w:r>
              <w:rPr>
                <w:sz w:val="20"/>
              </w:rPr>
              <w:br/>
              <w:t>Pt. 3: 1 Jan 2006 (see s. 2(2))</w:t>
            </w:r>
          </w:p>
        </w:tc>
      </w:tr>
      <w:tr>
        <w:trPr>
          <w:cantSplit/>
        </w:trPr>
        <w:tc>
          <w:tcPr>
            <w:tcW w:w="2184" w:type="dxa"/>
          </w:tcPr>
          <w:p>
            <w:pPr>
              <w:pStyle w:val="nTable"/>
              <w:spacing w:after="40"/>
              <w:rPr>
                <w:i/>
                <w:sz w:val="19"/>
              </w:rPr>
            </w:pPr>
            <w:r>
              <w:rPr>
                <w:i/>
                <w:sz w:val="19"/>
              </w:rPr>
              <w:t>Stamp Amendment (Taxing) Act 2005</w:t>
            </w:r>
          </w:p>
        </w:tc>
        <w:tc>
          <w:tcPr>
            <w:tcW w:w="1043" w:type="dxa"/>
          </w:tcPr>
          <w:p>
            <w:pPr>
              <w:pStyle w:val="nTable"/>
              <w:spacing w:after="40"/>
              <w:rPr>
                <w:sz w:val="19"/>
              </w:rPr>
            </w:pPr>
            <w:r>
              <w:rPr>
                <w:sz w:val="19"/>
              </w:rPr>
              <w:t>35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20"/>
              </w:rPr>
            </w:pPr>
            <w:r>
              <w:rPr>
                <w:sz w:val="20"/>
              </w:rPr>
              <w:t xml:space="preserve">1 Mar 2006 (see s. 2 and </w:t>
            </w:r>
            <w:r>
              <w:rPr>
                <w:i/>
                <w:iCs/>
                <w:sz w:val="20"/>
              </w:rPr>
              <w:t>Gazette</w:t>
            </w:r>
            <w:r>
              <w:rPr>
                <w:sz w:val="20"/>
              </w:rPr>
              <w:t xml:space="preserve"> 24 Jan 2006 p. 429)</w:t>
            </w:r>
          </w:p>
        </w:tc>
      </w:tr>
      <w:tr>
        <w:trPr>
          <w:cantSplit/>
        </w:trPr>
        <w:tc>
          <w:tcPr>
            <w:tcW w:w="2184" w:type="dxa"/>
          </w:tcPr>
          <w:p>
            <w:pPr>
              <w:pStyle w:val="nTable"/>
              <w:spacing w:after="40"/>
              <w:rPr>
                <w:sz w:val="19"/>
              </w:rPr>
            </w:pPr>
            <w:r>
              <w:rPr>
                <w:i/>
                <w:sz w:val="19"/>
              </w:rPr>
              <w:t>Stamp Amendment (Assessment) Act 2005</w:t>
            </w:r>
            <w:r>
              <w:rPr>
                <w:sz w:val="19"/>
              </w:rPr>
              <w:t xml:space="preserve"> </w:t>
            </w:r>
            <w:r>
              <w:rPr>
                <w:sz w:val="19"/>
                <w:vertAlign w:val="superscript"/>
              </w:rPr>
              <w:t>48</w:t>
            </w:r>
          </w:p>
        </w:tc>
        <w:tc>
          <w:tcPr>
            <w:tcW w:w="1043" w:type="dxa"/>
          </w:tcPr>
          <w:p>
            <w:pPr>
              <w:pStyle w:val="nTable"/>
              <w:spacing w:after="40"/>
              <w:rPr>
                <w:sz w:val="19"/>
              </w:rPr>
            </w:pPr>
            <w:r>
              <w:rPr>
                <w:sz w:val="19"/>
              </w:rPr>
              <w:t>36 of 2005</w:t>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s. 5: 1 Jul 1997 (see s. 2(2));</w:t>
            </w:r>
            <w:r>
              <w:rPr>
                <w:sz w:val="19"/>
              </w:rPr>
              <w:br/>
              <w:t>s. 1-4 and 7: 12 Dec 2005 (see s. 2(1));</w:t>
            </w:r>
            <w:r>
              <w:rPr>
                <w:sz w:val="19"/>
              </w:rPr>
              <w:br/>
              <w:t xml:space="preserve">s. 6 and 8: 1 Mar 2006 (see s. 2(3) and </w:t>
            </w:r>
            <w:r>
              <w:rPr>
                <w:i/>
                <w:iCs/>
                <w:sz w:val="19"/>
              </w:rPr>
              <w:t>Gazette</w:t>
            </w:r>
            <w:r>
              <w:rPr>
                <w:sz w:val="19"/>
              </w:rPr>
              <w:t xml:space="preserve"> 24 Jan 2006 p. 429)</w:t>
            </w:r>
          </w:p>
        </w:tc>
      </w:tr>
      <w:tr>
        <w:trPr>
          <w:cantSplit/>
        </w:trPr>
        <w:tc>
          <w:tcPr>
            <w:tcW w:w="2184" w:type="dxa"/>
          </w:tcPr>
          <w:p>
            <w:pPr>
              <w:pStyle w:val="nTable"/>
              <w:spacing w:after="40"/>
              <w:rPr>
                <w:i/>
                <w:sz w:val="19"/>
              </w:rPr>
            </w:pPr>
            <w:r>
              <w:rPr>
                <w:i/>
                <w:sz w:val="19"/>
              </w:rPr>
              <w:t>Planning and Development (Consequential and Transitional Provisions) Act 2005</w:t>
            </w:r>
            <w:r>
              <w:rPr>
                <w:sz w:val="19"/>
              </w:rPr>
              <w:t xml:space="preserve"> s. 15</w:t>
            </w:r>
          </w:p>
        </w:tc>
        <w:tc>
          <w:tcPr>
            <w:tcW w:w="1043" w:type="dxa"/>
          </w:tcPr>
          <w:p>
            <w:pPr>
              <w:pStyle w:val="nTable"/>
              <w:spacing w:after="40"/>
              <w:rPr>
                <w:sz w:val="19"/>
              </w:rPr>
            </w:pPr>
            <w:r>
              <w:rPr>
                <w:sz w:val="19"/>
              </w:rPr>
              <w:t>38 of 2005</w:t>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 xml:space="preserve">9 Apr 2006 (see s. 2 and </w:t>
            </w:r>
            <w:r>
              <w:rPr>
                <w:i/>
                <w:iCs/>
                <w:sz w:val="19"/>
              </w:rPr>
              <w:t>Gazette</w:t>
            </w:r>
            <w:r>
              <w:rPr>
                <w:sz w:val="19"/>
              </w:rPr>
              <w:t xml:space="preserve"> 21 Mar 2006 p. 1078)</w:t>
            </w:r>
          </w:p>
        </w:tc>
      </w:tr>
      <w:tr>
        <w:trPr>
          <w:cantSplit/>
        </w:trPr>
        <w:tc>
          <w:tcPr>
            <w:tcW w:w="6985" w:type="dxa"/>
            <w:gridSpan w:val="6"/>
            <w:tcBorders>
              <w:bottom w:val="single" w:sz="4" w:space="0" w:color="auto"/>
            </w:tcBorders>
          </w:tcPr>
          <w:p>
            <w:pPr>
              <w:pStyle w:val="nTable"/>
              <w:spacing w:before="0" w:after="40"/>
              <w:rPr>
                <w:b/>
                <w:bCs/>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419" w:name="_Hlt507390729"/>
      <w:bookmarkEnd w:id="2419"/>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420" w:name="_Toc134854837"/>
      <w:bookmarkStart w:id="2421" w:name="_Toc136841290"/>
      <w:r>
        <w:rPr>
          <w:snapToGrid w:val="0"/>
        </w:rPr>
        <w:t>Provisions that have not come into operation</w:t>
      </w:r>
      <w:bookmarkEnd w:id="2420"/>
      <w:bookmarkEnd w:id="2421"/>
    </w:p>
    <w:tbl>
      <w:tblPr>
        <w:tblW w:w="7087"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30 </w:t>
            </w:r>
            <w:r>
              <w:rPr>
                <w:sz w:val="19"/>
                <w:vertAlign w:val="superscript"/>
              </w:rPr>
              <w:t>49</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rPr>
          <w:i/>
        </w:rPr>
      </w:pPr>
      <w:r>
        <w:rPr>
          <w:vertAlign w:val="superscript"/>
        </w:rPr>
        <w:t>2</w:t>
      </w:r>
      <w:r>
        <w:tab/>
        <w:t xml:space="preserve">Repealed by the </w:t>
      </w:r>
      <w:r>
        <w:rPr>
          <w:i/>
        </w:rPr>
        <w:t>Mining Act 1978.</w:t>
      </w:r>
    </w:p>
    <w:p>
      <w:pPr>
        <w:pStyle w:val="nSubsection"/>
        <w:keepNext/>
        <w:rPr>
          <w:snapToGrid w:val="0"/>
        </w:rPr>
      </w:pPr>
      <w:r>
        <w:rPr>
          <w:snapToGrid w:val="0"/>
          <w:vertAlign w:val="superscript"/>
        </w:rPr>
        <w:t>3</w:t>
      </w:r>
      <w:r>
        <w:rPr>
          <w:snapToGrid w:val="0"/>
        </w:rPr>
        <w:tab/>
        <w:t xml:space="preserve">The </w:t>
      </w:r>
      <w:r>
        <w:rPr>
          <w:i/>
          <w:snapToGrid w:val="0"/>
        </w:rPr>
        <w:t>Stamp Amendment Act (No. 2) 1994</w:t>
      </w:r>
      <w:r>
        <w:rPr>
          <w:snapToGrid w:val="0"/>
        </w:rPr>
        <w:t xml:space="preserve"> s. 4(2)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An exemption or refund may be allowed under Part IIIBAA of the principal Act as inserted by this section in respect of an instrument executed on or after the day on which this Act comes into operation.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rPr>
          <w:iCs/>
          <w:snapToGrid w:val="0"/>
        </w:rPr>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iCs/>
          <w:snapToGrid w:val="0"/>
        </w:rPr>
        <w:t>Stamp Act Amendment Act (No. 2) 1952</w:t>
      </w:r>
      <w:r>
        <w:rPr>
          <w:snapToGrid w:val="0"/>
        </w:rPr>
        <w:t xml:space="preserve"> was repealed by the </w:t>
      </w:r>
      <w:r>
        <w:rPr>
          <w:i/>
          <w:iCs/>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was repealed by the </w:t>
      </w:r>
      <w:r>
        <w:rPr>
          <w:i/>
          <w:snapToGrid w:val="0"/>
        </w:rPr>
        <w:t>Taxation Administration (Consequential Provisions) Act 2002</w:t>
      </w:r>
      <w:r>
        <w:rPr>
          <w:snapToGrid w:val="0"/>
        </w:rPr>
        <w:t xml:space="preserve"> s. 28(3).</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7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If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a person is required or permitted, or could be required or permitted, to take an action under both the State taxing law and the corresponding applied law in relation to the event, state of affairs or transaction;</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then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7 — Stamp duty</w:t>
      </w:r>
    </w:p>
    <w:p>
      <w:pPr>
        <w:pStyle w:val="nzHeading3"/>
      </w:pPr>
      <w:r>
        <w:rPr>
          <w:rStyle w:val="CharDivNo"/>
        </w:rPr>
        <w:t>Division 1</w:t>
      </w:r>
      <w:r>
        <w:t xml:space="preserve"> — </w:t>
      </w:r>
      <w:r>
        <w:rPr>
          <w:rStyle w:val="CharDivText"/>
        </w:rPr>
        <w:t>The</w:t>
      </w:r>
      <w:r>
        <w:rPr>
          <w:rStyle w:val="CharDivText"/>
          <w:i/>
        </w:rPr>
        <w:t xml:space="preserve"> Stamp Act 1921</w:t>
      </w:r>
    </w:p>
    <w:p>
      <w:pPr>
        <w:pStyle w:val="nzHeading5"/>
        <w:rPr>
          <w:i/>
        </w:rPr>
      </w:pPr>
      <w:r>
        <w:rPr>
          <w:rStyle w:val="CharSectno"/>
        </w:rPr>
        <w:t>57</w:t>
      </w:r>
      <w:r>
        <w:t>.</w:t>
      </w:r>
      <w:r>
        <w:tab/>
      </w:r>
      <w:r>
        <w:rPr>
          <w:rStyle w:val="CharSectno"/>
        </w:rPr>
        <w:t>Modification</w:t>
      </w:r>
      <w:r>
        <w:t xml:space="preserve"> of the </w:t>
      </w:r>
      <w:r>
        <w:rPr>
          <w:i/>
        </w:rPr>
        <w:t>Stamp Act 1921</w:t>
      </w:r>
    </w:p>
    <w:p>
      <w:pPr>
        <w:pStyle w:val="nzSubsection"/>
      </w:pPr>
      <w:r>
        <w:tab/>
      </w:r>
      <w:r>
        <w:tab/>
        <w:t xml:space="preserve">This Division sets out modifications of the </w:t>
      </w:r>
      <w:r>
        <w:rPr>
          <w:i/>
        </w:rPr>
        <w:t>Stamp Act 1921</w:t>
      </w:r>
      <w:r>
        <w:t>.</w:t>
      </w:r>
    </w:p>
    <w:p>
      <w:pPr>
        <w:pStyle w:val="nzHeading5"/>
      </w:pPr>
      <w:r>
        <w:rPr>
          <w:rStyle w:val="CharSectno"/>
        </w:rPr>
        <w:t>58</w:t>
      </w:r>
      <w:r>
        <w:t>.</w:t>
      </w:r>
      <w:r>
        <w:tab/>
      </w:r>
      <w:r>
        <w:rPr>
          <w:rStyle w:val="CharSectno"/>
        </w:rPr>
        <w:t>Section</w:t>
      </w:r>
      <w:r>
        <w:t> 2 inserted</w:t>
      </w:r>
    </w:p>
    <w:p>
      <w:pPr>
        <w:pStyle w:val="nzSubsection"/>
      </w:pPr>
      <w:r>
        <w:tab/>
      </w:r>
      <w:r>
        <w:tab/>
        <w:t>After section 1 the following section is inserted —</w:t>
      </w:r>
    </w:p>
    <w:p>
      <w:pPr>
        <w:pStyle w:val="MiscOpen"/>
        <w:spacing w:before="0"/>
        <w:ind w:left="601"/>
      </w:pPr>
      <w:r>
        <w:t>“</w:t>
      </w:r>
    </w:p>
    <w:p>
      <w:pPr>
        <w:pStyle w:val="nzMiscellaneousHeading"/>
        <w:tabs>
          <w:tab w:val="left" w:pos="1134"/>
          <w:tab w:val="left" w:pos="1985"/>
        </w:tabs>
        <w:spacing w:before="0"/>
        <w:ind w:left="1985" w:hanging="1418"/>
        <w:jc w:val="left"/>
        <w:rPr>
          <w:b/>
        </w:rPr>
      </w:pPr>
      <w:r>
        <w:rPr>
          <w:b/>
        </w:rPr>
        <w:tab/>
        <w:t>2.</w:t>
      </w:r>
      <w:r>
        <w:rPr>
          <w:b/>
        </w:rPr>
        <w:tab/>
        <w:t>Application of Act in non</w:t>
      </w:r>
      <w:r>
        <w:rPr>
          <w:b/>
        </w:rPr>
        <w:noBreakHyphen/>
        <w:t>Commonwealth places</w:t>
      </w:r>
    </w:p>
    <w:p>
      <w:pPr>
        <w:pStyle w:val="nzMiscellaneousBody"/>
        <w:tabs>
          <w:tab w:val="left" w:pos="1418"/>
          <w:tab w:val="left" w:pos="1985"/>
        </w:tabs>
        <w:ind w:left="1985" w:hanging="1418"/>
      </w:pPr>
      <w:r>
        <w:tab/>
        <w:t>(1)</w:t>
      </w:r>
      <w:r>
        <w:tab/>
        <w:t>In this Act, unless the contrary intention appears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ind w:left="2552" w:hanging="1985"/>
      </w:pPr>
      <w:r>
        <w:tab/>
        <w:t>(b)</w:t>
      </w:r>
      <w:r>
        <w:tab/>
        <w:t>a reference to the regulations is to be read as a reference to those regulations in their application as a law of Western Australia;</w:t>
      </w:r>
    </w:p>
    <w:p>
      <w:pPr>
        <w:pStyle w:val="nzMiscellaneousBody"/>
        <w:tabs>
          <w:tab w:val="left" w:pos="1985"/>
          <w:tab w:val="left" w:pos="2552"/>
        </w:tabs>
        <w:ind w:left="2552" w:hanging="1985"/>
      </w:pPr>
      <w:r>
        <w:tab/>
        <w:t>(c)</w:t>
      </w:r>
      <w:r>
        <w:tab/>
        <w:t xml:space="preserve">a reference to the </w:t>
      </w:r>
      <w:r>
        <w:rPr>
          <w:i/>
        </w:rPr>
        <w:t>Revenue Laws Amendment (Assessment) Act 2000</w:t>
      </w:r>
      <w:r>
        <w:t xml:space="preserve"> is to be read as a reference to that Act in its application as a law of Western Australia;</w:t>
      </w:r>
    </w:p>
    <w:p>
      <w:pPr>
        <w:pStyle w:val="nzMiscellaneousBody"/>
        <w:tabs>
          <w:tab w:val="left" w:pos="1985"/>
          <w:tab w:val="left" w:pos="2552"/>
        </w:tabs>
        <w:ind w:left="2552" w:hanging="1985"/>
      </w:pPr>
      <w:r>
        <w:tab/>
        <w:t>(d)</w:t>
      </w:r>
      <w:r>
        <w:tab/>
        <w:t xml:space="preserve">a reference to the </w:t>
      </w:r>
      <w:r>
        <w:rPr>
          <w:i/>
        </w:rPr>
        <w:t xml:space="preserve">Stamp Act Amendment Act 1979 </w:t>
      </w:r>
      <w:r>
        <w:t>is to be read as a reference to that Act in its application as a law of Western Australia;</w:t>
      </w:r>
    </w:p>
    <w:p>
      <w:pPr>
        <w:pStyle w:val="nzMiscellaneousBody"/>
        <w:tabs>
          <w:tab w:val="left" w:pos="1985"/>
          <w:tab w:val="left" w:pos="2552"/>
        </w:tabs>
        <w:ind w:left="2552" w:hanging="1985"/>
      </w:pPr>
      <w:r>
        <w:tab/>
        <w:t>(e)</w:t>
      </w:r>
      <w:r>
        <w:tab/>
        <w:t xml:space="preserve">a reference to the </w:t>
      </w:r>
      <w:r>
        <w:rPr>
          <w:i/>
        </w:rPr>
        <w:t xml:space="preserve">Taxation (Reciprocal Powers) Act 1989 </w:t>
      </w:r>
      <w:r>
        <w:t>is to be read as a reference to that Act in its application as a law of Western Australia;</w:t>
      </w:r>
    </w:p>
    <w:p>
      <w:pPr>
        <w:pStyle w:val="nzMiscellaneousBody"/>
        <w:tabs>
          <w:tab w:val="left" w:pos="1985"/>
          <w:tab w:val="left" w:pos="2552"/>
        </w:tabs>
        <w:ind w:left="2552" w:hanging="1985"/>
      </w:pPr>
      <w:r>
        <w:tab/>
        <w:t>(f)</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Stamp Act as a single body of law.</w:t>
      </w:r>
    </w:p>
    <w:p>
      <w:pPr>
        <w:pStyle w:val="nzMiscellaneousBody"/>
        <w:tabs>
          <w:tab w:val="left" w:pos="1418"/>
          <w:tab w:val="left" w:pos="1985"/>
        </w:tabs>
        <w:ind w:left="1985" w:hanging="1418"/>
      </w:pPr>
      <w:r>
        <w:tab/>
        <w:t>(3)</w:t>
      </w:r>
      <w:r>
        <w:tab/>
        <w:t>If this Act requires any duty paid or payable in another State or a Territory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ind w:right="577"/>
      </w:pPr>
      <w:r>
        <w:t xml:space="preserve">    ”.</w:t>
      </w:r>
    </w:p>
    <w:p>
      <w:pPr>
        <w:pStyle w:val="nzHeading5"/>
      </w:pPr>
      <w:r>
        <w:rPr>
          <w:rStyle w:val="CharSectno"/>
        </w:rPr>
        <w:t>59</w:t>
      </w:r>
      <w:r>
        <w:t>.</w:t>
      </w:r>
      <w:r>
        <w:tab/>
      </w:r>
      <w:r>
        <w:rPr>
          <w:rStyle w:val="CharSectno"/>
        </w:rPr>
        <w:t>Section</w:t>
      </w:r>
      <w:r>
        <w:t> 4 modified</w:t>
      </w:r>
    </w:p>
    <w:p>
      <w:pPr>
        <w:pStyle w:val="nzSubsection"/>
      </w:pPr>
      <w:r>
        <w:tab/>
      </w:r>
      <w:r>
        <w:tab/>
        <w:t>Section 4(1) is modified by inserting the following definitions in their appropriate alphabetical positions —</w:t>
      </w:r>
    </w:p>
    <w:p>
      <w:pPr>
        <w:pStyle w:val="MiscOpen"/>
        <w:spacing w:before="0"/>
        <w:ind w:left="601"/>
      </w:pPr>
      <w:r>
        <w:t>“</w:t>
      </w:r>
    </w:p>
    <w:p>
      <w:pPr>
        <w:pStyle w:val="nzMiscellaneousBody"/>
        <w:tabs>
          <w:tab w:val="left" w:pos="1418"/>
          <w:tab w:val="left" w:pos="1985"/>
        </w:tabs>
        <w:spacing w:before="0"/>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the applied Stamp Act applies, or is taken to have applied, under the Commonwealth Mirror Taxes Act;</w:t>
      </w:r>
    </w:p>
    <w:p>
      <w:pPr>
        <w:pStyle w:val="MiscClose"/>
        <w:ind w:right="577"/>
      </w:pPr>
      <w:r>
        <w:t xml:space="preserve">    ”.</w:t>
      </w:r>
    </w:p>
    <w:p>
      <w:pPr>
        <w:pStyle w:val="nzHeading5"/>
      </w:pPr>
      <w:r>
        <w:rPr>
          <w:rStyle w:val="CharSectno"/>
        </w:rPr>
        <w:t>60</w:t>
      </w:r>
      <w:r>
        <w:t>.</w:t>
      </w:r>
      <w:r>
        <w:tab/>
      </w:r>
      <w:r>
        <w:rPr>
          <w:rStyle w:val="CharSectno"/>
        </w:rPr>
        <w:t>Section</w:t>
      </w:r>
      <w:r>
        <w:t> 4AA inserted</w:t>
      </w:r>
    </w:p>
    <w:p>
      <w:pPr>
        <w:pStyle w:val="nzSubsection"/>
      </w:pPr>
      <w:r>
        <w:tab/>
      </w:r>
      <w:r>
        <w:tab/>
        <w:t>After section 4 the following section is inserted —</w:t>
      </w:r>
    </w:p>
    <w:p>
      <w:pPr>
        <w:pStyle w:val="MiscOpen"/>
        <w:spacing w:before="0"/>
        <w:ind w:left="601"/>
      </w:pPr>
      <w:r>
        <w:t>“</w:t>
      </w:r>
    </w:p>
    <w:p>
      <w:pPr>
        <w:pStyle w:val="nzMiscellaneousHeading"/>
        <w:tabs>
          <w:tab w:val="left" w:pos="1134"/>
          <w:tab w:val="left" w:pos="1985"/>
        </w:tabs>
        <w:spacing w:before="0"/>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If an instrument or 2 or more instruments is, are or may be liable for duty under both this Act and the applied Stamp Act, the amount of duty payable is calculated by reference to the amount equal to the sum of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applied Stamp Act.</w:t>
      </w:r>
    </w:p>
    <w:p>
      <w:pPr>
        <w:pStyle w:val="nzMiscellaneousBody"/>
        <w:tabs>
          <w:tab w:val="left" w:pos="1418"/>
          <w:tab w:val="left" w:pos="1985"/>
        </w:tabs>
        <w:ind w:left="1985" w:hanging="1418"/>
      </w:pPr>
      <w:r>
        <w:tab/>
        <w:t>(2)</w:t>
      </w:r>
      <w:r>
        <w:tab/>
        <w:t>The amount of duty payable on the instrument or instruments under this Act is the amount calculated under subsection (1) minus any amount paid or payable under the applied Stamp Act.</w:t>
      </w:r>
    </w:p>
    <w:p>
      <w:pPr>
        <w:pStyle w:val="MiscClose"/>
        <w:ind w:right="577"/>
      </w:pPr>
      <w:r>
        <w:t xml:space="preserve">    ”.</w:t>
      </w:r>
    </w:p>
    <w:p>
      <w:pPr>
        <w:pStyle w:val="nzHeading5"/>
      </w:pPr>
      <w:r>
        <w:rPr>
          <w:rStyle w:val="CharSectno"/>
        </w:rPr>
        <w:t>61</w:t>
      </w:r>
      <w:r>
        <w:t>.</w:t>
      </w:r>
      <w:r>
        <w:tab/>
      </w:r>
      <w:r>
        <w:rPr>
          <w:rStyle w:val="CharSectno"/>
        </w:rPr>
        <w:t>Section</w:t>
      </w:r>
      <w:r>
        <w:t> 8 modified</w:t>
      </w:r>
    </w:p>
    <w:p>
      <w:pPr>
        <w:pStyle w:val="nzSubsection"/>
      </w:pPr>
      <w:r>
        <w:tab/>
        <w:t>(1)</w:t>
      </w:r>
      <w:r>
        <w:tab/>
        <w:t>Section 8 is modified by inserting before “The” the subsection designation “(1)”.</w:t>
      </w:r>
    </w:p>
    <w:p>
      <w:pPr>
        <w:pStyle w:val="nzSubsection"/>
      </w:pPr>
      <w:r>
        <w:tab/>
        <w:t>(2)</w:t>
      </w:r>
      <w:r>
        <w:tab/>
        <w:t>At the end of section 8 the following subsection is inserted —</w:t>
      </w:r>
    </w:p>
    <w:p>
      <w:pPr>
        <w:pStyle w:val="MiscOpen"/>
        <w:spacing w:before="0"/>
        <w:ind w:left="601"/>
      </w:pPr>
      <w:r>
        <w:t>“</w:t>
      </w:r>
    </w:p>
    <w:p>
      <w:pPr>
        <w:pStyle w:val="nzMiscellaneousBody"/>
        <w:tabs>
          <w:tab w:val="left" w:pos="1134"/>
          <w:tab w:val="left" w:pos="1701"/>
        </w:tabs>
        <w:ind w:left="1701" w:hanging="1134"/>
      </w:pPr>
      <w:r>
        <w:tab/>
        <w:t>(2)</w:t>
      </w:r>
      <w:r>
        <w:tab/>
        <w:t>The Commissioner may use for the purposes of any other Act administered by the Commissioner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pPr>
      <w:r>
        <w:rPr>
          <w:rStyle w:val="CharSectno"/>
        </w:rPr>
        <w:t>62</w:t>
      </w:r>
      <w:r>
        <w:t>.</w:t>
      </w:r>
      <w:r>
        <w:tab/>
      </w:r>
      <w:r>
        <w:rPr>
          <w:rStyle w:val="CharSectno"/>
        </w:rPr>
        <w:t>Section</w:t>
      </w:r>
      <w:r>
        <w:t>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 w:val="left" w:pos="2552"/>
        </w:tabs>
        <w:ind w:left="2552" w:hanging="1985"/>
      </w:pPr>
      <w:r>
        <w:tab/>
        <w:t>“    or the applied Stamp Act    ”;</w:t>
      </w:r>
    </w:p>
    <w:p>
      <w:pPr>
        <w:pStyle w:val="nzIndenta"/>
        <w:keepNext/>
      </w:pPr>
      <w:r>
        <w:tab/>
        <w:t>(b)</w:t>
      </w:r>
      <w:r>
        <w:tab/>
        <w:t>in paragraph (b) by inserting after “this Act” —</w:t>
      </w:r>
    </w:p>
    <w:p>
      <w:pPr>
        <w:pStyle w:val="nzMiscellaneousBody"/>
        <w:tabs>
          <w:tab w:val="left" w:pos="2268"/>
          <w:tab w:val="left" w:pos="2552"/>
        </w:tabs>
        <w:ind w:left="2552" w:hanging="1985"/>
      </w:pPr>
      <w:r>
        <w:tab/>
        <w:t>“    or the applied Stamp Act    ”.</w:t>
      </w:r>
    </w:p>
    <w:p>
      <w:pPr>
        <w:pStyle w:val="nzHeading5"/>
      </w:pPr>
      <w:r>
        <w:rPr>
          <w:rStyle w:val="CharSectno"/>
        </w:rPr>
        <w:t>63</w:t>
      </w:r>
      <w:r>
        <w:t>.</w:t>
      </w:r>
      <w:r>
        <w:tab/>
      </w:r>
      <w:r>
        <w:rPr>
          <w:rStyle w:val="CharSectno"/>
        </w:rPr>
        <w:t>Section</w:t>
      </w:r>
      <w:r>
        <w:t> 31B modified</w:t>
      </w:r>
    </w:p>
    <w:p>
      <w:pPr>
        <w:pStyle w:val="nzSubsection"/>
      </w:pPr>
      <w:r>
        <w:tab/>
      </w:r>
      <w:r>
        <w:tab/>
        <w:t>Section 31B(5) is modified by deleting “the law of another State or of a Territory” and inserting instead —</w:t>
      </w:r>
    </w:p>
    <w:p>
      <w:pPr>
        <w:pStyle w:val="MiscOpen"/>
        <w:spacing w:before="0"/>
        <w:ind w:left="601"/>
      </w:pPr>
      <w:r>
        <w:t>“</w:t>
      </w:r>
    </w:p>
    <w:p>
      <w:pPr>
        <w:pStyle w:val="nzMiscellaneousBody"/>
        <w:tabs>
          <w:tab w:val="left" w:pos="1134"/>
        </w:tabs>
        <w:ind w:left="1134" w:hanging="567"/>
      </w:pPr>
      <w:r>
        <w:tab/>
        <w:t>the applied Stamp Act or a law in force in another State or a Territory, including an applied interstate law</w:t>
      </w:r>
    </w:p>
    <w:p>
      <w:pPr>
        <w:pStyle w:val="MiscClose"/>
        <w:ind w:right="577"/>
      </w:pPr>
      <w:r>
        <w:t xml:space="preserve">    ”.</w:t>
      </w:r>
    </w:p>
    <w:p>
      <w:pPr>
        <w:pStyle w:val="nzHeading5"/>
      </w:pPr>
      <w:r>
        <w:rPr>
          <w:rStyle w:val="CharSectno"/>
        </w:rPr>
        <w:t>64</w:t>
      </w:r>
      <w:r>
        <w:t>.</w:t>
      </w:r>
      <w:r>
        <w:tab/>
      </w:r>
      <w:r>
        <w:rPr>
          <w:rStyle w:val="CharSectno"/>
        </w:rPr>
        <w:t>Section</w:t>
      </w:r>
      <w:r>
        <w:t> 73D modified</w:t>
      </w:r>
    </w:p>
    <w:p>
      <w:pPr>
        <w:pStyle w:val="nzSubsection"/>
      </w:pPr>
      <w:r>
        <w:tab/>
      </w:r>
      <w:r>
        <w:tab/>
        <w:t>Section 73D(6a)(b) is modified by deleting “in another jurisdiction” and inserting instead —</w:t>
      </w:r>
    </w:p>
    <w:p>
      <w:pPr>
        <w:pStyle w:val="nzSubsection"/>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65</w:t>
      </w:r>
      <w:r>
        <w:t>.</w:t>
      </w:r>
      <w:r>
        <w:tab/>
      </w:r>
      <w:r>
        <w:rPr>
          <w:rStyle w:val="CharSectno"/>
        </w:rPr>
        <w:t>Section</w:t>
      </w:r>
      <w:r>
        <w:t> 75AE modified</w:t>
      </w:r>
    </w:p>
    <w:p>
      <w:pPr>
        <w:pStyle w:val="nzSubsection"/>
      </w:pPr>
      <w:r>
        <w:tab/>
      </w:r>
      <w:r>
        <w:tab/>
        <w:t>After subsection 75AE(2) the following subsection is inserted —</w:t>
      </w:r>
    </w:p>
    <w:p>
      <w:pPr>
        <w:pStyle w:val="MiscOpen"/>
        <w:spacing w:before="0"/>
        <w:ind w:left="601"/>
      </w:pPr>
      <w:r>
        <w:t>“</w:t>
      </w:r>
    </w:p>
    <w:p>
      <w:pPr>
        <w:pStyle w:val="nzMiscellaneousBody"/>
        <w:tabs>
          <w:tab w:val="left" w:pos="1134"/>
          <w:tab w:val="left" w:pos="1701"/>
        </w:tabs>
        <w:ind w:left="1701" w:hanging="1134"/>
      </w:pPr>
      <w:r>
        <w:tab/>
        <w:t>(2a)</w:t>
      </w:r>
      <w:r>
        <w:tab/>
        <w:t>For the purposes of subsection (2)(b), if duty is or may be payable on the instrument of conveyance or transfer of property both under this Act and the applied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rPr>
          <w:rStyle w:val="CharSectno"/>
        </w:rPr>
        <w:t>66</w:t>
      </w:r>
      <w:r>
        <w:t>.</w:t>
      </w:r>
      <w:r>
        <w:tab/>
      </w:r>
      <w:r>
        <w:rPr>
          <w:rStyle w:val="CharSectno"/>
        </w:rPr>
        <w:t>Section</w:t>
      </w:r>
      <w:r>
        <w:t> 76AH modified</w:t>
      </w:r>
    </w:p>
    <w:p>
      <w:pPr>
        <w:pStyle w:val="nzSubsection"/>
      </w:pPr>
      <w:r>
        <w:tab/>
      </w:r>
      <w:r>
        <w:tab/>
        <w:t>Section 76AH(4)(b) is modified by deleting “in another jurisdiction” and inserting instead —</w:t>
      </w:r>
    </w:p>
    <w:p>
      <w:pPr>
        <w:pStyle w:val="MiscOpen"/>
        <w:spacing w:before="0"/>
        <w:ind w:left="601"/>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67</w:t>
      </w:r>
      <w:r>
        <w:t>.</w:t>
      </w:r>
      <w:r>
        <w:tab/>
      </w:r>
      <w:r>
        <w:rPr>
          <w:rStyle w:val="CharSectno"/>
        </w:rPr>
        <w:t>Section</w:t>
      </w:r>
      <w:r>
        <w:t> 76AO modified</w:t>
      </w:r>
    </w:p>
    <w:p>
      <w:pPr>
        <w:pStyle w:val="nzSubsection"/>
        <w:keepNext/>
      </w:pPr>
      <w:r>
        <w:tab/>
      </w:r>
      <w:r>
        <w:tab/>
        <w:t>Section 76AO(4)(b) is modified by deleting “in another jurisdiction” and inserting instead —</w:t>
      </w:r>
    </w:p>
    <w:p>
      <w:pPr>
        <w:pStyle w:val="MiscOpen"/>
        <w:spacing w:before="0"/>
        <w:ind w:left="601"/>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68</w:t>
      </w:r>
      <w:r>
        <w:t>.</w:t>
      </w:r>
      <w:r>
        <w:tab/>
      </w:r>
      <w:r>
        <w:rPr>
          <w:rStyle w:val="CharSectno"/>
        </w:rPr>
        <w:t>Section</w:t>
      </w:r>
      <w:r>
        <w:t> 84 modified</w:t>
      </w:r>
    </w:p>
    <w:p>
      <w:pPr>
        <w:pStyle w:val="nzSubsection"/>
      </w:pPr>
      <w:r>
        <w:tab/>
      </w:r>
      <w:r>
        <w:tab/>
        <w:t>After section 84(4) the following subsection is inserted —</w:t>
      </w:r>
    </w:p>
    <w:p>
      <w:pPr>
        <w:pStyle w:val="MiscOpen"/>
        <w:spacing w:before="0"/>
        <w:ind w:left="601"/>
      </w:pPr>
      <w:r>
        <w:t>“</w:t>
      </w:r>
    </w:p>
    <w:p>
      <w:pPr>
        <w:pStyle w:val="nzMiscellaneousBody"/>
        <w:tabs>
          <w:tab w:val="left" w:pos="1134"/>
          <w:tab w:val="left" w:pos="1701"/>
        </w:tabs>
        <w:ind w:left="1701" w:hanging="1134"/>
      </w:pPr>
      <w:r>
        <w:tab/>
        <w:t>(5)</w:t>
      </w:r>
      <w:r>
        <w:tab/>
        <w:t>In this section —</w:t>
      </w:r>
    </w:p>
    <w:p>
      <w:pPr>
        <w:pStyle w:val="nzMiscellaneousBody"/>
        <w:tabs>
          <w:tab w:val="left" w:pos="1701"/>
          <w:tab w:val="left" w:pos="2268"/>
        </w:tabs>
        <w:ind w:left="2268" w:hanging="1701"/>
      </w:pPr>
      <w:r>
        <w:tab/>
        <w:t>(a)</w:t>
      </w:r>
      <w:r>
        <w:tab/>
        <w:t>a reference to duty paid or payable in another State is to be read as including a reference to duty paid or payable under the applied Stamp Act or under an applied interstate law;</w:t>
      </w:r>
    </w:p>
    <w:p>
      <w:pPr>
        <w:pStyle w:val="nzMiscellaneousBody"/>
        <w:tabs>
          <w:tab w:val="left" w:pos="1701"/>
          <w:tab w:val="left" w:pos="2268"/>
        </w:tabs>
        <w:ind w:left="2268" w:hanging="1701"/>
      </w:pPr>
      <w:r>
        <w:tab/>
        <w:t>(b)</w:t>
      </w:r>
      <w:r>
        <w:tab/>
        <w:t>a reference to an instrument that is exempt in another State is to be read as including a reference to an instrument that is exempt under the applied Stamp Act or under an applied interstate law.</w:t>
      </w:r>
    </w:p>
    <w:p>
      <w:pPr>
        <w:pStyle w:val="MiscClose"/>
        <w:ind w:right="577"/>
      </w:pPr>
      <w:r>
        <w:t>”.</w:t>
      </w:r>
    </w:p>
    <w:p>
      <w:pPr>
        <w:pStyle w:val="nzHeading5"/>
      </w:pPr>
      <w:r>
        <w:rPr>
          <w:rStyle w:val="CharSectno"/>
        </w:rPr>
        <w:t>69</w:t>
      </w:r>
      <w:r>
        <w:t>.</w:t>
      </w:r>
      <w:r>
        <w:tab/>
      </w:r>
      <w:r>
        <w:rPr>
          <w:rStyle w:val="CharSectno"/>
        </w:rPr>
        <w:t>Section</w:t>
      </w:r>
      <w:r>
        <w:t> 87 modified</w:t>
      </w:r>
    </w:p>
    <w:p>
      <w:pPr>
        <w:pStyle w:val="nzSubsection"/>
      </w:pPr>
      <w:r>
        <w:tab/>
        <w:t>(1)</w:t>
      </w:r>
      <w:r>
        <w:tab/>
        <w:t>Section 87(1) is modified by inserting after “Second Schedule” —</w:t>
      </w:r>
    </w:p>
    <w:p>
      <w:pPr>
        <w:pStyle w:val="MiscOpen"/>
        <w:spacing w:before="0"/>
        <w:ind w:left="601"/>
      </w:pPr>
      <w:r>
        <w:t>“</w:t>
      </w:r>
    </w:p>
    <w:p>
      <w:pPr>
        <w:pStyle w:val="nzMiscellaneousBody"/>
        <w:tabs>
          <w:tab w:val="left" w:pos="1134"/>
        </w:tabs>
        <w:ind w:left="1134" w:hanging="567"/>
      </w:pPr>
      <w:r>
        <w:tab/>
        <w:t>or item 13 of the Second Schedule to the applied Stamp Act</w:t>
      </w:r>
    </w:p>
    <w:p>
      <w:pPr>
        <w:pStyle w:val="MiscClose"/>
        <w:ind w:right="577"/>
      </w:pPr>
      <w:r>
        <w:t xml:space="preserve">    ”.</w:t>
      </w:r>
    </w:p>
    <w:p>
      <w:pPr>
        <w:pStyle w:val="nzSubsection"/>
        <w:keepNext/>
      </w:pPr>
      <w:r>
        <w:tab/>
        <w:t>(2)</w:t>
      </w:r>
      <w:r>
        <w:tab/>
        <w:t>Section 87(1b) is modified by inserting after “or (2)” —</w:t>
      </w:r>
    </w:p>
    <w:p>
      <w:pPr>
        <w:pStyle w:val="MiscOpen"/>
        <w:spacing w:before="0"/>
        <w:ind w:left="601"/>
      </w:pPr>
      <w:r>
        <w:t>“</w:t>
      </w:r>
    </w:p>
    <w:p>
      <w:pPr>
        <w:pStyle w:val="nzMiscellaneousBody"/>
        <w:tabs>
          <w:tab w:val="left" w:pos="1134"/>
        </w:tabs>
        <w:ind w:left="1134" w:hanging="567"/>
      </w:pPr>
      <w:r>
        <w:tab/>
        <w:t>of the Second Schedule or item 13(1)(a), (1a) or (2) of the Second Schedule to the applied Stamp Act (as the case requires)</w:t>
      </w:r>
    </w:p>
    <w:p>
      <w:pPr>
        <w:pStyle w:val="MiscClose"/>
        <w:ind w:right="577"/>
      </w:pPr>
      <w:r>
        <w:t xml:space="preserve">    ”.</w:t>
      </w:r>
    </w:p>
    <w:p>
      <w:pPr>
        <w:pStyle w:val="nzHeading5"/>
      </w:pPr>
      <w:r>
        <w:rPr>
          <w:rStyle w:val="CharSectno"/>
        </w:rPr>
        <w:t>70</w:t>
      </w:r>
      <w:r>
        <w:t>.</w:t>
      </w:r>
      <w:r>
        <w:tab/>
      </w:r>
      <w:r>
        <w:rPr>
          <w:rStyle w:val="CharSectno"/>
        </w:rPr>
        <w:t>Section</w:t>
      </w:r>
      <w:r>
        <w:t> 112A modified</w:t>
      </w:r>
    </w:p>
    <w:p>
      <w:pPr>
        <w:pStyle w:val="nzSubsection"/>
        <w:keepNext/>
      </w:pPr>
      <w:r>
        <w:tab/>
      </w:r>
      <w:r>
        <w:tab/>
        <w:t>Section 112A(1) is modified by deleting the definition of “corresponding law” and inserting the following definition instead —</w:t>
      </w:r>
    </w:p>
    <w:p>
      <w:pPr>
        <w:pStyle w:val="MiscOpen"/>
        <w:spacing w:before="0"/>
        <w:ind w:left="601"/>
      </w:pPr>
      <w:r>
        <w:t>“</w:t>
      </w:r>
    </w:p>
    <w:p>
      <w:pPr>
        <w:pStyle w:val="nzMiscellaneousBody"/>
        <w:keepNext/>
        <w:tabs>
          <w:tab w:val="left" w:pos="1418"/>
        </w:tabs>
        <w:spacing w:before="0"/>
        <w:ind w:left="1418" w:hanging="851"/>
      </w:pPr>
      <w:r>
        <w:tab/>
      </w:r>
      <w:r>
        <w:rPr>
          <w:b/>
          <w:bCs/>
        </w:rPr>
        <w:t>“</w:t>
      </w:r>
      <w:r>
        <w:rPr>
          <w:b/>
          <w:snapToGrid w:val="0"/>
        </w:rPr>
        <w:t>corresponding law</w:t>
      </w:r>
      <w:r>
        <w:rPr>
          <w:b/>
          <w:bCs/>
        </w:rPr>
        <w:t>”</w:t>
      </w:r>
      <w:r>
        <w:t xml:space="preserve"> means —</w:t>
      </w:r>
    </w:p>
    <w:p>
      <w:pPr>
        <w:pStyle w:val="nzMiscellaneousBody"/>
        <w:tabs>
          <w:tab w:val="left" w:pos="1701"/>
          <w:tab w:val="left" w:pos="2268"/>
        </w:tabs>
        <w:ind w:left="2268" w:hanging="1701"/>
      </w:pPr>
      <w:r>
        <w:tab/>
        <w:t>(a)</w:t>
      </w:r>
      <w:r>
        <w:tab/>
        <w:t>the applied Stamp Act;</w:t>
      </w:r>
    </w:p>
    <w:p>
      <w:pPr>
        <w:pStyle w:val="nzMiscellaneousBody"/>
        <w:tabs>
          <w:tab w:val="left" w:pos="1701"/>
          <w:tab w:val="left" w:pos="2268"/>
        </w:tabs>
        <w:ind w:left="2268" w:hanging="1701"/>
      </w:pPr>
      <w:r>
        <w:tab/>
        <w:t>(b)</w:t>
      </w:r>
      <w:r>
        <w:tab/>
        <w:t>a law in force in another State or in a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MiscClose"/>
      </w:pPr>
      <w:r>
        <w:t>”.</w:t>
      </w:r>
    </w:p>
    <w:p>
      <w:pPr>
        <w:pStyle w:val="nSubsection"/>
      </w:pPr>
      <w:r>
        <w:rPr>
          <w:snapToGrid w:val="0"/>
          <w:vertAlign w:val="superscript"/>
        </w:rPr>
        <w:t>8</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7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In this notice —</w:t>
      </w:r>
    </w:p>
    <w:p>
      <w:pPr>
        <w:pStyle w:val="nzDefstart"/>
      </w:pPr>
      <w:r>
        <w:rPr>
          <w:b/>
        </w:rPr>
        <w:tab/>
        <w:t xml:space="preserve">“applied WA law”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“Commonwealth Mirror Taxes Act”</w:t>
      </w:r>
      <w:r>
        <w:t xml:space="preserve"> means the </w:t>
      </w:r>
      <w:r>
        <w:rPr>
          <w:i/>
        </w:rPr>
        <w:t>Commonwealth Places (Mirror Taxes) Act 1998</w:t>
      </w:r>
      <w:r>
        <w:t xml:space="preserve"> of the Commonwealth;</w:t>
      </w:r>
    </w:p>
    <w:p>
      <w:pPr>
        <w:pStyle w:val="nzDefstart"/>
      </w:pPr>
      <w:r>
        <w:rPr>
          <w:b/>
        </w:rPr>
        <w:tab/>
        <w:t xml:space="preserve">“WA taxing law” </w:t>
      </w:r>
      <w:r>
        <w:t>means a State taxing law of Western Australia.</w:t>
      </w:r>
    </w:p>
    <w:p>
      <w:pPr>
        <w:pStyle w:val="nzHeading5"/>
      </w:pPr>
      <w:r>
        <w:t>4.</w:t>
      </w:r>
      <w:r>
        <w:tab/>
        <w:t>Modification of applied WA laws</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If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then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7 — Stamp duty</w:t>
      </w:r>
    </w:p>
    <w:p>
      <w:pPr>
        <w:pStyle w:val="nzHeading3"/>
      </w:pPr>
      <w:r>
        <w:t xml:space="preserve">Division 1 — The applied </w:t>
      </w:r>
      <w:r>
        <w:rPr>
          <w:i/>
        </w:rPr>
        <w:t>Stamp Act 1921</w:t>
      </w:r>
    </w:p>
    <w:p>
      <w:pPr>
        <w:pStyle w:val="nzHeading5"/>
      </w:pPr>
      <w:r>
        <w:t>83.</w:t>
      </w:r>
      <w:r>
        <w:tab/>
        <w:t>Modification of the applied Act</w:t>
      </w:r>
    </w:p>
    <w:p>
      <w:pPr>
        <w:pStyle w:val="nzSubsection"/>
      </w:pPr>
      <w:r>
        <w:tab/>
      </w:r>
      <w:r>
        <w:tab/>
        <w:t xml:space="preserve">This Division sets out modifications of the </w:t>
      </w:r>
      <w:r>
        <w:rPr>
          <w:i/>
        </w:rPr>
        <w:t>Stamp Act 1921</w:t>
      </w:r>
      <w:r>
        <w:t xml:space="preserve"> of Western Australia.</w:t>
      </w:r>
    </w:p>
    <w:p>
      <w:pPr>
        <w:pStyle w:val="nzHeading5"/>
      </w:pPr>
      <w:r>
        <w:t>84.</w:t>
      </w:r>
      <w:r>
        <w:tab/>
        <w:t>Section 2 inserted</w:t>
      </w:r>
    </w:p>
    <w:p>
      <w:pPr>
        <w:pStyle w:val="nzSubsection"/>
        <w:keepNext/>
      </w:pPr>
      <w:r>
        <w:tab/>
      </w:r>
      <w:r>
        <w:tab/>
        <w:t>After section 1 the following section is inserted —</w:t>
      </w:r>
    </w:p>
    <w:p>
      <w:pPr>
        <w:pStyle w:val="MiscOpen"/>
        <w:ind w:left="851"/>
      </w:pPr>
      <w:r>
        <w:t>“</w:t>
      </w:r>
    </w:p>
    <w:p>
      <w:pPr>
        <w:pStyle w:val="nzMiscellaneousHeading"/>
        <w:tabs>
          <w:tab w:val="left" w:pos="1134"/>
          <w:tab w:val="left" w:pos="1985"/>
        </w:tabs>
        <w:ind w:left="1985" w:hanging="1418"/>
        <w:jc w:val="left"/>
        <w:rPr>
          <w:b/>
        </w:rPr>
      </w:pPr>
      <w:r>
        <w:rPr>
          <w:b/>
        </w:rPr>
        <w:tab/>
        <w:t>2.</w:t>
      </w:r>
      <w:r>
        <w:rPr>
          <w:b/>
        </w:rPr>
        <w:tab/>
        <w:t>Application of Act in Commonwealth places</w:t>
      </w:r>
    </w:p>
    <w:p>
      <w:pPr>
        <w:pStyle w:val="nzMiscellaneousBody"/>
        <w:tabs>
          <w:tab w:val="left" w:pos="1418"/>
          <w:tab w:val="left" w:pos="1985"/>
        </w:tabs>
        <w:ind w:left="1985" w:hanging="1418"/>
      </w:pPr>
      <w:r>
        <w:tab/>
        <w:t>(1)</w:t>
      </w:r>
      <w:r>
        <w:tab/>
        <w:t>In this Act, unless the contrary intention appears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a reference (however expressed) to an Act administered by the Commissioner is to be read as a reference to —</w:t>
      </w:r>
    </w:p>
    <w:p>
      <w:pPr>
        <w:pStyle w:val="nzMiscellaneousBody"/>
        <w:tabs>
          <w:tab w:val="left" w:pos="2552"/>
          <w:tab w:val="left" w:pos="3119"/>
        </w:tabs>
        <w:ind w:left="3119" w:hanging="2552"/>
      </w:pPr>
      <w:r>
        <w:tab/>
        <w:t>(i)</w:t>
      </w:r>
      <w:r>
        <w:tab/>
        <w:t>an Act of which the Commissioner has the general administration under an arrangement under section 9 of the Commonwealth Mirror Taxes Act; or</w:t>
      </w:r>
    </w:p>
    <w:p>
      <w:pPr>
        <w:pStyle w:val="nzMiscellaneousBody"/>
        <w:tabs>
          <w:tab w:val="left" w:pos="2552"/>
          <w:tab w:val="left" w:pos="3119"/>
        </w:tabs>
        <w:ind w:left="3119" w:hanging="2552"/>
      </w:pPr>
      <w:r>
        <w:tab/>
        <w:t>(ii)</w:t>
      </w:r>
      <w:r>
        <w:tab/>
        <w:t>an Act administered by the Commissioner as a law of Western Australia;</w:t>
      </w:r>
    </w:p>
    <w:p>
      <w:pPr>
        <w:pStyle w:val="nzMiscellaneousBody"/>
        <w:tabs>
          <w:tab w:val="left" w:pos="1985"/>
          <w:tab w:val="left" w:pos="2552"/>
        </w:tabs>
        <w:ind w:left="2552" w:hanging="1985"/>
      </w:pPr>
      <w:r>
        <w:tab/>
        <w:t>(d)</w:t>
      </w:r>
      <w:r>
        <w:tab/>
        <w:t xml:space="preserve">a reference to the </w:t>
      </w:r>
      <w:r>
        <w:rPr>
          <w:i/>
        </w:rPr>
        <w:t>Taxation (Reciprocal Powers) Act 1989</w:t>
      </w:r>
      <w:r>
        <w:t xml:space="preserve"> is to be read as a reference to the applied Taxation (Reciprocal Powers) Act;</w:t>
      </w:r>
    </w:p>
    <w:p>
      <w:pPr>
        <w:pStyle w:val="nzMiscellaneousBody"/>
        <w:tabs>
          <w:tab w:val="left" w:pos="1985"/>
          <w:tab w:val="left" w:pos="2552"/>
        </w:tabs>
        <w:ind w:left="2552" w:hanging="1985"/>
      </w:pPr>
      <w:r>
        <w:tab/>
        <w:t>(e)</w:t>
      </w:r>
      <w:r>
        <w:tab/>
        <w:t xml:space="preserve">a reference to the </w:t>
      </w:r>
      <w:r>
        <w:rPr>
          <w:i/>
        </w:rPr>
        <w:t xml:space="preserve">Gazette </w:t>
      </w:r>
      <w:r>
        <w:t xml:space="preserve">is to be read as a reference to the </w:t>
      </w:r>
      <w:r>
        <w:rPr>
          <w:i/>
        </w:rPr>
        <w:t>Government Gazette</w:t>
      </w:r>
      <w:r>
        <w:t xml:space="preserve"> of Western Australia;</w:t>
      </w:r>
    </w:p>
    <w:p>
      <w:pPr>
        <w:pStyle w:val="nzMiscellaneousBody"/>
        <w:tabs>
          <w:tab w:val="left" w:pos="1985"/>
          <w:tab w:val="left" w:pos="2552"/>
        </w:tabs>
        <w:ind w:left="2552" w:hanging="1985"/>
      </w:pPr>
      <w:r>
        <w:tab/>
        <w:t>(f)</w:t>
      </w:r>
      <w:r>
        <w:tab/>
        <w:t>a reference to the Supreme Court is to be read as a reference to the Supreme Court of Western Australia;</w:t>
      </w:r>
    </w:p>
    <w:p>
      <w:pPr>
        <w:pStyle w:val="nzMiscellaneousBody"/>
        <w:tabs>
          <w:tab w:val="left" w:pos="1985"/>
          <w:tab w:val="left" w:pos="2552"/>
        </w:tabs>
        <w:ind w:left="2552" w:hanging="1985"/>
      </w:pPr>
      <w:r>
        <w:tab/>
        <w:t>(g)</w:t>
      </w:r>
      <w:r>
        <w:tab/>
        <w:t>a reference to the Minister is to be read as a reference to the Minister of the Crown in right of Western Australia to whom the administration of the corresponding Stamp Act is for the time being committed by the Governor of Western Australia;</w:t>
      </w:r>
    </w:p>
    <w:p>
      <w:pPr>
        <w:pStyle w:val="nzMiscellaneousBody"/>
        <w:tabs>
          <w:tab w:val="left" w:pos="1985"/>
          <w:tab w:val="left" w:pos="2552"/>
        </w:tabs>
        <w:ind w:left="2552" w:hanging="1985"/>
      </w:pPr>
      <w:r>
        <w:tab/>
        <w:t>(h)</w:t>
      </w:r>
      <w:r>
        <w:tab/>
        <w:t>a reference to the Treasurer is to be read as a reference to the Treasurer of Western Australia;</w:t>
      </w:r>
    </w:p>
    <w:p>
      <w:pPr>
        <w:pStyle w:val="nzMiscellaneousBody"/>
        <w:tabs>
          <w:tab w:val="left" w:pos="1985"/>
          <w:tab w:val="left" w:pos="2552"/>
        </w:tabs>
        <w:ind w:left="2552" w:hanging="1985"/>
      </w:pPr>
      <w:r>
        <w:tab/>
        <w:t>(i)</w:t>
      </w:r>
      <w:r>
        <w:tab/>
        <w:t>a reference to any of the following Acts is to be read as a reference to the Act of that name of the Parliament of Western Australia —</w:t>
      </w:r>
    </w:p>
    <w:p>
      <w:pPr>
        <w:pStyle w:val="nzMiscellaneousBody"/>
        <w:tabs>
          <w:tab w:val="left" w:pos="2552"/>
          <w:tab w:val="left" w:pos="3119"/>
        </w:tabs>
        <w:ind w:left="3119" w:hanging="2552"/>
      </w:pPr>
      <w:r>
        <w:tab/>
        <w:t>(i)</w:t>
      </w:r>
      <w:r>
        <w:tab/>
        <w:t xml:space="preserve">the </w:t>
      </w:r>
      <w:r>
        <w:rPr>
          <w:i/>
        </w:rPr>
        <w:t>Acts Amendment (Continuing Lotteries) Act 2000</w:t>
      </w:r>
      <w:r>
        <w:t>;</w:t>
      </w:r>
    </w:p>
    <w:p>
      <w:pPr>
        <w:pStyle w:val="nzMiscellaneousBody"/>
        <w:tabs>
          <w:tab w:val="left" w:pos="2552"/>
          <w:tab w:val="left" w:pos="3119"/>
        </w:tabs>
        <w:ind w:left="3119" w:hanging="2552"/>
      </w:pPr>
      <w:r>
        <w:tab/>
        <w:t>(ii)</w:t>
      </w:r>
      <w:r>
        <w:tab/>
        <w:t xml:space="preserve">the </w:t>
      </w:r>
      <w:r>
        <w:rPr>
          <w:i/>
        </w:rPr>
        <w:t>Building Societies Act 1976</w:t>
      </w:r>
      <w:r>
        <w:t>;</w:t>
      </w:r>
    </w:p>
    <w:p>
      <w:pPr>
        <w:pStyle w:val="nzMiscellaneousBody"/>
        <w:tabs>
          <w:tab w:val="left" w:pos="2552"/>
          <w:tab w:val="left" w:pos="3119"/>
        </w:tabs>
        <w:ind w:left="3119" w:hanging="2552"/>
      </w:pPr>
      <w:r>
        <w:tab/>
        <w:t>(iii)</w:t>
      </w:r>
      <w:r>
        <w:tab/>
        <w:t xml:space="preserve">the </w:t>
      </w:r>
      <w:r>
        <w:rPr>
          <w:i/>
        </w:rPr>
        <w:t>Financial Sector (Transfer of Business) Act 1999</w:t>
      </w:r>
      <w:r>
        <w:t>;</w:t>
      </w:r>
    </w:p>
    <w:p>
      <w:pPr>
        <w:pStyle w:val="nzMiscellaneousBody"/>
        <w:tabs>
          <w:tab w:val="left" w:pos="2552"/>
          <w:tab w:val="left" w:pos="3119"/>
        </w:tabs>
        <w:ind w:left="3119" w:hanging="2552"/>
      </w:pPr>
      <w:r>
        <w:tab/>
        <w:t>(iv)</w:t>
      </w:r>
      <w:r>
        <w:tab/>
        <w:t xml:space="preserve">the </w:t>
      </w:r>
      <w:r>
        <w:rPr>
          <w:i/>
        </w:rPr>
        <w:t>Gaming Commission Act 1987</w:t>
      </w:r>
      <w:r>
        <w:t>;</w:t>
      </w:r>
    </w:p>
    <w:p>
      <w:pPr>
        <w:pStyle w:val="nzMiscellaneousBody"/>
        <w:tabs>
          <w:tab w:val="left" w:pos="2552"/>
          <w:tab w:val="left" w:pos="3119"/>
        </w:tabs>
        <w:ind w:left="3119" w:hanging="2552"/>
      </w:pPr>
      <w:r>
        <w:tab/>
        <w:t>(v)</w:t>
      </w:r>
      <w:r>
        <w:tab/>
        <w:t xml:space="preserve">the </w:t>
      </w:r>
      <w:r>
        <w:rPr>
          <w:i/>
        </w:rPr>
        <w:t>Housing Societies Act 1976</w:t>
      </w:r>
      <w:r>
        <w:t>;</w:t>
      </w:r>
    </w:p>
    <w:p>
      <w:pPr>
        <w:pStyle w:val="nzMiscellaneousBody"/>
        <w:tabs>
          <w:tab w:val="left" w:pos="2552"/>
          <w:tab w:val="left" w:pos="3119"/>
        </w:tabs>
        <w:ind w:left="3119" w:hanging="2552"/>
      </w:pPr>
      <w:r>
        <w:tab/>
        <w:t>(vi)</w:t>
      </w:r>
      <w:r>
        <w:tab/>
        <w:t xml:space="preserve">the </w:t>
      </w:r>
      <w:r>
        <w:rPr>
          <w:i/>
        </w:rPr>
        <w:t>Local Government Act 1995</w:t>
      </w:r>
      <w:r>
        <w:t>;</w:t>
      </w:r>
    </w:p>
    <w:p>
      <w:pPr>
        <w:pStyle w:val="nzMiscellaneousBody"/>
        <w:tabs>
          <w:tab w:val="left" w:pos="2552"/>
          <w:tab w:val="left" w:pos="3119"/>
        </w:tabs>
        <w:ind w:left="3119" w:hanging="2552"/>
      </w:pPr>
      <w:r>
        <w:tab/>
        <w:t>(vii)</w:t>
      </w:r>
      <w:r>
        <w:tab/>
        <w:t xml:space="preserve">the </w:t>
      </w:r>
      <w:r>
        <w:rPr>
          <w:i/>
        </w:rPr>
        <w:t>Mining Act 1978</w:t>
      </w:r>
      <w:r>
        <w:t>;</w:t>
      </w:r>
    </w:p>
    <w:p>
      <w:pPr>
        <w:pStyle w:val="nzMiscellaneousBody"/>
        <w:tabs>
          <w:tab w:val="left" w:pos="2552"/>
          <w:tab w:val="left" w:pos="3119"/>
        </w:tabs>
        <w:ind w:left="3119" w:hanging="2552"/>
      </w:pPr>
      <w:r>
        <w:tab/>
        <w:t>(viii)</w:t>
      </w:r>
      <w:r>
        <w:tab/>
        <w:t xml:space="preserve">the </w:t>
      </w:r>
      <w:r>
        <w:rPr>
          <w:i/>
        </w:rPr>
        <w:t>Public Sector Management Act 1994</w:t>
      </w:r>
      <w:r>
        <w:t>;</w:t>
      </w:r>
    </w:p>
    <w:p>
      <w:pPr>
        <w:pStyle w:val="nzMiscellaneousBody"/>
        <w:tabs>
          <w:tab w:val="left" w:pos="2552"/>
          <w:tab w:val="left" w:pos="3119"/>
        </w:tabs>
        <w:ind w:left="3119" w:hanging="2552"/>
      </w:pPr>
      <w:r>
        <w:tab/>
        <w:t>(ix)</w:t>
      </w:r>
      <w:r>
        <w:tab/>
        <w:t xml:space="preserve">the </w:t>
      </w:r>
      <w:r>
        <w:rPr>
          <w:i/>
        </w:rPr>
        <w:t>Transfer of Land Act 1893</w:t>
      </w:r>
      <w:r>
        <w:t>;</w:t>
      </w:r>
    </w:p>
    <w:p>
      <w:pPr>
        <w:pStyle w:val="nzMiscellaneousBody"/>
        <w:tabs>
          <w:tab w:val="left" w:pos="2552"/>
          <w:tab w:val="left" w:pos="3119"/>
        </w:tabs>
        <w:ind w:left="3119" w:hanging="2552"/>
      </w:pPr>
      <w:r>
        <w:tab/>
        <w:t>(x)</w:t>
      </w:r>
      <w:r>
        <w:tab/>
        <w:t xml:space="preserve">the </w:t>
      </w:r>
      <w:r>
        <w:rPr>
          <w:i/>
        </w:rPr>
        <w:t>Workers’ Compensation and Rehabilitation Act 1981</w:t>
      </w:r>
      <w:r>
        <w:t>;</w:t>
      </w:r>
    </w:p>
    <w:p>
      <w:pPr>
        <w:pStyle w:val="nzMiscellaneousBody"/>
        <w:tabs>
          <w:tab w:val="left" w:pos="1985"/>
          <w:tab w:val="left" w:pos="2552"/>
        </w:tabs>
        <w:ind w:left="2552" w:hanging="1985"/>
      </w:pPr>
      <w:r>
        <w:tab/>
      </w:r>
      <w:r>
        <w:tab/>
        <w:t>and</w:t>
      </w:r>
    </w:p>
    <w:p>
      <w:pPr>
        <w:pStyle w:val="nzMiscellaneousBody"/>
        <w:tabs>
          <w:tab w:val="left" w:pos="1985"/>
          <w:tab w:val="left" w:pos="2552"/>
        </w:tabs>
        <w:ind w:left="2552" w:hanging="1985"/>
      </w:pPr>
      <w:r>
        <w:tab/>
        <w:t>(j)</w:t>
      </w:r>
      <w:r>
        <w:tab/>
        <w:t>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w:t>
      </w:r>
    </w:p>
    <w:p>
      <w:pPr>
        <w:pStyle w:val="nzMiscellaneousBody"/>
        <w:tabs>
          <w:tab w:val="left" w:pos="2552"/>
          <w:tab w:val="left" w:pos="3119"/>
        </w:tabs>
        <w:ind w:left="3119" w:hanging="2552"/>
      </w:pPr>
      <w:r>
        <w:tab/>
        <w:t>(i)</w:t>
      </w:r>
      <w:r>
        <w:tab/>
        <w:t xml:space="preserve">the </w:t>
      </w:r>
      <w:r>
        <w:rPr>
          <w:i/>
        </w:rPr>
        <w:t>Pay</w:t>
      </w:r>
      <w:r>
        <w:rPr>
          <w:i/>
        </w:rPr>
        <w:noBreakHyphen/>
        <w:t>roll Tax Assessment Act 1971</w:t>
      </w:r>
      <w:r>
        <w:t>;</w:t>
      </w:r>
    </w:p>
    <w:p>
      <w:pPr>
        <w:pStyle w:val="nzMiscellaneousBody"/>
        <w:tabs>
          <w:tab w:val="left" w:pos="2552"/>
          <w:tab w:val="left" w:pos="3119"/>
        </w:tabs>
        <w:ind w:left="3119" w:hanging="2552"/>
      </w:pPr>
      <w:r>
        <w:tab/>
        <w:t>(ii)</w:t>
      </w:r>
      <w:r>
        <w:tab/>
        <w:t xml:space="preserve">the </w:t>
      </w:r>
      <w:r>
        <w:rPr>
          <w:i/>
        </w:rPr>
        <w:t>Revenue Laws Amendment (Assessment) Act 2000</w:t>
      </w:r>
      <w:r>
        <w:t>;</w:t>
      </w:r>
    </w:p>
    <w:p>
      <w:pPr>
        <w:pStyle w:val="nzMiscellaneousBody"/>
        <w:tabs>
          <w:tab w:val="left" w:pos="2552"/>
          <w:tab w:val="left" w:pos="3119"/>
        </w:tabs>
        <w:ind w:left="3119" w:hanging="2552"/>
      </w:pPr>
      <w:r>
        <w:tab/>
        <w:t>(iii)</w:t>
      </w:r>
      <w:r>
        <w:tab/>
        <w:t xml:space="preserve">the </w:t>
      </w:r>
      <w:r>
        <w:rPr>
          <w:i/>
        </w:rPr>
        <w:t>Stamp Act Amendment Act 1979</w:t>
      </w:r>
      <w:r>
        <w:t>;</w:t>
      </w:r>
    </w:p>
    <w:p>
      <w:pPr>
        <w:pStyle w:val="nzMiscellaneousBody"/>
        <w:tabs>
          <w:tab w:val="left" w:pos="2552"/>
          <w:tab w:val="left" w:pos="3119"/>
        </w:tabs>
        <w:ind w:left="3119" w:hanging="2552"/>
      </w:pPr>
      <w:r>
        <w:tab/>
        <w:t>(iv)</w:t>
      </w:r>
      <w:r>
        <w:tab/>
        <w:t xml:space="preserve">the </w:t>
      </w:r>
      <w:r>
        <w:rPr>
          <w:i/>
        </w:rPr>
        <w:t>Stamp Act Regulations 1966</w:t>
      </w:r>
      <w:r>
        <w:t>.</w:t>
      </w:r>
    </w:p>
    <w:p>
      <w:pPr>
        <w:pStyle w:val="nzMiscellaneousBody"/>
        <w:tabs>
          <w:tab w:val="left" w:pos="1418"/>
          <w:tab w:val="left" w:pos="1985"/>
        </w:tabs>
        <w:ind w:left="1985" w:hanging="1418"/>
      </w:pPr>
      <w:r>
        <w:tab/>
        <w:t>(2)</w:t>
      </w:r>
      <w:r>
        <w:tab/>
        <w:t>This Act is to be read with the corresponding Stamp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this Act is deemed to be further modified to any extent that is necessary or convenient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MiscellaneousBody"/>
        <w:tabs>
          <w:tab w:val="left" w:pos="1418"/>
          <w:tab w:val="left" w:pos="1985"/>
        </w:tabs>
        <w:ind w:left="1985" w:hanging="1418"/>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ind w:right="577"/>
      </w:pPr>
      <w:r>
        <w:t>”.</w:t>
      </w:r>
    </w:p>
    <w:p>
      <w:pPr>
        <w:pStyle w:val="nzHeading5"/>
      </w:pPr>
      <w:r>
        <w:t>85.</w:t>
      </w:r>
      <w:r>
        <w:tab/>
        <w:t>Section 2A modified</w:t>
      </w:r>
    </w:p>
    <w:p>
      <w:pPr>
        <w:pStyle w:val="nzSubsection"/>
      </w:pPr>
      <w:r>
        <w:tab/>
      </w:r>
      <w:r>
        <w:tab/>
        <w:t>Section 2A(1) is repealed.</w:t>
      </w:r>
    </w:p>
    <w:p>
      <w:pPr>
        <w:pStyle w:val="nzHeading5"/>
      </w:pPr>
      <w:r>
        <w:t>86.</w:t>
      </w:r>
      <w:r>
        <w:tab/>
        <w:t>Section 4 modified</w:t>
      </w:r>
    </w:p>
    <w:p>
      <w:pPr>
        <w:pStyle w:val="nzSubsection"/>
      </w:pPr>
      <w:r>
        <w:tab/>
        <w:t>(1)</w:t>
      </w:r>
      <w:r>
        <w:tab/>
        <w:t>Section 4(1) is modified by inserting the following definitions in their appropriate alphabetical positions —</w:t>
      </w:r>
    </w:p>
    <w:p>
      <w:pPr>
        <w:pStyle w:val="Subsection"/>
      </w:pPr>
      <w:r>
        <w:tab/>
      </w:r>
      <w:r>
        <w:tab/>
        <w:t>“</w:t>
      </w:r>
    </w:p>
    <w:p>
      <w:pPr>
        <w:pStyle w:val="nzMiscellaneousBody"/>
        <w:tabs>
          <w:tab w:val="left" w:pos="1418"/>
          <w:tab w:val="left" w:pos="1985"/>
        </w:tabs>
        <w:ind w:left="1985" w:hanging="1418"/>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 xml:space="preserve">” </w:t>
      </w:r>
      <w:r>
        <w:t xml:space="preserve">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rPr>
          <w:b/>
        </w:rPr>
        <w:tab/>
        <w:t xml:space="preserve">“corresponding </w:t>
      </w:r>
      <w:r>
        <w:rPr>
          <w:b/>
          <w:snapToGrid w:val="0"/>
        </w:rPr>
        <w:t>Stamp Act</w:t>
      </w:r>
      <w:r>
        <w:rPr>
          <w:b/>
        </w:rPr>
        <w:t>”</w:t>
      </w:r>
      <w:r>
        <w:t xml:space="preserve"> means the </w:t>
      </w:r>
      <w:r>
        <w:rPr>
          <w:i/>
        </w:rPr>
        <w:t>Stamp Act 1921</w:t>
      </w:r>
      <w:r>
        <w:t xml:space="preserve"> of Western Australia in its application as a law of Western Australia;</w:t>
      </w:r>
    </w:p>
    <w:p>
      <w:pPr>
        <w:pStyle w:val="MiscClose"/>
        <w:ind w:right="577"/>
      </w:pPr>
      <w:r>
        <w:t>”.</w:t>
      </w:r>
    </w:p>
    <w:p>
      <w:pPr>
        <w:pStyle w:val="nzSubsection"/>
      </w:pPr>
      <w:r>
        <w:tab/>
        <w:t>(2)</w:t>
      </w:r>
      <w:r>
        <w:tab/>
        <w:t>Section 4(1) is further modified as follows:</w:t>
      </w:r>
    </w:p>
    <w:p>
      <w:pPr>
        <w:pStyle w:val="nzIndenta"/>
      </w:pPr>
      <w:r>
        <w:tab/>
        <w:t>(a)</w:t>
      </w:r>
      <w:r>
        <w:tab/>
        <w:t>in the definition of “Commissioner” by deleting all the words after “office” and inserting instead —</w:t>
      </w:r>
    </w:p>
    <w:p>
      <w:pPr>
        <w:pStyle w:val="MiscOpen"/>
        <w:spacing w:before="80"/>
        <w:ind w:left="1418"/>
      </w:pPr>
      <w:r>
        <w:t>“</w:t>
      </w:r>
    </w:p>
    <w:p>
      <w:pPr>
        <w:pStyle w:val="nzMiscellaneousBody"/>
        <w:tabs>
          <w:tab w:val="left" w:pos="2268"/>
        </w:tabs>
        <w:spacing w:before="0"/>
        <w:ind w:left="2268" w:right="856" w:hanging="1701"/>
      </w:pPr>
      <w:r>
        <w:tab/>
        <w:t>of Commissioner of State Revenue of Western Australia</w:t>
      </w:r>
    </w:p>
    <w:p>
      <w:pPr>
        <w:pStyle w:val="MiscClose"/>
        <w:ind w:right="577"/>
      </w:pPr>
      <w:r>
        <w:t xml:space="preserve">    ”;</w:t>
      </w:r>
    </w:p>
    <w:p>
      <w:pPr>
        <w:pStyle w:val="nzIndenta"/>
      </w:pPr>
      <w:r>
        <w:tab/>
        <w:t>(b)</w:t>
      </w:r>
      <w:r>
        <w:tab/>
        <w:t>by deleting the definition of “the Crown”.</w:t>
      </w:r>
    </w:p>
    <w:p>
      <w:pPr>
        <w:pStyle w:val="nzHeading5"/>
      </w:pPr>
      <w:r>
        <w:t>87.</w:t>
      </w:r>
      <w:r>
        <w:tab/>
        <w:t>Section 4AA inserted</w:t>
      </w:r>
    </w:p>
    <w:p>
      <w:pPr>
        <w:pStyle w:val="nzSubsection"/>
      </w:pPr>
      <w:r>
        <w:tab/>
      </w:r>
      <w:r>
        <w:tab/>
        <w:t>After section 4 the following section is inserted —</w:t>
      </w:r>
    </w:p>
    <w:p>
      <w:pPr>
        <w:pStyle w:val="MiscOpen"/>
        <w:ind w:left="851"/>
      </w:pPr>
      <w:r>
        <w:t>“</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If an instrument or 2 or more instruments is, are or may be liable for duty under both this Act and the corresponding Stamp Act, the total amount of duty payable is calculated by reference to the amount equal to the sum of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corresponding Stamp Act.</w:t>
      </w:r>
    </w:p>
    <w:p>
      <w:pPr>
        <w:pStyle w:val="nzMiscellaneousBody"/>
        <w:tabs>
          <w:tab w:val="left" w:pos="1418"/>
          <w:tab w:val="left" w:pos="1985"/>
        </w:tabs>
        <w:ind w:left="1985" w:hanging="1418"/>
      </w:pPr>
      <w:r>
        <w:tab/>
        <w:t>(2)</w:t>
      </w:r>
      <w:r>
        <w:tab/>
        <w:t>The amount of duty paid or payable on the instrument or instruments under this Act is the amount equal to the amount calculated under subsection (1) minus any amount paid or payable under the corresponding Stamp Act.</w:t>
      </w:r>
    </w:p>
    <w:p>
      <w:pPr>
        <w:pStyle w:val="MiscClose"/>
        <w:ind w:right="577"/>
      </w:pPr>
      <w:r>
        <w:t xml:space="preserve">    ”.</w:t>
      </w:r>
    </w:p>
    <w:p>
      <w:pPr>
        <w:pStyle w:val="nzHeading5"/>
      </w:pPr>
      <w:r>
        <w:t>88.</w:t>
      </w:r>
      <w:r>
        <w:tab/>
        <w:t>Section 6 modified</w:t>
      </w:r>
    </w:p>
    <w:p>
      <w:pPr>
        <w:pStyle w:val="nzSubsection"/>
        <w:keepNext/>
      </w:pPr>
      <w:r>
        <w:tab/>
      </w:r>
      <w:r>
        <w:tab/>
        <w:t>After section 6(2) the following subsections are inserted —</w:t>
      </w:r>
    </w:p>
    <w:p>
      <w:pPr>
        <w:pStyle w:val="MiscOpen"/>
        <w:ind w:left="595"/>
      </w:pPr>
      <w:r>
        <w:t>“</w:t>
      </w:r>
    </w:p>
    <w:p>
      <w:pPr>
        <w:pStyle w:val="nzMiscellaneousBody"/>
        <w:tabs>
          <w:tab w:val="left" w:pos="1418"/>
          <w:tab w:val="left" w:pos="1985"/>
        </w:tabs>
        <w:ind w:left="1985" w:hanging="1418"/>
      </w:pPr>
      <w:r>
        <w:tab/>
        <w:t>(3)</w:t>
      </w:r>
      <w:r>
        <w:tab/>
        <w:t>If, under section 6 of the corresponding Stamp Act, the Commissioner has delegated a function under that Act to a person, the corresponding function under this Act is taken to have been delegated to the person under this section.</w:t>
      </w:r>
    </w:p>
    <w:p>
      <w:pPr>
        <w:pStyle w:val="nzMiscellaneousBody"/>
        <w:tabs>
          <w:tab w:val="left" w:pos="1418"/>
          <w:tab w:val="left" w:pos="1985"/>
        </w:tabs>
        <w:ind w:left="1985" w:hanging="1418"/>
      </w:pPr>
      <w:r>
        <w:tab/>
        <w:t>(4)</w:t>
      </w:r>
      <w:r>
        <w:tab/>
        <w:t>A person who is authorised to perform a function under the corresponding Stamp Act is taken to be authorised to perform the corresponding function under this Act.</w:t>
      </w:r>
    </w:p>
    <w:p>
      <w:pPr>
        <w:pStyle w:val="MiscClose"/>
        <w:ind w:right="577"/>
      </w:pPr>
      <w:r>
        <w:t xml:space="preserve">    ”.</w:t>
      </w:r>
    </w:p>
    <w:p>
      <w:pPr>
        <w:pStyle w:val="nzHeading5"/>
        <w:spacing w:before="0"/>
      </w:pPr>
      <w:r>
        <w:t>89.</w:t>
      </w:r>
      <w:r>
        <w:tab/>
        <w:t>Section 8 modified</w:t>
      </w:r>
    </w:p>
    <w:p>
      <w:pPr>
        <w:pStyle w:val="nzSubsection"/>
        <w:keepNext/>
      </w:pPr>
      <w:r>
        <w:tab/>
        <w:t>(1)</w:t>
      </w:r>
      <w:r>
        <w:tab/>
        <w:t>Section 8 is modified as follows:</w:t>
      </w:r>
    </w:p>
    <w:p>
      <w:pPr>
        <w:pStyle w:val="nzIndenta"/>
      </w:pPr>
      <w:r>
        <w:tab/>
        <w:t>(a)</w:t>
      </w:r>
      <w:r>
        <w:tab/>
        <w:t>by inserting before “The” the subsection designation “(1)”;</w:t>
      </w:r>
    </w:p>
    <w:p>
      <w:pPr>
        <w:pStyle w:val="nzIndenta"/>
      </w:pPr>
      <w:r>
        <w:tab/>
        <w:t>(b)</w:t>
      </w:r>
      <w:r>
        <w:tab/>
        <w:t>by inserting after “this Act” —</w:t>
      </w:r>
    </w:p>
    <w:p>
      <w:pPr>
        <w:pStyle w:val="nzMiscellaneousBody"/>
        <w:tabs>
          <w:tab w:val="left" w:pos="2268"/>
        </w:tabs>
        <w:ind w:left="2268" w:hanging="1701"/>
      </w:pPr>
      <w:r>
        <w:tab/>
        <w:t>“    or the corresponding Stamp Act    ”;</w:t>
      </w:r>
    </w:p>
    <w:p>
      <w:pPr>
        <w:pStyle w:val="nzIndenta"/>
      </w:pPr>
      <w:r>
        <w:tab/>
        <w:t>(c)</w:t>
      </w:r>
      <w:r>
        <w:tab/>
        <w:t>by inserting before “any other Act” —</w:t>
      </w:r>
    </w:p>
    <w:p>
      <w:pPr>
        <w:pStyle w:val="nzMiscellaneousBody"/>
        <w:tabs>
          <w:tab w:val="left" w:pos="2268"/>
        </w:tabs>
        <w:ind w:left="2268" w:hanging="1701"/>
      </w:pPr>
      <w:r>
        <w:tab/>
        <w:t>“    this Act or    ”.</w:t>
      </w:r>
    </w:p>
    <w:p>
      <w:pPr>
        <w:pStyle w:val="nzSubsection"/>
      </w:pPr>
      <w:r>
        <w:tab/>
        <w:t>(2)</w:t>
      </w:r>
      <w:r>
        <w:tab/>
        <w:t>At the end of section 8 the following subsection is inserted —</w:t>
      </w:r>
    </w:p>
    <w:p>
      <w:pPr>
        <w:pStyle w:val="MiscOpen"/>
        <w:ind w:left="595"/>
      </w:pPr>
      <w:r>
        <w:t>“</w:t>
      </w:r>
    </w:p>
    <w:p>
      <w:pPr>
        <w:pStyle w:val="nzMiscellaneousBody"/>
        <w:tabs>
          <w:tab w:val="left" w:pos="1418"/>
          <w:tab w:val="left" w:pos="1985"/>
        </w:tabs>
        <w:ind w:left="1985" w:hanging="1418"/>
      </w:pPr>
      <w:r>
        <w:tab/>
        <w:t>(2)</w:t>
      </w:r>
      <w:r>
        <w:tab/>
        <w:t>The Commissioner may use for the purposes of any other Act administered by him or her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spacing w:before="0"/>
      </w:pPr>
      <w:r>
        <w:t>90.</w:t>
      </w:r>
      <w:r>
        <w:tab/>
        <w:t>Section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s>
        <w:ind w:left="2268" w:hanging="1701"/>
      </w:pPr>
      <w:r>
        <w:tab/>
        <w:t>“     or the corresponding Stamp Act    ”;</w:t>
      </w:r>
    </w:p>
    <w:p>
      <w:pPr>
        <w:pStyle w:val="nzIndenta"/>
      </w:pPr>
      <w:r>
        <w:tab/>
        <w:t>(b)</w:t>
      </w:r>
      <w:r>
        <w:tab/>
        <w:t>in paragraph (b) by inserting after “this Act” —</w:t>
      </w:r>
    </w:p>
    <w:p>
      <w:pPr>
        <w:pStyle w:val="nzMiscellaneousBody"/>
        <w:tabs>
          <w:tab w:val="left" w:pos="2268"/>
        </w:tabs>
        <w:ind w:left="2268" w:hanging="1701"/>
      </w:pPr>
      <w:r>
        <w:tab/>
        <w:t>“     or the corresponding Stamp Act    ”.</w:t>
      </w:r>
    </w:p>
    <w:p>
      <w:pPr>
        <w:pStyle w:val="nzHeading5"/>
      </w:pPr>
      <w:r>
        <w:t>91.</w:t>
      </w:r>
      <w:r>
        <w:tab/>
        <w:t>Section 11 modified</w:t>
      </w:r>
    </w:p>
    <w:p>
      <w:pPr>
        <w:pStyle w:val="nzSubsection"/>
      </w:pPr>
      <w:r>
        <w:tab/>
      </w:r>
      <w:r>
        <w:tab/>
        <w:t>Section 11 is modified by deleting “on behalf of the Crown”.</w:t>
      </w:r>
    </w:p>
    <w:p>
      <w:pPr>
        <w:pStyle w:val="nzHeading5"/>
      </w:pPr>
      <w:r>
        <w:t>92.</w:t>
      </w:r>
      <w:r>
        <w:tab/>
        <w:t>Section 15B modified</w:t>
      </w:r>
    </w:p>
    <w:p>
      <w:pPr>
        <w:pStyle w:val="nzSubsection"/>
      </w:pPr>
      <w:r>
        <w:tab/>
      </w:r>
      <w:r>
        <w:tab/>
        <w:t>Section 15B(1)(b) is modified by deleting “</w:t>
      </w:r>
      <w:r>
        <w:rPr>
          <w:i/>
        </w:rPr>
        <w:t>Financial Administration and Audit Act 1985</w:t>
      </w:r>
      <w:r>
        <w:t>” and inserting instead —</w:t>
      </w:r>
    </w:p>
    <w:p>
      <w:pPr>
        <w:pStyle w:val="MiscOpen"/>
        <w:ind w:left="993"/>
      </w:pPr>
      <w:r>
        <w:t>“</w:t>
      </w:r>
    </w:p>
    <w:p>
      <w:pPr>
        <w:pStyle w:val="nzMiscellaneousBody"/>
        <w:tabs>
          <w:tab w:val="left" w:pos="1418"/>
        </w:tabs>
        <w:ind w:left="1418" w:hanging="851"/>
      </w:pPr>
      <w:r>
        <w:tab/>
      </w:r>
      <w:r>
        <w:rPr>
          <w:i/>
        </w:rPr>
        <w:t>Financial Management and Accountability Act 1997</w:t>
      </w:r>
      <w:r>
        <w:t xml:space="preserve"> of the Commonwealth</w:t>
      </w:r>
    </w:p>
    <w:p>
      <w:pPr>
        <w:pStyle w:val="MiscClose"/>
        <w:ind w:right="577"/>
      </w:pPr>
      <w:r>
        <w:t xml:space="preserve">    ”.</w:t>
      </w:r>
    </w:p>
    <w:p>
      <w:pPr>
        <w:pStyle w:val="nzHeading5"/>
      </w:pPr>
      <w:r>
        <w:t>93.</w:t>
      </w:r>
      <w:r>
        <w:tab/>
        <w:t>Section 16 modified</w:t>
      </w:r>
    </w:p>
    <w:p>
      <w:pPr>
        <w:pStyle w:val="nzSubsection"/>
      </w:pPr>
      <w:r>
        <w:tab/>
      </w:r>
      <w:r>
        <w:tab/>
        <w:t>Section 16(1) is modified by deleting “for the use of the Crown”.</w:t>
      </w:r>
    </w:p>
    <w:p>
      <w:pPr>
        <w:pStyle w:val="nzHeading5"/>
      </w:pPr>
      <w:r>
        <w:t>94.</w:t>
      </w:r>
      <w:r>
        <w:tab/>
        <w:t>Section 26 modified</w:t>
      </w:r>
    </w:p>
    <w:p>
      <w:pPr>
        <w:pStyle w:val="nzSubsection"/>
        <w:keepNext/>
      </w:pPr>
      <w:r>
        <w:tab/>
        <w:t>(1)</w:t>
      </w:r>
      <w:r>
        <w:tab/>
        <w:t>Section 26(1) is modified by deleting “Crown” and inserting instead —</w:t>
      </w:r>
    </w:p>
    <w:p>
      <w:pPr>
        <w:pStyle w:val="nzMiscellaneousBody"/>
        <w:tabs>
          <w:tab w:val="left" w:pos="1418"/>
        </w:tabs>
        <w:ind w:left="1418" w:hanging="851"/>
      </w:pPr>
      <w:r>
        <w:tab/>
        <w:t>“    Commonwealth    ”.</w:t>
      </w:r>
    </w:p>
    <w:p>
      <w:pPr>
        <w:pStyle w:val="nzSubsection"/>
      </w:pPr>
      <w:r>
        <w:tab/>
        <w:t>(2)</w:t>
      </w:r>
      <w:r>
        <w:tab/>
        <w:t>Section 26(1a) is modified by deleting “Crown” and inserting instead —</w:t>
      </w:r>
    </w:p>
    <w:p>
      <w:pPr>
        <w:pStyle w:val="nzMiscellaneousBody"/>
        <w:tabs>
          <w:tab w:val="left" w:pos="1418"/>
        </w:tabs>
        <w:ind w:left="1418" w:hanging="851"/>
      </w:pPr>
      <w:r>
        <w:tab/>
        <w:t>“    Commonwealth    ”.</w:t>
      </w:r>
    </w:p>
    <w:p>
      <w:pPr>
        <w:pStyle w:val="nzHeading5"/>
      </w:pPr>
      <w:r>
        <w:t>95.</w:t>
      </w:r>
      <w:r>
        <w:tab/>
        <w:t>Section 31B modified</w:t>
      </w:r>
    </w:p>
    <w:p>
      <w:pPr>
        <w:pStyle w:val="nzSubsection"/>
      </w:pPr>
      <w:r>
        <w:tab/>
      </w:r>
      <w:r>
        <w:tab/>
        <w:t>Section 31B(5) is modified by deleting “the law of another State or of a Territory” and inserting instead —</w:t>
      </w:r>
    </w:p>
    <w:p>
      <w:pPr>
        <w:pStyle w:val="MiscOpen"/>
        <w:ind w:left="879"/>
      </w:pPr>
      <w:r>
        <w:t>“</w:t>
      </w:r>
    </w:p>
    <w:p>
      <w:pPr>
        <w:pStyle w:val="nzMiscellaneousBody"/>
        <w:tabs>
          <w:tab w:val="left" w:pos="1418"/>
        </w:tabs>
        <w:ind w:left="1418" w:hanging="851"/>
      </w:pPr>
      <w:r>
        <w:tab/>
        <w:t>the corresponding Stamp Act or a law in force in another State or Territory, including an applied law within the meaning of the Commonwealth Mirror Taxes Act,</w:t>
      </w:r>
    </w:p>
    <w:p>
      <w:pPr>
        <w:pStyle w:val="MiscClose"/>
        <w:ind w:right="577"/>
      </w:pPr>
      <w:r>
        <w:t xml:space="preserve">    ”.</w:t>
      </w:r>
    </w:p>
    <w:p>
      <w:pPr>
        <w:pStyle w:val="nzHeading5"/>
      </w:pPr>
      <w:r>
        <w:t>96.</w:t>
      </w:r>
      <w:r>
        <w:tab/>
        <w:t>Section 39A modified</w:t>
      </w:r>
    </w:p>
    <w:p>
      <w:pPr>
        <w:pStyle w:val="nzSubsection"/>
      </w:pPr>
      <w:r>
        <w:tab/>
      </w:r>
      <w:r>
        <w:tab/>
        <w:t>Section 39A(1) is modified by deleting “Crown” and inserting instead —</w:t>
      </w:r>
    </w:p>
    <w:p>
      <w:pPr>
        <w:pStyle w:val="nzMiscellaneousBody"/>
        <w:tabs>
          <w:tab w:val="left" w:pos="1418"/>
        </w:tabs>
        <w:ind w:left="1418" w:hanging="851"/>
      </w:pPr>
      <w:r>
        <w:tab/>
      </w:r>
      <w:r>
        <w:tab/>
        <w:t>“    Commonwealth    ”.</w:t>
      </w:r>
    </w:p>
    <w:p>
      <w:pPr>
        <w:pStyle w:val="nzHeading5"/>
      </w:pPr>
      <w:r>
        <w:t>97.</w:t>
      </w:r>
      <w:r>
        <w:tab/>
        <w:t>Section 73D modified</w:t>
      </w:r>
    </w:p>
    <w:p>
      <w:pPr>
        <w:pStyle w:val="nzSubsection"/>
      </w:pPr>
      <w:r>
        <w:tab/>
      </w:r>
      <w:r>
        <w:tab/>
        <w:t>Section 73D(6a)(b)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98.</w:t>
      </w:r>
      <w:r>
        <w:tab/>
        <w:t>Section 75AE modified</w:t>
      </w:r>
    </w:p>
    <w:p>
      <w:pPr>
        <w:pStyle w:val="nzSubsection"/>
        <w:keepNext/>
      </w:pPr>
      <w:r>
        <w:tab/>
      </w:r>
      <w:r>
        <w:tab/>
        <w:t>After section 75AE(2) the following subsection is inserted —</w:t>
      </w:r>
    </w:p>
    <w:p>
      <w:pPr>
        <w:pStyle w:val="MiscOpen"/>
        <w:ind w:left="600"/>
      </w:pPr>
      <w:r>
        <w:t>“</w:t>
      </w:r>
    </w:p>
    <w:p>
      <w:pPr>
        <w:pStyle w:val="nzMiscellaneousBody"/>
        <w:tabs>
          <w:tab w:val="left" w:pos="1418"/>
          <w:tab w:val="left" w:pos="1985"/>
        </w:tabs>
        <w:ind w:left="1985" w:hanging="1418"/>
        <w:rPr>
          <w:b/>
          <w:i/>
        </w:rPr>
      </w:pPr>
      <w:r>
        <w:tab/>
        <w:t>(2a)</w:t>
      </w:r>
      <w:r>
        <w:tab/>
        <w:t>For the purposes of subsection (2)(b), if duty is or may be payable on the instrument of conveyance or transfer of property both under this Act and the corresponding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t>99.</w:t>
      </w:r>
      <w:r>
        <w:tab/>
        <w:t>Section 76AH modified</w:t>
      </w:r>
    </w:p>
    <w:p>
      <w:pPr>
        <w:pStyle w:val="nzSubsection"/>
      </w:pPr>
      <w:r>
        <w:tab/>
      </w:r>
      <w:r>
        <w:tab/>
        <w:t>Section 76AH(4)(b)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100.</w:t>
      </w:r>
      <w:r>
        <w:tab/>
        <w:t>Section 76AO modified</w:t>
      </w:r>
    </w:p>
    <w:p>
      <w:pPr>
        <w:pStyle w:val="nzSubsection"/>
      </w:pPr>
      <w:r>
        <w:tab/>
      </w:r>
      <w:r>
        <w:tab/>
        <w:t>Section 76AO(4)(b)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101.</w:t>
      </w:r>
      <w:r>
        <w:tab/>
        <w:t>Section 84 modified</w:t>
      </w:r>
    </w:p>
    <w:p>
      <w:pPr>
        <w:pStyle w:val="nzSubsection"/>
      </w:pPr>
      <w:r>
        <w:tab/>
      </w:r>
      <w:r>
        <w:tab/>
        <w:t>After section 84(4) the following subsection is inserted —</w:t>
      </w:r>
    </w:p>
    <w:p>
      <w:pPr>
        <w:pStyle w:val="MiscOpen"/>
        <w:ind w:left="600"/>
      </w:pPr>
      <w:r>
        <w:t>“</w:t>
      </w:r>
    </w:p>
    <w:p>
      <w:pPr>
        <w:pStyle w:val="nzMiscellaneousBody"/>
        <w:tabs>
          <w:tab w:val="left" w:pos="1418"/>
          <w:tab w:val="left" w:pos="1985"/>
        </w:tabs>
        <w:ind w:left="1985" w:hanging="1418"/>
      </w:pPr>
      <w:r>
        <w:tab/>
        <w:t>(5)</w:t>
      </w:r>
      <w:r>
        <w:tab/>
        <w:t>In this section —</w:t>
      </w:r>
    </w:p>
    <w:p>
      <w:pPr>
        <w:pStyle w:val="nzMiscellaneousBody"/>
        <w:tabs>
          <w:tab w:val="left" w:pos="1985"/>
          <w:tab w:val="left" w:pos="2552"/>
        </w:tabs>
        <w:ind w:left="2552" w:hanging="1985"/>
      </w:pPr>
      <w:r>
        <w:tab/>
        <w:t>(a)</w:t>
      </w:r>
      <w:r>
        <w:tab/>
        <w:t>a reference to duty payable in another State is to be read as including a reference to duty payable under the corresponding Stamp Act or duty payable under a law of another State that applies as a law of the Commonwealth in or in relation to Commonwealth places in the State in accordance with the Commonwealth Mirror Taxes Act; and</w:t>
      </w:r>
    </w:p>
    <w:p>
      <w:pPr>
        <w:pStyle w:val="nzMiscellaneousBody"/>
        <w:tabs>
          <w:tab w:val="left" w:pos="1985"/>
          <w:tab w:val="left" w:pos="2552"/>
        </w:tabs>
        <w:ind w:left="2552" w:hanging="1985"/>
      </w:pPr>
      <w:r>
        <w:tab/>
        <w:t>(b)</w:t>
      </w:r>
      <w:r>
        <w:tab/>
        <w:t>a reference to an instrument that is exempt in another State is to be read as including a reference to an instrument that is exempt under the corresponding Stamp Act or under a law of another State that applies as a law of the Commonwealth in or in relation to Commonwealth places in the State in accordance with the Commonwealth Mirror Taxes Act.</w:t>
      </w:r>
    </w:p>
    <w:p>
      <w:pPr>
        <w:pStyle w:val="MiscClose"/>
        <w:ind w:right="577"/>
      </w:pPr>
      <w:r>
        <w:t xml:space="preserve">    ”.</w:t>
      </w:r>
    </w:p>
    <w:p>
      <w:pPr>
        <w:pStyle w:val="nzHeading5"/>
      </w:pPr>
      <w:r>
        <w:t>102.</w:t>
      </w:r>
      <w:r>
        <w:tab/>
        <w:t>Section 87 modified</w:t>
      </w:r>
    </w:p>
    <w:p>
      <w:pPr>
        <w:pStyle w:val="nzSubsection"/>
        <w:keepNext/>
      </w:pPr>
      <w:r>
        <w:tab/>
      </w:r>
      <w:r>
        <w:tab/>
        <w:t>Section 87(1) is modified by inserting after “chargeable under item 13” —</w:t>
      </w:r>
    </w:p>
    <w:p>
      <w:pPr>
        <w:pStyle w:val="MiscOpen"/>
        <w:ind w:left="879"/>
      </w:pPr>
      <w:r>
        <w:t>“</w:t>
      </w:r>
    </w:p>
    <w:p>
      <w:pPr>
        <w:pStyle w:val="nzMiscellaneousBody"/>
        <w:tabs>
          <w:tab w:val="left" w:pos="1418"/>
        </w:tabs>
        <w:ind w:left="1418" w:right="856" w:hanging="851"/>
      </w:pPr>
      <w:r>
        <w:tab/>
        <w:t>of the second Schedule of this Act or the corresponding Stamp Act</w:t>
      </w:r>
    </w:p>
    <w:p>
      <w:pPr>
        <w:pStyle w:val="MiscClose"/>
        <w:ind w:right="577"/>
      </w:pPr>
      <w:r>
        <w:t xml:space="preserve">    ”.</w:t>
      </w:r>
    </w:p>
    <w:p>
      <w:pPr>
        <w:pStyle w:val="nzHeading5"/>
      </w:pPr>
      <w:r>
        <w:t>103.</w:t>
      </w:r>
      <w:r>
        <w:tab/>
        <w:t>Section 112A modified</w:t>
      </w:r>
    </w:p>
    <w:p>
      <w:pPr>
        <w:pStyle w:val="nzSubsection"/>
      </w:pPr>
      <w:r>
        <w:tab/>
      </w:r>
      <w:r>
        <w:tab/>
        <w:t>Section 112A(1) is modified by deleting the definition of “corresponding law” and inserting the following definition instead —</w:t>
      </w:r>
    </w:p>
    <w:p>
      <w:pPr>
        <w:pStyle w:val="MiscOpen"/>
        <w:ind w:left="879"/>
      </w:pPr>
      <w:r>
        <w:t>“</w:t>
      </w:r>
    </w:p>
    <w:p>
      <w:pPr>
        <w:pStyle w:val="nzMiscellaneousBody"/>
        <w:tabs>
          <w:tab w:val="left" w:pos="1418"/>
          <w:tab w:val="left" w:pos="1985"/>
        </w:tabs>
        <w:ind w:left="1985" w:hanging="1418"/>
      </w:pPr>
      <w:r>
        <w:tab/>
      </w:r>
      <w:r>
        <w:rPr>
          <w:b/>
          <w:bCs/>
        </w:rPr>
        <w:t>“</w:t>
      </w:r>
      <w:r>
        <w:rPr>
          <w:b/>
        </w:rPr>
        <w:t>corresponding law</w:t>
      </w:r>
      <w:r>
        <w:rPr>
          <w:b/>
          <w:bCs/>
        </w:rPr>
        <w:t>”</w:t>
      </w:r>
      <w:r>
        <w:t xml:space="preserve"> means —</w:t>
      </w:r>
    </w:p>
    <w:p>
      <w:pPr>
        <w:pStyle w:val="nzMiscellaneousBody"/>
        <w:tabs>
          <w:tab w:val="left" w:pos="1701"/>
          <w:tab w:val="left" w:pos="2268"/>
        </w:tabs>
        <w:ind w:left="2268" w:hanging="1701"/>
      </w:pPr>
      <w:r>
        <w:tab/>
        <w:t>(a)</w:t>
      </w:r>
      <w:r>
        <w:tab/>
        <w:t>the corresponding Stamp Act;</w:t>
      </w:r>
    </w:p>
    <w:p>
      <w:pPr>
        <w:pStyle w:val="nzMiscellaneousBody"/>
        <w:tabs>
          <w:tab w:val="left" w:pos="1701"/>
          <w:tab w:val="left" w:pos="2268"/>
        </w:tabs>
        <w:ind w:left="2268" w:hanging="1701"/>
      </w:pPr>
      <w:r>
        <w:tab/>
        <w:t>(b)</w:t>
      </w:r>
      <w:r>
        <w:tab/>
        <w:t>a law in force in another State or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nzHeading5"/>
      </w:pPr>
      <w:r>
        <w:t>104.</w:t>
      </w:r>
      <w:r>
        <w:tab/>
        <w:t>Section 112K modified</w:t>
      </w:r>
    </w:p>
    <w:p>
      <w:pPr>
        <w:pStyle w:val="nzSubsection"/>
      </w:pPr>
      <w:r>
        <w:tab/>
      </w:r>
      <w:r>
        <w:tab/>
        <w:t>After section 112K(1a) the following subsection is inserted —</w:t>
      </w:r>
    </w:p>
    <w:p>
      <w:pPr>
        <w:pStyle w:val="MiscOpen"/>
        <w:ind w:left="600"/>
      </w:pPr>
      <w:r>
        <w:t>“</w:t>
      </w:r>
    </w:p>
    <w:p>
      <w:pPr>
        <w:pStyle w:val="nzMiscellaneousBody"/>
        <w:tabs>
          <w:tab w:val="left" w:pos="1418"/>
          <w:tab w:val="left" w:pos="1985"/>
        </w:tabs>
        <w:ind w:left="1985" w:hanging="1418"/>
      </w:pPr>
      <w:r>
        <w:tab/>
        <w:t>(1b)</w:t>
      </w:r>
      <w:r>
        <w:tab/>
        <w:t>A reference in subsection (1) to an amount to be shown in a statement does not include a reference to any amount in respect of which stamp duty has been paid under the corresponding Stamp Act.</w:t>
      </w:r>
    </w:p>
    <w:p>
      <w:pPr>
        <w:pStyle w:val="MiscClose"/>
        <w:ind w:right="577"/>
      </w:pPr>
      <w:r>
        <w:t xml:space="preserve">    ”.</w:t>
      </w:r>
    </w:p>
    <w:p>
      <w:pPr>
        <w:pStyle w:val="nzHeading5"/>
      </w:pPr>
      <w:r>
        <w:t>105.</w:t>
      </w:r>
      <w:r>
        <w:tab/>
        <w:t>Section 120 modified</w:t>
      </w:r>
    </w:p>
    <w:p>
      <w:pPr>
        <w:pStyle w:val="nzSubsection"/>
      </w:pPr>
      <w:r>
        <w:tab/>
      </w:r>
      <w:r>
        <w:tab/>
        <w:t>Section 120(1)(f) is modified by deleting “Crown” and inserting instead —</w:t>
      </w:r>
    </w:p>
    <w:p>
      <w:pPr>
        <w:pStyle w:val="nzMiscellaneousBody"/>
        <w:tabs>
          <w:tab w:val="left" w:pos="1418"/>
          <w:tab w:val="left" w:pos="1985"/>
        </w:tabs>
        <w:ind w:left="1985" w:hanging="1418"/>
      </w:pPr>
      <w:r>
        <w:tab/>
        <w:t>“    Commonwealth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has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spacing w:val="-4"/>
        </w:rPr>
      </w:pPr>
      <w:r>
        <w:rPr>
          <w:snapToGrid w:val="0"/>
          <w:spacing w:val="-4"/>
        </w:rPr>
        <w:tab/>
        <w:t>(2)</w:t>
      </w:r>
      <w:r>
        <w:rPr>
          <w:snapToGrid w:val="0"/>
          <w:spacing w:val="-4"/>
        </w:rPr>
        <w:tab/>
        <w:t>Where duty has been or is being paid under section 112K of this Act in respect of a loan, other than a loan upon an account current, at the rate provided for by that section as it was prior to the coming into operation of this section of this Act, section 112K(1)(b) shall continue to apply in respect of every such loan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1986</w:t>
      </w:r>
      <w:r>
        <w:rPr>
          <w:snapToGrid w:val="0"/>
        </w:rPr>
        <w:t xml:space="preserve"> s. 21(2) reads as follows:</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The exemptions provided for by subitems (2) and (3) inserted by paragraph (b) of subsection (1) apply to a policy of insurance, or a renewal, entered into after the commencement of that paragraph.</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w:t>
      </w:r>
      <w:r>
        <w:rPr>
          <w:i/>
          <w:snapToGrid w:val="0"/>
        </w:rPr>
        <w:t>Stamp Amendment Act 1987</w:t>
      </w:r>
      <w:r>
        <w:rPr>
          <w:snapToGrid w:val="0"/>
        </w:rPr>
        <w:t xml:space="preserve"> s. 4 reads as follows:</w:t>
      </w:r>
    </w:p>
    <w:p>
      <w:pPr>
        <w:pStyle w:val="MiscOpen"/>
        <w:rPr>
          <w:snapToGrid w:val="0"/>
        </w:rPr>
      </w:pPr>
      <w:r>
        <w:rPr>
          <w:snapToGrid w:val="0"/>
        </w:rPr>
        <w:t>“</w:t>
      </w:r>
    </w:p>
    <w:p>
      <w:pPr>
        <w:pStyle w:val="nzHeading5"/>
        <w:spacing w:before="80"/>
        <w:rPr>
          <w:snapToGrid w:val="0"/>
        </w:rPr>
      </w:pPr>
      <w:r>
        <w:rPr>
          <w:snapToGrid w:val="0"/>
        </w:rPr>
        <w:t>4.</w:t>
      </w:r>
      <w:r>
        <w:rPr>
          <w:snapToGrid w:val="0"/>
        </w:rPr>
        <w:tab/>
        <w:t>Retrospective application and transitional provisions</w:t>
      </w:r>
    </w:p>
    <w:p>
      <w:pPr>
        <w:pStyle w:val="nzSubsection"/>
        <w:rPr>
          <w:snapToGrid w:val="0"/>
        </w:rPr>
      </w:pPr>
      <w:r>
        <w:rPr>
          <w:snapToGrid w:val="0"/>
        </w:rPr>
        <w:tab/>
        <w:t>(1)</w:t>
      </w:r>
      <w:r>
        <w:rPr>
          <w:snapToGrid w:val="0"/>
        </w:rPr>
        <w:tab/>
        <w:t>Section 76AG inserted in the principal Act by section 22 of this Act extends to any relevant acquisition of a majority interest or a further interest in a company to which Division 2 of Part IIIBA of the principal Act applies that occurred on or after 19 January 1987, and the provisions of Divisions 1 and 2 of that Part and any regulations having effect for the purposes of those Divisions shall have effect accordingly.</w:t>
      </w:r>
    </w:p>
    <w:p>
      <w:pPr>
        <w:pStyle w:val="nzSubsection"/>
        <w:rPr>
          <w:snapToGrid w:val="0"/>
        </w:rPr>
      </w:pPr>
      <w:r>
        <w:rPr>
          <w:snapToGrid w:val="0"/>
        </w:rPr>
        <w:tab/>
        <w:t>(2)</w:t>
      </w:r>
      <w:r>
        <w:rPr>
          <w:snapToGrid w:val="0"/>
        </w:rPr>
        <w:tab/>
        <w:t>Section 76AN inserted in the principal Act by section 22 of this Act extends to any relevant acquisition of a majority interest or a further interest in a corporation to which Division 3 of Part IIIBA of the principal Act applies that occurred on or after 19 January 1987, and the provisions of Divisions 1 and 3 of that Part and any regulations having effect for the purposes of those Divisions shall have effect accordingly.</w:t>
      </w:r>
    </w:p>
    <w:p>
      <w:pPr>
        <w:pStyle w:val="nzSubsection"/>
        <w:rPr>
          <w:snapToGrid w:val="0"/>
        </w:rPr>
      </w:pPr>
      <w:r>
        <w:rPr>
          <w:snapToGrid w:val="0"/>
        </w:rPr>
        <w:tab/>
        <w:t>(3)</w:t>
      </w:r>
      <w:r>
        <w:rPr>
          <w:snapToGrid w:val="0"/>
        </w:rPr>
        <w:tab/>
        <w:t>Subsections (1) and (2) have effect notwithstanding that duty on an instrument effecting or evidencing an acquisition has already been paid under item 4(3) of the Second Schedule.</w:t>
      </w:r>
    </w:p>
    <w:p>
      <w:pPr>
        <w:pStyle w:val="nzSubsection"/>
        <w:rPr>
          <w:snapToGrid w:val="0"/>
        </w:rPr>
      </w:pPr>
      <w:r>
        <w:rPr>
          <w:snapToGrid w:val="0"/>
        </w:rPr>
        <w:tab/>
        <w:t>(4)</w:t>
      </w:r>
      <w:r>
        <w:rPr>
          <w:snapToGrid w:val="0"/>
        </w:rPr>
        <w:tab/>
        <w:t>A statement required by subsection (1) or (2) shall be prepared and lodged not later than 3 months after the commencement of this section.</w:t>
      </w:r>
    </w:p>
    <w:p>
      <w:pPr>
        <w:pStyle w:val="nzSubsection"/>
        <w:rPr>
          <w:snapToGrid w:val="0"/>
        </w:rPr>
      </w:pPr>
      <w:r>
        <w:rPr>
          <w:snapToGrid w:val="0"/>
        </w:rPr>
        <w:tab/>
        <w:t>(5)</w:t>
      </w:r>
      <w:r>
        <w:rPr>
          <w:snapToGrid w:val="0"/>
        </w:rPr>
        <w:tab/>
        <w:t>Notwithstanding subsection (1) or (2), a previous acquisition referred to in subparagraph (ii) of section 76AJ(1)(a) or subparagraph (ii) of section 76AQ(1)(a) of the principal Act shall not be taken into account for the purposes of that subparagraph if it occurred before 19 January 1987.</w:t>
      </w:r>
    </w:p>
    <w:p>
      <w:pPr>
        <w:pStyle w:val="nzSubsection"/>
        <w:rPr>
          <w:snapToGrid w:val="0"/>
        </w:rPr>
      </w:pPr>
      <w:r>
        <w:rPr>
          <w:snapToGrid w:val="0"/>
        </w:rPr>
        <w:tab/>
        <w:t>(6)</w:t>
      </w:r>
      <w:r>
        <w:rPr>
          <w:snapToGrid w:val="0"/>
        </w:rPr>
        <w:tab/>
        <w:t>Regulations having retrospective effect to 19 January 1987 may be made under section 120(1) of the principal Act so far as it is necessary or expedient to do so to give effect to this section.</w:t>
      </w:r>
    </w:p>
    <w:p>
      <w:pPr>
        <w:pStyle w:val="nzSubsection"/>
        <w:rPr>
          <w:snapToGrid w:val="0"/>
        </w:rPr>
      </w:pPr>
      <w:r>
        <w:rPr>
          <w:snapToGrid w:val="0"/>
        </w:rPr>
        <w:tab/>
        <w:t>(7)</w:t>
      </w:r>
      <w:r>
        <w:rPr>
          <w:snapToGrid w:val="0"/>
        </w:rPr>
        <w:tab/>
        <w:t>An expression used in this section in relation to a Division of Part IIIBA of the principal Act has the same meaning as it has for the purposes of that Division.</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Stamp Amendment Act (No. 2) 1987</w:t>
      </w:r>
      <w:r>
        <w:rPr>
          <w:snapToGrid w:val="0"/>
        </w:rPr>
        <w:t xml:space="preserve"> s. 9(2)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 notice of election given under section 112K(2) of the principal Act as in force before the commencement of this Act and not cancelled shall continue to have effect as if given under that subsection after the commencement of this Act.</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 xml:space="preserve">Stamp Amendment Act 1991 </w:t>
      </w:r>
      <w:r>
        <w:rPr>
          <w:snapToGrid w:val="0"/>
        </w:rPr>
        <w:t>s. 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Nothing in this section affects the approval of an odd lot specialist given under the principal Act before the coming into operation of this section and any odd lot specialist so approved shall be taken to have been approved as an odd lot specialist under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Stamp Amendment Act (No. 2) 1994</w:t>
      </w:r>
      <w:r>
        <w:rPr>
          <w:snapToGrid w:val="0"/>
        </w:rPr>
        <w:t xml:space="preserve"> s. 5(2)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If before the commencement of this Act, duty has been paid under item 8(1) of the Second Schedule to the principal Act in respect of an instrument that is exempt from duty because of the amendment to the Third Schedule made by subsection (1), the person by or on whose behalf the duty was paid may make written application to the Commissioner for the refund of the duty.</w:t>
      </w:r>
    </w:p>
    <w:p>
      <w:pPr>
        <w:pStyle w:val="nzSubsection"/>
        <w:rPr>
          <w:snapToGrid w:val="0"/>
        </w:rPr>
      </w:pPr>
      <w:r>
        <w:rPr>
          <w:snapToGrid w:val="0"/>
        </w:rPr>
        <w:tab/>
        <w:t>(3)</w:t>
      </w:r>
      <w:r>
        <w:rPr>
          <w:snapToGrid w:val="0"/>
        </w:rPr>
        <w:tab/>
        <w:t>On receipt of an application under subsection (1) and on being satisfied that the applicant is the person by or on whose behalf the duty was paid, the Commissioner is to refund the duty to the applicant.</w:t>
      </w:r>
    </w:p>
    <w:p>
      <w:pPr>
        <w:pStyle w:val="MiscClose"/>
        <w:tabs>
          <w:tab w:val="left" w:pos="851"/>
          <w:tab w:val="left" w:pos="2127"/>
        </w:tabs>
        <w:rPr>
          <w:snapToGrid w:val="0"/>
        </w:rPr>
      </w:pPr>
      <w:r>
        <w:rPr>
          <w:snapToGrid w:val="0"/>
        </w:rPr>
        <w:t>”.</w:t>
      </w:r>
    </w:p>
    <w:p>
      <w:pPr>
        <w:pStyle w:val="nSubsection"/>
        <w:keepNext/>
        <w:rPr>
          <w:snapToGrid w:val="0"/>
        </w:rPr>
      </w:pPr>
      <w:r>
        <w:rPr>
          <w:snapToGrid w:val="0"/>
          <w:vertAlign w:val="superscript"/>
        </w:rPr>
        <w:t>18</w:t>
      </w:r>
      <w:r>
        <w:rPr>
          <w:snapToGrid w:val="0"/>
        </w:rPr>
        <w:tab/>
        <w:t xml:space="preserve">The </w:t>
      </w:r>
      <w:r>
        <w:rPr>
          <w:i/>
          <w:snapToGrid w:val="0"/>
        </w:rPr>
        <w:t>Stamp Amendment (Marketable Securities Duty) Act 1995</w:t>
      </w:r>
      <w:r>
        <w:rPr>
          <w:snapToGrid w:val="0"/>
        </w:rPr>
        <w:t xml:space="preserve"> s. 5 reads as follows:</w:t>
      </w:r>
    </w:p>
    <w:p>
      <w:pPr>
        <w:pStyle w:val="MiscOpen"/>
        <w:rPr>
          <w:snapToGrid w:val="0"/>
        </w:rPr>
      </w:pPr>
      <w:r>
        <w:rPr>
          <w:snapToGrid w:val="0"/>
        </w:rPr>
        <w:t>“</w:t>
      </w:r>
    </w:p>
    <w:p>
      <w:pPr>
        <w:pStyle w:val="nzHeading5"/>
        <w:spacing w:before="40"/>
        <w:rPr>
          <w:snapToGrid w:val="0"/>
        </w:rPr>
      </w:pPr>
      <w:r>
        <w:rPr>
          <w:snapToGrid w:val="0"/>
        </w:rPr>
        <w:t>5.</w:t>
      </w:r>
      <w:r>
        <w:rPr>
          <w:snapToGrid w:val="0"/>
        </w:rPr>
        <w:tab/>
        <w:t>Saving provision</w:t>
      </w:r>
    </w:p>
    <w:p>
      <w:pPr>
        <w:pStyle w:val="nzSubsection"/>
        <w:rPr>
          <w:snapToGrid w:val="0"/>
        </w:rPr>
      </w:pPr>
      <w:r>
        <w:rPr>
          <w:snapToGrid w:val="0"/>
        </w:rPr>
        <w:tab/>
      </w:r>
      <w:r>
        <w:rPr>
          <w:snapToGrid w:val="0"/>
        </w:rPr>
        <w:tab/>
        <w:t>The principal Act as in force immediately before the commencement of this Act continues to operate in respect of conveyances and transfers of marketable securities and rights in respect of shares made or executed before 1 July 1995.</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Stamp Amendment Act 1995</w:t>
      </w:r>
      <w:r>
        <w:rPr>
          <w:snapToGrid w:val="0"/>
        </w:rPr>
        <w:t xml:space="preserve"> s. 4(2)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Subsection (3) as inserted in section 27 of the principal Act by this Act applies to an instrument or document executed before or after the commencement of this Act.</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Stamp Amendment Act 1996</w:t>
      </w:r>
      <w:r>
        <w:rPr>
          <w:snapToGrid w:val="0"/>
        </w:rPr>
        <w:t xml:space="preserve"> s. 9 reads as follows:</w:t>
      </w:r>
    </w:p>
    <w:p>
      <w:pPr>
        <w:pStyle w:val="MiscOpen"/>
        <w:tabs>
          <w:tab w:val="clear" w:pos="893"/>
        </w:tabs>
        <w:rPr>
          <w:snapToGrid w:val="0"/>
        </w:rPr>
      </w:pPr>
      <w:r>
        <w:rPr>
          <w:snapToGrid w:val="0"/>
        </w:rPr>
        <w:t>“</w:t>
      </w:r>
    </w:p>
    <w:p>
      <w:pPr>
        <w:pStyle w:val="nzHeading5"/>
        <w:spacing w:before="40"/>
        <w:rPr>
          <w:snapToGrid w:val="0"/>
        </w:rPr>
      </w:pPr>
      <w:r>
        <w:rPr>
          <w:snapToGrid w:val="0"/>
        </w:rPr>
        <w:t>9.</w:t>
      </w:r>
      <w:r>
        <w:rPr>
          <w:snapToGrid w:val="0"/>
        </w:rPr>
        <w:tab/>
        <w:t>Transitional</w:t>
      </w:r>
    </w:p>
    <w:p>
      <w:pPr>
        <w:pStyle w:val="nzSubsection"/>
        <w:rPr>
          <w:snapToGrid w:val="0"/>
        </w:rPr>
      </w:pPr>
      <w:r>
        <w:rPr>
          <w:snapToGrid w:val="0"/>
        </w:rPr>
        <w:tab/>
        <w:t>(1)</w:t>
      </w:r>
      <w:r>
        <w:rPr>
          <w:snapToGrid w:val="0"/>
        </w:rPr>
        <w:tab/>
        <w:t xml:space="preserve">If because of the amendments made by this Act to the </w:t>
      </w:r>
      <w:r>
        <w:rPr>
          <w:i/>
          <w:snapToGrid w:val="0"/>
        </w:rPr>
        <w:t>Stamp Act 1921</w:t>
      </w:r>
      <w:r>
        <w:rPr>
          <w:snapToGrid w:val="0"/>
        </w:rPr>
        <w:t>, a person is required under Division 2 of Part IIIBA of that Act to lodge a statement in respect of a relevant acquisition that occurred on or after 20 November 1995 and before this Act receives the Royal Assent, then despite section 76AG(3) of that Act the statement shall be lodged within 3 months after the date on which this Act receives the Royal Assent.</w:t>
      </w:r>
    </w:p>
    <w:p>
      <w:pPr>
        <w:pStyle w:val="nzSubsection"/>
        <w:rPr>
          <w:snapToGrid w:val="0"/>
        </w:rPr>
      </w:pPr>
      <w:r>
        <w:rPr>
          <w:snapToGrid w:val="0"/>
        </w:rPr>
        <w:tab/>
        <w:t>(2)</w:t>
      </w:r>
      <w:r>
        <w:rPr>
          <w:snapToGrid w:val="0"/>
        </w:rPr>
        <w:tab/>
        <w:t xml:space="preserve">If under section 112HA of the </w:t>
      </w:r>
      <w:r>
        <w:rPr>
          <w:i/>
          <w:snapToGrid w:val="0"/>
        </w:rPr>
        <w:t>Stamp Act 1921</w:t>
      </w:r>
      <w:r>
        <w:rPr>
          <w:snapToGrid w:val="0"/>
        </w:rPr>
        <w:t xml:space="preserve"> as inserted by section 8 of this Act, a statement in respect of a capital reduction or a share cancellation is required to be lodged by that section before this Act receives the Royal Assent, then despite section 112HA of that Act the statement shall be lodged within 3 months after the date on which this Act receives the Royal Assent.</w:t>
      </w:r>
    </w:p>
    <w:p>
      <w:pPr>
        <w:pStyle w:val="MiscClose"/>
      </w:pPr>
      <w:r>
        <w:rPr>
          <w:snapToGrid w:val="0"/>
        </w:rPr>
        <w:t>”.</w:t>
      </w:r>
    </w:p>
    <w:p>
      <w:pPr>
        <w:pStyle w:val="nSubsection"/>
        <w:rPr>
          <w:snapToGrid w:val="0"/>
        </w:rPr>
      </w:pPr>
      <w:r>
        <w:rPr>
          <w:snapToGrid w:val="0"/>
          <w:vertAlign w:val="superscript"/>
        </w:rPr>
        <w:t>23</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Revenue Laws Amendment (Assessment) Act 1997</w:t>
      </w:r>
      <w:r>
        <w:rPr>
          <w:snapToGrid w:val="0"/>
        </w:rPr>
        <w:t xml:space="preserve"> s. 39(2)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76D of the principal Act as it was in force immediately before the commencement day continues to have effect after the commencement day in relation to deeds made before the commencement day despite the repeal of Part IIICA by this Act.</w:t>
      </w:r>
    </w:p>
    <w:p>
      <w:pPr>
        <w:pStyle w:val="nzSubsection"/>
        <w:rPr>
          <w:snapToGrid w:val="0"/>
        </w:rPr>
      </w:pPr>
      <w:r>
        <w:rPr>
          <w:snapToGrid w:val="0"/>
        </w:rPr>
        <w:tab/>
        <w:t>(3)</w:t>
      </w:r>
      <w:r>
        <w:rPr>
          <w:snapToGrid w:val="0"/>
        </w:rPr>
        <w:tab/>
        <w:t>In subsection (2) —</w:t>
      </w:r>
    </w:p>
    <w:p>
      <w:pPr>
        <w:pStyle w:val="nzDefstart"/>
      </w:pPr>
      <w:r>
        <w:rPr>
          <w:b/>
        </w:rPr>
        <w:tab/>
        <w:t>“commencement day”</w:t>
      </w:r>
      <w:r>
        <w:t xml:space="preserve"> means the day on which this Act comes into operation.</w:t>
      </w:r>
    </w:p>
    <w:p>
      <w:pPr>
        <w:pStyle w:val="MiscClose"/>
        <w:rPr>
          <w:snapToGrid w:val="0"/>
        </w:rPr>
      </w:pPr>
      <w:r>
        <w:rPr>
          <w:snapToGrid w:val="0"/>
        </w:rPr>
        <w:t>”.</w:t>
      </w:r>
    </w:p>
    <w:p>
      <w:pPr>
        <w:pStyle w:val="nSubsection"/>
        <w:keepNext/>
        <w:rPr>
          <w:snapToGrid w:val="0"/>
        </w:rPr>
      </w:pPr>
      <w:r>
        <w:rPr>
          <w:snapToGrid w:val="0"/>
          <w:vertAlign w:val="superscript"/>
        </w:rPr>
        <w:t>25</w:t>
      </w:r>
      <w:r>
        <w:rPr>
          <w:snapToGrid w:val="0"/>
        </w:rPr>
        <w:tab/>
        <w:t xml:space="preserve">The </w:t>
      </w:r>
      <w:r>
        <w:rPr>
          <w:i/>
          <w:snapToGrid w:val="0"/>
        </w:rPr>
        <w:t>Revenue Laws Amendment (Assessment) Act 1997</w:t>
      </w:r>
      <w:r>
        <w:rPr>
          <w:snapToGrid w:val="0"/>
        </w:rPr>
        <w:t xml:space="preserve"> s. 24 and 48 read as follows:</w:t>
      </w:r>
    </w:p>
    <w:p>
      <w:pPr>
        <w:pStyle w:val="MiscOpen"/>
        <w:rPr>
          <w:snapToGrid w:val="0"/>
        </w:rPr>
      </w:pPr>
      <w:r>
        <w:rPr>
          <w:snapToGrid w:val="0"/>
        </w:rPr>
        <w:t>“</w:t>
      </w:r>
    </w:p>
    <w:p>
      <w:pPr>
        <w:pStyle w:val="nzHeading5"/>
        <w:spacing w:before="40"/>
        <w:rPr>
          <w:snapToGrid w:val="0"/>
        </w:rPr>
      </w:pPr>
      <w:r>
        <w:rPr>
          <w:snapToGrid w:val="0"/>
        </w:rPr>
        <w:t>24.</w:t>
      </w:r>
      <w:r>
        <w:rPr>
          <w:snapToGrid w:val="0"/>
        </w:rPr>
        <w:tab/>
        <w:t>Reassessment</w:t>
      </w:r>
    </w:p>
    <w:p>
      <w:pPr>
        <w:pStyle w:val="nzSubsection"/>
        <w:rPr>
          <w:snapToGrid w:val="0"/>
        </w:rPr>
      </w:pPr>
      <w:r>
        <w:rPr>
          <w:snapToGrid w:val="0"/>
        </w:rPr>
        <w:tab/>
        <w:t>(1)</w:t>
      </w:r>
      <w:r>
        <w:rPr>
          <w:snapToGrid w:val="0"/>
        </w:rPr>
        <w:tab/>
        <w:t xml:space="preserve">This Division has effect notwithstanding that duty on an instrument has been assessed on or after 27 December 1996 and before the day on which this Act receives the Royal Assent (the </w:t>
      </w:r>
      <w:r>
        <w:rPr>
          <w:b/>
          <w:snapToGrid w:val="0"/>
        </w:rPr>
        <w:t>“original assessment”</w:t>
      </w:r>
      <w:r>
        <w:rPr>
          <w:snapToGrid w:val="0"/>
        </w:rPr>
        <w:t>).</w:t>
      </w:r>
    </w:p>
    <w:p>
      <w:pPr>
        <w:pStyle w:val="nzSubsection"/>
        <w:rPr>
          <w:snapToGrid w:val="0"/>
        </w:rPr>
      </w:pPr>
      <w:r>
        <w:rPr>
          <w:snapToGrid w:val="0"/>
        </w:rPr>
        <w:tab/>
        <w:t>(2)</w:t>
      </w:r>
      <w:r>
        <w:rPr>
          <w:snapToGrid w:val="0"/>
        </w:rPr>
        <w:tab/>
        <w:t>If it appears to the Commissioner that the original assessment is for a lesser amount than would be assessed under the principal Act as amended by this Division, the Commissioner may make a reassessment of the duty chargeable.</w:t>
      </w:r>
    </w:p>
    <w:p>
      <w:pPr>
        <w:pStyle w:val="nzSubsection"/>
        <w:rPr>
          <w:snapToGrid w:val="0"/>
        </w:rPr>
      </w:pPr>
      <w:r>
        <w:rPr>
          <w:snapToGrid w:val="0"/>
        </w:rPr>
        <w:tab/>
        <w:t>(3)</w:t>
      </w:r>
      <w:r>
        <w:rPr>
          <w:snapToGrid w:val="0"/>
        </w:rPr>
        <w:tab/>
        <w:t>The reassessment supersedes the original assessment.</w:t>
      </w:r>
    </w:p>
    <w:p>
      <w:pPr>
        <w:pStyle w:val="nzSubsection"/>
        <w:rPr>
          <w:snapToGrid w:val="0"/>
        </w:rPr>
      </w:pPr>
      <w:r>
        <w:rPr>
          <w:snapToGrid w:val="0"/>
        </w:rPr>
        <w:tab/>
        <w:t>(4)</w:t>
      </w:r>
      <w:r>
        <w:rPr>
          <w:snapToGrid w:val="0"/>
        </w:rPr>
        <w:tab/>
        <w:t>The reassessment is taken to have been made under the principal Act and the provisions of the principal Act apply to and in relation to the reassessment as if it were an assessment under that Act.</w:t>
      </w:r>
    </w:p>
    <w:p>
      <w:pPr>
        <w:pStyle w:val="nzHeading5"/>
        <w:spacing w:before="80"/>
        <w:rPr>
          <w:snapToGrid w:val="0"/>
        </w:rPr>
      </w:pPr>
      <w:r>
        <w:rPr>
          <w:snapToGrid w:val="0"/>
        </w:rPr>
        <w:t>48.</w:t>
      </w:r>
      <w:r>
        <w:rPr>
          <w:snapToGrid w:val="0"/>
        </w:rPr>
        <w:tab/>
        <w:t>Transitional</w:t>
      </w:r>
    </w:p>
    <w:p>
      <w:pPr>
        <w:pStyle w:val="nzSubsection"/>
        <w:rPr>
          <w:snapToGrid w:val="0"/>
        </w:rPr>
      </w:pPr>
      <w:r>
        <w:rPr>
          <w:snapToGrid w:val="0"/>
        </w:rPr>
        <w:tab/>
      </w:r>
      <w:r>
        <w:rPr>
          <w:snapToGrid w:val="0"/>
        </w:rPr>
        <w:tab/>
        <w:t>The Commissioner is to refund the amount of any duty paid on a vehicle licence if —</w:t>
      </w:r>
    </w:p>
    <w:p>
      <w:pPr>
        <w:pStyle w:val="nzIndenta"/>
        <w:rPr>
          <w:snapToGrid w:val="0"/>
        </w:rPr>
      </w:pPr>
      <w:r>
        <w:rPr>
          <w:snapToGrid w:val="0"/>
        </w:rPr>
        <w:tab/>
        <w:t>(a)</w:t>
      </w:r>
      <w:r>
        <w:rPr>
          <w:snapToGrid w:val="0"/>
        </w:rPr>
        <w:tab/>
        <w:t>the licence was issued on or after 16 January 1997;</w:t>
      </w:r>
    </w:p>
    <w:p>
      <w:pPr>
        <w:pStyle w:val="nzIndenta"/>
        <w:rPr>
          <w:snapToGrid w:val="0"/>
        </w:rPr>
      </w:pPr>
      <w:r>
        <w:rPr>
          <w:snapToGrid w:val="0"/>
        </w:rPr>
        <w:tab/>
        <w:t>(b)</w:t>
      </w:r>
      <w:r>
        <w:rPr>
          <w:snapToGrid w:val="0"/>
        </w:rPr>
        <w:tab/>
        <w:t>the Commissioner is satisfied that, because of the amendments made to the principal Act by this Division duty is not payable on that licence; and</w:t>
      </w:r>
    </w:p>
    <w:p>
      <w:pPr>
        <w:pStyle w:val="nzIndenta"/>
        <w:rPr>
          <w:snapToGrid w:val="0"/>
        </w:rPr>
      </w:pPr>
      <w:r>
        <w:rPr>
          <w:snapToGrid w:val="0"/>
        </w:rPr>
        <w:tab/>
        <w:t>(c)</w:t>
      </w:r>
      <w:r>
        <w:rPr>
          <w:snapToGrid w:val="0"/>
        </w:rPr>
        <w:tab/>
        <w:t>an application is made in writing to the Commissioner for the refund within 12 months after the duty was paid.</w:t>
      </w:r>
    </w:p>
    <w:p>
      <w:pPr>
        <w:pStyle w:val="MiscClose"/>
        <w:rPr>
          <w:snapToGrid w:val="0"/>
          <w:sz w:val="20"/>
        </w:rPr>
      </w:pPr>
      <w:r>
        <w:rPr>
          <w:snapToGrid w:val="0"/>
          <w:sz w:val="20"/>
        </w:rPr>
        <w:t>”.</w:t>
      </w:r>
    </w:p>
    <w:p>
      <w:pPr>
        <w:pStyle w:val="nSubsection"/>
        <w:rPr>
          <w:snapToGrid w:val="0"/>
        </w:rPr>
      </w:pPr>
      <w:r>
        <w:rPr>
          <w:snapToGrid w:val="0"/>
          <w:vertAlign w:val="superscript"/>
        </w:rPr>
        <w:t>26</w:t>
      </w:r>
      <w:r>
        <w:rPr>
          <w:snapToGrid w:val="0"/>
        </w:rPr>
        <w:tab/>
        <w:t xml:space="preserve">The </w:t>
      </w:r>
      <w:r>
        <w:rPr>
          <w:i/>
          <w:snapToGrid w:val="0"/>
        </w:rPr>
        <w:t>Revenue Laws Amendment (Taxation) Act 1998</w:t>
      </w:r>
      <w:r>
        <w:rPr>
          <w:snapToGrid w:val="0"/>
        </w:rPr>
        <w:t xml:space="preserve"> s. 13 reads as follows:</w:t>
      </w:r>
    </w:p>
    <w:p>
      <w:pPr>
        <w:pStyle w:val="MiscOpen"/>
        <w:rPr>
          <w:snapToGrid w:val="0"/>
        </w:rPr>
      </w:pPr>
      <w:r>
        <w:rPr>
          <w:snapToGrid w:val="0"/>
        </w:rPr>
        <w:t>“</w:t>
      </w:r>
    </w:p>
    <w:p>
      <w:pPr>
        <w:pStyle w:val="nzHeading5"/>
        <w:spacing w:before="40"/>
      </w:pPr>
      <w:r>
        <w:t>13.</w:t>
      </w:r>
      <w:r>
        <w:tab/>
        <w:t>Saving</w:t>
      </w:r>
    </w:p>
    <w:p>
      <w:pPr>
        <w:pStyle w:val="nzSubsection"/>
      </w:pPr>
      <w:r>
        <w:tab/>
      </w:r>
      <w:r>
        <w:tab/>
        <w:t xml:space="preserve">Subject to section 2(4) and (5), and without limiting the operation of the </w:t>
      </w:r>
      <w:r>
        <w:rPr>
          <w:i/>
        </w:rPr>
        <w:t>Interpretation Act 1984</w:t>
      </w:r>
      <w:r>
        <w:t xml:space="preserve">, the provisions of the </w:t>
      </w:r>
      <w:r>
        <w:rPr>
          <w:i/>
        </w:rPr>
        <w:t xml:space="preserve">Stamp Act 1921 </w:t>
      </w:r>
      <w:r>
        <w:t>as in force immediately before 1 July 1998 continue to have effect in relation to instruments executed before 1 July 1998.</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27</w:t>
      </w:r>
      <w:r>
        <w:rPr>
          <w:snapToGrid w:val="0"/>
        </w:rPr>
        <w:tab/>
        <w:t xml:space="preserve">The </w:t>
      </w:r>
      <w:r>
        <w:rPr>
          <w:i/>
          <w:snapToGrid w:val="0"/>
        </w:rPr>
        <w:t>Revenue Laws Amendment (Taxation) Act 1998</w:t>
      </w:r>
      <w:r>
        <w:rPr>
          <w:snapToGrid w:val="0"/>
        </w:rPr>
        <w:t xml:space="preserve"> s. 2(4) and (5) read as follows:</w:t>
      </w:r>
    </w:p>
    <w:p>
      <w:pPr>
        <w:pStyle w:val="MiscOpen"/>
        <w:spacing w:before="60"/>
        <w:rPr>
          <w:snapToGrid w:val="0"/>
        </w:rPr>
      </w:pPr>
      <w:r>
        <w:rPr>
          <w:snapToGrid w:val="0"/>
        </w:rPr>
        <w:t>“</w:t>
      </w:r>
    </w:p>
    <w:p>
      <w:pPr>
        <w:pStyle w:val="nzSubsection"/>
        <w:spacing w:before="60"/>
      </w:pPr>
      <w:r>
        <w:tab/>
        <w:t>(4)</w:t>
      </w:r>
      <w:r>
        <w:tab/>
        <w:t>Section 12(11) is deemed to have come into operation on 30 April 1998 in relation to a policy of insurance that is effected on or after 30 April 1998 and before 1 July 1998 if —</w:t>
      </w:r>
    </w:p>
    <w:p>
      <w:pPr>
        <w:pStyle w:val="nzIndenta"/>
      </w:pPr>
      <w:r>
        <w:tab/>
        <w:t>(a)</w:t>
      </w:r>
      <w:r>
        <w:tab/>
        <w:t>the period for which the policy is valid commences on or after 1 July 1998; or</w:t>
      </w:r>
    </w:p>
    <w:p>
      <w:pPr>
        <w:pStyle w:val="nzIndenta"/>
      </w:pPr>
      <w:r>
        <w:tab/>
        <w:t>(b)</w:t>
      </w:r>
      <w:r>
        <w:tab/>
        <w:t>the period for which the policy is valid commences on or after 30 April 1998 and before 1 July 1998 and the policy replaces another policy with the same insurer that would otherwise have expired on or after 1 July 1998.</w:t>
      </w:r>
    </w:p>
    <w:p>
      <w:pPr>
        <w:pStyle w:val="nzSubsection"/>
      </w:pPr>
      <w:r>
        <w:tab/>
        <w:t>(5)</w:t>
      </w:r>
      <w:r>
        <w:tab/>
        <w:t>Section 12(11) is deemed to have come into operation on 30 April 1998 in relation to a policy of insurance that is renewed on or after 30 April 1998 and before 1 July 1998 if —</w:t>
      </w:r>
    </w:p>
    <w:p>
      <w:pPr>
        <w:pStyle w:val="nzIndenta"/>
      </w:pPr>
      <w:r>
        <w:tab/>
        <w:t>(a)</w:t>
      </w:r>
      <w:r>
        <w:tab/>
        <w:t>the period for which the policy is renewed commences on or after 1 July 1998; or</w:t>
      </w:r>
    </w:p>
    <w:p>
      <w:pPr>
        <w:pStyle w:val="nzIndenta"/>
      </w:pPr>
      <w:r>
        <w:tab/>
        <w:t>(b)</w:t>
      </w:r>
      <w:r>
        <w:tab/>
        <w:t>the policy being renewed would otherwise have expired on or after 1 July 1998.</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Revenue Laws Amendment (Taxation) Act 1999</w:t>
      </w:r>
      <w:r>
        <w:rPr>
          <w:snapToGrid w:val="0"/>
        </w:rPr>
        <w:t xml:space="preserve"> s. 7(2), (3) and (4) read as follows:</w:t>
      </w:r>
    </w:p>
    <w:p>
      <w:pPr>
        <w:pStyle w:val="MiscOpen"/>
        <w:rPr>
          <w:snapToGrid w:val="0"/>
        </w:rPr>
      </w:pPr>
      <w:r>
        <w:rPr>
          <w:snapToGrid w:val="0"/>
        </w:rPr>
        <w:t>“</w:t>
      </w:r>
    </w:p>
    <w:p>
      <w:pPr>
        <w:pStyle w:val="nzSubsection"/>
        <w:spacing w:before="40"/>
      </w:pPr>
      <w:r>
        <w:tab/>
        <w:t>(2)</w:t>
      </w:r>
      <w:r>
        <w:tab/>
        <w:t xml:space="preserve">Subject to subsection (3), if an application for the issue or transfer of a motor vehicle licence is made to a licensing authority before this section commences, then the </w:t>
      </w:r>
      <w:r>
        <w:rPr>
          <w:i/>
        </w:rPr>
        <w:t>Stamp Act 1921</w:t>
      </w:r>
      <w:r>
        <w:t xml:space="preserve"> as it was in force immediately before this section commences continues to operate in respect of the issue or transfer of the licence.</w:t>
      </w:r>
    </w:p>
    <w:p>
      <w:pPr>
        <w:pStyle w:val="nzSubsection"/>
      </w:pPr>
      <w:r>
        <w:tab/>
        <w:t>(3)</w:t>
      </w:r>
      <w:r>
        <w:tab/>
        <w:t>If —</w:t>
      </w:r>
    </w:p>
    <w:p>
      <w:pPr>
        <w:pStyle w:val="nzIndenta"/>
      </w:pPr>
      <w:r>
        <w:tab/>
        <w:t>(a)</w:t>
      </w:r>
      <w:r>
        <w:tab/>
        <w:t>an application for the issue or transfer of a motor vehicle licence is made to a licensing authority on or after 1 July 1999; and</w:t>
      </w:r>
    </w:p>
    <w:p>
      <w:pPr>
        <w:pStyle w:val="nzIndenta"/>
      </w:pPr>
      <w:r>
        <w:tab/>
        <w:t>(b)</w:t>
      </w:r>
      <w:r>
        <w:tab/>
        <w:t>stamp duty in respect of the issue or transfer is not paid before the day on which this section commences,</w:t>
      </w:r>
    </w:p>
    <w:p>
      <w:pPr>
        <w:pStyle w:val="nzSubsection"/>
      </w:pPr>
      <w:r>
        <w:tab/>
      </w:r>
      <w:r>
        <w:tab/>
        <w:t xml:space="preserve">then the </w:t>
      </w:r>
      <w:r>
        <w:rPr>
          <w:i/>
        </w:rPr>
        <w:t>Stamp Act 1921</w:t>
      </w:r>
      <w:r>
        <w:t xml:space="preserve"> as amended by subsection (1) operates in respect of the issue or transfer of the licence.</w:t>
      </w:r>
    </w:p>
    <w:p>
      <w:pPr>
        <w:pStyle w:val="nzSubsection"/>
      </w:pPr>
      <w:r>
        <w:tab/>
        <w:t>(4)</w:t>
      </w:r>
      <w:r>
        <w:tab/>
        <w:t xml:space="preserve">If under section 76C(9), (10) or (10C) of the </w:t>
      </w:r>
      <w:r>
        <w:rPr>
          <w:i/>
        </w:rPr>
        <w:t>Stamp Act 1921</w:t>
      </w:r>
      <w:r>
        <w:t xml:space="preserve"> duty is assessed before this section commences, then the </w:t>
      </w:r>
      <w:r>
        <w:rPr>
          <w:i/>
        </w:rPr>
        <w:t>Stamp Act 1921</w:t>
      </w:r>
      <w:r>
        <w:t xml:space="preserve"> as it was in force immediately before this section commences continues to operate in respect of any issue or transfer of a licence as a result of the assessment.</w:t>
      </w:r>
    </w:p>
    <w:p>
      <w:pPr>
        <w:pStyle w:val="MiscClose"/>
        <w:rPr>
          <w:snapToGrid w:val="0"/>
        </w:rPr>
      </w:pPr>
      <w:r>
        <w:rPr>
          <w:snapToGrid w:val="0"/>
        </w:rPr>
        <w:t>”.</w:t>
      </w:r>
    </w:p>
    <w:p>
      <w:pPr>
        <w:pStyle w:val="nSubsection"/>
        <w:rPr>
          <w:snapToGrid w:val="0"/>
        </w:rPr>
      </w:pPr>
      <w:r>
        <w:rPr>
          <w:snapToGrid w:val="0"/>
          <w:vertAlign w:val="superscript"/>
        </w:rPr>
        <w:t>29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30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Revenue Laws Amendment (Assessment) Act 2000</w:t>
      </w:r>
      <w:r>
        <w:rPr>
          <w:snapToGrid w:val="0"/>
        </w:rPr>
        <w:t xml:space="preserve"> s. 6(2) reads as follows:</w:t>
      </w:r>
    </w:p>
    <w:p>
      <w:pPr>
        <w:pStyle w:val="MiscOpen"/>
        <w:rPr>
          <w:snapToGrid w:val="0"/>
        </w:rPr>
      </w:pPr>
      <w:r>
        <w:rPr>
          <w:snapToGrid w:val="0"/>
        </w:rPr>
        <w:t>“</w:t>
      </w:r>
    </w:p>
    <w:p>
      <w:pPr>
        <w:pStyle w:val="nzSubsection"/>
        <w:spacing w:before="0"/>
      </w:pPr>
      <w:r>
        <w:tab/>
        <w:t>(2)</w:t>
      </w:r>
      <w:r>
        <w:tab/>
        <w:t xml:space="preserve">In the event of a cessation of ownership or control referred to in section 75JB(5f)(a) or (b) of the </w:t>
      </w:r>
      <w:r>
        <w:rPr>
          <w:i/>
        </w:rPr>
        <w:t>Stamp Act 1921</w:t>
      </w:r>
      <w:r>
        <w:t xml:space="preserve"> as inserted by subsection (1) taking place on or after 25 May 2000 and before this Act receives the Royal Assent, the notification required by section 75JB(5f)(c) of that Act is to be given within one month after this Act receives the Royal Assent.</w:t>
      </w:r>
    </w:p>
    <w:p>
      <w:pPr>
        <w:pStyle w:val="MiscClose"/>
        <w:rPr>
          <w:snapToGrid w:val="0"/>
        </w:rPr>
      </w:pPr>
      <w:r>
        <w:rPr>
          <w:snapToGrid w:val="0"/>
        </w:rPr>
        <w:t>”.</w:t>
      </w:r>
    </w:p>
    <w:p>
      <w:pPr>
        <w:pStyle w:val="nSubsection"/>
        <w:keepNext/>
        <w:rPr>
          <w:snapToGrid w:val="0"/>
        </w:rPr>
      </w:pPr>
      <w:r>
        <w:rPr>
          <w:snapToGrid w:val="0"/>
          <w:vertAlign w:val="superscript"/>
        </w:rPr>
        <w:t>32</w:t>
      </w:r>
      <w:r>
        <w:rPr>
          <w:snapToGrid w:val="0"/>
        </w:rPr>
        <w:tab/>
        <w:t xml:space="preserve">The </w:t>
      </w:r>
      <w:r>
        <w:rPr>
          <w:i/>
          <w:snapToGrid w:val="0"/>
        </w:rPr>
        <w:t>Revenue Laws Amendment (Assessment) Act 2000</w:t>
      </w:r>
      <w:r>
        <w:rPr>
          <w:snapToGrid w:val="0"/>
        </w:rPr>
        <w:t xml:space="preserve"> s. 8(2), (3) and (4) read as follows:</w:t>
      </w:r>
    </w:p>
    <w:p>
      <w:pPr>
        <w:pStyle w:val="MiscOpen"/>
        <w:rPr>
          <w:snapToGrid w:val="0"/>
        </w:rPr>
      </w:pPr>
      <w:r>
        <w:rPr>
          <w:snapToGrid w:val="0"/>
        </w:rPr>
        <w:t>“</w:t>
      </w:r>
    </w:p>
    <w:p>
      <w:pPr>
        <w:pStyle w:val="nzSubsection"/>
        <w:keepNext/>
        <w:spacing w:before="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33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34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35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36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37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bCs/>
        </w:rPr>
        <w:t>“</w:t>
      </w:r>
      <w:r>
        <w:rPr>
          <w:b/>
        </w:rPr>
        <w:t>FSR commencement time</w:t>
      </w:r>
      <w:r>
        <w:rPr>
          <w:b/>
          <w:bCs/>
        </w:rPr>
        <w:t>”</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38</w:t>
      </w:r>
      <w:r>
        <w:tab/>
        <w:t xml:space="preserve">The </w:t>
      </w:r>
      <w:r>
        <w:rPr>
          <w:i/>
        </w:rPr>
        <w:t>Stamp Amendment (Budget) Act 2003</w:t>
      </w:r>
      <w:r>
        <w:t xml:space="preserve"> s. 4(7) reads as follows:</w:t>
      </w:r>
    </w:p>
    <w:p>
      <w:pPr>
        <w:pStyle w:val="MiscOpen"/>
      </w:pPr>
      <w:r>
        <w:t>“</w:t>
      </w:r>
    </w:p>
    <w:p>
      <w:pPr>
        <w:pStyle w:val="nzSubsection"/>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39</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pPr>
      <w:r>
        <w:rPr>
          <w:rStyle w:val="CharSectno"/>
        </w:rPr>
        <w:t>24</w:t>
      </w:r>
      <w:r>
        <w:t>.</w:t>
      </w:r>
      <w:r>
        <w:tab/>
        <w:t>Section 63AF amended and transitional</w:t>
      </w:r>
    </w:p>
    <w:p>
      <w:pPr>
        <w:pStyle w:val="nzSubsection"/>
      </w:pPr>
      <w:r>
        <w:tab/>
        <w:t>(3)</w:t>
      </w:r>
      <w:r>
        <w:tab/>
        <w:t xml:space="preserve">However, section 63AF(2) of the </w:t>
      </w:r>
      <w:r>
        <w:rPr>
          <w:i/>
          <w:iCs/>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Heading3"/>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Defstart"/>
      </w:pPr>
      <w:r>
        <w:rPr>
          <w:b/>
        </w:rPr>
        <w:tab/>
        <w:t>“</w:t>
      </w:r>
      <w:r>
        <w:rPr>
          <w:rStyle w:val="CharDefText"/>
        </w:rPr>
        <w:t>former provisions</w:t>
      </w:r>
      <w:r>
        <w:rPr>
          <w:b/>
        </w:rPr>
        <w:t>”</w:t>
      </w:r>
      <w:r>
        <w:t xml:space="preserve"> means the </w:t>
      </w:r>
      <w:r>
        <w:rPr>
          <w:i/>
        </w:rPr>
        <w:t>Stamp Act 1921</w:t>
      </w:r>
      <w:r>
        <w:t>, as in force immediately before the commencement day;</w:t>
      </w:r>
    </w:p>
    <w:p>
      <w:pPr>
        <w:pStyle w:val="nzDefstart"/>
      </w:pPr>
      <w:r>
        <w:rPr>
          <w:b/>
        </w:rPr>
        <w:tab/>
        <w:t>“</w:t>
      </w:r>
      <w:r>
        <w:rPr>
          <w:rStyle w:val="CharDefText"/>
        </w:rPr>
        <w:t>new provisions</w:t>
      </w:r>
      <w:r>
        <w:rPr>
          <w:b/>
        </w:rPr>
        <w:t>”</w:t>
      </w:r>
      <w:r>
        <w:t xml:space="preserve"> means the </w:t>
      </w:r>
      <w:r>
        <w:rPr>
          <w:i/>
        </w:rPr>
        <w:t>Stamp Act 1921</w:t>
      </w:r>
      <w:r>
        <w:t>, as in force on the commencement day;</w:t>
      </w:r>
    </w:p>
    <w:p>
      <w:pPr>
        <w:pStyle w:val="nzDefstart"/>
      </w:pPr>
      <w:r>
        <w:rPr>
          <w:b/>
        </w:rPr>
        <w:tab/>
        <w:t>“</w:t>
      </w:r>
      <w:r>
        <w:rPr>
          <w:rStyle w:val="CharDefText"/>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pPr>
      <w:r>
        <w:rPr>
          <w:b/>
        </w:rPr>
        <w:tab/>
        <w:t>“</w:t>
      </w:r>
      <w:r>
        <w:rPr>
          <w:rStyle w:val="CharDefText"/>
        </w:rPr>
        <w:t>amended Act</w:t>
      </w:r>
      <w:r>
        <w:rPr>
          <w:b/>
        </w:rPr>
        <w:t>”</w:t>
      </w:r>
      <w:r>
        <w:t xml:space="preserve"> means the </w:t>
      </w:r>
      <w:r>
        <w:rPr>
          <w:i/>
        </w:rPr>
        <w:t>Stamp Act 1921</w:t>
      </w:r>
      <w:r>
        <w:t xml:space="preserve"> as amended by this Act and the </w:t>
      </w:r>
      <w:r>
        <w:rPr>
          <w:i/>
        </w:rPr>
        <w:t>Business Tax Review (Taxing) Act (No. 2) 2003</w:t>
      </w:r>
      <w:r>
        <w:t>;</w:t>
      </w:r>
    </w:p>
    <w:p>
      <w:pPr>
        <w:pStyle w:val="nzDefstart"/>
      </w:pPr>
      <w:r>
        <w:rPr>
          <w:b/>
        </w:rPr>
        <w:tab/>
        <w:t>“</w:t>
      </w:r>
      <w:r>
        <w:rPr>
          <w:rStyle w:val="CharDefText"/>
        </w:rPr>
        <w:t>commencement day</w:t>
      </w:r>
      <w:r>
        <w:rPr>
          <w:b/>
        </w:rPr>
        <w:t>”</w:t>
      </w:r>
      <w:r>
        <w:t xml:space="preserve"> means the day on which section 79 came into operation;</w:t>
      </w:r>
    </w:p>
    <w:p>
      <w:pPr>
        <w:pStyle w:val="nzDefstart"/>
      </w:pPr>
      <w:r>
        <w:rPr>
          <w:b/>
        </w:rPr>
        <w:tab/>
        <w:t>“</w:t>
      </w:r>
      <w:r>
        <w:rPr>
          <w:rStyle w:val="CharDefText"/>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rStyle w:val="CharDefText"/>
        </w:rPr>
        <w:t>commencement</w:t>
      </w:r>
      <w:r>
        <w:rPr>
          <w:b/>
        </w:rPr>
        <w:t>”</w:t>
      </w:r>
      <w:r>
        <w:t xml:space="preserve"> means the time at which section 85 came into operation;</w:t>
      </w:r>
    </w:p>
    <w:p>
      <w:pPr>
        <w:pStyle w:val="nzDefstart"/>
      </w:pPr>
      <w:r>
        <w:rPr>
          <w:b/>
        </w:rPr>
        <w:tab/>
        <w:t>“</w:t>
      </w:r>
      <w:r>
        <w:rPr>
          <w:rStyle w:val="CharDefText"/>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pPr>
      <w:r>
        <w:rPr>
          <w:b/>
        </w:rPr>
        <w:tab/>
        <w:t>“</w:t>
      </w:r>
      <w:r>
        <w:rPr>
          <w:rStyle w:val="CharDefText"/>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pPr>
      <w:r>
        <w:rPr>
          <w:vertAlign w:val="superscript"/>
        </w:rPr>
        <w:t>40</w:t>
      </w:r>
      <w:r>
        <w:tab/>
        <w:t xml:space="preserve">The amendment in the </w:t>
      </w:r>
      <w:r>
        <w:rPr>
          <w:i/>
        </w:rPr>
        <w:t xml:space="preserve">Business Tax Review (Assessment) Act (No. 2) 2003 </w:t>
      </w:r>
      <w:r>
        <w:t xml:space="preserve">s. 107(5) is not included because the section it sought to amend was previously amended by the </w:t>
      </w:r>
      <w:r>
        <w:rPr>
          <w:i/>
          <w:sz w:val="19"/>
        </w:rPr>
        <w:t>Acts Amendment (Equality of Status) Act 2003</w:t>
      </w:r>
      <w:r>
        <w:rPr>
          <w:sz w:val="19"/>
        </w:rPr>
        <w:t xml:space="preserve"> (</w:t>
      </w:r>
      <w:r>
        <w:t>No. 28 of 2003) s. 192(2).</w:t>
      </w:r>
    </w:p>
    <w:p>
      <w:pPr>
        <w:pStyle w:val="nSubsection"/>
      </w:pPr>
      <w:r>
        <w:rPr>
          <w:vertAlign w:val="superscript"/>
        </w:rPr>
        <w:t>41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pPr>
      <w:r>
        <w:rPr>
          <w:vertAlign w:val="superscript"/>
        </w:rPr>
        <w:t>42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rPr>
          <w:rStyle w:val="CharSectno"/>
        </w:rPr>
        <w:t>32</w:t>
      </w:r>
      <w:r>
        <w:t>.</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43</w:t>
      </w:r>
      <w:r>
        <w:tab/>
        <w:t xml:space="preserve">The </w:t>
      </w:r>
      <w:r>
        <w:rPr>
          <w:i/>
        </w:rPr>
        <w:t xml:space="preserve">Revenue Laws Amendment (Tax Relief) Act (No. 2) 2004 </w:t>
      </w:r>
      <w:r>
        <w:t>s. 9 reads as follows:</w:t>
      </w:r>
    </w:p>
    <w:p>
      <w:pPr>
        <w:pStyle w:val="MiscOpen"/>
      </w:pPr>
      <w:r>
        <w:t>“</w:t>
      </w:r>
    </w:p>
    <w:p>
      <w:pPr>
        <w:pStyle w:val="nzHeading5"/>
      </w:pPr>
      <w:r>
        <w:rPr>
          <w:rStyle w:val="CharSectno"/>
        </w:rPr>
        <w:t>9</w:t>
      </w:r>
      <w:r>
        <w:rPr>
          <w:snapToGrid w:val="0"/>
        </w:rPr>
        <w:t>.</w:t>
      </w:r>
      <w:r>
        <w:tab/>
        <w:t>Application provision</w:t>
      </w:r>
    </w:p>
    <w:p>
      <w:pPr>
        <w:pStyle w:val="nzSubsection"/>
      </w:pPr>
      <w:r>
        <w:tab/>
        <w:t>(1)</w:t>
      </w:r>
      <w:r>
        <w:tab/>
        <w:t>In this section —</w:t>
      </w:r>
    </w:p>
    <w:p>
      <w:pPr>
        <w:pStyle w:val="nzDefstart"/>
      </w:pPr>
      <w:r>
        <w:rPr>
          <w:b/>
        </w:rPr>
        <w:tab/>
        <w:t>“</w:t>
      </w:r>
      <w:r>
        <w:rPr>
          <w:rStyle w:val="CharDefText"/>
        </w:rPr>
        <w:t>conveyance or transfer</w:t>
      </w:r>
      <w:r>
        <w:rPr>
          <w:b/>
        </w:rPr>
        <w:t>”</w:t>
      </w:r>
      <w:r>
        <w:t xml:space="preserve"> of property includes a contract, agreement or other instrument that is chargeable with duty as a conveyance or transfer of property;</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existing instrument</w:t>
      </w:r>
      <w:r>
        <w:rPr>
          <w:b/>
        </w:rPr>
        <w:t>”</w:t>
      </w:r>
      <w:r>
        <w:t xml:space="preserve"> means a conveyance or transfer of property (the </w:t>
      </w:r>
      <w:r>
        <w:rPr>
          <w:b/>
        </w:rPr>
        <w:t>“dutiable property”</w:t>
      </w:r>
      <w:r>
        <w:t>) that was first executed before 29 October 2004;</w:t>
      </w:r>
    </w:p>
    <w:p>
      <w:pPr>
        <w:pStyle w:val="nzDefstart"/>
      </w:pPr>
      <w:r>
        <w:rPr>
          <w:b/>
        </w:rPr>
        <w:tab/>
        <w:t>“</w:t>
      </w:r>
      <w:r>
        <w:rPr>
          <w:rStyle w:val="CharDefText"/>
        </w:rPr>
        <w:t>former provisions</w:t>
      </w:r>
      <w:r>
        <w:rPr>
          <w:b/>
        </w:rPr>
        <w:t>”</w:t>
      </w:r>
      <w:r>
        <w:t xml:space="preserve"> means provisions of the </w:t>
      </w:r>
      <w:r>
        <w:rPr>
          <w:i/>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44</w:t>
      </w:r>
      <w:r>
        <w:tab/>
        <w:t xml:space="preserve">The </w:t>
      </w:r>
      <w:r>
        <w:rPr>
          <w:i/>
        </w:rPr>
        <w:t xml:space="preserve">Revenue Laws Amendment Act 2005 </w:t>
      </w:r>
      <w:r>
        <w:t>s. 13(5) reads as follows:</w:t>
      </w:r>
    </w:p>
    <w:p>
      <w:pPr>
        <w:pStyle w:val="MiscOpen"/>
      </w:pPr>
      <w:r>
        <w:t>“</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MiscClose"/>
      </w:pPr>
      <w:r>
        <w:t>”.</w:t>
      </w:r>
    </w:p>
    <w:p>
      <w:pPr>
        <w:pStyle w:val="nSubsection"/>
        <w:keepNext/>
      </w:pPr>
      <w:r>
        <w:rPr>
          <w:vertAlign w:val="superscript"/>
        </w:rPr>
        <w:t>45</w:t>
      </w:r>
      <w:r>
        <w:tab/>
        <w:t xml:space="preserve">The </w:t>
      </w:r>
      <w:r>
        <w:rPr>
          <w:i/>
        </w:rPr>
        <w:t xml:space="preserve">Revenue Laws Amendment Act 2005 </w:t>
      </w:r>
      <w:r>
        <w:t>s. 30 reads as follows:</w:t>
      </w:r>
    </w:p>
    <w:p>
      <w:pPr>
        <w:pStyle w:val="MiscOpen"/>
      </w:pPr>
      <w:r>
        <w:t>“</w:t>
      </w:r>
    </w:p>
    <w:p>
      <w:pPr>
        <w:pStyle w:val="nzHeading5"/>
      </w:pPr>
      <w:bookmarkStart w:id="2422" w:name="_Toc103160669"/>
      <w:bookmarkStart w:id="2423" w:name="_Toc112652971"/>
      <w:bookmarkStart w:id="2424" w:name="_Toc112658839"/>
      <w:r>
        <w:rPr>
          <w:rStyle w:val="CharSectno"/>
        </w:rPr>
        <w:t>30</w:t>
      </w:r>
      <w:r>
        <w:t>.</w:t>
      </w:r>
      <w:r>
        <w:tab/>
        <w:t>Saving and transitional provisions</w:t>
      </w:r>
      <w:bookmarkEnd w:id="2422"/>
      <w:bookmarkEnd w:id="2423"/>
      <w:bookmarkEnd w:id="2424"/>
    </w:p>
    <w:p>
      <w:pPr>
        <w:pStyle w:val="nzSubsection"/>
      </w:pPr>
      <w:r>
        <w:tab/>
        <w:t>(1)</w:t>
      </w:r>
      <w:r>
        <w:tab/>
        <w:t>In this section —</w:t>
      </w:r>
    </w:p>
    <w:p>
      <w:pPr>
        <w:pStyle w:val="nzDefstart"/>
        <w:rPr>
          <w:b/>
        </w:rPr>
      </w:pPr>
      <w:r>
        <w:rPr>
          <w:b/>
        </w:rPr>
        <w:tab/>
        <w:t>“</w:t>
      </w:r>
      <w:r>
        <w:rPr>
          <w:rStyle w:val="CharDefText"/>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46</w:t>
      </w:r>
      <w:r>
        <w:tab/>
      </w:r>
      <w:r>
        <w:rPr>
          <w:snapToGrid w:val="0"/>
        </w:rPr>
        <w:t xml:space="preserve">The </w:t>
      </w:r>
      <w:r>
        <w:rPr>
          <w:i/>
          <w:snapToGrid w:val="0"/>
        </w:rPr>
        <w:t>Stamp Amendment Act 2005</w:t>
      </w:r>
      <w:r>
        <w:rPr>
          <w:snapToGrid w:val="0"/>
        </w:rPr>
        <w:t xml:space="preserve"> s. 8 reads as follows:</w:t>
      </w:r>
    </w:p>
    <w:p>
      <w:pPr>
        <w:pStyle w:val="MiscOpen"/>
        <w:rPr>
          <w:snapToGrid w:val="0"/>
        </w:rPr>
      </w:pPr>
      <w:r>
        <w:rPr>
          <w:snapToGrid w:val="0"/>
        </w:rPr>
        <w:t>“</w:t>
      </w:r>
    </w:p>
    <w:p>
      <w:pPr>
        <w:pStyle w:val="nzHeading5"/>
      </w:pPr>
      <w:bookmarkStart w:id="2425" w:name="_Toc122241799"/>
      <w:bookmarkStart w:id="2426" w:name="_Toc122331087"/>
      <w:r>
        <w:rPr>
          <w:rStyle w:val="CharSectno"/>
        </w:rPr>
        <w:t>8</w:t>
      </w:r>
      <w:r>
        <w:t>.</w:t>
      </w:r>
      <w:r>
        <w:tab/>
        <w:t>Retrospective effect of certain provisions</w:t>
      </w:r>
      <w:bookmarkEnd w:id="2425"/>
      <w:bookmarkEnd w:id="2426"/>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rPr>
          <w:b/>
        </w:rPr>
        <w:tab/>
        <w:t>“</w:t>
      </w:r>
      <w:r>
        <w:rPr>
          <w:rStyle w:val="CharDefText"/>
        </w:rPr>
        <w:t>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Commissioner</w:t>
      </w:r>
      <w:r>
        <w:rPr>
          <w:b/>
        </w:rPr>
        <w:t>”</w:t>
      </w:r>
      <w:r>
        <w:t xml:space="preserve"> has the meaning given to that term in the </w:t>
      </w:r>
      <w:r>
        <w:rPr>
          <w:i/>
        </w:rPr>
        <w:t>Taxation Administration Act 2003</w:t>
      </w:r>
      <w:r>
        <w:t>;</w:t>
      </w:r>
    </w:p>
    <w:p>
      <w:pPr>
        <w:pStyle w:val="nzDefstart"/>
      </w:pPr>
      <w:r>
        <w:rPr>
          <w:b/>
        </w:rPr>
        <w:tab/>
        <w:t>“</w:t>
      </w:r>
      <w:r>
        <w:rPr>
          <w:rStyle w:val="CharDefText"/>
        </w:rPr>
        <w:t>reassessment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retrospective period</w:t>
      </w:r>
      <w:r>
        <w:rPr>
          <w:b/>
        </w:rPr>
        <w:t>”</w:t>
      </w:r>
      <w:r>
        <w:t xml:space="preserve"> means the period beginning on 23 August 2000 and ending on the day before the day on which this Part comes into operation.</w:t>
      </w:r>
    </w:p>
    <w:p>
      <w:pPr>
        <w:pStyle w:val="MiscClose"/>
      </w:pPr>
      <w:r>
        <w:t>”.</w:t>
      </w:r>
    </w:p>
    <w:p>
      <w:pPr>
        <w:pStyle w:val="nSubsection"/>
        <w:rPr>
          <w:snapToGrid w:val="0"/>
        </w:rPr>
      </w:pPr>
      <w:r>
        <w:rPr>
          <w:vertAlign w:val="superscript"/>
        </w:rPr>
        <w:t>47</w:t>
      </w:r>
      <w:r>
        <w:tab/>
      </w:r>
      <w:r>
        <w:rPr>
          <w:snapToGrid w:val="0"/>
        </w:rPr>
        <w:t xml:space="preserve">The </w:t>
      </w:r>
      <w:r>
        <w:rPr>
          <w:i/>
          <w:snapToGrid w:val="0"/>
        </w:rPr>
        <w:t>Stamp Amendment Act 2005</w:t>
      </w:r>
      <w:r>
        <w:rPr>
          <w:snapToGrid w:val="0"/>
        </w:rPr>
        <w:t xml:space="preserve"> s. 10(2) reads as follows:</w:t>
      </w:r>
    </w:p>
    <w:p>
      <w:pPr>
        <w:pStyle w:val="MiscOpen"/>
        <w:rPr>
          <w:snapToGrid w:val="0"/>
        </w:rPr>
      </w:pPr>
      <w:r>
        <w:rPr>
          <w:snapToGrid w:val="0"/>
        </w:rPr>
        <w:t>“</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rPr>
          <w:snapToGrid w:val="0"/>
        </w:rPr>
      </w:pPr>
      <w:r>
        <w:rPr>
          <w:vertAlign w:val="superscript"/>
        </w:rPr>
        <w:t>48</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2427" w:name="_Toc85339015"/>
      <w:bookmarkStart w:id="2428" w:name="_Toc111349322"/>
      <w:bookmarkStart w:id="2429" w:name="_Toc111430349"/>
      <w:bookmarkStart w:id="2430" w:name="_Toc122240664"/>
      <w:bookmarkStart w:id="2431" w:name="_Toc122341085"/>
      <w:r>
        <w:rPr>
          <w:rStyle w:val="CharSectno"/>
        </w:rPr>
        <w:t>7</w:t>
      </w:r>
      <w:r>
        <w:t>.</w:t>
      </w:r>
      <w:r>
        <w:tab/>
        <w:t>Transitional provisions</w:t>
      </w:r>
      <w:bookmarkEnd w:id="2427"/>
      <w:r>
        <w:t> — offshore risk policies</w:t>
      </w:r>
      <w:bookmarkEnd w:id="2428"/>
      <w:bookmarkEnd w:id="2429"/>
      <w:bookmarkEnd w:id="2430"/>
      <w:bookmarkEnd w:id="2431"/>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offshore risk insurance</w:t>
      </w:r>
      <w:r>
        <w:rPr>
          <w:b/>
        </w:rPr>
        <w:t>”</w:t>
      </w:r>
      <w:r>
        <w:t xml:space="preserve"> has the meaning given to that term in section 97 of the </w:t>
      </w:r>
      <w:r>
        <w:rPr>
          <w:i/>
        </w:rPr>
        <w:t>Stamp Act 1921</w:t>
      </w:r>
      <w:r>
        <w:t xml:space="preserve"> as inserted by section 5 of this Act;</w:t>
      </w:r>
    </w:p>
    <w:p>
      <w:pPr>
        <w:pStyle w:val="nzDefstart"/>
      </w:pPr>
      <w:r>
        <w:rPr>
          <w:b/>
        </w:rPr>
        <w:tab/>
        <w:t>“</w:t>
      </w:r>
      <w:r>
        <w:rPr>
          <w:rStyle w:val="CharDefText"/>
        </w:rPr>
        <w:t>original 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policy of insurance</w:t>
      </w:r>
      <w:r>
        <w:rPr>
          <w:b/>
        </w:rPr>
        <w:t>”</w:t>
      </w:r>
      <w:r>
        <w:t xml:space="preserve"> has the meaning given to that term in Part IIIF of the </w:t>
      </w:r>
      <w:r>
        <w:rPr>
          <w:i/>
        </w:rPr>
        <w:t>Stamp Act 1921</w:t>
      </w:r>
      <w:r>
        <w:t xml:space="preserve"> as in force immediately before this Act received the Royal Assent;</w:t>
      </w:r>
    </w:p>
    <w:p>
      <w:pPr>
        <w:pStyle w:val="nzDefstart"/>
      </w:pPr>
      <w:r>
        <w:rPr>
          <w:b/>
        </w:rPr>
        <w:tab/>
        <w:t>“</w:t>
      </w:r>
      <w:r>
        <w:rPr>
          <w:rStyle w:val="CharDefText"/>
        </w:rPr>
        <w:t>reassessment</w:t>
      </w:r>
      <w:r>
        <w:rPr>
          <w:b/>
        </w:rPr>
        <w: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rPr>
          <w:b/>
        </w:rPr>
        <w:tab/>
        <w:t>“</w:t>
      </w:r>
      <w:r>
        <w:rPr>
          <w:rStyle w:val="CharDefText"/>
        </w:rPr>
        <w:t>commencement</w:t>
      </w:r>
      <w:r>
        <w:rPr>
          <w:b/>
        </w:rPr>
        <w:t>”</w:t>
      </w:r>
      <w:r>
        <w:t xml:space="preserve"> means the time at which section 6 of this Act comes into operation;</w:t>
      </w:r>
    </w:p>
    <w:p>
      <w:pPr>
        <w:pStyle w:val="nzDefstart"/>
      </w:pPr>
      <w:r>
        <w:rPr>
          <w:b/>
        </w:rPr>
        <w:tab/>
        <w:t>“</w:t>
      </w:r>
      <w:r>
        <w:rPr>
          <w:rStyle w:val="CharDefText"/>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rStyle w:val="CharDefText"/>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49</w:t>
      </w:r>
      <w:r>
        <w:rPr>
          <w:snapToGrid w:val="0"/>
        </w:rPr>
        <w:tab/>
        <w:t xml:space="preserve">On the date as at which this reprint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
      <w:pPr>
        <w:spacing w:after="40"/>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16-a1-03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16-a1-03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16-a1-03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rPr>
              <w:noProof/>
            </w:rPr>
            <w:fldChar w:fldCharType="end"/>
          </w:r>
        </w:p>
      </w:tc>
      <w:tc>
        <w:tcPr>
          <w:tcW w:w="5390" w:type="dxa"/>
        </w:tcPr>
        <w:p>
          <w:pPr>
            <w:pStyle w:val="HeaderTextLeft"/>
          </w:pPr>
          <w:r>
            <w:fldChar w:fldCharType="begin"/>
          </w:r>
          <w:r>
            <w:instrText xml:space="preserve"> styleref CharSchText </w:instrText>
          </w:r>
          <w:r>
            <w:rPr>
              <w:noProof/>
            </w:rPr>
            <w:fldChar w:fldCharType="end"/>
          </w:r>
        </w:p>
      </w:tc>
    </w:tr>
    <w:tr>
      <w:tc>
        <w:tcPr>
          <w:tcW w:w="1873"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0" w:type="dxa"/>
        </w:tcPr>
        <w:p>
          <w:pPr>
            <w:pStyle w:val="HeaderTextLeft"/>
          </w:pPr>
          <w:r>
            <w:fldChar w:fldCharType="begin"/>
          </w:r>
          <w:r>
            <w:instrText xml:space="preserve"> styleref CharSDivText </w:instrText>
          </w:r>
          <w: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14.wmf"/><Relationship Id="rId38" Type="http://schemas.openxmlformats.org/officeDocument/2006/relationships/header" Target="header10.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4.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footer" Target="footer6.xml"/><Relationship Id="rId37" Type="http://schemas.openxmlformats.org/officeDocument/2006/relationships/header" Target="header9.xml"/><Relationship Id="rId40"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wmf"/><Relationship Id="rId28" Type="http://schemas.openxmlformats.org/officeDocument/2006/relationships/header" Target="header5.xml"/><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109288</Words>
  <Characters>512564</Characters>
  <Application>Microsoft Office Word</Application>
  <DocSecurity>0</DocSecurity>
  <Lines>14237</Lines>
  <Paragraphs>6833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615019</CharactersWithSpaces>
  <SharedDoc>false</SharedDoc>
  <HLinks>
    <vt:vector size="12" baseType="variant">
      <vt:variant>
        <vt:i4>3014716</vt:i4>
      </vt:variant>
      <vt:variant>
        <vt:i4>44124</vt:i4>
      </vt:variant>
      <vt:variant>
        <vt:i4>1025</vt:i4>
      </vt:variant>
      <vt:variant>
        <vt:i4>1</vt:i4>
      </vt:variant>
      <vt:variant>
        <vt:lpwstr>C:\Program Files\PCO DLL\Support\Crest.wpg</vt:lpwstr>
      </vt:variant>
      <vt:variant>
        <vt:lpwstr/>
      </vt:variant>
      <vt:variant>
        <vt:i4>3014716</vt:i4>
      </vt:variant>
      <vt:variant>
        <vt:i4>-1</vt:i4>
      </vt:variant>
      <vt:variant>
        <vt:i4>1043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16-a0-03 - 16-a1-03</dc:title>
  <dc:subject/>
  <dc:creator/>
  <cp:keywords/>
  <dc:description/>
  <cp:lastModifiedBy>svcMRProcess</cp:lastModifiedBy>
  <cp:revision>2</cp:revision>
  <cp:lastPrinted>2006-05-11T04:59:00Z</cp:lastPrinted>
  <dcterms:created xsi:type="dcterms:W3CDTF">2020-02-20T15:32:00Z</dcterms:created>
  <dcterms:modified xsi:type="dcterms:W3CDTF">2020-02-20T15:32:00Z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20060627</vt:lpwstr>
  </property>
  <property fmtid="{D5CDD505-2E9C-101B-9397-08002B2CF9AE}" pid="4" name="DocumentType">
    <vt:lpwstr>Act</vt:lpwstr>
  </property>
  <property fmtid="{D5CDD505-2E9C-101B-9397-08002B2CF9AE}" pid="5" name="OwlsUID">
    <vt:i4>770</vt:i4>
  </property>
  <property fmtid="{D5CDD505-2E9C-101B-9397-08002B2CF9AE}" pid="6" name="ReprintNo">
    <vt:lpwstr>16</vt:lpwstr>
  </property>
  <property fmtid="{D5CDD505-2E9C-101B-9397-08002B2CF9AE}" pid="7" name="FromSuffix">
    <vt:lpwstr>16-a0-03</vt:lpwstr>
  </property>
  <property fmtid="{D5CDD505-2E9C-101B-9397-08002B2CF9AE}" pid="8" name="FromAsAtDate">
    <vt:lpwstr>12 May 2006</vt:lpwstr>
  </property>
  <property fmtid="{D5CDD505-2E9C-101B-9397-08002B2CF9AE}" pid="9" name="ToSuffix">
    <vt:lpwstr>16-a1-03</vt:lpwstr>
  </property>
  <property fmtid="{D5CDD505-2E9C-101B-9397-08002B2CF9AE}" pid="10" name="ToAsAtDate">
    <vt:lpwstr>27 Jun 2006</vt:lpwstr>
  </property>
</Properties>
</file>