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Co-operatives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Aug 2010</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01 Sep 2010</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Co-operatives Act 2009</w:t>
      </w:r>
    </w:p>
    <w:p>
      <w:pPr>
        <w:pStyle w:val="NameofActReg"/>
      </w:pPr>
      <w:r>
        <w:t>Co-operatives Regulations 2010</w:t>
      </w:r>
    </w:p>
    <w:p>
      <w:pPr>
        <w:pStyle w:val="Heading5"/>
      </w:pPr>
      <w:bookmarkStart w:id="0" w:name="_Toc267388628"/>
      <w:bookmarkStart w:id="1" w:name="_Toc292197754"/>
      <w:bookmarkStart w:id="2" w:name="_Toc269386942"/>
      <w:r>
        <w:rPr>
          <w:rStyle w:val="CharSectno"/>
        </w:rPr>
        <w:t>1</w:t>
      </w:r>
      <w:bookmarkStart w:id="3" w:name="_GoBack"/>
      <w:bookmarkEnd w:id="3"/>
      <w:r>
        <w:t>.</w:t>
      </w:r>
      <w:r>
        <w:tab/>
        <w:t>Citation</w:t>
      </w:r>
      <w:bookmarkEnd w:id="0"/>
      <w:bookmarkEnd w:id="1"/>
      <w:bookmarkEnd w:id="2"/>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Co-operatives Regulations 2010</w:t>
      </w:r>
      <w:r>
        <w:t>.</w:t>
      </w:r>
    </w:p>
    <w:p>
      <w:pPr>
        <w:pStyle w:val="Heading5"/>
        <w:rPr>
          <w:spacing w:val="-2"/>
        </w:rPr>
      </w:pPr>
      <w:bookmarkStart w:id="5" w:name="_Toc267388629"/>
      <w:bookmarkStart w:id="6" w:name="_Toc292197755"/>
      <w:bookmarkStart w:id="7" w:name="_Toc269386943"/>
      <w:r>
        <w:rPr>
          <w:rStyle w:val="CharSectno"/>
        </w:rPr>
        <w:t>2</w:t>
      </w:r>
      <w:r>
        <w:rPr>
          <w:spacing w:val="-2"/>
        </w:rPr>
        <w:t>.</w:t>
      </w:r>
      <w:r>
        <w:rPr>
          <w:spacing w:val="-2"/>
        </w:rPr>
        <w:tab/>
        <w:t>Commencement</w:t>
      </w:r>
      <w:bookmarkEnd w:id="5"/>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Co</w:t>
      </w:r>
      <w:r>
        <w:rPr>
          <w:i/>
          <w:iCs/>
        </w:rPr>
        <w:noBreakHyphen/>
        <w:t>operatives Act 2009</w:t>
      </w:r>
      <w:r>
        <w:t xml:space="preserve"> section 489 comes into operation.</w:t>
      </w:r>
    </w:p>
    <w:p>
      <w:pPr>
        <w:pStyle w:val="Ednotesection"/>
        <w:rPr>
          <w:del w:id="8" w:author="Master Repository Process" w:date="2021-07-31T15:17:00Z"/>
        </w:rPr>
      </w:pPr>
      <w:bookmarkStart w:id="9" w:name="_Toc292197756"/>
      <w:del w:id="10" w:author="Master Repository Process" w:date="2021-07-31T15:17:00Z">
        <w:r>
          <w:delText>[</w:delText>
        </w:r>
        <w:r>
          <w:rPr>
            <w:b/>
            <w:bCs/>
          </w:rPr>
          <w:delText>3-43.</w:delText>
        </w:r>
        <w:r>
          <w:tab/>
          <w:delText>Have not come into operation</w:delText>
        </w:r>
        <w:r>
          <w:rPr>
            <w:vertAlign w:val="superscript"/>
          </w:rPr>
          <w:delText> </w:delText>
        </w:r>
        <w:r>
          <w:rPr>
            <w:i w:val="0"/>
            <w:iCs/>
            <w:vertAlign w:val="superscript"/>
          </w:rPr>
          <w:delText>2</w:delText>
        </w:r>
        <w:r>
          <w:delText>.]</w:delText>
        </w:r>
      </w:del>
    </w:p>
    <w:p>
      <w:pPr>
        <w:pStyle w:val="yEdnoteschedule"/>
        <w:rPr>
          <w:del w:id="11" w:author="Master Repository Process" w:date="2021-07-31T15:17:00Z"/>
        </w:rPr>
      </w:pPr>
      <w:del w:id="12" w:author="Master Repository Process" w:date="2021-07-31T15:17:00Z">
        <w:r>
          <w:delText>[Schedules 1</w:delText>
        </w:r>
        <w:r>
          <w:noBreakHyphen/>
          <w:delText>10 have not come into operation</w:delText>
        </w:r>
        <w:r>
          <w:rPr>
            <w:vertAlign w:val="superscript"/>
          </w:rPr>
          <w:delText> </w:delText>
        </w:r>
        <w:r>
          <w:rPr>
            <w:i w:val="0"/>
            <w:iCs/>
            <w:vertAlign w:val="superscript"/>
          </w:rPr>
          <w:delText>2</w:delText>
        </w:r>
        <w:r>
          <w:delText>.]</w:delText>
        </w:r>
      </w:del>
    </w:p>
    <w:p>
      <w:pPr>
        <w:rPr>
          <w:del w:id="13" w:author="Master Repository Process" w:date="2021-07-31T15:17:00Z"/>
        </w:rPr>
      </w:pPr>
    </w:p>
    <w:p>
      <w:pPr>
        <w:rPr>
          <w:del w:id="14" w:author="Master Repository Process" w:date="2021-07-31T15:17:00Z"/>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81" w:right="2410" w:bottom="3544" w:left="2410" w:header="720" w:footer="3380" w:gutter="0"/>
          <w:pgNumType w:start="1"/>
          <w:cols w:space="720"/>
          <w:noEndnote/>
          <w:titlePg/>
          <w:docGrid w:linePitch="326"/>
        </w:sectPr>
      </w:pPr>
    </w:p>
    <w:p>
      <w:pPr>
        <w:pStyle w:val="nHeading2"/>
        <w:rPr>
          <w:del w:id="15" w:author="Master Repository Process" w:date="2021-07-31T15:17:00Z"/>
        </w:rPr>
      </w:pPr>
      <w:del w:id="16" w:author="Master Repository Process" w:date="2021-07-31T15:17:00Z">
        <w:r>
          <w:delText>Notes</w:delText>
        </w:r>
      </w:del>
    </w:p>
    <w:p>
      <w:pPr>
        <w:pStyle w:val="nSubsection"/>
        <w:rPr>
          <w:del w:id="17" w:author="Master Repository Process" w:date="2021-07-31T15:17:00Z"/>
          <w:snapToGrid w:val="0"/>
        </w:rPr>
      </w:pPr>
      <w:del w:id="18" w:author="Master Repository Process" w:date="2021-07-31T15:17:00Z">
        <w:r>
          <w:rPr>
            <w:snapToGrid w:val="0"/>
            <w:vertAlign w:val="superscript"/>
          </w:rPr>
          <w:delText>1</w:delText>
        </w:r>
        <w:r>
          <w:rPr>
            <w:snapToGrid w:val="0"/>
          </w:rPr>
          <w:tab/>
          <w:delText xml:space="preserve">This is a compilation of the </w:delText>
        </w:r>
        <w:r>
          <w:rPr>
            <w:i/>
          </w:rPr>
          <w:delText>Co-operatives Regulations 2010.</w:delText>
        </w:r>
        <w:r>
          <w:delText xml:space="preserve">  </w:delText>
        </w:r>
        <w:r>
          <w:rPr>
            <w:snapToGrid w:val="0"/>
          </w:rPr>
          <w:delText>The following table contains information about those regulations</w:delText>
        </w:r>
        <w:r>
          <w:rPr>
            <w:snapToGrid w:val="0"/>
            <w:vertAlign w:val="superscript"/>
          </w:rPr>
          <w:delText> 1a</w:delText>
        </w:r>
        <w:bookmarkStart w:id="19" w:name="UpToHere"/>
        <w:bookmarkEnd w:id="19"/>
        <w:r>
          <w:rPr>
            <w:snapToGrid w:val="0"/>
          </w:rPr>
          <w:delText>.</w:delText>
        </w:r>
      </w:del>
    </w:p>
    <w:p>
      <w:pPr>
        <w:pStyle w:val="nHeading3"/>
        <w:rPr>
          <w:del w:id="20" w:author="Master Repository Process" w:date="2021-07-31T15:17:00Z"/>
        </w:rPr>
      </w:pPr>
      <w:bookmarkStart w:id="21" w:name="_Toc269386945"/>
      <w:del w:id="22" w:author="Master Repository Process" w:date="2021-07-31T15:17:00Z">
        <w:r>
          <w:delText>Compilation table</w:delText>
        </w:r>
        <w:bookmarkEnd w:id="21"/>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3" w:author="Master Repository Process" w:date="2021-07-31T15:17:00Z"/>
        </w:trPr>
        <w:tc>
          <w:tcPr>
            <w:tcW w:w="3118" w:type="dxa"/>
          </w:tcPr>
          <w:p>
            <w:pPr>
              <w:pStyle w:val="nTable"/>
              <w:spacing w:after="40"/>
              <w:rPr>
                <w:del w:id="24" w:author="Master Repository Process" w:date="2021-07-31T15:17:00Z"/>
                <w:b/>
                <w:sz w:val="19"/>
              </w:rPr>
            </w:pPr>
            <w:del w:id="25" w:author="Master Repository Process" w:date="2021-07-31T15:17:00Z">
              <w:r>
                <w:rPr>
                  <w:b/>
                  <w:sz w:val="19"/>
                </w:rPr>
                <w:delText>Citation</w:delText>
              </w:r>
            </w:del>
          </w:p>
        </w:tc>
        <w:tc>
          <w:tcPr>
            <w:tcW w:w="1276" w:type="dxa"/>
          </w:tcPr>
          <w:p>
            <w:pPr>
              <w:pStyle w:val="nTable"/>
              <w:spacing w:after="40"/>
              <w:rPr>
                <w:del w:id="26" w:author="Master Repository Process" w:date="2021-07-31T15:17:00Z"/>
                <w:b/>
                <w:sz w:val="19"/>
              </w:rPr>
            </w:pPr>
            <w:del w:id="27" w:author="Master Repository Process" w:date="2021-07-31T15:17:00Z">
              <w:r>
                <w:rPr>
                  <w:b/>
                  <w:sz w:val="19"/>
                </w:rPr>
                <w:delText>Gazettal</w:delText>
              </w:r>
            </w:del>
          </w:p>
        </w:tc>
        <w:tc>
          <w:tcPr>
            <w:tcW w:w="2693" w:type="dxa"/>
          </w:tcPr>
          <w:p>
            <w:pPr>
              <w:pStyle w:val="nTable"/>
              <w:spacing w:after="40"/>
              <w:rPr>
                <w:del w:id="28" w:author="Master Repository Process" w:date="2021-07-31T15:17:00Z"/>
                <w:b/>
                <w:sz w:val="19"/>
              </w:rPr>
            </w:pPr>
            <w:del w:id="29" w:author="Master Repository Process" w:date="2021-07-31T15:17:00Z">
              <w:r>
                <w:rPr>
                  <w:b/>
                  <w:sz w:val="19"/>
                </w:rPr>
                <w:delText>Commencement</w:delText>
              </w:r>
            </w:del>
          </w:p>
        </w:tc>
      </w:tr>
      <w:tr>
        <w:trPr>
          <w:del w:id="30" w:author="Master Repository Process" w:date="2021-07-31T15:17:00Z"/>
        </w:trPr>
        <w:tc>
          <w:tcPr>
            <w:tcW w:w="3118" w:type="dxa"/>
          </w:tcPr>
          <w:p>
            <w:pPr>
              <w:pStyle w:val="nTable"/>
              <w:spacing w:after="40"/>
              <w:rPr>
                <w:del w:id="31" w:author="Master Repository Process" w:date="2021-07-31T15:17:00Z"/>
              </w:rPr>
            </w:pPr>
            <w:del w:id="32" w:author="Master Repository Process" w:date="2021-07-31T15:17:00Z">
              <w:r>
                <w:rPr>
                  <w:i/>
                  <w:sz w:val="19"/>
                </w:rPr>
                <w:delText>Co-operatives Regulations 2010</w:delText>
              </w:r>
              <w:r>
                <w:delText xml:space="preserve"> r. 1 and 2</w:delText>
              </w:r>
            </w:del>
          </w:p>
        </w:tc>
        <w:tc>
          <w:tcPr>
            <w:tcW w:w="1276" w:type="dxa"/>
          </w:tcPr>
          <w:p>
            <w:pPr>
              <w:pStyle w:val="nTable"/>
              <w:spacing w:after="40"/>
              <w:rPr>
                <w:del w:id="33" w:author="Master Repository Process" w:date="2021-07-31T15:17:00Z"/>
                <w:sz w:val="19"/>
              </w:rPr>
            </w:pPr>
            <w:del w:id="34" w:author="Master Repository Process" w:date="2021-07-31T15:17:00Z">
              <w:r>
                <w:rPr>
                  <w:sz w:val="19"/>
                </w:rPr>
                <w:delText>13 Aug 2010 p. 3765-970</w:delText>
              </w:r>
            </w:del>
          </w:p>
        </w:tc>
        <w:tc>
          <w:tcPr>
            <w:tcW w:w="2693" w:type="dxa"/>
          </w:tcPr>
          <w:p>
            <w:pPr>
              <w:pStyle w:val="nTable"/>
              <w:spacing w:after="40"/>
              <w:rPr>
                <w:del w:id="35" w:author="Master Repository Process" w:date="2021-07-31T15:17:00Z"/>
                <w:sz w:val="19"/>
              </w:rPr>
            </w:pPr>
            <w:del w:id="36" w:author="Master Repository Process" w:date="2021-07-31T15:17:00Z">
              <w:r>
                <w:rPr>
                  <w:sz w:val="19"/>
                </w:rPr>
                <w:delText>r. 1 and 2: 13 Aug 2010 (see r. 2(a))</w:delText>
              </w:r>
            </w:del>
          </w:p>
        </w:tc>
      </w:tr>
    </w:tbl>
    <w:p>
      <w:pPr>
        <w:pStyle w:val="nSubsection"/>
        <w:tabs>
          <w:tab w:val="clear" w:pos="454"/>
          <w:tab w:val="left" w:pos="567"/>
        </w:tabs>
        <w:spacing w:before="120"/>
        <w:ind w:left="567" w:hanging="567"/>
        <w:rPr>
          <w:del w:id="37" w:author="Master Repository Process" w:date="2021-07-31T15:17:00Z"/>
          <w:snapToGrid w:val="0"/>
        </w:rPr>
      </w:pPr>
      <w:del w:id="38" w:author="Master Repository Process" w:date="2021-07-31T15:1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9" w:author="Master Repository Process" w:date="2021-07-31T15:17:00Z"/>
        </w:rPr>
      </w:pPr>
      <w:bookmarkStart w:id="40" w:name="_Toc7405065"/>
      <w:bookmarkStart w:id="41" w:name="_Toc269386946"/>
      <w:del w:id="42" w:author="Master Repository Process" w:date="2021-07-31T15:17:00Z">
        <w:r>
          <w:delText>Provisions that have not come into operation</w:delText>
        </w:r>
        <w:bookmarkEnd w:id="40"/>
        <w:bookmarkEnd w:id="41"/>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3" w:author="Master Repository Process" w:date="2021-07-31T15:17:00Z"/>
        </w:trPr>
        <w:tc>
          <w:tcPr>
            <w:tcW w:w="3118" w:type="dxa"/>
          </w:tcPr>
          <w:p>
            <w:pPr>
              <w:pStyle w:val="nTable"/>
              <w:spacing w:after="40"/>
              <w:rPr>
                <w:del w:id="44" w:author="Master Repository Process" w:date="2021-07-31T15:17:00Z"/>
                <w:b/>
                <w:sz w:val="19"/>
              </w:rPr>
            </w:pPr>
            <w:del w:id="45" w:author="Master Repository Process" w:date="2021-07-31T15:17:00Z">
              <w:r>
                <w:rPr>
                  <w:b/>
                  <w:sz w:val="19"/>
                </w:rPr>
                <w:delText>Citation</w:delText>
              </w:r>
            </w:del>
          </w:p>
        </w:tc>
        <w:tc>
          <w:tcPr>
            <w:tcW w:w="1276" w:type="dxa"/>
          </w:tcPr>
          <w:p>
            <w:pPr>
              <w:pStyle w:val="nTable"/>
              <w:spacing w:after="40"/>
              <w:rPr>
                <w:del w:id="46" w:author="Master Repository Process" w:date="2021-07-31T15:17:00Z"/>
                <w:b/>
                <w:sz w:val="19"/>
              </w:rPr>
            </w:pPr>
            <w:del w:id="47" w:author="Master Repository Process" w:date="2021-07-31T15:17:00Z">
              <w:r>
                <w:rPr>
                  <w:b/>
                  <w:sz w:val="19"/>
                </w:rPr>
                <w:delText>Gazettal</w:delText>
              </w:r>
            </w:del>
          </w:p>
        </w:tc>
        <w:tc>
          <w:tcPr>
            <w:tcW w:w="2693" w:type="dxa"/>
          </w:tcPr>
          <w:p>
            <w:pPr>
              <w:pStyle w:val="nTable"/>
              <w:spacing w:after="40"/>
              <w:rPr>
                <w:del w:id="48" w:author="Master Repository Process" w:date="2021-07-31T15:17:00Z"/>
                <w:b/>
                <w:sz w:val="19"/>
              </w:rPr>
            </w:pPr>
            <w:del w:id="49" w:author="Master Repository Process" w:date="2021-07-31T15:17:00Z">
              <w:r>
                <w:rPr>
                  <w:b/>
                  <w:sz w:val="19"/>
                </w:rPr>
                <w:delText>Commencement</w:delText>
              </w:r>
            </w:del>
          </w:p>
        </w:tc>
      </w:tr>
      <w:tr>
        <w:trPr>
          <w:del w:id="50" w:author="Master Repository Process" w:date="2021-07-31T15:17:00Z"/>
        </w:trPr>
        <w:tc>
          <w:tcPr>
            <w:tcW w:w="3118" w:type="dxa"/>
          </w:tcPr>
          <w:p>
            <w:pPr>
              <w:pStyle w:val="nTable"/>
              <w:spacing w:after="40"/>
              <w:rPr>
                <w:del w:id="51" w:author="Master Repository Process" w:date="2021-07-31T15:17:00Z"/>
              </w:rPr>
            </w:pPr>
            <w:del w:id="52" w:author="Master Repository Process" w:date="2021-07-31T15:17:00Z">
              <w:r>
                <w:rPr>
                  <w:i/>
                  <w:sz w:val="19"/>
                </w:rPr>
                <w:delText>Co-operatives Regulations 2010</w:delText>
              </w:r>
              <w:r>
                <w:delText xml:space="preserve"> r. 3</w:delText>
              </w:r>
              <w:r>
                <w:noBreakHyphen/>
                <w:delText>43 and Sch. 1</w:delText>
              </w:r>
              <w:r>
                <w:noBreakHyphen/>
                <w:delText>10</w:delText>
              </w:r>
              <w:r>
                <w:rPr>
                  <w:vertAlign w:val="superscript"/>
                </w:rPr>
                <w:delText> 2</w:delText>
              </w:r>
            </w:del>
          </w:p>
        </w:tc>
        <w:tc>
          <w:tcPr>
            <w:tcW w:w="1276" w:type="dxa"/>
          </w:tcPr>
          <w:p>
            <w:pPr>
              <w:pStyle w:val="nTable"/>
              <w:spacing w:after="40"/>
              <w:rPr>
                <w:del w:id="53" w:author="Master Repository Process" w:date="2021-07-31T15:17:00Z"/>
                <w:sz w:val="19"/>
              </w:rPr>
            </w:pPr>
            <w:del w:id="54" w:author="Master Repository Process" w:date="2021-07-31T15:17:00Z">
              <w:r>
                <w:rPr>
                  <w:sz w:val="19"/>
                </w:rPr>
                <w:delText>13 Aug 2010 p. 3765</w:delText>
              </w:r>
              <w:r>
                <w:rPr>
                  <w:sz w:val="19"/>
                </w:rPr>
                <w:noBreakHyphen/>
                <w:delText>970</w:delText>
              </w:r>
            </w:del>
          </w:p>
        </w:tc>
        <w:tc>
          <w:tcPr>
            <w:tcW w:w="2693" w:type="dxa"/>
          </w:tcPr>
          <w:p>
            <w:pPr>
              <w:pStyle w:val="nTable"/>
              <w:spacing w:after="40"/>
              <w:rPr>
                <w:del w:id="55" w:author="Master Repository Process" w:date="2021-07-31T15:17:00Z"/>
                <w:sz w:val="19"/>
              </w:rPr>
            </w:pPr>
            <w:del w:id="56" w:author="Master Repository Process" w:date="2021-07-31T15:17:00Z">
              <w:r>
                <w:rPr>
                  <w:sz w:val="19"/>
                </w:rPr>
                <w:delText xml:space="preserve">1 Sep 2010 (see r. 2(b) and </w:delText>
              </w:r>
              <w:r>
                <w:rPr>
                  <w:i/>
                  <w:iCs/>
                  <w:sz w:val="19"/>
                </w:rPr>
                <w:delText>Gazette</w:delText>
              </w:r>
              <w:r>
                <w:rPr>
                  <w:sz w:val="19"/>
                </w:rPr>
                <w:delText xml:space="preserve"> 13 Aug 2010 p. 3975)</w:delText>
              </w:r>
            </w:del>
          </w:p>
        </w:tc>
      </w:tr>
    </w:tbl>
    <w:p>
      <w:pPr>
        <w:rPr>
          <w:del w:id="57" w:author="Master Repository Process" w:date="2021-07-31T15:17:00Z"/>
        </w:rPr>
      </w:pPr>
    </w:p>
    <w:p>
      <w:pPr>
        <w:pStyle w:val="nSubsection"/>
        <w:keepLines/>
        <w:spacing w:before="0"/>
        <w:rPr>
          <w:del w:id="58" w:author="Master Repository Process" w:date="2021-07-31T15:17:00Z"/>
          <w:snapToGrid w:val="0"/>
        </w:rPr>
      </w:pPr>
      <w:del w:id="59" w:author="Master Repository Process" w:date="2021-07-31T15:17: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iCs/>
            <w:snapToGrid w:val="0"/>
          </w:rPr>
          <w:delText>Co-operatives Regulations 2010</w:delText>
        </w:r>
        <w:r>
          <w:rPr>
            <w:snapToGrid w:val="0"/>
          </w:rPr>
          <w:delText xml:space="preserve"> r. 3</w:delText>
        </w:r>
        <w:r>
          <w:rPr>
            <w:snapToGrid w:val="0"/>
          </w:rPr>
          <w:noBreakHyphen/>
          <w:delText>43 and Sch. 1</w:delText>
        </w:r>
        <w:r>
          <w:rPr>
            <w:snapToGrid w:val="0"/>
          </w:rPr>
          <w:noBreakHyphen/>
          <w:delText>10 had not come into operation.  They read as follows:</w:delText>
        </w:r>
      </w:del>
    </w:p>
    <w:p>
      <w:pPr>
        <w:pStyle w:val="BlankOpen"/>
        <w:rPr>
          <w:del w:id="60" w:author="Master Repository Process" w:date="2021-07-31T15:17:00Z"/>
        </w:rPr>
      </w:pPr>
    </w:p>
    <w:p>
      <w:pPr>
        <w:pStyle w:val="Heading5"/>
      </w:pPr>
      <w:bookmarkStart w:id="61" w:name="_Toc267388630"/>
      <w:bookmarkStart w:id="62" w:name="_Toc269386947"/>
      <w:r>
        <w:rPr>
          <w:rStyle w:val="CharSectno"/>
        </w:rPr>
        <w:t>3</w:t>
      </w:r>
      <w:r>
        <w:t>.</w:t>
      </w:r>
      <w:r>
        <w:tab/>
        <w:t>Documents that are not debentures (section 4(1))</w:t>
      </w:r>
      <w:bookmarkEnd w:id="9"/>
      <w:bookmarkEnd w:id="61"/>
      <w:bookmarkEnd w:id="62"/>
    </w:p>
    <w:p>
      <w:pPr>
        <w:pStyle w:val="Subsection"/>
      </w:pPr>
      <w:r>
        <w:tab/>
      </w:r>
      <w:r>
        <w:tab/>
        <w:t xml:space="preserve">For the purposes of the definition of </w:t>
      </w:r>
      <w:r>
        <w:rPr>
          <w:b/>
          <w:bCs/>
          <w:i/>
          <w:iCs/>
        </w:rPr>
        <w:t>debenture</w:t>
      </w:r>
      <w:r>
        <w:t xml:space="preserve"> in section 4(1) of the Act, a document is exempt from the definition if it is — </w:t>
      </w:r>
    </w:p>
    <w:p>
      <w:pPr>
        <w:pStyle w:val="Indenta"/>
      </w:pPr>
      <w:r>
        <w:tab/>
        <w:t>(a)</w:t>
      </w:r>
      <w:r>
        <w:tab/>
        <w:t xml:space="preserve">a document that — </w:t>
      </w:r>
    </w:p>
    <w:p>
      <w:pPr>
        <w:pStyle w:val="Indenti"/>
      </w:pPr>
      <w:r>
        <w:tab/>
        <w:t>(i)</w:t>
      </w:r>
      <w:r>
        <w:tab/>
        <w:t>contains all or some of the conditions on which deposits are accepted by, or withdrawn from, a co</w:t>
      </w:r>
      <w:r>
        <w:noBreakHyphen/>
        <w:t>operative; and</w:t>
      </w:r>
    </w:p>
    <w:p>
      <w:pPr>
        <w:pStyle w:val="Indenti"/>
      </w:pPr>
      <w:r>
        <w:tab/>
        <w:t>(ii)</w:t>
      </w:r>
      <w:r>
        <w:tab/>
        <w:t>acknowledges the receipt of a deposit with a co</w:t>
      </w:r>
      <w:r>
        <w:noBreakHyphen/>
        <w:t>operative; and</w:t>
      </w:r>
    </w:p>
    <w:p>
      <w:pPr>
        <w:pStyle w:val="Indenti"/>
      </w:pPr>
      <w:r>
        <w:tab/>
        <w:t>(iii)</w:t>
      </w:r>
      <w:r>
        <w:tab/>
        <w:t>enables further deposits to be made adding to the balance of an existing deposit; and</w:t>
      </w:r>
    </w:p>
    <w:p>
      <w:pPr>
        <w:pStyle w:val="Indenti"/>
      </w:pPr>
      <w:r>
        <w:lastRenderedPageBreak/>
        <w:tab/>
        <w:t>(iv)</w:t>
      </w:r>
      <w:r>
        <w:tab/>
        <w:t>enables all or part of the balance of a deposit to be withdrawn, whether at call or on the giving of a fixed period of notice; and</w:t>
      </w:r>
    </w:p>
    <w:p>
      <w:pPr>
        <w:pStyle w:val="Indenti"/>
      </w:pPr>
      <w:r>
        <w:tab/>
        <w:t>(v)</w:t>
      </w:r>
      <w:r>
        <w:tab/>
        <w:t>acknowledges the amount of the withdrawal and the balance remaining;</w:t>
      </w:r>
    </w:p>
    <w:p>
      <w:pPr>
        <w:pStyle w:val="Indenta"/>
      </w:pPr>
      <w:r>
        <w:tab/>
      </w:r>
      <w:r>
        <w:tab/>
        <w:t>or</w:t>
      </w:r>
    </w:p>
    <w:p>
      <w:pPr>
        <w:pStyle w:val="Indenta"/>
      </w:pPr>
      <w:r>
        <w:tab/>
        <w:t>(b)</w:t>
      </w:r>
      <w:r>
        <w:tab/>
        <w:t>a document acknowledging a debt incurred by a co</w:t>
      </w:r>
      <w:r>
        <w:noBreakHyphen/>
        <w:t xml:space="preserve">operative — </w:t>
      </w:r>
    </w:p>
    <w:p>
      <w:pPr>
        <w:pStyle w:val="Indenti"/>
      </w:pPr>
      <w:r>
        <w:tab/>
        <w:t>(i)</w:t>
      </w:r>
      <w:r>
        <w:tab/>
        <w:t>in the ordinary course of carrying on so much of a business as is not, or is not part of, a business of borrowing money and providing finance; and</w:t>
      </w:r>
    </w:p>
    <w:p>
      <w:pPr>
        <w:pStyle w:val="Indenti"/>
      </w:pPr>
      <w:r>
        <w:tab/>
        <w:t>(ii)</w:t>
      </w:r>
      <w:r>
        <w:tab/>
        <w:t>in relation to money that is or may be deposited with or lent to the co</w:t>
      </w:r>
      <w:r>
        <w:noBreakHyphen/>
        <w:t>operative by a person in the ordinary course of a business carried on by the co</w:t>
      </w:r>
      <w:r>
        <w:noBreakHyphen/>
        <w:t>operative;</w:t>
      </w:r>
    </w:p>
    <w:p>
      <w:pPr>
        <w:pStyle w:val="Indenta"/>
      </w:pPr>
      <w:r>
        <w:tab/>
      </w:r>
      <w:r>
        <w:tab/>
        <w:t>or</w:t>
      </w:r>
    </w:p>
    <w:p>
      <w:pPr>
        <w:pStyle w:val="Indenta"/>
      </w:pPr>
      <w:r>
        <w:tab/>
        <w:t>(c)</w:t>
      </w:r>
      <w:r>
        <w:tab/>
        <w:t>a document issued by a company that is evidence of a debt owed by the company to a co</w:t>
      </w:r>
      <w:r>
        <w:noBreakHyphen/>
        <w:t>operative that is a holding company (within the meaning of the Corporations Act) of the company; or</w:t>
      </w:r>
    </w:p>
    <w:p>
      <w:pPr>
        <w:pStyle w:val="Indenta"/>
      </w:pPr>
      <w:r>
        <w:tab/>
        <w:t>(d)</w:t>
      </w:r>
      <w:r>
        <w:tab/>
        <w:t>a document issued by a co</w:t>
      </w:r>
      <w:r>
        <w:noBreakHyphen/>
        <w:t>operative that is evidence of a debt owed by the co</w:t>
      </w:r>
      <w:r>
        <w:noBreakHyphen/>
        <w:t>operative to a corporation that is a subsidiary of the co</w:t>
      </w:r>
      <w:r>
        <w:noBreakHyphen/>
        <w:t>operative.</w:t>
      </w:r>
    </w:p>
    <w:p>
      <w:pPr>
        <w:pStyle w:val="Heading5"/>
      </w:pPr>
      <w:bookmarkStart w:id="63" w:name="_Toc292197757"/>
      <w:bookmarkStart w:id="64" w:name="_Toc267388631"/>
      <w:bookmarkStart w:id="65" w:name="_Toc269386948"/>
      <w:r>
        <w:rPr>
          <w:rStyle w:val="CharSectno"/>
        </w:rPr>
        <w:t>4</w:t>
      </w:r>
      <w:r>
        <w:t>.</w:t>
      </w:r>
      <w:r>
        <w:tab/>
        <w:t>Modifications to the Corporations Act (section 11)</w:t>
      </w:r>
      <w:bookmarkEnd w:id="63"/>
      <w:bookmarkEnd w:id="64"/>
      <w:bookmarkEnd w:id="65"/>
    </w:p>
    <w:p>
      <w:pPr>
        <w:pStyle w:val="Subsection"/>
      </w:pPr>
      <w:r>
        <w:tab/>
      </w:r>
      <w:r>
        <w:tab/>
        <w:t>For the purposes of section 11 of the Act, the modifications to the Corporations Act set out in Schedule 5 Division 1 are prescribed.</w:t>
      </w:r>
    </w:p>
    <w:p>
      <w:pPr>
        <w:pStyle w:val="Heading5"/>
      </w:pPr>
      <w:bookmarkStart w:id="66" w:name="_Toc292197758"/>
      <w:bookmarkStart w:id="67" w:name="_Toc267388632"/>
      <w:bookmarkStart w:id="68" w:name="_Toc269386949"/>
      <w:r>
        <w:rPr>
          <w:rStyle w:val="CharSectno"/>
        </w:rPr>
        <w:t>5</w:t>
      </w:r>
      <w:r>
        <w:t>.</w:t>
      </w:r>
      <w:r>
        <w:tab/>
        <w:t>Content of rules (section 98)</w:t>
      </w:r>
      <w:bookmarkEnd w:id="66"/>
      <w:bookmarkEnd w:id="67"/>
      <w:bookmarkEnd w:id="68"/>
    </w:p>
    <w:p>
      <w:pPr>
        <w:pStyle w:val="Subsection"/>
      </w:pPr>
      <w:r>
        <w:tab/>
        <w:t>(1)</w:t>
      </w:r>
      <w:r>
        <w:tab/>
        <w:t>For the purposes of section 98 of the Act, the rules of a co</w:t>
      </w:r>
      <w:r>
        <w:noBreakHyphen/>
        <w:t xml:space="preserve">operative with share capital must state — </w:t>
      </w:r>
    </w:p>
    <w:p>
      <w:pPr>
        <w:pStyle w:val="Indenta"/>
      </w:pPr>
      <w:r>
        <w:tab/>
        <w:t>(a)</w:t>
      </w:r>
      <w:r>
        <w:tab/>
        <w:t>the minimum number of shares a member of the co</w:t>
      </w:r>
      <w:r>
        <w:noBreakHyphen/>
        <w:t>operative must hold; and</w:t>
      </w:r>
    </w:p>
    <w:p>
      <w:pPr>
        <w:pStyle w:val="Indenta"/>
      </w:pPr>
      <w:r>
        <w:tab/>
        <w:t>(b)</w:t>
      </w:r>
      <w:r>
        <w:tab/>
        <w:t>the way in which the minimum number must be decided, including, for example, by reference to the use made of the co</w:t>
      </w:r>
      <w:r>
        <w:noBreakHyphen/>
        <w:t>operative by a member.</w:t>
      </w:r>
    </w:p>
    <w:p>
      <w:pPr>
        <w:pStyle w:val="Subsection"/>
      </w:pPr>
      <w:r>
        <w:tab/>
        <w:t>(2)</w:t>
      </w:r>
      <w:r>
        <w:tab/>
        <w:t>For the purposes of section 98(7) of the Act, the maximum fine a co</w:t>
      </w:r>
      <w:r>
        <w:noBreakHyphen/>
        <w:t xml:space="preserve">operative may impose on a member under its rules is — </w:t>
      </w:r>
    </w:p>
    <w:p>
      <w:pPr>
        <w:pStyle w:val="Indenta"/>
      </w:pPr>
      <w:r>
        <w:tab/>
        <w:t>(a)</w:t>
      </w:r>
      <w:r>
        <w:tab/>
        <w:t>for a distributing co</w:t>
      </w:r>
      <w:r>
        <w:noBreakHyphen/>
        <w:t>operative — a fine of $1 000; or</w:t>
      </w:r>
    </w:p>
    <w:p>
      <w:pPr>
        <w:pStyle w:val="Indenta"/>
      </w:pPr>
      <w:r>
        <w:tab/>
        <w:t>(b)</w:t>
      </w:r>
      <w:r>
        <w:tab/>
        <w:t>for a non</w:t>
      </w:r>
      <w:r>
        <w:noBreakHyphen/>
        <w:t>distributing co</w:t>
      </w:r>
      <w:r>
        <w:noBreakHyphen/>
        <w:t>operative — a fine of  $1 000.</w:t>
      </w:r>
    </w:p>
    <w:p>
      <w:pPr>
        <w:pStyle w:val="Subsection"/>
      </w:pPr>
      <w:r>
        <w:tab/>
        <w:t>(3)</w:t>
      </w:r>
      <w:r>
        <w:tab/>
        <w:t>For the purposes of section 98 of the Act, the rules of a small co</w:t>
      </w:r>
      <w:r>
        <w:noBreakHyphen/>
        <w:t xml:space="preserve">operative with share capital must make provision for — </w:t>
      </w:r>
    </w:p>
    <w:p>
      <w:pPr>
        <w:pStyle w:val="Indenta"/>
      </w:pPr>
      <w:r>
        <w:tab/>
        <w:t>(a)</w:t>
      </w:r>
      <w:r>
        <w:tab/>
        <w:t>the information that must be provided to members prior to the annual general meeting; and</w:t>
      </w:r>
    </w:p>
    <w:p>
      <w:pPr>
        <w:pStyle w:val="Indenta"/>
      </w:pPr>
      <w:r>
        <w:tab/>
        <w:t>(b)</w:t>
      </w:r>
      <w:r>
        <w:tab/>
        <w:t>the appointment of an auditor either at a general meeting or if required to do so as a result of a direction under the Corporations Act section 293 or 294.</w:t>
      </w:r>
    </w:p>
    <w:p>
      <w:pPr>
        <w:pStyle w:val="Heading5"/>
      </w:pPr>
      <w:bookmarkStart w:id="69" w:name="_Toc292197759"/>
      <w:bookmarkStart w:id="70" w:name="_Toc267388633"/>
      <w:bookmarkStart w:id="71" w:name="_Toc269386950"/>
      <w:r>
        <w:rPr>
          <w:rStyle w:val="CharSectno"/>
        </w:rPr>
        <w:t>6</w:t>
      </w:r>
      <w:r>
        <w:t>.</w:t>
      </w:r>
      <w:r>
        <w:tab/>
        <w:t>Model rules prescribed (section 101)</w:t>
      </w:r>
      <w:bookmarkEnd w:id="69"/>
      <w:bookmarkEnd w:id="70"/>
      <w:bookmarkEnd w:id="71"/>
    </w:p>
    <w:p>
      <w:pPr>
        <w:pStyle w:val="Subsection"/>
      </w:pPr>
      <w:r>
        <w:tab/>
      </w:r>
      <w:r>
        <w:tab/>
        <w:t>The model rules set out in Schedules 1, 2 and 3 to these regulations are prescribed under section 101 of the Act.</w:t>
      </w:r>
    </w:p>
    <w:p>
      <w:pPr>
        <w:pStyle w:val="Heading5"/>
      </w:pPr>
      <w:bookmarkStart w:id="72" w:name="_Toc292197760"/>
      <w:bookmarkStart w:id="73" w:name="_Toc267388634"/>
      <w:bookmarkStart w:id="74" w:name="_Toc269386951"/>
      <w:r>
        <w:rPr>
          <w:rStyle w:val="CharSectno"/>
        </w:rPr>
        <w:t>7</w:t>
      </w:r>
      <w:r>
        <w:t>.</w:t>
      </w:r>
      <w:r>
        <w:tab/>
        <w:t>Factors and considerations for determining primary activities, etc. (section 115)</w:t>
      </w:r>
      <w:bookmarkEnd w:id="72"/>
      <w:bookmarkEnd w:id="73"/>
      <w:bookmarkEnd w:id="74"/>
    </w:p>
    <w:p>
      <w:pPr>
        <w:pStyle w:val="Subsection"/>
      </w:pPr>
      <w:r>
        <w:tab/>
        <w:t>(1)</w:t>
      </w:r>
      <w:r>
        <w:tab/>
        <w:t>For the purposes of section 115(2)(c) of the Act, a relevant factor and consideration is that the co</w:t>
      </w:r>
      <w:r>
        <w:noBreakHyphen/>
        <w:t>operative actually carries on its primary activities.</w:t>
      </w:r>
    </w:p>
    <w:p>
      <w:pPr>
        <w:pStyle w:val="Subsection"/>
      </w:pPr>
      <w:r>
        <w:tab/>
        <w:t>(2)</w:t>
      </w:r>
      <w:r>
        <w:tab/>
        <w:t>For the purposes of section 115(3) of the Act, an activity makes a significant contribution to the business of a co</w:t>
      </w:r>
      <w:r>
        <w:noBreakHyphen/>
        <w:t xml:space="preserve">operative — </w:t>
      </w:r>
    </w:p>
    <w:p>
      <w:pPr>
        <w:pStyle w:val="Indenta"/>
      </w:pPr>
      <w:r>
        <w:tab/>
        <w:t>(a)</w:t>
      </w:r>
      <w:r>
        <w:tab/>
        <w:t xml:space="preserve">if it contributes at least — </w:t>
      </w:r>
    </w:p>
    <w:p>
      <w:pPr>
        <w:pStyle w:val="Indenti"/>
      </w:pPr>
      <w:r>
        <w:tab/>
        <w:t>(i)</w:t>
      </w:r>
      <w:r>
        <w:tab/>
        <w:t>10% of the co</w:t>
      </w:r>
      <w:r>
        <w:noBreakHyphen/>
        <w:t>operative’s turnover; or</w:t>
      </w:r>
    </w:p>
    <w:p>
      <w:pPr>
        <w:pStyle w:val="Indenti"/>
      </w:pPr>
      <w:r>
        <w:tab/>
        <w:t>(ii)</w:t>
      </w:r>
      <w:r>
        <w:tab/>
        <w:t>10% of the co</w:t>
      </w:r>
      <w:r>
        <w:noBreakHyphen/>
        <w:t>operative’s income; or</w:t>
      </w:r>
    </w:p>
    <w:p>
      <w:pPr>
        <w:pStyle w:val="Indenti"/>
      </w:pPr>
      <w:r>
        <w:tab/>
        <w:t>(iii)</w:t>
      </w:r>
      <w:r>
        <w:tab/>
        <w:t>10% of the co</w:t>
      </w:r>
      <w:r>
        <w:noBreakHyphen/>
        <w:t>operative’s expenses; or</w:t>
      </w:r>
    </w:p>
    <w:p>
      <w:pPr>
        <w:pStyle w:val="Indenti"/>
      </w:pPr>
      <w:r>
        <w:tab/>
        <w:t>(iv)</w:t>
      </w:r>
      <w:r>
        <w:tab/>
        <w:t>10% of the co</w:t>
      </w:r>
      <w:r>
        <w:noBreakHyphen/>
        <w:t>operative’s surplus;</w:t>
      </w:r>
    </w:p>
    <w:p>
      <w:pPr>
        <w:pStyle w:val="Indenta"/>
      </w:pPr>
      <w:r>
        <w:tab/>
      </w:r>
      <w:r>
        <w:tab/>
        <w:t>or</w:t>
      </w:r>
    </w:p>
    <w:p>
      <w:pPr>
        <w:pStyle w:val="Indenta"/>
      </w:pPr>
      <w:r>
        <w:tab/>
        <w:t>(b)</w:t>
      </w:r>
      <w:r>
        <w:tab/>
        <w:t>if, in the Registrar’s opinion, failure by the co</w:t>
      </w:r>
      <w:r>
        <w:noBreakHyphen/>
        <w:t>operative to conduct the activity would reduce the business conducted by the co</w:t>
      </w:r>
      <w:r>
        <w:noBreakHyphen/>
        <w:t>operative by more than 10%.</w:t>
      </w:r>
    </w:p>
    <w:p>
      <w:pPr>
        <w:pStyle w:val="Heading5"/>
      </w:pPr>
      <w:bookmarkStart w:id="75" w:name="_Toc292197761"/>
      <w:bookmarkStart w:id="76" w:name="_Toc267388635"/>
      <w:bookmarkStart w:id="77" w:name="_Toc269386952"/>
      <w:r>
        <w:rPr>
          <w:rStyle w:val="CharSectno"/>
        </w:rPr>
        <w:t>8</w:t>
      </w:r>
      <w:r>
        <w:t>.</w:t>
      </w:r>
      <w:r>
        <w:tab/>
        <w:t>Particulars for register of cancelled memberships (section 130)</w:t>
      </w:r>
      <w:bookmarkEnd w:id="75"/>
      <w:bookmarkEnd w:id="76"/>
      <w:bookmarkEnd w:id="77"/>
    </w:p>
    <w:p>
      <w:pPr>
        <w:pStyle w:val="Subsection"/>
      </w:pPr>
      <w:r>
        <w:tab/>
      </w:r>
      <w:r>
        <w:tab/>
        <w:t>For the purposes of section 130 of the Act, the particulars for the register of cancelled memberships are those set out in Schedule 4, clause 5 to these regulations.</w:t>
      </w:r>
    </w:p>
    <w:p>
      <w:pPr>
        <w:pStyle w:val="Heading5"/>
      </w:pPr>
      <w:bookmarkStart w:id="78" w:name="_Toc292197762"/>
      <w:bookmarkStart w:id="79" w:name="_Toc267388636"/>
      <w:bookmarkStart w:id="80" w:name="_Toc269386953"/>
      <w:r>
        <w:rPr>
          <w:rStyle w:val="CharSectno"/>
        </w:rPr>
        <w:t>9</w:t>
      </w:r>
      <w:r>
        <w:t>.</w:t>
      </w:r>
      <w:r>
        <w:tab/>
        <w:t>Valuers who may give certificates of the value of assets for bonus shares (section 149)</w:t>
      </w:r>
      <w:bookmarkEnd w:id="78"/>
      <w:bookmarkEnd w:id="79"/>
      <w:bookmarkEnd w:id="80"/>
    </w:p>
    <w:p>
      <w:pPr>
        <w:pStyle w:val="Subsection"/>
      </w:pPr>
      <w:r>
        <w:tab/>
      </w:r>
      <w:r>
        <w:tab/>
        <w:t xml:space="preserve">For the purposes of section 149(c) of the Act, each of the following may give a certificate of the value of assets — </w:t>
      </w:r>
    </w:p>
    <w:p>
      <w:pPr>
        <w:pStyle w:val="Indenta"/>
      </w:pPr>
      <w:r>
        <w:tab/>
        <w:t>(a)</w:t>
      </w:r>
      <w:r>
        <w:tab/>
        <w:t xml:space="preserve">for land — a person licensed under the </w:t>
      </w:r>
      <w:r>
        <w:rPr>
          <w:i/>
          <w:iCs/>
        </w:rPr>
        <w:t>Land Valuers Licensing Act 1978</w:t>
      </w:r>
      <w:r>
        <w:t>;</w:t>
      </w:r>
    </w:p>
    <w:p>
      <w:pPr>
        <w:pStyle w:val="Indenta"/>
      </w:pPr>
      <w:r>
        <w:tab/>
        <w:t>(b)</w:t>
      </w:r>
      <w:r>
        <w:tab/>
        <w:t>for another kind of asset — a person who has been engaged in valuing assets of the kind, for, or for periods totalling, at least 5 years.</w:t>
      </w:r>
    </w:p>
    <w:p>
      <w:pPr>
        <w:pStyle w:val="Heading5"/>
      </w:pPr>
      <w:bookmarkStart w:id="81" w:name="_Toc292197763"/>
      <w:bookmarkStart w:id="82" w:name="_Toc267388637"/>
      <w:bookmarkStart w:id="83" w:name="_Toc269386954"/>
      <w:r>
        <w:rPr>
          <w:rStyle w:val="CharSectno"/>
        </w:rPr>
        <w:t>10</w:t>
      </w:r>
      <w:r>
        <w:t>.</w:t>
      </w:r>
      <w:r>
        <w:tab/>
        <w:t>Disqualified persons (section 200)</w:t>
      </w:r>
      <w:bookmarkEnd w:id="81"/>
      <w:bookmarkEnd w:id="82"/>
      <w:bookmarkEnd w:id="83"/>
    </w:p>
    <w:p>
      <w:pPr>
        <w:pStyle w:val="Subsection"/>
      </w:pPr>
      <w:r>
        <w:tab/>
      </w:r>
      <w:r>
        <w:tab/>
        <w:t xml:space="preserve">For the purposes of section 200(3) of the Act, each of the following is an authority who may give a certificate about a person’s release from prison — </w:t>
      </w:r>
    </w:p>
    <w:p>
      <w:pPr>
        <w:pStyle w:val="Indenta"/>
      </w:pPr>
      <w:r>
        <w:tab/>
        <w:t>(a)</w:t>
      </w:r>
      <w:r>
        <w:tab/>
        <w:t xml:space="preserve">for a person imprisoned in </w:t>
      </w:r>
      <w:smartTag w:uri="urn:schemas-microsoft-com:office:smarttags" w:element="State">
        <w:r>
          <w:t>Victoria</w:t>
        </w:r>
      </w:smartTag>
      <w:r>
        <w:t xml:space="preserve"> — the governor of the prison in </w:t>
      </w:r>
      <w:smartTag w:uri="urn:schemas-microsoft-com:office:smarttags" w:element="State">
        <w:smartTag w:uri="urn:schemas-microsoft-com:office:smarttags" w:element="place">
          <w:r>
            <w:t>Victoria</w:t>
          </w:r>
        </w:smartTag>
      </w:smartTag>
      <w:r>
        <w:t xml:space="preserve"> that had legal custody of the person on the person’s release;</w:t>
      </w:r>
    </w:p>
    <w:p>
      <w:pPr>
        <w:pStyle w:val="Indenta"/>
      </w:pPr>
      <w:r>
        <w:tab/>
        <w:t>(b)</w:t>
      </w:r>
      <w:r>
        <w:tab/>
        <w:t>for a person imprisoned in New South Wales — the Corrective Services Commission of New South Wales;</w:t>
      </w:r>
    </w:p>
    <w:p>
      <w:pPr>
        <w:pStyle w:val="Indenta"/>
      </w:pPr>
      <w:r>
        <w:tab/>
        <w:t>(c)</w:t>
      </w:r>
      <w:r>
        <w:tab/>
        <w:t xml:space="preserve">for a person imprisoned in </w:t>
      </w:r>
      <w:smartTag w:uri="urn:schemas-microsoft-com:office:smarttags" w:element="State">
        <w:r>
          <w:t>Queensland</w:t>
        </w:r>
      </w:smartTag>
      <w:r>
        <w:t xml:space="preserve"> — the manager of the prison in </w:t>
      </w:r>
      <w:smartTag w:uri="urn:schemas-microsoft-com:office:smarttags" w:element="State">
        <w:smartTag w:uri="urn:schemas-microsoft-com:office:smarttags" w:element="place">
          <w:r>
            <w:t>Queensland</w:t>
          </w:r>
        </w:smartTag>
      </w:smartTag>
      <w:r>
        <w:t xml:space="preserve"> that had legal custody of the person on the person’s release;</w:t>
      </w:r>
    </w:p>
    <w:p>
      <w:pPr>
        <w:pStyle w:val="Indenta"/>
      </w:pPr>
      <w:r>
        <w:tab/>
        <w:t>(d)</w:t>
      </w:r>
      <w:r>
        <w:tab/>
        <w:t xml:space="preserve">for a person imprisoned in </w:t>
      </w:r>
      <w:smartTag w:uri="urn:schemas-microsoft-com:office:smarttags" w:element="State">
        <w:r>
          <w:t>Western Australia</w:t>
        </w:r>
      </w:smartTag>
      <w:r>
        <w:t xml:space="preserve"> — the Commissioner of Corrective Services in </w:t>
      </w:r>
      <w:smartTag w:uri="urn:schemas-microsoft-com:office:smarttags" w:element="State">
        <w:smartTag w:uri="urn:schemas-microsoft-com:office:smarttags" w:element="place">
          <w:r>
            <w:t>Western Australia</w:t>
          </w:r>
        </w:smartTag>
      </w:smartTag>
      <w:r>
        <w:t>;</w:t>
      </w:r>
    </w:p>
    <w:p>
      <w:pPr>
        <w:pStyle w:val="Indenta"/>
      </w:pPr>
      <w:r>
        <w:tab/>
        <w:t>(e)</w:t>
      </w:r>
      <w:r>
        <w:tab/>
        <w:t xml:space="preserve">for a person imprisoned in </w:t>
      </w:r>
      <w:smartTag w:uri="urn:schemas-microsoft-com:office:smarttags" w:element="State">
        <w:smartTag w:uri="urn:schemas-microsoft-com:office:smarttags" w:element="place">
          <w:r>
            <w:t>South Australia</w:t>
          </w:r>
        </w:smartTag>
      </w:smartTag>
      <w:r>
        <w:t> — the chief executive of the Department for Correctional Services of South Australia;</w:t>
      </w:r>
    </w:p>
    <w:p>
      <w:pPr>
        <w:pStyle w:val="Indenta"/>
      </w:pPr>
      <w:r>
        <w:tab/>
        <w:t>(f)</w:t>
      </w:r>
      <w:r>
        <w:tab/>
        <w:t xml:space="preserve">for a person imprisoned in </w:t>
      </w:r>
      <w:smartTag w:uri="urn:schemas-microsoft-com:office:smarttags" w:element="State">
        <w:r>
          <w:t>Tasmania</w:t>
        </w:r>
      </w:smartTag>
      <w:r>
        <w:t xml:space="preserve"> — the director of Corrective Services in </w:t>
      </w:r>
      <w:smartTag w:uri="urn:schemas-microsoft-com:office:smarttags" w:element="State">
        <w:smartTag w:uri="urn:schemas-microsoft-com:office:smarttags" w:element="place">
          <w:r>
            <w:t>Tasmania</w:t>
          </w:r>
        </w:smartTag>
      </w:smartTag>
      <w:r>
        <w:t>;</w:t>
      </w:r>
    </w:p>
    <w:p>
      <w:pPr>
        <w:pStyle w:val="Indenta"/>
      </w:pPr>
      <w:r>
        <w:tab/>
        <w:t>(g)</w:t>
      </w:r>
      <w:r>
        <w:tab/>
        <w:t xml:space="preserve">for a person imprisoned in the </w:t>
      </w:r>
      <w:smartTag w:uri="urn:schemas-microsoft-com:office:smarttags" w:element="State">
        <w:r>
          <w:t>Australian Capital Territory</w:t>
        </w:r>
      </w:smartTag>
      <w:r>
        <w:t xml:space="preserve"> — the chief executive responsible for the </w:t>
      </w:r>
      <w:r>
        <w:rPr>
          <w:i/>
          <w:iCs/>
        </w:rPr>
        <w:t>Corrections Management Act 2007</w:t>
      </w:r>
      <w:r>
        <w:t xml:space="preserve"> (</w:t>
      </w:r>
      <w:smartTag w:uri="urn:schemas-microsoft-com:office:smarttags" w:element="State">
        <w:smartTag w:uri="urn:schemas-microsoft-com:office:smarttags" w:element="place">
          <w:r>
            <w:t>Australian Capital Territory</w:t>
          </w:r>
        </w:smartTag>
      </w:smartTag>
      <w:r>
        <w:t>);</w:t>
      </w:r>
    </w:p>
    <w:p>
      <w:pPr>
        <w:pStyle w:val="Indenta"/>
      </w:pPr>
      <w:r>
        <w:tab/>
        <w:t>(h)</w:t>
      </w:r>
      <w:r>
        <w:tab/>
        <w:t xml:space="preserve">for a person imprisoned in the </w:t>
      </w:r>
      <w:smartTag w:uri="urn:schemas-microsoft-com:office:smarttags" w:element="State">
        <w:r>
          <w:t>Northern Territory</w:t>
        </w:r>
      </w:smartTag>
      <w:r>
        <w:t xml:space="preserve"> — the director of Correctional Services of the </w:t>
      </w:r>
      <w:smartTag w:uri="urn:schemas-microsoft-com:office:smarttags" w:element="State">
        <w:smartTag w:uri="urn:schemas-microsoft-com:office:smarttags" w:element="place">
          <w:r>
            <w:t>Northern Territory</w:t>
          </w:r>
        </w:smartTag>
      </w:smartTag>
      <w:r>
        <w:t>.</w:t>
      </w:r>
    </w:p>
    <w:p>
      <w:pPr>
        <w:pStyle w:val="Heading5"/>
      </w:pPr>
      <w:bookmarkStart w:id="84" w:name="_Toc292197764"/>
      <w:bookmarkStart w:id="85" w:name="_Toc267388638"/>
      <w:bookmarkStart w:id="86" w:name="_Toc269386955"/>
      <w:r>
        <w:rPr>
          <w:rStyle w:val="CharSectno"/>
        </w:rPr>
        <w:t>11</w:t>
      </w:r>
      <w:r>
        <w:t>.</w:t>
      </w:r>
      <w:r>
        <w:tab/>
        <w:t>Small co</w:t>
      </w:r>
      <w:r>
        <w:noBreakHyphen/>
        <w:t>operatives (section 225)</w:t>
      </w:r>
      <w:bookmarkEnd w:id="84"/>
      <w:bookmarkEnd w:id="85"/>
      <w:bookmarkEnd w:id="86"/>
    </w:p>
    <w:p>
      <w:pPr>
        <w:pStyle w:val="Subsection"/>
      </w:pPr>
      <w:r>
        <w:tab/>
        <w:t>(1)</w:t>
      </w:r>
      <w:r>
        <w:tab/>
        <w:t>For the purposes of section 225(1)(j) of the Act, a distributing co</w:t>
      </w:r>
      <w:r>
        <w:noBreakHyphen/>
        <w:t>operative is classified as a small co</w:t>
      </w:r>
      <w:r>
        <w:noBreakHyphen/>
        <w:t>operative for a particular financial year, if the distributing co</w:t>
      </w:r>
      <w:r>
        <w:noBreakHyphen/>
        <w:t xml:space="preserve">operative satisfies all of the following criteria in that financial year — </w:t>
      </w:r>
    </w:p>
    <w:p>
      <w:pPr>
        <w:pStyle w:val="Indenta"/>
      </w:pPr>
      <w:r>
        <w:tab/>
        <w:t>(a)</w:t>
      </w:r>
      <w:r>
        <w:tab/>
        <w:t>the distributing co</w:t>
      </w:r>
      <w:r>
        <w:noBreakHyphen/>
        <w:t>operative has no more than 30 employees at the end of the financial year;</w:t>
      </w:r>
    </w:p>
    <w:p>
      <w:pPr>
        <w:pStyle w:val="Indenta"/>
      </w:pPr>
      <w:r>
        <w:tab/>
        <w:t>(b)</w:t>
      </w:r>
      <w:r>
        <w:tab/>
        <w:t>the consolidated gross assets of the distributing co</w:t>
      </w:r>
      <w:r>
        <w:noBreakHyphen/>
        <w:t>operative are no more than $4 000 000;</w:t>
      </w:r>
    </w:p>
    <w:p>
      <w:pPr>
        <w:pStyle w:val="Indenta"/>
      </w:pPr>
      <w:r>
        <w:tab/>
        <w:t>(c)</w:t>
      </w:r>
      <w:r>
        <w:tab/>
        <w:t>the consolidated gross revenue of the distributing co</w:t>
      </w:r>
      <w:r>
        <w:noBreakHyphen/>
        <w:t>operative is no more than $8 000 000.</w:t>
      </w:r>
    </w:p>
    <w:p>
      <w:pPr>
        <w:pStyle w:val="Subsection"/>
      </w:pPr>
      <w:r>
        <w:tab/>
        <w:t>(2)</w:t>
      </w:r>
      <w:r>
        <w:tab/>
        <w:t>In counting employees for the purposes of subregulation (1)(a), part</w:t>
      </w:r>
      <w:r>
        <w:noBreakHyphen/>
        <w:t>time employees are taken into account as an appropriate fraction of the full</w:t>
      </w:r>
      <w:r>
        <w:noBreakHyphen/>
        <w:t>time equivalent.</w:t>
      </w:r>
    </w:p>
    <w:p>
      <w:pPr>
        <w:pStyle w:val="Subsection"/>
      </w:pPr>
      <w:r>
        <w:tab/>
        <w:t>(3)</w:t>
      </w:r>
      <w:r>
        <w:tab/>
        <w:t>For the purposes of section 225(1)(j) of the Act, a non</w:t>
      </w:r>
      <w:r>
        <w:noBreakHyphen/>
        <w:t>distributing co</w:t>
      </w:r>
      <w:r>
        <w:noBreakHyphen/>
        <w:t>operative is classified as a small co</w:t>
      </w:r>
      <w:r>
        <w:noBreakHyphen/>
        <w:t>operative for a particular financial year, unless the non</w:t>
      </w:r>
      <w:r>
        <w:noBreakHyphen/>
        <w:t>distributing co</w:t>
      </w:r>
      <w:r>
        <w:noBreakHyphen/>
        <w:t xml:space="preserve">operative exceeds either of the following thresholds in that financial year — </w:t>
      </w:r>
    </w:p>
    <w:p>
      <w:pPr>
        <w:pStyle w:val="Indenta"/>
      </w:pPr>
      <w:r>
        <w:tab/>
        <w:t>(a)</w:t>
      </w:r>
      <w:r>
        <w:tab/>
        <w:t>consolidated gross assets of $500 000;</w:t>
      </w:r>
    </w:p>
    <w:p>
      <w:pPr>
        <w:pStyle w:val="Indenta"/>
      </w:pPr>
      <w:r>
        <w:tab/>
        <w:t>(b)</w:t>
      </w:r>
      <w:r>
        <w:tab/>
        <w:t>consolidated gross revenue of $200 000.</w:t>
      </w:r>
    </w:p>
    <w:p>
      <w:pPr>
        <w:pStyle w:val="Heading5"/>
      </w:pPr>
      <w:bookmarkStart w:id="87" w:name="_Toc292197765"/>
      <w:bookmarkStart w:id="88" w:name="_Toc267388639"/>
      <w:bookmarkStart w:id="89" w:name="_Toc269386956"/>
      <w:r>
        <w:rPr>
          <w:rStyle w:val="CharSectno"/>
        </w:rPr>
        <w:t>12</w:t>
      </w:r>
      <w:r>
        <w:t>.</w:t>
      </w:r>
      <w:r>
        <w:tab/>
        <w:t>Modifications to the Corporations Act relating to financial records and financial reports (section 225)</w:t>
      </w:r>
      <w:bookmarkEnd w:id="87"/>
      <w:bookmarkEnd w:id="88"/>
      <w:bookmarkEnd w:id="89"/>
    </w:p>
    <w:p>
      <w:pPr>
        <w:pStyle w:val="Subsection"/>
      </w:pPr>
      <w:r>
        <w:tab/>
      </w:r>
      <w:r>
        <w:tab/>
        <w:t>For the purposes of section 225(1)(k) of the Act, the modifications to the Corporations Act set out in Schedule 5 Division 2 are prescribed.</w:t>
      </w:r>
    </w:p>
    <w:p>
      <w:pPr>
        <w:pStyle w:val="Heading5"/>
        <w:rPr>
          <w:rStyle w:val="CharSectno"/>
        </w:rPr>
      </w:pPr>
      <w:bookmarkStart w:id="90" w:name="_Toc292197766"/>
      <w:bookmarkStart w:id="91" w:name="_Toc267388640"/>
      <w:bookmarkStart w:id="92" w:name="_Toc269386957"/>
      <w:r>
        <w:rPr>
          <w:rStyle w:val="CharSectno"/>
        </w:rPr>
        <w:t>13.</w:t>
      </w:r>
      <w:r>
        <w:rPr>
          <w:rStyle w:val="CharSectno"/>
        </w:rPr>
        <w:tab/>
        <w:t>Particulars in registers to be kept by co</w:t>
      </w:r>
      <w:r>
        <w:rPr>
          <w:rStyle w:val="CharSectno"/>
        </w:rPr>
        <w:noBreakHyphen/>
        <w:t>operatives (section 230)</w:t>
      </w:r>
      <w:bookmarkEnd w:id="90"/>
      <w:bookmarkEnd w:id="91"/>
      <w:bookmarkEnd w:id="92"/>
    </w:p>
    <w:p>
      <w:pPr>
        <w:pStyle w:val="Subsection"/>
      </w:pPr>
      <w:r>
        <w:tab/>
        <w:t>(1)</w:t>
      </w:r>
      <w:r>
        <w:tab/>
        <w:t>The registers must contain the particulars in Schedule 4 to these regulations in written or electronic form.</w:t>
      </w:r>
    </w:p>
    <w:p>
      <w:pPr>
        <w:pStyle w:val="Subsection"/>
      </w:pPr>
      <w:r>
        <w:tab/>
        <w:t>(2)</w:t>
      </w:r>
      <w:r>
        <w:tab/>
        <w:t>A register may include any document in the English language in which the required particulars are recorded.</w:t>
      </w:r>
    </w:p>
    <w:p>
      <w:pPr>
        <w:pStyle w:val="Heading5"/>
      </w:pPr>
      <w:bookmarkStart w:id="93" w:name="_Toc292197767"/>
      <w:bookmarkStart w:id="94" w:name="_Toc267388641"/>
      <w:bookmarkStart w:id="95" w:name="_Toc269386958"/>
      <w:r>
        <w:rPr>
          <w:rStyle w:val="CharSectno"/>
        </w:rPr>
        <w:t>14</w:t>
      </w:r>
      <w:r>
        <w:t>.</w:t>
      </w:r>
      <w:r>
        <w:tab/>
        <w:t>Inspection of registers etc. (section 232)</w:t>
      </w:r>
      <w:bookmarkEnd w:id="93"/>
      <w:bookmarkEnd w:id="94"/>
      <w:bookmarkEnd w:id="95"/>
    </w:p>
    <w:p>
      <w:pPr>
        <w:pStyle w:val="Subsection"/>
      </w:pPr>
      <w:r>
        <w:tab/>
        <w:t>(1)</w:t>
      </w:r>
      <w:r>
        <w:tab/>
        <w:t>For the purposes of section 232(1) of the Act, the following registers of a co</w:t>
      </w:r>
      <w:r>
        <w:noBreakHyphen/>
        <w:t xml:space="preserve">operative are other registers that are available for inspection — </w:t>
      </w:r>
    </w:p>
    <w:p>
      <w:pPr>
        <w:pStyle w:val="Indenta"/>
      </w:pPr>
      <w:r>
        <w:tab/>
        <w:t>(a)</w:t>
      </w:r>
      <w:r>
        <w:tab/>
        <w:t>the register of cancelled memberships;</w:t>
      </w:r>
    </w:p>
    <w:p>
      <w:pPr>
        <w:pStyle w:val="Indenta"/>
      </w:pPr>
      <w:r>
        <w:tab/>
        <w:t>(b)</w:t>
      </w:r>
      <w:r>
        <w:tab/>
        <w:t>the register of notifiable interests.</w:t>
      </w:r>
    </w:p>
    <w:p>
      <w:pPr>
        <w:pStyle w:val="Subsection"/>
      </w:pPr>
      <w:r>
        <w:tab/>
        <w:t>(2)</w:t>
      </w:r>
      <w:r>
        <w:tab/>
        <w:t>For the purposes of section 232(5) of the Act, the maximum amount a co</w:t>
      </w:r>
      <w:r>
        <w:noBreakHyphen/>
        <w:t>operative may charge for a copy of an entry in the register is $11.60 for the first page and $1.50 for each additional page, up to a maximum of $86.60.</w:t>
      </w:r>
    </w:p>
    <w:p>
      <w:pPr>
        <w:pStyle w:val="Heading5"/>
      </w:pPr>
      <w:bookmarkStart w:id="96" w:name="_Toc292197768"/>
      <w:bookmarkStart w:id="97" w:name="_Toc267388642"/>
      <w:bookmarkStart w:id="98" w:name="_Toc269386959"/>
      <w:r>
        <w:rPr>
          <w:rStyle w:val="CharSectno"/>
        </w:rPr>
        <w:t>15</w:t>
      </w:r>
      <w:r>
        <w:t>.</w:t>
      </w:r>
      <w:r>
        <w:tab/>
        <w:t>Notice of appointment etc. of directors and officers (section 234)</w:t>
      </w:r>
      <w:bookmarkEnd w:id="96"/>
      <w:bookmarkEnd w:id="97"/>
      <w:bookmarkEnd w:id="98"/>
    </w:p>
    <w:p>
      <w:pPr>
        <w:pStyle w:val="Subsection"/>
      </w:pPr>
      <w:r>
        <w:tab/>
      </w:r>
      <w:r>
        <w:tab/>
        <w:t xml:space="preserve">For the purposes of section 234(2)(c) of the Act, the particulars to be included in a notice of appointment or cessation of appointment of a director, chief executive officer or secretary are — </w:t>
      </w:r>
    </w:p>
    <w:p>
      <w:pPr>
        <w:pStyle w:val="Indenta"/>
      </w:pPr>
      <w:r>
        <w:tab/>
        <w:t>(a)</w:t>
      </w:r>
      <w:r>
        <w:tab/>
        <w:t>the name of the co</w:t>
      </w:r>
      <w:r>
        <w:noBreakHyphen/>
        <w:t>operative or subsidiary; and</w:t>
      </w:r>
    </w:p>
    <w:p>
      <w:pPr>
        <w:pStyle w:val="Indenta"/>
      </w:pPr>
      <w:r>
        <w:tab/>
        <w:t>(b)</w:t>
      </w:r>
      <w:r>
        <w:tab/>
        <w:t>the name and position of the person giving the notice; and</w:t>
      </w:r>
    </w:p>
    <w:p>
      <w:pPr>
        <w:pStyle w:val="Indenta"/>
      </w:pPr>
      <w:r>
        <w:tab/>
        <w:t>(c)</w:t>
      </w:r>
      <w:r>
        <w:tab/>
        <w:t xml:space="preserve">for a person appointed — </w:t>
      </w:r>
    </w:p>
    <w:p>
      <w:pPr>
        <w:pStyle w:val="Indenti"/>
      </w:pPr>
      <w:r>
        <w:tab/>
        <w:t>(i)</w:t>
      </w:r>
      <w:r>
        <w:tab/>
        <w:t>the person’s full name; and</w:t>
      </w:r>
    </w:p>
    <w:p>
      <w:pPr>
        <w:pStyle w:val="Indenti"/>
      </w:pPr>
      <w:r>
        <w:tab/>
        <w:t>(ii)</w:t>
      </w:r>
      <w:r>
        <w:tab/>
        <w:t>any former names; and</w:t>
      </w:r>
    </w:p>
    <w:p>
      <w:pPr>
        <w:pStyle w:val="Indenti"/>
      </w:pPr>
      <w:r>
        <w:tab/>
        <w:t>(iii)</w:t>
      </w:r>
      <w:r>
        <w:tab/>
        <w:t xml:space="preserve">the person’s residential address, including suburb or city, State and postcode, and country (if not </w:t>
      </w:r>
      <w:smartTag w:uri="urn:schemas-microsoft-com:office:smarttags" w:element="country-region">
        <w:r>
          <w:t>Australia</w:t>
        </w:r>
      </w:smartTag>
      <w:r>
        <w:t>); and</w:t>
      </w:r>
    </w:p>
    <w:p>
      <w:pPr>
        <w:pStyle w:val="Indenti"/>
      </w:pPr>
      <w:r>
        <w:tab/>
        <w:t>(iv)</w:t>
      </w:r>
      <w:r>
        <w:tab/>
        <w:t>date and place of birth; and</w:t>
      </w:r>
    </w:p>
    <w:p>
      <w:pPr>
        <w:pStyle w:val="Indenti"/>
      </w:pPr>
      <w:r>
        <w:tab/>
        <w:t>(v)</w:t>
      </w:r>
      <w:r>
        <w:tab/>
        <w:t>office held and date appointed;</w:t>
      </w:r>
    </w:p>
    <w:p>
      <w:pPr>
        <w:pStyle w:val="Indenta"/>
      </w:pPr>
      <w:r>
        <w:tab/>
      </w:r>
      <w:r>
        <w:tab/>
        <w:t>and</w:t>
      </w:r>
    </w:p>
    <w:p>
      <w:pPr>
        <w:pStyle w:val="Indenta"/>
      </w:pPr>
      <w:r>
        <w:tab/>
        <w:t>(d)</w:t>
      </w:r>
      <w:r>
        <w:tab/>
        <w:t xml:space="preserve">for a person ceasing to hold office — </w:t>
      </w:r>
    </w:p>
    <w:p>
      <w:pPr>
        <w:pStyle w:val="Indenti"/>
      </w:pPr>
      <w:r>
        <w:tab/>
        <w:t>(i)</w:t>
      </w:r>
      <w:r>
        <w:tab/>
        <w:t>the person’s full name; and</w:t>
      </w:r>
    </w:p>
    <w:p>
      <w:pPr>
        <w:pStyle w:val="Indenti"/>
      </w:pPr>
      <w:r>
        <w:tab/>
        <w:t>(ii)</w:t>
      </w:r>
      <w:r>
        <w:tab/>
        <w:t>the person’s date and place of birth; and</w:t>
      </w:r>
    </w:p>
    <w:p>
      <w:pPr>
        <w:pStyle w:val="Indenti"/>
      </w:pPr>
      <w:r>
        <w:tab/>
        <w:t>(iii)</w:t>
      </w:r>
      <w:r>
        <w:tab/>
        <w:t>the office the person held and date ceased.</w:t>
      </w:r>
    </w:p>
    <w:p>
      <w:pPr>
        <w:pStyle w:val="Heading5"/>
      </w:pPr>
      <w:bookmarkStart w:id="99" w:name="_Toc292197769"/>
      <w:bookmarkStart w:id="100" w:name="_Toc267388643"/>
      <w:bookmarkStart w:id="101" w:name="_Toc269386960"/>
      <w:r>
        <w:rPr>
          <w:rStyle w:val="CharSectno"/>
        </w:rPr>
        <w:t>16</w:t>
      </w:r>
      <w:r>
        <w:t>.</w:t>
      </w:r>
      <w:r>
        <w:tab/>
        <w:t>Annual report to Registrar (section 235)</w:t>
      </w:r>
      <w:bookmarkEnd w:id="99"/>
      <w:bookmarkEnd w:id="100"/>
      <w:bookmarkEnd w:id="101"/>
    </w:p>
    <w:p>
      <w:pPr>
        <w:pStyle w:val="Subsection"/>
      </w:pPr>
      <w:r>
        <w:tab/>
      </w:r>
      <w:r>
        <w:tab/>
        <w:t>For the purposes of section 235(2)(e) of the Act, the other particulars to be included in a co</w:t>
      </w:r>
      <w:r>
        <w:noBreakHyphen/>
        <w:t xml:space="preserve">operative’s annual report are — </w:t>
      </w:r>
    </w:p>
    <w:p>
      <w:pPr>
        <w:pStyle w:val="Indenta"/>
      </w:pPr>
      <w:r>
        <w:tab/>
        <w:t>(a)</w:t>
      </w:r>
      <w:r>
        <w:tab/>
        <w:t>the name of the co</w:t>
      </w:r>
      <w:r>
        <w:noBreakHyphen/>
        <w:t>operative; and</w:t>
      </w:r>
    </w:p>
    <w:p>
      <w:pPr>
        <w:pStyle w:val="Indenta"/>
      </w:pPr>
      <w:r>
        <w:tab/>
        <w:t>(b)</w:t>
      </w:r>
      <w:r>
        <w:tab/>
        <w:t>the street address of each of the following places of the co</w:t>
      </w:r>
      <w:r>
        <w:noBreakHyphen/>
        <w:t xml:space="preserve">operative — </w:t>
      </w:r>
    </w:p>
    <w:p>
      <w:pPr>
        <w:pStyle w:val="Indenti"/>
      </w:pPr>
      <w:r>
        <w:tab/>
        <w:t>(i)</w:t>
      </w:r>
      <w:r>
        <w:tab/>
        <w:t>registered office;</w:t>
      </w:r>
    </w:p>
    <w:p>
      <w:pPr>
        <w:pStyle w:val="Indenti"/>
      </w:pPr>
      <w:r>
        <w:tab/>
        <w:t>(ii)</w:t>
      </w:r>
      <w:r>
        <w:tab/>
        <w:t>principal place of business;</w:t>
      </w:r>
    </w:p>
    <w:p>
      <w:pPr>
        <w:pStyle w:val="Indenta"/>
      </w:pPr>
      <w:r>
        <w:tab/>
      </w:r>
      <w:r>
        <w:tab/>
        <w:t>and</w:t>
      </w:r>
    </w:p>
    <w:p>
      <w:pPr>
        <w:pStyle w:val="Indenta"/>
      </w:pPr>
      <w:r>
        <w:tab/>
        <w:t>(c)</w:t>
      </w:r>
      <w:r>
        <w:tab/>
        <w:t>the name, address and position of the person sending the annual report to the Registrar; and</w:t>
      </w:r>
    </w:p>
    <w:p>
      <w:pPr>
        <w:pStyle w:val="Indenta"/>
      </w:pPr>
      <w:r>
        <w:tab/>
        <w:t>(d)</w:t>
      </w:r>
      <w:r>
        <w:tab/>
        <w:t>the date of the report; and</w:t>
      </w:r>
    </w:p>
    <w:p>
      <w:pPr>
        <w:pStyle w:val="Indenta"/>
      </w:pPr>
      <w:r>
        <w:tab/>
        <w:t>(e)</w:t>
      </w:r>
      <w:r>
        <w:tab/>
        <w:t>the number, and the corresponding full</w:t>
      </w:r>
      <w:r>
        <w:noBreakHyphen/>
        <w:t>time equivalent number, of persons employed by the co</w:t>
      </w:r>
      <w:r>
        <w:noBreakHyphen/>
        <w:t>operative at the end of the financial year; and</w:t>
      </w:r>
    </w:p>
    <w:p>
      <w:pPr>
        <w:pStyle w:val="Indenta"/>
      </w:pPr>
      <w:r>
        <w:tab/>
        <w:t>(f)</w:t>
      </w:r>
      <w:r>
        <w:tab/>
        <w:t>the number of members in the co</w:t>
      </w:r>
      <w:r>
        <w:noBreakHyphen/>
        <w:t>operative at the end of the financial year; and</w:t>
      </w:r>
    </w:p>
    <w:p>
      <w:pPr>
        <w:pStyle w:val="Indenta"/>
      </w:pPr>
      <w:r>
        <w:tab/>
        <w:t>(g)</w:t>
      </w:r>
      <w:r>
        <w:tab/>
        <w:t>the number and class of shares forfeited under the Act Part 6 or section 280 in the financial year covered by the report; and</w:t>
      </w:r>
    </w:p>
    <w:p>
      <w:pPr>
        <w:pStyle w:val="Indenta"/>
      </w:pPr>
      <w:r>
        <w:tab/>
        <w:t>(h)</w:t>
      </w:r>
      <w:r>
        <w:tab/>
        <w:t>the number of shares repurchased under the rules of the co</w:t>
      </w:r>
      <w:r>
        <w:noBreakHyphen/>
        <w:t>operative in the financial year covered by the report; and</w:t>
      </w:r>
    </w:p>
    <w:p>
      <w:pPr>
        <w:pStyle w:val="Indenta"/>
      </w:pPr>
      <w:r>
        <w:tab/>
        <w:t>(i)</w:t>
      </w:r>
      <w:r>
        <w:tab/>
        <w:t>the number of memberships cancelled under the Act or that otherwise ceased during the financial year covered by the report; and</w:t>
      </w:r>
    </w:p>
    <w:p>
      <w:pPr>
        <w:pStyle w:val="Indenta"/>
      </w:pPr>
      <w:r>
        <w:tab/>
        <w:t>(j)</w:t>
      </w:r>
      <w:r>
        <w:tab/>
        <w:t>the number and class of shares issued to members during the financial year; and</w:t>
      </w:r>
    </w:p>
    <w:p>
      <w:pPr>
        <w:pStyle w:val="Indenta"/>
      </w:pPr>
      <w:r>
        <w:tab/>
        <w:t>(k)</w:t>
      </w:r>
      <w:r>
        <w:tab/>
        <w:t>the date of the annual general meeting.</w:t>
      </w:r>
    </w:p>
    <w:p>
      <w:pPr>
        <w:pStyle w:val="Heading5"/>
      </w:pPr>
      <w:bookmarkStart w:id="102" w:name="_Toc292197770"/>
      <w:bookmarkStart w:id="103" w:name="_Toc267388644"/>
      <w:bookmarkStart w:id="104" w:name="_Toc269386961"/>
      <w:r>
        <w:rPr>
          <w:rStyle w:val="CharSectno"/>
        </w:rPr>
        <w:t>17</w:t>
      </w:r>
      <w:r>
        <w:t>.</w:t>
      </w:r>
      <w:r>
        <w:tab/>
        <w:t>Unsuitable names (section 238)</w:t>
      </w:r>
      <w:bookmarkEnd w:id="102"/>
      <w:bookmarkEnd w:id="103"/>
      <w:bookmarkEnd w:id="104"/>
    </w:p>
    <w:p>
      <w:pPr>
        <w:pStyle w:val="Subsection"/>
      </w:pPr>
      <w:r>
        <w:tab/>
      </w:r>
      <w:r>
        <w:tab/>
        <w:t>For the purposes of section 238(8) of the Act, a name is an unsuitable name if it contains anything included in Schedule 6 to these regulations.</w:t>
      </w:r>
    </w:p>
    <w:p>
      <w:pPr>
        <w:pStyle w:val="Heading5"/>
      </w:pPr>
      <w:bookmarkStart w:id="105" w:name="_Toc292197771"/>
      <w:bookmarkStart w:id="106" w:name="_Toc267388645"/>
      <w:bookmarkStart w:id="107" w:name="_Toc269386962"/>
      <w:r>
        <w:rPr>
          <w:rStyle w:val="CharSectno"/>
        </w:rPr>
        <w:t>18</w:t>
      </w:r>
      <w:r>
        <w:t>.</w:t>
      </w:r>
      <w:r>
        <w:tab/>
        <w:t>Advertising a change of name of a co</w:t>
      </w:r>
      <w:r>
        <w:noBreakHyphen/>
        <w:t>operative (section 241)</w:t>
      </w:r>
      <w:bookmarkEnd w:id="105"/>
      <w:bookmarkEnd w:id="106"/>
      <w:bookmarkEnd w:id="107"/>
    </w:p>
    <w:p>
      <w:pPr>
        <w:pStyle w:val="Subsection"/>
      </w:pPr>
      <w:r>
        <w:tab/>
      </w:r>
      <w:r>
        <w:tab/>
        <w:t>For the purposes of section 241(2) of the Act, the way a change of name of a co</w:t>
      </w:r>
      <w:r>
        <w:noBreakHyphen/>
        <w:t>operative must be advertised is for the co</w:t>
      </w:r>
      <w:r>
        <w:noBreakHyphen/>
        <w:t>operative, within 28 days after the Registrar registers the change of name, to advertise the change of name in at least one newspaper circulating in the locality or localities in which the co</w:t>
      </w:r>
      <w:r>
        <w:noBreakHyphen/>
        <w:t>operative carries on business.</w:t>
      </w:r>
    </w:p>
    <w:p>
      <w:pPr>
        <w:pStyle w:val="Heading5"/>
      </w:pPr>
      <w:bookmarkStart w:id="108" w:name="_Toc292197772"/>
      <w:bookmarkStart w:id="109" w:name="_Toc267388646"/>
      <w:bookmarkStart w:id="110" w:name="_Toc269386963"/>
      <w:r>
        <w:rPr>
          <w:rStyle w:val="CharSectno"/>
        </w:rPr>
        <w:t>19</w:t>
      </w:r>
      <w:r>
        <w:t>.</w:t>
      </w:r>
      <w:r>
        <w:tab/>
        <w:t>Requirements and restrictions on deposit taking co</w:t>
      </w:r>
      <w:r>
        <w:noBreakHyphen/>
        <w:t>operatives obtaining financial accommodation (section 245)</w:t>
      </w:r>
      <w:bookmarkEnd w:id="108"/>
      <w:bookmarkEnd w:id="109"/>
      <w:bookmarkEnd w:id="110"/>
    </w:p>
    <w:p>
      <w:pPr>
        <w:pStyle w:val="Subsection"/>
      </w:pPr>
      <w:r>
        <w:tab/>
        <w:t>(1)</w:t>
      </w:r>
      <w:r>
        <w:tab/>
        <w:t>A deposit taking co</w:t>
      </w:r>
      <w:r>
        <w:noBreakHyphen/>
        <w:t>operative must not obtain financial accommodation by accepting deposits of money from persons other than its members and employees.</w:t>
      </w:r>
    </w:p>
    <w:p>
      <w:pPr>
        <w:pStyle w:val="Penstart"/>
      </w:pPr>
      <w:r>
        <w:tab/>
        <w:t>Penalty: a fine of $2 000.</w:t>
      </w:r>
    </w:p>
    <w:p>
      <w:pPr>
        <w:pStyle w:val="Subsection"/>
      </w:pPr>
      <w:r>
        <w:tab/>
        <w:t>(2)</w:t>
      </w:r>
      <w:r>
        <w:tab/>
        <w:t>Subregulation (1) does not prevent a person, whose money was deposited with a transferred co</w:t>
      </w:r>
      <w:r>
        <w:noBreakHyphen/>
        <w:t>operative immediately before that co</w:t>
      </w:r>
      <w:r>
        <w:noBreakHyphen/>
        <w:t>operative became registered under this Act, continuing to deposit money with the co</w:t>
      </w:r>
      <w:r>
        <w:noBreakHyphen/>
        <w:t>operative.</w:t>
      </w:r>
    </w:p>
    <w:p>
      <w:pPr>
        <w:pStyle w:val="Heading5"/>
      </w:pPr>
      <w:bookmarkStart w:id="111" w:name="_Toc292197773"/>
      <w:bookmarkStart w:id="112" w:name="_Toc267388647"/>
      <w:bookmarkStart w:id="113" w:name="_Toc269386964"/>
      <w:r>
        <w:rPr>
          <w:rStyle w:val="CharSectno"/>
        </w:rPr>
        <w:t>20</w:t>
      </w:r>
      <w:r>
        <w:t>.</w:t>
      </w:r>
      <w:r>
        <w:tab/>
        <w:t>Compulsory loan by member to co</w:t>
      </w:r>
      <w:r>
        <w:noBreakHyphen/>
        <w:t>operative (section 255)</w:t>
      </w:r>
      <w:bookmarkEnd w:id="111"/>
      <w:bookmarkEnd w:id="112"/>
      <w:bookmarkEnd w:id="113"/>
    </w:p>
    <w:p>
      <w:pPr>
        <w:pStyle w:val="Subsection"/>
      </w:pPr>
      <w:r>
        <w:tab/>
      </w:r>
      <w:r>
        <w:tab/>
        <w:t>For the purposes of section 255(2) of the Act, the maximum term of a proposal by a co</w:t>
      </w:r>
      <w:r>
        <w:noBreakHyphen/>
        <w:t>operative requiring its members to lend money to the co</w:t>
      </w:r>
      <w:r>
        <w:noBreakHyphen/>
        <w:t>operative is 10 years.</w:t>
      </w:r>
    </w:p>
    <w:p>
      <w:pPr>
        <w:pStyle w:val="Heading5"/>
      </w:pPr>
      <w:bookmarkStart w:id="114" w:name="_Toc292197774"/>
      <w:bookmarkStart w:id="115" w:name="_Toc267388648"/>
      <w:bookmarkStart w:id="116" w:name="_Toc269386965"/>
      <w:r>
        <w:rPr>
          <w:rStyle w:val="CharSectno"/>
        </w:rPr>
        <w:t>21</w:t>
      </w:r>
      <w:r>
        <w:t>.</w:t>
      </w:r>
      <w:r>
        <w:tab/>
        <w:t>Charges required to be registered (section 267)</w:t>
      </w:r>
      <w:bookmarkEnd w:id="114"/>
      <w:bookmarkEnd w:id="115"/>
      <w:bookmarkEnd w:id="116"/>
    </w:p>
    <w:p>
      <w:pPr>
        <w:pStyle w:val="Subsection"/>
      </w:pPr>
      <w:r>
        <w:tab/>
      </w:r>
      <w:r>
        <w:tab/>
        <w:t>For the purposes of section 267 of the Act and Schedule 3 clause 8 to the Act, each of the following laws is a law of a State or Territory under which a lien or charge on a crop, a lien or charge on wool or a stock mortgage is registrable —</w:t>
      </w:r>
    </w:p>
    <w:p>
      <w:pPr>
        <w:pStyle w:val="Indenta"/>
      </w:pPr>
      <w:r>
        <w:tab/>
        <w:t>(a)</w:t>
      </w:r>
      <w:r>
        <w:tab/>
      </w:r>
      <w:r>
        <w:rPr>
          <w:i/>
          <w:iCs/>
        </w:rPr>
        <w:t>Liens on Crops and Wool and Stock Mortgages Act 1898</w:t>
      </w:r>
      <w:r>
        <w:t xml:space="preserve"> (</w:t>
      </w:r>
      <w:smartTag w:uri="urn:schemas-microsoft-com:office:smarttags" w:element="State">
        <w:smartTag w:uri="urn:schemas-microsoft-com:office:smarttags" w:element="place">
          <w:r>
            <w:t>New South Wales</w:t>
          </w:r>
        </w:smartTag>
      </w:smartTag>
      <w:r>
        <w:t>) (Parts 2 and 3);</w:t>
      </w:r>
    </w:p>
    <w:p>
      <w:pPr>
        <w:pStyle w:val="Indenta"/>
      </w:pPr>
      <w:r>
        <w:tab/>
        <w:t>(b)</w:t>
      </w:r>
      <w:r>
        <w:tab/>
      </w:r>
      <w:r>
        <w:rPr>
          <w:i/>
          <w:iCs/>
        </w:rPr>
        <w:t>Instruments Act 1958</w:t>
      </w:r>
      <w:r>
        <w:t xml:space="preserve"> (</w:t>
      </w:r>
      <w:smartTag w:uri="urn:schemas-microsoft-com:office:smarttags" w:element="State">
        <w:smartTag w:uri="urn:schemas-microsoft-com:office:smarttags" w:element="place">
          <w:r>
            <w:t>Victoria</w:t>
          </w:r>
        </w:smartTag>
      </w:smartTag>
      <w:r>
        <w:t>) (Parts 7 and 8);</w:t>
      </w:r>
    </w:p>
    <w:p>
      <w:pPr>
        <w:pStyle w:val="Indenta"/>
      </w:pPr>
      <w:r>
        <w:tab/>
        <w:t>(c)</w:t>
      </w:r>
      <w:r>
        <w:tab/>
      </w:r>
      <w:r>
        <w:rPr>
          <w:i/>
          <w:iCs/>
        </w:rPr>
        <w:t>Bills of Sale and Other Instruments Act 1955</w:t>
      </w:r>
      <w:r>
        <w:t xml:space="preserve"> (Queensland) (Part 2, to the extent to which it relates to the registration of stock mortgages, liens on crops and liens on wool, and Part 4);</w:t>
      </w:r>
    </w:p>
    <w:p>
      <w:pPr>
        <w:pStyle w:val="Indenta"/>
      </w:pPr>
      <w:r>
        <w:tab/>
        <w:t>(d)</w:t>
      </w:r>
      <w:r>
        <w:tab/>
      </w:r>
      <w:r>
        <w:rPr>
          <w:i/>
          <w:iCs/>
        </w:rPr>
        <w:t>Liens on Crops of Sugar Cane Act 1931</w:t>
      </w:r>
      <w:r>
        <w:t xml:space="preserve"> (</w:t>
      </w:r>
      <w:smartTag w:uri="urn:schemas-microsoft-com:office:smarttags" w:element="State">
        <w:smartTag w:uri="urn:schemas-microsoft-com:office:smarttags" w:element="place">
          <w:r>
            <w:t>Queensland</w:t>
          </w:r>
        </w:smartTag>
      </w:smartTag>
      <w:r>
        <w:t>);</w:t>
      </w:r>
    </w:p>
    <w:p>
      <w:pPr>
        <w:pStyle w:val="Indenta"/>
      </w:pPr>
      <w:r>
        <w:tab/>
        <w:t>(e)</w:t>
      </w:r>
      <w:r>
        <w:tab/>
      </w:r>
      <w:r>
        <w:rPr>
          <w:i/>
          <w:iCs/>
        </w:rPr>
        <w:t>Bills of Sale Act 1899</w:t>
      </w:r>
      <w:r>
        <w:t xml:space="preserve"> (sections 7 and 8 and Parts 9, 10 and 11);</w:t>
      </w:r>
    </w:p>
    <w:p>
      <w:pPr>
        <w:pStyle w:val="Indenta"/>
      </w:pPr>
      <w:r>
        <w:tab/>
        <w:t>(f)</w:t>
      </w:r>
      <w:r>
        <w:tab/>
      </w:r>
      <w:r>
        <w:rPr>
          <w:i/>
          <w:iCs/>
        </w:rPr>
        <w:t>Liens on Fruit Act 1923</w:t>
      </w:r>
      <w:r>
        <w:t xml:space="preserve"> (</w:t>
      </w:r>
      <w:smartTag w:uri="urn:schemas-microsoft-com:office:smarttags" w:element="State">
        <w:smartTag w:uri="urn:schemas-microsoft-com:office:smarttags" w:element="place">
          <w:r>
            <w:t>South Australia</w:t>
          </w:r>
        </w:smartTag>
      </w:smartTag>
      <w:r>
        <w:t>);</w:t>
      </w:r>
    </w:p>
    <w:p>
      <w:pPr>
        <w:pStyle w:val="Indenta"/>
      </w:pPr>
      <w:r>
        <w:tab/>
        <w:t>(g)</w:t>
      </w:r>
      <w:r>
        <w:tab/>
      </w:r>
      <w:r>
        <w:rPr>
          <w:i/>
          <w:iCs/>
        </w:rPr>
        <w:t>Stock Mortgages and Wool Liens Act 1924</w:t>
      </w:r>
      <w:r>
        <w:t xml:space="preserve"> (</w:t>
      </w:r>
      <w:smartTag w:uri="urn:schemas-microsoft-com:office:smarttags" w:element="State">
        <w:smartTag w:uri="urn:schemas-microsoft-com:office:smarttags" w:element="place">
          <w:r>
            <w:t>South Australia</w:t>
          </w:r>
        </w:smartTag>
      </w:smartTag>
      <w:r>
        <w:t>);</w:t>
      </w:r>
    </w:p>
    <w:p>
      <w:pPr>
        <w:pStyle w:val="Indenta"/>
      </w:pPr>
      <w:r>
        <w:tab/>
        <w:t>(h)</w:t>
      </w:r>
      <w:r>
        <w:tab/>
      </w:r>
      <w:r>
        <w:rPr>
          <w:i/>
          <w:iCs/>
        </w:rPr>
        <w:t>Bills of Sale Act 1900</w:t>
      </w:r>
      <w:r>
        <w:t xml:space="preserve"> (</w:t>
      </w:r>
      <w:smartTag w:uri="urn:schemas-microsoft-com:office:smarttags" w:element="State">
        <w:smartTag w:uri="urn:schemas-microsoft-com:office:smarttags" w:element="place">
          <w:r>
            <w:t>Tasmania</w:t>
          </w:r>
        </w:smartTag>
      </w:smartTag>
      <w:r>
        <w:t>) (section 36);</w:t>
      </w:r>
    </w:p>
    <w:p>
      <w:pPr>
        <w:pStyle w:val="Indenta"/>
      </w:pPr>
      <w:r>
        <w:tab/>
        <w:t>(i)</w:t>
      </w:r>
      <w:r>
        <w:tab/>
      </w:r>
      <w:r>
        <w:rPr>
          <w:i/>
          <w:iCs/>
        </w:rPr>
        <w:t>Stock, Wool and Crop Mortgages Act 1930</w:t>
      </w:r>
      <w:r>
        <w:t xml:space="preserve"> (</w:t>
      </w:r>
      <w:smartTag w:uri="urn:schemas-microsoft-com:office:smarttags" w:element="State">
        <w:smartTag w:uri="urn:schemas-microsoft-com:office:smarttags" w:element="place">
          <w:r>
            <w:t>Tasmania</w:t>
          </w:r>
        </w:smartTag>
      </w:smartTag>
      <w:r>
        <w:t>);</w:t>
      </w:r>
    </w:p>
    <w:p>
      <w:pPr>
        <w:pStyle w:val="Indenta"/>
      </w:pPr>
      <w:r>
        <w:tab/>
        <w:t>(j)</w:t>
      </w:r>
      <w:r>
        <w:tab/>
      </w:r>
      <w:r>
        <w:rPr>
          <w:i/>
          <w:iCs/>
        </w:rPr>
        <w:t>Instruments Act 1933</w:t>
      </w:r>
      <w:r>
        <w:t xml:space="preserve"> (</w:t>
      </w:r>
      <w:smartTag w:uri="urn:schemas-microsoft-com:office:smarttags" w:element="State">
        <w:smartTag w:uri="urn:schemas-microsoft-com:office:smarttags" w:element="place">
          <w:r>
            <w:t>Australian Capital Territory</w:t>
          </w:r>
        </w:smartTag>
      </w:smartTag>
      <w:r>
        <w:t>) (Parts 4 and 5);</w:t>
      </w:r>
    </w:p>
    <w:p>
      <w:pPr>
        <w:pStyle w:val="Indenta"/>
      </w:pPr>
      <w:r>
        <w:tab/>
        <w:t>(k)</w:t>
      </w:r>
      <w:r>
        <w:tab/>
      </w:r>
      <w:r>
        <w:rPr>
          <w:i/>
          <w:iCs/>
        </w:rPr>
        <w:t>Instruments Act</w:t>
      </w:r>
      <w:r>
        <w:t xml:space="preserve"> (</w:t>
      </w:r>
      <w:smartTag w:uri="urn:schemas-microsoft-com:office:smarttags" w:element="State">
        <w:smartTag w:uri="urn:schemas-microsoft-com:office:smarttags" w:element="place">
          <w:r>
            <w:t>Northern Territory</w:t>
          </w:r>
        </w:smartTag>
      </w:smartTag>
      <w:r>
        <w:t>).</w:t>
      </w:r>
    </w:p>
    <w:p>
      <w:pPr>
        <w:pStyle w:val="Heading5"/>
      </w:pPr>
      <w:bookmarkStart w:id="117" w:name="_Toc292197775"/>
      <w:bookmarkStart w:id="118" w:name="_Toc267388649"/>
      <w:bookmarkStart w:id="119" w:name="_Toc269386966"/>
      <w:r>
        <w:rPr>
          <w:rStyle w:val="CharSectno"/>
        </w:rPr>
        <w:t>22</w:t>
      </w:r>
      <w:r>
        <w:t>.</w:t>
      </w:r>
      <w:r>
        <w:tab/>
        <w:t>Inspection of register of charges (section 267)</w:t>
      </w:r>
      <w:bookmarkEnd w:id="117"/>
      <w:bookmarkEnd w:id="118"/>
      <w:bookmarkEnd w:id="119"/>
    </w:p>
    <w:p>
      <w:pPr>
        <w:pStyle w:val="Subsection"/>
      </w:pPr>
      <w:r>
        <w:tab/>
      </w:r>
      <w:r>
        <w:tab/>
        <w:t>For the purposes of section 267 of the Act and Schedule 3 clause 41(4)(b) to the Act, the maximum amount payable for each inspection of a co</w:t>
      </w:r>
      <w:r>
        <w:noBreakHyphen/>
        <w:t>operative’s register of charges is $10.00.</w:t>
      </w:r>
    </w:p>
    <w:p>
      <w:pPr>
        <w:pStyle w:val="Heading5"/>
      </w:pPr>
      <w:bookmarkStart w:id="120" w:name="_Toc292197776"/>
      <w:bookmarkStart w:id="121" w:name="_Toc267388650"/>
      <w:bookmarkStart w:id="122" w:name="_Toc269386967"/>
      <w:r>
        <w:rPr>
          <w:rStyle w:val="CharSectno"/>
        </w:rPr>
        <w:t>23</w:t>
      </w:r>
      <w:r>
        <w:t>.</w:t>
      </w:r>
      <w:r>
        <w:tab/>
        <w:t>Copies of register of charges (section 267)</w:t>
      </w:r>
      <w:bookmarkEnd w:id="120"/>
      <w:bookmarkEnd w:id="121"/>
      <w:bookmarkEnd w:id="122"/>
    </w:p>
    <w:p>
      <w:pPr>
        <w:pStyle w:val="Subsection"/>
      </w:pPr>
      <w:r>
        <w:tab/>
      </w:r>
      <w:r>
        <w:tab/>
        <w:t>For the purposes of section 267 of the Act and Schedule 3 clause 41(6)(a) to the Act, the maximum amount payable for a copy of the register of charges or a part of the register is $1.00 per page, up to a maximum of $20.00.</w:t>
      </w:r>
    </w:p>
    <w:p>
      <w:pPr>
        <w:pStyle w:val="Heading5"/>
      </w:pPr>
      <w:bookmarkStart w:id="123" w:name="_Toc292197777"/>
      <w:bookmarkStart w:id="124" w:name="_Toc267388651"/>
      <w:bookmarkStart w:id="125" w:name="_Toc269386968"/>
      <w:r>
        <w:rPr>
          <w:rStyle w:val="CharSectno"/>
        </w:rPr>
        <w:t>24</w:t>
      </w:r>
      <w:r>
        <w:t>.</w:t>
      </w:r>
      <w:r>
        <w:tab/>
        <w:t>Limited dividend (section 271)</w:t>
      </w:r>
      <w:bookmarkEnd w:id="123"/>
      <w:bookmarkEnd w:id="124"/>
      <w:bookmarkEnd w:id="125"/>
    </w:p>
    <w:p>
      <w:pPr>
        <w:pStyle w:val="Subsection"/>
      </w:pPr>
      <w:r>
        <w:tab/>
      </w:r>
      <w:r>
        <w:tab/>
        <w:t xml:space="preserve">Under section 271(1) of the Act, the amount prescribed for the purpose of the definition of </w:t>
      </w:r>
      <w:r>
        <w:rPr>
          <w:b/>
          <w:bCs/>
          <w:i/>
          <w:iCs/>
        </w:rPr>
        <w:t>limited dividend</w:t>
      </w:r>
      <w:r>
        <w:t xml:space="preserve"> (as a percentage of the nominal value of the shares held by a member) is calculated by taking a starting figure of 10% and adding to that the maximum percentage rate payable on a Commonwealth Bank of Australia (</w:t>
      </w:r>
      <w:r>
        <w:rPr>
          <w:sz w:val="22"/>
        </w:rPr>
        <w:t>ABN 48 123 123 124</w:t>
      </w:r>
      <w:r>
        <w:t>) 5 year term deposit of $100 000 offered during the relevant financial year.</w:t>
      </w:r>
    </w:p>
    <w:p>
      <w:pPr>
        <w:pStyle w:val="Heading5"/>
      </w:pPr>
      <w:bookmarkStart w:id="126" w:name="_Toc292197778"/>
      <w:bookmarkStart w:id="127" w:name="_Toc267388652"/>
      <w:bookmarkStart w:id="128" w:name="_Toc269386969"/>
      <w:r>
        <w:rPr>
          <w:rStyle w:val="CharSectno"/>
        </w:rPr>
        <w:t>25</w:t>
      </w:r>
      <w:r>
        <w:t>.</w:t>
      </w:r>
      <w:r>
        <w:tab/>
        <w:t>Acquisition and disposal of assets that require special postal ballots (section 273)</w:t>
      </w:r>
      <w:bookmarkEnd w:id="126"/>
      <w:bookmarkEnd w:id="127"/>
      <w:bookmarkEnd w:id="128"/>
    </w:p>
    <w:p>
      <w:pPr>
        <w:pStyle w:val="Subsection"/>
      </w:pPr>
      <w:r>
        <w:tab/>
        <w:t>(1)</w:t>
      </w:r>
      <w:r>
        <w:tab/>
        <w:t>For the purposes of section 273(2)(a)(ii) of the Act, the prescribed percentage is 50%.</w:t>
      </w:r>
    </w:p>
    <w:p>
      <w:pPr>
        <w:pStyle w:val="Subsection"/>
      </w:pPr>
      <w:r>
        <w:tab/>
        <w:t>(2)</w:t>
      </w:r>
      <w:r>
        <w:tab/>
        <w:t>For the purposes of section 273(2)(b) of the Act, the prescribed percentage is 5%.</w:t>
      </w:r>
    </w:p>
    <w:p>
      <w:pPr>
        <w:pStyle w:val="Subsection"/>
      </w:pPr>
      <w:r>
        <w:tab/>
        <w:t>(3)</w:t>
      </w:r>
      <w:r>
        <w:tab/>
        <w:t>For the purposes of section 273(2)(c) of the Act, the prescribed percentage is 50%.</w:t>
      </w:r>
    </w:p>
    <w:p>
      <w:pPr>
        <w:pStyle w:val="Heading5"/>
      </w:pPr>
      <w:bookmarkStart w:id="129" w:name="_Toc292197779"/>
      <w:bookmarkStart w:id="130" w:name="_Toc267388653"/>
      <w:bookmarkStart w:id="131" w:name="_Toc269386970"/>
      <w:r>
        <w:rPr>
          <w:rStyle w:val="CharSectno"/>
        </w:rPr>
        <w:t>26</w:t>
      </w:r>
      <w:r>
        <w:t>.</w:t>
      </w:r>
      <w:r>
        <w:tab/>
        <w:t>Particulars in notice of change of voting interest (section 275)</w:t>
      </w:r>
      <w:bookmarkEnd w:id="129"/>
      <w:bookmarkEnd w:id="130"/>
      <w:bookmarkEnd w:id="131"/>
    </w:p>
    <w:p>
      <w:pPr>
        <w:pStyle w:val="Subsection"/>
      </w:pPr>
      <w:r>
        <w:tab/>
        <w:t>(1)</w:t>
      </w:r>
      <w:r>
        <w:tab/>
        <w:t xml:space="preserve">Under section 277 of the Act, the particulars in subregulation (2) must be included in a notice, given under section 275 of the Act, of — </w:t>
      </w:r>
    </w:p>
    <w:p>
      <w:pPr>
        <w:pStyle w:val="Indenta"/>
      </w:pPr>
      <w:r>
        <w:tab/>
        <w:t>(a)</w:t>
      </w:r>
      <w:r>
        <w:tab/>
        <w:t>acquisition of a relevant interest in the right to vote of a member of a co</w:t>
      </w:r>
      <w:r>
        <w:noBreakHyphen/>
        <w:t>operative; or</w:t>
      </w:r>
    </w:p>
    <w:p>
      <w:pPr>
        <w:pStyle w:val="Indenta"/>
      </w:pPr>
      <w:r>
        <w:tab/>
        <w:t>(b)</w:t>
      </w:r>
      <w:r>
        <w:tab/>
        <w:t>a change in the relevant interest in the right to vote of a member of a co</w:t>
      </w:r>
      <w:r>
        <w:noBreakHyphen/>
        <w:t>operative.</w:t>
      </w:r>
    </w:p>
    <w:p>
      <w:pPr>
        <w:pStyle w:val="Subsection"/>
      </w:pPr>
      <w:r>
        <w:tab/>
        <w:t>(2)</w:t>
      </w:r>
      <w:r>
        <w:tab/>
        <w:t xml:space="preserve">The particulars are as follows — </w:t>
      </w:r>
    </w:p>
    <w:p>
      <w:pPr>
        <w:pStyle w:val="Indenta"/>
      </w:pPr>
      <w:r>
        <w:tab/>
        <w:t>(a)</w:t>
      </w:r>
      <w:r>
        <w:tab/>
        <w:t>the name of the co</w:t>
      </w:r>
      <w:r>
        <w:noBreakHyphen/>
        <w:t>operative to which the notice is given;</w:t>
      </w:r>
    </w:p>
    <w:p>
      <w:pPr>
        <w:pStyle w:val="Indenta"/>
      </w:pPr>
      <w:r>
        <w:tab/>
        <w:t>(b)</w:t>
      </w:r>
      <w:r>
        <w:tab/>
        <w:t>the full name and address of the person giving notice;</w:t>
      </w:r>
    </w:p>
    <w:p>
      <w:pPr>
        <w:pStyle w:val="Indenta"/>
      </w:pPr>
      <w:r>
        <w:tab/>
        <w:t>(c)</w:t>
      </w:r>
      <w:r>
        <w:tab/>
        <w:t>the date the person acquired or ceased to have the relevant interest;</w:t>
      </w:r>
    </w:p>
    <w:p>
      <w:pPr>
        <w:pStyle w:val="Indenta"/>
      </w:pPr>
      <w:r>
        <w:tab/>
        <w:t>(d)</w:t>
      </w:r>
      <w:r>
        <w:tab/>
        <w:t>the name of the member whose right to vote was affected;</w:t>
      </w:r>
    </w:p>
    <w:p>
      <w:pPr>
        <w:pStyle w:val="Indenta"/>
      </w:pPr>
      <w:r>
        <w:tab/>
        <w:t>(e)</w:t>
      </w:r>
      <w:r>
        <w:tab/>
        <w:t>the nature of the relevant interest, including the nature of any change in the relevant interest;</w:t>
      </w:r>
    </w:p>
    <w:p>
      <w:pPr>
        <w:pStyle w:val="Indenta"/>
      </w:pPr>
      <w:r>
        <w:tab/>
        <w:t>(f)</w:t>
      </w:r>
      <w:r>
        <w:tab/>
        <w:t>the date of giving notice.</w:t>
      </w:r>
    </w:p>
    <w:p>
      <w:pPr>
        <w:pStyle w:val="Heading5"/>
      </w:pPr>
      <w:bookmarkStart w:id="132" w:name="_Toc292197780"/>
      <w:bookmarkStart w:id="133" w:name="_Toc267388654"/>
      <w:bookmarkStart w:id="134" w:name="_Toc269386971"/>
      <w:r>
        <w:rPr>
          <w:rStyle w:val="CharSectno"/>
        </w:rPr>
        <w:t>27</w:t>
      </w:r>
      <w:r>
        <w:t>.</w:t>
      </w:r>
      <w:r>
        <w:tab/>
        <w:t>Particulars in notice of substantial share interest (section 276(1))</w:t>
      </w:r>
      <w:bookmarkEnd w:id="132"/>
      <w:bookmarkEnd w:id="133"/>
      <w:bookmarkEnd w:id="134"/>
    </w:p>
    <w:p>
      <w:pPr>
        <w:pStyle w:val="Subsection"/>
      </w:pPr>
      <w:r>
        <w:tab/>
      </w:r>
      <w:r>
        <w:tab/>
        <w:t xml:space="preserve">Under section 277 of the Act, the particulars to be included in a notice, given under section 276(1) of the Act, that a person has a substantial share interest are as follows — </w:t>
      </w:r>
    </w:p>
    <w:p>
      <w:pPr>
        <w:pStyle w:val="Indenta"/>
      </w:pPr>
      <w:r>
        <w:tab/>
        <w:t>(a)</w:t>
      </w:r>
      <w:r>
        <w:tab/>
        <w:t>the name of the co</w:t>
      </w:r>
      <w:r>
        <w:noBreakHyphen/>
        <w:t>operative to which the notice is given;</w:t>
      </w:r>
    </w:p>
    <w:p>
      <w:pPr>
        <w:pStyle w:val="Indenta"/>
      </w:pPr>
      <w:r>
        <w:tab/>
        <w:t>(b)</w:t>
      </w:r>
      <w:r>
        <w:tab/>
        <w:t>the name and address of the person giving notice;</w:t>
      </w:r>
    </w:p>
    <w:p>
      <w:pPr>
        <w:pStyle w:val="Indenta"/>
      </w:pPr>
      <w:r>
        <w:tab/>
        <w:t>(c)</w:t>
      </w:r>
      <w:r>
        <w:tab/>
        <w:t>the date the relevant interest was acquired;</w:t>
      </w:r>
    </w:p>
    <w:p>
      <w:pPr>
        <w:pStyle w:val="Indenta"/>
      </w:pPr>
      <w:r>
        <w:tab/>
        <w:t>(d)</w:t>
      </w:r>
      <w:r>
        <w:tab/>
        <w:t xml:space="preserve">in relation to each holder of the relevant interest — </w:t>
      </w:r>
    </w:p>
    <w:p>
      <w:pPr>
        <w:pStyle w:val="Indenti"/>
      </w:pPr>
      <w:r>
        <w:tab/>
        <w:t>(i)</w:t>
      </w:r>
      <w:r>
        <w:tab/>
        <w:t>the name and address of the holder; and</w:t>
      </w:r>
    </w:p>
    <w:p>
      <w:pPr>
        <w:pStyle w:val="Indenti"/>
      </w:pPr>
      <w:r>
        <w:tab/>
        <w:t>(ii)</w:t>
      </w:r>
      <w:r>
        <w:tab/>
        <w:t>the number and description of the shares in which the interest is held; and</w:t>
      </w:r>
    </w:p>
    <w:p>
      <w:pPr>
        <w:pStyle w:val="Indenti"/>
      </w:pPr>
      <w:r>
        <w:tab/>
        <w:t>(iii)</w:t>
      </w:r>
      <w:r>
        <w:tab/>
        <w:t>the name and address of each person registered as the holder of the shares in which the interest is held; and</w:t>
      </w:r>
    </w:p>
    <w:p>
      <w:pPr>
        <w:pStyle w:val="Indenti"/>
      </w:pPr>
      <w:r>
        <w:tab/>
        <w:t>(iv)</w:t>
      </w:r>
      <w:r>
        <w:tab/>
        <w:t>the name and address of each person entitled to be registered as the holder of the shares in which the interest is held; and</w:t>
      </w:r>
    </w:p>
    <w:p>
      <w:pPr>
        <w:pStyle w:val="Indenti"/>
      </w:pPr>
      <w:r>
        <w:tab/>
        <w:t>(v)</w:t>
      </w:r>
      <w:r>
        <w:tab/>
        <w:t>the date of each acquisition of a relevant interest in the previous year and the number of shares acquired at that date (if any); and</w:t>
      </w:r>
    </w:p>
    <w:p>
      <w:pPr>
        <w:pStyle w:val="Indenti"/>
      </w:pPr>
      <w:r>
        <w:tab/>
        <w:t>(vi)</w:t>
      </w:r>
      <w:r>
        <w:tab/>
        <w:t>the valuable consideration for each acquisition in the previous year, including the nature of consideration that did not consist of money; and</w:t>
      </w:r>
    </w:p>
    <w:p>
      <w:pPr>
        <w:pStyle w:val="Indenti"/>
      </w:pPr>
      <w:r>
        <w:tab/>
        <w:t>(vii)</w:t>
      </w:r>
      <w:r>
        <w:tab/>
        <w:t>the total number of shares in which the holder has a substantial interest;</w:t>
      </w:r>
    </w:p>
    <w:p>
      <w:pPr>
        <w:pStyle w:val="Indenta"/>
      </w:pPr>
      <w:r>
        <w:tab/>
        <w:t>(e)</w:t>
      </w:r>
      <w:r>
        <w:tab/>
        <w:t>particulars of any contract, scheme, arrangement or other circumstance because of which the holder of the relevant interest acquired the relevant interest (but not interests acquired more than a year earlier) if the holder has, for the year immediately before the date of the notice, been the registered shareholder of those shares;</w:t>
      </w:r>
    </w:p>
    <w:p>
      <w:pPr>
        <w:pStyle w:val="Indenta"/>
      </w:pPr>
      <w:r>
        <w:tab/>
        <w:t>(f)</w:t>
      </w:r>
      <w:r>
        <w:tab/>
        <w:t>particulars of the nature of the relevant interest;</w:t>
      </w:r>
    </w:p>
    <w:p>
      <w:pPr>
        <w:pStyle w:val="Indenta"/>
      </w:pPr>
      <w:r>
        <w:tab/>
        <w:t>(g)</w:t>
      </w:r>
      <w:r>
        <w:tab/>
        <w:t>particulars of any qualification of the power of a person to exercise, control the exercise of, or influence the exercise of, the voting powers of the relevant shares;</w:t>
      </w:r>
    </w:p>
    <w:p>
      <w:pPr>
        <w:pStyle w:val="Indenta"/>
      </w:pPr>
      <w:r>
        <w:tab/>
        <w:t>(h)</w:t>
      </w:r>
      <w:r>
        <w:tab/>
        <w:t>particulars of any additional benefit (other than valuable consideration mentioned in paragraph (d)(vi)) anyone from whom a relevant interest was acquired has or may become entitled to receive, whether or not on a contingency happening, in relation to the acquisition;</w:t>
      </w:r>
    </w:p>
    <w:p>
      <w:pPr>
        <w:pStyle w:val="Indenta"/>
      </w:pPr>
      <w:r>
        <w:tab/>
        <w:t>(i)</w:t>
      </w:r>
      <w:r>
        <w:tab/>
        <w:t>the date the notice is given.</w:t>
      </w:r>
    </w:p>
    <w:p>
      <w:pPr>
        <w:pStyle w:val="Heading5"/>
      </w:pPr>
      <w:bookmarkStart w:id="135" w:name="_Toc292197781"/>
      <w:bookmarkStart w:id="136" w:name="_Toc267388655"/>
      <w:bookmarkStart w:id="137" w:name="_Toc269386972"/>
      <w:r>
        <w:rPr>
          <w:rStyle w:val="CharSectno"/>
        </w:rPr>
        <w:t>28</w:t>
      </w:r>
      <w:r>
        <w:t>.</w:t>
      </w:r>
      <w:r>
        <w:tab/>
        <w:t>Particulars in notice of change in substantial share interest (section 276(2))</w:t>
      </w:r>
      <w:bookmarkEnd w:id="135"/>
      <w:bookmarkEnd w:id="136"/>
      <w:bookmarkEnd w:id="137"/>
    </w:p>
    <w:p>
      <w:pPr>
        <w:pStyle w:val="Subsection"/>
      </w:pPr>
      <w:r>
        <w:tab/>
      </w:r>
      <w:r>
        <w:tab/>
        <w:t xml:space="preserve">Under section 277 of the Act, the particulars to be included in a notice, given under section 276(2) of the Act, of a substantial change in a substantial share interest are as follows — </w:t>
      </w:r>
    </w:p>
    <w:p>
      <w:pPr>
        <w:pStyle w:val="Indenta"/>
      </w:pPr>
      <w:r>
        <w:tab/>
        <w:t>(a)</w:t>
      </w:r>
      <w:r>
        <w:tab/>
        <w:t>the name of the co</w:t>
      </w:r>
      <w:r>
        <w:noBreakHyphen/>
        <w:t>operative to which notice is being given;</w:t>
      </w:r>
    </w:p>
    <w:p>
      <w:pPr>
        <w:pStyle w:val="Indenta"/>
      </w:pPr>
      <w:r>
        <w:tab/>
        <w:t>(b)</w:t>
      </w:r>
      <w:r>
        <w:tab/>
        <w:t>the full name and address of the person giving notice;</w:t>
      </w:r>
    </w:p>
    <w:p>
      <w:pPr>
        <w:pStyle w:val="Indenta"/>
      </w:pPr>
      <w:r>
        <w:tab/>
        <w:t>(c)</w:t>
      </w:r>
      <w:r>
        <w:tab/>
        <w:t xml:space="preserve">the following particulars applicable before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was held;</w:t>
      </w:r>
    </w:p>
    <w:p>
      <w:pPr>
        <w:pStyle w:val="Indenti"/>
      </w:pPr>
      <w:r>
        <w:tab/>
        <w:t>(iii)</w:t>
      </w:r>
      <w:r>
        <w:tab/>
        <w:t>the name and address of the person registered as the holder of the shares;</w:t>
      </w:r>
    </w:p>
    <w:p>
      <w:pPr>
        <w:pStyle w:val="Indenti"/>
      </w:pPr>
      <w:r>
        <w:tab/>
        <w:t>(iv)</w:t>
      </w:r>
      <w:r>
        <w:tab/>
        <w:t>the name and address of the person entitled to become registered as the holder of the shares;</w:t>
      </w:r>
    </w:p>
    <w:p>
      <w:pPr>
        <w:pStyle w:val="Indenti"/>
      </w:pPr>
      <w:r>
        <w:tab/>
        <w:t>(v)</w:t>
      </w:r>
      <w:r>
        <w:tab/>
        <w:t>the total number of shares in which the holder of the relevant interest held the relevant interest;</w:t>
      </w:r>
    </w:p>
    <w:p>
      <w:pPr>
        <w:pStyle w:val="Indenta"/>
      </w:pPr>
      <w:r>
        <w:tab/>
        <w:t>(d)</w:t>
      </w:r>
      <w:r>
        <w:tab/>
        <w:t xml:space="preserve">the following particulars relating to the change — </w:t>
      </w:r>
    </w:p>
    <w:p>
      <w:pPr>
        <w:pStyle w:val="Indenti"/>
      </w:pPr>
      <w:r>
        <w:tab/>
        <w:t>(i)</w:t>
      </w:r>
      <w:r>
        <w:tab/>
        <w:t>the date of the change;</w:t>
      </w:r>
    </w:p>
    <w:p>
      <w:pPr>
        <w:pStyle w:val="Indenti"/>
      </w:pPr>
      <w:r>
        <w:tab/>
        <w:t>(ii)</w:t>
      </w:r>
      <w:r>
        <w:tab/>
        <w:t>particulars of the valuable consideration given in relation to the change, including the nature of consideration that did not consist of money;</w:t>
      </w:r>
    </w:p>
    <w:p>
      <w:pPr>
        <w:pStyle w:val="Indenti"/>
      </w:pPr>
      <w:r>
        <w:tab/>
        <w:t>(iii)</w:t>
      </w:r>
      <w:r>
        <w:tab/>
        <w:t>particulars of any contract, scheme, arrangement or other circumstance because of which the change happened;</w:t>
      </w:r>
    </w:p>
    <w:p>
      <w:pPr>
        <w:pStyle w:val="Indenti"/>
      </w:pPr>
      <w:r>
        <w:tab/>
        <w:t>(iv)</w:t>
      </w:r>
      <w:r>
        <w:tab/>
        <w:t>particulars of any qualification of the power of a person to exercise, control the exercise of, or influence, voting powers in the shares in relation to which the change in the relevant interest happened is held;</w:t>
      </w:r>
    </w:p>
    <w:p>
      <w:pPr>
        <w:pStyle w:val="Indenti"/>
      </w:pPr>
      <w:r>
        <w:tab/>
        <w:t>(v)</w:t>
      </w:r>
      <w:r>
        <w:tab/>
        <w:t>particulars of any additional benefit a person has or may become entitled to receive, whether on the happening of a contingency or not, because of a change in the relevant interest;</w:t>
      </w:r>
    </w:p>
    <w:p>
      <w:pPr>
        <w:pStyle w:val="Indenta"/>
      </w:pPr>
      <w:r>
        <w:tab/>
        <w:t>(e)</w:t>
      </w:r>
      <w:r>
        <w:tab/>
        <w:t xml:space="preserve">the following particulars applicable after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is held;</w:t>
      </w:r>
    </w:p>
    <w:p>
      <w:pPr>
        <w:pStyle w:val="Indenti"/>
      </w:pPr>
      <w:r>
        <w:tab/>
        <w:t>(iii)</w:t>
      </w:r>
      <w:r>
        <w:tab/>
        <w:t>the name and address of the person entitled to be registered as the holder of the shares;</w:t>
      </w:r>
    </w:p>
    <w:p>
      <w:pPr>
        <w:pStyle w:val="Indenta"/>
      </w:pPr>
      <w:r>
        <w:tab/>
        <w:t>(f)</w:t>
      </w:r>
      <w:r>
        <w:tab/>
        <w:t>the date the notice is given.</w:t>
      </w:r>
    </w:p>
    <w:p>
      <w:pPr>
        <w:pStyle w:val="Heading5"/>
      </w:pPr>
      <w:bookmarkStart w:id="138" w:name="_Toc292197782"/>
      <w:bookmarkStart w:id="139" w:name="_Toc267388656"/>
      <w:bookmarkStart w:id="140" w:name="_Toc269386973"/>
      <w:r>
        <w:rPr>
          <w:rStyle w:val="CharSectno"/>
        </w:rPr>
        <w:t>29</w:t>
      </w:r>
      <w:r>
        <w:t>.</w:t>
      </w:r>
      <w:r>
        <w:tab/>
        <w:t>Particulars in notice of cessation of substantial share interest (section 276(3))</w:t>
      </w:r>
      <w:bookmarkEnd w:id="138"/>
      <w:bookmarkEnd w:id="139"/>
      <w:bookmarkEnd w:id="140"/>
    </w:p>
    <w:p>
      <w:pPr>
        <w:pStyle w:val="Subsection"/>
      </w:pPr>
      <w:r>
        <w:tab/>
      </w:r>
      <w:r>
        <w:tab/>
        <w:t>Under section 277 of the Act, the particulars to be included in a notice, given under section 276(3) of the Act, of cessation of a substantial share interest in a co</w:t>
      </w:r>
      <w:r>
        <w:noBreakHyphen/>
        <w:t xml:space="preserve">operative are as follows — </w:t>
      </w:r>
    </w:p>
    <w:p>
      <w:pPr>
        <w:pStyle w:val="Indenta"/>
      </w:pPr>
      <w:r>
        <w:tab/>
        <w:t>(a)</w:t>
      </w:r>
      <w:r>
        <w:tab/>
        <w:t>the name of the co</w:t>
      </w:r>
      <w:r>
        <w:noBreakHyphen/>
        <w:t>operative to which notice is given;</w:t>
      </w:r>
    </w:p>
    <w:p>
      <w:pPr>
        <w:pStyle w:val="Indenta"/>
      </w:pPr>
      <w:r>
        <w:tab/>
        <w:t>(b)</w:t>
      </w:r>
      <w:r>
        <w:tab/>
        <w:t>the full name and address of the person giving notice;</w:t>
      </w:r>
    </w:p>
    <w:p>
      <w:pPr>
        <w:pStyle w:val="Indenta"/>
      </w:pPr>
      <w:r>
        <w:tab/>
        <w:t>(c)</w:t>
      </w:r>
      <w:r>
        <w:tab/>
        <w:t>the full name and address of the person ceasing to have the substantial share interest;</w:t>
      </w:r>
    </w:p>
    <w:p>
      <w:pPr>
        <w:pStyle w:val="Indenta"/>
      </w:pPr>
      <w:r>
        <w:tab/>
        <w:t>(d)</w:t>
      </w:r>
      <w:r>
        <w:tab/>
        <w:t>the date the person ceased to have the substantial share interest;</w:t>
      </w:r>
    </w:p>
    <w:p>
      <w:pPr>
        <w:pStyle w:val="Indenta"/>
      </w:pPr>
      <w:r>
        <w:tab/>
        <w:t>(e)</w:t>
      </w:r>
      <w:r>
        <w:tab/>
        <w:t>particulars of any agreement or other circumstance because of which the person ceased to hold the substantial share interest;</w:t>
      </w:r>
    </w:p>
    <w:p>
      <w:pPr>
        <w:pStyle w:val="Indenta"/>
      </w:pPr>
      <w:r>
        <w:tab/>
        <w:t>(f)</w:t>
      </w:r>
      <w:r>
        <w:tab/>
        <w:t>in relation to each change in a substantial share interest of the person since the person was last required to give notice of a change in a substantial share interest to the co</w:t>
      </w:r>
      <w:r>
        <w:noBreakHyphen/>
        <w:t xml:space="preserve">operative — </w:t>
      </w:r>
    </w:p>
    <w:p>
      <w:pPr>
        <w:pStyle w:val="Indenti"/>
      </w:pPr>
      <w:r>
        <w:tab/>
        <w:t>(i)</w:t>
      </w:r>
      <w:r>
        <w:tab/>
        <w:t>the date of the change; and</w:t>
      </w:r>
    </w:p>
    <w:p>
      <w:pPr>
        <w:pStyle w:val="Indenti"/>
      </w:pPr>
      <w:r>
        <w:tab/>
        <w:t>(ii)</w:t>
      </w:r>
      <w:r>
        <w:tab/>
        <w:t>the nature of the change; and</w:t>
      </w:r>
    </w:p>
    <w:p>
      <w:pPr>
        <w:pStyle w:val="Indenti"/>
      </w:pPr>
      <w:r>
        <w:tab/>
        <w:t>(iii)</w:t>
      </w:r>
      <w:r>
        <w:tab/>
        <w:t>the consideration given in relation to the change; and</w:t>
      </w:r>
    </w:p>
    <w:p>
      <w:pPr>
        <w:pStyle w:val="Indenti"/>
      </w:pPr>
      <w:r>
        <w:tab/>
        <w:t>(iv)</w:t>
      </w:r>
      <w:r>
        <w:tab/>
        <w:t>the class and number of shares affected by the change;</w:t>
      </w:r>
    </w:p>
    <w:p>
      <w:pPr>
        <w:pStyle w:val="Indenta"/>
      </w:pPr>
      <w:r>
        <w:tab/>
        <w:t>(g)</w:t>
      </w:r>
      <w:r>
        <w:tab/>
        <w:t>the date the notice is given.</w:t>
      </w:r>
    </w:p>
    <w:p>
      <w:pPr>
        <w:pStyle w:val="Heading5"/>
      </w:pPr>
      <w:bookmarkStart w:id="141" w:name="_Toc292197783"/>
      <w:bookmarkStart w:id="142" w:name="_Toc267388657"/>
      <w:bookmarkStart w:id="143" w:name="_Toc269386974"/>
      <w:r>
        <w:rPr>
          <w:rStyle w:val="CharSectno"/>
        </w:rPr>
        <w:t>30</w:t>
      </w:r>
      <w:r>
        <w:t>.</w:t>
      </w:r>
      <w:r>
        <w:tab/>
        <w:t>Maximum fee for inspection of notifiable interests register (section 284)</w:t>
      </w:r>
      <w:bookmarkEnd w:id="141"/>
      <w:bookmarkEnd w:id="142"/>
      <w:bookmarkEnd w:id="143"/>
    </w:p>
    <w:p>
      <w:pPr>
        <w:pStyle w:val="Subsection"/>
      </w:pPr>
      <w:r>
        <w:tab/>
      </w:r>
      <w:r>
        <w:tab/>
        <w:t>For the purposes of section 284(3)(b) of the Act, the maximum fee a co</w:t>
      </w:r>
      <w:r>
        <w:noBreakHyphen/>
        <w:t>operative may charge for inspection of the register of notifiable interests is $10.00.</w:t>
      </w:r>
    </w:p>
    <w:p>
      <w:pPr>
        <w:pStyle w:val="Heading5"/>
      </w:pPr>
      <w:bookmarkStart w:id="144" w:name="_Toc292197784"/>
      <w:bookmarkStart w:id="145" w:name="_Toc267388658"/>
      <w:bookmarkStart w:id="146" w:name="_Toc269386975"/>
      <w:r>
        <w:rPr>
          <w:rStyle w:val="CharSectno"/>
        </w:rPr>
        <w:t>31</w:t>
      </w:r>
      <w:r>
        <w:t>.</w:t>
      </w:r>
      <w:r>
        <w:tab/>
        <w:t>Application for transfer — prescribed law (section 305)</w:t>
      </w:r>
      <w:bookmarkEnd w:id="144"/>
      <w:bookmarkEnd w:id="145"/>
      <w:bookmarkEnd w:id="146"/>
    </w:p>
    <w:p>
      <w:pPr>
        <w:pStyle w:val="Subsection"/>
      </w:pPr>
      <w:r>
        <w:tab/>
      </w:r>
      <w:r>
        <w:tab/>
        <w:t xml:space="preserve">For the purposes of section 305(1)(c) of the Act,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 is a law under which a co</w:t>
      </w:r>
      <w:r>
        <w:noBreakHyphen/>
        <w:t>operative may, if approved, become registered or incorporated.</w:t>
      </w:r>
    </w:p>
    <w:p>
      <w:pPr>
        <w:pStyle w:val="Heading5"/>
      </w:pPr>
      <w:bookmarkStart w:id="147" w:name="_Toc292197785"/>
      <w:bookmarkStart w:id="148" w:name="_Toc267388659"/>
      <w:bookmarkStart w:id="149" w:name="_Toc269386976"/>
      <w:r>
        <w:rPr>
          <w:rStyle w:val="CharSectno"/>
        </w:rPr>
        <w:t>32</w:t>
      </w:r>
      <w:r>
        <w:t>.</w:t>
      </w:r>
      <w:r>
        <w:tab/>
        <w:t>Security to be given by liquidator (section 314)</w:t>
      </w:r>
      <w:bookmarkEnd w:id="147"/>
      <w:bookmarkEnd w:id="148"/>
      <w:bookmarkEnd w:id="149"/>
    </w:p>
    <w:p>
      <w:pPr>
        <w:pStyle w:val="Subsection"/>
      </w:pPr>
      <w:r>
        <w:tab/>
      </w:r>
      <w:r>
        <w:tab/>
        <w:t xml:space="preserve">For the purposes of section 314(6) of the Act, the security a liquidator must give is $50 000 in the form of — </w:t>
      </w:r>
    </w:p>
    <w:p>
      <w:pPr>
        <w:pStyle w:val="Indenta"/>
      </w:pPr>
      <w:r>
        <w:tab/>
        <w:t>(a)</w:t>
      </w:r>
      <w:r>
        <w:tab/>
        <w:t>cash; or</w:t>
      </w:r>
    </w:p>
    <w:p>
      <w:pPr>
        <w:pStyle w:val="Indenta"/>
      </w:pPr>
      <w:r>
        <w:tab/>
        <w:t>(b)</w:t>
      </w:r>
      <w:r>
        <w:tab/>
        <w:t>a cheque drawn on or that permits or enables payment to be made by a financial institution; or</w:t>
      </w:r>
    </w:p>
    <w:p>
      <w:pPr>
        <w:pStyle w:val="Indenta"/>
      </w:pPr>
      <w:r>
        <w:tab/>
        <w:t>(c)</w:t>
      </w:r>
      <w:r>
        <w:tab/>
        <w:t>a certificate of deposit issued by a financial institution; or</w:t>
      </w:r>
    </w:p>
    <w:p>
      <w:pPr>
        <w:pStyle w:val="Indenta"/>
      </w:pPr>
      <w:r>
        <w:tab/>
        <w:t>(d)</w:t>
      </w:r>
      <w:r>
        <w:tab/>
        <w:t>a debenture or security guaranteed by the Commonwealth or a State; or</w:t>
      </w:r>
    </w:p>
    <w:p>
      <w:pPr>
        <w:pStyle w:val="Indenta"/>
      </w:pPr>
      <w:r>
        <w:tab/>
        <w:t>(e)</w:t>
      </w:r>
      <w:r>
        <w:tab/>
        <w:t xml:space="preserve">a surety issued by a financial institution or a body corporate authorised to carry on insurance business under the </w:t>
      </w:r>
      <w:r>
        <w:rPr>
          <w:i/>
          <w:iCs/>
        </w:rPr>
        <w:t>Insurance Act 1973</w:t>
      </w:r>
      <w:r>
        <w:t xml:space="preserve"> (Commonwealth).</w:t>
      </w:r>
    </w:p>
    <w:p>
      <w:pPr>
        <w:pStyle w:val="Heading5"/>
      </w:pPr>
      <w:bookmarkStart w:id="150" w:name="_Toc292197786"/>
      <w:bookmarkStart w:id="151" w:name="_Toc267388660"/>
      <w:bookmarkStart w:id="152" w:name="_Toc269386977"/>
      <w:r>
        <w:rPr>
          <w:rStyle w:val="CharSectno"/>
        </w:rPr>
        <w:t>33</w:t>
      </w:r>
      <w:r>
        <w:t>.</w:t>
      </w:r>
      <w:r>
        <w:tab/>
        <w:t>Application of Corporations Act to winding</w:t>
      </w:r>
      <w:r>
        <w:noBreakHyphen/>
        <w:t>up (section 316)</w:t>
      </w:r>
      <w:bookmarkEnd w:id="150"/>
      <w:bookmarkEnd w:id="151"/>
      <w:bookmarkEnd w:id="152"/>
    </w:p>
    <w:p>
      <w:pPr>
        <w:pStyle w:val="Subsection"/>
      </w:pPr>
      <w:r>
        <w:tab/>
      </w:r>
      <w:r>
        <w:tab/>
        <w:t>For the purposes of section 316(i) of the Act, the changes to the Corporations Act set out in Schedule 5 Division 3 to these regulations are prescribed.</w:t>
      </w:r>
    </w:p>
    <w:p>
      <w:pPr>
        <w:pStyle w:val="Heading5"/>
      </w:pPr>
      <w:bookmarkStart w:id="153" w:name="_Toc292197787"/>
      <w:bookmarkStart w:id="154" w:name="_Toc267388661"/>
      <w:bookmarkStart w:id="155" w:name="_Toc269386978"/>
      <w:r>
        <w:rPr>
          <w:rStyle w:val="CharSectno"/>
        </w:rPr>
        <w:t>34</w:t>
      </w:r>
      <w:r>
        <w:t>.</w:t>
      </w:r>
      <w:r>
        <w:tab/>
        <w:t>Information to be set out in an explanatory statement (section 349)</w:t>
      </w:r>
      <w:bookmarkEnd w:id="153"/>
      <w:bookmarkEnd w:id="154"/>
      <w:bookmarkEnd w:id="155"/>
    </w:p>
    <w:p>
      <w:pPr>
        <w:pStyle w:val="Subsection"/>
      </w:pPr>
      <w:r>
        <w:tab/>
      </w:r>
      <w:r>
        <w:tab/>
        <w:t>For the purposes of section 349(3)(b)(i) of the Act, the information that must be in an explanatory statement is the information in Schedule 7 to these regulations.</w:t>
      </w:r>
    </w:p>
    <w:p>
      <w:pPr>
        <w:pStyle w:val="Heading5"/>
      </w:pPr>
      <w:bookmarkStart w:id="156" w:name="_Toc292197788"/>
      <w:bookmarkStart w:id="157" w:name="_Toc267388662"/>
      <w:bookmarkStart w:id="158" w:name="_Toc269386979"/>
      <w:r>
        <w:rPr>
          <w:rStyle w:val="CharSectno"/>
        </w:rPr>
        <w:t>35</w:t>
      </w:r>
      <w:r>
        <w:t>.</w:t>
      </w:r>
      <w:r>
        <w:tab/>
        <w:t>Manner of giving notice to dissenting shareholder (section 355)</w:t>
      </w:r>
      <w:bookmarkEnd w:id="156"/>
      <w:bookmarkEnd w:id="157"/>
      <w:bookmarkEnd w:id="158"/>
    </w:p>
    <w:p>
      <w:pPr>
        <w:pStyle w:val="Subsection"/>
      </w:pPr>
      <w:r>
        <w:tab/>
      </w:r>
      <w:r>
        <w:tab/>
        <w:t>For the purposes of section 355(1) of the Act, a compulsory acquisition notice must be given in a form approved by the Registrar.</w:t>
      </w:r>
    </w:p>
    <w:p>
      <w:pPr>
        <w:pStyle w:val="Penstart"/>
      </w:pPr>
      <w:r>
        <w:tab/>
        <w:t>Penalty: a fine of $1 000.</w:t>
      </w:r>
    </w:p>
    <w:p>
      <w:pPr>
        <w:pStyle w:val="Heading5"/>
      </w:pPr>
      <w:bookmarkStart w:id="159" w:name="_Toc292197789"/>
      <w:bookmarkStart w:id="160" w:name="_Toc267388663"/>
      <w:bookmarkStart w:id="161" w:name="_Toc269386980"/>
      <w:r>
        <w:rPr>
          <w:rStyle w:val="CharSectno"/>
        </w:rPr>
        <w:t>36</w:t>
      </w:r>
      <w:r>
        <w:t>.</w:t>
      </w:r>
      <w:r>
        <w:tab/>
        <w:t>Manner of giving notice to remaining shareholders (section 357)</w:t>
      </w:r>
      <w:bookmarkEnd w:id="159"/>
      <w:bookmarkEnd w:id="160"/>
      <w:bookmarkEnd w:id="161"/>
    </w:p>
    <w:p>
      <w:pPr>
        <w:pStyle w:val="Subsection"/>
      </w:pPr>
      <w:r>
        <w:tab/>
      </w:r>
      <w:r>
        <w:tab/>
        <w:t>For the purposes of section 357(1)(a) of the Act, a notice to a remaining shareholder must be given in a form approved by the Registrar.</w:t>
      </w:r>
    </w:p>
    <w:p>
      <w:pPr>
        <w:pStyle w:val="Penstart"/>
      </w:pPr>
      <w:r>
        <w:tab/>
        <w:t>Penalty: a fine of $1 000.</w:t>
      </w:r>
    </w:p>
    <w:p>
      <w:pPr>
        <w:pStyle w:val="Heading5"/>
      </w:pPr>
      <w:bookmarkStart w:id="162" w:name="_Toc292197790"/>
      <w:bookmarkStart w:id="163" w:name="_Toc267388664"/>
      <w:bookmarkStart w:id="164" w:name="_Toc269386981"/>
      <w:r>
        <w:rPr>
          <w:rStyle w:val="CharSectno"/>
        </w:rPr>
        <w:t>37</w:t>
      </w:r>
      <w:r>
        <w:t>.</w:t>
      </w:r>
      <w:r>
        <w:tab/>
        <w:t>Out</w:t>
      </w:r>
      <w:r>
        <w:noBreakHyphen/>
        <w:t>of</w:t>
      </w:r>
      <w:r>
        <w:noBreakHyphen/>
        <w:t>jurisdiction compromise or arrangement — corresponding laws (section 362)</w:t>
      </w:r>
      <w:bookmarkEnd w:id="162"/>
      <w:bookmarkEnd w:id="163"/>
      <w:bookmarkEnd w:id="164"/>
    </w:p>
    <w:p>
      <w:pPr>
        <w:pStyle w:val="Subsection"/>
      </w:pPr>
      <w:r>
        <w:tab/>
      </w:r>
      <w:r>
        <w:tab/>
        <w:t xml:space="preserve">For the purposes of section 362(2) of the Act, the following provisions of laws of other States and Territories are provisions corresponding to section 338 of the Act — </w:t>
      </w:r>
    </w:p>
    <w:p>
      <w:pPr>
        <w:pStyle w:val="Indenta"/>
      </w:pPr>
      <w:r>
        <w:tab/>
        <w:t>(a)</w:t>
      </w:r>
      <w:r>
        <w:tab/>
        <w:t xml:space="preserve">the </w:t>
      </w:r>
      <w:r>
        <w:rPr>
          <w:i/>
          <w:iCs/>
        </w:rPr>
        <w:t>Co</w:t>
      </w:r>
      <w:r>
        <w:rPr>
          <w:i/>
          <w:iCs/>
        </w:rPr>
        <w:noBreakHyphen/>
        <w:t>operatives Act 1992</w:t>
      </w:r>
      <w:r>
        <w:t xml:space="preserve"> (</w:t>
      </w:r>
      <w:smartTag w:uri="urn:schemas-microsoft-com:office:smarttags" w:element="State">
        <w:smartTag w:uri="urn:schemas-microsoft-com:office:smarttags" w:element="place">
          <w:r>
            <w:t>New South Wales</w:t>
          </w:r>
        </w:smartTag>
      </w:smartTag>
      <w:r>
        <w:t>) section 344;</w:t>
      </w:r>
    </w:p>
    <w:p>
      <w:pPr>
        <w:pStyle w:val="Indenta"/>
      </w:pPr>
      <w:r>
        <w:tab/>
        <w:t>(b)</w:t>
      </w:r>
      <w:r>
        <w:tab/>
        <w:t xml:space="preserve">the </w:t>
      </w:r>
      <w:r>
        <w:rPr>
          <w:i/>
          <w:iCs/>
        </w:rPr>
        <w:t>Co</w:t>
      </w:r>
      <w:r>
        <w:rPr>
          <w:i/>
          <w:iCs/>
        </w:rPr>
        <w:noBreakHyphen/>
        <w:t>operatives Act 1996</w:t>
      </w:r>
      <w:r>
        <w:t xml:space="preserve"> (Victoria) section 339;</w:t>
      </w:r>
    </w:p>
    <w:p>
      <w:pPr>
        <w:pStyle w:val="Indenta"/>
      </w:pPr>
      <w:r>
        <w:tab/>
        <w:t>(c)</w:t>
      </w:r>
      <w:r>
        <w:tab/>
        <w:t xml:space="preserve">the </w:t>
      </w:r>
      <w:r>
        <w:rPr>
          <w:i/>
          <w:iCs/>
        </w:rPr>
        <w:t>Co</w:t>
      </w:r>
      <w:r>
        <w:rPr>
          <w:i/>
          <w:iCs/>
        </w:rPr>
        <w:noBreakHyphen/>
        <w:t>operatives Act</w:t>
      </w:r>
      <w:r>
        <w:t xml:space="preserve"> (Northern Territory) section 334;</w:t>
      </w:r>
    </w:p>
    <w:p>
      <w:pPr>
        <w:pStyle w:val="Indenta"/>
      </w:pPr>
      <w:r>
        <w:tab/>
        <w:t>(d)</w:t>
      </w:r>
      <w:r>
        <w:tab/>
        <w:t xml:space="preserve">the </w:t>
      </w:r>
      <w:r>
        <w:rPr>
          <w:i/>
          <w:iCs/>
        </w:rPr>
        <w:t>Cooperatives Act 2002</w:t>
      </w:r>
      <w:r>
        <w:t xml:space="preserve"> (Australian Capital Territory) section 362;</w:t>
      </w:r>
    </w:p>
    <w:p>
      <w:pPr>
        <w:pStyle w:val="Indenta"/>
      </w:pPr>
      <w:r>
        <w:tab/>
        <w:t>(e)</w:t>
      </w:r>
      <w:r>
        <w:tab/>
        <w:t xml:space="preserve">the </w:t>
      </w:r>
      <w:r>
        <w:rPr>
          <w:i/>
          <w:iCs/>
        </w:rPr>
        <w:t>Co</w:t>
      </w:r>
      <w:r>
        <w:rPr>
          <w:i/>
          <w:iCs/>
        </w:rPr>
        <w:noBreakHyphen/>
        <w:t>operatives Act 1997</w:t>
      </w:r>
      <w:r>
        <w:t xml:space="preserve"> (South Australia) section 334;</w:t>
      </w:r>
    </w:p>
    <w:p>
      <w:pPr>
        <w:pStyle w:val="Indenta"/>
      </w:pPr>
      <w:r>
        <w:tab/>
        <w:t>(f)</w:t>
      </w:r>
      <w:r>
        <w:tab/>
        <w:t xml:space="preserve">the </w:t>
      </w:r>
      <w:r>
        <w:rPr>
          <w:i/>
          <w:iCs/>
        </w:rPr>
        <w:t>Cooperatives Act 1997</w:t>
      </w:r>
      <w:r>
        <w:t xml:space="preserve"> (Queensland) section 331;</w:t>
      </w:r>
    </w:p>
    <w:p>
      <w:pPr>
        <w:pStyle w:val="Indenta"/>
      </w:pPr>
      <w:r>
        <w:tab/>
        <w:t>(g)</w:t>
      </w:r>
      <w:r>
        <w:tab/>
        <w:t xml:space="preserve">the </w:t>
      </w:r>
      <w:r>
        <w:rPr>
          <w:i/>
          <w:iCs/>
        </w:rPr>
        <w:t>Cooperatives Act 1999</w:t>
      </w:r>
      <w:r>
        <w:t xml:space="preserve"> (Tasmania) section 342.</w:t>
      </w:r>
    </w:p>
    <w:p>
      <w:pPr>
        <w:pStyle w:val="Heading5"/>
      </w:pPr>
      <w:bookmarkStart w:id="165" w:name="_Toc292197791"/>
      <w:bookmarkStart w:id="166" w:name="_Toc267388665"/>
      <w:bookmarkStart w:id="167" w:name="_Toc269386982"/>
      <w:r>
        <w:rPr>
          <w:rStyle w:val="CharSectno"/>
        </w:rPr>
        <w:t>38</w:t>
      </w:r>
      <w:r>
        <w:t>.</w:t>
      </w:r>
      <w:r>
        <w:tab/>
        <w:t>Application of Act and regulations to foreign co</w:t>
      </w:r>
      <w:r>
        <w:noBreakHyphen/>
        <w:t>operatives (section 379)</w:t>
      </w:r>
      <w:bookmarkEnd w:id="165"/>
      <w:bookmarkEnd w:id="166"/>
      <w:bookmarkEnd w:id="167"/>
    </w:p>
    <w:p>
      <w:pPr>
        <w:pStyle w:val="Subsection"/>
      </w:pPr>
      <w:r>
        <w:tab/>
      </w:r>
      <w:r>
        <w:tab/>
        <w:t xml:space="preserve">For the purposes of section 379 of the Act — </w:t>
      </w:r>
    </w:p>
    <w:p>
      <w:pPr>
        <w:pStyle w:val="Indenta"/>
      </w:pPr>
      <w:r>
        <w:tab/>
        <w:t>(a)</w:t>
      </w:r>
      <w:r>
        <w:tab/>
        <w:t>the provisions of the Act set out in Schedule 8 Division 1 to these regulations apply to a participating co</w:t>
      </w:r>
      <w:r>
        <w:noBreakHyphen/>
        <w:t>operative; and</w:t>
      </w:r>
    </w:p>
    <w:p>
      <w:pPr>
        <w:pStyle w:val="Indenta"/>
      </w:pPr>
      <w:r>
        <w:tab/>
        <w:t>(b)</w:t>
      </w:r>
      <w:r>
        <w:tab/>
        <w:t>the provisions of the Act and these regulations in Schedule 8 Division 2 to these regulations apply to a non</w:t>
      </w:r>
      <w:r>
        <w:noBreakHyphen/>
        <w:t>participating co</w:t>
      </w:r>
      <w:r>
        <w:noBreakHyphen/>
        <w:t>operative.</w:t>
      </w:r>
    </w:p>
    <w:p>
      <w:pPr>
        <w:pStyle w:val="Heading5"/>
      </w:pPr>
      <w:bookmarkStart w:id="168" w:name="_Toc292197792"/>
      <w:bookmarkStart w:id="169" w:name="_Toc267388666"/>
      <w:bookmarkStart w:id="170" w:name="_Toc269386983"/>
      <w:r>
        <w:rPr>
          <w:rStyle w:val="CharSectno"/>
        </w:rPr>
        <w:t>39</w:t>
      </w:r>
      <w:r>
        <w:t>.</w:t>
      </w:r>
      <w:r>
        <w:tab/>
        <w:t>Allowances and expenses for an involved person (section 429)</w:t>
      </w:r>
      <w:bookmarkEnd w:id="168"/>
      <w:bookmarkEnd w:id="169"/>
      <w:bookmarkEnd w:id="170"/>
    </w:p>
    <w:p>
      <w:pPr>
        <w:pStyle w:val="Subsection"/>
      </w:pPr>
      <w:r>
        <w:tab/>
      </w:r>
      <w:r>
        <w:tab/>
        <w:t>For the purposes of section 429(4) of the Act, the allowance and expenses payable to an involved person are the allowance and expenses payable to a witness in a civil proceeding before the District Court.</w:t>
      </w:r>
    </w:p>
    <w:p>
      <w:pPr>
        <w:pStyle w:val="Heading5"/>
      </w:pPr>
      <w:bookmarkStart w:id="171" w:name="_Toc292197793"/>
      <w:bookmarkStart w:id="172" w:name="_Toc267388667"/>
      <w:bookmarkStart w:id="173" w:name="_Toc269386984"/>
      <w:r>
        <w:rPr>
          <w:rStyle w:val="CharSectno"/>
        </w:rPr>
        <w:t>40</w:t>
      </w:r>
      <w:r>
        <w:t>.</w:t>
      </w:r>
      <w:r>
        <w:tab/>
        <w:t>Documents relating to a co</w:t>
      </w:r>
      <w:r>
        <w:noBreakHyphen/>
        <w:t>operative (section 457)</w:t>
      </w:r>
      <w:bookmarkEnd w:id="171"/>
      <w:bookmarkEnd w:id="172"/>
      <w:bookmarkEnd w:id="173"/>
    </w:p>
    <w:p>
      <w:pPr>
        <w:pStyle w:val="Subsection"/>
      </w:pPr>
      <w:r>
        <w:tab/>
      </w:r>
      <w:r>
        <w:tab/>
        <w:t>For the purposes of section 457(1)(b) of the Act, the documents kept by the Registrar relating to a co</w:t>
      </w:r>
      <w:r>
        <w:noBreakHyphen/>
        <w:t xml:space="preserve">operative that a person may inspect are documents given to, or issued by, the Registrar under the Act other than the following — </w:t>
      </w:r>
    </w:p>
    <w:p>
      <w:pPr>
        <w:pStyle w:val="Indenta"/>
      </w:pPr>
      <w:r>
        <w:tab/>
        <w:t>(a)</w:t>
      </w:r>
      <w:r>
        <w:tab/>
        <w:t xml:space="preserve">a document given to the Registrar under one of the following provisions of the Act — </w:t>
      </w:r>
    </w:p>
    <w:p>
      <w:pPr>
        <w:pStyle w:val="Indenti"/>
      </w:pPr>
      <w:r>
        <w:tab/>
        <w:t>(i)</w:t>
      </w:r>
      <w:r>
        <w:tab/>
        <w:t>section 236 (</w:t>
      </w:r>
      <w:r>
        <w:rPr>
          <w:i/>
          <w:iCs/>
        </w:rPr>
        <w:t>list of members requested by the Registrar</w:t>
      </w:r>
      <w:r>
        <w:t>);</w:t>
      </w:r>
    </w:p>
    <w:p>
      <w:pPr>
        <w:pStyle w:val="Indenti"/>
      </w:pPr>
      <w:r>
        <w:tab/>
        <w:t>(ii)</w:t>
      </w:r>
      <w:r>
        <w:tab/>
        <w:t>section 237 (</w:t>
      </w:r>
      <w:r>
        <w:rPr>
          <w:i/>
          <w:iCs/>
        </w:rPr>
        <w:t>special return requested by the Registrar</w:t>
      </w:r>
      <w:r>
        <w:t>);</w:t>
      </w:r>
    </w:p>
    <w:p>
      <w:pPr>
        <w:pStyle w:val="Indenti"/>
      </w:pPr>
      <w:r>
        <w:tab/>
        <w:t>(iii)</w:t>
      </w:r>
      <w:r>
        <w:tab/>
        <w:t>section 326(4) (</w:t>
      </w:r>
      <w:r>
        <w:rPr>
          <w:i/>
          <w:iCs/>
        </w:rPr>
        <w:t>administrator’s report to the Registrar showing how the administration was carried out</w:t>
      </w:r>
      <w:r>
        <w:t>);</w:t>
      </w:r>
    </w:p>
    <w:p>
      <w:pPr>
        <w:pStyle w:val="Indenti"/>
      </w:pPr>
      <w:r>
        <w:tab/>
        <w:t>(iv)</w:t>
      </w:r>
      <w:r>
        <w:tab/>
        <w:t>section 331 (</w:t>
      </w:r>
      <w:r>
        <w:rPr>
          <w:i/>
          <w:iCs/>
        </w:rPr>
        <w:t>administrator’s report to the Registrar showing how the administration was carried out, produced at the Registrar’s request</w:t>
      </w:r>
      <w:r>
        <w:t>);</w:t>
      </w:r>
    </w:p>
    <w:p>
      <w:pPr>
        <w:pStyle w:val="Indenti"/>
      </w:pPr>
      <w:r>
        <w:tab/>
        <w:t>(v)</w:t>
      </w:r>
      <w:r>
        <w:tab/>
        <w:t>section 425(4) (</w:t>
      </w:r>
      <w:r>
        <w:rPr>
          <w:i/>
          <w:iCs/>
        </w:rPr>
        <w:t>details given by a legal practitioner to identify privileged communication</w:t>
      </w:r>
      <w:r>
        <w:t>);</w:t>
      </w:r>
    </w:p>
    <w:p>
      <w:pPr>
        <w:pStyle w:val="Indenti"/>
      </w:pPr>
      <w:r>
        <w:tab/>
        <w:t>(vi)</w:t>
      </w:r>
      <w:r>
        <w:tab/>
        <w:t>section 430(3) (</w:t>
      </w:r>
      <w:r>
        <w:rPr>
          <w:i/>
          <w:iCs/>
        </w:rPr>
        <w:t>details given by a legal practitioner to identify privileged communication</w:t>
      </w:r>
      <w:r>
        <w:t>);</w:t>
      </w:r>
    </w:p>
    <w:p>
      <w:pPr>
        <w:pStyle w:val="Indenti"/>
      </w:pPr>
      <w:r>
        <w:tab/>
        <w:t>(vii)</w:t>
      </w:r>
      <w:r>
        <w:tab/>
        <w:t>section 434(1) (</w:t>
      </w:r>
      <w:r>
        <w:rPr>
          <w:i/>
          <w:iCs/>
        </w:rPr>
        <w:t>investigator’s interim report to the Registrar on an inquiry</w:t>
      </w:r>
      <w:r>
        <w:t>);</w:t>
      </w:r>
    </w:p>
    <w:p>
      <w:pPr>
        <w:pStyle w:val="Indenti"/>
      </w:pPr>
      <w:r>
        <w:tab/>
        <w:t>(viii)</w:t>
      </w:r>
      <w:r>
        <w:tab/>
        <w:t>section 434(2) (</w:t>
      </w:r>
      <w:r>
        <w:rPr>
          <w:i/>
          <w:iCs/>
        </w:rPr>
        <w:t>investigator’s final report to the Registrar on an inquiry</w:t>
      </w:r>
      <w:r>
        <w:t>);</w:t>
      </w:r>
    </w:p>
    <w:p>
      <w:pPr>
        <w:pStyle w:val="Indenta"/>
      </w:pPr>
      <w:r>
        <w:tab/>
        <w:t>(b)</w:t>
      </w:r>
      <w:r>
        <w:tab/>
        <w:t>a report made or filed under Schedule 4 clause 13 to the Act;</w:t>
      </w:r>
    </w:p>
    <w:p>
      <w:pPr>
        <w:pStyle w:val="Indenta"/>
      </w:pPr>
      <w:r>
        <w:tab/>
        <w:t>(c)</w:t>
      </w:r>
      <w:r>
        <w:tab/>
        <w:t xml:space="preserve">a document given to the Registrar under any of the following provisions of the Corporations Act as applied by the Act — </w:t>
      </w:r>
    </w:p>
    <w:p>
      <w:pPr>
        <w:pStyle w:val="Indenti"/>
      </w:pPr>
      <w:r>
        <w:tab/>
        <w:t>(i)</w:t>
      </w:r>
      <w:r>
        <w:tab/>
        <w:t>section 311;</w:t>
      </w:r>
    </w:p>
    <w:p>
      <w:pPr>
        <w:pStyle w:val="Indenti"/>
      </w:pPr>
      <w:r>
        <w:tab/>
        <w:t>(ii)</w:t>
      </w:r>
      <w:r>
        <w:tab/>
        <w:t>section 438D;</w:t>
      </w:r>
    </w:p>
    <w:p>
      <w:pPr>
        <w:pStyle w:val="Indenti"/>
      </w:pPr>
      <w:r>
        <w:tab/>
        <w:t>(iii)</w:t>
      </w:r>
      <w:r>
        <w:tab/>
        <w:t>section 533.</w:t>
      </w:r>
    </w:p>
    <w:p>
      <w:pPr>
        <w:pStyle w:val="Heading5"/>
      </w:pPr>
      <w:bookmarkStart w:id="174" w:name="_Toc292197794"/>
      <w:bookmarkStart w:id="175" w:name="_Toc267388668"/>
      <w:bookmarkStart w:id="176" w:name="_Toc269386985"/>
      <w:r>
        <w:rPr>
          <w:rStyle w:val="CharSectno"/>
        </w:rPr>
        <w:t>41</w:t>
      </w:r>
      <w:r>
        <w:t>.</w:t>
      </w:r>
      <w:r>
        <w:tab/>
        <w:t>Exclusions — holders of prescribed offices</w:t>
      </w:r>
      <w:bookmarkEnd w:id="174"/>
      <w:bookmarkEnd w:id="175"/>
      <w:bookmarkEnd w:id="176"/>
    </w:p>
    <w:p>
      <w:pPr>
        <w:pStyle w:val="Subsection"/>
      </w:pPr>
      <w:r>
        <w:tab/>
      </w:r>
      <w:r>
        <w:tab/>
        <w:t>For the purposes of Schedule 2 clause 13 to the Act a relevant interest in a share or right to vote held by each person holding an office mentioned in Schedule 9 to these regulations is to be disregarded.</w:t>
      </w:r>
    </w:p>
    <w:p>
      <w:pPr>
        <w:pStyle w:val="Heading5"/>
      </w:pPr>
      <w:bookmarkStart w:id="177" w:name="_Toc292197795"/>
      <w:bookmarkStart w:id="178" w:name="_Toc267388669"/>
      <w:bookmarkStart w:id="179" w:name="_Toc269386986"/>
      <w:r>
        <w:rPr>
          <w:rStyle w:val="CharSectno"/>
        </w:rPr>
        <w:t>42</w:t>
      </w:r>
      <w:r>
        <w:t>.</w:t>
      </w:r>
      <w:r>
        <w:tab/>
        <w:t>Fees</w:t>
      </w:r>
      <w:bookmarkEnd w:id="177"/>
      <w:bookmarkEnd w:id="178"/>
      <w:bookmarkEnd w:id="179"/>
    </w:p>
    <w:p>
      <w:pPr>
        <w:pStyle w:val="Subsection"/>
      </w:pPr>
      <w:r>
        <w:tab/>
        <w:t>(1)</w:t>
      </w:r>
      <w:r>
        <w:tab/>
        <w:t>The fees payable under the Act are those set out in Schedule 10 to these regulations.</w:t>
      </w:r>
    </w:p>
    <w:p>
      <w:pPr>
        <w:pStyle w:val="Subsection"/>
      </w:pPr>
      <w:r>
        <w:tab/>
        <w:t>(2)</w:t>
      </w:r>
      <w:r>
        <w:tab/>
        <w:t>The amount of any additional fee the Registrar may impose for late filing of a document required to be filed under the Act is set out in Schedule 10 to these regulations.</w:t>
      </w:r>
    </w:p>
    <w:p>
      <w:pPr>
        <w:pStyle w:val="Heading5"/>
      </w:pPr>
      <w:bookmarkStart w:id="180" w:name="_Toc292197796"/>
      <w:bookmarkStart w:id="181" w:name="_Toc267388670"/>
      <w:bookmarkStart w:id="182" w:name="_Toc269386987"/>
      <w:r>
        <w:rPr>
          <w:rStyle w:val="CharSectno"/>
        </w:rPr>
        <w:t>43</w:t>
      </w:r>
      <w:r>
        <w:t>.</w:t>
      </w:r>
      <w:r>
        <w:tab/>
        <w:t>Registrar may waive fees in some circumstances</w:t>
      </w:r>
      <w:bookmarkEnd w:id="180"/>
      <w:bookmarkEnd w:id="181"/>
      <w:bookmarkEnd w:id="182"/>
    </w:p>
    <w:p>
      <w:pPr>
        <w:pStyle w:val="Subsection"/>
      </w:pPr>
      <w:r>
        <w:tab/>
      </w:r>
      <w:r>
        <w:tab/>
        <w:t xml:space="preserve">The Registrar may waive all or part of a fee payable under the Act if, in the Registrar’s opinion — </w:t>
      </w:r>
    </w:p>
    <w:p>
      <w:pPr>
        <w:pStyle w:val="Indenta"/>
      </w:pPr>
      <w:r>
        <w:tab/>
        <w:t>(a)</w:t>
      </w:r>
      <w:r>
        <w:tab/>
        <w:t>the fee is payable by a co</w:t>
      </w:r>
      <w:r>
        <w:noBreakHyphen/>
        <w:t xml:space="preserve">operative established mainly for — </w:t>
      </w:r>
    </w:p>
    <w:p>
      <w:pPr>
        <w:pStyle w:val="Indenti"/>
      </w:pPr>
      <w:r>
        <w:tab/>
        <w:t>(i)</w:t>
      </w:r>
      <w:r>
        <w:tab/>
        <w:t>a charitable purpose; or</w:t>
      </w:r>
    </w:p>
    <w:p>
      <w:pPr>
        <w:pStyle w:val="Indenti"/>
      </w:pPr>
      <w:r>
        <w:tab/>
        <w:t>(ii)</w:t>
      </w:r>
      <w:r>
        <w:tab/>
        <w:t>advancing the welfare of a disadvantaged class of persons;</w:t>
      </w:r>
    </w:p>
    <w:p>
      <w:pPr>
        <w:pStyle w:val="Indenta"/>
      </w:pPr>
      <w:r>
        <w:tab/>
      </w:r>
      <w:r>
        <w:tab/>
        <w:t>or</w:t>
      </w:r>
    </w:p>
    <w:p>
      <w:pPr>
        <w:pStyle w:val="Indenta"/>
      </w:pPr>
      <w:r>
        <w:tab/>
        <w:t>(b)</w:t>
      </w:r>
      <w:r>
        <w:tab/>
        <w:t>there are special circumstances for waiving the fee or part of it.</w:t>
      </w:r>
    </w:p>
    <w:p>
      <w:pPr>
        <w:rPr>
          <w:ins w:id="183" w:author="Master Repository Process" w:date="2021-07-31T15:17:00Z"/>
        </w:rPr>
        <w:sectPr>
          <w:headerReference w:type="even" r:id="rId20"/>
          <w:headerReference w:type="default" r:id="rId21"/>
          <w:headerReference w:type="first" r:id="rId22"/>
          <w:pgSz w:w="11906" w:h="16838" w:code="9"/>
          <w:pgMar w:top="2376" w:right="2405" w:bottom="3542" w:left="2405" w:header="706" w:footer="3380" w:gutter="0"/>
          <w:pgNumType w:start="1"/>
          <w:cols w:space="720"/>
          <w:noEndnote/>
          <w:titlePg/>
          <w:docGrid w:linePitch="326"/>
        </w:sectPr>
      </w:pPr>
    </w:p>
    <w:p>
      <w:pPr>
        <w:pStyle w:val="yScheduleHeading"/>
      </w:pPr>
      <w:bookmarkStart w:id="184" w:name="_Toc292194884"/>
      <w:bookmarkStart w:id="185" w:name="_Toc292195172"/>
      <w:bookmarkStart w:id="186" w:name="_Toc292197797"/>
      <w:bookmarkStart w:id="187" w:name="_Toc265851922"/>
      <w:bookmarkStart w:id="188" w:name="_Toc265852663"/>
      <w:bookmarkStart w:id="189" w:name="_Toc266086493"/>
      <w:bookmarkStart w:id="190" w:name="_Toc266087778"/>
      <w:bookmarkStart w:id="191" w:name="_Toc266199637"/>
      <w:bookmarkStart w:id="192" w:name="_Toc266279282"/>
      <w:bookmarkStart w:id="193" w:name="_Toc266289545"/>
      <w:bookmarkStart w:id="194" w:name="_Toc266345589"/>
      <w:bookmarkStart w:id="195" w:name="_Toc266371106"/>
      <w:bookmarkStart w:id="196" w:name="_Toc266430334"/>
      <w:bookmarkStart w:id="197" w:name="_Toc266434495"/>
      <w:bookmarkStart w:id="198" w:name="_Toc266434781"/>
      <w:bookmarkStart w:id="199" w:name="_Toc266435697"/>
      <w:bookmarkStart w:id="200" w:name="_Toc266436000"/>
      <w:bookmarkStart w:id="201" w:name="_Toc266436286"/>
      <w:bookmarkStart w:id="202" w:name="_Toc266436572"/>
      <w:bookmarkStart w:id="203" w:name="_Toc266608147"/>
      <w:bookmarkStart w:id="204" w:name="_Toc266609696"/>
      <w:bookmarkStart w:id="205" w:name="_Toc266613614"/>
      <w:bookmarkStart w:id="206" w:name="_Toc267053792"/>
      <w:bookmarkStart w:id="207" w:name="_Toc267054326"/>
      <w:bookmarkStart w:id="208" w:name="_Toc267054695"/>
      <w:bookmarkStart w:id="209" w:name="_Toc267054981"/>
      <w:bookmarkStart w:id="210" w:name="_Toc267055267"/>
      <w:bookmarkStart w:id="211" w:name="_Toc267383094"/>
      <w:bookmarkStart w:id="212" w:name="_Toc267388099"/>
      <w:bookmarkStart w:id="213" w:name="_Toc267388385"/>
      <w:bookmarkStart w:id="214" w:name="_Toc267388671"/>
      <w:bookmarkStart w:id="215" w:name="_Toc269374971"/>
      <w:bookmarkStart w:id="216" w:name="_Toc269375351"/>
      <w:bookmarkStart w:id="217" w:name="_Toc269386699"/>
      <w:bookmarkStart w:id="218" w:name="_Toc269386988"/>
      <w:r>
        <w:rPr>
          <w:rStyle w:val="CharSchNo"/>
        </w:rPr>
        <w:t>Schedule 1</w:t>
      </w:r>
      <w:r>
        <w:t> —</w:t>
      </w:r>
      <w:bookmarkStart w:id="219" w:name="AutoSch"/>
      <w:bookmarkEnd w:id="219"/>
      <w:r>
        <w:t> </w:t>
      </w:r>
      <w:r>
        <w:rPr>
          <w:rStyle w:val="CharSchText"/>
        </w:rPr>
        <w:t>Model rules of a non</w:t>
      </w:r>
      <w:r>
        <w:rPr>
          <w:rStyle w:val="CharSchText"/>
        </w:rPr>
        <w:noBreakHyphen/>
        <w:t>distributing co</w:t>
      </w:r>
      <w:r>
        <w:rPr>
          <w:rStyle w:val="CharSchText"/>
        </w:rPr>
        <w:noBreakHyphen/>
        <w:t>operative without share capital</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without share capital registered under the </w:t>
      </w:r>
      <w:r>
        <w:rPr>
          <w:b/>
          <w:bCs/>
          <w:i/>
          <w:iCs/>
        </w:rPr>
        <w:t>Co</w:t>
      </w:r>
      <w:r>
        <w:rPr>
          <w:b/>
          <w:bCs/>
          <w:i/>
          <w:iCs/>
        </w:rPr>
        <w:noBreakHyphen/>
        <w:t>operatives Act 2009</w:t>
      </w:r>
    </w:p>
    <w:p>
      <w:pPr>
        <w:pStyle w:val="yHeading5"/>
      </w:pPr>
      <w:bookmarkStart w:id="220" w:name="_Toc292197798"/>
      <w:bookmarkStart w:id="221" w:name="_Toc267388672"/>
      <w:bookmarkStart w:id="222" w:name="_Toc269386989"/>
      <w:r>
        <w:rPr>
          <w:rStyle w:val="CharSClsNo"/>
        </w:rPr>
        <w:t>1</w:t>
      </w:r>
      <w:r>
        <w:t>.</w:t>
      </w:r>
      <w:r>
        <w:tab/>
        <w:t>Terms used</w:t>
      </w:r>
      <w:bookmarkEnd w:id="220"/>
      <w:bookmarkEnd w:id="221"/>
      <w:bookmarkEnd w:id="222"/>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55;</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clause 38.</w:t>
      </w:r>
    </w:p>
    <w:p>
      <w:pPr>
        <w:pStyle w:val="yHeading5"/>
      </w:pPr>
      <w:bookmarkStart w:id="223" w:name="_Toc292197799"/>
      <w:bookmarkStart w:id="224" w:name="_Toc267388673"/>
      <w:bookmarkStart w:id="225" w:name="_Toc269386990"/>
      <w:r>
        <w:rPr>
          <w:rStyle w:val="CharSClsNo"/>
        </w:rPr>
        <w:t>2</w:t>
      </w:r>
      <w:r>
        <w:t>.</w:t>
      </w:r>
      <w:r>
        <w:tab/>
        <w:t>Rules</w:t>
      </w:r>
      <w:bookmarkEnd w:id="223"/>
      <w:bookmarkEnd w:id="224"/>
      <w:bookmarkEnd w:id="225"/>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A proposed alteration to these rules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Heading5"/>
      </w:pPr>
      <w:bookmarkStart w:id="226" w:name="_Toc292197800"/>
      <w:bookmarkStart w:id="227" w:name="_Toc267388674"/>
      <w:bookmarkStart w:id="228" w:name="_Toc269386991"/>
      <w:r>
        <w:rPr>
          <w:rStyle w:val="CharSClsNo"/>
        </w:rPr>
        <w:t>3</w:t>
      </w:r>
      <w:r>
        <w:t>.</w:t>
      </w:r>
      <w:r>
        <w:tab/>
        <w:t>Powers</w:t>
      </w:r>
      <w:bookmarkEnd w:id="226"/>
      <w:bookmarkEnd w:id="227"/>
      <w:bookmarkEnd w:id="228"/>
    </w:p>
    <w:p>
      <w:pPr>
        <w:pStyle w:val="ySubsection"/>
      </w:pPr>
      <w:r>
        <w:tab/>
      </w:r>
      <w:r>
        <w:tab/>
        <w:t>The co</w:t>
      </w:r>
      <w:r>
        <w:noBreakHyphen/>
        <w:t>operative has the power of an individual and the ability to restrict or place additional powers in the rules. [s. 39]</w:t>
      </w:r>
    </w:p>
    <w:p>
      <w:pPr>
        <w:pStyle w:val="yHeading5"/>
      </w:pPr>
      <w:bookmarkStart w:id="229" w:name="_Toc292197801"/>
      <w:bookmarkStart w:id="230" w:name="_Toc267388675"/>
      <w:bookmarkStart w:id="231" w:name="_Toc269386992"/>
      <w:r>
        <w:rPr>
          <w:rStyle w:val="CharSClsNo"/>
        </w:rPr>
        <w:t>4</w:t>
      </w:r>
      <w:r>
        <w:t>.</w:t>
      </w:r>
      <w:r>
        <w:tab/>
        <w:t>Name</w:t>
      </w:r>
      <w:bookmarkEnd w:id="229"/>
      <w:bookmarkEnd w:id="230"/>
      <w:bookmarkEnd w:id="231"/>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232" w:name="_Toc292197802"/>
      <w:bookmarkStart w:id="233" w:name="_Toc267388676"/>
      <w:bookmarkStart w:id="234" w:name="_Toc269386993"/>
      <w:r>
        <w:rPr>
          <w:rStyle w:val="CharSClsNo"/>
        </w:rPr>
        <w:t>5</w:t>
      </w:r>
      <w:r>
        <w:t>.</w:t>
      </w:r>
      <w:r>
        <w:tab/>
        <w:t>Active membership provisions</w:t>
      </w:r>
      <w:bookmarkEnd w:id="232"/>
      <w:bookmarkEnd w:id="233"/>
      <w:bookmarkEnd w:id="234"/>
    </w:p>
    <w:p>
      <w:pPr>
        <w:pStyle w:val="ySubsection"/>
      </w:pPr>
      <w:r>
        <w:tab/>
        <w:t>(1)</w:t>
      </w:r>
      <w:r>
        <w:tab/>
        <w:t xml:space="preserve">Under Part 6 of the Act — </w:t>
      </w:r>
    </w:p>
    <w:p>
      <w:pPr>
        <w:pStyle w:val="yMiscellaneousHeading"/>
        <w:keepNext w:val="0"/>
        <w:ind w:firstLine="879"/>
        <w:jc w:val="left"/>
        <w:rPr>
          <w:b/>
          <w:bCs/>
        </w:rPr>
      </w:pPr>
      <w:r>
        <w:rPr>
          <w:b/>
          <w:bCs/>
        </w:rPr>
        <w:t>Primary activity</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is a primary activity of the co</w:t>
      </w:r>
      <w:r>
        <w:noBreakHyphen/>
        <w:t>operative; and</w:t>
      </w:r>
    </w:p>
    <w:p>
      <w:pPr>
        <w:pStyle w:val="yMiscellaneousHeading"/>
        <w:keepNext w:val="0"/>
        <w:ind w:firstLine="879"/>
        <w:jc w:val="left"/>
      </w:pPr>
      <w:r>
        <w:rPr>
          <w:b/>
          <w:bCs/>
        </w:rPr>
        <w:t>Active membership requirements</w:t>
      </w:r>
    </w:p>
    <w:p>
      <w:pPr>
        <w:pStyle w:val="yMiscellaneousBody"/>
        <w:ind w:left="879"/>
      </w:pPr>
      <w:r>
        <w:t xml:space="preserve">a member must — </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w:t>
      </w:r>
    </w:p>
    <w:p>
      <w:pPr>
        <w:pStyle w:val="yHeading5"/>
      </w:pPr>
      <w:bookmarkStart w:id="235" w:name="_Toc292197803"/>
      <w:bookmarkStart w:id="236" w:name="_Toc267388677"/>
      <w:bookmarkStart w:id="237" w:name="_Toc269386994"/>
      <w:r>
        <w:rPr>
          <w:rStyle w:val="CharSClsNo"/>
        </w:rPr>
        <w:t>6</w:t>
      </w:r>
      <w:r>
        <w:t>.</w:t>
      </w:r>
      <w:r>
        <w:tab/>
        <w:t>Qualifications for membership</w:t>
      </w:r>
      <w:bookmarkEnd w:id="235"/>
      <w:bookmarkEnd w:id="236"/>
      <w:bookmarkEnd w:id="237"/>
    </w:p>
    <w:p>
      <w:pPr>
        <w:pStyle w:val="ySubsection"/>
      </w:pPr>
      <w:r>
        <w:tab/>
        <w:t>(1)</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(2)</w:t>
      </w:r>
      <w:r>
        <w:tab/>
        <w:t>Despite subclause (1),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238" w:name="_Toc292197804"/>
      <w:bookmarkStart w:id="239" w:name="_Toc267388678"/>
      <w:bookmarkStart w:id="240" w:name="_Toc269386995"/>
      <w:r>
        <w:rPr>
          <w:rStyle w:val="CharSClsNo"/>
        </w:rPr>
        <w:t>7</w:t>
      </w:r>
      <w:r>
        <w:t>.</w:t>
      </w:r>
      <w:r>
        <w:tab/>
        <w:t>Membership, subscriptions, periodic fees</w:t>
      </w:r>
      <w:bookmarkEnd w:id="238"/>
      <w:bookmarkEnd w:id="239"/>
      <w:bookmarkEnd w:id="240"/>
    </w:p>
    <w:p>
      <w:pPr>
        <w:pStyle w:val="ySubsection"/>
      </w:pPr>
      <w:r>
        <w:tab/>
        <w:t>(1)</w:t>
      </w:r>
      <w:r>
        <w:tab/>
        <w:t>The co</w:t>
      </w:r>
      <w:r>
        <w:noBreakHyphen/>
        <w:t xml:space="preserve">operative must give to a person intending to become a member — </w:t>
      </w:r>
    </w:p>
    <w:p>
      <w:pPr>
        <w:pStyle w:val="yIndenta"/>
      </w:pPr>
      <w:r>
        <w:tab/>
        <w:t>(a)</w:t>
      </w:r>
      <w:r>
        <w:tab/>
        <w:t>a copy of the rules, resolutions and the last annual report if a person requests a copy under section 68 of the Act;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must be lodged at the registered office in the application form, approved by the board.</w:t>
      </w:r>
    </w:p>
    <w:p>
      <w:pPr>
        <w:pStyle w:val="ySubsection"/>
      </w:pPr>
      <w:r>
        <w:tab/>
        <w:t>(3)</w:t>
      </w:r>
      <w:r>
        <w:tab/>
        <w:t>Every application must be considered by the board.</w:t>
      </w:r>
    </w:p>
    <w:p>
      <w:pPr>
        <w:pStyle w:val="ySubsection"/>
      </w:pPr>
      <w:r>
        <w:tab/>
        <w:t>(4)</w:t>
      </w:r>
      <w:r>
        <w:tab/>
        <w:t>If the board approves of the application, the applicant’s name and any other information required under the Act must be entered in the register of members within 28 days of the board’s approval.</w:t>
      </w:r>
    </w:p>
    <w:p>
      <w:pPr>
        <w:pStyle w:val="ySubsection"/>
      </w:pPr>
      <w:r>
        <w:tab/>
        <w:t>(5)</w:t>
      </w:r>
      <w:r>
        <w:tab/>
        <w:t>The applicant must be notified in writing of the entry in the register and the applicant is then entitled to the privileges attaching to membership.</w:t>
      </w:r>
    </w:p>
    <w:p>
      <w:pPr>
        <w:pStyle w:val="ySubsection"/>
      </w:pPr>
      <w:r>
        <w:tab/>
        <w:t>(6)</w:t>
      </w:r>
      <w:r>
        <w:tab/>
        <w:t>The board may, at its discretion, refuse an application for membership.</w:t>
      </w:r>
    </w:p>
    <w:p>
      <w:pPr>
        <w:pStyle w:val="ySubsection"/>
      </w:pPr>
      <w:r>
        <w:tab/>
        <w:t>(7)</w:t>
      </w:r>
      <w:r>
        <w:tab/>
        <w:t>The board need not assign reasons for the refusal. On refusal any amounts accompanying the application for membership must be refunded within 28 days without interest.</w:t>
      </w:r>
    </w:p>
    <w:p>
      <w:pPr>
        <w:pStyle w:val="yHeading5"/>
      </w:pPr>
      <w:bookmarkStart w:id="241" w:name="_Toc292197805"/>
      <w:bookmarkStart w:id="242" w:name="_Toc267388679"/>
      <w:bookmarkStart w:id="243" w:name="_Toc269386996"/>
      <w:r>
        <w:rPr>
          <w:rStyle w:val="CharSClsNo"/>
        </w:rPr>
        <w:t>8</w:t>
      </w:r>
      <w:r>
        <w:t>.</w:t>
      </w:r>
      <w:r>
        <w:tab/>
        <w:t>Ceasing membership</w:t>
      </w:r>
      <w:bookmarkEnd w:id="241"/>
      <w:bookmarkEnd w:id="242"/>
      <w:bookmarkEnd w:id="243"/>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on written notice of the member’s resignation from membership, given by the member to the secretary;</w:t>
      </w:r>
    </w:p>
    <w:p>
      <w:pPr>
        <w:pStyle w:val="yIndenta"/>
      </w:pPr>
      <w:r>
        <w:tab/>
        <w:t>(g)</w:t>
      </w:r>
      <w:r>
        <w:tab/>
        <w:t>for a corporation — if the corporation becomes insolvent or is deregistered. [s. 63, 64]</w:t>
      </w:r>
    </w:p>
    <w:p>
      <w:pPr>
        <w:pStyle w:val="yHeading5"/>
      </w:pPr>
      <w:bookmarkStart w:id="244" w:name="_Toc292197806"/>
      <w:bookmarkStart w:id="245" w:name="_Toc267388680"/>
      <w:bookmarkStart w:id="246" w:name="_Toc269386997"/>
      <w:r>
        <w:rPr>
          <w:rStyle w:val="CharSClsNo"/>
        </w:rPr>
        <w:t>9</w:t>
      </w:r>
      <w:r>
        <w:t>.</w:t>
      </w:r>
      <w:r>
        <w:tab/>
        <w:t>Expulsion of members</w:t>
      </w:r>
      <w:bookmarkEnd w:id="244"/>
      <w:bookmarkEnd w:id="245"/>
      <w:bookmarkEnd w:id="246"/>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[s. 73]</w:t>
      </w:r>
    </w:p>
    <w:p>
      <w:pPr>
        <w:pStyle w:val="yHeading5"/>
      </w:pPr>
      <w:bookmarkStart w:id="247" w:name="_Toc292197807"/>
      <w:bookmarkStart w:id="248" w:name="_Toc267388681"/>
      <w:bookmarkStart w:id="249" w:name="_Toc269386998"/>
      <w:r>
        <w:rPr>
          <w:rStyle w:val="CharSClsNo"/>
        </w:rPr>
        <w:t>10</w:t>
      </w:r>
      <w:r>
        <w:t>.</w:t>
      </w:r>
      <w:r>
        <w:tab/>
        <w:t>Payments upon expulsion of member</w:t>
      </w:r>
      <w:bookmarkEnd w:id="247"/>
      <w:bookmarkEnd w:id="248"/>
      <w:bookmarkEnd w:id="249"/>
    </w:p>
    <w:p>
      <w:pPr>
        <w:pStyle w:val="ySubsection"/>
      </w:pPr>
      <w:r>
        <w:tab/>
        <w:t>(1)</w:t>
      </w:r>
      <w:r>
        <w:tab/>
        <w:t>If a member is expelled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is expelled from the co</w:t>
      </w:r>
      <w:r>
        <w:noBreakHyphen/>
        <w:t>operative, the board may repay either the full annual subscription or a proportion of that annual subscription to the expelled former member.</w:t>
      </w:r>
    </w:p>
    <w:p>
      <w:pPr>
        <w:pStyle w:val="yHeading5"/>
      </w:pPr>
      <w:bookmarkStart w:id="250" w:name="_Toc292197808"/>
      <w:bookmarkStart w:id="251" w:name="_Toc267388682"/>
      <w:bookmarkStart w:id="252" w:name="_Toc269386999"/>
      <w:r>
        <w:rPr>
          <w:rStyle w:val="CharSClsNo"/>
        </w:rPr>
        <w:t>11</w:t>
      </w:r>
      <w:r>
        <w:t>.</w:t>
      </w:r>
      <w:r>
        <w:tab/>
        <w:t>Payments upon resignation of member</w:t>
      </w:r>
      <w:bookmarkEnd w:id="250"/>
      <w:bookmarkEnd w:id="251"/>
      <w:bookmarkEnd w:id="252"/>
    </w:p>
    <w:p>
      <w:pPr>
        <w:pStyle w:val="ySubsection"/>
      </w:pPr>
      <w:r>
        <w:tab/>
        <w:t>(1)</w:t>
      </w:r>
      <w:r>
        <w:tab/>
        <w:t>If a member resigns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resigns from the co</w:t>
      </w:r>
      <w:r>
        <w:noBreakHyphen/>
        <w:t>operative, the board may repay either the full annual subscription or a proportion of that annual subscription to the former member.</w:t>
      </w:r>
    </w:p>
    <w:p>
      <w:pPr>
        <w:pStyle w:val="yHeading5"/>
      </w:pPr>
      <w:bookmarkStart w:id="253" w:name="_Toc292197809"/>
      <w:bookmarkStart w:id="254" w:name="_Toc267388683"/>
      <w:bookmarkStart w:id="255" w:name="_Toc269387000"/>
      <w:r>
        <w:rPr>
          <w:rStyle w:val="CharSClsNo"/>
        </w:rPr>
        <w:t>12</w:t>
      </w:r>
      <w:r>
        <w:t>.</w:t>
      </w:r>
      <w:r>
        <w:tab/>
        <w:t>Suspension of members</w:t>
      </w:r>
      <w:bookmarkEnd w:id="253"/>
      <w:bookmarkEnd w:id="254"/>
      <w:bookmarkEnd w:id="255"/>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256" w:name="_Toc292197810"/>
      <w:bookmarkStart w:id="257" w:name="_Toc267388684"/>
      <w:bookmarkStart w:id="258" w:name="_Toc269387001"/>
      <w:r>
        <w:rPr>
          <w:rStyle w:val="CharSClsNo"/>
        </w:rPr>
        <w:t>13</w:t>
      </w:r>
      <w:r>
        <w:t>.</w:t>
      </w:r>
      <w:r>
        <w:tab/>
        <w:t>Disputes and mediation</w:t>
      </w:r>
      <w:bookmarkEnd w:id="256"/>
      <w:bookmarkEnd w:id="257"/>
      <w:bookmarkEnd w:id="258"/>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259" w:name="_Toc292197811"/>
      <w:bookmarkStart w:id="260" w:name="_Toc267388685"/>
      <w:bookmarkStart w:id="261" w:name="_Toc269387002"/>
      <w:r>
        <w:rPr>
          <w:rStyle w:val="CharSClsNo"/>
        </w:rPr>
        <w:t>14</w:t>
      </w:r>
      <w:r>
        <w:t>.</w:t>
      </w:r>
      <w:r>
        <w:tab/>
        <w:t>Fines payable by members</w:t>
      </w:r>
      <w:bookmarkEnd w:id="259"/>
      <w:bookmarkEnd w:id="260"/>
      <w:bookmarkEnd w:id="261"/>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262" w:name="_Toc292197812"/>
      <w:bookmarkStart w:id="263" w:name="_Toc267388686"/>
      <w:bookmarkStart w:id="264" w:name="_Toc269387003"/>
      <w:r>
        <w:rPr>
          <w:rStyle w:val="CharSClsNo"/>
        </w:rPr>
        <w:t>15</w:t>
      </w:r>
      <w:r>
        <w:t>.</w:t>
      </w:r>
      <w:r>
        <w:tab/>
        <w:t>Liability of members to co</w:t>
      </w:r>
      <w:r>
        <w:noBreakHyphen/>
        <w:t>operatives</w:t>
      </w:r>
      <w:bookmarkEnd w:id="262"/>
      <w:bookmarkEnd w:id="263"/>
      <w:bookmarkEnd w:id="264"/>
    </w:p>
    <w:p>
      <w:pPr>
        <w:pStyle w:val="ySubsection"/>
      </w:pPr>
      <w:r>
        <w:tab/>
        <w:t>(1)</w:t>
      </w:r>
      <w:r>
        <w:tab/>
        <w:t>A member is, under section 67 of the Act, liable to pay to the co</w:t>
      </w:r>
      <w:r>
        <w:noBreakHyphen/>
        <w:t>operative the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charges mentioned in subclause (1).</w:t>
      </w:r>
    </w:p>
    <w:p>
      <w:pPr>
        <w:pStyle w:val="yHeading5"/>
      </w:pPr>
      <w:bookmarkStart w:id="265" w:name="_Toc292197813"/>
      <w:bookmarkStart w:id="266" w:name="_Toc267388687"/>
      <w:bookmarkStart w:id="267" w:name="_Toc269387004"/>
      <w:r>
        <w:rPr>
          <w:rStyle w:val="CharSClsNo"/>
        </w:rPr>
        <w:t>16</w:t>
      </w:r>
      <w:r>
        <w:t>.</w:t>
      </w:r>
      <w:r>
        <w:tab/>
        <w:t>Forfeiture and cancellations — inactive members</w:t>
      </w:r>
      <w:bookmarkEnd w:id="265"/>
      <w:bookmarkEnd w:id="266"/>
      <w:bookmarkEnd w:id="267"/>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does not exceed $100.00 or such other amount as may be prescribed under section 125(2) of the Act.</w:t>
      </w:r>
    </w:p>
    <w:p>
      <w:pPr>
        <w:pStyle w:val="ySubsection"/>
      </w:pPr>
      <w:r>
        <w:tab/>
        <w:t>(5)</w:t>
      </w:r>
      <w:r>
        <w:tab/>
        <w:t>The co</w:t>
      </w:r>
      <w:r>
        <w:noBreakHyphen/>
        <w:t xml:space="preserve">operative must keep a register of cancelled memberships under subclause (1), that must include the particulars in the </w:t>
      </w:r>
      <w:r>
        <w:rPr>
          <w:i/>
          <w:iCs/>
        </w:rPr>
        <w:t>Co</w:t>
      </w:r>
      <w:r>
        <w:rPr>
          <w:i/>
          <w:iCs/>
        </w:rPr>
        <w:noBreakHyphen/>
        <w:t>operatives Regulations 2010</w:t>
      </w:r>
      <w:r>
        <w:t xml:space="preserve"> Schedule 4 clause 5.</w:t>
      </w:r>
    </w:p>
    <w:p>
      <w:pPr>
        <w:pStyle w:val="yHeading5"/>
      </w:pPr>
      <w:bookmarkStart w:id="268" w:name="_Toc292197814"/>
      <w:bookmarkStart w:id="269" w:name="_Toc267388688"/>
      <w:bookmarkStart w:id="270" w:name="_Toc269387005"/>
      <w:r>
        <w:rPr>
          <w:rStyle w:val="CharSClsNo"/>
        </w:rPr>
        <w:t>17</w:t>
      </w:r>
      <w:r>
        <w:t>.</w:t>
      </w:r>
      <w:r>
        <w:tab/>
        <w:t>Death of member</w:t>
      </w:r>
      <w:bookmarkEnd w:id="268"/>
      <w:bookmarkEnd w:id="269"/>
      <w:bookmarkEnd w:id="270"/>
    </w:p>
    <w:p>
      <w:pPr>
        <w:pStyle w:val="ySubsection"/>
      </w:pPr>
      <w:r>
        <w:tab/>
        <w:t>(1)</w:t>
      </w:r>
      <w:r>
        <w:tab/>
        <w:t>Subject to section 159 of the Act, the board must transfer a deceased member’s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the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and 159]</w:t>
      </w:r>
    </w:p>
    <w:p>
      <w:pPr>
        <w:pStyle w:val="ySubsection"/>
      </w:pPr>
      <w:r>
        <w:tab/>
        <w:t>(3)</w:t>
      </w:r>
      <w:r>
        <w:tab/>
        <w:t>If the total value of the deceased member’s interest in the co</w:t>
      </w:r>
      <w:r>
        <w:noBreakHyphen/>
        <w:t>operative is less than $10 000 or another amount fixed by the regulations, the board may transfer the interest under section 76 of the Act if there has not been a grant of letter of administration or probate of the deceased’s will. [s. 76]</w:t>
      </w:r>
    </w:p>
    <w:p>
      <w:pPr>
        <w:pStyle w:val="ySubsection"/>
      </w:pPr>
      <w:r>
        <w:tab/>
        <w:t>(4)</w:t>
      </w:r>
      <w:r>
        <w:tab/>
        <w:t>Under section 77 of the Act, the board must decide the value of the interest of a deceased member as the amount payable to the deceased member less any amounts owing to the co</w:t>
      </w:r>
      <w:r>
        <w:noBreakHyphen/>
        <w:t>operative by the deceased member.</w:t>
      </w:r>
    </w:p>
    <w:p>
      <w:pPr>
        <w:pStyle w:val="yHeading5"/>
      </w:pPr>
      <w:bookmarkStart w:id="271" w:name="_Toc292197815"/>
      <w:bookmarkStart w:id="272" w:name="_Toc267388689"/>
      <w:bookmarkStart w:id="273" w:name="_Toc269387006"/>
      <w:r>
        <w:rPr>
          <w:rStyle w:val="CharSClsNo"/>
        </w:rPr>
        <w:t>18</w:t>
      </w:r>
      <w:r>
        <w:t>.</w:t>
      </w:r>
      <w:r>
        <w:tab/>
        <w:t>Dealings of members with co</w:t>
      </w:r>
      <w:r>
        <w:noBreakHyphen/>
        <w:t>operatives</w:t>
      </w:r>
      <w:bookmarkEnd w:id="271"/>
      <w:bookmarkEnd w:id="272"/>
      <w:bookmarkEnd w:id="273"/>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credit balance and deposits of the member or past member;</w:t>
      </w:r>
    </w:p>
    <w:p>
      <w:pPr>
        <w:pStyle w:val="yIndenta"/>
      </w:pPr>
      <w:r>
        <w:tab/>
        <w:t>(b)</w:t>
      </w:r>
      <w:r>
        <w:tab/>
        <w:t>entry fees and regular subscriptions required to be repaid to a member when the member ceases to be a member.</w:t>
      </w:r>
    </w:p>
    <w:p>
      <w:pPr>
        <w:pStyle w:val="yHeading5"/>
      </w:pPr>
      <w:bookmarkStart w:id="274" w:name="_Toc292197816"/>
      <w:bookmarkStart w:id="275" w:name="_Toc267388690"/>
      <w:bookmarkStart w:id="276" w:name="_Toc269387007"/>
      <w:r>
        <w:rPr>
          <w:rStyle w:val="CharSClsNo"/>
        </w:rPr>
        <w:t>19</w:t>
      </w:r>
      <w:r>
        <w:t>.</w:t>
      </w:r>
      <w:r>
        <w:tab/>
        <w:t>Registration of Official Trustee in Bankruptcy</w:t>
      </w:r>
      <w:bookmarkEnd w:id="274"/>
      <w:bookmarkEnd w:id="275"/>
      <w:bookmarkEnd w:id="276"/>
    </w:p>
    <w:p>
      <w:pPr>
        <w:pStyle w:val="ySubsection"/>
      </w:pPr>
      <w:r>
        <w:tab/>
      </w:r>
      <w:r>
        <w:tab/>
        <w:t>If a member is declared bankrupt, the Official Trustee in Bankruptcy may be registered as the holder of the interest held by the bankrupt member. [s. 154]</w:t>
      </w:r>
    </w:p>
    <w:p>
      <w:pPr>
        <w:pStyle w:val="yHeading5"/>
      </w:pPr>
      <w:bookmarkStart w:id="277" w:name="_Toc292197817"/>
      <w:bookmarkStart w:id="278" w:name="_Toc267388691"/>
      <w:bookmarkStart w:id="279" w:name="_Toc269387008"/>
      <w:r>
        <w:rPr>
          <w:rStyle w:val="CharSClsNo"/>
        </w:rPr>
        <w:t>20</w:t>
      </w:r>
      <w:r>
        <w:t>.</w:t>
      </w:r>
      <w:r>
        <w:tab/>
        <w:t>Registration as administrator of estate on incapacity of member</w:t>
      </w:r>
      <w:bookmarkEnd w:id="277"/>
      <w:bookmarkEnd w:id="278"/>
      <w:bookmarkEnd w:id="279"/>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interest in the co</w:t>
      </w:r>
      <w:r>
        <w:noBreakHyphen/>
        <w:t>operative. [s. 153]</w:t>
      </w:r>
    </w:p>
    <w:p>
      <w:pPr>
        <w:pStyle w:val="yHeading5"/>
      </w:pPr>
      <w:bookmarkStart w:id="280" w:name="_Toc292197818"/>
      <w:bookmarkStart w:id="281" w:name="_Toc267388692"/>
      <w:bookmarkStart w:id="282" w:name="_Toc269387009"/>
      <w:r>
        <w:rPr>
          <w:rStyle w:val="CharSClsNo"/>
        </w:rPr>
        <w:t>21</w:t>
      </w:r>
      <w:r>
        <w:t>.</w:t>
      </w:r>
      <w:r>
        <w:tab/>
        <w:t>Entitlements and liabilities of person registered as trustee, administrator etc.</w:t>
      </w:r>
      <w:bookmarkEnd w:id="280"/>
      <w:bookmarkEnd w:id="281"/>
      <w:bookmarkEnd w:id="282"/>
    </w:p>
    <w:p>
      <w:pPr>
        <w:pStyle w:val="ySubsection"/>
      </w:pPr>
      <w:r>
        <w:tab/>
        <w:t>(1)</w:t>
      </w:r>
      <w:r>
        <w:tab/>
        <w:t>A person entitled to hold the interest of a member because of the death, bankruptcy or incapacity of the holder of the interest, is entitled to the advantages to which that member would be entitled if he or she were the registered holder of the interest. However, before being registered as a member, the person cannot exercise any right conferred by membership in relation to meetings of the co</w:t>
      </w:r>
      <w:r>
        <w:noBreakHyphen/>
        <w:t>operative.</w:t>
      </w:r>
    </w:p>
    <w:p>
      <w:pPr>
        <w:pStyle w:val="ySubsection"/>
      </w:pPr>
      <w:r>
        <w:tab/>
        <w:t>(2)</w:t>
      </w:r>
      <w:r>
        <w:tab/>
        <w:t>A person registered under clause 17, 19 or 20 has, while registered, the same liabilities the dead person, the bankrupt person or the incapable person would have been liable if he or she had remained a member with full legal capacity.</w:t>
      </w:r>
    </w:p>
    <w:p>
      <w:pPr>
        <w:pStyle w:val="yHeading5"/>
      </w:pPr>
      <w:bookmarkStart w:id="283" w:name="_Toc292197819"/>
      <w:bookmarkStart w:id="284" w:name="_Toc267388693"/>
      <w:bookmarkStart w:id="285" w:name="_Toc269387010"/>
      <w:r>
        <w:rPr>
          <w:rStyle w:val="CharSClsNo"/>
        </w:rPr>
        <w:t>22</w:t>
      </w:r>
      <w:r>
        <w:t>.</w:t>
      </w:r>
      <w:r>
        <w:tab/>
        <w:t>Transfer and transmission of debentures</w:t>
      </w:r>
      <w:bookmarkEnd w:id="283"/>
      <w:bookmarkEnd w:id="284"/>
      <w:bookmarkEnd w:id="285"/>
    </w:p>
    <w:p>
      <w:pPr>
        <w:pStyle w:val="ySubsection"/>
      </w:pPr>
      <w:r>
        <w:tab/>
        <w:t>(1)</w:t>
      </w:r>
      <w:r>
        <w:tab/>
        <w:t xml:space="preserve">On the written request of the transferor (the </w:t>
      </w:r>
      <w:r>
        <w:rPr>
          <w:b/>
          <w:bCs/>
          <w:i/>
          <w:iCs/>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 transferee.</w:t>
      </w:r>
    </w:p>
    <w:p>
      <w:pPr>
        <w:pStyle w:val="ySubsection"/>
      </w:pPr>
      <w:r>
        <w:tab/>
        <w:t>(2)</w:t>
      </w:r>
      <w:r>
        <w:tab/>
        <w:t>If the co</w:t>
      </w:r>
      <w:r>
        <w:noBreakHyphen/>
        <w:t>operative refuses to register a transfer of debentures it must, within 28 days after the date on which the transfer was lodged with it, send to the transferee notice of the refusal.</w:t>
      </w:r>
    </w:p>
    <w:p>
      <w:pPr>
        <w:pStyle w:val="ySubsection"/>
      </w:pPr>
      <w:r>
        <w:tab/>
        <w:t>(3)</w:t>
      </w:r>
      <w:r>
        <w:tab/>
        <w:t>An instrument of transfer of a debenture must be executed by or on behalf of the transferor and the transferee. The transferor is taken to remain the holder of the debenture until the debenture in the name of the transferee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the instrument of transfer is accompanied by the relevant debenture and any other evidence the board reasonably requires, in particular evidence showing the right of the transferor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transferor) of ............................…………… in the State of </w:t>
      </w:r>
    </w:p>
    <w:p>
      <w:pPr>
        <w:pStyle w:val="yMiscellaneousBody"/>
        <w:ind w:left="879"/>
      </w:pPr>
      <w:r>
        <w:t xml:space="preserve">……………………………. in consideration of the sum of $ .….. paid </w:t>
      </w:r>
    </w:p>
    <w:p>
      <w:pPr>
        <w:pStyle w:val="yMiscellaneousBody"/>
        <w:ind w:left="879"/>
      </w:pPr>
      <w:r>
        <w:t xml:space="preserve">to me by C.D. (the transferee), of ............................… in the State of </w:t>
      </w:r>
    </w:p>
    <w:p>
      <w:pPr>
        <w:pStyle w:val="yMiscellaneousBody"/>
        <w:ind w:left="879"/>
      </w:pPr>
      <w:r>
        <w:t xml:space="preserve">…………………………….. transfer to the transferee the debenture(s) </w:t>
      </w:r>
    </w:p>
    <w:p>
      <w:pPr>
        <w:pStyle w:val="yMiscellaneousBody"/>
        <w:ind w:left="879"/>
      </w:pPr>
      <w:r>
        <w:t xml:space="preserve">numbered ...........................……… to be held by the transferee, the </w:t>
      </w:r>
    </w:p>
    <w:p>
      <w:pPr>
        <w:pStyle w:val="yMiscellaneousBody"/>
        <w:ind w:left="879"/>
      </w:pPr>
      <w:r>
        <w:t xml:space="preserve">transferee’s executors,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And I, the transferee agree to take the debenture(s) subject to the conditions mentioned.</w:t>
      </w:r>
    </w:p>
    <w:p>
      <w:pPr>
        <w:pStyle w:val="yMiscellaneousBody"/>
        <w:ind w:left="879"/>
      </w:pPr>
      <w:r>
        <w:t>Dated this ……………………….. day of ........................... 20 ………</w:t>
      </w:r>
    </w:p>
    <w:p>
      <w:pPr>
        <w:pStyle w:val="yMiscellaneousBody"/>
        <w:ind w:left="879"/>
      </w:pPr>
      <w:r>
        <w:t>Signed by ………………………………………………… transferor.</w:t>
      </w:r>
    </w:p>
    <w:p>
      <w:pPr>
        <w:pStyle w:val="yMiscellaneousBody"/>
        <w:ind w:left="879"/>
      </w:pPr>
      <w:r>
        <w:t>In the presence of ……………………………………………witness.</w:t>
      </w:r>
    </w:p>
    <w:p>
      <w:pPr>
        <w:pStyle w:val="yMiscellaneousBody"/>
        <w:ind w:left="879"/>
      </w:pPr>
      <w:r>
        <w:t>Signed by ………………………………………………. transferee.</w:t>
      </w:r>
    </w:p>
    <w:p>
      <w:pPr>
        <w:pStyle w:val="yMiscellaneousBody"/>
        <w:ind w:left="879"/>
      </w:pPr>
      <w:r>
        <w:t>In the presence of …………………………………………. witness.</w:t>
      </w:r>
    </w:p>
    <w:p>
      <w:pPr>
        <w:pStyle w:val="yHeading5"/>
      </w:pPr>
      <w:bookmarkStart w:id="286" w:name="_Toc292197820"/>
      <w:bookmarkStart w:id="287" w:name="_Toc267388694"/>
      <w:bookmarkStart w:id="288" w:name="_Toc269387011"/>
      <w:r>
        <w:rPr>
          <w:rStyle w:val="CharSClsNo"/>
        </w:rPr>
        <w:t>23</w:t>
      </w:r>
      <w:r>
        <w:t>.</w:t>
      </w:r>
      <w:r>
        <w:tab/>
        <w:t>Issue of CCUs</w:t>
      </w:r>
      <w:bookmarkEnd w:id="286"/>
      <w:bookmarkEnd w:id="287"/>
      <w:bookmarkEnd w:id="288"/>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NotesPerm"/>
        <w:ind w:left="1418" w:hanging="1418"/>
        <w:rPr>
          <w:i/>
          <w:iCs/>
        </w:rPr>
      </w:pPr>
      <w:r>
        <w:tab/>
        <w:t>Note:</w:t>
      </w:r>
      <w:r>
        <w:tab/>
        <w:t>Debenture holders receive notice of meetings of debenture holders not general meetings of the co</w:t>
      </w:r>
      <w:r>
        <w:noBreakHyphen/>
        <w:t>operative.</w:t>
      </w:r>
    </w:p>
    <w:p>
      <w:pPr>
        <w:pStyle w:val="yHeading5"/>
      </w:pPr>
      <w:bookmarkStart w:id="289" w:name="_Toc292197821"/>
      <w:bookmarkStart w:id="290" w:name="_Toc267388695"/>
      <w:bookmarkStart w:id="291" w:name="_Toc269387012"/>
      <w:r>
        <w:rPr>
          <w:rStyle w:val="CharSClsNo"/>
        </w:rPr>
        <w:t>24</w:t>
      </w:r>
      <w:r>
        <w:t>.</w:t>
      </w:r>
      <w:r>
        <w:tab/>
        <w:t>Transfer and transmission of CCUs</w:t>
      </w:r>
      <w:bookmarkEnd w:id="289"/>
      <w:bookmarkEnd w:id="290"/>
      <w:bookmarkEnd w:id="291"/>
    </w:p>
    <w:p>
      <w:pPr>
        <w:pStyle w:val="ySubsection"/>
      </w:pPr>
      <w:r>
        <w:tab/>
        <w:t>(1)</w:t>
      </w:r>
      <w:r>
        <w:tab/>
        <w:t>Subject to this clause, the transfer and transmission of a CCU is to follow the same process as for a debenture under clause 22.</w:t>
      </w:r>
    </w:p>
    <w:p>
      <w:pPr>
        <w:pStyle w:val="ySubsection"/>
      </w:pPr>
      <w:r>
        <w:tab/>
        <w:t>(2)</w:t>
      </w:r>
      <w:r>
        <w:tab/>
        <w:t>Where the terms of issue of a CCU differ from clause 22 in respect to the manner of transfer or transmission, the terms of its issue prevail.</w:t>
      </w:r>
    </w:p>
    <w:p>
      <w:pPr>
        <w:pStyle w:val="yHeading5"/>
      </w:pPr>
      <w:bookmarkStart w:id="292" w:name="_Toc292197822"/>
      <w:bookmarkStart w:id="293" w:name="_Toc267388696"/>
      <w:bookmarkStart w:id="294" w:name="_Toc269387013"/>
      <w:r>
        <w:rPr>
          <w:rStyle w:val="CharSClsNo"/>
        </w:rPr>
        <w:t>25</w:t>
      </w:r>
      <w:r>
        <w:t>.</w:t>
      </w:r>
      <w:r>
        <w:tab/>
        <w:t>Annual general meetings</w:t>
      </w:r>
      <w:bookmarkEnd w:id="292"/>
      <w:bookmarkEnd w:id="293"/>
      <w:bookmarkEnd w:id="294"/>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regulation.[s. 190]</w:t>
      </w:r>
    </w:p>
    <w:p>
      <w:pPr>
        <w:pStyle w:val="NotesPerm"/>
        <w:tabs>
          <w:tab w:val="clear" w:pos="879"/>
          <w:tab w:val="left" w:pos="851"/>
        </w:tabs>
        <w:ind w:left="1418" w:hanging="1418"/>
      </w:pPr>
      <w:r>
        <w:tab/>
        <w:t>Note:</w:t>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26 of these rules, requisition a special general meeting.</w:t>
      </w:r>
    </w:p>
    <w:p>
      <w:pPr>
        <w:pStyle w:val="yHeading5"/>
      </w:pPr>
      <w:bookmarkStart w:id="295" w:name="_Toc292197823"/>
      <w:bookmarkStart w:id="296" w:name="_Toc267388697"/>
      <w:bookmarkStart w:id="297" w:name="_Toc269387014"/>
      <w:r>
        <w:rPr>
          <w:rStyle w:val="CharSClsNo"/>
        </w:rPr>
        <w:t>26</w:t>
      </w:r>
      <w:r>
        <w:t>.</w:t>
      </w:r>
      <w:r>
        <w:tab/>
        <w:t>Special general meetings</w:t>
      </w:r>
      <w:bookmarkEnd w:id="295"/>
      <w:bookmarkEnd w:id="296"/>
      <w:bookmarkEnd w:id="297"/>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298" w:name="_Toc292197824"/>
      <w:bookmarkStart w:id="299" w:name="_Toc267388698"/>
      <w:bookmarkStart w:id="300" w:name="_Toc269387015"/>
      <w:r>
        <w:rPr>
          <w:rStyle w:val="CharSClsNo"/>
        </w:rPr>
        <w:t>27</w:t>
      </w:r>
      <w:r>
        <w:t>.</w:t>
      </w:r>
      <w:r>
        <w:tab/>
        <w:t>Notice of general meetings</w:t>
      </w:r>
      <w:bookmarkEnd w:id="298"/>
      <w:bookmarkEnd w:id="299"/>
      <w:bookmarkEnd w:id="300"/>
    </w:p>
    <w:p>
      <w:pPr>
        <w:pStyle w:val="ySubsection"/>
      </w:pPr>
      <w:r>
        <w:tab/>
        <w:t>(1)</w:t>
      </w:r>
      <w:r>
        <w:tab/>
        <w:t>Subject to clause 28, at least 14 days notice (not including the day on which the notice is served or taken to be served, but including the day for which notice is given) must be given to every member of any general meeting, in the way stipulated in clause 65.</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Heading5"/>
      </w:pPr>
      <w:bookmarkStart w:id="301" w:name="_Toc292197825"/>
      <w:bookmarkStart w:id="302" w:name="_Toc267388699"/>
      <w:bookmarkStart w:id="303" w:name="_Toc269387016"/>
      <w:r>
        <w:rPr>
          <w:rStyle w:val="CharSClsNo"/>
        </w:rPr>
        <w:t>28</w:t>
      </w:r>
      <w:r>
        <w:t>.</w:t>
      </w:r>
      <w:r>
        <w:tab/>
        <w:t>Notice of general meetings (small co</w:t>
      </w:r>
      <w:r>
        <w:noBreakHyphen/>
        <w:t>operatives)</w:t>
      </w:r>
      <w:bookmarkEnd w:id="301"/>
      <w:bookmarkEnd w:id="302"/>
      <w:bookmarkEnd w:id="303"/>
    </w:p>
    <w:p>
      <w:pPr>
        <w:pStyle w:val="ySubsection"/>
      </w:pPr>
      <w:r>
        <w:tab/>
        <w:t>(1)</w:t>
      </w:r>
      <w:r>
        <w:tab/>
        <w:t>If the co</w:t>
      </w:r>
      <w:r>
        <w:noBreakHyphen/>
        <w:t>operative is a small co</w:t>
      </w:r>
      <w:r>
        <w:noBreakHyphen/>
        <w:t>operative, at least 14 days notice (not including the day on which the notice is served or taken to be served, but including the day for which notice is given) must be given to every member of any general meeting, in the way stipulated in clause 65.</w:t>
      </w:r>
    </w:p>
    <w:p>
      <w:pPr>
        <w:pStyle w:val="ySubsection"/>
      </w:pPr>
      <w:r>
        <w:tab/>
        <w:t>(2)</w:t>
      </w:r>
      <w:r>
        <w:tab/>
        <w:t>Notice must be given to the persons who are, under these rules, entitled to receive the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Subject to clause 37(5), the notice must include — </w:t>
      </w:r>
    </w:p>
    <w:p>
      <w:pPr>
        <w:pStyle w:val="yIndenta"/>
      </w:pPr>
      <w:r>
        <w:tab/>
        <w:t>(a)</w:t>
      </w:r>
      <w:r>
        <w:tab/>
        <w:t>a copy of the financial report (unaudited for the last financial year); and</w:t>
      </w:r>
    </w:p>
    <w:p>
      <w:pPr>
        <w:pStyle w:val="yIndenta"/>
      </w:pPr>
      <w:r>
        <w:tab/>
        <w:t>(b)</w:t>
      </w:r>
      <w:r>
        <w:tab/>
        <w:t>a directors’ solvency resolution as to whether or not, in their opinion, there are reasonable grounds to believe that the co</w:t>
      </w:r>
      <w:r>
        <w:noBreakHyphen/>
        <w:t>operative will be able to pay its debts as and when they become due and payable.</w:t>
      </w:r>
    </w:p>
    <w:p>
      <w:pPr>
        <w:pStyle w:val="ySubsection"/>
      </w:pPr>
      <w:r>
        <w:tab/>
        <w:t>(5)</w:t>
      </w:r>
      <w:r>
        <w:tab/>
        <w:t>The copies of the financial report are not required to form a part of the notice if the co</w:t>
      </w:r>
      <w:r>
        <w:noBreakHyphen/>
        <w:t>operative has been directed under section 293 or 294 of the Corporations Act to audit its financial statements. [s. 225]</w:t>
      </w:r>
    </w:p>
    <w:p>
      <w:pPr>
        <w:pStyle w:val="yHeading5"/>
      </w:pPr>
      <w:bookmarkStart w:id="304" w:name="_Toc292197826"/>
      <w:bookmarkStart w:id="305" w:name="_Toc267388700"/>
      <w:bookmarkStart w:id="306" w:name="_Toc269387017"/>
      <w:r>
        <w:rPr>
          <w:rStyle w:val="CharSClsNo"/>
        </w:rPr>
        <w:t>29</w:t>
      </w:r>
      <w:r>
        <w:t>.</w:t>
      </w:r>
      <w:r>
        <w:tab/>
        <w:t>Business of general meetings</w:t>
      </w:r>
      <w:bookmarkEnd w:id="304"/>
      <w:bookmarkEnd w:id="305"/>
      <w:bookmarkEnd w:id="306"/>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307" w:name="_Toc292197827"/>
      <w:bookmarkStart w:id="308" w:name="_Toc267388701"/>
      <w:bookmarkStart w:id="309" w:name="_Toc269387018"/>
      <w:r>
        <w:rPr>
          <w:rStyle w:val="CharSClsNo"/>
        </w:rPr>
        <w:t>30</w:t>
      </w:r>
      <w:r>
        <w:t>.</w:t>
      </w:r>
      <w:r>
        <w:tab/>
        <w:t>Quorum at general meetings</w:t>
      </w:r>
      <w:bookmarkEnd w:id="307"/>
      <w:bookmarkEnd w:id="308"/>
      <w:bookmarkEnd w:id="309"/>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310" w:name="_Toc292197828"/>
      <w:bookmarkStart w:id="311" w:name="_Toc267388702"/>
      <w:bookmarkStart w:id="312" w:name="_Toc269387019"/>
      <w:r>
        <w:rPr>
          <w:rStyle w:val="CharSClsNo"/>
        </w:rPr>
        <w:t>31</w:t>
      </w:r>
      <w:r>
        <w:t>.</w:t>
      </w:r>
      <w:r>
        <w:tab/>
        <w:t>Chairperson at general meetings</w:t>
      </w:r>
      <w:bookmarkEnd w:id="310"/>
      <w:bookmarkEnd w:id="311"/>
      <w:bookmarkEnd w:id="312"/>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313" w:name="_Toc292197829"/>
      <w:bookmarkStart w:id="314" w:name="_Toc267388703"/>
      <w:bookmarkStart w:id="315" w:name="_Toc269387020"/>
      <w:r>
        <w:rPr>
          <w:rStyle w:val="CharSClsNo"/>
        </w:rPr>
        <w:t>32</w:t>
      </w:r>
      <w:r>
        <w:t>.</w:t>
      </w:r>
      <w:r>
        <w:tab/>
        <w:t>Attendance and voting at general meetings</w:t>
      </w:r>
      <w:bookmarkEnd w:id="313"/>
      <w:bookmarkEnd w:id="314"/>
      <w:bookmarkEnd w:id="315"/>
    </w:p>
    <w:p>
      <w:pPr>
        <w:pStyle w:val="ySubsection"/>
      </w:pPr>
      <w:r>
        <w:tab/>
        <w:t>(1)</w:t>
      </w:r>
      <w:r>
        <w:tab/>
        <w:t>The right to vote attaches to membership.</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NotesPerm"/>
        <w:tabs>
          <w:tab w:val="clear" w:pos="879"/>
          <w:tab w:val="left" w:pos="851"/>
        </w:tabs>
        <w:ind w:left="1418" w:hanging="1418"/>
      </w:pPr>
      <w:r>
        <w:tab/>
        <w:t>Note:</w:t>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316" w:name="_Toc292197830"/>
      <w:bookmarkStart w:id="317" w:name="_Toc267388704"/>
      <w:bookmarkStart w:id="318" w:name="_Toc269387021"/>
      <w:r>
        <w:rPr>
          <w:rStyle w:val="CharSClsNo"/>
        </w:rPr>
        <w:t>33</w:t>
      </w:r>
      <w:r>
        <w:t>.</w:t>
      </w:r>
      <w:r>
        <w:tab/>
        <w:t>Voting on a show of hands</w:t>
      </w:r>
      <w:bookmarkEnd w:id="316"/>
      <w:bookmarkEnd w:id="317"/>
      <w:bookmarkEnd w:id="318"/>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member appointed as a proxy under these rules*,</w:t>
      </w:r>
    </w:p>
    <w:p>
      <w:pPr>
        <w:pStyle w:val="ySubsection"/>
      </w:pPr>
      <w:r>
        <w:tab/>
      </w:r>
      <w:r>
        <w:tab/>
        <w:t>may exercise only one vote.</w:t>
      </w:r>
    </w:p>
    <w:p>
      <w:pPr>
        <w:pStyle w:val="NotesPerm"/>
        <w:tabs>
          <w:tab w:val="clear" w:pos="879"/>
          <w:tab w:val="left" w:pos="851"/>
        </w:tabs>
        <w:ind w:left="1418" w:hanging="1418"/>
      </w:pPr>
      <w:r>
        <w:tab/>
        <w:t>*Note:</w:t>
      </w:r>
      <w:r>
        <w:tab/>
        <w:t>If the rules do not allow for non</w:t>
      </w:r>
      <w:r>
        <w:noBreakHyphen/>
        <w:t>members to be appointed as proxies, paragraph (d) should be omitted.</w:t>
      </w:r>
    </w:p>
    <w:p>
      <w:pPr>
        <w:pStyle w:val="yHeading5"/>
        <w:rPr>
          <w:rStyle w:val="CharSClsNo"/>
        </w:rPr>
      </w:pPr>
      <w:bookmarkStart w:id="319" w:name="_Toc292197831"/>
      <w:bookmarkStart w:id="320" w:name="_Toc267388705"/>
      <w:bookmarkStart w:id="321" w:name="_Toc269387022"/>
      <w:r>
        <w:rPr>
          <w:rStyle w:val="CharSClsNo"/>
        </w:rPr>
        <w:t>34.</w:t>
      </w:r>
      <w:r>
        <w:rPr>
          <w:rStyle w:val="CharSClsNo"/>
        </w:rPr>
        <w:tab/>
        <w:t>Voting on a poll</w:t>
      </w:r>
      <w:bookmarkEnd w:id="319"/>
      <w:bookmarkEnd w:id="320"/>
      <w:bookmarkEnd w:id="321"/>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322" w:name="_Toc292197832"/>
      <w:bookmarkStart w:id="323" w:name="_Toc267388706"/>
      <w:bookmarkStart w:id="324" w:name="_Toc269387023"/>
      <w:r>
        <w:rPr>
          <w:rStyle w:val="CharSClsNo"/>
        </w:rPr>
        <w:t>35.</w:t>
      </w:r>
      <w:r>
        <w:rPr>
          <w:rStyle w:val="CharSClsNo"/>
        </w:rPr>
        <w:tab/>
        <w:t>Determining the outcome where equality of votes</w:t>
      </w:r>
      <w:bookmarkEnd w:id="322"/>
      <w:bookmarkEnd w:id="323"/>
      <w:bookmarkEnd w:id="324"/>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325" w:name="_Toc292197833"/>
      <w:bookmarkStart w:id="326" w:name="_Toc267388707"/>
      <w:bookmarkStart w:id="327" w:name="_Toc269387024"/>
      <w:r>
        <w:rPr>
          <w:rStyle w:val="CharSClsNo"/>
        </w:rPr>
        <w:t>36</w:t>
      </w:r>
      <w:r>
        <w:t>.</w:t>
      </w:r>
      <w:r>
        <w:tab/>
        <w:t>Proxy votes</w:t>
      </w:r>
      <w:bookmarkEnd w:id="325"/>
      <w:bookmarkEnd w:id="326"/>
      <w:bookmarkEnd w:id="327"/>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NotesPerm"/>
        <w:tabs>
          <w:tab w:val="clear" w:pos="879"/>
          <w:tab w:val="left" w:pos="851"/>
          <w:tab w:val="left" w:pos="1418"/>
        </w:tabs>
        <w:ind w:left="1418" w:hanging="1418"/>
      </w:pPr>
      <w:r>
        <w:tab/>
        <w:t>**Note: 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rPr>
          <w:i/>
          <w:iCs/>
        </w:rPr>
      </w:pPr>
      <w:r>
        <w:t>*</w:t>
      </w:r>
      <w:r>
        <w:rPr>
          <w:i/>
          <w:iCs/>
        </w:rPr>
        <w:t>Strike out if not applicable.</w:t>
      </w:r>
    </w:p>
    <w:p>
      <w:pPr>
        <w:pStyle w:val="yMiscellaneousBody"/>
        <w:ind w:firstLine="879"/>
      </w:pPr>
      <w:r>
        <w:t>#</w:t>
      </w:r>
      <w:r>
        <w:rPr>
          <w:i/>
          <w:iCs/>
        </w:rPr>
        <w:t>To be inserted if desired.</w:t>
      </w:r>
    </w:p>
    <w:p>
      <w:pPr>
        <w:pStyle w:val="NotesPerm"/>
        <w:tabs>
          <w:tab w:val="clear" w:pos="879"/>
          <w:tab w:val="left" w:pos="851"/>
          <w:tab w:val="left" w:pos="1418"/>
        </w:tabs>
        <w:ind w:left="1418" w:hanging="1418"/>
      </w:pPr>
      <w:r>
        <w:tab/>
        <w:t>***Note: 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328" w:name="_Toc292197834"/>
      <w:bookmarkStart w:id="329" w:name="_Toc267388708"/>
      <w:bookmarkStart w:id="330" w:name="_Toc269387025"/>
      <w:r>
        <w:rPr>
          <w:rStyle w:val="CharSClsNo"/>
        </w:rPr>
        <w:t>37</w:t>
      </w:r>
      <w:r>
        <w:t>.</w:t>
      </w:r>
      <w:r>
        <w:tab/>
        <w:t>Postal ballots</w:t>
      </w:r>
      <w:bookmarkEnd w:id="328"/>
      <w:bookmarkEnd w:id="329"/>
      <w:bookmarkEnd w:id="330"/>
    </w:p>
    <w:p>
      <w:pPr>
        <w:pStyle w:val="ySubsection"/>
      </w:pPr>
      <w:r>
        <w:tab/>
        <w:t>(1)</w:t>
      </w:r>
      <w:r>
        <w:tab/>
        <w:t>A postal ballot or special postal ballot must be held when required by the Act, these rules or when the members by ordinary resolution approve one.*</w:t>
      </w:r>
    </w:p>
    <w:p>
      <w:pPr>
        <w:pStyle w:val="NotesPerm"/>
        <w:tabs>
          <w:tab w:val="clear" w:pos="879"/>
          <w:tab w:val="left" w:pos="851"/>
        </w:tabs>
        <w:ind w:left="1418" w:hanging="1418"/>
      </w:pPr>
      <w:r>
        <w:tab/>
        <w:t>*Notes:</w:t>
      </w:r>
    </w:p>
    <w:p>
      <w:pPr>
        <w:pStyle w:val="NotesPerm"/>
        <w:tabs>
          <w:tab w:val="left" w:pos="851"/>
        </w:tabs>
        <w:ind w:left="1418" w:hanging="1418"/>
      </w:pPr>
      <w:r>
        <w:tab/>
        <w:t>1.</w:t>
      </w:r>
      <w:r>
        <w:tab/>
        <w:t>Section 187 of the Act lists a number of matters for which a special postal ballot must be conducted.</w:t>
      </w:r>
    </w:p>
    <w:p>
      <w:pPr>
        <w:pStyle w:val="NotesPerm"/>
        <w:tabs>
          <w:tab w:val="left" w:pos="851"/>
        </w:tabs>
        <w:ind w:left="1418" w:hanging="1418"/>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NotesPerm"/>
        <w:tabs>
          <w:tab w:val="clear" w:pos="879"/>
          <w:tab w:val="left" w:pos="851"/>
        </w:tabs>
        <w:ind w:left="1418" w:hanging="1418"/>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Act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NotesPerm"/>
        <w:tabs>
          <w:tab w:val="clear" w:pos="879"/>
          <w:tab w:val="left" w:pos="851"/>
        </w:tabs>
        <w:ind w:left="1418" w:hanging="1418"/>
      </w:pPr>
      <w:r>
        <w:tab/>
        <w:t>*Note:</w:t>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Heading5"/>
      </w:pPr>
      <w:bookmarkStart w:id="331" w:name="_Toc292197835"/>
      <w:bookmarkStart w:id="332" w:name="_Toc267388709"/>
      <w:bookmarkStart w:id="333" w:name="_Toc269387026"/>
      <w:r>
        <w:rPr>
          <w:rStyle w:val="CharSClsNo"/>
        </w:rPr>
        <w:t>38</w:t>
      </w:r>
      <w:r>
        <w:t>.</w:t>
      </w:r>
      <w:r>
        <w:tab/>
        <w:t>Special and ordinary resolutions</w:t>
      </w:r>
      <w:bookmarkEnd w:id="331"/>
      <w:bookmarkEnd w:id="332"/>
      <w:bookmarkEnd w:id="333"/>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334" w:name="_Toc292197836"/>
      <w:bookmarkStart w:id="335" w:name="_Toc267388710"/>
      <w:bookmarkStart w:id="336" w:name="_Toc269387027"/>
      <w:r>
        <w:rPr>
          <w:rStyle w:val="CharSClsNo"/>
        </w:rPr>
        <w:t>39</w:t>
      </w:r>
      <w:r>
        <w:t>.</w:t>
      </w:r>
      <w:r>
        <w:tab/>
        <w:t>Board of directors</w:t>
      </w:r>
      <w:bookmarkEnd w:id="334"/>
      <w:bookmarkEnd w:id="335"/>
      <w:bookmarkEnd w:id="336"/>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The board must have …… member directors each of whom must be an individual, whether as a member of the co</w:t>
      </w:r>
      <w:r>
        <w:noBreakHyphen/>
        <w:t>operative, or as a representative of a corporation member, and at least 18 years old.*</w:t>
      </w:r>
    </w:p>
    <w:p>
      <w:pPr>
        <w:pStyle w:val="NotesPerm"/>
        <w:tabs>
          <w:tab w:val="clear" w:pos="879"/>
          <w:tab w:val="left" w:pos="851"/>
        </w:tabs>
        <w:ind w:left="1418" w:hanging="1418"/>
      </w:pPr>
      <w:r>
        <w:tab/>
        <w:t>*Note:</w:t>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Heading5"/>
      </w:pPr>
      <w:bookmarkStart w:id="337" w:name="_Toc292197837"/>
      <w:bookmarkStart w:id="338" w:name="_Toc267388711"/>
      <w:bookmarkStart w:id="339" w:name="_Toc269387028"/>
      <w:r>
        <w:rPr>
          <w:rStyle w:val="CharSClsNo"/>
        </w:rPr>
        <w:t>40</w:t>
      </w:r>
      <w:r>
        <w:t>.</w:t>
      </w:r>
      <w:r>
        <w:tab/>
        <w:t>Qualifications of directors</w:t>
      </w:r>
      <w:bookmarkEnd w:id="337"/>
      <w:bookmarkEnd w:id="338"/>
      <w:bookmarkEnd w:id="339"/>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41 to be an independent director.</w:t>
      </w:r>
    </w:p>
    <w:p>
      <w:pPr>
        <w:pStyle w:val="yHeading5"/>
      </w:pPr>
      <w:bookmarkStart w:id="340" w:name="_Toc292197838"/>
      <w:bookmarkStart w:id="341" w:name="_Toc267388712"/>
      <w:bookmarkStart w:id="342" w:name="_Toc269387029"/>
      <w:r>
        <w:rPr>
          <w:rStyle w:val="CharSClsNo"/>
        </w:rPr>
        <w:t>41</w:t>
      </w:r>
      <w:r>
        <w:t>.</w:t>
      </w:r>
      <w:r>
        <w:tab/>
        <w:t>Independent directors</w:t>
      </w:r>
      <w:bookmarkEnd w:id="340"/>
      <w:bookmarkEnd w:id="341"/>
      <w:bookmarkEnd w:id="342"/>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 xml:space="preserve"> 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343" w:name="_Toc292197839"/>
      <w:bookmarkStart w:id="344" w:name="_Toc267388713"/>
      <w:bookmarkStart w:id="345" w:name="_Toc269387030"/>
      <w:r>
        <w:rPr>
          <w:rStyle w:val="CharSClsNo"/>
        </w:rPr>
        <w:t>42</w:t>
      </w:r>
      <w:r>
        <w:t>.</w:t>
      </w:r>
      <w:r>
        <w:tab/>
        <w:t>Managing director</w:t>
      </w:r>
      <w:bookmarkEnd w:id="343"/>
      <w:bookmarkEnd w:id="344"/>
      <w:bookmarkEnd w:id="345"/>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39(2).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346" w:name="_Toc292197840"/>
      <w:bookmarkStart w:id="347" w:name="_Toc267388714"/>
      <w:bookmarkStart w:id="348" w:name="_Toc269387031"/>
      <w:r>
        <w:rPr>
          <w:rStyle w:val="CharSClsNo"/>
        </w:rPr>
        <w:t>43</w:t>
      </w:r>
      <w:r>
        <w:t>.</w:t>
      </w:r>
      <w:r>
        <w:tab/>
        <w:t>First and subsequent directors</w:t>
      </w:r>
      <w:bookmarkEnd w:id="346"/>
      <w:bookmarkEnd w:id="347"/>
      <w:bookmarkEnd w:id="348"/>
    </w:p>
    <w:p>
      <w:pPr>
        <w:pStyle w:val="ySubsection"/>
      </w:pPr>
      <w:r>
        <w:tab/>
        <w:t>(1)</w:t>
      </w:r>
      <w:r>
        <w:tab/>
        <w:t>The first member directors must be elected by poll at the formation meeting of the co</w:t>
      </w:r>
      <w:r>
        <w:noBreakHyphen/>
        <w:t xml:space="preserve">operative.* </w:t>
      </w:r>
    </w:p>
    <w:p>
      <w:pPr>
        <w:pStyle w:val="NotesPerm"/>
        <w:tabs>
          <w:tab w:val="clear" w:pos="879"/>
          <w:tab w:val="left" w:pos="851"/>
        </w:tabs>
        <w:ind w:left="1418" w:hanging="1418"/>
      </w:pPr>
      <w:r>
        <w:tab/>
        <w:t>*Note:</w:t>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NotesPerm"/>
        <w:tabs>
          <w:tab w:val="clear" w:pos="879"/>
          <w:tab w:val="left" w:pos="851"/>
        </w:tabs>
        <w:ind w:left="1418" w:hanging="1418"/>
      </w:pPr>
      <w:r>
        <w:tab/>
        <w:t>Note:</w:t>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349" w:name="_Toc292197841"/>
      <w:bookmarkStart w:id="350" w:name="_Toc267388715"/>
      <w:bookmarkStart w:id="351" w:name="_Toc269387032"/>
      <w:r>
        <w:rPr>
          <w:rStyle w:val="CharSClsNo"/>
        </w:rPr>
        <w:t>44</w:t>
      </w:r>
      <w:r>
        <w:t>.</w:t>
      </w:r>
      <w:r>
        <w:tab/>
        <w:t>Removal from office of member director</w:t>
      </w:r>
      <w:bookmarkEnd w:id="349"/>
      <w:bookmarkEnd w:id="350"/>
      <w:bookmarkEnd w:id="351"/>
    </w:p>
    <w:p>
      <w:pPr>
        <w:pStyle w:val="ySubsection"/>
      </w:pPr>
      <w:r>
        <w:tab/>
      </w:r>
      <w:r>
        <w:tab/>
        <w:t>The co</w:t>
      </w:r>
      <w:r>
        <w:noBreakHyphen/>
        <w:t>operative may by special resolution remove a member director before the end of the member director’s period of office, and may by a simple majority appoint another person in place of the member director. The person appointed must retire when the removed member director would otherwise have retired. [s. 205(2)]</w:t>
      </w:r>
    </w:p>
    <w:p>
      <w:pPr>
        <w:pStyle w:val="yHeading5"/>
      </w:pPr>
      <w:bookmarkStart w:id="352" w:name="_Toc292197842"/>
      <w:bookmarkStart w:id="353" w:name="_Toc267388716"/>
      <w:bookmarkStart w:id="354" w:name="_Toc269387033"/>
      <w:r>
        <w:rPr>
          <w:rStyle w:val="CharSClsNo"/>
        </w:rPr>
        <w:t>45</w:t>
      </w:r>
      <w:r>
        <w:t>.</w:t>
      </w:r>
      <w:r>
        <w:tab/>
        <w:t>Vacation of office of director</w:t>
      </w:r>
      <w:bookmarkEnd w:id="352"/>
      <w:bookmarkEnd w:id="353"/>
      <w:bookmarkEnd w:id="354"/>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the director is disqualified or otherwise unable to be a director under section 200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the director is removed from office by special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operative’s affairs is appointed under Part 12 Division 5 of the Act.</w:t>
      </w:r>
    </w:p>
    <w:p>
      <w:pPr>
        <w:pStyle w:val="yHeading5"/>
      </w:pPr>
      <w:bookmarkStart w:id="355" w:name="_Toc292197843"/>
      <w:bookmarkStart w:id="356" w:name="_Toc267388717"/>
      <w:bookmarkStart w:id="357" w:name="_Toc269387034"/>
      <w:r>
        <w:rPr>
          <w:rStyle w:val="CharSClsNo"/>
        </w:rPr>
        <w:t>46</w:t>
      </w:r>
      <w:r>
        <w:t>.</w:t>
      </w:r>
      <w:r>
        <w:tab/>
        <w:t>Filling of casual vacancies</w:t>
      </w:r>
      <w:bookmarkEnd w:id="355"/>
      <w:bookmarkEnd w:id="356"/>
      <w:bookmarkEnd w:id="357"/>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45. [s. 198(3)]</w:t>
      </w:r>
    </w:p>
    <w:p>
      <w:pPr>
        <w:pStyle w:val="NotesPerm"/>
        <w:tabs>
          <w:tab w:val="clear" w:pos="879"/>
          <w:tab w:val="left" w:pos="851"/>
        </w:tabs>
        <w:ind w:left="1418" w:hanging="1418"/>
      </w:pPr>
      <w:r>
        <w:tab/>
        <w:t>*Note:</w:t>
      </w:r>
      <w:r>
        <w:tab/>
        <w:t>The rules may provide that, in the absence of a director from a meeting of the board, an alternate director may be appointed under section 203 of the Act.</w:t>
      </w:r>
    </w:p>
    <w:p>
      <w:pPr>
        <w:pStyle w:val="yHeading5"/>
      </w:pPr>
      <w:bookmarkStart w:id="358" w:name="_Toc292197844"/>
      <w:bookmarkStart w:id="359" w:name="_Toc267388718"/>
      <w:bookmarkStart w:id="360" w:name="_Toc269387035"/>
      <w:r>
        <w:rPr>
          <w:rStyle w:val="CharSClsNo"/>
        </w:rPr>
        <w:t>47</w:t>
      </w:r>
      <w:r>
        <w:t>.</w:t>
      </w:r>
      <w:r>
        <w:tab/>
        <w:t>Remuneration</w:t>
      </w:r>
      <w:bookmarkEnd w:id="358"/>
      <w:bookmarkEnd w:id="359"/>
      <w:bookmarkEnd w:id="360"/>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361" w:name="_Toc292197845"/>
      <w:bookmarkStart w:id="362" w:name="_Toc267388719"/>
      <w:bookmarkStart w:id="363" w:name="_Toc269387036"/>
      <w:r>
        <w:rPr>
          <w:rStyle w:val="CharSClsNo"/>
        </w:rPr>
        <w:t>48</w:t>
      </w:r>
      <w:r>
        <w:t>.</w:t>
      </w:r>
      <w:r>
        <w:tab/>
        <w:t>Proceedings of the board</w:t>
      </w:r>
      <w:bookmarkEnd w:id="361"/>
      <w:bookmarkEnd w:id="362"/>
      <w:bookmarkEnd w:id="363"/>
    </w:p>
    <w:p>
      <w:pPr>
        <w:pStyle w:val="ySubsection"/>
      </w:pPr>
      <w:r>
        <w:tab/>
        <w:t>(1)</w:t>
      </w:r>
      <w:r>
        <w:tab/>
        <w:t>Meetings of the board (including meetings conducted under clause 49)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364" w:name="_Toc292197846"/>
      <w:bookmarkStart w:id="365" w:name="_Toc267388720"/>
      <w:bookmarkStart w:id="366" w:name="_Toc269387037"/>
      <w:r>
        <w:rPr>
          <w:rStyle w:val="CharSClsNo"/>
        </w:rPr>
        <w:t>49</w:t>
      </w:r>
      <w:r>
        <w:t>.</w:t>
      </w:r>
      <w:r>
        <w:tab/>
        <w:t>Transaction of business outside board meetings</w:t>
      </w:r>
      <w:bookmarkEnd w:id="364"/>
      <w:bookmarkEnd w:id="365"/>
      <w:bookmarkEnd w:id="366"/>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367" w:name="_Toc292197847"/>
      <w:bookmarkStart w:id="368" w:name="_Toc267388721"/>
      <w:bookmarkStart w:id="369" w:name="_Toc269387038"/>
      <w:r>
        <w:rPr>
          <w:rStyle w:val="CharSClsNo"/>
        </w:rPr>
        <w:t>50</w:t>
      </w:r>
      <w:r>
        <w:t>.</w:t>
      </w:r>
      <w:r>
        <w:tab/>
        <w:t>Quorum for board meetings</w:t>
      </w:r>
      <w:bookmarkEnd w:id="367"/>
      <w:bookmarkEnd w:id="368"/>
      <w:bookmarkEnd w:id="369"/>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370" w:name="_Toc292197848"/>
      <w:bookmarkStart w:id="371" w:name="_Toc267388722"/>
      <w:bookmarkStart w:id="372" w:name="_Toc269387039"/>
      <w:r>
        <w:rPr>
          <w:rStyle w:val="CharSClsNo"/>
        </w:rPr>
        <w:t>51</w:t>
      </w:r>
      <w:r>
        <w:t>.</w:t>
      </w:r>
      <w:r>
        <w:tab/>
        <w:t>Chairperson of board</w:t>
      </w:r>
      <w:bookmarkEnd w:id="370"/>
      <w:bookmarkEnd w:id="371"/>
      <w:bookmarkEnd w:id="372"/>
    </w:p>
    <w:p>
      <w:pPr>
        <w:pStyle w:val="ySubsection"/>
      </w:pPr>
      <w:r>
        <w:tab/>
        <w:t>(1)</w:t>
      </w:r>
      <w:r>
        <w:tab/>
        <w:t>The chairperson of the board is to be elected by the board.*</w:t>
      </w:r>
    </w:p>
    <w:p>
      <w:pPr>
        <w:pStyle w:val="NotesPerm"/>
        <w:tabs>
          <w:tab w:val="clear" w:pos="879"/>
          <w:tab w:val="left" w:pos="851"/>
        </w:tabs>
        <w:ind w:left="1418" w:hanging="1418"/>
      </w:pPr>
      <w:r>
        <w:tab/>
        <w:t>*Note:</w:t>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NotesPerm"/>
        <w:tabs>
          <w:tab w:val="clear" w:pos="879"/>
          <w:tab w:val="left" w:pos="851"/>
        </w:tabs>
        <w:ind w:left="1418" w:hanging="1418"/>
      </w:pPr>
      <w:r>
        <w:tab/>
        <w:t>*Note:</w:t>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373" w:name="_Toc292197849"/>
      <w:bookmarkStart w:id="374" w:name="_Toc267388723"/>
      <w:bookmarkStart w:id="375" w:name="_Toc269387040"/>
      <w:r>
        <w:rPr>
          <w:rStyle w:val="CharSClsNo"/>
        </w:rPr>
        <w:t>52</w:t>
      </w:r>
      <w:r>
        <w:t>.</w:t>
      </w:r>
      <w:r>
        <w:tab/>
        <w:t>Delegation and board committees</w:t>
      </w:r>
      <w:bookmarkEnd w:id="373"/>
      <w:bookmarkEnd w:id="374"/>
      <w:bookmarkEnd w:id="375"/>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pPr>
      <w:bookmarkStart w:id="376" w:name="_Toc292197850"/>
      <w:bookmarkStart w:id="377" w:name="_Toc267388724"/>
      <w:bookmarkStart w:id="378" w:name="_Toc269387041"/>
      <w:r>
        <w:rPr>
          <w:rStyle w:val="CharSClsNo"/>
        </w:rPr>
        <w:t>53</w:t>
      </w:r>
      <w:r>
        <w:t>.</w:t>
      </w:r>
      <w:r>
        <w:tab/>
        <w:t>Other committees</w:t>
      </w:r>
      <w:bookmarkEnd w:id="376"/>
      <w:bookmarkEnd w:id="377"/>
      <w:bookmarkEnd w:id="378"/>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52(6)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379" w:name="_Toc292197851"/>
      <w:bookmarkStart w:id="380" w:name="_Toc267388725"/>
      <w:bookmarkStart w:id="381" w:name="_Toc269387042"/>
      <w:r>
        <w:rPr>
          <w:rStyle w:val="CharSClsNo"/>
        </w:rPr>
        <w:t>54</w:t>
      </w:r>
      <w:r>
        <w:t>.</w:t>
      </w:r>
      <w:r>
        <w:tab/>
        <w:t>Minutes</w:t>
      </w:r>
      <w:bookmarkEnd w:id="379"/>
      <w:bookmarkEnd w:id="380"/>
      <w:bookmarkEnd w:id="381"/>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NotesPerm"/>
        <w:tabs>
          <w:tab w:val="clear" w:pos="879"/>
          <w:tab w:val="left" w:pos="851"/>
        </w:tabs>
        <w:ind w:left="1418" w:hanging="1418"/>
      </w:pPr>
      <w:r>
        <w:tab/>
        <w:t>Note:</w:t>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382" w:name="_Toc292197852"/>
      <w:bookmarkStart w:id="383" w:name="_Toc267388726"/>
      <w:bookmarkStart w:id="384" w:name="_Toc269387043"/>
      <w:r>
        <w:rPr>
          <w:rStyle w:val="CharSClsNo"/>
        </w:rPr>
        <w:t>55</w:t>
      </w:r>
      <w:r>
        <w:t>.</w:t>
      </w:r>
      <w:r>
        <w:tab/>
        <w:t>Financial year</w:t>
      </w:r>
      <w:bookmarkEnd w:id="382"/>
      <w:bookmarkEnd w:id="383"/>
      <w:bookmarkEnd w:id="384"/>
    </w:p>
    <w:p>
      <w:pPr>
        <w:pStyle w:val="ySubsection"/>
      </w:pPr>
      <w:r>
        <w:tab/>
      </w:r>
      <w:r>
        <w:tab/>
        <w:t>The financial year of the co</w:t>
      </w:r>
      <w:r>
        <w:noBreakHyphen/>
        <w:t>operative ends on ………………….. .</w:t>
      </w:r>
    </w:p>
    <w:p>
      <w:pPr>
        <w:pStyle w:val="yHeading5"/>
      </w:pPr>
      <w:bookmarkStart w:id="385" w:name="_Toc292197853"/>
      <w:bookmarkStart w:id="386" w:name="_Toc267388727"/>
      <w:bookmarkStart w:id="387" w:name="_Toc269387044"/>
      <w:r>
        <w:rPr>
          <w:rStyle w:val="CharSClsNo"/>
        </w:rPr>
        <w:t>56</w:t>
      </w:r>
      <w:r>
        <w:t>.</w:t>
      </w:r>
      <w:r>
        <w:tab/>
        <w:t>Seal</w:t>
      </w:r>
      <w:bookmarkEnd w:id="385"/>
      <w:bookmarkEnd w:id="386"/>
      <w:bookmarkEnd w:id="387"/>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388" w:name="_Toc292197854"/>
      <w:bookmarkStart w:id="389" w:name="_Toc267388728"/>
      <w:bookmarkStart w:id="390" w:name="_Toc269387045"/>
      <w:r>
        <w:rPr>
          <w:rStyle w:val="CharSClsNo"/>
        </w:rPr>
        <w:t>57</w:t>
      </w:r>
      <w:r>
        <w:t>.</w:t>
      </w:r>
      <w:r>
        <w:tab/>
        <w:t>Custody and inspection of records and registers</w:t>
      </w:r>
      <w:bookmarkEnd w:id="388"/>
      <w:bookmarkEnd w:id="389"/>
      <w:bookmarkEnd w:id="390"/>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last annual report of the co</w:t>
      </w:r>
      <w:r>
        <w:noBreakHyphen/>
        <w:t>operative under section 235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NotesPerm"/>
        <w:tabs>
          <w:tab w:val="clear" w:pos="879"/>
          <w:tab w:val="left" w:pos="851"/>
        </w:tabs>
        <w:ind w:left="1418" w:hanging="1418"/>
      </w:pPr>
      <w:r>
        <w:tab/>
        <w:t>Note:</w:t>
      </w:r>
      <w:r>
        <w:tab/>
        <w:t>Section 233 of the Act sets out the limitations that apply to the use of information on these registers and provides for recovery of loss, damages or profits arising from misuse.</w:t>
      </w:r>
    </w:p>
    <w:p>
      <w:pPr>
        <w:pStyle w:val="ySubsection"/>
      </w:pPr>
      <w:r>
        <w:tab/>
        <w:t>(2)</w:t>
      </w:r>
      <w:r>
        <w:tab/>
        <w:t>A member may make a copy of the entries in a register mentioned in subclause (1) during normal office hours, [free of charge/for the fee of $ ……….. (maximum $11.60 for the first page and $1.50 for each additional page, up to a maximum of $86.60)].</w:t>
      </w:r>
    </w:p>
    <w:p>
      <w:pPr>
        <w:pStyle w:val="yHeading5"/>
      </w:pPr>
      <w:bookmarkStart w:id="391" w:name="_Toc292197855"/>
      <w:bookmarkStart w:id="392" w:name="_Toc267388729"/>
      <w:bookmarkStart w:id="393" w:name="_Toc269387046"/>
      <w:r>
        <w:rPr>
          <w:rStyle w:val="CharSClsNo"/>
        </w:rPr>
        <w:t>58</w:t>
      </w:r>
      <w:r>
        <w:t>.</w:t>
      </w:r>
      <w:r>
        <w:tab/>
        <w:t>Accounts</w:t>
      </w:r>
      <w:bookmarkEnd w:id="391"/>
      <w:bookmarkEnd w:id="392"/>
      <w:bookmarkEnd w:id="393"/>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394" w:name="_Toc292197856"/>
      <w:bookmarkStart w:id="395" w:name="_Toc267388730"/>
      <w:bookmarkStart w:id="396" w:name="_Toc269387047"/>
      <w:r>
        <w:rPr>
          <w:rStyle w:val="CharSClsNo"/>
        </w:rPr>
        <w:t>59</w:t>
      </w:r>
      <w:r>
        <w:t>.</w:t>
      </w:r>
      <w:r>
        <w:tab/>
        <w:t>Safe keeping of securities</w:t>
      </w:r>
      <w:bookmarkEnd w:id="394"/>
      <w:bookmarkEnd w:id="395"/>
      <w:bookmarkEnd w:id="396"/>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397" w:name="_Toc292197857"/>
      <w:bookmarkStart w:id="398" w:name="_Toc267388731"/>
      <w:bookmarkStart w:id="399" w:name="_Toc269387048"/>
      <w:r>
        <w:rPr>
          <w:rStyle w:val="CharSClsNo"/>
        </w:rPr>
        <w:t>60</w:t>
      </w:r>
      <w:r>
        <w:t>.</w:t>
      </w:r>
      <w:r>
        <w:tab/>
        <w:t>Appointing an auditor — co</w:t>
      </w:r>
      <w:r>
        <w:noBreakHyphen/>
        <w:t>operatives</w:t>
      </w:r>
      <w:bookmarkEnd w:id="397"/>
      <w:bookmarkEnd w:id="398"/>
      <w:bookmarkEnd w:id="399"/>
    </w:p>
    <w:p>
      <w:pPr>
        <w:pStyle w:val="ySubsection"/>
      </w:pPr>
      <w:r>
        <w:tab/>
        <w:t>(1)</w:t>
      </w:r>
      <w:r>
        <w:tab/>
        <w:t>The board of a co</w:t>
      </w:r>
      <w:r>
        <w:noBreakHyphen/>
        <w:t>operative (unless the co</w:t>
      </w:r>
      <w:r>
        <w:noBreakHyphen/>
        <w:t>operative is a small co</w:t>
      </w:r>
      <w:r>
        <w:noBreakHyphen/>
        <w:t>operative or otherwise exempt from requiring an auditor [s. 226]) 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Heading5"/>
      </w:pPr>
      <w:bookmarkStart w:id="400" w:name="_Toc292197858"/>
      <w:bookmarkStart w:id="401" w:name="_Toc267388732"/>
      <w:bookmarkStart w:id="402" w:name="_Toc269387049"/>
      <w:r>
        <w:rPr>
          <w:rStyle w:val="CharSClsNo"/>
        </w:rPr>
        <w:t>61</w:t>
      </w:r>
      <w:r>
        <w:t>.</w:t>
      </w:r>
      <w:r>
        <w:tab/>
        <w:t>Appointing an auditor — small co</w:t>
      </w:r>
      <w:r>
        <w:noBreakHyphen/>
        <w:t>operatives</w:t>
      </w:r>
      <w:bookmarkEnd w:id="400"/>
      <w:bookmarkEnd w:id="401"/>
      <w:bookmarkEnd w:id="402"/>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section 293 or 294 of the Corporations Act. </w:t>
      </w:r>
    </w:p>
    <w:p>
      <w:pPr>
        <w:pStyle w:val="ySubsection"/>
      </w:pPr>
      <w:r>
        <w:tab/>
        <w:t>(4)</w:t>
      </w:r>
      <w:r>
        <w:tab/>
        <w:t>An auditor appointed under subclause (3) holds office until the financial report prepared as a result of the direction has been audited and sent to members.</w:t>
      </w:r>
    </w:p>
    <w:p>
      <w:pPr>
        <w:pStyle w:val="yHeading5"/>
      </w:pPr>
      <w:bookmarkStart w:id="403" w:name="_Toc292197859"/>
      <w:bookmarkStart w:id="404" w:name="_Toc267388733"/>
      <w:bookmarkStart w:id="405" w:name="_Toc269387050"/>
      <w:r>
        <w:rPr>
          <w:rStyle w:val="CharSClsNo"/>
        </w:rPr>
        <w:t>62</w:t>
      </w:r>
      <w:r>
        <w:t>.</w:t>
      </w:r>
      <w:r>
        <w:tab/>
        <w:t>Terms of appointment, remuneration and removal of auditors</w:t>
      </w:r>
      <w:bookmarkEnd w:id="403"/>
      <w:bookmarkEnd w:id="404"/>
      <w:bookmarkEnd w:id="405"/>
    </w:p>
    <w:p>
      <w:pPr>
        <w:pStyle w:val="ySubsection"/>
      </w:pPr>
      <w:r>
        <w:tab/>
        <w:t>(1)</w:t>
      </w:r>
      <w:r>
        <w:tab/>
        <w:t>The appointment, remuneration and removal of an auditor must comply with those provisions of the Corporations Act that apply under section 225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is removed or resigns from office in accordance with section 329 of the Corporations Act; or</w:t>
      </w:r>
    </w:p>
    <w:p>
      <w:pPr>
        <w:pStyle w:val="yIndenta"/>
      </w:pPr>
      <w:r>
        <w:tab/>
        <w:t>(c)</w:t>
      </w:r>
      <w:r>
        <w:tab/>
        <w:t>ceases to be a registered company auditor within the meaning of the Corporations Act; or</w:t>
      </w:r>
    </w:p>
    <w:p>
      <w:pPr>
        <w:pStyle w:val="yIndenta"/>
      </w:pPr>
      <w:r>
        <w:tab/>
        <w:t>(d)</w:t>
      </w:r>
      <w:r>
        <w:tab/>
        <w:t>ceases to be an auditor under section 327B(2A), (2B) or (2C) of the Corporations Act.</w:t>
      </w:r>
    </w:p>
    <w:p>
      <w:pPr>
        <w:pStyle w:val="ySubsection"/>
      </w:pPr>
      <w:r>
        <w:tab/>
        <w:t>(3)</w:t>
      </w:r>
      <w:r>
        <w:tab/>
        <w:t>While a casual vacancy in the office of the auditor continues, the surviving or continuing auditor or auditors, if any, may act.</w:t>
      </w:r>
    </w:p>
    <w:p>
      <w:pPr>
        <w:pStyle w:val="ySubsection"/>
      </w:pPr>
      <w:r>
        <w:tab/>
        <w:t>(4)</w:t>
      </w:r>
      <w:r>
        <w:tab/>
        <w:t>Where there is no surviving or continuing auditor, the board must fill a casual vacancy in the office of auditor, other than a vacancy caused by the removal of an auditor from office [s. 225], 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Subject to section 329 of the Corporations Act, an auditor may be removed from office by resolution at a general meeting.</w:t>
      </w:r>
    </w:p>
    <w:p>
      <w:pPr>
        <w:pStyle w:val="ySubsection"/>
      </w:pPr>
      <w:r>
        <w:tab/>
        <w:t>(12)</w:t>
      </w:r>
      <w:r>
        <w:tab/>
        <w:t>Subject to section 329 of the Corporations Act, an auditor may resign as auditor.</w:t>
      </w:r>
    </w:p>
    <w:p>
      <w:pPr>
        <w:pStyle w:val="yHeading5"/>
      </w:pPr>
      <w:bookmarkStart w:id="406" w:name="_Toc292197860"/>
      <w:bookmarkStart w:id="407" w:name="_Toc267388734"/>
      <w:bookmarkStart w:id="408" w:name="_Toc269387051"/>
      <w:r>
        <w:rPr>
          <w:rStyle w:val="CharSClsNo"/>
        </w:rPr>
        <w:t>63</w:t>
      </w:r>
      <w:r>
        <w:t>.</w:t>
      </w:r>
      <w:r>
        <w:tab/>
        <w:t>Co</w:t>
      </w:r>
      <w:r>
        <w:noBreakHyphen/>
        <w:t>operative funds</w:t>
      </w:r>
      <w:bookmarkEnd w:id="406"/>
      <w:bookmarkEnd w:id="407"/>
      <w:bookmarkEnd w:id="408"/>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409" w:name="_Toc292197861"/>
      <w:bookmarkStart w:id="410" w:name="_Toc267388735"/>
      <w:bookmarkStart w:id="411" w:name="_Toc269387052"/>
      <w:r>
        <w:rPr>
          <w:rStyle w:val="CharSClsNo"/>
        </w:rPr>
        <w:t>64</w:t>
      </w:r>
      <w:r>
        <w:t>.</w:t>
      </w:r>
      <w:r>
        <w:tab/>
        <w:t>Provision for loss</w:t>
      </w:r>
      <w:bookmarkEnd w:id="409"/>
      <w:bookmarkEnd w:id="410"/>
      <w:bookmarkEnd w:id="411"/>
    </w:p>
    <w:p>
      <w:pPr>
        <w:pStyle w:val="ySubsection"/>
      </w:pPr>
      <w:r>
        <w:tab/>
      </w:r>
      <w:r>
        <w:tab/>
        <w:t>The board must make provision for loss that may result from transactions of the co</w:t>
      </w:r>
      <w:r>
        <w:noBreakHyphen/>
        <w:t>operative.</w:t>
      </w:r>
    </w:p>
    <w:p>
      <w:pPr>
        <w:pStyle w:val="yHeading5"/>
      </w:pPr>
      <w:bookmarkStart w:id="412" w:name="_Toc292197862"/>
      <w:bookmarkStart w:id="413" w:name="_Toc267388736"/>
      <w:bookmarkStart w:id="414" w:name="_Toc269387053"/>
      <w:r>
        <w:rPr>
          <w:rStyle w:val="CharSClsNo"/>
        </w:rPr>
        <w:t>65</w:t>
      </w:r>
      <w:r>
        <w:t>.</w:t>
      </w:r>
      <w:r>
        <w:tab/>
        <w:t>Notices</w:t>
      </w:r>
      <w:bookmarkEnd w:id="412"/>
      <w:bookmarkEnd w:id="413"/>
      <w:bookmarkEnd w:id="414"/>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(7)</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an interest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(8)</w:t>
      </w:r>
      <w:r>
        <w:tab/>
        <w:t>Except as provided in this clause and in clause 62(10) no other person is entitled to receive notices of general meetings.</w:t>
      </w:r>
    </w:p>
    <w:p>
      <w:pPr>
        <w:pStyle w:val="yHeading5"/>
      </w:pPr>
      <w:bookmarkStart w:id="415" w:name="_Toc292197863"/>
      <w:bookmarkStart w:id="416" w:name="_Toc267388737"/>
      <w:bookmarkStart w:id="417" w:name="_Toc269387054"/>
      <w:r>
        <w:rPr>
          <w:rStyle w:val="CharSClsNo"/>
        </w:rPr>
        <w:t>66</w:t>
      </w:r>
      <w:r>
        <w:t>.</w:t>
      </w:r>
      <w:r>
        <w:tab/>
        <w:t>Winding</w:t>
      </w:r>
      <w:r>
        <w:noBreakHyphen/>
        <w:t>up</w:t>
      </w:r>
      <w:bookmarkEnd w:id="415"/>
      <w:bookmarkEnd w:id="416"/>
      <w:bookmarkEnd w:id="417"/>
    </w:p>
    <w:p>
      <w:pPr>
        <w:pStyle w:val="ySubsection"/>
      </w:pPr>
      <w:r>
        <w:tab/>
        <w:t>(1)</w:t>
      </w:r>
      <w:r>
        <w:tab/>
        <w:t>The winding</w:t>
      </w:r>
      <w:r>
        <w:noBreakHyphen/>
        <w:t>up of the co</w:t>
      </w:r>
      <w:r>
        <w:noBreakHyphen/>
        <w:t>operative must be in accordance with Part 12 of the Act.</w:t>
      </w:r>
    </w:p>
    <w:p>
      <w:pPr>
        <w:pStyle w:val="ySubsection"/>
      </w:pPr>
      <w:r>
        <w:tab/>
        <w:t>(2)</w:t>
      </w:r>
      <w:r>
        <w:tab/>
        <w:t>If, on the winding</w:t>
      </w:r>
      <w:r>
        <w:noBreakHyphen/>
        <w:t>up or dissolution, there remains after the satisfaction of all its debts and liabilities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subsection of section 50 of the </w:t>
      </w:r>
      <w:r>
        <w:rPr>
          <w:i/>
          <w:iCs/>
        </w:rPr>
        <w:t>Income Tax Assessment Act 1997</w:t>
      </w:r>
      <w:r>
        <w:t xml:space="preserve"> (Commonwealth).</w:t>
      </w:r>
    </w:p>
    <w:p>
      <w:pPr>
        <w:pStyle w:val="NotesPerm"/>
        <w:tabs>
          <w:tab w:val="clear" w:pos="879"/>
          <w:tab w:val="left" w:pos="851"/>
        </w:tabs>
        <w:ind w:left="1418" w:hanging="1418"/>
      </w:pPr>
      <w:r>
        <w:tab/>
        <w:t>*Note:</w:t>
      </w:r>
      <w:r>
        <w:tab/>
        <w:t>Subclause (2), and the reference to subclause (2) in subclause (3), may be deleted if the co</w:t>
      </w:r>
      <w:r>
        <w:noBreakHyphen/>
        <w:t>operative does not wish to specify a recipient.</w:t>
      </w:r>
    </w:p>
    <w:p>
      <w:pPr>
        <w:pStyle w:val="yHeading5"/>
        <w:spacing w:after="360"/>
      </w:pPr>
      <w:bookmarkStart w:id="418" w:name="_Toc292197864"/>
      <w:bookmarkStart w:id="419" w:name="_Toc267388738"/>
      <w:bookmarkStart w:id="420" w:name="_Toc269387055"/>
      <w:r>
        <w:rPr>
          <w:rStyle w:val="CharSClsNo"/>
        </w:rPr>
        <w:t>67</w:t>
      </w:r>
      <w:r>
        <w:t>.</w:t>
      </w:r>
      <w:r>
        <w:tab/>
        <w:t>Schedule of charges</w:t>
      </w:r>
      <w:bookmarkEnd w:id="418"/>
      <w:bookmarkEnd w:id="419"/>
      <w:bookmarkEnd w:id="420"/>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57(2)</w:t>
            </w:r>
          </w:p>
        </w:tc>
      </w:tr>
      <w:tr>
        <w:tc>
          <w:tcPr>
            <w:tcW w:w="3402" w:type="dxa"/>
          </w:tcPr>
          <w:p>
            <w:pPr>
              <w:pStyle w:val="yTableNAm"/>
            </w:pPr>
            <w:r>
              <w:t>Maximum fine</w:t>
            </w:r>
          </w:p>
        </w:tc>
        <w:tc>
          <w:tcPr>
            <w:tcW w:w="2693" w:type="dxa"/>
          </w:tcPr>
          <w:p>
            <w:pPr>
              <w:pStyle w:val="yTableNAm"/>
            </w:pPr>
            <w:r>
              <w:t xml:space="preserve">clause 14(1) </w:t>
            </w:r>
          </w:p>
        </w:tc>
      </w:tr>
      <w:tr>
        <w:tc>
          <w:tcPr>
            <w:tcW w:w="3402" w:type="dxa"/>
          </w:tcPr>
          <w:p>
            <w:pPr>
              <w:pStyle w:val="yTableNAm"/>
            </w:pPr>
            <w:r>
              <w:t>Transfer/register of debenture</w:t>
            </w:r>
          </w:p>
        </w:tc>
        <w:tc>
          <w:tcPr>
            <w:tcW w:w="2693" w:type="dxa"/>
          </w:tcPr>
          <w:p>
            <w:pPr>
              <w:pStyle w:val="yTableNAm"/>
            </w:pPr>
            <w:r>
              <w:t xml:space="preserve">clause 22(4) </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NotesPerm"/>
        <w:tabs>
          <w:tab w:val="clear" w:pos="879"/>
          <w:tab w:val="left" w:pos="851"/>
        </w:tabs>
        <w:ind w:left="1418" w:hanging="1418"/>
      </w:pPr>
      <w:r>
        <w:tab/>
        <w:t>Note:</w:t>
      </w:r>
      <w:r>
        <w:tab/>
        <w:t>This certification is signed at the formation meeting that is held after the rules have been approved by the Registrar and returned to the sponsors of the proposed co</w:t>
      </w:r>
      <w:r>
        <w:noBreakHyphen/>
        <w:t>operative.</w:t>
      </w:r>
    </w:p>
    <w:p>
      <w:pPr>
        <w:pStyle w:val="yScheduleHeading"/>
      </w:pPr>
      <w:bookmarkStart w:id="421" w:name="_Toc292194952"/>
      <w:bookmarkStart w:id="422" w:name="_Toc292195240"/>
      <w:bookmarkStart w:id="423" w:name="_Toc292197865"/>
      <w:bookmarkStart w:id="424" w:name="_Toc265851991"/>
      <w:bookmarkStart w:id="425" w:name="_Toc265852732"/>
      <w:bookmarkStart w:id="426" w:name="_Toc266086562"/>
      <w:bookmarkStart w:id="427" w:name="_Toc266087847"/>
      <w:bookmarkStart w:id="428" w:name="_Toc266199706"/>
      <w:bookmarkStart w:id="429" w:name="_Toc266279351"/>
      <w:bookmarkStart w:id="430" w:name="_Toc266289614"/>
      <w:bookmarkStart w:id="431" w:name="_Toc266345658"/>
      <w:bookmarkStart w:id="432" w:name="_Toc266371175"/>
      <w:bookmarkStart w:id="433" w:name="_Toc266430403"/>
      <w:bookmarkStart w:id="434" w:name="_Toc266434563"/>
      <w:bookmarkStart w:id="435" w:name="_Toc266434849"/>
      <w:bookmarkStart w:id="436" w:name="_Toc266435765"/>
      <w:bookmarkStart w:id="437" w:name="_Toc266436068"/>
      <w:bookmarkStart w:id="438" w:name="_Toc266436354"/>
      <w:bookmarkStart w:id="439" w:name="_Toc266436640"/>
      <w:bookmarkStart w:id="440" w:name="_Toc266608215"/>
      <w:bookmarkStart w:id="441" w:name="_Toc266609764"/>
      <w:bookmarkStart w:id="442" w:name="_Toc266613682"/>
      <w:bookmarkStart w:id="443" w:name="_Toc267053860"/>
      <w:bookmarkStart w:id="444" w:name="_Toc267054394"/>
      <w:bookmarkStart w:id="445" w:name="_Toc267054763"/>
      <w:bookmarkStart w:id="446" w:name="_Toc267055049"/>
      <w:bookmarkStart w:id="447" w:name="_Toc267055335"/>
      <w:bookmarkStart w:id="448" w:name="_Toc267383162"/>
      <w:bookmarkStart w:id="449" w:name="_Toc267388167"/>
      <w:bookmarkStart w:id="450" w:name="_Toc267388453"/>
      <w:bookmarkStart w:id="451" w:name="_Toc267388739"/>
      <w:bookmarkStart w:id="452" w:name="_Toc269375039"/>
      <w:bookmarkStart w:id="453" w:name="_Toc269375419"/>
      <w:bookmarkStart w:id="454" w:name="_Toc269386767"/>
      <w:bookmarkStart w:id="455" w:name="_Toc269387056"/>
      <w:r>
        <w:rPr>
          <w:rStyle w:val="CharSchNo"/>
        </w:rPr>
        <w:t>Schedule 2</w:t>
      </w:r>
      <w:r>
        <w:t> — </w:t>
      </w:r>
      <w:r>
        <w:rPr>
          <w:rStyle w:val="CharSchText"/>
        </w:rPr>
        <w:t>Model rules of a non</w:t>
      </w:r>
      <w:r>
        <w:rPr>
          <w:rStyle w:val="CharSchText"/>
        </w:rPr>
        <w:noBreakHyphen/>
        <w:t>distributing co</w:t>
      </w:r>
      <w:r>
        <w:rPr>
          <w:rStyle w:val="CharSchText"/>
        </w:rPr>
        <w:noBreakHyphen/>
        <w:t>operative with share capital</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456" w:name="_Toc292197866"/>
      <w:bookmarkStart w:id="457" w:name="_Toc267388740"/>
      <w:bookmarkStart w:id="458" w:name="_Toc269387057"/>
      <w:r>
        <w:rPr>
          <w:rStyle w:val="CharSClsNo"/>
        </w:rPr>
        <w:t>1</w:t>
      </w:r>
      <w:r>
        <w:t>.</w:t>
      </w:r>
      <w:r>
        <w:tab/>
        <w:t>Terms used</w:t>
      </w:r>
      <w:bookmarkEnd w:id="456"/>
      <w:bookmarkEnd w:id="457"/>
      <w:bookmarkEnd w:id="458"/>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clause 47.</w:t>
      </w:r>
    </w:p>
    <w:p>
      <w:pPr>
        <w:pStyle w:val="yHeading5"/>
      </w:pPr>
      <w:bookmarkStart w:id="459" w:name="_Toc292197867"/>
      <w:bookmarkStart w:id="460" w:name="_Toc267388741"/>
      <w:bookmarkStart w:id="461" w:name="_Toc269387058"/>
      <w:r>
        <w:rPr>
          <w:rStyle w:val="CharSClsNo"/>
        </w:rPr>
        <w:t>2</w:t>
      </w:r>
      <w:r>
        <w:t>.</w:t>
      </w:r>
      <w:r>
        <w:tab/>
        <w:t>Rules</w:t>
      </w:r>
      <w:bookmarkEnd w:id="459"/>
      <w:bookmarkEnd w:id="460"/>
      <w:bookmarkEnd w:id="461"/>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A proposed alteration to these rules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Heading5"/>
      </w:pPr>
      <w:bookmarkStart w:id="462" w:name="_Toc292197868"/>
      <w:bookmarkStart w:id="463" w:name="_Toc267388742"/>
      <w:bookmarkStart w:id="464" w:name="_Toc269387059"/>
      <w:r>
        <w:rPr>
          <w:rStyle w:val="CharSClsNo"/>
        </w:rPr>
        <w:t>3</w:t>
      </w:r>
      <w:r>
        <w:t>.</w:t>
      </w:r>
      <w:r>
        <w:tab/>
        <w:t>Powers</w:t>
      </w:r>
      <w:bookmarkEnd w:id="462"/>
      <w:bookmarkEnd w:id="463"/>
      <w:bookmarkEnd w:id="464"/>
    </w:p>
    <w:p>
      <w:pPr>
        <w:pStyle w:val="ySubsection"/>
      </w:pPr>
      <w:r>
        <w:tab/>
      </w:r>
      <w:r>
        <w:tab/>
        <w:t>The co</w:t>
      </w:r>
      <w:r>
        <w:noBreakHyphen/>
        <w:t>operative has the power of an individual and the ability to restrict or place additional powers in the rules. [s. 39]</w:t>
      </w:r>
    </w:p>
    <w:p>
      <w:pPr>
        <w:pStyle w:val="yHeading5"/>
      </w:pPr>
      <w:bookmarkStart w:id="465" w:name="_Toc292197869"/>
      <w:bookmarkStart w:id="466" w:name="_Toc267388743"/>
      <w:bookmarkStart w:id="467" w:name="_Toc269387060"/>
      <w:r>
        <w:rPr>
          <w:rStyle w:val="CharSClsNo"/>
        </w:rPr>
        <w:t>4</w:t>
      </w:r>
      <w:r>
        <w:t>.</w:t>
      </w:r>
      <w:r>
        <w:tab/>
        <w:t>Name</w:t>
      </w:r>
      <w:bookmarkEnd w:id="465"/>
      <w:bookmarkEnd w:id="466"/>
      <w:bookmarkEnd w:id="467"/>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468" w:name="_Toc292197870"/>
      <w:bookmarkStart w:id="469" w:name="_Toc267388744"/>
      <w:bookmarkStart w:id="470" w:name="_Toc269387061"/>
      <w:r>
        <w:rPr>
          <w:rStyle w:val="CharSClsNo"/>
        </w:rPr>
        <w:t>5</w:t>
      </w:r>
      <w:r>
        <w:t>.</w:t>
      </w:r>
      <w:r>
        <w:tab/>
        <w:t>Active membership provisions</w:t>
      </w:r>
      <w:bookmarkEnd w:id="468"/>
      <w:bookmarkEnd w:id="469"/>
      <w:bookmarkEnd w:id="470"/>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r>
        <w:t xml:space="preserve"> </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 and, subject to section 127 of the Act, their shares forfeited.</w:t>
      </w:r>
    </w:p>
    <w:p>
      <w:pPr>
        <w:pStyle w:val="yHeading5"/>
      </w:pPr>
      <w:bookmarkStart w:id="471" w:name="_Toc292197871"/>
      <w:bookmarkStart w:id="472" w:name="_Toc267388745"/>
      <w:bookmarkStart w:id="473" w:name="_Toc269387062"/>
      <w:r>
        <w:rPr>
          <w:rStyle w:val="CharSClsNo"/>
        </w:rPr>
        <w:t>6</w:t>
      </w:r>
      <w:r>
        <w:t>.</w:t>
      </w:r>
      <w:r>
        <w:tab/>
        <w:t>Qualifications for membership</w:t>
      </w:r>
      <w:bookmarkEnd w:id="471"/>
      <w:bookmarkEnd w:id="472"/>
      <w:bookmarkEnd w:id="473"/>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474" w:name="_Toc292197872"/>
      <w:bookmarkStart w:id="475" w:name="_Toc267388746"/>
      <w:bookmarkStart w:id="476" w:name="_Toc269387063"/>
      <w:r>
        <w:rPr>
          <w:rStyle w:val="CharSClsNo"/>
        </w:rPr>
        <w:t>7</w:t>
      </w:r>
      <w:r>
        <w:t>.</w:t>
      </w:r>
      <w:r>
        <w:tab/>
        <w:t>Membership, subscriptions, periodic fees</w:t>
      </w:r>
      <w:bookmarkEnd w:id="474"/>
      <w:bookmarkEnd w:id="475"/>
      <w:bookmarkEnd w:id="476"/>
    </w:p>
    <w:p>
      <w:pPr>
        <w:pStyle w:val="ySubsection"/>
      </w:pPr>
      <w:r>
        <w:tab/>
        <w:t>(1)</w:t>
      </w:r>
      <w:r>
        <w:tab/>
        <w:t>The co</w:t>
      </w:r>
      <w:r>
        <w:noBreakHyphen/>
        <w:t xml:space="preserve">operative must give to a person intending to become a member — </w:t>
      </w:r>
    </w:p>
    <w:p>
      <w:pPr>
        <w:pStyle w:val="yIndenta"/>
      </w:pPr>
      <w:r>
        <w:tab/>
        <w:t>(a)</w:t>
      </w:r>
      <w:r>
        <w:tab/>
        <w:t>a copy of the rules, resolutions and the last annual report if a person requests a copy under section 68 of the Act;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or shares must be lodged at the registered office in the application form, approved by the board, together with the amount required to pay the shares fully or, if the shares are to be issued partly paid, a deposit of $... for each share applied for.</w:t>
      </w:r>
    </w:p>
    <w:p>
      <w:pPr>
        <w:pStyle w:val="ySubsection"/>
      </w:pPr>
      <w:r>
        <w:tab/>
        <w:t>(3)</w:t>
      </w:r>
      <w:r>
        <w:tab/>
        <w:t>Every application must be considered by the board.</w:t>
      </w:r>
    </w:p>
    <w:p>
      <w:pPr>
        <w:pStyle w:val="ySubsection"/>
      </w:pPr>
      <w:r>
        <w:tab/>
        <w:t>(4)</w:t>
      </w:r>
      <w:r>
        <w:tab/>
        <w:t>If the board approves of the application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as is appropriate.</w:t>
      </w:r>
    </w:p>
    <w:p>
      <w:pPr>
        <w:pStyle w:val="ySubsection"/>
      </w:pPr>
      <w:r>
        <w:tab/>
        <w:t>(6)</w:t>
      </w:r>
      <w:r>
        <w:tab/>
        <w:t>The board may, at its discretion, refuse an application for membership or shares.</w:t>
      </w:r>
    </w:p>
    <w:p>
      <w:pPr>
        <w:pStyle w:val="ySubsection"/>
      </w:pPr>
      <w:r>
        <w:tab/>
        <w:t>(7)</w:t>
      </w:r>
      <w:r>
        <w:tab/>
        <w:t>The board need not assign reasons for the refusal. On refusal any amounts accompanying the application for membership must be refunded within 28 days without interest.</w:t>
      </w:r>
    </w:p>
    <w:p>
      <w:pPr>
        <w:pStyle w:val="yHeading5"/>
      </w:pPr>
      <w:bookmarkStart w:id="477" w:name="_Toc292197873"/>
      <w:bookmarkStart w:id="478" w:name="_Toc267388747"/>
      <w:bookmarkStart w:id="479" w:name="_Toc269387064"/>
      <w:r>
        <w:rPr>
          <w:rStyle w:val="CharSClsNo"/>
        </w:rPr>
        <w:t>8</w:t>
      </w:r>
      <w:r>
        <w:t>.</w:t>
      </w:r>
      <w:r>
        <w:tab/>
        <w:t>Ceasing membership</w:t>
      </w:r>
      <w:bookmarkEnd w:id="477"/>
      <w:bookmarkEnd w:id="478"/>
      <w:bookmarkEnd w:id="479"/>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480" w:name="_Toc292197874"/>
      <w:bookmarkStart w:id="481" w:name="_Toc267388748"/>
      <w:bookmarkStart w:id="482" w:name="_Toc269387065"/>
      <w:r>
        <w:rPr>
          <w:rStyle w:val="CharSClsNo"/>
        </w:rPr>
        <w:t>9</w:t>
      </w:r>
      <w:r>
        <w:t>.</w:t>
      </w:r>
      <w:r>
        <w:tab/>
        <w:t>Expulsion of members</w:t>
      </w:r>
      <w:bookmarkEnd w:id="480"/>
      <w:bookmarkEnd w:id="481"/>
      <w:bookmarkEnd w:id="482"/>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483" w:name="_Toc292197875"/>
      <w:bookmarkStart w:id="484" w:name="_Toc267388749"/>
      <w:bookmarkStart w:id="485" w:name="_Toc269387066"/>
      <w:r>
        <w:rPr>
          <w:rStyle w:val="CharSClsNo"/>
        </w:rPr>
        <w:t>10</w:t>
      </w:r>
      <w:r>
        <w:t>.</w:t>
      </w:r>
      <w:r>
        <w:tab/>
        <w:t>Monetary consequences of expulsion</w:t>
      </w:r>
      <w:bookmarkEnd w:id="483"/>
      <w:bookmarkEnd w:id="484"/>
      <w:bookmarkEnd w:id="485"/>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on the date of the expulsion and the cancellation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486" w:name="_Toc292197876"/>
      <w:bookmarkStart w:id="487" w:name="_Toc267388750"/>
      <w:bookmarkStart w:id="488" w:name="_Toc269387067"/>
      <w:r>
        <w:rPr>
          <w:rStyle w:val="CharSClsNo"/>
        </w:rPr>
        <w:t>11</w:t>
      </w:r>
      <w:r>
        <w:t>.</w:t>
      </w:r>
      <w:r>
        <w:tab/>
        <w:t>Suspension of members</w:t>
      </w:r>
      <w:bookmarkEnd w:id="486"/>
      <w:bookmarkEnd w:id="487"/>
      <w:bookmarkEnd w:id="488"/>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489" w:name="_Toc292197877"/>
      <w:bookmarkStart w:id="490" w:name="_Toc267388751"/>
      <w:bookmarkStart w:id="491" w:name="_Toc269387068"/>
      <w:r>
        <w:rPr>
          <w:rStyle w:val="CharSClsNo"/>
        </w:rPr>
        <w:t>12</w:t>
      </w:r>
      <w:r>
        <w:t>.</w:t>
      </w:r>
      <w:r>
        <w:tab/>
        <w:t>Payments upon resignation of member</w:t>
      </w:r>
      <w:bookmarkEnd w:id="489"/>
      <w:bookmarkEnd w:id="490"/>
      <w:bookmarkEnd w:id="491"/>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492" w:name="_Toc292197878"/>
      <w:bookmarkStart w:id="493" w:name="_Toc267388752"/>
      <w:bookmarkStart w:id="494" w:name="_Toc269387069"/>
      <w:r>
        <w:rPr>
          <w:rStyle w:val="CharSClsNo"/>
        </w:rPr>
        <w:t>13</w:t>
      </w:r>
      <w:r>
        <w:t>.</w:t>
      </w:r>
      <w:r>
        <w:tab/>
        <w:t>Disputes and mediation</w:t>
      </w:r>
      <w:bookmarkEnd w:id="492"/>
      <w:bookmarkEnd w:id="493"/>
      <w:bookmarkEnd w:id="494"/>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495" w:name="_Toc292197879"/>
      <w:bookmarkStart w:id="496" w:name="_Toc267388753"/>
      <w:bookmarkStart w:id="497" w:name="_Toc269387070"/>
      <w:r>
        <w:rPr>
          <w:rStyle w:val="CharSClsNo"/>
        </w:rPr>
        <w:t>14</w:t>
      </w:r>
      <w:r>
        <w:t>.</w:t>
      </w:r>
      <w:r>
        <w:tab/>
        <w:t>Fines payable by members</w:t>
      </w:r>
      <w:bookmarkEnd w:id="495"/>
      <w:bookmarkEnd w:id="496"/>
      <w:bookmarkEnd w:id="497"/>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498" w:name="_Toc292197880"/>
      <w:bookmarkStart w:id="499" w:name="_Toc267388754"/>
      <w:bookmarkStart w:id="500" w:name="_Toc269387071"/>
      <w:r>
        <w:rPr>
          <w:rStyle w:val="CharSClsNo"/>
        </w:rPr>
        <w:t>15</w:t>
      </w:r>
      <w:r>
        <w:t>.</w:t>
      </w:r>
      <w:r>
        <w:tab/>
        <w:t>Capital and shares</w:t>
      </w:r>
      <w:bookmarkEnd w:id="498"/>
      <w:bookmarkEnd w:id="499"/>
      <w:bookmarkEnd w:id="500"/>
    </w:p>
    <w:p>
      <w:pPr>
        <w:pStyle w:val="ySubsection"/>
      </w:pPr>
      <w:r>
        <w:tab/>
        <w:t>(1)</w:t>
      </w:r>
      <w:r>
        <w:tab/>
        <w:t>The capital of the co</w:t>
      </w:r>
      <w:r>
        <w:noBreakHyphen/>
        <w:t>operative must be raised by the issue of shares of nominal value of $ …….. each.* [s. 140(2)]</w:t>
      </w:r>
    </w:p>
    <w:p>
      <w:pPr>
        <w:pStyle w:val="NotesPerm"/>
        <w:tabs>
          <w:tab w:val="clear" w:pos="879"/>
          <w:tab w:val="left" w:pos="851"/>
        </w:tabs>
        <w:ind w:left="1418" w:hanging="1418"/>
      </w:pPr>
      <w:r>
        <w:tab/>
        <w:t>*Note:</w:t>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NotesPerm"/>
        <w:tabs>
          <w:tab w:val="clear" w:pos="879"/>
          <w:tab w:val="left" w:pos="851"/>
        </w:tabs>
        <w:ind w:left="1418" w:hanging="1418"/>
        <w:rPr>
          <w:i/>
          <w:iCs/>
        </w:rPr>
      </w:pPr>
      <w:r>
        <w:tab/>
        <w:t>*Note:</w:t>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Under section 255 of the Act, the co</w:t>
      </w:r>
      <w:r>
        <w:noBreakHyphen/>
        <w:t>operative is authorised to require members to lend money to the co</w:t>
      </w:r>
      <w:r>
        <w:noBreakHyphen/>
        <w:t>operative under a proposal approved by special resolution of the co</w:t>
      </w:r>
      <w:r>
        <w:noBreakHyphen/>
        <w:t>operative.</w:t>
      </w:r>
    </w:p>
    <w:p>
      <w:pPr>
        <w:pStyle w:val="yHeading5"/>
      </w:pPr>
      <w:bookmarkStart w:id="501" w:name="_Toc292197881"/>
      <w:bookmarkStart w:id="502" w:name="_Toc267388755"/>
      <w:bookmarkStart w:id="503" w:name="_Toc269387072"/>
      <w:r>
        <w:rPr>
          <w:rStyle w:val="CharSClsNo"/>
        </w:rPr>
        <w:t>16</w:t>
      </w:r>
      <w:r>
        <w:t>.</w:t>
      </w:r>
      <w:r>
        <w:tab/>
        <w:t>Liability of members to co</w:t>
      </w:r>
      <w:r>
        <w:noBreakHyphen/>
        <w:t>operatives</w:t>
      </w:r>
      <w:bookmarkEnd w:id="501"/>
      <w:bookmarkEnd w:id="502"/>
      <w:bookmarkEnd w:id="503"/>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any charges mentioned in subclause (1).</w:t>
      </w:r>
    </w:p>
    <w:p>
      <w:pPr>
        <w:pStyle w:val="yHeading5"/>
      </w:pPr>
      <w:bookmarkStart w:id="504" w:name="_Toc292197882"/>
      <w:bookmarkStart w:id="505" w:name="_Toc267388756"/>
      <w:bookmarkStart w:id="506" w:name="_Toc269387073"/>
      <w:r>
        <w:rPr>
          <w:rStyle w:val="CharSClsNo"/>
        </w:rPr>
        <w:t>17</w:t>
      </w:r>
      <w:r>
        <w:t>.</w:t>
      </w:r>
      <w:r>
        <w:tab/>
        <w:t>Calls on shares</w:t>
      </w:r>
      <w:bookmarkEnd w:id="504"/>
      <w:bookmarkEnd w:id="505"/>
      <w:bookmarkEnd w:id="506"/>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date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not more than 8% per annum or another rate fixed by the co</w:t>
      </w:r>
      <w:r>
        <w:noBreakHyphen/>
        <w:t>operative by special resolution.</w:t>
      </w:r>
    </w:p>
    <w:p>
      <w:pPr>
        <w:pStyle w:val="yHeading5"/>
      </w:pPr>
      <w:bookmarkStart w:id="507" w:name="_Toc292197883"/>
      <w:bookmarkStart w:id="508" w:name="_Toc267388757"/>
      <w:bookmarkStart w:id="509" w:name="_Toc269387074"/>
      <w:r>
        <w:rPr>
          <w:rStyle w:val="CharSClsNo"/>
        </w:rPr>
        <w:t>18</w:t>
      </w:r>
      <w:r>
        <w:t>.</w:t>
      </w:r>
      <w:r>
        <w:tab/>
        <w:t>Sale of members’ shares</w:t>
      </w:r>
      <w:bookmarkEnd w:id="507"/>
      <w:bookmarkEnd w:id="508"/>
      <w:bookmarkEnd w:id="509"/>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510" w:name="_Toc292197884"/>
      <w:bookmarkStart w:id="511" w:name="_Toc267388758"/>
      <w:bookmarkStart w:id="512" w:name="_Toc269387075"/>
      <w:r>
        <w:rPr>
          <w:rStyle w:val="CharSClsNo"/>
        </w:rPr>
        <w:t>19</w:t>
      </w:r>
      <w:r>
        <w:t>.</w:t>
      </w:r>
      <w:r>
        <w:tab/>
        <w:t>Transfer and transmission of shares</w:t>
      </w:r>
      <w:bookmarkEnd w:id="510"/>
      <w:bookmarkEnd w:id="511"/>
      <w:bookmarkEnd w:id="512"/>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The transferor is taken to remain the holder of the share until the name of the transferee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transferor) of ………………………………… in the State </w:t>
      </w:r>
    </w:p>
    <w:p>
      <w:pPr>
        <w:pStyle w:val="yMiscellaneousBody"/>
        <w:ind w:left="879"/>
      </w:pPr>
      <w:r>
        <w:t xml:space="preserve">of ………………………. in consideration of the sum of $ …….. paid </w:t>
      </w:r>
    </w:p>
    <w:p>
      <w:pPr>
        <w:pStyle w:val="yMiscellaneousBody"/>
        <w:ind w:left="879"/>
      </w:pPr>
      <w:r>
        <w:t xml:space="preserve">to me by C.D. (the transferee), of …………………………………….. </w:t>
      </w:r>
    </w:p>
    <w:p>
      <w:pPr>
        <w:pStyle w:val="yMiscellaneousBody"/>
        <w:ind w:left="879"/>
      </w:pPr>
      <w:r>
        <w:t xml:space="preserve">in the State of …………………………... transfer to the transferee the </w:t>
      </w:r>
    </w:p>
    <w:p>
      <w:pPr>
        <w:pStyle w:val="yMiscellaneousBody"/>
        <w:ind w:left="879"/>
        <w:jc w:val="right"/>
      </w:pPr>
      <w:r>
        <w:t>share (or shares) numbered ………. in the …………………………… (name of co</w:t>
      </w:r>
      <w:r>
        <w:noBreakHyphen/>
        <w:t>operative)</w:t>
      </w:r>
    </w:p>
    <w:p>
      <w:pPr>
        <w:pStyle w:val="yMiscellaneousBody"/>
        <w:ind w:left="879"/>
      </w:pPr>
      <w:r>
        <w:t>to hold for the transferee, the transferee’s executors, administrators, and assigns, subject to the several conditions on which I hold the same at the time of the execution.</w:t>
      </w:r>
    </w:p>
    <w:p>
      <w:pPr>
        <w:pStyle w:val="yMiscellaneousBody"/>
        <w:ind w:left="879"/>
      </w:pPr>
      <w:r>
        <w:t>And I, the transferee, agree to take the said share (or shares) subject to the conditions previously mentioned in this document.</w:t>
      </w:r>
    </w:p>
    <w:p>
      <w:pPr>
        <w:pStyle w:val="yMiscellaneousBody"/>
        <w:ind w:left="879"/>
      </w:pPr>
      <w:r>
        <w:t>Dated this ………….. day of ………………………….. 20 …………</w:t>
      </w:r>
    </w:p>
    <w:p>
      <w:pPr>
        <w:pStyle w:val="yMiscellaneousBody"/>
        <w:ind w:left="879"/>
      </w:pPr>
      <w:r>
        <w:t>Signed by …………………………………………………. transferor.</w:t>
      </w:r>
    </w:p>
    <w:p>
      <w:pPr>
        <w:pStyle w:val="yMiscellaneousBody"/>
        <w:ind w:left="879"/>
      </w:pPr>
      <w:r>
        <w:t>In the presence of …………………………………………… witness.</w:t>
      </w:r>
    </w:p>
    <w:p>
      <w:pPr>
        <w:pStyle w:val="yMiscellaneousBody"/>
        <w:ind w:left="879"/>
      </w:pPr>
      <w:r>
        <w:t>Signed by ………………………………………………… transferee.</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operative has a lien or charge. If the board refuses to register a transfer of shares it must send notice of the refusal to the transferee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the instrument of transfer is accompanied by any evidence the board may require to show the right of the transferor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Heading5"/>
      </w:pPr>
      <w:bookmarkStart w:id="513" w:name="_Toc292197885"/>
      <w:bookmarkStart w:id="514" w:name="_Toc267388759"/>
      <w:bookmarkStart w:id="515" w:name="_Toc269387076"/>
      <w:r>
        <w:rPr>
          <w:rStyle w:val="CharSClsNo"/>
        </w:rPr>
        <w:t>20</w:t>
      </w:r>
      <w:r>
        <w:t>.</w:t>
      </w:r>
      <w:r>
        <w:tab/>
        <w:t>Effect of sale, transfer or disposal of shares</w:t>
      </w:r>
      <w:bookmarkEnd w:id="513"/>
      <w:bookmarkEnd w:id="514"/>
      <w:bookmarkEnd w:id="515"/>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516" w:name="_Toc292197886"/>
      <w:bookmarkStart w:id="517" w:name="_Toc267388760"/>
      <w:bookmarkStart w:id="518" w:name="_Toc269387077"/>
      <w:r>
        <w:rPr>
          <w:rStyle w:val="CharSClsNo"/>
        </w:rPr>
        <w:t>21</w:t>
      </w:r>
      <w:r>
        <w:t>.</w:t>
      </w:r>
      <w:r>
        <w:tab/>
        <w:t>Forfeiture and cancellations — inactive members</w:t>
      </w:r>
      <w:bookmarkEnd w:id="516"/>
      <w:bookmarkEnd w:id="517"/>
      <w:bookmarkEnd w:id="518"/>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section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 xml:space="preserve">operative must keep a register of cancelled memberships under subclause (1), that must include the particulars in the </w:t>
      </w:r>
      <w:r>
        <w:rPr>
          <w:i/>
          <w:iCs/>
        </w:rPr>
        <w:t>Co</w:t>
      </w:r>
      <w:r>
        <w:rPr>
          <w:i/>
          <w:iCs/>
        </w:rPr>
        <w:noBreakHyphen/>
        <w:t>operatives Regulations 2010</w:t>
      </w:r>
      <w:r>
        <w:t>, Schedule 4 clause 5.</w:t>
      </w:r>
    </w:p>
    <w:p>
      <w:pPr>
        <w:pStyle w:val="yHeading5"/>
      </w:pPr>
      <w:bookmarkStart w:id="519" w:name="_Toc292197887"/>
      <w:bookmarkStart w:id="520" w:name="_Toc267388761"/>
      <w:bookmarkStart w:id="521" w:name="_Toc269387078"/>
      <w:r>
        <w:rPr>
          <w:rStyle w:val="CharSClsNo"/>
        </w:rPr>
        <w:t>22</w:t>
      </w:r>
      <w:r>
        <w:t>.</w:t>
      </w:r>
      <w:r>
        <w:tab/>
        <w:t>Forfeiture of shares</w:t>
      </w:r>
      <w:bookmarkEnd w:id="519"/>
      <w:bookmarkEnd w:id="520"/>
      <w:bookmarkEnd w:id="521"/>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Heading5"/>
      </w:pPr>
      <w:bookmarkStart w:id="522" w:name="_Toc292197888"/>
      <w:bookmarkStart w:id="523" w:name="_Toc267388762"/>
      <w:bookmarkStart w:id="524" w:name="_Toc269387079"/>
      <w:r>
        <w:rPr>
          <w:rStyle w:val="CharSClsNo"/>
        </w:rPr>
        <w:t>23</w:t>
      </w:r>
      <w:r>
        <w:t>.</w:t>
      </w:r>
      <w:r>
        <w:tab/>
        <w:t>Forfeited shares</w:t>
      </w:r>
      <w:bookmarkEnd w:id="522"/>
      <w:bookmarkEnd w:id="523"/>
      <w:bookmarkEnd w:id="524"/>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operative for the shares.</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525" w:name="_Toc292197889"/>
      <w:bookmarkStart w:id="526" w:name="_Toc267388763"/>
      <w:bookmarkStart w:id="527" w:name="_Toc269387080"/>
      <w:r>
        <w:rPr>
          <w:rStyle w:val="CharSClsNo"/>
        </w:rPr>
        <w:t>24</w:t>
      </w:r>
      <w:r>
        <w:t>.</w:t>
      </w:r>
      <w:r>
        <w:tab/>
        <w:t>Forfeiture for non</w:t>
      </w:r>
      <w:r>
        <w:noBreakHyphen/>
        <w:t>payment of subscription</w:t>
      </w:r>
      <w:bookmarkEnd w:id="525"/>
      <w:bookmarkEnd w:id="526"/>
      <w:bookmarkEnd w:id="527"/>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to be decided by the board, but within one year from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528" w:name="_Toc292197890"/>
      <w:bookmarkStart w:id="529" w:name="_Toc267388764"/>
      <w:bookmarkStart w:id="530" w:name="_Toc269387081"/>
      <w:r>
        <w:rPr>
          <w:rStyle w:val="CharSClsNo"/>
        </w:rPr>
        <w:t>25</w:t>
      </w:r>
      <w:r>
        <w:t>.</w:t>
      </w:r>
      <w:r>
        <w:tab/>
        <w:t>Death of member</w:t>
      </w:r>
      <w:bookmarkEnd w:id="528"/>
      <w:bookmarkEnd w:id="529"/>
      <w:bookmarkEnd w:id="530"/>
    </w:p>
    <w:p>
      <w:pPr>
        <w:pStyle w:val="ySubsection"/>
      </w:pPr>
      <w:r>
        <w:tab/>
        <w:t>(1)</w:t>
      </w:r>
      <w:r>
        <w:tab/>
        <w:t>Subject to section 159 of the Act the board must transfer the deceased member’s share or interest in the co</w:t>
      </w:r>
      <w:r>
        <w:noBreakHyphen/>
        <w:t xml:space="preserve">operative to — </w:t>
      </w:r>
    </w:p>
    <w:p>
      <w:pPr>
        <w:pStyle w:val="yIndenta"/>
      </w:pPr>
      <w:r>
        <w:tab/>
        <w:t>(a)</w:t>
      </w:r>
      <w:r>
        <w:tab/>
        <w:t>the personal representative of the deceased, that is, an executor or administrator of the estate of a deceased member;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a share or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and</w:t>
      </w:r>
    </w:p>
    <w:p>
      <w:pPr>
        <w:pStyle w:val="yIndenta"/>
      </w:pPr>
      <w:r>
        <w:tab/>
        <w:t>(b)</w:t>
      </w:r>
      <w:r>
        <w:tab/>
        <w:t>the proposed transferee is qualified to be a member of the co</w:t>
      </w:r>
      <w:r>
        <w:noBreakHyphen/>
        <w:t>operative under these rules [s. 75(b) and 159]; and</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letters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531" w:name="_Toc292197891"/>
      <w:bookmarkStart w:id="532" w:name="_Toc267388765"/>
      <w:bookmarkStart w:id="533" w:name="_Toc269387082"/>
      <w:r>
        <w:rPr>
          <w:rStyle w:val="CharSClsNo"/>
        </w:rPr>
        <w:t>26</w:t>
      </w:r>
      <w:r>
        <w:t>.</w:t>
      </w:r>
      <w:r>
        <w:tab/>
        <w:t>Dealings of members with co</w:t>
      </w:r>
      <w:r>
        <w:noBreakHyphen/>
        <w:t>operatives</w:t>
      </w:r>
      <w:bookmarkEnd w:id="531"/>
      <w:bookmarkEnd w:id="532"/>
      <w:bookmarkEnd w:id="533"/>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may be enforced under that section and clause 27.</w:t>
      </w:r>
    </w:p>
    <w:p>
      <w:pPr>
        <w:pStyle w:val="yHeading5"/>
      </w:pPr>
      <w:bookmarkStart w:id="534" w:name="_Toc292197892"/>
      <w:bookmarkStart w:id="535" w:name="_Toc267388766"/>
      <w:bookmarkStart w:id="536" w:name="_Toc269387083"/>
      <w:r>
        <w:rPr>
          <w:rStyle w:val="CharSClsNo"/>
        </w:rPr>
        <w:t>27</w:t>
      </w:r>
      <w:r>
        <w:t>.</w:t>
      </w:r>
      <w:r>
        <w:tab/>
        <w:t>Charges on shares</w:t>
      </w:r>
      <w:bookmarkEnd w:id="534"/>
      <w:bookmarkEnd w:id="535"/>
      <w:bookmarkEnd w:id="536"/>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w:t>
      </w:r>
      <w:r>
        <w:noBreakHyphen/>
        <w:t>off any amount paid on account of that share or otherwise or an amount credited or payable to the member or past member in or towards payment of the debt.</w:t>
      </w:r>
    </w:p>
    <w:p>
      <w:pPr>
        <w:pStyle w:val="ySubsection"/>
      </w:pPr>
      <w:r>
        <w:tab/>
        <w:t>(2)</w:t>
      </w:r>
      <w:r>
        <w:tab/>
        <w:t>The charge may be enforced at any time after 7 days notice to the member or past member, by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date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the sale the co</w:t>
      </w:r>
      <w:r>
        <w:noBreakHyphen/>
        <w:t>operative may deduct the expenses, if any, associated with the sale and may apply the balance to reduce the liability of the member. However, if a surplus remains after the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537" w:name="_Toc292197893"/>
      <w:bookmarkStart w:id="538" w:name="_Toc267388767"/>
      <w:bookmarkStart w:id="539" w:name="_Toc269387084"/>
      <w:r>
        <w:rPr>
          <w:rStyle w:val="CharSClsNo"/>
        </w:rPr>
        <w:t>28</w:t>
      </w:r>
      <w:r>
        <w:t>.</w:t>
      </w:r>
      <w:r>
        <w:tab/>
        <w:t>Registration of Official Trustee in Bankruptcy</w:t>
      </w:r>
      <w:bookmarkEnd w:id="537"/>
      <w:bookmarkEnd w:id="538"/>
      <w:bookmarkEnd w:id="539"/>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540" w:name="_Toc292197894"/>
      <w:bookmarkStart w:id="541" w:name="_Toc267388768"/>
      <w:bookmarkStart w:id="542" w:name="_Toc269387085"/>
      <w:r>
        <w:rPr>
          <w:rStyle w:val="CharSClsNo"/>
        </w:rPr>
        <w:t>29</w:t>
      </w:r>
      <w:r>
        <w:t>.</w:t>
      </w:r>
      <w:r>
        <w:tab/>
        <w:t>Registration as administrator of estate on incapacity of member</w:t>
      </w:r>
      <w:bookmarkEnd w:id="540"/>
      <w:bookmarkEnd w:id="541"/>
      <w:bookmarkEnd w:id="542"/>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543" w:name="_Toc292197895"/>
      <w:bookmarkStart w:id="544" w:name="_Toc267388769"/>
      <w:bookmarkStart w:id="545" w:name="_Toc269387086"/>
      <w:r>
        <w:rPr>
          <w:rStyle w:val="CharSClsNo"/>
        </w:rPr>
        <w:t>30</w:t>
      </w:r>
      <w:r>
        <w:t>.</w:t>
      </w:r>
      <w:r>
        <w:tab/>
        <w:t>Entitlements and liabilities of person registered as trustee, administrator etc.</w:t>
      </w:r>
      <w:bookmarkEnd w:id="543"/>
      <w:bookmarkEnd w:id="544"/>
      <w:bookmarkEnd w:id="545"/>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546" w:name="_Toc292197896"/>
      <w:bookmarkStart w:id="547" w:name="_Toc267388770"/>
      <w:bookmarkStart w:id="548" w:name="_Toc269387087"/>
      <w:r>
        <w:rPr>
          <w:rStyle w:val="CharSClsNo"/>
        </w:rPr>
        <w:t>31</w:t>
      </w:r>
      <w:r>
        <w:t>.</w:t>
      </w:r>
      <w:r>
        <w:tab/>
        <w:t>Transfer and transmission of debentures</w:t>
      </w:r>
      <w:bookmarkEnd w:id="546"/>
      <w:bookmarkEnd w:id="547"/>
      <w:bookmarkEnd w:id="548"/>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 transferee.</w:t>
      </w:r>
    </w:p>
    <w:p>
      <w:pPr>
        <w:pStyle w:val="ySubsection"/>
      </w:pPr>
      <w:r>
        <w:tab/>
        <w:t>(2)</w:t>
      </w:r>
      <w:r>
        <w:tab/>
        <w:t>If the co</w:t>
      </w:r>
      <w:r>
        <w:noBreakHyphen/>
        <w:t>operative refuses to register a transfer of debentures it must, within 28 days after the date on which the transfer was lodged with it, send to the transferee notice of the refusal.</w:t>
      </w:r>
    </w:p>
    <w:p>
      <w:pPr>
        <w:pStyle w:val="ySubsection"/>
      </w:pPr>
      <w:r>
        <w:tab/>
        <w:t>(3)</w:t>
      </w:r>
      <w:r>
        <w:tab/>
        <w:t>An instrument of transfer of a debenture must be executed by or on behalf of the transferor and the transferee. The transferor is taken to remain the holder of the debenture until the debenture in the name of the transferee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from time to time) is paid to the co</w:t>
      </w:r>
      <w:r>
        <w:noBreakHyphen/>
        <w:t>operative for the transfer of registration; and</w:t>
      </w:r>
    </w:p>
    <w:p>
      <w:pPr>
        <w:pStyle w:val="yIndenta"/>
      </w:pPr>
      <w:r>
        <w:tab/>
        <w:t>(b)</w:t>
      </w:r>
      <w:r>
        <w:tab/>
        <w:t>the instrument of transfer is accompanied by the relevant debenture(s) and any other evidence the board reasonably requires, in particular, evidence showing the right of the transferor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transferor) of ............................…………… in the State of </w:t>
      </w:r>
    </w:p>
    <w:p>
      <w:pPr>
        <w:pStyle w:val="yMiscellaneousBody"/>
        <w:ind w:left="879"/>
      </w:pPr>
      <w:r>
        <w:t xml:space="preserve">……………………………. in consideration of the sum of $ .….. paid </w:t>
      </w:r>
    </w:p>
    <w:p>
      <w:pPr>
        <w:pStyle w:val="yMiscellaneousBody"/>
        <w:ind w:left="879"/>
      </w:pPr>
      <w:r>
        <w:t>to me by C.D. (the transferee), of ............................…………………</w:t>
      </w:r>
    </w:p>
    <w:p>
      <w:pPr>
        <w:pStyle w:val="yMiscellaneousBody"/>
        <w:ind w:left="879"/>
      </w:pPr>
      <w:r>
        <w:t xml:space="preserve">in the State of ………………… transfer to the transferee the </w:t>
      </w:r>
    </w:p>
    <w:p>
      <w:pPr>
        <w:pStyle w:val="yMiscellaneousBody"/>
        <w:ind w:left="879"/>
      </w:pPr>
      <w:r>
        <w:t xml:space="preserve">debenture(s) numbered ...........................……… to be held by the </w:t>
      </w:r>
    </w:p>
    <w:p>
      <w:pPr>
        <w:pStyle w:val="yMiscellaneousBody"/>
        <w:ind w:left="879"/>
      </w:pPr>
      <w:r>
        <w:t xml:space="preserve">transferee, the transferee’s executors, administrators and assigns, </w:t>
      </w:r>
    </w:p>
    <w:p>
      <w:pPr>
        <w:pStyle w:val="yMiscellaneousBody"/>
        <w:ind w:left="879"/>
      </w:pPr>
      <w:r>
        <w:t xml:space="preserve">subject to any conditions on which I hold the debenture(s) and any </w:t>
      </w:r>
    </w:p>
    <w:p>
      <w:pPr>
        <w:pStyle w:val="yMiscellaneousBody"/>
        <w:ind w:left="879"/>
      </w:pPr>
      <w:r>
        <w:t>other conditions being terms of the transfer of the debenture(s).</w:t>
      </w:r>
    </w:p>
    <w:p>
      <w:pPr>
        <w:pStyle w:val="yMiscellaneousBody"/>
        <w:ind w:left="879"/>
      </w:pPr>
      <w:r>
        <w:t>And I, the transferee agree to take the debenture(s) subject to the</w:t>
      </w:r>
    </w:p>
    <w:p>
      <w:pPr>
        <w:pStyle w:val="yMiscellaneousBody"/>
        <w:ind w:left="879"/>
      </w:pPr>
      <w:r>
        <w:t>conditions mentioned.</w:t>
      </w:r>
    </w:p>
    <w:p>
      <w:pPr>
        <w:pStyle w:val="yMiscellaneousBody"/>
        <w:ind w:left="879"/>
      </w:pPr>
      <w:r>
        <w:t>Dated this ……………………….. day of ........................... 20 ………</w:t>
      </w:r>
    </w:p>
    <w:p>
      <w:pPr>
        <w:pStyle w:val="yMiscellaneousBody"/>
        <w:ind w:left="879"/>
      </w:pPr>
      <w:r>
        <w:t>Signed by ………………………………………………… transferor.</w:t>
      </w:r>
    </w:p>
    <w:p>
      <w:pPr>
        <w:pStyle w:val="yMiscellaneousBody"/>
        <w:ind w:left="879"/>
      </w:pPr>
      <w:r>
        <w:t>In the presence of …………………………………………… witness.</w:t>
      </w:r>
    </w:p>
    <w:p>
      <w:pPr>
        <w:pStyle w:val="yMiscellaneousBody"/>
        <w:ind w:left="879"/>
      </w:pPr>
      <w:r>
        <w:t>Signed by ………………………………………………. transferee.</w:t>
      </w:r>
    </w:p>
    <w:p>
      <w:pPr>
        <w:pStyle w:val="yMiscellaneousBody"/>
        <w:ind w:left="879"/>
      </w:pPr>
      <w:r>
        <w:t>In the presence of …………………………………………. witness.</w:t>
      </w:r>
    </w:p>
    <w:p>
      <w:pPr>
        <w:pStyle w:val="yHeading5"/>
      </w:pPr>
      <w:bookmarkStart w:id="549" w:name="_Toc292197897"/>
      <w:bookmarkStart w:id="550" w:name="_Toc267388771"/>
      <w:bookmarkStart w:id="551" w:name="_Toc269387088"/>
      <w:r>
        <w:rPr>
          <w:rStyle w:val="CharSClsNo"/>
        </w:rPr>
        <w:t>32</w:t>
      </w:r>
      <w:r>
        <w:t>.</w:t>
      </w:r>
      <w:r>
        <w:tab/>
        <w:t>Issue of CCUs</w:t>
      </w:r>
      <w:bookmarkEnd w:id="549"/>
      <w:bookmarkEnd w:id="550"/>
      <w:bookmarkEnd w:id="551"/>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NotesPerm"/>
        <w:ind w:left="1418" w:hanging="1418"/>
        <w:rPr>
          <w:i/>
          <w:iCs/>
        </w:rPr>
      </w:pPr>
      <w:r>
        <w:tab/>
        <w:t>Note:</w:t>
      </w:r>
      <w:r>
        <w:tab/>
        <w:t>Debenture holders receive notice of meetings of debenture holders not general meetings of the co</w:t>
      </w:r>
      <w:r>
        <w:noBreakHyphen/>
        <w:t>operative.</w:t>
      </w:r>
    </w:p>
    <w:p>
      <w:pPr>
        <w:pStyle w:val="yHeading5"/>
      </w:pPr>
      <w:bookmarkStart w:id="552" w:name="_Toc292197898"/>
      <w:bookmarkStart w:id="553" w:name="_Toc267388772"/>
      <w:bookmarkStart w:id="554" w:name="_Toc269387089"/>
      <w:r>
        <w:rPr>
          <w:rStyle w:val="CharSClsNo"/>
        </w:rPr>
        <w:t>33</w:t>
      </w:r>
      <w:r>
        <w:t>.</w:t>
      </w:r>
      <w:r>
        <w:tab/>
        <w:t>Transfer and transmission of CCUs</w:t>
      </w:r>
      <w:bookmarkEnd w:id="552"/>
      <w:bookmarkEnd w:id="553"/>
      <w:bookmarkEnd w:id="554"/>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555" w:name="_Toc292197899"/>
      <w:bookmarkStart w:id="556" w:name="_Toc267388773"/>
      <w:bookmarkStart w:id="557" w:name="_Toc269387090"/>
      <w:r>
        <w:rPr>
          <w:rStyle w:val="CharSClsNo"/>
        </w:rPr>
        <w:t>34</w:t>
      </w:r>
      <w:r>
        <w:t>.</w:t>
      </w:r>
      <w:r>
        <w:tab/>
        <w:t>Annual general meetings</w:t>
      </w:r>
      <w:bookmarkEnd w:id="555"/>
      <w:bookmarkEnd w:id="556"/>
      <w:bookmarkEnd w:id="557"/>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NotesPerm"/>
        <w:tabs>
          <w:tab w:val="clear" w:pos="879"/>
          <w:tab w:val="left" w:pos="851"/>
        </w:tabs>
        <w:ind w:left="1418" w:hanging="1418"/>
        <w:rPr>
          <w:i/>
          <w:iCs/>
        </w:rPr>
      </w:pPr>
      <w:r>
        <w:tab/>
        <w:t>Note:</w:t>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under subclause (1), the members may, under section 195 of the Act and clause 35 of these rules, requisition a special general meeting.</w:t>
      </w:r>
    </w:p>
    <w:p>
      <w:pPr>
        <w:pStyle w:val="yHeading5"/>
      </w:pPr>
      <w:bookmarkStart w:id="558" w:name="_Toc292197900"/>
      <w:bookmarkStart w:id="559" w:name="_Toc267388774"/>
      <w:bookmarkStart w:id="560" w:name="_Toc269387091"/>
      <w:r>
        <w:rPr>
          <w:rStyle w:val="CharSClsNo"/>
        </w:rPr>
        <w:t>35</w:t>
      </w:r>
      <w:r>
        <w:t>.</w:t>
      </w:r>
      <w:r>
        <w:tab/>
        <w:t>Special general meetings</w:t>
      </w:r>
      <w:bookmarkEnd w:id="558"/>
      <w:bookmarkEnd w:id="559"/>
      <w:bookmarkEnd w:id="560"/>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561" w:name="_Toc292197901"/>
      <w:bookmarkStart w:id="562" w:name="_Toc267388775"/>
      <w:bookmarkStart w:id="563" w:name="_Toc269387092"/>
      <w:r>
        <w:rPr>
          <w:rStyle w:val="CharSClsNo"/>
        </w:rPr>
        <w:t>36</w:t>
      </w:r>
      <w:r>
        <w:t>.</w:t>
      </w:r>
      <w:r>
        <w:tab/>
        <w:t>Notice of general meetings</w:t>
      </w:r>
      <w:bookmarkEnd w:id="561"/>
      <w:bookmarkEnd w:id="562"/>
      <w:bookmarkEnd w:id="563"/>
    </w:p>
    <w:p>
      <w:pPr>
        <w:pStyle w:val="ySubsection"/>
      </w:pPr>
      <w:r>
        <w:tab/>
        <w:t>(1)</w:t>
      </w:r>
      <w:r>
        <w:tab/>
        <w:t xml:space="preserve">Subject to clause 37, at least 14 days notice (not including the day on which the notice is served or taken to be served, but including the day for which notice is given) must be given to every member of a general meeting, in the way stipulated in clause 74. </w:t>
      </w:r>
    </w:p>
    <w:p>
      <w:pPr>
        <w:pStyle w:val="ySubsection"/>
      </w:pPr>
      <w:r>
        <w:tab/>
        <w:t>(2)</w:t>
      </w:r>
      <w:r>
        <w:tab/>
        <w:t>Notice must be given to the persons who are, under these rules, entitled to receive notices from the co</w:t>
      </w:r>
      <w:r>
        <w:noBreakHyphen/>
        <w:t>operative, but the non</w:t>
      </w:r>
      <w:r>
        <w:noBreakHyphen/>
        <w:t xml:space="preserve">receipt of the notice does not invalidate the proceedings at the general meeting. </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Heading5"/>
      </w:pPr>
      <w:bookmarkStart w:id="564" w:name="_Toc292197902"/>
      <w:bookmarkStart w:id="565" w:name="_Toc267388776"/>
      <w:bookmarkStart w:id="566" w:name="_Toc269387093"/>
      <w:r>
        <w:rPr>
          <w:rStyle w:val="CharSClsNo"/>
        </w:rPr>
        <w:t>37</w:t>
      </w:r>
      <w:r>
        <w:t>.</w:t>
      </w:r>
      <w:r>
        <w:tab/>
        <w:t>Notice of general meetings (small co</w:t>
      </w:r>
      <w:r>
        <w:noBreakHyphen/>
        <w:t>operatives)</w:t>
      </w:r>
      <w:bookmarkEnd w:id="564"/>
      <w:bookmarkEnd w:id="565"/>
      <w:bookmarkEnd w:id="566"/>
    </w:p>
    <w:p>
      <w:pPr>
        <w:pStyle w:val="ySubsection"/>
      </w:pPr>
      <w:r>
        <w:tab/>
        <w:t>(1)</w:t>
      </w:r>
      <w:r>
        <w:tab/>
        <w:t>If the co</w:t>
      </w:r>
      <w:r>
        <w:noBreakHyphen/>
        <w:t>operative is a small co</w:t>
      </w:r>
      <w:r>
        <w:noBreakHyphen/>
        <w:t>operative, at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the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Subject to subclause (5), the notice must include — </w:t>
      </w:r>
    </w:p>
    <w:p>
      <w:pPr>
        <w:pStyle w:val="yIndenta"/>
      </w:pPr>
      <w:r>
        <w:tab/>
        <w:t>(a)</w:t>
      </w:r>
      <w:r>
        <w:tab/>
        <w:t xml:space="preserve"> a copy of the financial report (unaudited for the last financial year); and</w:t>
      </w:r>
    </w:p>
    <w:p>
      <w:pPr>
        <w:pStyle w:val="yIndenta"/>
      </w:pPr>
      <w:r>
        <w:tab/>
        <w:t>(b)</w:t>
      </w:r>
      <w:r>
        <w:tab/>
        <w:t>a directors’ solvency resolution as to whether or not, in their opinion, there are reasonable grounds to believe that the co</w:t>
      </w:r>
      <w:r>
        <w:noBreakHyphen/>
        <w:t>operative will be able to pay its debts as and when they become due and payable.</w:t>
      </w:r>
    </w:p>
    <w:p>
      <w:pPr>
        <w:pStyle w:val="ySubsection"/>
      </w:pPr>
      <w:r>
        <w:tab/>
        <w:t>(5)</w:t>
      </w:r>
      <w:r>
        <w:tab/>
        <w:t>The copies of the financial report are not required to form a part of the notice if the co</w:t>
      </w:r>
      <w:r>
        <w:noBreakHyphen/>
        <w:t>operative has been directed under section 293 or 294 of the Corporations Act to audit its financial statements. [s. 225]</w:t>
      </w:r>
    </w:p>
    <w:p>
      <w:pPr>
        <w:pStyle w:val="yHeading5"/>
      </w:pPr>
      <w:bookmarkStart w:id="567" w:name="_Toc292197903"/>
      <w:bookmarkStart w:id="568" w:name="_Toc267388777"/>
      <w:bookmarkStart w:id="569" w:name="_Toc269387094"/>
      <w:r>
        <w:rPr>
          <w:rStyle w:val="CharSClsNo"/>
        </w:rPr>
        <w:t>38</w:t>
      </w:r>
      <w:r>
        <w:t>.</w:t>
      </w:r>
      <w:r>
        <w:tab/>
        <w:t>Business of general meetings</w:t>
      </w:r>
      <w:bookmarkEnd w:id="567"/>
      <w:bookmarkEnd w:id="568"/>
      <w:bookmarkEnd w:id="569"/>
    </w:p>
    <w:p>
      <w:pPr>
        <w:pStyle w:val="ySubsection"/>
      </w:pPr>
      <w:r>
        <w:tab/>
        <w:t>(1)</w:t>
      </w:r>
      <w:r>
        <w:tab/>
        <w:t xml:space="preserve">The ordinary business of the annual general meeting must be — </w:t>
      </w:r>
    </w:p>
    <w:p>
      <w:pPr>
        <w:pStyle w:val="yIndenta"/>
      </w:pPr>
      <w:r>
        <w:tab/>
        <w:t>(a)</w:t>
      </w:r>
      <w:r>
        <w:tab/>
        <w:t>to confirm minutes of the last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570" w:name="_Toc292197904"/>
      <w:bookmarkStart w:id="571" w:name="_Toc267388778"/>
      <w:bookmarkStart w:id="572" w:name="_Toc269387095"/>
      <w:r>
        <w:rPr>
          <w:rStyle w:val="CharSClsNo"/>
        </w:rPr>
        <w:t>39</w:t>
      </w:r>
      <w:r>
        <w:t>.</w:t>
      </w:r>
      <w:r>
        <w:tab/>
        <w:t>Quorum at general meetings</w:t>
      </w:r>
      <w:bookmarkEnd w:id="570"/>
      <w:bookmarkEnd w:id="571"/>
      <w:bookmarkEnd w:id="572"/>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573" w:name="_Toc292197905"/>
      <w:bookmarkStart w:id="574" w:name="_Toc267388779"/>
      <w:bookmarkStart w:id="575" w:name="_Toc269387096"/>
      <w:r>
        <w:rPr>
          <w:rStyle w:val="CharSClsNo"/>
        </w:rPr>
        <w:t>40</w:t>
      </w:r>
      <w:r>
        <w:t>.</w:t>
      </w:r>
      <w:r>
        <w:tab/>
        <w:t>Chairperson at general meetings</w:t>
      </w:r>
      <w:bookmarkEnd w:id="573"/>
      <w:bookmarkEnd w:id="574"/>
      <w:bookmarkEnd w:id="575"/>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of the business to be transacted at an adjourned meeting.</w:t>
      </w:r>
    </w:p>
    <w:p>
      <w:pPr>
        <w:pStyle w:val="yHeading5"/>
      </w:pPr>
      <w:bookmarkStart w:id="576" w:name="_Toc292197906"/>
      <w:bookmarkStart w:id="577" w:name="_Toc267388780"/>
      <w:bookmarkStart w:id="578" w:name="_Toc269387097"/>
      <w:r>
        <w:rPr>
          <w:rStyle w:val="CharSClsNo"/>
        </w:rPr>
        <w:t>41</w:t>
      </w:r>
      <w:r>
        <w:t>.</w:t>
      </w:r>
      <w:r>
        <w:tab/>
        <w:t>Attendance and voting at general meetings</w:t>
      </w:r>
      <w:bookmarkEnd w:id="576"/>
      <w:bookmarkEnd w:id="577"/>
      <w:bookmarkEnd w:id="578"/>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NotesPerm"/>
        <w:tabs>
          <w:tab w:val="clear" w:pos="879"/>
          <w:tab w:val="left" w:pos="851"/>
        </w:tabs>
        <w:ind w:left="1418" w:hanging="1418"/>
        <w:rPr>
          <w:i/>
          <w:iCs/>
        </w:rPr>
      </w:pPr>
      <w:r>
        <w:tab/>
        <w:t>Note:</w:t>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579" w:name="_Toc292197907"/>
      <w:bookmarkStart w:id="580" w:name="_Toc267388781"/>
      <w:bookmarkStart w:id="581" w:name="_Toc269387098"/>
      <w:r>
        <w:rPr>
          <w:rStyle w:val="CharSClsNo"/>
        </w:rPr>
        <w:t>42</w:t>
      </w:r>
      <w:r>
        <w:t>.</w:t>
      </w:r>
      <w:r>
        <w:tab/>
        <w:t>Voting on a show of hands</w:t>
      </w:r>
      <w:bookmarkEnd w:id="579"/>
      <w:bookmarkEnd w:id="580"/>
      <w:bookmarkEnd w:id="581"/>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NotesPerm"/>
        <w:tabs>
          <w:tab w:val="clear" w:pos="879"/>
          <w:tab w:val="left" w:pos="851"/>
        </w:tabs>
        <w:ind w:left="1418" w:hanging="1418"/>
        <w:rPr>
          <w:i/>
          <w:iCs/>
        </w:rPr>
      </w:pPr>
      <w:r>
        <w:tab/>
        <w:t>Note:</w:t>
      </w:r>
      <w:r>
        <w:tab/>
        <w:t>If the rules do not allow for non</w:t>
      </w:r>
      <w:r>
        <w:noBreakHyphen/>
        <w:t>members to be appointed as proxies, paragraph </w:t>
      </w:r>
      <w:r>
        <w:rPr>
          <w:u w:val="single"/>
        </w:rPr>
        <w:t>(d)</w:t>
      </w:r>
      <w:r>
        <w:t xml:space="preserve"> should be omitted.</w:t>
      </w:r>
    </w:p>
    <w:p>
      <w:pPr>
        <w:pStyle w:val="yHeading5"/>
        <w:rPr>
          <w:rStyle w:val="CharSClsNo"/>
        </w:rPr>
      </w:pPr>
      <w:bookmarkStart w:id="582" w:name="_Toc292197908"/>
      <w:bookmarkStart w:id="583" w:name="_Toc267388782"/>
      <w:bookmarkStart w:id="584" w:name="_Toc269387099"/>
      <w:r>
        <w:rPr>
          <w:rStyle w:val="CharSClsNo"/>
        </w:rPr>
        <w:t>43.</w:t>
      </w:r>
      <w:r>
        <w:rPr>
          <w:rStyle w:val="CharSClsNo"/>
        </w:rPr>
        <w:tab/>
        <w:t>Voting on a poll</w:t>
      </w:r>
      <w:bookmarkEnd w:id="582"/>
      <w:bookmarkEnd w:id="583"/>
      <w:bookmarkEnd w:id="584"/>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585" w:name="_Toc292197909"/>
      <w:bookmarkStart w:id="586" w:name="_Toc267388783"/>
      <w:bookmarkStart w:id="587" w:name="_Toc269387100"/>
      <w:r>
        <w:rPr>
          <w:rStyle w:val="CharSClsNo"/>
        </w:rPr>
        <w:t>44.</w:t>
      </w:r>
      <w:r>
        <w:rPr>
          <w:rStyle w:val="CharSClsNo"/>
        </w:rPr>
        <w:tab/>
        <w:t>Determining the outcome where equality of votes</w:t>
      </w:r>
      <w:bookmarkEnd w:id="585"/>
      <w:bookmarkEnd w:id="586"/>
      <w:bookmarkEnd w:id="587"/>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588" w:name="_Toc292197910"/>
      <w:bookmarkStart w:id="589" w:name="_Toc267388784"/>
      <w:bookmarkStart w:id="590" w:name="_Toc269387101"/>
      <w:r>
        <w:rPr>
          <w:rStyle w:val="CharSClsNo"/>
        </w:rPr>
        <w:t>45</w:t>
      </w:r>
      <w:r>
        <w:t>.</w:t>
      </w:r>
      <w:r>
        <w:tab/>
        <w:t>Proxy votes</w:t>
      </w:r>
      <w:bookmarkEnd w:id="588"/>
      <w:bookmarkEnd w:id="589"/>
      <w:bookmarkEnd w:id="590"/>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NotesPerm"/>
        <w:tabs>
          <w:tab w:val="clear" w:pos="879"/>
          <w:tab w:val="left" w:pos="851"/>
        </w:tabs>
        <w:ind w:left="1418" w:hanging="1418"/>
        <w:rPr>
          <w:i/>
          <w:iCs/>
        </w:rPr>
      </w:pPr>
      <w:r>
        <w:tab/>
        <w:t>**Note: The rules may impose a limit on the number of members for whom a proxy may act.</w:t>
      </w:r>
    </w:p>
    <w:p>
      <w:pPr>
        <w:pStyle w:val="ySubsection"/>
      </w:pPr>
      <w:r>
        <w:tab/>
        <w:t>(6)</w:t>
      </w:r>
      <w:r>
        <w:tab/>
        <w:t xml:space="preserve">An instrument appointing a proxy may be in the following form or any 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 xml:space="preserve">operative, to be held on the ..........................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NotesPerm"/>
        <w:tabs>
          <w:tab w:val="clear" w:pos="879"/>
          <w:tab w:val="left" w:pos="851"/>
          <w:tab w:val="left" w:pos="1418"/>
        </w:tabs>
        <w:ind w:left="1560" w:hanging="1560"/>
      </w:pPr>
      <w:r>
        <w:tab/>
        <w:t>***Note: 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under the terms of an instrument of proxy or of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591" w:name="_Toc292197911"/>
      <w:bookmarkStart w:id="592" w:name="_Toc267388785"/>
      <w:bookmarkStart w:id="593" w:name="_Toc269387102"/>
      <w:r>
        <w:rPr>
          <w:rStyle w:val="CharSClsNo"/>
        </w:rPr>
        <w:t>46</w:t>
      </w:r>
      <w:r>
        <w:t>.</w:t>
      </w:r>
      <w:r>
        <w:tab/>
        <w:t>Postal ballots</w:t>
      </w:r>
      <w:bookmarkEnd w:id="591"/>
      <w:bookmarkEnd w:id="592"/>
      <w:bookmarkEnd w:id="593"/>
    </w:p>
    <w:p>
      <w:pPr>
        <w:pStyle w:val="ySubsection"/>
      </w:pPr>
      <w:r>
        <w:tab/>
        <w:t>(1)</w:t>
      </w:r>
      <w:r>
        <w:tab/>
        <w:t>A postal ballot or special postal ballot must be held when required by the Act, these rules or when the members by ordinary resolution approve one.*</w:t>
      </w:r>
    </w:p>
    <w:p>
      <w:pPr>
        <w:pStyle w:val="NotesPerm"/>
        <w:tabs>
          <w:tab w:val="clear" w:pos="879"/>
          <w:tab w:val="left" w:pos="851"/>
        </w:tabs>
        <w:ind w:left="1418" w:hanging="1418"/>
      </w:pPr>
      <w:r>
        <w:tab/>
        <w:t>*Notes:</w:t>
      </w:r>
    </w:p>
    <w:p>
      <w:pPr>
        <w:pStyle w:val="NotesPerm"/>
        <w:ind w:left="1418" w:hanging="1276"/>
      </w:pPr>
      <w:r>
        <w:tab/>
        <w:t>1.</w:t>
      </w:r>
      <w:r>
        <w:tab/>
        <w:t>Section 187 of the Act lists a number of matters for which a special postal ballot must be conducted.</w:t>
      </w:r>
    </w:p>
    <w:p>
      <w:pPr>
        <w:pStyle w:val="NotesPerm"/>
        <w:ind w:left="1418" w:hanging="1418"/>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NotesPerm"/>
        <w:tabs>
          <w:tab w:val="clear" w:pos="879"/>
          <w:tab w:val="left" w:pos="851"/>
        </w:tabs>
        <w:ind w:left="1418" w:hanging="1418"/>
      </w:pPr>
      <w:r>
        <w:tab/>
        <w:t>3.</w:t>
      </w:r>
      <w:r>
        <w:tab/>
        <w:t>Members proposing to give the board a written requisition should familiarise themselves with the requirements in section 188(2).</w:t>
      </w:r>
    </w:p>
    <w:p>
      <w:pPr>
        <w:pStyle w:val="ySubsection"/>
      </w:pPr>
      <w:r>
        <w:tab/>
        <w:t>(2)</w:t>
      </w:r>
      <w:r>
        <w:tab/>
        <w:t>Subject to sections 185 and 186 of the Act and this clause, a postal ballot or special postal ballot is to be conducted using such method, in such form and returnable in such manner, as the board decides.</w:t>
      </w:r>
    </w:p>
    <w:p>
      <w:pPr>
        <w:pStyle w:val="ySubsection"/>
      </w:pPr>
      <w:r>
        <w:tab/>
        <w:t>(3)</w:t>
      </w:r>
      <w:r>
        <w:tab/>
        <w:t>A postal ballot or special postal ballot may incorporate one or more methods of electronic voting.</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NotesPerm"/>
        <w:tabs>
          <w:tab w:val="clear" w:pos="879"/>
          <w:tab w:val="left" w:pos="851"/>
        </w:tabs>
        <w:ind w:left="1418" w:hanging="1418"/>
      </w:pPr>
      <w:r>
        <w:tab/>
        <w:t>*Note:</w:t>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Heading5"/>
      </w:pPr>
      <w:bookmarkStart w:id="594" w:name="_Toc292197912"/>
      <w:bookmarkStart w:id="595" w:name="_Toc267388786"/>
      <w:bookmarkStart w:id="596" w:name="_Toc269387103"/>
      <w:r>
        <w:rPr>
          <w:rStyle w:val="CharSClsNo"/>
        </w:rPr>
        <w:t>47</w:t>
      </w:r>
      <w:r>
        <w:t>.</w:t>
      </w:r>
      <w:r>
        <w:tab/>
        <w:t>Special and ordinary resolutions</w:t>
      </w:r>
      <w:bookmarkEnd w:id="594"/>
      <w:bookmarkEnd w:id="595"/>
      <w:bookmarkEnd w:id="596"/>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597" w:name="_Toc292197913"/>
      <w:bookmarkStart w:id="598" w:name="_Toc267388787"/>
      <w:bookmarkStart w:id="599" w:name="_Toc269387104"/>
      <w:r>
        <w:rPr>
          <w:rStyle w:val="CharSClsNo"/>
        </w:rPr>
        <w:t>48</w:t>
      </w:r>
      <w:r>
        <w:t>.</w:t>
      </w:r>
      <w:r>
        <w:tab/>
        <w:t>Board of directors</w:t>
      </w:r>
      <w:bookmarkEnd w:id="597"/>
      <w:bookmarkEnd w:id="598"/>
      <w:bookmarkEnd w:id="599"/>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The board must have ....… member directors each of whom must be an individual, whether as a member of the co</w:t>
      </w:r>
      <w:r>
        <w:noBreakHyphen/>
        <w:t>operative, or as a representative of a corporation member, and at least 18 years old.*</w:t>
      </w:r>
    </w:p>
    <w:p>
      <w:pPr>
        <w:pStyle w:val="NotesPerm"/>
        <w:tabs>
          <w:tab w:val="clear" w:pos="879"/>
          <w:tab w:val="left" w:pos="851"/>
        </w:tabs>
        <w:ind w:left="1418" w:hanging="1418"/>
      </w:pPr>
      <w:r>
        <w:tab/>
        <w:t>*Note:</w:t>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Heading5"/>
      </w:pPr>
      <w:bookmarkStart w:id="600" w:name="_Toc292197914"/>
      <w:bookmarkStart w:id="601" w:name="_Toc267388788"/>
      <w:bookmarkStart w:id="602" w:name="_Toc269387105"/>
      <w:r>
        <w:rPr>
          <w:rStyle w:val="CharSClsNo"/>
        </w:rPr>
        <w:t>49</w:t>
      </w:r>
      <w:r>
        <w:t>.</w:t>
      </w:r>
      <w:r>
        <w:tab/>
        <w:t>Qualifications of directors</w:t>
      </w:r>
      <w:bookmarkEnd w:id="600"/>
      <w:bookmarkEnd w:id="601"/>
      <w:bookmarkEnd w:id="602"/>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603" w:name="_Toc292197915"/>
      <w:bookmarkStart w:id="604" w:name="_Toc267388789"/>
      <w:bookmarkStart w:id="605" w:name="_Toc269387106"/>
      <w:r>
        <w:rPr>
          <w:rStyle w:val="CharSClsNo"/>
        </w:rPr>
        <w:t>50</w:t>
      </w:r>
      <w:r>
        <w:t>.</w:t>
      </w:r>
      <w:r>
        <w:tab/>
        <w:t>Independent directors</w:t>
      </w:r>
      <w:bookmarkEnd w:id="603"/>
      <w:bookmarkEnd w:id="604"/>
      <w:bookmarkEnd w:id="605"/>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director of the co</w:t>
      </w:r>
      <w:r>
        <w:noBreakHyphen/>
        <w:t>operative for the term of the appointment.</w:t>
      </w:r>
    </w:p>
    <w:p>
      <w:pPr>
        <w:pStyle w:val="ySubsection"/>
      </w:pPr>
      <w:r>
        <w:tab/>
        <w:t>(4)</w:t>
      </w:r>
      <w:r>
        <w:tab/>
        <w:t>The majority of directors must be member directors. [s. 199(3)]</w:t>
      </w:r>
    </w:p>
    <w:p>
      <w:pPr>
        <w:pStyle w:val="ySubsection"/>
      </w:pPr>
      <w:r>
        <w:tab/>
        <w:t>(5)</w:t>
      </w:r>
      <w:r>
        <w:tab/>
        <w:t>Unless this clause provides otherwise, an independent director is subject to all other rules relating to directors.</w:t>
      </w:r>
    </w:p>
    <w:p>
      <w:pPr>
        <w:pStyle w:val="ySubsection"/>
      </w:pPr>
      <w:r>
        <w:tab/>
        <w:t>(6)</w:t>
      </w:r>
      <w:r>
        <w:tab/>
        <w:t>On the termination of appointment as independent director by death, retirement, resignation or in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own appointment, conditions of service or termination of service but may be permitted by the chairperson of the board to speak in relation to the matters.</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606" w:name="_Toc292197916"/>
      <w:bookmarkStart w:id="607" w:name="_Toc267388790"/>
      <w:bookmarkStart w:id="608" w:name="_Toc269387107"/>
      <w:r>
        <w:rPr>
          <w:rStyle w:val="CharSClsNo"/>
        </w:rPr>
        <w:t>51</w:t>
      </w:r>
      <w:r>
        <w:t>.</w:t>
      </w:r>
      <w:r>
        <w:tab/>
        <w:t>Managing director</w:t>
      </w:r>
      <w:bookmarkEnd w:id="606"/>
      <w:bookmarkEnd w:id="607"/>
      <w:bookmarkEnd w:id="608"/>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609" w:name="_Toc292197917"/>
      <w:bookmarkStart w:id="610" w:name="_Toc267388791"/>
      <w:bookmarkStart w:id="611" w:name="_Toc269387108"/>
      <w:r>
        <w:rPr>
          <w:rStyle w:val="CharSClsNo"/>
        </w:rPr>
        <w:t>52</w:t>
      </w:r>
      <w:r>
        <w:t>.</w:t>
      </w:r>
      <w:r>
        <w:tab/>
        <w:t>First and subsequent directors</w:t>
      </w:r>
      <w:bookmarkEnd w:id="609"/>
      <w:bookmarkEnd w:id="610"/>
      <w:bookmarkEnd w:id="611"/>
    </w:p>
    <w:p>
      <w:pPr>
        <w:pStyle w:val="ySubsection"/>
      </w:pPr>
      <w:r>
        <w:tab/>
        <w:t>(1)</w:t>
      </w:r>
      <w:r>
        <w:tab/>
        <w:t>The first member directors must be elected by poll at the formation meeting of the co</w:t>
      </w:r>
      <w:r>
        <w:noBreakHyphen/>
        <w:t xml:space="preserve">operative.* </w:t>
      </w:r>
    </w:p>
    <w:p>
      <w:pPr>
        <w:pStyle w:val="NotesPerm"/>
        <w:tabs>
          <w:tab w:val="clear" w:pos="879"/>
          <w:tab w:val="left" w:pos="851"/>
        </w:tabs>
        <w:ind w:left="1418" w:hanging="1418"/>
      </w:pPr>
      <w:r>
        <w:tab/>
        <w:t>*Note:</w:t>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NotesPerm"/>
        <w:tabs>
          <w:tab w:val="clear" w:pos="879"/>
          <w:tab w:val="left" w:pos="851"/>
        </w:tabs>
        <w:ind w:left="1418" w:hanging="1418"/>
      </w:pPr>
      <w:r>
        <w:tab/>
        <w:t>Note:</w:t>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612" w:name="_Toc292197918"/>
      <w:bookmarkStart w:id="613" w:name="_Toc267388792"/>
      <w:bookmarkStart w:id="614" w:name="_Toc269387109"/>
      <w:r>
        <w:rPr>
          <w:rStyle w:val="CharSClsNo"/>
        </w:rPr>
        <w:t>53</w:t>
      </w:r>
      <w:r>
        <w:t>.</w:t>
      </w:r>
      <w:r>
        <w:tab/>
        <w:t>Removal from office of member director</w:t>
      </w:r>
      <w:bookmarkEnd w:id="612"/>
      <w:bookmarkEnd w:id="613"/>
      <w:bookmarkEnd w:id="614"/>
    </w:p>
    <w:p>
      <w:pPr>
        <w:pStyle w:val="ySubsection"/>
      </w:pPr>
      <w:r>
        <w:tab/>
      </w:r>
      <w:r>
        <w:tab/>
        <w:t>The co</w:t>
      </w:r>
      <w:r>
        <w:noBreakHyphen/>
        <w:t>operative may by special resolution remove a member director before the end of the member director’s period of office, and may by a simple majority appoint another person in place of the member director. The person appointed must retire when the removed member director would otherwise have retired. [s. 205(2)]</w:t>
      </w:r>
    </w:p>
    <w:p>
      <w:pPr>
        <w:pStyle w:val="yHeading5"/>
      </w:pPr>
      <w:bookmarkStart w:id="615" w:name="_Toc292197919"/>
      <w:bookmarkStart w:id="616" w:name="_Toc267388793"/>
      <w:bookmarkStart w:id="617" w:name="_Toc269387110"/>
      <w:r>
        <w:rPr>
          <w:rStyle w:val="CharSClsNo"/>
        </w:rPr>
        <w:t>54</w:t>
      </w:r>
      <w:r>
        <w:t>.</w:t>
      </w:r>
      <w:r>
        <w:tab/>
        <w:t>Vacation of office of director</w:t>
      </w:r>
      <w:bookmarkEnd w:id="615"/>
      <w:bookmarkEnd w:id="616"/>
      <w:bookmarkEnd w:id="617"/>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the director is disqualified or otherwise unable to be a director under section 200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the director is removed from office by special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operative’s affairs is appointed under of Part 12 Division 5 of the Act.</w:t>
      </w:r>
    </w:p>
    <w:p>
      <w:pPr>
        <w:pStyle w:val="yHeading5"/>
      </w:pPr>
      <w:bookmarkStart w:id="618" w:name="_Toc292197920"/>
      <w:bookmarkStart w:id="619" w:name="_Toc267388794"/>
      <w:bookmarkStart w:id="620" w:name="_Toc269387111"/>
      <w:r>
        <w:rPr>
          <w:rStyle w:val="CharSClsNo"/>
        </w:rPr>
        <w:t>55</w:t>
      </w:r>
      <w:r>
        <w:t>.</w:t>
      </w:r>
      <w:r>
        <w:tab/>
        <w:t>Filling of casual vacancies</w:t>
      </w:r>
      <w:bookmarkEnd w:id="618"/>
      <w:bookmarkEnd w:id="619"/>
      <w:bookmarkEnd w:id="620"/>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NotesPerm"/>
        <w:ind w:left="1418" w:hanging="1418"/>
      </w:pPr>
      <w:r>
        <w:tab/>
        <w:t>*Note:</w:t>
      </w:r>
      <w:r>
        <w:tab/>
        <w:t>The rules may provide that, in the absence of a director from a meeting of the board, an alternate director may be appointed under section 203 of the Act.</w:t>
      </w:r>
    </w:p>
    <w:p>
      <w:pPr>
        <w:pStyle w:val="yHeading5"/>
      </w:pPr>
      <w:bookmarkStart w:id="621" w:name="_Toc292197921"/>
      <w:bookmarkStart w:id="622" w:name="_Toc267388795"/>
      <w:bookmarkStart w:id="623" w:name="_Toc269387112"/>
      <w:r>
        <w:rPr>
          <w:rStyle w:val="CharSClsNo"/>
        </w:rPr>
        <w:t>56</w:t>
      </w:r>
      <w:r>
        <w:t>.</w:t>
      </w:r>
      <w:r>
        <w:tab/>
        <w:t>Remuneration</w:t>
      </w:r>
      <w:bookmarkEnd w:id="621"/>
      <w:bookmarkEnd w:id="622"/>
      <w:bookmarkEnd w:id="623"/>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624" w:name="_Toc292197922"/>
      <w:bookmarkStart w:id="625" w:name="_Toc267388796"/>
      <w:bookmarkStart w:id="626" w:name="_Toc269387113"/>
      <w:r>
        <w:rPr>
          <w:rStyle w:val="CharSClsNo"/>
        </w:rPr>
        <w:t>57</w:t>
      </w:r>
      <w:r>
        <w:t>.</w:t>
      </w:r>
      <w:r>
        <w:tab/>
        <w:t>Proceedings of the board</w:t>
      </w:r>
      <w:bookmarkEnd w:id="624"/>
      <w:bookmarkEnd w:id="625"/>
      <w:bookmarkEnd w:id="626"/>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627" w:name="_Toc292197923"/>
      <w:bookmarkStart w:id="628" w:name="_Toc267388797"/>
      <w:bookmarkStart w:id="629" w:name="_Toc269387114"/>
      <w:r>
        <w:rPr>
          <w:rStyle w:val="CharSClsNo"/>
        </w:rPr>
        <w:t>58</w:t>
      </w:r>
      <w:r>
        <w:t>.</w:t>
      </w:r>
      <w:r>
        <w:tab/>
        <w:t>Transaction of business outside board meetings</w:t>
      </w:r>
      <w:bookmarkEnd w:id="627"/>
      <w:bookmarkEnd w:id="628"/>
      <w:bookmarkEnd w:id="629"/>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630" w:name="_Toc292197924"/>
      <w:bookmarkStart w:id="631" w:name="_Toc267388798"/>
      <w:bookmarkStart w:id="632" w:name="_Toc269387115"/>
      <w:r>
        <w:rPr>
          <w:rStyle w:val="CharSClsNo"/>
        </w:rPr>
        <w:t>59</w:t>
      </w:r>
      <w:r>
        <w:t>.</w:t>
      </w:r>
      <w:r>
        <w:tab/>
        <w:t>Quorum for board meetings</w:t>
      </w:r>
      <w:bookmarkEnd w:id="630"/>
      <w:bookmarkEnd w:id="631"/>
      <w:bookmarkEnd w:id="632"/>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633" w:name="_Toc292197925"/>
      <w:bookmarkStart w:id="634" w:name="_Toc267388799"/>
      <w:bookmarkStart w:id="635" w:name="_Toc269387116"/>
      <w:r>
        <w:rPr>
          <w:rStyle w:val="CharSClsNo"/>
        </w:rPr>
        <w:t>60</w:t>
      </w:r>
      <w:r>
        <w:t>.</w:t>
      </w:r>
      <w:r>
        <w:tab/>
        <w:t>Chairperson of board</w:t>
      </w:r>
      <w:bookmarkEnd w:id="633"/>
      <w:bookmarkEnd w:id="634"/>
      <w:bookmarkEnd w:id="635"/>
    </w:p>
    <w:p>
      <w:pPr>
        <w:pStyle w:val="ySubsection"/>
      </w:pPr>
      <w:r>
        <w:tab/>
        <w:t>(1)</w:t>
      </w:r>
      <w:r>
        <w:tab/>
        <w:t>The chairperson of the board is to be elected by the board.*</w:t>
      </w:r>
    </w:p>
    <w:p>
      <w:pPr>
        <w:pStyle w:val="NotesPerm"/>
        <w:tabs>
          <w:tab w:val="clear" w:pos="879"/>
          <w:tab w:val="left" w:pos="851"/>
        </w:tabs>
        <w:ind w:left="1418" w:hanging="1418"/>
      </w:pPr>
      <w:r>
        <w:tab/>
        <w:t>*Note:</w:t>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NotesPerm"/>
        <w:tabs>
          <w:tab w:val="clear" w:pos="879"/>
          <w:tab w:val="left" w:pos="851"/>
        </w:tabs>
        <w:ind w:left="1418" w:hanging="1418"/>
      </w:pPr>
      <w:r>
        <w:tab/>
        <w:t>*Note:</w:t>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636" w:name="_Toc292197926"/>
      <w:bookmarkStart w:id="637" w:name="_Toc267388800"/>
      <w:bookmarkStart w:id="638" w:name="_Toc269387117"/>
      <w:r>
        <w:rPr>
          <w:rStyle w:val="CharSClsNo"/>
        </w:rPr>
        <w:t>61</w:t>
      </w:r>
      <w:r>
        <w:t>.</w:t>
      </w:r>
      <w:r>
        <w:tab/>
        <w:t>Delegation and board committees</w:t>
      </w:r>
      <w:bookmarkEnd w:id="636"/>
      <w:bookmarkEnd w:id="637"/>
      <w:bookmarkEnd w:id="638"/>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considers appropriate. Questions arising at a meeting must be decided by a majority of votes of the members present and voting and, if the votes are equal, the chairperson has a second or casting vote.</w:t>
      </w:r>
    </w:p>
    <w:p>
      <w:pPr>
        <w:pStyle w:val="yHeading5"/>
      </w:pPr>
      <w:bookmarkStart w:id="639" w:name="_Toc292197927"/>
      <w:bookmarkStart w:id="640" w:name="_Toc267388801"/>
      <w:bookmarkStart w:id="641" w:name="_Toc269387118"/>
      <w:r>
        <w:rPr>
          <w:rStyle w:val="CharSClsNo"/>
        </w:rPr>
        <w:t>62</w:t>
      </w:r>
      <w:r>
        <w:t>.</w:t>
      </w:r>
      <w:r>
        <w:tab/>
        <w:t>Other committees</w:t>
      </w:r>
      <w:bookmarkEnd w:id="639"/>
      <w:bookmarkEnd w:id="640"/>
      <w:bookmarkEnd w:id="641"/>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any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642" w:name="_Toc292197928"/>
      <w:bookmarkStart w:id="643" w:name="_Toc267388802"/>
      <w:bookmarkStart w:id="644" w:name="_Toc269387119"/>
      <w:r>
        <w:rPr>
          <w:rStyle w:val="CharSClsNo"/>
        </w:rPr>
        <w:t>63</w:t>
      </w:r>
      <w:r>
        <w:t>.</w:t>
      </w:r>
      <w:r>
        <w:tab/>
        <w:t>Minutes</w:t>
      </w:r>
      <w:bookmarkEnd w:id="642"/>
      <w:bookmarkEnd w:id="643"/>
      <w:bookmarkEnd w:id="644"/>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NotesPerm"/>
        <w:tabs>
          <w:tab w:val="clear" w:pos="879"/>
          <w:tab w:val="left" w:pos="851"/>
        </w:tabs>
        <w:ind w:left="1418" w:hanging="1418"/>
      </w:pPr>
      <w:r>
        <w:tab/>
        <w:t>Note:</w:t>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645" w:name="_Toc292197929"/>
      <w:bookmarkStart w:id="646" w:name="_Toc267388803"/>
      <w:bookmarkStart w:id="647" w:name="_Toc269387120"/>
      <w:r>
        <w:rPr>
          <w:rStyle w:val="CharSClsNo"/>
        </w:rPr>
        <w:t>64</w:t>
      </w:r>
      <w:r>
        <w:t>.</w:t>
      </w:r>
      <w:r>
        <w:tab/>
        <w:t>Financial year</w:t>
      </w:r>
      <w:bookmarkEnd w:id="645"/>
      <w:bookmarkEnd w:id="646"/>
      <w:bookmarkEnd w:id="647"/>
    </w:p>
    <w:p>
      <w:pPr>
        <w:pStyle w:val="ySubsection"/>
      </w:pPr>
      <w:r>
        <w:tab/>
      </w:r>
      <w:r>
        <w:tab/>
        <w:t>The financial year of the co</w:t>
      </w:r>
      <w:r>
        <w:noBreakHyphen/>
        <w:t>operative ends on ………………….. .</w:t>
      </w:r>
    </w:p>
    <w:p>
      <w:pPr>
        <w:pStyle w:val="yHeading5"/>
      </w:pPr>
      <w:bookmarkStart w:id="648" w:name="_Toc292197930"/>
      <w:bookmarkStart w:id="649" w:name="_Toc267388804"/>
      <w:bookmarkStart w:id="650" w:name="_Toc269387121"/>
      <w:r>
        <w:rPr>
          <w:rStyle w:val="CharSClsNo"/>
        </w:rPr>
        <w:t>65</w:t>
      </w:r>
      <w:r>
        <w:t>.</w:t>
      </w:r>
      <w:r>
        <w:tab/>
        <w:t>Seal</w:t>
      </w:r>
      <w:bookmarkEnd w:id="648"/>
      <w:bookmarkEnd w:id="649"/>
      <w:bookmarkEnd w:id="650"/>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 xml:space="preserve">operative must not be affixed to an instrument other than under a resolution of the board. Two directors, or one director and the secretary must be present and must sign all instruments sealed while they are present. </w:t>
      </w:r>
    </w:p>
    <w:p>
      <w:pPr>
        <w:pStyle w:val="yHeading5"/>
      </w:pPr>
      <w:bookmarkStart w:id="651" w:name="_Toc292197931"/>
      <w:bookmarkStart w:id="652" w:name="_Toc267388805"/>
      <w:bookmarkStart w:id="653" w:name="_Toc269387122"/>
      <w:r>
        <w:rPr>
          <w:rStyle w:val="CharSClsNo"/>
        </w:rPr>
        <w:t>66</w:t>
      </w:r>
      <w:r>
        <w:t>.</w:t>
      </w:r>
      <w:r>
        <w:tab/>
        <w:t>Custody and inspection of records and registers</w:t>
      </w:r>
      <w:bookmarkEnd w:id="651"/>
      <w:bookmarkEnd w:id="652"/>
      <w:bookmarkEnd w:id="653"/>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last annual report of the co</w:t>
      </w:r>
      <w:r>
        <w:noBreakHyphen/>
        <w:t>operative under section 235 of the Act;</w:t>
      </w:r>
    </w:p>
    <w:p>
      <w:pPr>
        <w:pStyle w:val="yIndenta"/>
      </w:pPr>
      <w:r>
        <w:tab/>
        <w:t>(d)</w:t>
      </w:r>
      <w:r>
        <w:tab/>
        <w:t>the register of directors, members and shares;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NotesPerm"/>
        <w:tabs>
          <w:tab w:val="clear" w:pos="879"/>
          <w:tab w:val="left" w:pos="851"/>
        </w:tabs>
        <w:ind w:left="1418" w:hanging="1418"/>
      </w:pPr>
      <w:r>
        <w:tab/>
        <w:t>Note:</w:t>
      </w:r>
      <w:r>
        <w:tab/>
        <w:t>Section 233 of the Act sets out the limitations that apply to the use of information on these registers and provides for recovery of loss, damages or profits arising from misuse.</w:t>
      </w:r>
    </w:p>
    <w:p>
      <w:pPr>
        <w:pStyle w:val="ySubsection"/>
      </w:pPr>
      <w:r>
        <w:tab/>
        <w:t>(2)</w:t>
      </w:r>
      <w:r>
        <w:tab/>
        <w:t>A member may make a copy of the entries in a register mentioned in subclause (1) during normal office hours, [free of charge/for the fee of $ ……. (maximum $11.60 for the first page and $1.50 for each additional page, up to a maximum of $86.60)].</w:t>
      </w:r>
    </w:p>
    <w:p>
      <w:pPr>
        <w:pStyle w:val="yHeading5"/>
      </w:pPr>
      <w:bookmarkStart w:id="654" w:name="_Toc292197932"/>
      <w:bookmarkStart w:id="655" w:name="_Toc267388806"/>
      <w:bookmarkStart w:id="656" w:name="_Toc269387123"/>
      <w:r>
        <w:rPr>
          <w:rStyle w:val="CharSClsNo"/>
        </w:rPr>
        <w:t>67</w:t>
      </w:r>
      <w:r>
        <w:t>.</w:t>
      </w:r>
      <w:r>
        <w:tab/>
        <w:t>Accounts</w:t>
      </w:r>
      <w:bookmarkEnd w:id="654"/>
      <w:bookmarkEnd w:id="655"/>
      <w:bookmarkEnd w:id="656"/>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657" w:name="_Toc292197933"/>
      <w:bookmarkStart w:id="658" w:name="_Toc267388807"/>
      <w:bookmarkStart w:id="659" w:name="_Toc269387124"/>
      <w:r>
        <w:rPr>
          <w:rStyle w:val="CharSClsNo"/>
        </w:rPr>
        <w:t>68</w:t>
      </w:r>
      <w:r>
        <w:t>.</w:t>
      </w:r>
      <w:r>
        <w:tab/>
        <w:t>Safe keeping of securities</w:t>
      </w:r>
      <w:bookmarkEnd w:id="657"/>
      <w:bookmarkEnd w:id="658"/>
      <w:bookmarkEnd w:id="659"/>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660" w:name="_Toc292197934"/>
      <w:bookmarkStart w:id="661" w:name="_Toc267388808"/>
      <w:bookmarkStart w:id="662" w:name="_Toc269387125"/>
      <w:r>
        <w:rPr>
          <w:rStyle w:val="CharSClsNo"/>
        </w:rPr>
        <w:t>69</w:t>
      </w:r>
      <w:r>
        <w:t>.</w:t>
      </w:r>
      <w:r>
        <w:tab/>
        <w:t>Appointing an auditor — co</w:t>
      </w:r>
      <w:r>
        <w:noBreakHyphen/>
        <w:t>operatives</w:t>
      </w:r>
      <w:bookmarkEnd w:id="660"/>
      <w:bookmarkEnd w:id="661"/>
      <w:bookmarkEnd w:id="662"/>
    </w:p>
    <w:p>
      <w:pPr>
        <w:pStyle w:val="ySubsection"/>
      </w:pPr>
      <w:r>
        <w:tab/>
        <w:t>(1)</w:t>
      </w:r>
      <w:r>
        <w:tab/>
        <w:t>The board of a co</w:t>
      </w:r>
      <w:r>
        <w:noBreakHyphen/>
        <w:t>operative (unless the co</w:t>
      </w:r>
      <w:r>
        <w:noBreakHyphen/>
        <w:t>operative is a small co</w:t>
      </w:r>
      <w:r>
        <w:noBreakHyphen/>
        <w:t>operative or otherwise exempt from requiring an auditor [s. 226]) 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Heading5"/>
      </w:pPr>
      <w:bookmarkStart w:id="663" w:name="_Toc292197935"/>
      <w:bookmarkStart w:id="664" w:name="_Toc267388809"/>
      <w:bookmarkStart w:id="665" w:name="_Toc269387126"/>
      <w:r>
        <w:rPr>
          <w:rStyle w:val="CharSClsNo"/>
        </w:rPr>
        <w:t>70</w:t>
      </w:r>
      <w:r>
        <w:t>.</w:t>
      </w:r>
      <w:r>
        <w:tab/>
        <w:t>Appointing an auditor — small co</w:t>
      </w:r>
      <w:r>
        <w:noBreakHyphen/>
        <w:t>operatives</w:t>
      </w:r>
      <w:bookmarkEnd w:id="663"/>
      <w:bookmarkEnd w:id="664"/>
      <w:bookmarkEnd w:id="665"/>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section 293 or 294 of the Corporations Act. </w:t>
      </w:r>
    </w:p>
    <w:p>
      <w:pPr>
        <w:pStyle w:val="ySubsection"/>
      </w:pPr>
      <w:r>
        <w:tab/>
        <w:t>(4)</w:t>
      </w:r>
      <w:r>
        <w:tab/>
        <w:t>An auditor appointed under subclause (3) holds office until the financial report prepared as a result of the direction has been audited and sent to members.</w:t>
      </w:r>
    </w:p>
    <w:p>
      <w:pPr>
        <w:pStyle w:val="yHeading5"/>
      </w:pPr>
      <w:bookmarkStart w:id="666" w:name="_Toc292197936"/>
      <w:bookmarkStart w:id="667" w:name="_Toc267388810"/>
      <w:bookmarkStart w:id="668" w:name="_Toc269387127"/>
      <w:r>
        <w:rPr>
          <w:rStyle w:val="CharSClsNo"/>
        </w:rPr>
        <w:t>71</w:t>
      </w:r>
      <w:r>
        <w:t>.</w:t>
      </w:r>
      <w:r>
        <w:tab/>
        <w:t>Terms of appointment, remuneration and removal of auditors</w:t>
      </w:r>
      <w:bookmarkEnd w:id="666"/>
      <w:bookmarkEnd w:id="667"/>
      <w:bookmarkEnd w:id="668"/>
    </w:p>
    <w:p>
      <w:pPr>
        <w:pStyle w:val="ySubsection"/>
      </w:pPr>
      <w:r>
        <w:tab/>
        <w:t>(1)</w:t>
      </w:r>
      <w:r>
        <w:tab/>
        <w:t>The appointment, remuneration and removal of an auditor must comply with those provisions of the Corporations Act that apply under section 225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is removed or resigns from office in accordance with section 329 of the Corporations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Where there is no surviving or continuing auditor, the board must fill a casual vacancy in the office of auditor, other than a vacancy caused by the removal of an auditor from office [s. 225], 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Subject to section 329 of the Corporations Act, an auditor may be removed from office by resolution at a general meeting.</w:t>
      </w:r>
    </w:p>
    <w:p>
      <w:pPr>
        <w:pStyle w:val="ySubsection"/>
      </w:pPr>
      <w:r>
        <w:tab/>
        <w:t>(12)</w:t>
      </w:r>
      <w:r>
        <w:tab/>
        <w:t>Subject to section 329 of the Corporations Act, an auditor may resign as auditor.</w:t>
      </w:r>
    </w:p>
    <w:p>
      <w:pPr>
        <w:pStyle w:val="yHeading5"/>
      </w:pPr>
      <w:bookmarkStart w:id="669" w:name="_Toc292197937"/>
      <w:bookmarkStart w:id="670" w:name="_Toc267388811"/>
      <w:bookmarkStart w:id="671" w:name="_Toc269387128"/>
      <w:r>
        <w:rPr>
          <w:rStyle w:val="CharSClsNo"/>
        </w:rPr>
        <w:t>72</w:t>
      </w:r>
      <w:r>
        <w:t>.</w:t>
      </w:r>
      <w:r>
        <w:tab/>
        <w:t>Co</w:t>
      </w:r>
      <w:r>
        <w:noBreakHyphen/>
        <w:t>operative funds</w:t>
      </w:r>
      <w:bookmarkEnd w:id="669"/>
      <w:bookmarkEnd w:id="670"/>
      <w:bookmarkEnd w:id="671"/>
    </w:p>
    <w:p>
      <w:pPr>
        <w:pStyle w:val="ySubsection"/>
      </w:pPr>
      <w:r>
        <w:tab/>
        <w:t>(1)</w:t>
      </w:r>
      <w:r>
        <w:tab/>
        <w:t>The board may resolve to retain all or any part of the surplus arising in any year from the business of the co</w:t>
      </w:r>
      <w:r>
        <w:noBreakHyphen/>
        <w:t>operative to be applied for the benefit of the co</w:t>
      </w:r>
      <w:r>
        <w:noBreakHyphen/>
        <w:t>operative. [s. 269]</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672" w:name="_Toc292197938"/>
      <w:bookmarkStart w:id="673" w:name="_Toc267388812"/>
      <w:bookmarkStart w:id="674" w:name="_Toc269387129"/>
      <w:r>
        <w:rPr>
          <w:rStyle w:val="CharSClsNo"/>
        </w:rPr>
        <w:t>73</w:t>
      </w:r>
      <w:r>
        <w:t>.</w:t>
      </w:r>
      <w:r>
        <w:tab/>
        <w:t>Provision for loss</w:t>
      </w:r>
      <w:bookmarkEnd w:id="672"/>
      <w:bookmarkEnd w:id="673"/>
      <w:bookmarkEnd w:id="674"/>
    </w:p>
    <w:p>
      <w:pPr>
        <w:pStyle w:val="ySubsection"/>
      </w:pPr>
      <w:r>
        <w:tab/>
      </w:r>
      <w:r>
        <w:tab/>
        <w:t>The board must make provision for loss that may result from transactions of the co</w:t>
      </w:r>
      <w:r>
        <w:noBreakHyphen/>
        <w:t>operative.</w:t>
      </w:r>
    </w:p>
    <w:p>
      <w:pPr>
        <w:pStyle w:val="yHeading5"/>
      </w:pPr>
      <w:bookmarkStart w:id="675" w:name="_Toc292197939"/>
      <w:bookmarkStart w:id="676" w:name="_Toc267388813"/>
      <w:bookmarkStart w:id="677" w:name="_Toc269387130"/>
      <w:r>
        <w:rPr>
          <w:rStyle w:val="CharSClsNo"/>
        </w:rPr>
        <w:t>74</w:t>
      </w:r>
      <w:r>
        <w:t>.</w:t>
      </w:r>
      <w:r>
        <w:tab/>
        <w:t>Notices</w:t>
      </w:r>
      <w:bookmarkEnd w:id="675"/>
      <w:bookmarkEnd w:id="676"/>
      <w:bookmarkEnd w:id="677"/>
    </w:p>
    <w:p>
      <w:pPr>
        <w:pStyle w:val="ySubsection"/>
      </w:pPr>
      <w:r>
        <w:tab/>
        <w:t>(1)</w:t>
      </w:r>
      <w:r>
        <w:tab/>
        <w:t>A notice or other document required under this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for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clause 71(10) no other person is entitled to receive notices of general meetings.</w:t>
      </w:r>
    </w:p>
    <w:p>
      <w:pPr>
        <w:pStyle w:val="yHeading5"/>
      </w:pPr>
      <w:bookmarkStart w:id="678" w:name="_Toc292197940"/>
      <w:bookmarkStart w:id="679" w:name="_Toc267388814"/>
      <w:bookmarkStart w:id="680" w:name="_Toc269387131"/>
      <w:r>
        <w:rPr>
          <w:rStyle w:val="CharSClsNo"/>
        </w:rPr>
        <w:t>75</w:t>
      </w:r>
      <w:r>
        <w:t>.</w:t>
      </w:r>
      <w:r>
        <w:tab/>
        <w:t>Winding</w:t>
      </w:r>
      <w:r>
        <w:noBreakHyphen/>
        <w:t>up</w:t>
      </w:r>
      <w:bookmarkEnd w:id="678"/>
      <w:bookmarkEnd w:id="679"/>
      <w:bookmarkEnd w:id="680"/>
    </w:p>
    <w:p>
      <w:pPr>
        <w:pStyle w:val="ySubsection"/>
      </w:pPr>
      <w:r>
        <w:tab/>
        <w:t>(1)</w:t>
      </w:r>
      <w:r>
        <w:tab/>
        <w:t>The winding</w:t>
      </w:r>
      <w:r>
        <w:noBreakHyphen/>
        <w:t>up of the co</w:t>
      </w:r>
      <w:r>
        <w:noBreakHyphen/>
        <w:t>operative must be in accordance with Part 12 of the Act.</w:t>
      </w:r>
    </w:p>
    <w:p>
      <w:pPr>
        <w:pStyle w:val="ySubsection"/>
      </w:pPr>
      <w:r>
        <w:tab/>
        <w:t>(2)</w:t>
      </w:r>
      <w:r>
        <w:tab/>
        <w:t>If, on the winding</w:t>
      </w:r>
      <w:r>
        <w:noBreakHyphen/>
        <w:t>up or dissolution, there remains after the satisfaction of all its debts and liabilities (including the refund of the amounts paid up on the shares)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(including the refund of the amounts paid up on the shares),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subsection of section 50 of the </w:t>
      </w:r>
      <w:r>
        <w:rPr>
          <w:i/>
          <w:iCs/>
        </w:rPr>
        <w:t>Income Tax Assessment Act 1997</w:t>
      </w:r>
      <w:r>
        <w:t xml:space="preserve"> (Commonwealth).</w:t>
      </w:r>
    </w:p>
    <w:p>
      <w:pPr>
        <w:pStyle w:val="NotesPerm"/>
        <w:tabs>
          <w:tab w:val="clear" w:pos="879"/>
          <w:tab w:val="left" w:pos="851"/>
        </w:tabs>
        <w:ind w:left="1418" w:hanging="1418"/>
      </w:pPr>
      <w:r>
        <w:tab/>
        <w:t>*Note:</w:t>
      </w:r>
      <w:r>
        <w:tab/>
        <w:t>Subclause (2), and the reference to subclause (2) in subclause (3), may be deleted if the co</w:t>
      </w:r>
      <w:r>
        <w:noBreakHyphen/>
        <w:t>operative does not wish to specify a recipient.</w:t>
      </w:r>
    </w:p>
    <w:p>
      <w:pPr>
        <w:pStyle w:val="yHeading5"/>
        <w:spacing w:after="360"/>
      </w:pPr>
      <w:bookmarkStart w:id="681" w:name="_Toc292197941"/>
      <w:bookmarkStart w:id="682" w:name="_Toc267388815"/>
      <w:bookmarkStart w:id="683" w:name="_Toc269387132"/>
      <w:r>
        <w:rPr>
          <w:rStyle w:val="CharSClsNo"/>
        </w:rPr>
        <w:t>76</w:t>
      </w:r>
      <w:r>
        <w:t>.</w:t>
      </w:r>
      <w:r>
        <w:tab/>
        <w:t>Schedule of charges</w:t>
      </w:r>
      <w:bookmarkEnd w:id="681"/>
      <w:bookmarkEnd w:id="682"/>
      <w:bookmarkEnd w:id="683"/>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NotesPerm"/>
        <w:tabs>
          <w:tab w:val="clear" w:pos="879"/>
          <w:tab w:val="left" w:pos="851"/>
        </w:tabs>
        <w:ind w:left="1418" w:hanging="1418"/>
      </w:pPr>
      <w:r>
        <w:tab/>
        <w:t>Note:</w:t>
      </w:r>
      <w:r>
        <w:tab/>
        <w:t>This certification is signed at the formation meeting that is held after the rules have been approved by the Registrar and returned to the sponsors of the proposed co</w:t>
      </w:r>
      <w:r>
        <w:noBreakHyphen/>
        <w:t>operative.</w:t>
      </w:r>
    </w:p>
    <w:p>
      <w:pPr>
        <w:pStyle w:val="yScheduleHeading"/>
      </w:pPr>
      <w:bookmarkStart w:id="684" w:name="_Toc292195029"/>
      <w:bookmarkStart w:id="685" w:name="_Toc292195317"/>
      <w:bookmarkStart w:id="686" w:name="_Toc292197942"/>
      <w:bookmarkStart w:id="687" w:name="_Toc265852069"/>
      <w:bookmarkStart w:id="688" w:name="_Toc265852810"/>
      <w:bookmarkStart w:id="689" w:name="_Toc266086640"/>
      <w:bookmarkStart w:id="690" w:name="_Toc266087925"/>
      <w:bookmarkStart w:id="691" w:name="_Toc266199784"/>
      <w:bookmarkStart w:id="692" w:name="_Toc266279429"/>
      <w:bookmarkStart w:id="693" w:name="_Toc266289692"/>
      <w:bookmarkStart w:id="694" w:name="_Toc266345736"/>
      <w:bookmarkStart w:id="695" w:name="_Toc266371253"/>
      <w:bookmarkStart w:id="696" w:name="_Toc266430481"/>
      <w:bookmarkStart w:id="697" w:name="_Toc266434640"/>
      <w:bookmarkStart w:id="698" w:name="_Toc266434926"/>
      <w:bookmarkStart w:id="699" w:name="_Toc266435842"/>
      <w:bookmarkStart w:id="700" w:name="_Toc266436145"/>
      <w:bookmarkStart w:id="701" w:name="_Toc266436431"/>
      <w:bookmarkStart w:id="702" w:name="_Toc266436717"/>
      <w:bookmarkStart w:id="703" w:name="_Toc266608292"/>
      <w:bookmarkStart w:id="704" w:name="_Toc266609841"/>
      <w:bookmarkStart w:id="705" w:name="_Toc266613759"/>
      <w:bookmarkStart w:id="706" w:name="_Toc267053937"/>
      <w:bookmarkStart w:id="707" w:name="_Toc267054471"/>
      <w:bookmarkStart w:id="708" w:name="_Toc267054840"/>
      <w:bookmarkStart w:id="709" w:name="_Toc267055126"/>
      <w:bookmarkStart w:id="710" w:name="_Toc267055412"/>
      <w:bookmarkStart w:id="711" w:name="_Toc267383239"/>
      <w:bookmarkStart w:id="712" w:name="_Toc267388244"/>
      <w:bookmarkStart w:id="713" w:name="_Toc267388530"/>
      <w:bookmarkStart w:id="714" w:name="_Toc267388816"/>
      <w:bookmarkStart w:id="715" w:name="_Toc269375116"/>
      <w:bookmarkStart w:id="716" w:name="_Toc269375496"/>
      <w:bookmarkStart w:id="717" w:name="_Toc269386844"/>
      <w:bookmarkStart w:id="718" w:name="_Toc269387133"/>
      <w:r>
        <w:rPr>
          <w:rStyle w:val="CharSchNo"/>
        </w:rPr>
        <w:t>Schedule 3</w:t>
      </w:r>
      <w:r>
        <w:t> — </w:t>
      </w:r>
      <w:r>
        <w:rPr>
          <w:rStyle w:val="CharSchText"/>
        </w:rPr>
        <w:t>Model rules of a distributing co</w:t>
      </w:r>
      <w:r>
        <w:rPr>
          <w:rStyle w:val="CharSchText"/>
        </w:rPr>
        <w:noBreakHyphen/>
        <w:t>operative with share capital</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yShoulderClause"/>
      </w:pPr>
      <w:r>
        <w:t>[r. 6]</w:t>
      </w:r>
    </w:p>
    <w:p>
      <w:pPr>
        <w:pStyle w:val="yMiscellaneousHeading"/>
        <w:rPr>
          <w:b/>
          <w:bCs/>
        </w:rPr>
      </w:pPr>
      <w:r>
        <w:rPr>
          <w:b/>
          <w:bCs/>
        </w:rPr>
        <w:t>Rules of a 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719" w:name="_Toc292197943"/>
      <w:bookmarkStart w:id="720" w:name="_Toc267388817"/>
      <w:bookmarkStart w:id="721" w:name="_Toc269387134"/>
      <w:r>
        <w:rPr>
          <w:rStyle w:val="CharSClsNo"/>
        </w:rPr>
        <w:t>1</w:t>
      </w:r>
      <w:r>
        <w:t>.</w:t>
      </w:r>
      <w:r>
        <w:tab/>
        <w:t>Terms used</w:t>
      </w:r>
      <w:bookmarkEnd w:id="719"/>
      <w:bookmarkEnd w:id="720"/>
      <w:bookmarkEnd w:id="721"/>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clause 47.</w:t>
      </w:r>
    </w:p>
    <w:p>
      <w:pPr>
        <w:pStyle w:val="yHeading5"/>
      </w:pPr>
      <w:bookmarkStart w:id="722" w:name="_Toc292197944"/>
      <w:bookmarkStart w:id="723" w:name="_Toc267388818"/>
      <w:bookmarkStart w:id="724" w:name="_Toc269387135"/>
      <w:r>
        <w:rPr>
          <w:rStyle w:val="CharSClsNo"/>
        </w:rPr>
        <w:t>2</w:t>
      </w:r>
      <w:r>
        <w:t>.</w:t>
      </w:r>
      <w:r>
        <w:tab/>
        <w:t>Rules</w:t>
      </w:r>
      <w:bookmarkEnd w:id="722"/>
      <w:bookmarkEnd w:id="723"/>
      <w:bookmarkEnd w:id="724"/>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A proposed alteration to these rules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$5.00). [s. 99(1)]</w:t>
      </w:r>
    </w:p>
    <w:p>
      <w:pPr>
        <w:pStyle w:val="ySubsection"/>
      </w:pPr>
      <w:r>
        <w:tab/>
        <w:t>(7)</w:t>
      </w:r>
      <w:r>
        <w:tab/>
        <w:t>Any person may obtain a copy of these rules from the Registrar on payment of the prescribed fee. [s. 99(3)]</w:t>
      </w:r>
    </w:p>
    <w:p>
      <w:pPr>
        <w:pStyle w:val="yHeading5"/>
      </w:pPr>
      <w:bookmarkStart w:id="725" w:name="_Toc292197945"/>
      <w:bookmarkStart w:id="726" w:name="_Toc267388819"/>
      <w:bookmarkStart w:id="727" w:name="_Toc269387136"/>
      <w:r>
        <w:rPr>
          <w:rStyle w:val="CharSClsNo"/>
        </w:rPr>
        <w:t>3</w:t>
      </w:r>
      <w:r>
        <w:t>.</w:t>
      </w:r>
      <w:r>
        <w:tab/>
        <w:t>Powers</w:t>
      </w:r>
      <w:bookmarkEnd w:id="725"/>
      <w:bookmarkEnd w:id="726"/>
      <w:bookmarkEnd w:id="727"/>
    </w:p>
    <w:p>
      <w:pPr>
        <w:pStyle w:val="ySubsection"/>
      </w:pPr>
      <w:r>
        <w:tab/>
      </w:r>
      <w:r>
        <w:tab/>
        <w:t>The co</w:t>
      </w:r>
      <w:r>
        <w:noBreakHyphen/>
        <w:t>operative has the power of an individual and the ability to restrict or place additional powers in the rules. [s. 39]</w:t>
      </w:r>
    </w:p>
    <w:p>
      <w:pPr>
        <w:pStyle w:val="yHeading5"/>
      </w:pPr>
      <w:bookmarkStart w:id="728" w:name="_Toc292197946"/>
      <w:bookmarkStart w:id="729" w:name="_Toc267388820"/>
      <w:bookmarkStart w:id="730" w:name="_Toc269387137"/>
      <w:r>
        <w:rPr>
          <w:rStyle w:val="CharSClsNo"/>
        </w:rPr>
        <w:t>4</w:t>
      </w:r>
      <w:r>
        <w:t>.</w:t>
      </w:r>
      <w:r>
        <w:tab/>
        <w:t>Name</w:t>
      </w:r>
      <w:bookmarkEnd w:id="728"/>
      <w:bookmarkEnd w:id="729"/>
      <w:bookmarkEnd w:id="730"/>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731" w:name="_Toc292197947"/>
      <w:bookmarkStart w:id="732" w:name="_Toc267388821"/>
      <w:bookmarkStart w:id="733" w:name="_Toc269387138"/>
      <w:r>
        <w:rPr>
          <w:rStyle w:val="CharSClsNo"/>
        </w:rPr>
        <w:t>5</w:t>
      </w:r>
      <w:r>
        <w:t>.</w:t>
      </w:r>
      <w:r>
        <w:tab/>
        <w:t>Active membership provisions</w:t>
      </w:r>
      <w:bookmarkEnd w:id="731"/>
      <w:bookmarkEnd w:id="732"/>
      <w:bookmarkEnd w:id="733"/>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ceases to be an active member must, under the Act, have their membership cancelled and, subject to section 127 of the Act, their shares forfeited.</w:t>
      </w:r>
    </w:p>
    <w:p>
      <w:pPr>
        <w:pStyle w:val="yHeading5"/>
      </w:pPr>
      <w:bookmarkStart w:id="734" w:name="_Toc292197948"/>
      <w:bookmarkStart w:id="735" w:name="_Toc267388822"/>
      <w:bookmarkStart w:id="736" w:name="_Toc269387139"/>
      <w:r>
        <w:rPr>
          <w:rStyle w:val="CharSClsNo"/>
        </w:rPr>
        <w:t>6</w:t>
      </w:r>
      <w:r>
        <w:t>.</w:t>
      </w:r>
      <w:r>
        <w:tab/>
        <w:t>Qualifications for membership</w:t>
      </w:r>
      <w:bookmarkEnd w:id="734"/>
      <w:bookmarkEnd w:id="735"/>
      <w:bookmarkEnd w:id="736"/>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737" w:name="_Toc292197949"/>
      <w:bookmarkStart w:id="738" w:name="_Toc267388823"/>
      <w:bookmarkStart w:id="739" w:name="_Toc269387140"/>
      <w:r>
        <w:rPr>
          <w:rStyle w:val="CharSClsNo"/>
        </w:rPr>
        <w:t>7</w:t>
      </w:r>
      <w:r>
        <w:t>.</w:t>
      </w:r>
      <w:r>
        <w:tab/>
        <w:t>Membership, subscriptions, periodic fees</w:t>
      </w:r>
      <w:bookmarkEnd w:id="737"/>
      <w:bookmarkEnd w:id="738"/>
      <w:bookmarkEnd w:id="739"/>
    </w:p>
    <w:p>
      <w:pPr>
        <w:pStyle w:val="ySubsection"/>
      </w:pPr>
      <w:r>
        <w:tab/>
        <w:t>(1)</w:t>
      </w:r>
      <w:r>
        <w:tab/>
        <w:t>The co</w:t>
      </w:r>
      <w:r>
        <w:noBreakHyphen/>
        <w:t xml:space="preserve">operative must give to a person intending to become a member — </w:t>
      </w:r>
    </w:p>
    <w:p>
      <w:pPr>
        <w:pStyle w:val="yIndenta"/>
      </w:pPr>
      <w:r>
        <w:tab/>
        <w:t>(a)</w:t>
      </w:r>
      <w:r>
        <w:tab/>
        <w:t>a copy of the rules, resolutions and the last annual report if a person requests a copy under section 68 of the Act;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shares or bonus shares or additional shares must be lodged at the registered office in the application form approved by the board, together with the amount required to pay the shares fully or, if the shares are to be issued partly paid, a deposit of $ ...…. for each share applied for.</w:t>
      </w:r>
    </w:p>
    <w:p>
      <w:pPr>
        <w:pStyle w:val="ySubsection"/>
      </w:pPr>
      <w:r>
        <w:tab/>
        <w:t>(3)</w:t>
      </w:r>
      <w:r>
        <w:tab/>
        <w:t>Every application must be considered by the board.</w:t>
      </w:r>
    </w:p>
    <w:p>
      <w:pPr>
        <w:pStyle w:val="ySubsection"/>
      </w:pPr>
      <w:r>
        <w:tab/>
        <w:t>(4)</w:t>
      </w:r>
      <w:r>
        <w:tab/>
        <w:t xml:space="preserve">If the board approves of the application —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or bonus or additional shares, as is appropriate.</w:t>
      </w:r>
    </w:p>
    <w:p>
      <w:pPr>
        <w:pStyle w:val="ySubsection"/>
      </w:pPr>
      <w:r>
        <w:tab/>
        <w:t>(6)</w:t>
      </w:r>
      <w:r>
        <w:tab/>
        <w:t xml:space="preserve">The board may, at its discretion, refuse an application for membership or shares (other than additional shares the subject of a compulsory issue under section 146 of the Act). </w:t>
      </w:r>
    </w:p>
    <w:p>
      <w:pPr>
        <w:pStyle w:val="ySubsection"/>
      </w:pPr>
      <w:r>
        <w:tab/>
        <w:t>(7)</w:t>
      </w:r>
      <w:r>
        <w:tab/>
        <w:t>The board need not assign reasons for the refusal. On refusal any amounts accompanying the application for membership must be refunded within 28 days without interest.</w:t>
      </w:r>
    </w:p>
    <w:p>
      <w:pPr>
        <w:pStyle w:val="yHeading5"/>
      </w:pPr>
      <w:bookmarkStart w:id="740" w:name="_Toc292197950"/>
      <w:bookmarkStart w:id="741" w:name="_Toc267388824"/>
      <w:bookmarkStart w:id="742" w:name="_Toc269387141"/>
      <w:r>
        <w:rPr>
          <w:rStyle w:val="CharSClsNo"/>
        </w:rPr>
        <w:t>8</w:t>
      </w:r>
      <w:r>
        <w:t>.</w:t>
      </w:r>
      <w:r>
        <w:tab/>
        <w:t>Ceasing membership</w:t>
      </w:r>
      <w:bookmarkEnd w:id="740"/>
      <w:bookmarkEnd w:id="741"/>
      <w:bookmarkEnd w:id="742"/>
    </w:p>
    <w:p>
      <w:pPr>
        <w:pStyle w:val="ySubsection"/>
      </w:pPr>
      <w:r>
        <w:tab/>
      </w:r>
      <w:r>
        <w:tab/>
        <w:t xml:space="preserve">A person ceases to be a member in any of the following circumstances — </w:t>
      </w:r>
    </w:p>
    <w:p>
      <w:pPr>
        <w:pStyle w:val="yIndenta"/>
      </w:pPr>
      <w:r>
        <w:tab/>
        <w:t>(a)</w:t>
      </w:r>
      <w:r>
        <w:tab/>
        <w:t>if the member’s membership is cancelled under the Act Part 6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743" w:name="_Toc292197951"/>
      <w:bookmarkStart w:id="744" w:name="_Toc267388825"/>
      <w:bookmarkStart w:id="745" w:name="_Toc269387142"/>
      <w:r>
        <w:rPr>
          <w:rStyle w:val="CharSClsNo"/>
        </w:rPr>
        <w:t>9</w:t>
      </w:r>
      <w:r>
        <w:t>.</w:t>
      </w:r>
      <w:r>
        <w:tab/>
        <w:t>Expulsion of members</w:t>
      </w:r>
      <w:bookmarkEnd w:id="743"/>
      <w:bookmarkEnd w:id="744"/>
      <w:bookmarkEnd w:id="745"/>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746" w:name="_Toc292197952"/>
      <w:bookmarkStart w:id="747" w:name="_Toc267388826"/>
      <w:bookmarkStart w:id="748" w:name="_Toc269387143"/>
      <w:r>
        <w:rPr>
          <w:rStyle w:val="CharSClsNo"/>
        </w:rPr>
        <w:t>10</w:t>
      </w:r>
      <w:r>
        <w:t>.</w:t>
      </w:r>
      <w:r>
        <w:tab/>
        <w:t>Monetary consequences of expulsion</w:t>
      </w:r>
      <w:bookmarkEnd w:id="746"/>
      <w:bookmarkEnd w:id="747"/>
      <w:bookmarkEnd w:id="748"/>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as at the day of expulsion and the cancellation must be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749" w:name="_Toc292197953"/>
      <w:bookmarkStart w:id="750" w:name="_Toc267388827"/>
      <w:bookmarkStart w:id="751" w:name="_Toc269387144"/>
      <w:r>
        <w:rPr>
          <w:rStyle w:val="CharSClsNo"/>
        </w:rPr>
        <w:t>11</w:t>
      </w:r>
      <w:r>
        <w:t>.</w:t>
      </w:r>
      <w:r>
        <w:tab/>
        <w:t>Suspension of members</w:t>
      </w:r>
      <w:bookmarkEnd w:id="749"/>
      <w:bookmarkEnd w:id="750"/>
      <w:bookmarkEnd w:id="751"/>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752" w:name="_Toc292197954"/>
      <w:bookmarkStart w:id="753" w:name="_Toc267388828"/>
      <w:bookmarkStart w:id="754" w:name="_Toc269387145"/>
      <w:r>
        <w:rPr>
          <w:rStyle w:val="CharSClsNo"/>
        </w:rPr>
        <w:t>12</w:t>
      </w:r>
      <w:r>
        <w:t>.</w:t>
      </w:r>
      <w:r>
        <w:tab/>
        <w:t>Payments upon resignation of member</w:t>
      </w:r>
      <w:bookmarkEnd w:id="752"/>
      <w:bookmarkEnd w:id="753"/>
      <w:bookmarkEnd w:id="754"/>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755" w:name="_Toc292197955"/>
      <w:bookmarkStart w:id="756" w:name="_Toc267388829"/>
      <w:bookmarkStart w:id="757" w:name="_Toc269387146"/>
      <w:r>
        <w:rPr>
          <w:rStyle w:val="CharSClsNo"/>
        </w:rPr>
        <w:t>13</w:t>
      </w:r>
      <w:r>
        <w:t>.</w:t>
      </w:r>
      <w:r>
        <w:tab/>
        <w:t>Disputes and mediation</w:t>
      </w:r>
      <w:bookmarkEnd w:id="755"/>
      <w:bookmarkEnd w:id="756"/>
      <w:bookmarkEnd w:id="757"/>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758" w:name="_Toc292197956"/>
      <w:bookmarkStart w:id="759" w:name="_Toc267388830"/>
      <w:bookmarkStart w:id="760" w:name="_Toc269387147"/>
      <w:r>
        <w:rPr>
          <w:rStyle w:val="CharSClsNo"/>
        </w:rPr>
        <w:t>14</w:t>
      </w:r>
      <w:r>
        <w:t>.</w:t>
      </w:r>
      <w:r>
        <w:tab/>
        <w:t>Fines payable by members</w:t>
      </w:r>
      <w:bookmarkEnd w:id="758"/>
      <w:bookmarkEnd w:id="759"/>
      <w:bookmarkEnd w:id="760"/>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761" w:name="_Toc292197957"/>
      <w:bookmarkStart w:id="762" w:name="_Toc267388831"/>
      <w:bookmarkStart w:id="763" w:name="_Toc269387148"/>
      <w:r>
        <w:rPr>
          <w:rStyle w:val="CharSClsNo"/>
        </w:rPr>
        <w:t>15</w:t>
      </w:r>
      <w:r>
        <w:t>.</w:t>
      </w:r>
      <w:r>
        <w:tab/>
        <w:t>Capital and shares</w:t>
      </w:r>
      <w:bookmarkEnd w:id="761"/>
      <w:bookmarkEnd w:id="762"/>
      <w:bookmarkEnd w:id="763"/>
    </w:p>
    <w:p>
      <w:pPr>
        <w:pStyle w:val="ySubsection"/>
      </w:pPr>
      <w:r>
        <w:tab/>
        <w:t>(1)</w:t>
      </w:r>
      <w:r>
        <w:tab/>
        <w:t>The capital of the co</w:t>
      </w:r>
      <w:r>
        <w:noBreakHyphen/>
        <w:t>operative must be raised by the issue of shares of nominal value of $ ..... each.* [s. 140(2)]</w:t>
      </w:r>
    </w:p>
    <w:p>
      <w:pPr>
        <w:pStyle w:val="NotesPerm"/>
        <w:ind w:left="1418" w:hanging="1418"/>
        <w:rPr>
          <w:i/>
          <w:iCs/>
        </w:rPr>
      </w:pPr>
      <w:r>
        <w:tab/>
        <w:t>*Note:</w:t>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NotesPerm"/>
        <w:ind w:left="1418" w:hanging="1418"/>
      </w:pPr>
      <w:r>
        <w:tab/>
        <w:t>*Note:</w:t>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The board may require a member to take up or subscribe for additional shares under a proposal approved of by the members by special resolution under section 146 of the Act.</w:t>
      </w:r>
    </w:p>
    <w:p>
      <w:pPr>
        <w:pStyle w:val="ySubsection"/>
      </w:pPr>
      <w:r>
        <w:tab/>
        <w:t>(7)</w:t>
      </w:r>
      <w:r>
        <w:tab/>
        <w:t>Bonus shares may be issued by the co</w:t>
      </w:r>
      <w:r>
        <w:noBreakHyphen/>
        <w:t>operative under sections 147 and 271 of the Act.</w:t>
      </w:r>
    </w:p>
    <w:p>
      <w:pPr>
        <w:pStyle w:val="ySubsection"/>
      </w:pPr>
      <w:r>
        <w:tab/>
        <w:t>(8)</w:t>
      </w:r>
      <w:r>
        <w:tab/>
        <w:t>Shares of the co</w:t>
      </w:r>
      <w:r>
        <w:noBreakHyphen/>
        <w:t xml:space="preserve">operative must not be quoted for sale or purchase at any stock exchange or in any other public manner whatsoever (within the meaning of the </w:t>
      </w:r>
      <w:r>
        <w:rPr>
          <w:i/>
          <w:iCs/>
        </w:rPr>
        <w:t>Income Tax Assessment Act 1936</w:t>
      </w:r>
      <w:r>
        <w:t xml:space="preserve"> (Commonwealth)).</w:t>
      </w:r>
    </w:p>
    <w:p>
      <w:pPr>
        <w:pStyle w:val="ySubsection"/>
      </w:pPr>
      <w:r>
        <w:tab/>
        <w:t>(9)</w:t>
      </w:r>
      <w:r>
        <w:tab/>
        <w:t>Under section 255 of the Act, the co</w:t>
      </w:r>
      <w:r>
        <w:noBreakHyphen/>
        <w:t>operative is authorised to require members to lend money to the co</w:t>
      </w:r>
      <w:r>
        <w:noBreakHyphen/>
        <w:t>operative, under a proposal approved by special resolution of the co</w:t>
      </w:r>
      <w:r>
        <w:noBreakHyphen/>
        <w:t>operative.</w:t>
      </w:r>
    </w:p>
    <w:p>
      <w:pPr>
        <w:pStyle w:val="yHeading5"/>
      </w:pPr>
      <w:bookmarkStart w:id="764" w:name="_Toc292197958"/>
      <w:bookmarkStart w:id="765" w:name="_Toc267388832"/>
      <w:bookmarkStart w:id="766" w:name="_Toc269387149"/>
      <w:r>
        <w:rPr>
          <w:rStyle w:val="CharSClsNo"/>
        </w:rPr>
        <w:t>16</w:t>
      </w:r>
      <w:r>
        <w:t>.</w:t>
      </w:r>
      <w:r>
        <w:tab/>
        <w:t>Liability of members to co</w:t>
      </w:r>
      <w:r>
        <w:noBreakHyphen/>
        <w:t>operatives</w:t>
      </w:r>
      <w:bookmarkEnd w:id="764"/>
      <w:bookmarkEnd w:id="765"/>
      <w:bookmarkEnd w:id="766"/>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to any such charges mentioned in subclause (1).</w:t>
      </w:r>
    </w:p>
    <w:p>
      <w:pPr>
        <w:pStyle w:val="yHeading5"/>
      </w:pPr>
      <w:bookmarkStart w:id="767" w:name="_Toc292197959"/>
      <w:bookmarkStart w:id="768" w:name="_Toc267388833"/>
      <w:bookmarkStart w:id="769" w:name="_Toc269387150"/>
      <w:r>
        <w:rPr>
          <w:rStyle w:val="CharSClsNo"/>
        </w:rPr>
        <w:t>17</w:t>
      </w:r>
      <w:r>
        <w:t>.</w:t>
      </w:r>
      <w:r>
        <w:tab/>
        <w:t>Calls on shares</w:t>
      </w:r>
      <w:bookmarkEnd w:id="767"/>
      <w:bookmarkEnd w:id="768"/>
      <w:bookmarkEnd w:id="769"/>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day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of not more than 8% per annum or another rate fixed by the co</w:t>
      </w:r>
      <w:r>
        <w:noBreakHyphen/>
        <w:t>operative by special resolution.</w:t>
      </w:r>
    </w:p>
    <w:p>
      <w:pPr>
        <w:pStyle w:val="yHeading5"/>
      </w:pPr>
      <w:bookmarkStart w:id="770" w:name="_Toc292197960"/>
      <w:bookmarkStart w:id="771" w:name="_Toc267388834"/>
      <w:bookmarkStart w:id="772" w:name="_Toc269387151"/>
      <w:r>
        <w:rPr>
          <w:rStyle w:val="CharSClsNo"/>
        </w:rPr>
        <w:t>18</w:t>
      </w:r>
      <w:r>
        <w:t>.</w:t>
      </w:r>
      <w:r>
        <w:tab/>
        <w:t>Sale of members’ shares</w:t>
      </w:r>
      <w:bookmarkEnd w:id="770"/>
      <w:bookmarkEnd w:id="771"/>
      <w:bookmarkEnd w:id="772"/>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773" w:name="_Toc292197961"/>
      <w:bookmarkStart w:id="774" w:name="_Toc267388835"/>
      <w:bookmarkStart w:id="775" w:name="_Toc269387152"/>
      <w:r>
        <w:rPr>
          <w:rStyle w:val="CharSClsNo"/>
        </w:rPr>
        <w:t>19</w:t>
      </w:r>
      <w:r>
        <w:t>.</w:t>
      </w:r>
      <w:r>
        <w:tab/>
        <w:t>Transfer and transmission of shares</w:t>
      </w:r>
      <w:bookmarkEnd w:id="773"/>
      <w:bookmarkEnd w:id="774"/>
      <w:bookmarkEnd w:id="775"/>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The transferor is taken to remain the holder of the share until the name of the transferee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transferor) of ………………………………… in the State </w:t>
      </w:r>
    </w:p>
    <w:p>
      <w:pPr>
        <w:pStyle w:val="yMiscellaneousBody"/>
        <w:ind w:left="879"/>
      </w:pPr>
      <w:r>
        <w:t xml:space="preserve">of ………………………. in consideration of the sum of $ …….. paid </w:t>
      </w:r>
    </w:p>
    <w:p>
      <w:pPr>
        <w:pStyle w:val="yMiscellaneousBody"/>
        <w:ind w:left="879"/>
      </w:pPr>
      <w:r>
        <w:t xml:space="preserve">to me by C.D. (the transferee), of …………………………………….. </w:t>
      </w:r>
    </w:p>
    <w:p>
      <w:pPr>
        <w:pStyle w:val="yMiscellaneousBody"/>
        <w:ind w:left="879"/>
      </w:pPr>
      <w:r>
        <w:t xml:space="preserve">in the State of …………………………... transfer to the transferee the </w:t>
      </w:r>
    </w:p>
    <w:p>
      <w:pPr>
        <w:pStyle w:val="yMiscellaneousBody"/>
        <w:ind w:left="879"/>
        <w:jc w:val="right"/>
      </w:pPr>
      <w:r>
        <w:t>share (or shares) numbered ………. in the …………………………… (name of co</w:t>
      </w:r>
      <w:r>
        <w:noBreakHyphen/>
        <w:t>operative)</w:t>
      </w:r>
    </w:p>
    <w:p>
      <w:pPr>
        <w:pStyle w:val="yMiscellaneousBody"/>
        <w:ind w:left="879"/>
      </w:pPr>
      <w:r>
        <w:t>to hold for the transferee, the transferee’s executors, administrators, and assigns, subject to the several conditions on which I hold the same at the time of the execution.</w:t>
      </w:r>
    </w:p>
    <w:p>
      <w:pPr>
        <w:pStyle w:val="yMiscellaneousBody"/>
        <w:ind w:left="879"/>
      </w:pPr>
      <w:r>
        <w:t>And I, the transferee, agree to take the said share (or shares) subject to the conditions previously mentioned in this document.</w:t>
      </w:r>
    </w:p>
    <w:p>
      <w:pPr>
        <w:pStyle w:val="yMiscellaneousBody"/>
        <w:ind w:left="879"/>
      </w:pPr>
      <w:r>
        <w:t>Dated this ………….. day of ………………………….. 20 …………</w:t>
      </w:r>
    </w:p>
    <w:p>
      <w:pPr>
        <w:pStyle w:val="yMiscellaneousBody"/>
        <w:ind w:left="879"/>
      </w:pPr>
      <w:r>
        <w:t>Signed by …………………………………………………. transferor.</w:t>
      </w:r>
    </w:p>
    <w:p>
      <w:pPr>
        <w:pStyle w:val="yMiscellaneousBody"/>
        <w:ind w:left="879"/>
      </w:pPr>
      <w:r>
        <w:t>In the presence of …………………………………………… witness.</w:t>
      </w:r>
    </w:p>
    <w:p>
      <w:pPr>
        <w:pStyle w:val="yMiscellaneousBody"/>
        <w:ind w:left="879"/>
      </w:pPr>
      <w:r>
        <w:t>Signed by …………………………………………………. transferee.</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operative has a lien or charge. If the board refuses to register a transfer of shares it must send notice of the refusal to the transferee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the instrument of transfer is accompanied by any evidence the board may require to show the right of the transferor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Heading5"/>
      </w:pPr>
      <w:bookmarkStart w:id="776" w:name="_Toc292197962"/>
      <w:bookmarkStart w:id="777" w:name="_Toc267388836"/>
      <w:bookmarkStart w:id="778" w:name="_Toc269387153"/>
      <w:r>
        <w:rPr>
          <w:rStyle w:val="CharSClsNo"/>
        </w:rPr>
        <w:t>20</w:t>
      </w:r>
      <w:r>
        <w:t>.</w:t>
      </w:r>
      <w:r>
        <w:tab/>
        <w:t>Effect of sale, transfer or disposal of shares</w:t>
      </w:r>
      <w:bookmarkEnd w:id="776"/>
      <w:bookmarkEnd w:id="777"/>
      <w:bookmarkEnd w:id="778"/>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779" w:name="_Toc292197963"/>
      <w:bookmarkStart w:id="780" w:name="_Toc267388837"/>
      <w:bookmarkStart w:id="781" w:name="_Toc269387154"/>
      <w:r>
        <w:rPr>
          <w:rStyle w:val="CharSClsNo"/>
        </w:rPr>
        <w:t>21</w:t>
      </w:r>
      <w:r>
        <w:t>.</w:t>
      </w:r>
      <w:r>
        <w:tab/>
        <w:t>Forfeiture and cancellations — inactive members</w:t>
      </w:r>
      <w:bookmarkEnd w:id="779"/>
      <w:bookmarkEnd w:id="780"/>
      <w:bookmarkEnd w:id="781"/>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 xml:space="preserve">operative must keep a register of cancelled memberships under subclause (1), that must include the particulars in the </w:t>
      </w:r>
      <w:r>
        <w:rPr>
          <w:i/>
          <w:iCs/>
        </w:rPr>
        <w:t>Co</w:t>
      </w:r>
      <w:r>
        <w:rPr>
          <w:i/>
          <w:iCs/>
        </w:rPr>
        <w:noBreakHyphen/>
        <w:t>operatives Regulations 2010</w:t>
      </w:r>
      <w:r>
        <w:t>, Schedule 4 clause 5.</w:t>
      </w:r>
    </w:p>
    <w:p>
      <w:pPr>
        <w:pStyle w:val="yHeading5"/>
      </w:pPr>
      <w:bookmarkStart w:id="782" w:name="_Toc292197964"/>
      <w:bookmarkStart w:id="783" w:name="_Toc267388838"/>
      <w:bookmarkStart w:id="784" w:name="_Toc269387155"/>
      <w:r>
        <w:rPr>
          <w:rStyle w:val="CharSClsNo"/>
        </w:rPr>
        <w:t>22</w:t>
      </w:r>
      <w:r>
        <w:t>.</w:t>
      </w:r>
      <w:r>
        <w:tab/>
        <w:t>Forfeiture of shares</w:t>
      </w:r>
      <w:bookmarkEnd w:id="782"/>
      <w:bookmarkEnd w:id="783"/>
      <w:bookmarkEnd w:id="784"/>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Subsection"/>
      </w:pPr>
      <w:r>
        <w:tab/>
        <w:t>(4)</w:t>
      </w:r>
      <w:r>
        <w:tab/>
        <w:t>Such a forfeiture must include all dividends declared for the forfeited shares and not actually paid before forfeiture.</w:t>
      </w:r>
    </w:p>
    <w:p>
      <w:pPr>
        <w:pStyle w:val="yHeading5"/>
      </w:pPr>
      <w:bookmarkStart w:id="785" w:name="_Toc292197965"/>
      <w:bookmarkStart w:id="786" w:name="_Toc267388839"/>
      <w:bookmarkStart w:id="787" w:name="_Toc269387156"/>
      <w:r>
        <w:rPr>
          <w:rStyle w:val="CharSClsNo"/>
        </w:rPr>
        <w:t>23</w:t>
      </w:r>
      <w:r>
        <w:t>.</w:t>
      </w:r>
      <w:r>
        <w:tab/>
        <w:t>Forfeited shares</w:t>
      </w:r>
      <w:bookmarkEnd w:id="785"/>
      <w:bookmarkEnd w:id="786"/>
      <w:bookmarkEnd w:id="787"/>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 xml:space="preserve">operative for the shares. </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788" w:name="_Toc292197966"/>
      <w:bookmarkStart w:id="789" w:name="_Toc267388840"/>
      <w:bookmarkStart w:id="790" w:name="_Toc269387157"/>
      <w:r>
        <w:rPr>
          <w:rStyle w:val="CharSClsNo"/>
        </w:rPr>
        <w:t>24</w:t>
      </w:r>
      <w:r>
        <w:t>.</w:t>
      </w:r>
      <w:r>
        <w:tab/>
        <w:t>Forfeiture for non</w:t>
      </w:r>
      <w:r>
        <w:noBreakHyphen/>
        <w:t>payment of subscription</w:t>
      </w:r>
      <w:bookmarkEnd w:id="788"/>
      <w:bookmarkEnd w:id="789"/>
      <w:bookmarkEnd w:id="790"/>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decided by the board, but within one year from the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791" w:name="_Toc292197967"/>
      <w:bookmarkStart w:id="792" w:name="_Toc267388841"/>
      <w:bookmarkStart w:id="793" w:name="_Toc269387158"/>
      <w:r>
        <w:rPr>
          <w:rStyle w:val="CharSClsNo"/>
        </w:rPr>
        <w:t>25</w:t>
      </w:r>
      <w:r>
        <w:t>.</w:t>
      </w:r>
      <w:r>
        <w:tab/>
        <w:t>Death of member</w:t>
      </w:r>
      <w:bookmarkEnd w:id="791"/>
      <w:bookmarkEnd w:id="792"/>
      <w:bookmarkEnd w:id="793"/>
    </w:p>
    <w:p>
      <w:pPr>
        <w:pStyle w:val="ySubsection"/>
      </w:pPr>
      <w:r>
        <w:tab/>
        <w:t>(1)</w:t>
      </w:r>
      <w:r>
        <w:tab/>
        <w:t>Subject to section 159 of the Act, the board must transfer a deceased member’s share or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 xml:space="preserve">The board may approve the transfer of a share or interest to a person other than the executor or administrator if the board is satisfied that —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&amp; 159] or</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794" w:name="_Toc292197968"/>
      <w:bookmarkStart w:id="795" w:name="_Toc267388842"/>
      <w:bookmarkStart w:id="796" w:name="_Toc269387159"/>
      <w:r>
        <w:rPr>
          <w:rStyle w:val="CharSClsNo"/>
        </w:rPr>
        <w:t>26</w:t>
      </w:r>
      <w:r>
        <w:t>.</w:t>
      </w:r>
      <w:r>
        <w:tab/>
        <w:t>Dealings of members with co</w:t>
      </w:r>
      <w:r>
        <w:noBreakHyphen/>
        <w:t>operatives</w:t>
      </w:r>
      <w:bookmarkEnd w:id="794"/>
      <w:bookmarkEnd w:id="795"/>
      <w:bookmarkEnd w:id="796"/>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shall be enforced under that section and clause 27.</w:t>
      </w:r>
    </w:p>
    <w:p>
      <w:pPr>
        <w:pStyle w:val="yHeading5"/>
      </w:pPr>
      <w:bookmarkStart w:id="797" w:name="_Toc292197969"/>
      <w:bookmarkStart w:id="798" w:name="_Toc267388843"/>
      <w:bookmarkStart w:id="799" w:name="_Toc269387160"/>
      <w:r>
        <w:rPr>
          <w:rStyle w:val="CharSClsNo"/>
        </w:rPr>
        <w:t>27</w:t>
      </w:r>
      <w:r>
        <w:t>.</w:t>
      </w:r>
      <w:r>
        <w:tab/>
        <w:t>Charges on shares</w:t>
      </w:r>
      <w:bookmarkEnd w:id="797"/>
      <w:bookmarkEnd w:id="798"/>
      <w:bookmarkEnd w:id="799"/>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 off any amount paid on account of that share or otherwise or any amount credited or payable to the member or past member in or towards payment of the debt.</w:t>
      </w:r>
    </w:p>
    <w:p>
      <w:pPr>
        <w:pStyle w:val="ySubsection"/>
      </w:pPr>
      <w:r>
        <w:tab/>
        <w:t>(2)</w:t>
      </w:r>
      <w:r>
        <w:tab/>
        <w:t>The charge may be enforced at any time after 7 days notice to the member or past member, by the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day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any such sale the co</w:t>
      </w:r>
      <w:r>
        <w:noBreakHyphen/>
        <w:t>operative may deduct the expenses, if any, associated with the sale and may apply the balance to reduce the liability of the member. However, if a surplus remains after such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800" w:name="_Toc292197970"/>
      <w:bookmarkStart w:id="801" w:name="_Toc267388844"/>
      <w:bookmarkStart w:id="802" w:name="_Toc269387161"/>
      <w:r>
        <w:rPr>
          <w:rStyle w:val="CharSClsNo"/>
        </w:rPr>
        <w:t>28</w:t>
      </w:r>
      <w:r>
        <w:t>.</w:t>
      </w:r>
      <w:r>
        <w:tab/>
        <w:t>Registration of Official Trustee in Bankruptcy</w:t>
      </w:r>
      <w:bookmarkEnd w:id="800"/>
      <w:bookmarkEnd w:id="801"/>
      <w:bookmarkEnd w:id="802"/>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803" w:name="_Toc292197971"/>
      <w:bookmarkStart w:id="804" w:name="_Toc267388845"/>
      <w:bookmarkStart w:id="805" w:name="_Toc269387162"/>
      <w:r>
        <w:rPr>
          <w:rStyle w:val="CharSClsNo"/>
        </w:rPr>
        <w:t>29</w:t>
      </w:r>
      <w:r>
        <w:t>.</w:t>
      </w:r>
      <w:r>
        <w:tab/>
        <w:t>Registration as administrator of estate on incapacity of member</w:t>
      </w:r>
      <w:bookmarkEnd w:id="803"/>
      <w:bookmarkEnd w:id="804"/>
      <w:bookmarkEnd w:id="805"/>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806" w:name="_Toc292197972"/>
      <w:bookmarkStart w:id="807" w:name="_Toc267388846"/>
      <w:bookmarkStart w:id="808" w:name="_Toc269387163"/>
      <w:r>
        <w:rPr>
          <w:rStyle w:val="CharSClsNo"/>
        </w:rPr>
        <w:t>30</w:t>
      </w:r>
      <w:r>
        <w:t>.</w:t>
      </w:r>
      <w:r>
        <w:tab/>
        <w:t>Entitlements and liabilities of person registered as trustee, administrator etc.</w:t>
      </w:r>
      <w:bookmarkEnd w:id="806"/>
      <w:bookmarkEnd w:id="807"/>
      <w:bookmarkEnd w:id="808"/>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809" w:name="_Toc292197973"/>
      <w:bookmarkStart w:id="810" w:name="_Toc267388847"/>
      <w:bookmarkStart w:id="811" w:name="_Toc269387164"/>
      <w:r>
        <w:rPr>
          <w:rStyle w:val="CharSClsNo"/>
        </w:rPr>
        <w:t>31</w:t>
      </w:r>
      <w:r>
        <w:t>.</w:t>
      </w:r>
      <w:r>
        <w:tab/>
        <w:t>Transfer and transmission of debentures</w:t>
      </w:r>
      <w:bookmarkEnd w:id="809"/>
      <w:bookmarkEnd w:id="810"/>
      <w:bookmarkEnd w:id="811"/>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 transferee.</w:t>
      </w:r>
    </w:p>
    <w:p>
      <w:pPr>
        <w:pStyle w:val="ySubsection"/>
      </w:pPr>
      <w:r>
        <w:tab/>
        <w:t>(2)</w:t>
      </w:r>
      <w:r>
        <w:tab/>
        <w:t>If the co</w:t>
      </w:r>
      <w:r>
        <w:noBreakHyphen/>
        <w:t>operative refuses to register a transfer of debentures it must, within 28 days after the date on which the transfer was lodged with it, send to the transferee notice of the refusal.</w:t>
      </w:r>
    </w:p>
    <w:p>
      <w:pPr>
        <w:pStyle w:val="ySubsection"/>
      </w:pPr>
      <w:r>
        <w:tab/>
        <w:t>(3)</w:t>
      </w:r>
      <w:r>
        <w:tab/>
        <w:t>An instrument of transfer of a debenture must be executed by or on behalf of the transferor and the transferee. The transferor is taken to remain the holder of the debenture until the debenture in the name of the transferee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the instrument of transfer is accompanied by the relevant debenture(s) and any other evidence the board reasonably requires; in particular, evidence showing the right of the transferor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transferor) of ............................…………… in the State of </w:t>
      </w:r>
    </w:p>
    <w:p>
      <w:pPr>
        <w:pStyle w:val="yMiscellaneousBody"/>
        <w:ind w:left="879"/>
      </w:pPr>
      <w:r>
        <w:t xml:space="preserve">……………………………. in consideration of the sum of $ .….. paid </w:t>
      </w:r>
    </w:p>
    <w:p>
      <w:pPr>
        <w:pStyle w:val="yMiscellaneousBody"/>
        <w:ind w:left="879"/>
      </w:pPr>
      <w:r>
        <w:t xml:space="preserve">to me by C.D (the transferee), of ............................…… in the State of </w:t>
      </w:r>
    </w:p>
    <w:p>
      <w:pPr>
        <w:pStyle w:val="yMiscellaneousBody"/>
        <w:ind w:left="879"/>
      </w:pPr>
      <w:r>
        <w:t xml:space="preserve">…………………………….. transfer to the transferee the debenture(s) </w:t>
      </w:r>
    </w:p>
    <w:p>
      <w:pPr>
        <w:pStyle w:val="yMiscellaneousBody"/>
        <w:ind w:left="879"/>
      </w:pPr>
      <w:r>
        <w:t xml:space="preserve">numbered ...........................……… to be held by the transferee, the </w:t>
      </w:r>
    </w:p>
    <w:p>
      <w:pPr>
        <w:pStyle w:val="yMiscellaneousBody"/>
        <w:ind w:left="879"/>
      </w:pPr>
      <w:r>
        <w:t xml:space="preserve">transferee’s executors,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And I, the transferee agree to take the debenture(s) subject to the conditions mentioned.</w:t>
      </w:r>
    </w:p>
    <w:p>
      <w:pPr>
        <w:pStyle w:val="yMiscellaneousBody"/>
        <w:ind w:left="879"/>
      </w:pPr>
      <w:r>
        <w:t>Dated this ……………………….. day of ............................20 ………</w:t>
      </w:r>
    </w:p>
    <w:p>
      <w:pPr>
        <w:pStyle w:val="yMiscellaneousBody"/>
        <w:ind w:left="879"/>
      </w:pPr>
      <w:r>
        <w:t>Signed by ………………………………………………… transferor.</w:t>
      </w:r>
    </w:p>
    <w:p>
      <w:pPr>
        <w:pStyle w:val="yMiscellaneousBody"/>
        <w:ind w:left="879"/>
      </w:pPr>
      <w:r>
        <w:t>In the presence of ……………………………………………witness.</w:t>
      </w:r>
    </w:p>
    <w:p>
      <w:pPr>
        <w:pStyle w:val="yMiscellaneousBody"/>
        <w:ind w:left="879"/>
      </w:pPr>
      <w:r>
        <w:t>Signed by …………………………………………………. transferee.</w:t>
      </w:r>
    </w:p>
    <w:p>
      <w:pPr>
        <w:pStyle w:val="yMiscellaneousBody"/>
        <w:ind w:left="879"/>
      </w:pPr>
      <w:r>
        <w:t>In the presence of ………………………………………….,\ witness.</w:t>
      </w:r>
    </w:p>
    <w:p>
      <w:pPr>
        <w:pStyle w:val="yHeading5"/>
      </w:pPr>
      <w:bookmarkStart w:id="812" w:name="_Toc292197974"/>
      <w:bookmarkStart w:id="813" w:name="_Toc267388848"/>
      <w:bookmarkStart w:id="814" w:name="_Toc269387165"/>
      <w:r>
        <w:rPr>
          <w:rStyle w:val="CharSClsNo"/>
        </w:rPr>
        <w:t>32</w:t>
      </w:r>
      <w:r>
        <w:t>.</w:t>
      </w:r>
      <w:r>
        <w:tab/>
        <w:t>Issue of CCUs</w:t>
      </w:r>
      <w:bookmarkEnd w:id="812"/>
      <w:bookmarkEnd w:id="813"/>
      <w:bookmarkEnd w:id="814"/>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NotesPerm"/>
        <w:ind w:left="1418" w:hanging="1418"/>
        <w:rPr>
          <w:i/>
          <w:iCs/>
        </w:rPr>
      </w:pPr>
      <w:r>
        <w:tab/>
        <w:t>*Note:</w:t>
      </w:r>
      <w:r>
        <w:tab/>
        <w:t>Debenture holders receive notice of meetings of debenture holders not general meetings of the co</w:t>
      </w:r>
      <w:r>
        <w:noBreakHyphen/>
        <w:t>operative.</w:t>
      </w:r>
    </w:p>
    <w:p>
      <w:pPr>
        <w:pStyle w:val="yHeading5"/>
      </w:pPr>
      <w:bookmarkStart w:id="815" w:name="_Toc292197975"/>
      <w:bookmarkStart w:id="816" w:name="_Toc267388849"/>
      <w:bookmarkStart w:id="817" w:name="_Toc269387166"/>
      <w:r>
        <w:rPr>
          <w:rStyle w:val="CharSClsNo"/>
        </w:rPr>
        <w:t>33</w:t>
      </w:r>
      <w:r>
        <w:t>.</w:t>
      </w:r>
      <w:r>
        <w:tab/>
        <w:t>Transfer and transmission of CCUs</w:t>
      </w:r>
      <w:bookmarkEnd w:id="815"/>
      <w:bookmarkEnd w:id="816"/>
      <w:bookmarkEnd w:id="817"/>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818" w:name="_Toc292197976"/>
      <w:bookmarkStart w:id="819" w:name="_Toc267388850"/>
      <w:bookmarkStart w:id="820" w:name="_Toc269387167"/>
      <w:r>
        <w:rPr>
          <w:rStyle w:val="CharSClsNo"/>
        </w:rPr>
        <w:t>34</w:t>
      </w:r>
      <w:r>
        <w:t>.</w:t>
      </w:r>
      <w:r>
        <w:tab/>
        <w:t>Annual general meetings</w:t>
      </w:r>
      <w:bookmarkEnd w:id="818"/>
      <w:bookmarkEnd w:id="819"/>
      <w:bookmarkEnd w:id="820"/>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NotesPerm"/>
        <w:ind w:left="1418" w:hanging="1418"/>
        <w:rPr>
          <w:i/>
          <w:iCs/>
        </w:rPr>
      </w:pPr>
      <w:r>
        <w:tab/>
        <w:t>Note:</w:t>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35 of these rules, requisition a special general meeting.</w:t>
      </w:r>
    </w:p>
    <w:p>
      <w:pPr>
        <w:pStyle w:val="yHeading5"/>
      </w:pPr>
      <w:bookmarkStart w:id="821" w:name="_Toc292197977"/>
      <w:bookmarkStart w:id="822" w:name="_Toc267388851"/>
      <w:bookmarkStart w:id="823" w:name="_Toc269387168"/>
      <w:r>
        <w:rPr>
          <w:rStyle w:val="CharSClsNo"/>
        </w:rPr>
        <w:t>35</w:t>
      </w:r>
      <w:r>
        <w:t>.</w:t>
      </w:r>
      <w:r>
        <w:tab/>
        <w:t>Special general meetings</w:t>
      </w:r>
      <w:bookmarkEnd w:id="821"/>
      <w:bookmarkEnd w:id="822"/>
      <w:bookmarkEnd w:id="823"/>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824" w:name="_Toc292197978"/>
      <w:bookmarkStart w:id="825" w:name="_Toc267388852"/>
      <w:bookmarkStart w:id="826" w:name="_Toc269387169"/>
      <w:r>
        <w:rPr>
          <w:rStyle w:val="CharSClsNo"/>
        </w:rPr>
        <w:t>36</w:t>
      </w:r>
      <w:r>
        <w:t>.</w:t>
      </w:r>
      <w:r>
        <w:tab/>
        <w:t>Notice of general meetings</w:t>
      </w:r>
      <w:bookmarkEnd w:id="824"/>
      <w:bookmarkEnd w:id="825"/>
      <w:bookmarkEnd w:id="826"/>
      <w:r>
        <w:t xml:space="preserve"> </w:t>
      </w:r>
    </w:p>
    <w:p>
      <w:pPr>
        <w:pStyle w:val="ySubsection"/>
      </w:pPr>
      <w:r>
        <w:tab/>
        <w:t>(1)</w:t>
      </w:r>
      <w:r>
        <w:tab/>
        <w:t>Subject to clause 37, at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Heading5"/>
      </w:pPr>
      <w:bookmarkStart w:id="827" w:name="_Toc292197979"/>
      <w:bookmarkStart w:id="828" w:name="_Toc267388853"/>
      <w:bookmarkStart w:id="829" w:name="_Toc269387170"/>
      <w:r>
        <w:rPr>
          <w:rStyle w:val="CharSClsNo"/>
        </w:rPr>
        <w:t>37</w:t>
      </w:r>
      <w:r>
        <w:t>.</w:t>
      </w:r>
      <w:r>
        <w:tab/>
        <w:t>Notice of general meetings (small co</w:t>
      </w:r>
      <w:r>
        <w:noBreakHyphen/>
        <w:t>operatives)</w:t>
      </w:r>
      <w:bookmarkEnd w:id="827"/>
      <w:bookmarkEnd w:id="828"/>
      <w:bookmarkEnd w:id="829"/>
    </w:p>
    <w:p>
      <w:pPr>
        <w:pStyle w:val="ySubsection"/>
      </w:pPr>
      <w:r>
        <w:tab/>
        <w:t>(1)</w:t>
      </w:r>
      <w:r>
        <w:tab/>
        <w:t>If the co</w:t>
      </w:r>
      <w:r>
        <w:noBreakHyphen/>
        <w:t>operative is a small co</w:t>
      </w:r>
      <w:r>
        <w:noBreakHyphen/>
        <w:t>operative, at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the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Subject to subclause (5), the notice must include — </w:t>
      </w:r>
    </w:p>
    <w:p>
      <w:pPr>
        <w:pStyle w:val="yIndenta"/>
      </w:pPr>
      <w:r>
        <w:tab/>
        <w:t>(a)</w:t>
      </w:r>
      <w:r>
        <w:tab/>
        <w:t xml:space="preserve"> a copy of the financial report (unaudited for the last financial year); and</w:t>
      </w:r>
    </w:p>
    <w:p>
      <w:pPr>
        <w:pStyle w:val="yIndenta"/>
      </w:pPr>
      <w:r>
        <w:tab/>
        <w:t>(b)</w:t>
      </w:r>
      <w:r>
        <w:tab/>
        <w:t>a directors’ solvency resolution as to whether or not, in their opinion, there are reasonable grounds to believe that the co</w:t>
      </w:r>
      <w:r>
        <w:noBreakHyphen/>
        <w:t>operative will be able to pay its debts as and when they become due and payable.</w:t>
      </w:r>
    </w:p>
    <w:p>
      <w:pPr>
        <w:pStyle w:val="ySubsection"/>
      </w:pPr>
      <w:r>
        <w:tab/>
        <w:t>(5)</w:t>
      </w:r>
      <w:r>
        <w:tab/>
        <w:t>The copies of the financial report are not required to form a part of the notice if the co</w:t>
      </w:r>
      <w:r>
        <w:noBreakHyphen/>
        <w:t>operative has been directed under section 293 or 294 of the Corporations Act to audit its financial statements. [s. 225]</w:t>
      </w:r>
    </w:p>
    <w:p>
      <w:pPr>
        <w:pStyle w:val="yHeading5"/>
      </w:pPr>
      <w:bookmarkStart w:id="830" w:name="_Toc292197980"/>
      <w:bookmarkStart w:id="831" w:name="_Toc267388854"/>
      <w:bookmarkStart w:id="832" w:name="_Toc269387171"/>
      <w:r>
        <w:rPr>
          <w:rStyle w:val="CharSClsNo"/>
        </w:rPr>
        <w:t>38</w:t>
      </w:r>
      <w:r>
        <w:t>.</w:t>
      </w:r>
      <w:r>
        <w:tab/>
        <w:t>Business of general meetings</w:t>
      </w:r>
      <w:bookmarkEnd w:id="830"/>
      <w:bookmarkEnd w:id="831"/>
      <w:bookmarkEnd w:id="832"/>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833" w:name="_Toc292197981"/>
      <w:bookmarkStart w:id="834" w:name="_Toc267388855"/>
      <w:bookmarkStart w:id="835" w:name="_Toc269387172"/>
      <w:r>
        <w:rPr>
          <w:rStyle w:val="CharSClsNo"/>
        </w:rPr>
        <w:t>39</w:t>
      </w:r>
      <w:r>
        <w:t>.</w:t>
      </w:r>
      <w:r>
        <w:tab/>
        <w:t>Quorum at general meetings</w:t>
      </w:r>
      <w:bookmarkEnd w:id="833"/>
      <w:bookmarkEnd w:id="834"/>
      <w:bookmarkEnd w:id="835"/>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836" w:name="_Toc292197982"/>
      <w:bookmarkStart w:id="837" w:name="_Toc267388856"/>
      <w:bookmarkStart w:id="838" w:name="_Toc269387173"/>
      <w:r>
        <w:rPr>
          <w:rStyle w:val="CharSClsNo"/>
        </w:rPr>
        <w:t>40</w:t>
      </w:r>
      <w:r>
        <w:t>.</w:t>
      </w:r>
      <w:r>
        <w:tab/>
        <w:t>Chairperson at general meetings</w:t>
      </w:r>
      <w:bookmarkEnd w:id="836"/>
      <w:bookmarkEnd w:id="837"/>
      <w:bookmarkEnd w:id="838"/>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839" w:name="_Toc292197983"/>
      <w:bookmarkStart w:id="840" w:name="_Toc267388857"/>
      <w:bookmarkStart w:id="841" w:name="_Toc269387174"/>
      <w:r>
        <w:rPr>
          <w:rStyle w:val="CharSClsNo"/>
        </w:rPr>
        <w:t>41</w:t>
      </w:r>
      <w:r>
        <w:t>.</w:t>
      </w:r>
      <w:r>
        <w:tab/>
        <w:t>Attendance and voting at general meetings</w:t>
      </w:r>
      <w:bookmarkEnd w:id="839"/>
      <w:bookmarkEnd w:id="840"/>
      <w:bookmarkEnd w:id="841"/>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NotesPerm"/>
        <w:tabs>
          <w:tab w:val="clear" w:pos="879"/>
          <w:tab w:val="left" w:pos="1418"/>
        </w:tabs>
      </w:pPr>
      <w:r>
        <w:tab/>
        <w:t>Note:</w:t>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 xml:space="preserve">A poll may be demanded on any question for decision. </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842" w:name="_Toc292197984"/>
      <w:bookmarkStart w:id="843" w:name="_Toc267388858"/>
      <w:bookmarkStart w:id="844" w:name="_Toc269387175"/>
      <w:r>
        <w:rPr>
          <w:rStyle w:val="CharSClsNo"/>
        </w:rPr>
        <w:t>42</w:t>
      </w:r>
      <w:r>
        <w:t>.</w:t>
      </w:r>
      <w:r>
        <w:tab/>
        <w:t>Voting on a show of hands</w:t>
      </w:r>
      <w:bookmarkEnd w:id="842"/>
      <w:bookmarkEnd w:id="843"/>
      <w:bookmarkEnd w:id="844"/>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NotesPerm"/>
        <w:tabs>
          <w:tab w:val="clear" w:pos="879"/>
          <w:tab w:val="left" w:pos="851"/>
        </w:tabs>
        <w:ind w:left="1418" w:hanging="1418"/>
      </w:pPr>
      <w:r>
        <w:tab/>
        <w:t>*Note:</w:t>
      </w:r>
      <w:r>
        <w:tab/>
        <w:t>If the rules do not allow for non</w:t>
      </w:r>
      <w:r>
        <w:noBreakHyphen/>
        <w:t>members to be appointed as proxies, paragraph (d) should be omitted.</w:t>
      </w:r>
    </w:p>
    <w:p>
      <w:pPr>
        <w:pStyle w:val="yHeading5"/>
        <w:rPr>
          <w:rStyle w:val="CharSClsNo"/>
        </w:rPr>
      </w:pPr>
      <w:bookmarkStart w:id="845" w:name="_Toc292197985"/>
      <w:bookmarkStart w:id="846" w:name="_Toc267388859"/>
      <w:bookmarkStart w:id="847" w:name="_Toc269387176"/>
      <w:r>
        <w:rPr>
          <w:rStyle w:val="CharSClsNo"/>
        </w:rPr>
        <w:t>43.</w:t>
      </w:r>
      <w:r>
        <w:rPr>
          <w:rStyle w:val="CharSClsNo"/>
        </w:rPr>
        <w:tab/>
        <w:t>Voting on a poll</w:t>
      </w:r>
      <w:bookmarkEnd w:id="845"/>
      <w:bookmarkEnd w:id="846"/>
      <w:bookmarkEnd w:id="847"/>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848" w:name="_Toc292197986"/>
      <w:bookmarkStart w:id="849" w:name="_Toc267388860"/>
      <w:bookmarkStart w:id="850" w:name="_Toc269387177"/>
      <w:r>
        <w:rPr>
          <w:rStyle w:val="CharSClsNo"/>
        </w:rPr>
        <w:t>44.</w:t>
      </w:r>
      <w:r>
        <w:rPr>
          <w:rStyle w:val="CharSClsNo"/>
        </w:rPr>
        <w:tab/>
        <w:t>Determining the outcome where equality of votes</w:t>
      </w:r>
      <w:bookmarkEnd w:id="848"/>
      <w:bookmarkEnd w:id="849"/>
      <w:bookmarkEnd w:id="850"/>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851" w:name="_Toc292197987"/>
      <w:bookmarkStart w:id="852" w:name="_Toc267388861"/>
      <w:bookmarkStart w:id="853" w:name="_Toc269387178"/>
      <w:r>
        <w:rPr>
          <w:rStyle w:val="CharSClsNo"/>
        </w:rPr>
        <w:t>45</w:t>
      </w:r>
      <w:r>
        <w:t>.</w:t>
      </w:r>
      <w:r>
        <w:tab/>
        <w:t>Proxy votes</w:t>
      </w:r>
      <w:bookmarkEnd w:id="851"/>
      <w:bookmarkEnd w:id="852"/>
      <w:bookmarkEnd w:id="853"/>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NotesPerm"/>
        <w:ind w:left="1418" w:hanging="1418"/>
      </w:pPr>
      <w:r>
        <w:tab/>
        <w:t>**Note: 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NotesPerm"/>
        <w:tabs>
          <w:tab w:val="clear" w:pos="879"/>
          <w:tab w:val="left" w:pos="851"/>
          <w:tab w:val="left" w:pos="1418"/>
        </w:tabs>
        <w:ind w:left="1418" w:hanging="1418"/>
      </w:pPr>
      <w:r>
        <w:tab/>
        <w:t>***Note: 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854" w:name="_Toc292197988"/>
      <w:bookmarkStart w:id="855" w:name="_Toc267388862"/>
      <w:bookmarkStart w:id="856" w:name="_Toc269387179"/>
      <w:r>
        <w:rPr>
          <w:rStyle w:val="CharSClsNo"/>
        </w:rPr>
        <w:t>46</w:t>
      </w:r>
      <w:r>
        <w:t>.</w:t>
      </w:r>
      <w:r>
        <w:tab/>
        <w:t>Postal ballots</w:t>
      </w:r>
      <w:bookmarkEnd w:id="854"/>
      <w:bookmarkEnd w:id="855"/>
      <w:bookmarkEnd w:id="856"/>
    </w:p>
    <w:p>
      <w:pPr>
        <w:pStyle w:val="ySubsection"/>
      </w:pPr>
      <w:r>
        <w:tab/>
        <w:t>(1)</w:t>
      </w:r>
      <w:r>
        <w:tab/>
        <w:t>A postal ballot or special postal ballot must be held when required by the Act, these rules or when the members by ordinary resolution approve one.*</w:t>
      </w:r>
    </w:p>
    <w:p>
      <w:pPr>
        <w:pStyle w:val="NotesPerm"/>
        <w:tabs>
          <w:tab w:val="clear" w:pos="879"/>
          <w:tab w:val="left" w:pos="851"/>
        </w:tabs>
        <w:ind w:left="1418" w:hanging="1418"/>
      </w:pPr>
      <w:r>
        <w:tab/>
        <w:t>*Notes:</w:t>
      </w:r>
    </w:p>
    <w:p>
      <w:pPr>
        <w:pStyle w:val="NotesPerm"/>
        <w:tabs>
          <w:tab w:val="left" w:pos="851"/>
        </w:tabs>
        <w:ind w:left="1418" w:hanging="1418"/>
      </w:pPr>
      <w:r>
        <w:tab/>
        <w:t>1.</w:t>
      </w:r>
      <w:r>
        <w:tab/>
        <w:t>Section 187 of the Act lists a number of matters for which a special postal ballot must be conducted.</w:t>
      </w:r>
    </w:p>
    <w:p>
      <w:pPr>
        <w:pStyle w:val="NotesPerm"/>
        <w:tabs>
          <w:tab w:val="left" w:pos="851"/>
        </w:tabs>
        <w:ind w:left="1418" w:hanging="1418"/>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NotesPerm"/>
        <w:tabs>
          <w:tab w:val="clear" w:pos="879"/>
          <w:tab w:val="left" w:pos="851"/>
        </w:tabs>
        <w:ind w:left="1418" w:hanging="1418"/>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Act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NotesPerm"/>
        <w:tabs>
          <w:tab w:val="clear" w:pos="879"/>
          <w:tab w:val="left" w:pos="851"/>
        </w:tabs>
        <w:ind w:left="1418" w:hanging="1418"/>
      </w:pPr>
      <w:r>
        <w:tab/>
        <w:t>*Note:</w:t>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Heading5"/>
      </w:pPr>
      <w:bookmarkStart w:id="857" w:name="_Toc292197989"/>
      <w:bookmarkStart w:id="858" w:name="_Toc267388863"/>
      <w:bookmarkStart w:id="859" w:name="_Toc269387180"/>
      <w:r>
        <w:rPr>
          <w:rStyle w:val="CharSClsNo"/>
        </w:rPr>
        <w:t>47</w:t>
      </w:r>
      <w:r>
        <w:t>.</w:t>
      </w:r>
      <w:r>
        <w:tab/>
        <w:t>Special and ordinary resolutions</w:t>
      </w:r>
      <w:bookmarkEnd w:id="857"/>
      <w:bookmarkEnd w:id="858"/>
      <w:bookmarkEnd w:id="859"/>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860" w:name="_Toc292197990"/>
      <w:bookmarkStart w:id="861" w:name="_Toc267388864"/>
      <w:bookmarkStart w:id="862" w:name="_Toc269387181"/>
      <w:r>
        <w:rPr>
          <w:rStyle w:val="CharSClsNo"/>
        </w:rPr>
        <w:t>48</w:t>
      </w:r>
      <w:r>
        <w:t>.</w:t>
      </w:r>
      <w:r>
        <w:tab/>
        <w:t>Board of directors</w:t>
      </w:r>
      <w:bookmarkEnd w:id="860"/>
      <w:bookmarkEnd w:id="861"/>
      <w:bookmarkEnd w:id="862"/>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The board must have …… member directors each of whom must be an individual, whether as a member of the co</w:t>
      </w:r>
      <w:r>
        <w:noBreakHyphen/>
        <w:t>operative, or as a representative of a corporation member, and at least 18 years old.*</w:t>
      </w:r>
    </w:p>
    <w:p>
      <w:pPr>
        <w:pStyle w:val="NotesPerm"/>
        <w:tabs>
          <w:tab w:val="clear" w:pos="879"/>
          <w:tab w:val="left" w:pos="851"/>
        </w:tabs>
        <w:ind w:left="1418" w:hanging="1418"/>
      </w:pPr>
      <w:r>
        <w:tab/>
        <w:t>*Note:</w:t>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Heading5"/>
      </w:pPr>
      <w:bookmarkStart w:id="863" w:name="_Toc292197991"/>
      <w:bookmarkStart w:id="864" w:name="_Toc267388865"/>
      <w:bookmarkStart w:id="865" w:name="_Toc269387182"/>
      <w:r>
        <w:rPr>
          <w:rStyle w:val="CharSClsNo"/>
        </w:rPr>
        <w:t>49</w:t>
      </w:r>
      <w:r>
        <w:t>.</w:t>
      </w:r>
      <w:r>
        <w:tab/>
        <w:t>Qualifications of directors</w:t>
      </w:r>
      <w:bookmarkEnd w:id="863"/>
      <w:bookmarkEnd w:id="864"/>
      <w:bookmarkEnd w:id="865"/>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866" w:name="_Toc292197992"/>
      <w:bookmarkStart w:id="867" w:name="_Toc267388866"/>
      <w:bookmarkStart w:id="868" w:name="_Toc269387183"/>
      <w:r>
        <w:rPr>
          <w:rStyle w:val="CharSClsNo"/>
        </w:rPr>
        <w:t>50</w:t>
      </w:r>
      <w:r>
        <w:t>.</w:t>
      </w:r>
      <w:r>
        <w:tab/>
        <w:t>Independent directors</w:t>
      </w:r>
      <w:bookmarkEnd w:id="866"/>
      <w:bookmarkEnd w:id="867"/>
      <w:bookmarkEnd w:id="868"/>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869" w:name="_Toc292197993"/>
      <w:bookmarkStart w:id="870" w:name="_Toc267388867"/>
      <w:bookmarkStart w:id="871" w:name="_Toc269387184"/>
      <w:r>
        <w:rPr>
          <w:rStyle w:val="CharSClsNo"/>
        </w:rPr>
        <w:t>51</w:t>
      </w:r>
      <w:r>
        <w:t>.</w:t>
      </w:r>
      <w:r>
        <w:tab/>
        <w:t>Managing director</w:t>
      </w:r>
      <w:bookmarkEnd w:id="869"/>
      <w:bookmarkEnd w:id="870"/>
      <w:bookmarkEnd w:id="871"/>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872" w:name="_Toc292197994"/>
      <w:bookmarkStart w:id="873" w:name="_Toc267388868"/>
      <w:bookmarkStart w:id="874" w:name="_Toc269387185"/>
      <w:r>
        <w:rPr>
          <w:rStyle w:val="CharSClsNo"/>
        </w:rPr>
        <w:t>52</w:t>
      </w:r>
      <w:r>
        <w:t>.</w:t>
      </w:r>
      <w:r>
        <w:tab/>
        <w:t>First and subsequent directors</w:t>
      </w:r>
      <w:bookmarkEnd w:id="872"/>
      <w:bookmarkEnd w:id="873"/>
      <w:bookmarkEnd w:id="874"/>
    </w:p>
    <w:p>
      <w:pPr>
        <w:pStyle w:val="ySubsection"/>
      </w:pPr>
      <w:r>
        <w:tab/>
        <w:t>(1)</w:t>
      </w:r>
      <w:r>
        <w:tab/>
        <w:t>The first member directors must be elected by poll at the formation meeting of the co</w:t>
      </w:r>
      <w:r>
        <w:noBreakHyphen/>
        <w:t>operative.*</w:t>
      </w:r>
    </w:p>
    <w:p>
      <w:pPr>
        <w:pStyle w:val="NotesPerm"/>
        <w:tabs>
          <w:tab w:val="clear" w:pos="879"/>
          <w:tab w:val="left" w:pos="851"/>
        </w:tabs>
        <w:ind w:left="1418" w:hanging="1418"/>
      </w:pPr>
      <w:r>
        <w:tab/>
        <w:t>*Note:</w:t>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NotesPerm"/>
        <w:ind w:left="1418" w:hanging="1418"/>
      </w:pPr>
      <w:r>
        <w:tab/>
        <w:t>*Note:</w:t>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875" w:name="_Toc292197995"/>
      <w:bookmarkStart w:id="876" w:name="_Toc267388869"/>
      <w:bookmarkStart w:id="877" w:name="_Toc269387186"/>
      <w:r>
        <w:rPr>
          <w:rStyle w:val="CharSClsNo"/>
        </w:rPr>
        <w:t>53</w:t>
      </w:r>
      <w:r>
        <w:t>.</w:t>
      </w:r>
      <w:r>
        <w:tab/>
        <w:t>Removal from office of member director</w:t>
      </w:r>
      <w:bookmarkEnd w:id="875"/>
      <w:bookmarkEnd w:id="876"/>
      <w:bookmarkEnd w:id="877"/>
    </w:p>
    <w:p>
      <w:pPr>
        <w:pStyle w:val="ySubsection"/>
      </w:pPr>
      <w:r>
        <w:tab/>
      </w:r>
      <w:r>
        <w:tab/>
        <w:t>The co</w:t>
      </w:r>
      <w:r>
        <w:noBreakHyphen/>
        <w:t>operative may by special resolution remove a member director before the end of the member director’s period of office, and may by a simple majority appoint another person in place of the member director. The person appointed must retire when the removed member director would otherwise have retired. [s. 205(2)]</w:t>
      </w:r>
    </w:p>
    <w:p>
      <w:pPr>
        <w:pStyle w:val="yHeading5"/>
      </w:pPr>
      <w:bookmarkStart w:id="878" w:name="_Toc292197996"/>
      <w:bookmarkStart w:id="879" w:name="_Toc267388870"/>
      <w:bookmarkStart w:id="880" w:name="_Toc269387187"/>
      <w:r>
        <w:rPr>
          <w:rStyle w:val="CharSClsNo"/>
        </w:rPr>
        <w:t>54</w:t>
      </w:r>
      <w:r>
        <w:t>.</w:t>
      </w:r>
      <w:r>
        <w:tab/>
        <w:t>Vacation of office of director</w:t>
      </w:r>
      <w:bookmarkEnd w:id="878"/>
      <w:bookmarkEnd w:id="879"/>
      <w:bookmarkEnd w:id="880"/>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the director is disqualified or otherwise unable to be a director under section 200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the director is removed from office by special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operative’s affairs is appointed under Part 12 Division 5 of the Act.</w:t>
      </w:r>
    </w:p>
    <w:p>
      <w:pPr>
        <w:pStyle w:val="yHeading5"/>
      </w:pPr>
      <w:bookmarkStart w:id="881" w:name="_Toc292197997"/>
      <w:bookmarkStart w:id="882" w:name="_Toc267388871"/>
      <w:bookmarkStart w:id="883" w:name="_Toc269387188"/>
      <w:r>
        <w:rPr>
          <w:rStyle w:val="CharSClsNo"/>
        </w:rPr>
        <w:t>55</w:t>
      </w:r>
      <w:r>
        <w:t>.</w:t>
      </w:r>
      <w:r>
        <w:tab/>
        <w:t>Filling of casual vacancies</w:t>
      </w:r>
      <w:bookmarkEnd w:id="881"/>
      <w:bookmarkEnd w:id="882"/>
      <w:bookmarkEnd w:id="883"/>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NotesPerm"/>
        <w:ind w:left="1418" w:hanging="1418"/>
      </w:pPr>
      <w:r>
        <w:tab/>
        <w:t>*Note:</w:t>
      </w:r>
      <w:r>
        <w:tab/>
        <w:t>The rules may provide that, in the absence of a director from a meeting of the board, an alternate director may be appointed under section 203 of the Act.</w:t>
      </w:r>
    </w:p>
    <w:p>
      <w:pPr>
        <w:pStyle w:val="yHeading5"/>
      </w:pPr>
      <w:bookmarkStart w:id="884" w:name="_Toc292197998"/>
      <w:bookmarkStart w:id="885" w:name="_Toc267388872"/>
      <w:bookmarkStart w:id="886" w:name="_Toc269387189"/>
      <w:r>
        <w:rPr>
          <w:rStyle w:val="CharSClsNo"/>
        </w:rPr>
        <w:t>56</w:t>
      </w:r>
      <w:r>
        <w:t>.</w:t>
      </w:r>
      <w:r>
        <w:tab/>
        <w:t>Remuneration</w:t>
      </w:r>
      <w:bookmarkEnd w:id="884"/>
      <w:bookmarkEnd w:id="885"/>
      <w:bookmarkEnd w:id="886"/>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887" w:name="_Toc292197999"/>
      <w:bookmarkStart w:id="888" w:name="_Toc267388873"/>
      <w:bookmarkStart w:id="889" w:name="_Toc269387190"/>
      <w:r>
        <w:rPr>
          <w:rStyle w:val="CharSClsNo"/>
        </w:rPr>
        <w:t>57</w:t>
      </w:r>
      <w:r>
        <w:t>.</w:t>
      </w:r>
      <w:r>
        <w:tab/>
        <w:t>Proceedings of the board</w:t>
      </w:r>
      <w:bookmarkEnd w:id="887"/>
      <w:bookmarkEnd w:id="888"/>
      <w:bookmarkEnd w:id="889"/>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890" w:name="_Toc292198000"/>
      <w:bookmarkStart w:id="891" w:name="_Toc267388874"/>
      <w:bookmarkStart w:id="892" w:name="_Toc269387191"/>
      <w:r>
        <w:rPr>
          <w:rStyle w:val="CharSClsNo"/>
        </w:rPr>
        <w:t>58</w:t>
      </w:r>
      <w:r>
        <w:t>.</w:t>
      </w:r>
      <w:r>
        <w:tab/>
        <w:t>Transaction of business outside board meetings</w:t>
      </w:r>
      <w:bookmarkEnd w:id="890"/>
      <w:bookmarkEnd w:id="891"/>
      <w:bookmarkEnd w:id="892"/>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subclause (1)(a) by email, fax or other transmission of the information in the papers concerned.</w:t>
      </w:r>
    </w:p>
    <w:p>
      <w:pPr>
        <w:pStyle w:val="yHeading5"/>
      </w:pPr>
      <w:bookmarkStart w:id="893" w:name="_Toc292198001"/>
      <w:bookmarkStart w:id="894" w:name="_Toc267388875"/>
      <w:bookmarkStart w:id="895" w:name="_Toc269387192"/>
      <w:r>
        <w:rPr>
          <w:rStyle w:val="CharSClsNo"/>
        </w:rPr>
        <w:t>59</w:t>
      </w:r>
      <w:r>
        <w:t>.</w:t>
      </w:r>
      <w:r>
        <w:tab/>
        <w:t>Quorum for board meetings</w:t>
      </w:r>
      <w:bookmarkEnd w:id="893"/>
      <w:bookmarkEnd w:id="894"/>
      <w:bookmarkEnd w:id="895"/>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896" w:name="_Toc292198002"/>
      <w:bookmarkStart w:id="897" w:name="_Toc267388876"/>
      <w:bookmarkStart w:id="898" w:name="_Toc269387193"/>
      <w:r>
        <w:rPr>
          <w:rStyle w:val="CharSClsNo"/>
        </w:rPr>
        <w:t>60</w:t>
      </w:r>
      <w:r>
        <w:t>.</w:t>
      </w:r>
      <w:r>
        <w:tab/>
        <w:t>Chairperson of board</w:t>
      </w:r>
      <w:bookmarkEnd w:id="896"/>
      <w:bookmarkEnd w:id="897"/>
      <w:bookmarkEnd w:id="898"/>
    </w:p>
    <w:p>
      <w:pPr>
        <w:pStyle w:val="ySubsection"/>
      </w:pPr>
      <w:r>
        <w:tab/>
        <w:t>(1)</w:t>
      </w:r>
      <w:r>
        <w:tab/>
        <w:t>The chairperson of the board is to be elected by the board.*</w:t>
      </w:r>
    </w:p>
    <w:p>
      <w:pPr>
        <w:pStyle w:val="NotesPerm"/>
        <w:tabs>
          <w:tab w:val="clear" w:pos="879"/>
          <w:tab w:val="left" w:pos="851"/>
        </w:tabs>
        <w:ind w:left="1418" w:hanging="1418"/>
      </w:pPr>
      <w:r>
        <w:tab/>
        <w:t>*Note:</w:t>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NotesPerm"/>
        <w:tabs>
          <w:tab w:val="clear" w:pos="879"/>
          <w:tab w:val="left" w:pos="851"/>
        </w:tabs>
        <w:ind w:left="1418" w:hanging="1418"/>
      </w:pPr>
      <w:r>
        <w:tab/>
        <w:t>*Note:</w:t>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899" w:name="_Toc292198003"/>
      <w:bookmarkStart w:id="900" w:name="_Toc267388877"/>
      <w:bookmarkStart w:id="901" w:name="_Toc269387194"/>
      <w:r>
        <w:rPr>
          <w:rStyle w:val="CharSClsNo"/>
        </w:rPr>
        <w:t>61</w:t>
      </w:r>
      <w:r>
        <w:t>.</w:t>
      </w:r>
      <w:r>
        <w:tab/>
        <w:t>Delegation and board committees</w:t>
      </w:r>
      <w:bookmarkEnd w:id="899"/>
      <w:bookmarkEnd w:id="900"/>
      <w:bookmarkEnd w:id="901"/>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15 minutes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pPr>
      <w:bookmarkStart w:id="902" w:name="_Toc292198004"/>
      <w:bookmarkStart w:id="903" w:name="_Toc267388878"/>
      <w:bookmarkStart w:id="904" w:name="_Toc269387195"/>
      <w:r>
        <w:rPr>
          <w:rStyle w:val="CharSClsNo"/>
        </w:rPr>
        <w:t>62</w:t>
      </w:r>
      <w:r>
        <w:t>.</w:t>
      </w:r>
      <w:r>
        <w:tab/>
        <w:t>Other committees</w:t>
      </w:r>
      <w:bookmarkEnd w:id="902"/>
      <w:bookmarkEnd w:id="903"/>
      <w:bookmarkEnd w:id="904"/>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905" w:name="_Toc292198005"/>
      <w:bookmarkStart w:id="906" w:name="_Toc267388879"/>
      <w:bookmarkStart w:id="907" w:name="_Toc269387196"/>
      <w:r>
        <w:rPr>
          <w:rStyle w:val="CharSClsNo"/>
        </w:rPr>
        <w:t>63</w:t>
      </w:r>
      <w:r>
        <w:t>.</w:t>
      </w:r>
      <w:r>
        <w:tab/>
        <w:t>Minutes</w:t>
      </w:r>
      <w:bookmarkEnd w:id="905"/>
      <w:bookmarkEnd w:id="906"/>
      <w:bookmarkEnd w:id="907"/>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NotesPerm"/>
        <w:tabs>
          <w:tab w:val="clear" w:pos="879"/>
          <w:tab w:val="left" w:pos="851"/>
        </w:tabs>
        <w:ind w:left="1418" w:hanging="1418"/>
      </w:pPr>
      <w:r>
        <w:tab/>
        <w:t>Note:</w:t>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908" w:name="_Toc292198006"/>
      <w:bookmarkStart w:id="909" w:name="_Toc267388880"/>
      <w:bookmarkStart w:id="910" w:name="_Toc269387197"/>
      <w:r>
        <w:rPr>
          <w:rStyle w:val="CharSClsNo"/>
        </w:rPr>
        <w:t>64</w:t>
      </w:r>
      <w:r>
        <w:t>.</w:t>
      </w:r>
      <w:r>
        <w:tab/>
        <w:t>Financial year</w:t>
      </w:r>
      <w:bookmarkEnd w:id="908"/>
      <w:bookmarkEnd w:id="909"/>
      <w:bookmarkEnd w:id="910"/>
    </w:p>
    <w:p>
      <w:pPr>
        <w:pStyle w:val="ySubsection"/>
      </w:pPr>
      <w:r>
        <w:tab/>
      </w:r>
      <w:r>
        <w:tab/>
        <w:t>The financial year of the co</w:t>
      </w:r>
      <w:r>
        <w:noBreakHyphen/>
        <w:t>operative ends on ……………………… .</w:t>
      </w:r>
    </w:p>
    <w:p>
      <w:pPr>
        <w:pStyle w:val="yHeading5"/>
      </w:pPr>
      <w:bookmarkStart w:id="911" w:name="_Toc292198007"/>
      <w:bookmarkStart w:id="912" w:name="_Toc267388881"/>
      <w:bookmarkStart w:id="913" w:name="_Toc269387198"/>
      <w:r>
        <w:rPr>
          <w:rStyle w:val="CharSClsNo"/>
        </w:rPr>
        <w:t>65</w:t>
      </w:r>
      <w:r>
        <w:t>.</w:t>
      </w:r>
      <w:r>
        <w:tab/>
        <w:t>Seal</w:t>
      </w:r>
      <w:bookmarkEnd w:id="911"/>
      <w:bookmarkEnd w:id="912"/>
      <w:bookmarkEnd w:id="913"/>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914" w:name="_Toc292198008"/>
      <w:bookmarkStart w:id="915" w:name="_Toc267388882"/>
      <w:bookmarkStart w:id="916" w:name="_Toc269387199"/>
      <w:r>
        <w:rPr>
          <w:rStyle w:val="CharSClsNo"/>
        </w:rPr>
        <w:t>66</w:t>
      </w:r>
      <w:r>
        <w:t>.</w:t>
      </w:r>
      <w:r>
        <w:tab/>
        <w:t>Custody and inspection of records and registers</w:t>
      </w:r>
      <w:bookmarkEnd w:id="914"/>
      <w:bookmarkEnd w:id="915"/>
      <w:bookmarkEnd w:id="916"/>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last annual report of the co</w:t>
      </w:r>
      <w:r>
        <w:noBreakHyphen/>
        <w:t>operative under section 235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NotesPerm"/>
        <w:tabs>
          <w:tab w:val="clear" w:pos="879"/>
          <w:tab w:val="left" w:pos="851"/>
        </w:tabs>
        <w:ind w:left="1418" w:hanging="1418"/>
      </w:pPr>
      <w:r>
        <w:tab/>
        <w:t>Note:</w:t>
      </w:r>
      <w:r>
        <w:tab/>
        <w:t>Section 233 of the Act sets out the limitations that apply to the use of information on these registers and provides for recovery of loss, damages or profits arising from misuse.</w:t>
      </w:r>
    </w:p>
    <w:p>
      <w:pPr>
        <w:pStyle w:val="ySubsection"/>
      </w:pPr>
      <w:r>
        <w:tab/>
        <w:t>(2)</w:t>
      </w:r>
      <w:r>
        <w:tab/>
        <w:t>A member may make a copy of the entries in a register mentioned in subclause (1) during normal office hours, [free of charge/for the fee of $ …….. (maximum $11.60 for the first page and $1.50 for each additional page, up to a maximum of $86.60)].</w:t>
      </w:r>
    </w:p>
    <w:p>
      <w:pPr>
        <w:pStyle w:val="yHeading5"/>
      </w:pPr>
      <w:bookmarkStart w:id="917" w:name="_Toc292198009"/>
      <w:bookmarkStart w:id="918" w:name="_Toc267388883"/>
      <w:bookmarkStart w:id="919" w:name="_Toc269387200"/>
      <w:r>
        <w:rPr>
          <w:rStyle w:val="CharSClsNo"/>
        </w:rPr>
        <w:t>67</w:t>
      </w:r>
      <w:r>
        <w:t>.</w:t>
      </w:r>
      <w:r>
        <w:tab/>
        <w:t>Accounts</w:t>
      </w:r>
      <w:bookmarkEnd w:id="917"/>
      <w:bookmarkEnd w:id="918"/>
      <w:bookmarkEnd w:id="919"/>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920" w:name="_Toc292198010"/>
      <w:bookmarkStart w:id="921" w:name="_Toc267388884"/>
      <w:bookmarkStart w:id="922" w:name="_Toc269387201"/>
      <w:r>
        <w:rPr>
          <w:rStyle w:val="CharSClsNo"/>
        </w:rPr>
        <w:t>68</w:t>
      </w:r>
      <w:r>
        <w:t>.</w:t>
      </w:r>
      <w:r>
        <w:tab/>
        <w:t>Safe keeping of securities</w:t>
      </w:r>
      <w:bookmarkEnd w:id="920"/>
      <w:bookmarkEnd w:id="921"/>
      <w:bookmarkEnd w:id="922"/>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923" w:name="_Toc292198011"/>
      <w:bookmarkStart w:id="924" w:name="_Toc267388885"/>
      <w:bookmarkStart w:id="925" w:name="_Toc269387202"/>
      <w:r>
        <w:rPr>
          <w:rStyle w:val="CharSClsNo"/>
        </w:rPr>
        <w:t>69</w:t>
      </w:r>
      <w:r>
        <w:t>.</w:t>
      </w:r>
      <w:r>
        <w:tab/>
        <w:t>Appointing an auditor — co</w:t>
      </w:r>
      <w:r>
        <w:noBreakHyphen/>
        <w:t>operatives</w:t>
      </w:r>
      <w:bookmarkEnd w:id="923"/>
      <w:bookmarkEnd w:id="924"/>
      <w:bookmarkEnd w:id="925"/>
    </w:p>
    <w:p>
      <w:pPr>
        <w:pStyle w:val="ySubsection"/>
      </w:pPr>
      <w:r>
        <w:tab/>
        <w:t>(1)</w:t>
      </w:r>
      <w:r>
        <w:tab/>
        <w:t>The board of a co</w:t>
      </w:r>
      <w:r>
        <w:noBreakHyphen/>
        <w:t>operative (unless the co</w:t>
      </w:r>
      <w:r>
        <w:noBreakHyphen/>
        <w:t>operative is a small co</w:t>
      </w:r>
      <w:r>
        <w:noBreakHyphen/>
        <w:t>operative or otherwise exempt from requiring an auditor [s. 226]) 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Heading5"/>
      </w:pPr>
      <w:bookmarkStart w:id="926" w:name="_Toc292198012"/>
      <w:bookmarkStart w:id="927" w:name="_Toc267388886"/>
      <w:bookmarkStart w:id="928" w:name="_Toc269387203"/>
      <w:r>
        <w:rPr>
          <w:rStyle w:val="CharSClsNo"/>
        </w:rPr>
        <w:t>70</w:t>
      </w:r>
      <w:r>
        <w:t>.</w:t>
      </w:r>
      <w:r>
        <w:tab/>
        <w:t>Appointing an auditor — small co</w:t>
      </w:r>
      <w:r>
        <w:noBreakHyphen/>
        <w:t>operatives</w:t>
      </w:r>
      <w:bookmarkEnd w:id="926"/>
      <w:bookmarkEnd w:id="927"/>
      <w:bookmarkEnd w:id="928"/>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section 293 or 294 of the Corporations Act. </w:t>
      </w:r>
    </w:p>
    <w:p>
      <w:pPr>
        <w:pStyle w:val="ySubsection"/>
      </w:pPr>
      <w:r>
        <w:tab/>
        <w:t>(4)</w:t>
      </w:r>
      <w:r>
        <w:tab/>
        <w:t>An auditor appointed under subclause (3) holds office until the financial report prepared as a result of the direction has been audited and sent to members.</w:t>
      </w:r>
    </w:p>
    <w:p>
      <w:pPr>
        <w:pStyle w:val="yHeading5"/>
      </w:pPr>
      <w:bookmarkStart w:id="929" w:name="_Toc292198013"/>
      <w:bookmarkStart w:id="930" w:name="_Toc267388887"/>
      <w:bookmarkStart w:id="931" w:name="_Toc269387204"/>
      <w:r>
        <w:rPr>
          <w:rStyle w:val="CharSClsNo"/>
        </w:rPr>
        <w:t>71</w:t>
      </w:r>
      <w:r>
        <w:t>.</w:t>
      </w:r>
      <w:r>
        <w:tab/>
        <w:t>Terms of appointment, remuneration and removal of auditors</w:t>
      </w:r>
      <w:bookmarkEnd w:id="929"/>
      <w:bookmarkEnd w:id="930"/>
      <w:bookmarkEnd w:id="931"/>
    </w:p>
    <w:p>
      <w:pPr>
        <w:pStyle w:val="ySubsection"/>
      </w:pPr>
      <w:r>
        <w:tab/>
        <w:t>(1)</w:t>
      </w:r>
      <w:r>
        <w:tab/>
        <w:t>The appointment, remuneration and removal of an auditor must comply with those provisions of the Corporations Act that apply under section 225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is removed, or resigns, from office in accordance with section 329 of the Corporations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Where there is no surviving or continuing auditor, the board must fill a casual vacancy in the office of auditor, other than a vacancy caused by the removal of an auditor from office [s. 225], 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Subject to section 329 of the Corporations Act, an auditor may be removed from office by resolution at a general meeting.</w:t>
      </w:r>
    </w:p>
    <w:p>
      <w:pPr>
        <w:pStyle w:val="ySubsection"/>
      </w:pPr>
      <w:r>
        <w:tab/>
        <w:t>(12)</w:t>
      </w:r>
      <w:r>
        <w:tab/>
        <w:t>Subject to section 329 of the Corporations Act, an auditor may resign as auditor.</w:t>
      </w:r>
    </w:p>
    <w:p>
      <w:pPr>
        <w:pStyle w:val="yHeading5"/>
      </w:pPr>
      <w:bookmarkStart w:id="932" w:name="_Toc292198014"/>
      <w:bookmarkStart w:id="933" w:name="_Toc267388888"/>
      <w:bookmarkStart w:id="934" w:name="_Toc269387205"/>
      <w:r>
        <w:rPr>
          <w:rStyle w:val="CharSClsNo"/>
        </w:rPr>
        <w:t>72</w:t>
      </w:r>
      <w:r>
        <w:t>.</w:t>
      </w:r>
      <w:r>
        <w:tab/>
        <w:t>Co</w:t>
      </w:r>
      <w:r>
        <w:noBreakHyphen/>
        <w:t>operative funds</w:t>
      </w:r>
      <w:bookmarkEnd w:id="932"/>
      <w:bookmarkEnd w:id="933"/>
      <w:bookmarkEnd w:id="934"/>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Any part of the surplus arising in a year from the business of the co</w:t>
      </w:r>
      <w:r>
        <w:noBreakHyphen/>
        <w:t xml:space="preserve">operative or any part of the reserves may be — </w:t>
      </w:r>
    </w:p>
    <w:p>
      <w:pPr>
        <w:pStyle w:val="yIndenta"/>
      </w:pPr>
      <w:r>
        <w:tab/>
        <w:t>(a)</w:t>
      </w:r>
      <w:r>
        <w:tab/>
        <w:t>paid to a member by way of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yIndenta"/>
      </w:pPr>
      <w:r>
        <w:tab/>
        <w:t>(b)</w:t>
      </w:r>
      <w:r>
        <w:tab/>
        <w:t>applied by the issue of bonus shares to a member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yIndenta"/>
      </w:pPr>
      <w:r>
        <w:tab/>
        <w:t>(c)</w:t>
      </w:r>
      <w:r>
        <w:tab/>
        <w:t xml:space="preserve">paid to a member by way of a dividend of not more than the prescribed amount for the shares held (a </w:t>
      </w:r>
      <w:r>
        <w:rPr>
          <w:rStyle w:val="CharDefText"/>
        </w:rPr>
        <w:t>limited dividend</w:t>
      </w:r>
      <w:r>
        <w:t>).</w:t>
      </w:r>
    </w:p>
    <w:p>
      <w:pPr>
        <w:pStyle w:val="ySubsection"/>
      </w:pPr>
      <w:r>
        <w:tab/>
        <w:t>(3)</w:t>
      </w:r>
      <w:r>
        <w:tab/>
        <w:t xml:space="preserve">The amount of a rebate or dividend payable to a member under subclause (2)(a) and (c) may, with the consent of the member, be applied — </w:t>
      </w:r>
    </w:p>
    <w:p>
      <w:pPr>
        <w:pStyle w:val="yIndenta"/>
      </w:pPr>
      <w:r>
        <w:tab/>
        <w:t>(a)</w:t>
      </w:r>
      <w:r>
        <w:tab/>
        <w:t>in payment for the issue to the member of bonus shares; or</w:t>
      </w:r>
    </w:p>
    <w:p>
      <w:pPr>
        <w:pStyle w:val="yIndenta"/>
      </w:pPr>
      <w:r>
        <w:tab/>
        <w:t>(b)</w:t>
      </w:r>
      <w:r>
        <w:tab/>
        <w:t>as a loan to the co</w:t>
      </w:r>
      <w:r>
        <w:noBreakHyphen/>
        <w:t>operative.</w:t>
      </w:r>
    </w:p>
    <w:p>
      <w:pPr>
        <w:pStyle w:val="ySubsection"/>
      </w:pPr>
      <w:r>
        <w:tab/>
        <w:t>(4)</w:t>
      </w:r>
      <w:r>
        <w:tab/>
        <w:t>Any part of the surplus arising in any year from the business of the co</w:t>
      </w:r>
      <w:r>
        <w:noBreakHyphen/>
        <w:t>operative may be credited to any person who is not a member, but is qualified to be a member, by way of rebate in proportion to the business, or to profits earned by the co</w:t>
      </w:r>
      <w:r>
        <w:noBreakHyphen/>
        <w:t>operative on business done by him or her with the co</w:t>
      </w:r>
      <w:r>
        <w:noBreakHyphen/>
        <w:t xml:space="preserve">operative, if — </w:t>
      </w:r>
    </w:p>
    <w:p>
      <w:pPr>
        <w:pStyle w:val="yIndenta"/>
      </w:pPr>
      <w:r>
        <w:tab/>
        <w:t>(a)</w:t>
      </w:r>
      <w:r>
        <w:tab/>
        <w:t>the person was a member at the time the business was done and the membership has lapsed; or</w:t>
      </w:r>
    </w:p>
    <w:p>
      <w:pPr>
        <w:pStyle w:val="yIndenta"/>
      </w:pPr>
      <w:r>
        <w:tab/>
        <w:t>(b)</w:t>
      </w:r>
      <w:r>
        <w:tab/>
        <w:t>the person has applied for membership after the business was done. [s. 272(1)]</w:t>
      </w:r>
    </w:p>
    <w:p>
      <w:pPr>
        <w:pStyle w:val="ySubsection"/>
      </w:pPr>
      <w:r>
        <w:tab/>
        <w:t>(5)</w:t>
      </w:r>
      <w:r>
        <w:tab/>
        <w:t>Nothing in this clause precludes the payment of a bonus to an employee under the terms of the employee’s employment. [s. 272(2)]</w:t>
      </w:r>
    </w:p>
    <w:p>
      <w:pPr>
        <w:pStyle w:val="ySubsection"/>
      </w:pPr>
      <w:r>
        <w:tab/>
        <w:t>(6)</w:t>
      </w:r>
      <w:r>
        <w:tab/>
        <w:t>A part of the surplus, not more than ……%, arising in any year from the business of the co</w:t>
      </w:r>
      <w:r>
        <w:noBreakHyphen/>
        <w:t xml:space="preserve">operative may be applied for — </w:t>
      </w:r>
    </w:p>
    <w:p>
      <w:pPr>
        <w:pStyle w:val="yIndenta"/>
      </w:pPr>
      <w:r>
        <w:tab/>
        <w:t>(a)</w:t>
      </w:r>
      <w:r>
        <w:tab/>
        <w:t>charitable purposes; or</w:t>
      </w:r>
    </w:p>
    <w:p>
      <w:pPr>
        <w:pStyle w:val="yIndenta"/>
      </w:pPr>
      <w:r>
        <w:tab/>
        <w:t>(b)</w:t>
      </w:r>
      <w:r>
        <w:tab/>
        <w:t>supporting any activity approved by the co</w:t>
      </w:r>
      <w:r>
        <w:noBreakHyphen/>
        <w:t>operative. [s. 270(2)]</w:t>
      </w:r>
    </w:p>
    <w:p>
      <w:pPr>
        <w:pStyle w:val="ySubsection"/>
      </w:pPr>
      <w:r>
        <w:tab/>
        <w:t>(7)</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Subsection"/>
      </w:pPr>
      <w:r>
        <w:tab/>
        <w:t>(8)</w:t>
      </w:r>
      <w:r>
        <w:tab/>
        <w:t>A dividend, rebate or share bonus that accrues to the holder of shares, on which all calls payable have been paid, must be paid to the holder. However, a dividend, share bonus or rebate that accrues to the holder of partially paid up shares must be applied to paying off any subscriptions or calls on shares that may (when the dividend or bonus becomes payable) be payable and unpaid by the holder.</w:t>
      </w:r>
    </w:p>
    <w:p>
      <w:pPr>
        <w:pStyle w:val="ySubsection"/>
      </w:pPr>
      <w:r>
        <w:tab/>
        <w:t>(9)</w:t>
      </w:r>
      <w:r>
        <w:tab/>
        <w:t>If several persons are registered as joint holders of a share, any one of them may be given a valid receipt for any dividend or other money payable on or for the share.</w:t>
      </w:r>
    </w:p>
    <w:p>
      <w:pPr>
        <w:pStyle w:val="ySubsection"/>
      </w:pPr>
      <w:r>
        <w:tab/>
        <w:t>(10)</w:t>
      </w:r>
      <w:r>
        <w:tab/>
        <w:t>Unless the Act or rules otherwise provide, interest does not accrue to a member on a dividend or share bonus held by a co</w:t>
      </w:r>
      <w:r>
        <w:noBreakHyphen/>
        <w:t>operative for a member.</w:t>
      </w:r>
    </w:p>
    <w:p>
      <w:pPr>
        <w:pStyle w:val="yHeading5"/>
      </w:pPr>
      <w:bookmarkStart w:id="935" w:name="_Toc292198015"/>
      <w:bookmarkStart w:id="936" w:name="_Toc267388889"/>
      <w:bookmarkStart w:id="937" w:name="_Toc269387206"/>
      <w:r>
        <w:rPr>
          <w:rStyle w:val="CharSClsNo"/>
        </w:rPr>
        <w:t>73</w:t>
      </w:r>
      <w:r>
        <w:t>.</w:t>
      </w:r>
      <w:r>
        <w:tab/>
        <w:t>Provision for loss</w:t>
      </w:r>
      <w:bookmarkEnd w:id="935"/>
      <w:bookmarkEnd w:id="936"/>
      <w:bookmarkEnd w:id="937"/>
    </w:p>
    <w:p>
      <w:pPr>
        <w:pStyle w:val="ySubsection"/>
      </w:pPr>
      <w:r>
        <w:tab/>
      </w:r>
      <w:r>
        <w:tab/>
        <w:t>The board must make provision for loss that may result from transactions of the co</w:t>
      </w:r>
      <w:r>
        <w:noBreakHyphen/>
        <w:t>operative.</w:t>
      </w:r>
    </w:p>
    <w:p>
      <w:pPr>
        <w:pStyle w:val="yHeading5"/>
      </w:pPr>
      <w:bookmarkStart w:id="938" w:name="_Toc292198016"/>
      <w:bookmarkStart w:id="939" w:name="_Toc267388890"/>
      <w:bookmarkStart w:id="940" w:name="_Toc269387207"/>
      <w:r>
        <w:rPr>
          <w:rStyle w:val="CharSClsNo"/>
        </w:rPr>
        <w:t>74</w:t>
      </w:r>
      <w:r>
        <w:t>.</w:t>
      </w:r>
      <w:r>
        <w:tab/>
        <w:t>Notices</w:t>
      </w:r>
      <w:bookmarkEnd w:id="938"/>
      <w:bookmarkEnd w:id="939"/>
      <w:bookmarkEnd w:id="940"/>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 xml:space="preserve">operative, but only if — </w:t>
      </w:r>
    </w:p>
    <w:p>
      <w:pPr>
        <w:pStyle w:val="yIndenti0"/>
      </w:pPr>
      <w:r>
        <w:tab/>
        <w:t>(i)</w:t>
      </w:r>
      <w:r>
        <w:tab/>
        <w:t>the member’s whereabouts are unknown to the co</w:t>
      </w:r>
      <w:r>
        <w:noBreakHyphen/>
        <w:t>operative; or</w:t>
      </w:r>
    </w:p>
    <w:p>
      <w:pPr>
        <w:pStyle w:val="yIndenti0"/>
      </w:pPr>
      <w:r>
        <w:tab/>
        <w:t>(ii)</w:t>
      </w:r>
      <w:r>
        <w:tab/>
        <w:t>the Registrar permits notice to be given to members of the co</w:t>
      </w:r>
      <w:r>
        <w:noBreakHyphen/>
        <w:t>operative in that way.</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in relation to the share.</w:t>
      </w:r>
    </w:p>
    <w:p>
      <w:pPr>
        <w:pStyle w:val="ySubsection"/>
      </w:pPr>
      <w:r>
        <w:tab/>
        <w:t>(7)</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an interest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in clause 71(10) no other person is entitled to receive notices of general meetings.</w:t>
      </w:r>
    </w:p>
    <w:p>
      <w:pPr>
        <w:pStyle w:val="yHeading5"/>
      </w:pPr>
      <w:bookmarkStart w:id="941" w:name="_Toc292198017"/>
      <w:bookmarkStart w:id="942" w:name="_Toc267388891"/>
      <w:bookmarkStart w:id="943" w:name="_Toc269387208"/>
      <w:r>
        <w:rPr>
          <w:rStyle w:val="CharSClsNo"/>
        </w:rPr>
        <w:t>75</w:t>
      </w:r>
      <w:r>
        <w:t>.</w:t>
      </w:r>
      <w:r>
        <w:tab/>
        <w:t>Winding</w:t>
      </w:r>
      <w:r>
        <w:noBreakHyphen/>
        <w:t>up</w:t>
      </w:r>
      <w:bookmarkEnd w:id="941"/>
      <w:bookmarkEnd w:id="942"/>
      <w:bookmarkEnd w:id="943"/>
    </w:p>
    <w:p>
      <w:pPr>
        <w:pStyle w:val="ySubsection"/>
      </w:pPr>
      <w:r>
        <w:tab/>
        <w:t>(1)</w:t>
      </w:r>
      <w:r>
        <w:tab/>
        <w:t>The winding</w:t>
      </w:r>
      <w:r>
        <w:noBreakHyphen/>
        <w:t>up of the co</w:t>
      </w:r>
      <w:r>
        <w:noBreakHyphen/>
        <w:t>operative must be in accordance with Part 12 of the Act.</w:t>
      </w:r>
    </w:p>
    <w:p>
      <w:pPr>
        <w:pStyle w:val="ySubsection"/>
      </w:pPr>
      <w:r>
        <w:tab/>
        <w:t>(2)</w:t>
      </w:r>
      <w:r>
        <w:tab/>
        <w:t>If, on the winding</w:t>
      </w:r>
      <w:r>
        <w:noBreakHyphen/>
        <w:t>up or dissolution, there remains any property after the satisfaction of all its debts and liabilities (including the refund of the amounts paid up on the shares), this must be paid to, or distributed among, the members of the co</w:t>
      </w:r>
      <w:r>
        <w:noBreakHyphen/>
        <w:t>operative …………………………. (in proportion to the amount of business conducted with the co</w:t>
      </w:r>
      <w:r>
        <w:noBreakHyphen/>
        <w:t>operative over the past ..... years) (in proportion to the member’s shareholdings).</w:t>
      </w:r>
    </w:p>
    <w:p>
      <w:pPr>
        <w:pStyle w:val="yHeading5"/>
        <w:spacing w:after="240"/>
      </w:pPr>
      <w:bookmarkStart w:id="944" w:name="_Toc292198018"/>
      <w:bookmarkStart w:id="945" w:name="_Toc267388892"/>
      <w:bookmarkStart w:id="946" w:name="_Toc269387209"/>
      <w:r>
        <w:rPr>
          <w:rStyle w:val="CharSClsNo"/>
        </w:rPr>
        <w:t>76</w:t>
      </w:r>
      <w:r>
        <w:t>.</w:t>
      </w:r>
      <w:r>
        <w:tab/>
        <w:t>Schedule of charges</w:t>
      </w:r>
      <w:bookmarkEnd w:id="944"/>
      <w:bookmarkEnd w:id="945"/>
      <w:bookmarkEnd w:id="946"/>
      <w:r>
        <w:t xml:space="preserve"> </w:t>
      </w:r>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tabs>
                <w:tab w:val="clear" w:pos="567"/>
              </w:tabs>
            </w:pPr>
            <w:r>
              <w:t>clause 2(6) and (7)</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NotesPerm"/>
        <w:tabs>
          <w:tab w:val="clear" w:pos="879"/>
          <w:tab w:val="left" w:pos="851"/>
        </w:tabs>
        <w:ind w:left="1418" w:hanging="1418"/>
      </w:pPr>
      <w:r>
        <w:tab/>
        <w:t>Note:</w:t>
      </w:r>
      <w:r>
        <w:tab/>
        <w:t>This certification is signed at the formation meeting that is held after the rules have been approved by the Registrar and returned to the sponsors of the proposed co</w:t>
      </w:r>
      <w:r>
        <w:noBreakHyphen/>
        <w:t>operative.</w:t>
      </w:r>
    </w:p>
    <w:p>
      <w:pPr>
        <w:pStyle w:val="yScheduleHeading"/>
      </w:pPr>
      <w:bookmarkStart w:id="947" w:name="_Toc292195106"/>
      <w:bookmarkStart w:id="948" w:name="_Toc292195394"/>
      <w:bookmarkStart w:id="949" w:name="_Toc292198019"/>
      <w:bookmarkStart w:id="950" w:name="_Toc265852147"/>
      <w:bookmarkStart w:id="951" w:name="_Toc265852888"/>
      <w:bookmarkStart w:id="952" w:name="_Toc266086718"/>
      <w:bookmarkStart w:id="953" w:name="_Toc266088003"/>
      <w:bookmarkStart w:id="954" w:name="_Toc266199862"/>
      <w:bookmarkStart w:id="955" w:name="_Toc266279507"/>
      <w:bookmarkStart w:id="956" w:name="_Toc266289770"/>
      <w:bookmarkStart w:id="957" w:name="_Toc266345814"/>
      <w:bookmarkStart w:id="958" w:name="_Toc266371331"/>
      <w:bookmarkStart w:id="959" w:name="_Toc266430559"/>
      <w:bookmarkStart w:id="960" w:name="_Toc266434717"/>
      <w:bookmarkStart w:id="961" w:name="_Toc266435003"/>
      <w:bookmarkStart w:id="962" w:name="_Toc266435919"/>
      <w:bookmarkStart w:id="963" w:name="_Toc266436222"/>
      <w:bookmarkStart w:id="964" w:name="_Toc266436508"/>
      <w:bookmarkStart w:id="965" w:name="_Toc266436794"/>
      <w:bookmarkStart w:id="966" w:name="_Toc266608369"/>
      <w:bookmarkStart w:id="967" w:name="_Toc266609918"/>
      <w:bookmarkStart w:id="968" w:name="_Toc266613836"/>
      <w:bookmarkStart w:id="969" w:name="_Toc267054014"/>
      <w:bookmarkStart w:id="970" w:name="_Toc267054548"/>
      <w:bookmarkStart w:id="971" w:name="_Toc267054917"/>
      <w:bookmarkStart w:id="972" w:name="_Toc267055203"/>
      <w:bookmarkStart w:id="973" w:name="_Toc267055489"/>
      <w:bookmarkStart w:id="974" w:name="_Toc267383316"/>
      <w:bookmarkStart w:id="975" w:name="_Toc267388321"/>
      <w:bookmarkStart w:id="976" w:name="_Toc267388607"/>
      <w:bookmarkStart w:id="977" w:name="_Toc267388893"/>
      <w:bookmarkStart w:id="978" w:name="_Toc269375193"/>
      <w:bookmarkStart w:id="979" w:name="_Toc269375573"/>
      <w:bookmarkStart w:id="980" w:name="_Toc269386921"/>
      <w:bookmarkStart w:id="981" w:name="_Toc269387210"/>
      <w:r>
        <w:rPr>
          <w:rStyle w:val="CharSchNo"/>
        </w:rPr>
        <w:t>Schedule 4</w:t>
      </w:r>
      <w:r>
        <w:rPr>
          <w:rStyle w:val="CharSDivNo"/>
        </w:rPr>
        <w:t> </w:t>
      </w:r>
      <w:r>
        <w:t>—</w:t>
      </w:r>
      <w:r>
        <w:rPr>
          <w:rStyle w:val="CharSDivText"/>
        </w:rPr>
        <w:t> </w:t>
      </w:r>
      <w:r>
        <w:rPr>
          <w:rStyle w:val="CharSchText"/>
        </w:rPr>
        <w:t>Particulars to be included in registers</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yShoulderClause"/>
      </w:pPr>
      <w:r>
        <w:t>[r. 8, 13]</w:t>
      </w:r>
    </w:p>
    <w:p>
      <w:pPr>
        <w:pStyle w:val="yHeading5"/>
      </w:pPr>
      <w:bookmarkStart w:id="982" w:name="_Toc292198020"/>
      <w:bookmarkStart w:id="983" w:name="_Toc267388894"/>
      <w:bookmarkStart w:id="984" w:name="_Toc269387211"/>
      <w:r>
        <w:rPr>
          <w:rStyle w:val="CharSClsNo"/>
        </w:rPr>
        <w:t>1</w:t>
      </w:r>
      <w:r>
        <w:t>.</w:t>
      </w:r>
      <w:r>
        <w:tab/>
        <w:t>Register of members, directors and shares</w:t>
      </w:r>
      <w:bookmarkEnd w:id="982"/>
      <w:bookmarkEnd w:id="983"/>
      <w:bookmarkEnd w:id="984"/>
    </w:p>
    <w:p>
      <w:pPr>
        <w:pStyle w:val="ySubsection"/>
      </w:pPr>
      <w:r>
        <w:tab/>
        <w:t>(1)</w:t>
      </w:r>
      <w:r>
        <w:tab/>
        <w:t>The register of members, directors and shares of a co</w:t>
      </w:r>
      <w:r>
        <w:noBreakHyphen/>
        <w:t xml:space="preserve">operative must contain the following particulars of each member — </w:t>
      </w:r>
    </w:p>
    <w:p>
      <w:pPr>
        <w:pStyle w:val="yIndenta"/>
      </w:pPr>
      <w:r>
        <w:tab/>
        <w:t>(a)</w:t>
      </w:r>
      <w:r>
        <w:tab/>
        <w:t>the name and address of each member;</w:t>
      </w:r>
    </w:p>
    <w:p>
      <w:pPr>
        <w:pStyle w:val="yIndenta"/>
      </w:pPr>
      <w:r>
        <w:tab/>
        <w:t>(b)</w:t>
      </w:r>
      <w:r>
        <w:tab/>
        <w:t>the date each member was admitted to the co</w:t>
      </w:r>
      <w:r>
        <w:noBreakHyphen/>
        <w:t>operative;</w:t>
      </w:r>
    </w:p>
    <w:p>
      <w:pPr>
        <w:pStyle w:val="yIndenta"/>
      </w:pPr>
      <w:r>
        <w:tab/>
        <w:t>(c)</w:t>
      </w:r>
      <w:r>
        <w:tab/>
        <w:t>if the co</w:t>
      </w:r>
      <w:r>
        <w:noBreakHyphen/>
        <w:t xml:space="preserve">operative has share capital, a statement in relation to each member by whom shares are held of the following — </w:t>
      </w:r>
    </w:p>
    <w:p>
      <w:pPr>
        <w:pStyle w:val="yIndenti0"/>
      </w:pPr>
      <w:r>
        <w:tab/>
        <w:t>(i)</w:t>
      </w:r>
      <w:r>
        <w:tab/>
        <w:t>the number of shares held;</w:t>
      </w:r>
    </w:p>
    <w:p>
      <w:pPr>
        <w:pStyle w:val="yIndenti0"/>
      </w:pPr>
      <w:r>
        <w:tab/>
        <w:t>(ii)</w:t>
      </w:r>
      <w:r>
        <w:tab/>
        <w:t>for partly paid shares — the identifying number of each share held;</w:t>
      </w:r>
    </w:p>
    <w:p>
      <w:pPr>
        <w:pStyle w:val="yIndenti0"/>
      </w:pPr>
      <w:r>
        <w:tab/>
        <w:t>(iii)</w:t>
      </w:r>
      <w:r>
        <w:tab/>
        <w:t>the date the shares were allotted;</w:t>
      </w:r>
    </w:p>
    <w:p>
      <w:pPr>
        <w:pStyle w:val="yIndenti0"/>
      </w:pPr>
      <w:r>
        <w:tab/>
        <w:t>(iv)</w:t>
      </w:r>
      <w:r>
        <w:tab/>
        <w:t>the amount paid or agreed to be considered as having been paid on the shares;</w:t>
      </w:r>
    </w:p>
    <w:p>
      <w:pPr>
        <w:pStyle w:val="yIndenta"/>
      </w:pPr>
      <w:r>
        <w:tab/>
        <w:t>(d)</w:t>
      </w:r>
      <w:r>
        <w:tab/>
        <w:t>if applicable, the date on which the member’s membership ended;</w:t>
      </w:r>
    </w:p>
    <w:p>
      <w:pPr>
        <w:pStyle w:val="yIndenta"/>
      </w:pPr>
      <w:r>
        <w:tab/>
        <w:t>(e)</w:t>
      </w:r>
      <w:r>
        <w:tab/>
        <w:t>if shares are purchased under section 163(1) of the Act — a statement of the number of shares purchased and the date the shares were purchased;</w:t>
      </w:r>
    </w:p>
    <w:p>
      <w:pPr>
        <w:pStyle w:val="yIndenta"/>
      </w:pPr>
      <w:r>
        <w:tab/>
        <w:t>(f)</w:t>
      </w:r>
      <w:r>
        <w:tab/>
        <w:t>if shares are forfeited under section 280 of the Act — a statement of the number of shares forfeited and the date the forfeiture was effected;</w:t>
      </w:r>
    </w:p>
    <w:p>
      <w:pPr>
        <w:pStyle w:val="yIndenta"/>
      </w:pPr>
      <w:r>
        <w:tab/>
        <w:t>(g)</w:t>
      </w:r>
      <w:r>
        <w:tab/>
        <w:t>if there is a conversion to a co</w:t>
      </w:r>
      <w:r>
        <w:noBreakHyphen/>
        <w:t>operative without share capital — the date of repayment of the share capital or the date of disposal and the name and address of the person or body to whom the share capital was repaid.</w:t>
      </w:r>
    </w:p>
    <w:p>
      <w:pPr>
        <w:pStyle w:val="ySubsection"/>
      </w:pPr>
      <w:r>
        <w:tab/>
        <w:t>(2)</w:t>
      </w:r>
      <w:r>
        <w:tab/>
        <w:t>The register of members, directors and shares of a co</w:t>
      </w:r>
      <w:r>
        <w:noBreakHyphen/>
        <w:t xml:space="preserve">operative must contain the following particulars for each director — </w:t>
      </w:r>
    </w:p>
    <w:p>
      <w:pPr>
        <w:pStyle w:val="yIndenta"/>
      </w:pPr>
      <w:r>
        <w:tab/>
        <w:t>(a)</w:t>
      </w:r>
      <w:r>
        <w:tab/>
        <w:t>the name, date and place of birth, and residential address of each director;</w:t>
      </w:r>
    </w:p>
    <w:p>
      <w:pPr>
        <w:pStyle w:val="yIndenta"/>
      </w:pPr>
      <w:r>
        <w:tab/>
        <w:t>(b)</w:t>
      </w:r>
      <w:r>
        <w:tab/>
        <w:t>the date of that person’s election or appointment as a director;</w:t>
      </w:r>
    </w:p>
    <w:p>
      <w:pPr>
        <w:pStyle w:val="yIndenta"/>
      </w:pPr>
      <w:r>
        <w:tab/>
        <w:t>(c)</w:t>
      </w:r>
      <w:r>
        <w:tab/>
        <w:t>whether the director is a member director or an independent director;</w:t>
      </w:r>
    </w:p>
    <w:p>
      <w:pPr>
        <w:pStyle w:val="yIndenta"/>
      </w:pPr>
      <w:r>
        <w:tab/>
        <w:t>(d)</w:t>
      </w:r>
      <w:r>
        <w:tab/>
        <w:t>if applicable, the date of termination of office.</w:t>
      </w:r>
    </w:p>
    <w:p>
      <w:pPr>
        <w:pStyle w:val="yHeading5"/>
      </w:pPr>
      <w:bookmarkStart w:id="985" w:name="_Toc292198021"/>
      <w:bookmarkStart w:id="986" w:name="_Toc267388895"/>
      <w:bookmarkStart w:id="987" w:name="_Toc269387212"/>
      <w:r>
        <w:rPr>
          <w:rStyle w:val="CharSClsNo"/>
        </w:rPr>
        <w:t>2</w:t>
      </w:r>
      <w:r>
        <w:t>.</w:t>
      </w:r>
      <w:r>
        <w:tab/>
        <w:t>Register of loans, securities given by, debentures and CCUs issued by and deposits received by a co</w:t>
      </w:r>
      <w:r>
        <w:noBreakHyphen/>
        <w:t>operative</w:t>
      </w:r>
      <w:bookmarkEnd w:id="985"/>
      <w:bookmarkEnd w:id="986"/>
      <w:bookmarkEnd w:id="987"/>
    </w:p>
    <w:p>
      <w:pPr>
        <w:pStyle w:val="ySubsection"/>
      </w:pPr>
      <w:r>
        <w:tab/>
        <w:t>(1)</w:t>
      </w:r>
      <w:r>
        <w:tab/>
        <w:t>The register of loans to, securities given by, debentures and CCUs issued by and deposits received by a co</w:t>
      </w:r>
      <w:r>
        <w:noBreakHyphen/>
        <w:t xml:space="preserve">operative is required to contain the following particulars for each loan — </w:t>
      </w:r>
    </w:p>
    <w:p>
      <w:pPr>
        <w:pStyle w:val="yIndenta"/>
      </w:pPr>
      <w:r>
        <w:tab/>
        <w:t>(a)</w:t>
      </w:r>
      <w:r>
        <w:tab/>
        <w:t>the name of the person by whom the loan is made;</w:t>
      </w:r>
    </w:p>
    <w:p>
      <w:pPr>
        <w:pStyle w:val="yIndenta"/>
      </w:pPr>
      <w:r>
        <w:tab/>
        <w:t>(b)</w:t>
      </w:r>
      <w:r>
        <w:tab/>
        <w:t>the amount of the loan;</w:t>
      </w:r>
    </w:p>
    <w:p>
      <w:pPr>
        <w:pStyle w:val="yIndenta"/>
      </w:pPr>
      <w:r>
        <w:tab/>
        <w:t>(c)</w:t>
      </w:r>
      <w:r>
        <w:tab/>
        <w:t>the date the loan was received by the co</w:t>
      </w:r>
      <w:r>
        <w:noBreakHyphen/>
        <w:t>operative;</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 than by a mortgage of real property — particulars of the security given and a reference identifying the agreement that evidences the security;</w:t>
      </w:r>
    </w:p>
    <w:p>
      <w:pPr>
        <w:pStyle w:val="yIndenta"/>
      </w:pPr>
      <w:r>
        <w:tab/>
        <w:t>(f)</w:t>
      </w:r>
      <w:r>
        <w:tab/>
        <w:t>the date of the final repayment made in relation to the loan.</w:t>
      </w:r>
    </w:p>
    <w:p>
      <w:pPr>
        <w:pStyle w:val="ySubsection"/>
      </w:pPr>
      <w:r>
        <w:tab/>
        <w:t>(2)</w:t>
      </w:r>
      <w:r>
        <w:tab/>
        <w:t>The register of loans to, securities given by, debentures and CCUs issued by and deposits received by a co</w:t>
      </w:r>
      <w:r>
        <w:noBreakHyphen/>
        <w:t xml:space="preserve">operative must contain the following particulars for each debenture or CCU issued — </w:t>
      </w:r>
    </w:p>
    <w:p>
      <w:pPr>
        <w:pStyle w:val="yIndenta"/>
      </w:pPr>
      <w:r>
        <w:tab/>
        <w:t>(a)</w:t>
      </w:r>
      <w:r>
        <w:tab/>
        <w:t>the name and address of each person to whom a debenture or CCU is payable;</w:t>
      </w:r>
    </w:p>
    <w:p>
      <w:pPr>
        <w:pStyle w:val="yIndenta"/>
      </w:pPr>
      <w:r>
        <w:tab/>
        <w:t>(b)</w:t>
      </w:r>
      <w:r>
        <w:tab/>
        <w:t>the number and series of the debenture or details of the CCU;</w:t>
      </w:r>
    </w:p>
    <w:p>
      <w:pPr>
        <w:pStyle w:val="yIndenta"/>
      </w:pPr>
      <w:r>
        <w:tab/>
        <w:t>(c)</w:t>
      </w:r>
      <w:r>
        <w:tab/>
        <w:t>the date of its issue;</w:t>
      </w:r>
    </w:p>
    <w:p>
      <w:pPr>
        <w:pStyle w:val="yIndenta"/>
      </w:pPr>
      <w:r>
        <w:tab/>
        <w:t>(d)</w:t>
      </w:r>
      <w:r>
        <w:tab/>
        <w:t>the amount of the debenture or the nominal value of the CCU;</w:t>
      </w:r>
    </w:p>
    <w:p>
      <w:pPr>
        <w:pStyle w:val="yIndenta"/>
      </w:pPr>
      <w:r>
        <w:tab/>
        <w:t>(e)</w:t>
      </w:r>
      <w:r>
        <w:tab/>
        <w:t>the rate of interest;</w:t>
      </w:r>
    </w:p>
    <w:p>
      <w:pPr>
        <w:pStyle w:val="yIndenta"/>
      </w:pPr>
      <w:r>
        <w:tab/>
        <w:t>(f)</w:t>
      </w:r>
      <w:r>
        <w:tab/>
        <w:t>the dates of payment of principal;</w:t>
      </w:r>
    </w:p>
    <w:p>
      <w:pPr>
        <w:pStyle w:val="yIndenta"/>
      </w:pPr>
      <w:r>
        <w:tab/>
        <w:t>(g)</w:t>
      </w:r>
      <w:r>
        <w:tab/>
        <w:t>the place of payment;</w:t>
      </w:r>
    </w:p>
    <w:p>
      <w:pPr>
        <w:pStyle w:val="yIndenta"/>
      </w:pPr>
      <w:r>
        <w:tab/>
        <w:t>(h)</w:t>
      </w:r>
      <w:r>
        <w:tab/>
        <w:t>the name of the trustee (if applicable);</w:t>
      </w:r>
    </w:p>
    <w:p>
      <w:pPr>
        <w:pStyle w:val="yIndenta"/>
      </w:pPr>
      <w:r>
        <w:tab/>
        <w:t>(i)</w:t>
      </w:r>
      <w:r>
        <w:tab/>
        <w:t>the date of any transfer of the debenture or the CCU.</w:t>
      </w:r>
    </w:p>
    <w:p>
      <w:pPr>
        <w:pStyle w:val="ySubsection"/>
      </w:pPr>
      <w:r>
        <w:tab/>
        <w:t>(3)</w:t>
      </w:r>
      <w:r>
        <w:tab/>
        <w:t>The register of loans to, securities given by, debentures and CCUs issued by and deposits received by a co</w:t>
      </w:r>
      <w:r>
        <w:noBreakHyphen/>
        <w:t>operative must contain the following particulars for each deposit received by the co</w:t>
      </w:r>
      <w:r>
        <w:noBreakHyphen/>
        <w:t xml:space="preserve">operative — </w:t>
      </w:r>
    </w:p>
    <w:p>
      <w:pPr>
        <w:pStyle w:val="yIndenta"/>
      </w:pPr>
      <w:r>
        <w:tab/>
        <w:t>(a)</w:t>
      </w:r>
      <w:r>
        <w:tab/>
        <w:t>the name and address of the depositor;</w:t>
      </w:r>
    </w:p>
    <w:p>
      <w:pPr>
        <w:pStyle w:val="yIndenta"/>
      </w:pPr>
      <w:r>
        <w:tab/>
        <w:t>(b)</w:t>
      </w:r>
      <w:r>
        <w:tab/>
        <w:t>the date of receipt;</w:t>
      </w:r>
    </w:p>
    <w:p>
      <w:pPr>
        <w:pStyle w:val="yIndenta"/>
      </w:pPr>
      <w:r>
        <w:tab/>
        <w:t>(c)</w:t>
      </w:r>
      <w:r>
        <w:tab/>
        <w:t>the amount deposited;</w:t>
      </w:r>
    </w:p>
    <w:p>
      <w:pPr>
        <w:pStyle w:val="yIndenta"/>
      </w:pPr>
      <w:r>
        <w:tab/>
        <w:t>(d)</w:t>
      </w:r>
      <w:r>
        <w:tab/>
        <w:t>the rate of interest (if any);</w:t>
      </w:r>
    </w:p>
    <w:p>
      <w:pPr>
        <w:pStyle w:val="yIndenta"/>
      </w:pPr>
      <w:r>
        <w:tab/>
        <w:t>(e)</w:t>
      </w:r>
      <w:r>
        <w:tab/>
        <w:t>the amount repaid;</w:t>
      </w:r>
    </w:p>
    <w:p>
      <w:pPr>
        <w:pStyle w:val="yIndenta"/>
      </w:pPr>
      <w:r>
        <w:tab/>
        <w:t>(f)</w:t>
      </w:r>
      <w:r>
        <w:tab/>
        <w:t>the date of conversion to shares, debentures or CCUs (if applicable);</w:t>
      </w:r>
    </w:p>
    <w:p>
      <w:pPr>
        <w:pStyle w:val="yIndenta"/>
      </w:pPr>
      <w:r>
        <w:tab/>
        <w:t>(g)</w:t>
      </w:r>
      <w:r>
        <w:tab/>
        <w:t>the due date for repayment;</w:t>
      </w:r>
    </w:p>
    <w:p>
      <w:pPr>
        <w:pStyle w:val="yIndenta"/>
      </w:pPr>
      <w:r>
        <w:tab/>
        <w:t>(h)</w:t>
      </w:r>
      <w:r>
        <w:tab/>
        <w:t>the balance.</w:t>
      </w:r>
    </w:p>
    <w:p>
      <w:pPr>
        <w:pStyle w:val="yHeading5"/>
      </w:pPr>
      <w:bookmarkStart w:id="988" w:name="_Toc292198022"/>
      <w:bookmarkStart w:id="989" w:name="_Toc267388896"/>
      <w:bookmarkStart w:id="990" w:name="_Toc269387213"/>
      <w:r>
        <w:rPr>
          <w:rStyle w:val="CharSClsNo"/>
        </w:rPr>
        <w:t>3</w:t>
      </w:r>
      <w:r>
        <w:t>.</w:t>
      </w:r>
      <w:r>
        <w:tab/>
        <w:t>Register of names of persons who have given loans or deposits to or hold securities or debentures or CCUs given or issued by a co</w:t>
      </w:r>
      <w:r>
        <w:noBreakHyphen/>
        <w:t>operative</w:t>
      </w:r>
      <w:bookmarkEnd w:id="988"/>
      <w:bookmarkEnd w:id="989"/>
      <w:bookmarkEnd w:id="990"/>
    </w:p>
    <w:p>
      <w:pPr>
        <w:pStyle w:val="ySubsection"/>
      </w:pPr>
      <w:r>
        <w:tab/>
      </w:r>
      <w:r>
        <w:tab/>
        <w:t>The register of names of persons who have given loans or deposits to or hold securities or debentures or CCUs given or issued by a co</w:t>
      </w:r>
      <w:r>
        <w:noBreakHyphen/>
        <w:t xml:space="preserve">operative must contain the following details for each person — </w:t>
      </w:r>
    </w:p>
    <w:p>
      <w:pPr>
        <w:pStyle w:val="yIndenta"/>
      </w:pPr>
      <w:r>
        <w:tab/>
        <w:t>(a)</w:t>
      </w:r>
      <w:r>
        <w:tab/>
        <w:t>the person’s full name and address;</w:t>
      </w:r>
    </w:p>
    <w:p>
      <w:pPr>
        <w:pStyle w:val="yIndenta"/>
      </w:pPr>
      <w:r>
        <w:tab/>
        <w:t>(b)</w:t>
      </w:r>
      <w:r>
        <w:tab/>
        <w:t xml:space="preserve">whether the person — </w:t>
      </w:r>
    </w:p>
    <w:p>
      <w:pPr>
        <w:pStyle w:val="yIndenti0"/>
      </w:pPr>
      <w:r>
        <w:tab/>
        <w:t>(i)</w:t>
      </w:r>
      <w:r>
        <w:tab/>
        <w:t>has given a loan or deposit to the co</w:t>
      </w:r>
      <w:r>
        <w:noBreakHyphen/>
        <w:t>operative; or</w:t>
      </w:r>
    </w:p>
    <w:p>
      <w:pPr>
        <w:pStyle w:val="yIndenti0"/>
      </w:pPr>
      <w:r>
        <w:tab/>
        <w:t>(ii)</w:t>
      </w:r>
      <w:r>
        <w:tab/>
        <w:t>holds securities given by the co</w:t>
      </w:r>
      <w:r>
        <w:noBreakHyphen/>
        <w:t>operative; or</w:t>
      </w:r>
    </w:p>
    <w:p>
      <w:pPr>
        <w:pStyle w:val="yIndenti0"/>
      </w:pPr>
      <w:r>
        <w:tab/>
        <w:t>(iii)</w:t>
      </w:r>
      <w:r>
        <w:tab/>
        <w:t>holds debentures issued by the co</w:t>
      </w:r>
      <w:r>
        <w:noBreakHyphen/>
        <w:t>operative; or</w:t>
      </w:r>
    </w:p>
    <w:p>
      <w:pPr>
        <w:pStyle w:val="yIndenti0"/>
      </w:pPr>
      <w:r>
        <w:tab/>
        <w:t>(iv)</w:t>
      </w:r>
      <w:r>
        <w:tab/>
        <w:t>holds a CCU issued by the co</w:t>
      </w:r>
      <w:r>
        <w:noBreakHyphen/>
        <w:t>operative;</w:t>
      </w:r>
    </w:p>
    <w:p>
      <w:pPr>
        <w:pStyle w:val="yIndenta"/>
      </w:pPr>
      <w:r>
        <w:tab/>
        <w:t>(c)</w:t>
      </w:r>
      <w:r>
        <w:tab/>
        <w:t>a reference to the relevant entry in the register of loans to, securities given by, debentures or CCUs issued by and deposits received by the co</w:t>
      </w:r>
      <w:r>
        <w:noBreakHyphen/>
        <w:t>operative.</w:t>
      </w:r>
    </w:p>
    <w:p>
      <w:pPr>
        <w:pStyle w:val="yHeading5"/>
      </w:pPr>
      <w:bookmarkStart w:id="991" w:name="_Toc292198023"/>
      <w:bookmarkStart w:id="992" w:name="_Toc267388897"/>
      <w:bookmarkStart w:id="993" w:name="_Toc269387214"/>
      <w:r>
        <w:rPr>
          <w:rStyle w:val="CharSClsNo"/>
        </w:rPr>
        <w:t>4</w:t>
      </w:r>
      <w:r>
        <w:t>.</w:t>
      </w:r>
      <w:r>
        <w:tab/>
        <w:t>Register of loans made or guaranteed by and securities taken by a co</w:t>
      </w:r>
      <w:r>
        <w:noBreakHyphen/>
        <w:t>operative</w:t>
      </w:r>
      <w:bookmarkEnd w:id="991"/>
      <w:bookmarkEnd w:id="992"/>
      <w:bookmarkEnd w:id="993"/>
    </w:p>
    <w:p>
      <w:pPr>
        <w:pStyle w:val="ySubsection"/>
      </w:pPr>
      <w:r>
        <w:tab/>
        <w:t>(1)</w:t>
      </w:r>
      <w:r>
        <w:tab/>
        <w:t>The register of loans made or guaranteed by and securities taken by a co</w:t>
      </w:r>
      <w:r>
        <w:noBreakHyphen/>
        <w:t xml:space="preserve">operative must contain the following details for each loan made — </w:t>
      </w:r>
    </w:p>
    <w:p>
      <w:pPr>
        <w:pStyle w:val="yIndenta"/>
      </w:pPr>
      <w:r>
        <w:tab/>
        <w:t>(a)</w:t>
      </w:r>
      <w:r>
        <w:tab/>
        <w:t>the name of each member to whom a loan is made;</w:t>
      </w:r>
    </w:p>
    <w:p>
      <w:pPr>
        <w:pStyle w:val="yIndenta"/>
      </w:pPr>
      <w:r>
        <w:tab/>
        <w:t>(b)</w:t>
      </w:r>
      <w:r>
        <w:tab/>
        <w:t>the amount of the loan;</w:t>
      </w:r>
    </w:p>
    <w:p>
      <w:pPr>
        <w:pStyle w:val="yIndenta"/>
      </w:pPr>
      <w:r>
        <w:tab/>
        <w:t>(c)</w:t>
      </w:r>
      <w:r>
        <w:tab/>
        <w:t>the date the loan was approved;</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otherwise than by a mortgage of real property — particulars of the security taken and a reference identifying the agreement that evidences that security;</w:t>
      </w:r>
    </w:p>
    <w:p>
      <w:pPr>
        <w:pStyle w:val="yIndenta"/>
      </w:pPr>
      <w:r>
        <w:tab/>
        <w:t>(f)</w:t>
      </w:r>
      <w:r>
        <w:tab/>
        <w:t>the date of the final repayment made in relation to the loan.</w:t>
      </w:r>
    </w:p>
    <w:p>
      <w:pPr>
        <w:pStyle w:val="ySubsection"/>
      </w:pPr>
      <w:r>
        <w:tab/>
        <w:t>(2)</w:t>
      </w:r>
      <w:r>
        <w:tab/>
        <w:t>The register of loans made or guaranteed by and securities taken by a co</w:t>
      </w:r>
      <w:r>
        <w:noBreakHyphen/>
        <w:t>operative must contain the following particulars for each loan guaranteed by the co</w:t>
      </w:r>
      <w:r>
        <w:noBreakHyphen/>
        <w:t xml:space="preserve">operative — </w:t>
      </w:r>
    </w:p>
    <w:p>
      <w:pPr>
        <w:pStyle w:val="yIndenta"/>
      </w:pPr>
      <w:r>
        <w:tab/>
        <w:t>(a)</w:t>
      </w:r>
      <w:r>
        <w:tab/>
        <w:t>the name of the member;</w:t>
      </w:r>
    </w:p>
    <w:p>
      <w:pPr>
        <w:pStyle w:val="yIndenta"/>
      </w:pPr>
      <w:r>
        <w:tab/>
        <w:t>(b)</w:t>
      </w:r>
      <w:r>
        <w:tab/>
        <w:t>the name of the lender;</w:t>
      </w:r>
    </w:p>
    <w:p>
      <w:pPr>
        <w:pStyle w:val="yIndenta"/>
      </w:pPr>
      <w:r>
        <w:tab/>
        <w:t>(c)</w:t>
      </w:r>
      <w:r>
        <w:tab/>
        <w:t>the amount of the loan;</w:t>
      </w:r>
    </w:p>
    <w:p>
      <w:pPr>
        <w:pStyle w:val="yIndenta"/>
      </w:pPr>
      <w:r>
        <w:tab/>
        <w:t>(d)</w:t>
      </w:r>
      <w:r>
        <w:tab/>
        <w:t>the date of the guarantee;</w:t>
      </w:r>
    </w:p>
    <w:p>
      <w:pPr>
        <w:pStyle w:val="yIndenta"/>
      </w:pPr>
      <w:r>
        <w:tab/>
        <w:t>(e)</w:t>
      </w:r>
      <w:r>
        <w:tab/>
        <w:t>the security documents held and any other information necessary to identify the parties to the security documents;</w:t>
      </w:r>
    </w:p>
    <w:p>
      <w:pPr>
        <w:pStyle w:val="yIndenta"/>
      </w:pPr>
      <w:r>
        <w:tab/>
        <w:t>(f)</w:t>
      </w:r>
      <w:r>
        <w:tab/>
        <w:t>the due date for repayment.</w:t>
      </w:r>
    </w:p>
    <w:p>
      <w:pPr>
        <w:pStyle w:val="yHeading5"/>
      </w:pPr>
      <w:bookmarkStart w:id="994" w:name="_Toc292198024"/>
      <w:bookmarkStart w:id="995" w:name="_Toc267388898"/>
      <w:bookmarkStart w:id="996" w:name="_Toc269387215"/>
      <w:r>
        <w:rPr>
          <w:rStyle w:val="CharSClsNo"/>
        </w:rPr>
        <w:t>5</w:t>
      </w:r>
      <w:r>
        <w:t>.</w:t>
      </w:r>
      <w:r>
        <w:tab/>
        <w:t>Register of memberships cancelled</w:t>
      </w:r>
      <w:bookmarkEnd w:id="994"/>
      <w:bookmarkEnd w:id="995"/>
      <w:bookmarkEnd w:id="996"/>
    </w:p>
    <w:p>
      <w:pPr>
        <w:pStyle w:val="ySubsection"/>
      </w:pPr>
      <w:r>
        <w:tab/>
        <w:t>(1)</w:t>
      </w:r>
      <w:r>
        <w:tab/>
        <w:t xml:space="preserve">The register of memberships cancelled under Part 6 of the Act must contain the following particulars for each member whose membership is cancelled — </w:t>
      </w:r>
    </w:p>
    <w:p>
      <w:pPr>
        <w:pStyle w:val="yIndenta"/>
      </w:pPr>
      <w:r>
        <w:tab/>
        <w:t>(a)</w:t>
      </w:r>
      <w:r>
        <w:tab/>
        <w:t>the name of the member;</w:t>
      </w:r>
    </w:p>
    <w:p>
      <w:pPr>
        <w:pStyle w:val="yIndenta"/>
      </w:pPr>
      <w:r>
        <w:tab/>
        <w:t>(b)</w:t>
      </w:r>
      <w:r>
        <w:tab/>
        <w:t>if the whereabouts of the member are unknown — the date the required period of the member’s whereabouts being unknown started;</w:t>
      </w:r>
    </w:p>
    <w:p>
      <w:pPr>
        <w:pStyle w:val="yIndenta"/>
      </w:pPr>
      <w:r>
        <w:tab/>
        <w:t>(c)</w:t>
      </w:r>
      <w:r>
        <w:tab/>
        <w:t xml:space="preserve">if the whereabouts of the member are known and the amount required to be paid is over $100.00 — </w:t>
      </w:r>
    </w:p>
    <w:p>
      <w:pPr>
        <w:pStyle w:val="yIndenti0"/>
      </w:pPr>
      <w:r>
        <w:tab/>
        <w:t>(i)</w:t>
      </w:r>
      <w:r>
        <w:tab/>
        <w:t>the date of the member’s last active dealing with the co</w:t>
      </w:r>
      <w:r>
        <w:noBreakHyphen/>
        <w:t>operative; and</w:t>
      </w:r>
    </w:p>
    <w:p>
      <w:pPr>
        <w:pStyle w:val="yIndenti0"/>
      </w:pPr>
      <w:r>
        <w:tab/>
        <w:t>(ii)</w:t>
      </w:r>
      <w:r>
        <w:tab/>
        <w:t>the date of giving the required notice to the member;</w:t>
      </w:r>
    </w:p>
    <w:p>
      <w:pPr>
        <w:pStyle w:val="yIndenta"/>
      </w:pPr>
      <w:r>
        <w:tab/>
        <w:t>(d)</w:t>
      </w:r>
      <w:r>
        <w:tab/>
        <w:t>if the whereabouts of the member are known and the amount required to be paid is $100.00 or less — the date of the member’s last active dealing with the co</w:t>
      </w:r>
      <w:r>
        <w:noBreakHyphen/>
        <w:t>operative;</w:t>
      </w:r>
    </w:p>
    <w:p>
      <w:pPr>
        <w:pStyle w:val="yIndenta"/>
      </w:pPr>
      <w:r>
        <w:tab/>
        <w:t>(e)</w:t>
      </w:r>
      <w:r>
        <w:tab/>
        <w:t>the date the membership was cancelled.</w:t>
      </w:r>
    </w:p>
    <w:p>
      <w:pPr>
        <w:pStyle w:val="ySubsection"/>
      </w:pPr>
      <w:r>
        <w:tab/>
        <w:t>(2)</w:t>
      </w:r>
      <w:r>
        <w:tab/>
        <w:t xml:space="preserve">If the member’s shares are forfeited because of cancellation of the person’s membership, the register must contain the following — </w:t>
      </w:r>
    </w:p>
    <w:p>
      <w:pPr>
        <w:pStyle w:val="yIndenta"/>
      </w:pPr>
      <w:r>
        <w:tab/>
        <w:t>(a)</w:t>
      </w:r>
      <w:r>
        <w:tab/>
        <w:t>the amount subscribed in respect of the shares forfeited;</w:t>
      </w:r>
    </w:p>
    <w:p>
      <w:pPr>
        <w:pStyle w:val="yIndenta"/>
      </w:pPr>
      <w:r>
        <w:tab/>
        <w:t>(b)</w:t>
      </w:r>
      <w:r>
        <w:tab/>
        <w:t>the date the shares were forfeited;</w:t>
      </w:r>
    </w:p>
    <w:p>
      <w:pPr>
        <w:pStyle w:val="yIndenta"/>
      </w:pPr>
      <w:r>
        <w:tab/>
        <w:t>(c)</w:t>
      </w:r>
      <w:r>
        <w:tab/>
        <w:t xml:space="preserve">if the date fixed by the board resolution for repayment of the amount paid up on shares is within one year of forfeiture — </w:t>
      </w:r>
    </w:p>
    <w:p>
      <w:pPr>
        <w:pStyle w:val="yIndenti0"/>
      </w:pPr>
      <w:r>
        <w:tab/>
        <w:t>(i)</w:t>
      </w:r>
      <w:r>
        <w:tab/>
        <w:t>the date of repayment; or</w:t>
      </w:r>
    </w:p>
    <w:p>
      <w:pPr>
        <w:pStyle w:val="yIndenti0"/>
      </w:pPr>
      <w:r>
        <w:tab/>
        <w:t>(ii)</w:t>
      </w:r>
      <w:r>
        <w:tab/>
        <w:t>if the amount is dealt with under section 127(2) of the Act — the date and how the amount is applied;</w:t>
      </w:r>
    </w:p>
    <w:p>
      <w:pPr>
        <w:pStyle w:val="yIndenta"/>
      </w:pPr>
      <w:r>
        <w:tab/>
        <w:t>(d)</w:t>
      </w:r>
      <w:r>
        <w:tab/>
        <w:t xml:space="preserve">if the amount due is to be transferred to a debenture, CCU or deposit account — </w:t>
      </w:r>
    </w:p>
    <w:p>
      <w:pPr>
        <w:pStyle w:val="yIndenti0"/>
      </w:pPr>
      <w:r>
        <w:tab/>
        <w:t>(i)</w:t>
      </w:r>
      <w:r>
        <w:tab/>
        <w:t>the date of repayment; and</w:t>
      </w:r>
    </w:p>
    <w:p>
      <w:pPr>
        <w:pStyle w:val="yIndenti0"/>
      </w:pPr>
      <w:r>
        <w:tab/>
        <w:t>(ii)</w:t>
      </w:r>
      <w:r>
        <w:tab/>
        <w:t>the date of transfer to the account.</w:t>
      </w:r>
    </w:p>
    <w:p>
      <w:pPr>
        <w:pStyle w:val="ySubsection"/>
      </w:pPr>
      <w:r>
        <w:tab/>
        <w:t>(3)</w:t>
      </w:r>
      <w:r>
        <w:tab/>
        <w:t>Subclause (2) applies only to co</w:t>
      </w:r>
      <w:r>
        <w:noBreakHyphen/>
        <w:t>operatives that have a share capital.</w:t>
      </w:r>
    </w:p>
    <w:p>
      <w:pPr>
        <w:pStyle w:val="yScheduleHeading"/>
        <w:rPr>
          <w:ins w:id="997" w:author="Master Repository Process" w:date="2021-07-31T15:17:00Z"/>
        </w:rPr>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998" w:name="_Toc292195112"/>
      <w:bookmarkStart w:id="999" w:name="_Toc292195400"/>
      <w:bookmarkStart w:id="1000" w:name="_Toc292198025"/>
      <w:bookmarkStart w:id="1001" w:name="_Toc265852153"/>
      <w:bookmarkStart w:id="1002" w:name="_Toc265852894"/>
      <w:bookmarkStart w:id="1003" w:name="_Toc266086724"/>
      <w:bookmarkStart w:id="1004" w:name="_Toc266088009"/>
      <w:bookmarkStart w:id="1005" w:name="_Toc266199868"/>
      <w:bookmarkStart w:id="1006" w:name="_Toc266279513"/>
      <w:bookmarkStart w:id="1007" w:name="_Toc266289776"/>
      <w:bookmarkStart w:id="1008" w:name="_Toc266345820"/>
      <w:bookmarkStart w:id="1009" w:name="_Toc266371337"/>
      <w:bookmarkStart w:id="1010" w:name="_Toc266430565"/>
      <w:bookmarkStart w:id="1011" w:name="_Toc266434723"/>
      <w:bookmarkStart w:id="1012" w:name="_Toc266435009"/>
      <w:bookmarkStart w:id="1013" w:name="_Toc266435925"/>
      <w:bookmarkStart w:id="1014" w:name="_Toc266436228"/>
      <w:bookmarkStart w:id="1015" w:name="_Toc266436514"/>
      <w:bookmarkStart w:id="1016" w:name="_Toc266436800"/>
      <w:bookmarkStart w:id="1017" w:name="_Toc266608375"/>
      <w:bookmarkStart w:id="1018" w:name="_Toc266609924"/>
      <w:bookmarkStart w:id="1019" w:name="_Toc266613842"/>
      <w:bookmarkStart w:id="1020" w:name="_Toc267054020"/>
      <w:bookmarkStart w:id="1021" w:name="_Toc267054554"/>
      <w:bookmarkStart w:id="1022" w:name="_Toc267054923"/>
      <w:bookmarkStart w:id="1023" w:name="_Toc267055209"/>
      <w:bookmarkStart w:id="1024" w:name="_Toc267055495"/>
      <w:bookmarkStart w:id="1025" w:name="_Toc267383322"/>
      <w:bookmarkStart w:id="1026" w:name="_Toc267388327"/>
      <w:bookmarkStart w:id="1027" w:name="_Toc267388613"/>
      <w:bookmarkStart w:id="1028" w:name="_Toc267388899"/>
      <w:bookmarkStart w:id="1029" w:name="_Toc269375199"/>
      <w:bookmarkStart w:id="1030" w:name="_Toc269375579"/>
      <w:bookmarkStart w:id="1031" w:name="_Toc269386927"/>
      <w:bookmarkStart w:id="1032" w:name="_Toc269387216"/>
      <w:r>
        <w:rPr>
          <w:rStyle w:val="CharSchNo"/>
        </w:rPr>
        <w:t>Schedule 5</w:t>
      </w:r>
      <w:r>
        <w:t> — </w:t>
      </w:r>
      <w:r>
        <w:rPr>
          <w:rStyle w:val="CharSchText"/>
        </w:rPr>
        <w:t>Changes to Corporations Act provisions</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yShoulderClause"/>
      </w:pPr>
      <w:r>
        <w:t>[r. 4, 12, 33]</w:t>
      </w:r>
    </w:p>
    <w:p>
      <w:pPr>
        <w:pStyle w:val="yHeading3"/>
      </w:pPr>
      <w:bookmarkStart w:id="1033" w:name="_Toc292195113"/>
      <w:bookmarkStart w:id="1034" w:name="_Toc292195401"/>
      <w:bookmarkStart w:id="1035" w:name="_Toc292198026"/>
      <w:bookmarkStart w:id="1036" w:name="_Toc265852154"/>
      <w:bookmarkStart w:id="1037" w:name="_Toc265852895"/>
      <w:bookmarkStart w:id="1038" w:name="_Toc266086725"/>
      <w:bookmarkStart w:id="1039" w:name="_Toc266088010"/>
      <w:bookmarkStart w:id="1040" w:name="_Toc266199869"/>
      <w:bookmarkStart w:id="1041" w:name="_Toc266279514"/>
      <w:bookmarkStart w:id="1042" w:name="_Toc266289777"/>
      <w:bookmarkStart w:id="1043" w:name="_Toc266345821"/>
      <w:bookmarkStart w:id="1044" w:name="_Toc266371338"/>
      <w:bookmarkStart w:id="1045" w:name="_Toc266430566"/>
      <w:bookmarkStart w:id="1046" w:name="_Toc266434724"/>
      <w:bookmarkStart w:id="1047" w:name="_Toc266435010"/>
      <w:bookmarkStart w:id="1048" w:name="_Toc266435926"/>
      <w:bookmarkStart w:id="1049" w:name="_Toc266436229"/>
      <w:bookmarkStart w:id="1050" w:name="_Toc266436515"/>
      <w:bookmarkStart w:id="1051" w:name="_Toc266436801"/>
      <w:bookmarkStart w:id="1052" w:name="_Toc266608376"/>
      <w:bookmarkStart w:id="1053" w:name="_Toc266609925"/>
      <w:bookmarkStart w:id="1054" w:name="_Toc266613843"/>
      <w:bookmarkStart w:id="1055" w:name="_Toc267054021"/>
      <w:bookmarkStart w:id="1056" w:name="_Toc267054555"/>
      <w:bookmarkStart w:id="1057" w:name="_Toc267054924"/>
      <w:bookmarkStart w:id="1058" w:name="_Toc267055210"/>
      <w:bookmarkStart w:id="1059" w:name="_Toc267055496"/>
      <w:bookmarkStart w:id="1060" w:name="_Toc267383323"/>
      <w:bookmarkStart w:id="1061" w:name="_Toc267388328"/>
      <w:bookmarkStart w:id="1062" w:name="_Toc267388614"/>
      <w:bookmarkStart w:id="1063" w:name="_Toc267388900"/>
      <w:bookmarkStart w:id="1064" w:name="_Toc269375200"/>
      <w:bookmarkStart w:id="1065" w:name="_Toc269375580"/>
      <w:bookmarkStart w:id="1066" w:name="_Toc269386928"/>
      <w:bookmarkStart w:id="1067" w:name="_Toc269387217"/>
      <w:r>
        <w:rPr>
          <w:rStyle w:val="CharSDivNo"/>
        </w:rPr>
        <w:t>Division 1</w:t>
      </w:r>
      <w:r>
        <w:t> — </w:t>
      </w:r>
      <w:r>
        <w:rPr>
          <w:rStyle w:val="CharSDivText"/>
        </w:rPr>
        <w:t>Modification to applied provisions (section 11)</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yMiscellaneousBody"/>
        <w:ind w:left="851" w:hanging="851"/>
      </w:pPr>
      <w:r>
        <w:rPr>
          <w:b/>
          <w:bCs/>
        </w:rPr>
        <w:t>1.</w:t>
      </w:r>
      <w:r>
        <w:tab/>
        <w:t>In the Act, references to “shareholders” are to be read as references to “members”.</w:t>
      </w:r>
    </w:p>
    <w:p>
      <w:pPr>
        <w:pStyle w:val="yMiscellaneousBody"/>
        <w:ind w:left="851" w:hanging="851"/>
      </w:pPr>
      <w:r>
        <w:rPr>
          <w:b/>
          <w:bCs/>
        </w:rPr>
        <w:t>2.</w:t>
      </w:r>
      <w:r>
        <w:tab/>
        <w:t xml:space="preserve">In the Act, references to “regulations” are to be read as references to “regulations made under the </w:t>
      </w:r>
      <w:r>
        <w:rPr>
          <w:i/>
          <w:iCs/>
        </w:rPr>
        <w:t>Co</w:t>
      </w:r>
      <w:r>
        <w:rPr>
          <w:i/>
          <w:iCs/>
        </w:rPr>
        <w:noBreakHyphen/>
        <w:t xml:space="preserve">operatives Act 2009 </w:t>
      </w:r>
      <w:r>
        <w:t>(</w:t>
      </w:r>
      <w:smartTag w:uri="urn:schemas-microsoft-com:office:smarttags" w:element="State">
        <w:smartTag w:uri="urn:schemas-microsoft-com:office:smarttags" w:element="place">
          <w:r>
            <w:t>Western Australia</w:t>
          </w:r>
        </w:smartTag>
      </w:smartTag>
      <w:r>
        <w:t>)”.</w:t>
      </w:r>
    </w:p>
    <w:p>
      <w:pPr>
        <w:pStyle w:val="yMiscellaneousBody"/>
        <w:ind w:left="851" w:hanging="851"/>
      </w:pPr>
      <w:r>
        <w:rPr>
          <w:b/>
          <w:bCs/>
        </w:rPr>
        <w:t>3.</w:t>
      </w:r>
      <w:r>
        <w:tab/>
        <w:t>In the Act, a reference to a company that is the auditor of a company is to be read as a reference to a company that is the auditor of a co</w:t>
      </w:r>
      <w:r>
        <w:noBreakHyphen/>
        <w:t>operative.</w:t>
      </w:r>
    </w:p>
    <w:p>
      <w:pPr>
        <w:pStyle w:val="yHeading3"/>
      </w:pPr>
      <w:bookmarkStart w:id="1068" w:name="_Toc292195114"/>
      <w:bookmarkStart w:id="1069" w:name="_Toc292195402"/>
      <w:bookmarkStart w:id="1070" w:name="_Toc292198027"/>
      <w:bookmarkStart w:id="1071" w:name="_Toc265852155"/>
      <w:bookmarkStart w:id="1072" w:name="_Toc265852896"/>
      <w:bookmarkStart w:id="1073" w:name="_Toc266086726"/>
      <w:bookmarkStart w:id="1074" w:name="_Toc266088011"/>
      <w:bookmarkStart w:id="1075" w:name="_Toc266199870"/>
      <w:bookmarkStart w:id="1076" w:name="_Toc266279515"/>
      <w:bookmarkStart w:id="1077" w:name="_Toc266289778"/>
      <w:bookmarkStart w:id="1078" w:name="_Toc266345822"/>
      <w:bookmarkStart w:id="1079" w:name="_Toc266371339"/>
      <w:bookmarkStart w:id="1080" w:name="_Toc266430567"/>
      <w:bookmarkStart w:id="1081" w:name="_Toc266434725"/>
      <w:bookmarkStart w:id="1082" w:name="_Toc266435011"/>
      <w:bookmarkStart w:id="1083" w:name="_Toc266435927"/>
      <w:bookmarkStart w:id="1084" w:name="_Toc266436230"/>
      <w:bookmarkStart w:id="1085" w:name="_Toc266436516"/>
      <w:bookmarkStart w:id="1086" w:name="_Toc266436802"/>
      <w:bookmarkStart w:id="1087" w:name="_Toc266608377"/>
      <w:bookmarkStart w:id="1088" w:name="_Toc266609926"/>
      <w:bookmarkStart w:id="1089" w:name="_Toc266613844"/>
      <w:bookmarkStart w:id="1090" w:name="_Toc267054022"/>
      <w:bookmarkStart w:id="1091" w:name="_Toc267054556"/>
      <w:bookmarkStart w:id="1092" w:name="_Toc267054925"/>
      <w:bookmarkStart w:id="1093" w:name="_Toc267055211"/>
      <w:bookmarkStart w:id="1094" w:name="_Toc267055497"/>
      <w:bookmarkStart w:id="1095" w:name="_Toc267383324"/>
      <w:bookmarkStart w:id="1096" w:name="_Toc267388329"/>
      <w:bookmarkStart w:id="1097" w:name="_Toc267388615"/>
      <w:bookmarkStart w:id="1098" w:name="_Toc267388901"/>
      <w:bookmarkStart w:id="1099" w:name="_Toc269375201"/>
      <w:bookmarkStart w:id="1100" w:name="_Toc269375581"/>
      <w:bookmarkStart w:id="1101" w:name="_Toc269386929"/>
      <w:bookmarkStart w:id="1102" w:name="_Toc269387218"/>
      <w:r>
        <w:rPr>
          <w:rStyle w:val="CharSDivNo"/>
        </w:rPr>
        <w:t>Division 2</w:t>
      </w:r>
      <w:r>
        <w:t xml:space="preserve"> — Modifications to </w:t>
      </w:r>
      <w:r>
        <w:rPr>
          <w:rStyle w:val="CharSDivText"/>
        </w:rPr>
        <w:t>the Act (section 225)</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yMiscellaneousBody"/>
        <w:ind w:left="851" w:hanging="851"/>
      </w:pPr>
      <w:r>
        <w:rPr>
          <w:b/>
          <w:bCs/>
        </w:rPr>
        <w:t>4.</w:t>
      </w:r>
      <w:r>
        <w:tab/>
        <w:t>After section 249V(4) delete Note 1.</w:t>
      </w:r>
    </w:p>
    <w:p>
      <w:pPr>
        <w:pStyle w:val="yMiscellaneousBody"/>
        <w:ind w:left="851" w:hanging="851"/>
      </w:pPr>
      <w:r>
        <w:rPr>
          <w:b/>
          <w:bCs/>
        </w:rPr>
        <w:t>5.</w:t>
      </w:r>
      <w:r>
        <w:tab/>
        <w:t>In section 294(1) delete “4,”.</w:t>
      </w:r>
    </w:p>
    <w:p>
      <w:pPr>
        <w:pStyle w:val="yMiscellaneousBody"/>
        <w:ind w:left="851" w:hanging="851"/>
      </w:pPr>
      <w:r>
        <w:rPr>
          <w:b/>
          <w:bCs/>
        </w:rPr>
        <w:t>6.</w:t>
      </w:r>
      <w:r>
        <w:tab/>
        <w:t>After section 295(4) delete the note.</w:t>
      </w:r>
    </w:p>
    <w:p>
      <w:pPr>
        <w:pStyle w:val="yMiscellaneousBody"/>
        <w:ind w:left="851" w:hanging="851"/>
      </w:pPr>
      <w:r>
        <w:rPr>
          <w:b/>
          <w:bCs/>
        </w:rPr>
        <w:t>7.</w:t>
      </w:r>
      <w:r>
        <w:tab/>
        <w:t>Sections 296, 298(3) and 301(2) are modified so that the exemption mentioned in those sections also applies where a financial report is prepared in response to a direction from the Registrar under section 294 specifying that the report does not have to comply with particular accounting standards.</w:t>
      </w:r>
    </w:p>
    <w:p>
      <w:pPr>
        <w:pStyle w:val="yMiscellaneousBody"/>
        <w:ind w:left="851" w:hanging="851"/>
      </w:pPr>
      <w:r>
        <w:rPr>
          <w:b/>
          <w:bCs/>
        </w:rPr>
        <w:t>8.</w:t>
      </w:r>
      <w:r>
        <w:tab/>
        <w:t>In sections 295A, 299A and 300A, a reference to a company that is “listed” is to be read as a reference to a “co</w:t>
      </w:r>
      <w:r>
        <w:noBreakHyphen/>
        <w:t>operative with listed securities”.</w:t>
      </w:r>
    </w:p>
    <w:p>
      <w:pPr>
        <w:pStyle w:val="yMiscellaneousBody"/>
        <w:ind w:left="851" w:hanging="851"/>
      </w:pPr>
      <w:r>
        <w:rPr>
          <w:b/>
          <w:bCs/>
        </w:rPr>
        <w:t>9.</w:t>
      </w:r>
      <w:r>
        <w:tab/>
        <w:t>In section 300(8) in the note delete “</w:t>
      </w:r>
      <w:r>
        <w:rPr>
          <w:sz w:val="18"/>
        </w:rPr>
        <w:t>Sections 199A and 199B</w:t>
      </w:r>
      <w:r>
        <w:t>” and insert:</w:t>
      </w:r>
    </w:p>
    <w:p>
      <w:pPr>
        <w:pStyle w:val="BlankOpen"/>
      </w:pPr>
    </w:p>
    <w:p>
      <w:pPr>
        <w:pStyle w:val="zySubsection"/>
      </w:pPr>
      <w:r>
        <w:tab/>
      </w:r>
      <w:r>
        <w:tab/>
        <w:t xml:space="preserve">Section 213 of the </w:t>
      </w:r>
      <w:r>
        <w:rPr>
          <w:i/>
          <w:iCs/>
        </w:rPr>
        <w:t>Co</w:t>
      </w:r>
      <w:r>
        <w:rPr>
          <w:i/>
          <w:iCs/>
        </w:rPr>
        <w:noBreakHyphen/>
        <w:t>operatives Act 2009</w:t>
      </w:r>
      <w:r>
        <w:t xml:space="preserve"> (</w:t>
      </w:r>
      <w:smartTag w:uri="urn:schemas-microsoft-com:office:smarttags" w:element="place">
        <w:smartTag w:uri="urn:schemas-microsoft-com:office:smarttags" w:element="State">
          <w:r>
            <w:t>Western Australia</w:t>
          </w:r>
        </w:smartTag>
      </w:smartTag>
      <w:r>
        <w:t>) and section 199B of this Act</w:t>
      </w:r>
    </w:p>
    <w:p>
      <w:pPr>
        <w:pStyle w:val="BlankClose"/>
      </w:pPr>
    </w:p>
    <w:p>
      <w:pPr>
        <w:pStyle w:val="yMiscellaneousBody"/>
        <w:ind w:left="851" w:hanging="851"/>
      </w:pPr>
      <w:r>
        <w:rPr>
          <w:b/>
          <w:bCs/>
        </w:rPr>
        <w:t>10.</w:t>
      </w:r>
      <w:r>
        <w:tab/>
        <w:t>After section 302 delete Note 1.</w:t>
      </w:r>
    </w:p>
    <w:p>
      <w:pPr>
        <w:pStyle w:val="yMiscellaneousBody"/>
        <w:ind w:left="851" w:hanging="851"/>
      </w:pPr>
      <w:r>
        <w:rPr>
          <w:b/>
          <w:bCs/>
        </w:rPr>
        <w:t>11.</w:t>
      </w:r>
      <w:r>
        <w:tab/>
        <w:t>After section 303(4) delete the note.</w:t>
      </w:r>
    </w:p>
    <w:p>
      <w:pPr>
        <w:pStyle w:val="yMiscellaneousBody"/>
        <w:ind w:left="851" w:hanging="851"/>
      </w:pPr>
      <w:r>
        <w:rPr>
          <w:b/>
          <w:bCs/>
        </w:rPr>
        <w:t>12.</w:t>
      </w:r>
      <w:r>
        <w:tab/>
        <w:t>In section 315(1)(b) and (2)(b) delete “4 months” and insert:</w:t>
      </w:r>
    </w:p>
    <w:p>
      <w:pPr>
        <w:pStyle w:val="BlankOpen"/>
      </w:pPr>
    </w:p>
    <w:p>
      <w:pPr>
        <w:pStyle w:val="yMiscellaneousBody"/>
        <w:ind w:left="851" w:hanging="851"/>
      </w:pPr>
      <w:r>
        <w:tab/>
        <w:t>5 months</w:t>
      </w:r>
    </w:p>
    <w:p>
      <w:pPr>
        <w:pStyle w:val="BlankClose"/>
      </w:pPr>
    </w:p>
    <w:p>
      <w:pPr>
        <w:pStyle w:val="yMiscellaneousBody"/>
        <w:ind w:left="851" w:hanging="851"/>
      </w:pPr>
      <w:r>
        <w:rPr>
          <w:b/>
          <w:bCs/>
        </w:rPr>
        <w:t>13.</w:t>
      </w:r>
      <w:r>
        <w:tab/>
        <w:t>After section 315(1) delete the note.</w:t>
      </w:r>
    </w:p>
    <w:p>
      <w:pPr>
        <w:pStyle w:val="yMiscellaneousBody"/>
        <w:ind w:left="851" w:hanging="851"/>
      </w:pPr>
      <w:r>
        <w:rPr>
          <w:b/>
          <w:bCs/>
        </w:rPr>
        <w:t>14.</w:t>
      </w:r>
      <w:r>
        <w:tab/>
        <w:t>In section 315(2) delete “section 293” and insert:</w:t>
      </w:r>
    </w:p>
    <w:p>
      <w:pPr>
        <w:pStyle w:val="BlankOpen"/>
      </w:pPr>
    </w:p>
    <w:p>
      <w:pPr>
        <w:pStyle w:val="yMiscellaneousBody"/>
        <w:ind w:left="851" w:hanging="851"/>
      </w:pPr>
      <w:r>
        <w:tab/>
        <w:t>section 293, or by the Registrar under section 294,</w:t>
      </w:r>
    </w:p>
    <w:p>
      <w:pPr>
        <w:pStyle w:val="BlankClose"/>
      </w:pPr>
    </w:p>
    <w:p>
      <w:pPr>
        <w:pStyle w:val="yMiscellaneousBody"/>
        <w:ind w:left="851" w:hanging="851"/>
      </w:pPr>
      <w:r>
        <w:rPr>
          <w:b/>
          <w:bCs/>
        </w:rPr>
        <w:t>15.</w:t>
      </w:r>
      <w:r>
        <w:tab/>
        <w:t>After section 317(1) insert:</w:t>
      </w:r>
    </w:p>
    <w:p>
      <w:pPr>
        <w:pStyle w:val="BlankOpen"/>
      </w:pPr>
    </w:p>
    <w:p>
      <w:pPr>
        <w:pStyle w:val="zySubsection"/>
      </w:pPr>
      <w:r>
        <w:tab/>
        <w:t>(1A)</w:t>
      </w:r>
      <w:r>
        <w:tab/>
        <w:t>Subsection (1) does not apply to a small co</w:t>
      </w:r>
      <w:r>
        <w:noBreakHyphen/>
        <w:t>operative unless the small co</w:t>
      </w:r>
      <w:r>
        <w:noBreakHyphen/>
        <w:t xml:space="preserve">operative is required under the </w:t>
      </w:r>
      <w:r>
        <w:rPr>
          <w:i/>
          <w:iCs/>
        </w:rPr>
        <w:t>Co</w:t>
      </w:r>
      <w:r>
        <w:rPr>
          <w:i/>
          <w:iCs/>
        </w:rPr>
        <w:noBreakHyphen/>
        <w:t>operatives Act 2009</w:t>
      </w:r>
      <w:r>
        <w:t xml:space="preserve"> (</w:t>
      </w:r>
      <w:smartTag w:uri="urn:schemas-microsoft-com:office:smarttags" w:element="State">
        <w:smartTag w:uri="urn:schemas-microsoft-com:office:smarttags" w:element="place">
          <w:r>
            <w:t>Western Australia</w:t>
          </w:r>
        </w:smartTag>
      </w:smartTag>
      <w:r>
        <w:t>) to prepare the documents set out in paragraphs (a) to (c).</w:t>
      </w:r>
    </w:p>
    <w:p>
      <w:pPr>
        <w:pStyle w:val="BlankClose"/>
      </w:pPr>
    </w:p>
    <w:p>
      <w:pPr>
        <w:pStyle w:val="yMiscellaneousBody"/>
        <w:ind w:left="851" w:hanging="851"/>
      </w:pPr>
      <w:r>
        <w:rPr>
          <w:b/>
          <w:bCs/>
        </w:rPr>
        <w:t>16.</w:t>
      </w:r>
      <w:r>
        <w:tab/>
        <w:t>Delete section 319.</w:t>
      </w:r>
    </w:p>
    <w:p>
      <w:pPr>
        <w:pStyle w:val="yMiscellaneousBody"/>
        <w:ind w:left="851" w:hanging="851"/>
      </w:pPr>
      <w:r>
        <w:rPr>
          <w:b/>
          <w:bCs/>
        </w:rPr>
        <w:t>17.</w:t>
      </w:r>
      <w:r>
        <w:tab/>
        <w:t>After section 327A(1) insert:</w:t>
      </w:r>
    </w:p>
    <w:p>
      <w:pPr>
        <w:pStyle w:val="BlankOpen"/>
      </w:pPr>
    </w:p>
    <w:p>
      <w:pPr>
        <w:pStyle w:val="zySubsection"/>
      </w:pPr>
      <w:r>
        <w:tab/>
        <w:t>(1A)</w:t>
      </w:r>
      <w:r>
        <w:tab/>
        <w:t>An auditor appointed under subsection (1) must be a registered company auditor.</w:t>
      </w:r>
    </w:p>
    <w:p>
      <w:pPr>
        <w:pStyle w:val="zySubsection"/>
      </w:pPr>
      <w:r>
        <w:tab/>
        <w:t>(1B)</w:t>
      </w:r>
      <w:r>
        <w:tab/>
        <w:t>If a co</w:t>
      </w:r>
      <w:r>
        <w:noBreakHyphen/>
        <w:t>operative, prior to being registered under the Act, had appointed a person to be its auditor and the person continues to be the co</w:t>
      </w:r>
      <w:r>
        <w:noBreakHyphen/>
        <w:t>operative’s auditor, the co</w:t>
      </w:r>
      <w:r>
        <w:noBreakHyphen/>
        <w:t>operative is taken to have complied with subsection (1).</w:t>
      </w:r>
    </w:p>
    <w:p>
      <w:pPr>
        <w:pStyle w:val="BlankClose"/>
      </w:pPr>
    </w:p>
    <w:p>
      <w:pPr>
        <w:pStyle w:val="yMiscellaneousBody"/>
        <w:ind w:left="851" w:hanging="851"/>
      </w:pPr>
      <w:r>
        <w:rPr>
          <w:b/>
          <w:bCs/>
        </w:rPr>
        <w:t>18.</w:t>
      </w:r>
      <w:r>
        <w:tab/>
        <w:t>After section 327A(2) insert:</w:t>
      </w:r>
    </w:p>
    <w:p>
      <w:pPr>
        <w:pStyle w:val="BlankOpen"/>
      </w:pPr>
    </w:p>
    <w:p>
      <w:pPr>
        <w:pStyle w:val="zySubsection"/>
      </w:pPr>
      <w:r>
        <w:tab/>
        <w:t>(2A)</w:t>
      </w:r>
      <w:r>
        <w:tab/>
        <w:t>Despite subsection (2), an auditor appointed in the circumstances set out in subsection (1B) may continue to be the co</w:t>
      </w:r>
      <w:r>
        <w:noBreakHyphen/>
        <w:t>operative’s auditor until the position is permanently vacated.</w:t>
      </w:r>
    </w:p>
    <w:p>
      <w:pPr>
        <w:pStyle w:val="BlankClose"/>
      </w:pPr>
    </w:p>
    <w:p>
      <w:pPr>
        <w:pStyle w:val="yMiscellaneousBody"/>
        <w:ind w:left="851" w:hanging="851"/>
      </w:pPr>
      <w:r>
        <w:rPr>
          <w:b/>
          <w:bCs/>
        </w:rPr>
        <w:t>19.</w:t>
      </w:r>
      <w:r>
        <w:tab/>
        <w:t>In section 329(1A) delete the note.</w:t>
      </w:r>
    </w:p>
    <w:p>
      <w:pPr>
        <w:pStyle w:val="yMiscellaneousBody"/>
        <w:ind w:left="851" w:hanging="851"/>
      </w:pPr>
      <w:r>
        <w:rPr>
          <w:b/>
          <w:bCs/>
        </w:rPr>
        <w:t>20.</w:t>
      </w:r>
      <w:r>
        <w:tab/>
        <w:t>After section 329(1A) insert:</w:t>
      </w:r>
    </w:p>
    <w:p>
      <w:pPr>
        <w:pStyle w:val="BlankOpen"/>
      </w:pPr>
    </w:p>
    <w:p>
      <w:pPr>
        <w:pStyle w:val="zySubsection"/>
      </w:pPr>
      <w:r>
        <w:tab/>
        <w:t>(1B)</w:t>
      </w:r>
      <w:r>
        <w:tab/>
        <w:t>Despite subsection (1A), the co</w:t>
      </w:r>
      <w:r>
        <w:noBreakHyphen/>
        <w:t>operative may pass the resolution only if at least 21 days notice of the meeting has been given.</w:t>
      </w:r>
    </w:p>
    <w:p>
      <w:pPr>
        <w:pStyle w:val="BlankClose"/>
      </w:pPr>
    </w:p>
    <w:p>
      <w:pPr>
        <w:pStyle w:val="yMiscellaneousBody"/>
        <w:ind w:left="851" w:hanging="851"/>
      </w:pPr>
      <w:r>
        <w:rPr>
          <w:b/>
          <w:bCs/>
        </w:rPr>
        <w:t>21.</w:t>
      </w:r>
      <w:r>
        <w:tab/>
        <w:t>In section 329(8) delete “Subject to subsection (9), the” and insert:</w:t>
      </w:r>
    </w:p>
    <w:p>
      <w:pPr>
        <w:pStyle w:val="BlankOpen"/>
      </w:pPr>
    </w:p>
    <w:p>
      <w:pPr>
        <w:pStyle w:val="yMiscellaneousBody"/>
        <w:ind w:left="851" w:hanging="851"/>
      </w:pPr>
      <w:r>
        <w:tab/>
        <w:t>The</w:t>
      </w:r>
    </w:p>
    <w:p>
      <w:pPr>
        <w:pStyle w:val="BlankClose"/>
      </w:pPr>
    </w:p>
    <w:p>
      <w:pPr>
        <w:pStyle w:val="yMiscellaneousBody"/>
        <w:ind w:left="851" w:hanging="851"/>
      </w:pPr>
      <w:r>
        <w:rPr>
          <w:b/>
          <w:bCs/>
        </w:rPr>
        <w:t>22.</w:t>
      </w:r>
      <w:r>
        <w:tab/>
        <w:t>Delete section 329(9).</w:t>
      </w:r>
    </w:p>
    <w:p>
      <w:pPr>
        <w:pStyle w:val="yMiscellaneousBody"/>
        <w:ind w:left="851" w:hanging="851"/>
      </w:pPr>
      <w:r>
        <w:rPr>
          <w:b/>
          <w:bCs/>
        </w:rPr>
        <w:t>23.</w:t>
      </w:r>
      <w:r>
        <w:tab/>
        <w:t>Delete section 330(b) and insert:</w:t>
      </w:r>
    </w:p>
    <w:p>
      <w:pPr>
        <w:pStyle w:val="BlankOpen"/>
      </w:pPr>
    </w:p>
    <w:p>
      <w:pPr>
        <w:pStyle w:val="zyIndenta"/>
      </w:pPr>
      <w:r>
        <w:tab/>
        <w:t>(b)</w:t>
      </w:r>
      <w:r>
        <w:tab/>
        <w:t>a certificate winding</w:t>
      </w:r>
      <w:r>
        <w:noBreakHyphen/>
        <w:t>up the co</w:t>
      </w:r>
      <w:r>
        <w:noBreakHyphen/>
        <w:t>operative is given by the Registrar; or</w:t>
      </w:r>
    </w:p>
    <w:p>
      <w:pPr>
        <w:pStyle w:val="zyIndenta"/>
      </w:pPr>
      <w:r>
        <w:tab/>
        <w:t>(c)</w:t>
      </w:r>
      <w:r>
        <w:tab/>
        <w:t>if paragraph (a) or (b) does not apply — an order is made by the Court for the winding</w:t>
      </w:r>
      <w:r>
        <w:noBreakHyphen/>
        <w:t>up of the co</w:t>
      </w:r>
      <w:r>
        <w:noBreakHyphen/>
        <w:t>operative.</w:t>
      </w:r>
    </w:p>
    <w:p>
      <w:pPr>
        <w:pStyle w:val="BlankClose"/>
      </w:pPr>
    </w:p>
    <w:p>
      <w:pPr>
        <w:pStyle w:val="yMiscellaneousBody"/>
        <w:ind w:left="851" w:hanging="851"/>
      </w:pPr>
      <w:r>
        <w:rPr>
          <w:b/>
          <w:bCs/>
        </w:rPr>
        <w:t>24.</w:t>
      </w:r>
      <w:r>
        <w:tab/>
        <w:t>Delete Part 2M.4 Division 7.</w:t>
      </w:r>
    </w:p>
    <w:p>
      <w:pPr>
        <w:pStyle w:val="yHeading3"/>
      </w:pPr>
      <w:bookmarkStart w:id="1103" w:name="_Toc292195115"/>
      <w:bookmarkStart w:id="1104" w:name="_Toc292195403"/>
      <w:bookmarkStart w:id="1105" w:name="_Toc292198028"/>
      <w:bookmarkStart w:id="1106" w:name="_Toc265852156"/>
      <w:bookmarkStart w:id="1107" w:name="_Toc265852897"/>
      <w:bookmarkStart w:id="1108" w:name="_Toc266086727"/>
      <w:bookmarkStart w:id="1109" w:name="_Toc266088012"/>
      <w:bookmarkStart w:id="1110" w:name="_Toc266199871"/>
      <w:bookmarkStart w:id="1111" w:name="_Toc266279516"/>
      <w:bookmarkStart w:id="1112" w:name="_Toc266289779"/>
      <w:bookmarkStart w:id="1113" w:name="_Toc266345823"/>
      <w:bookmarkStart w:id="1114" w:name="_Toc266371340"/>
      <w:bookmarkStart w:id="1115" w:name="_Toc266430568"/>
      <w:bookmarkStart w:id="1116" w:name="_Toc266434726"/>
      <w:bookmarkStart w:id="1117" w:name="_Toc266435012"/>
      <w:bookmarkStart w:id="1118" w:name="_Toc266435928"/>
      <w:bookmarkStart w:id="1119" w:name="_Toc266436231"/>
      <w:bookmarkStart w:id="1120" w:name="_Toc266436517"/>
      <w:bookmarkStart w:id="1121" w:name="_Toc266436803"/>
      <w:bookmarkStart w:id="1122" w:name="_Toc266608378"/>
      <w:bookmarkStart w:id="1123" w:name="_Toc266609927"/>
      <w:bookmarkStart w:id="1124" w:name="_Toc266613845"/>
      <w:bookmarkStart w:id="1125" w:name="_Toc267054023"/>
      <w:bookmarkStart w:id="1126" w:name="_Toc267054557"/>
      <w:bookmarkStart w:id="1127" w:name="_Toc267054926"/>
      <w:bookmarkStart w:id="1128" w:name="_Toc267055212"/>
      <w:bookmarkStart w:id="1129" w:name="_Toc267055498"/>
      <w:bookmarkStart w:id="1130" w:name="_Toc267383325"/>
      <w:bookmarkStart w:id="1131" w:name="_Toc267388330"/>
      <w:bookmarkStart w:id="1132" w:name="_Toc267388616"/>
      <w:bookmarkStart w:id="1133" w:name="_Toc267388902"/>
      <w:bookmarkStart w:id="1134" w:name="_Toc269375202"/>
      <w:bookmarkStart w:id="1135" w:name="_Toc269375582"/>
      <w:bookmarkStart w:id="1136" w:name="_Toc269386930"/>
      <w:bookmarkStart w:id="1137" w:name="_Toc269387219"/>
      <w:r>
        <w:rPr>
          <w:rStyle w:val="CharSDivNo"/>
        </w:rPr>
        <w:t>Division 3</w:t>
      </w:r>
      <w:r>
        <w:t> — </w:t>
      </w:r>
      <w:r>
        <w:rPr>
          <w:rStyle w:val="CharSDivText"/>
        </w:rPr>
        <w:t>Changes for the Act (section 316)</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yMiscellaneousBody"/>
        <w:ind w:left="851" w:hanging="851"/>
      </w:pPr>
      <w:r>
        <w:rPr>
          <w:b/>
          <w:bCs/>
        </w:rPr>
        <w:t>25.</w:t>
      </w:r>
      <w:r>
        <w:tab/>
        <w:t>In section 461(h) delete “ASIC has stated in a report prepared under Division 1 of Part 3 of the ASIC Act that, in its opinion:” and insert:</w:t>
      </w:r>
    </w:p>
    <w:p>
      <w:pPr>
        <w:pStyle w:val="BlankOpen"/>
      </w:pPr>
    </w:p>
    <w:p>
      <w:pPr>
        <w:pStyle w:val="zyIndenta"/>
      </w:pPr>
      <w:r>
        <w:tab/>
      </w:r>
      <w:r>
        <w:tab/>
        <w:t>the Registrar has, because of an inquiry held under Part 15, Division 2 or 4of the Act, stated that:</w:t>
      </w:r>
    </w:p>
    <w:p>
      <w:pPr>
        <w:pStyle w:val="BlankClose"/>
      </w:pPr>
    </w:p>
    <w:p>
      <w:pPr>
        <w:pStyle w:val="yMiscellaneousBody"/>
        <w:ind w:left="851" w:hanging="851"/>
      </w:pPr>
      <w:r>
        <w:rPr>
          <w:b/>
          <w:bCs/>
        </w:rPr>
        <w:t>26.</w:t>
      </w:r>
      <w:r>
        <w:tab/>
        <w:t>In section 464 delete “Where ASIC is investigating, or has investigated, under Division 1 of Part 3 of the ASIC Act:” and insert:</w:t>
      </w:r>
    </w:p>
    <w:p>
      <w:pPr>
        <w:pStyle w:val="BlankOpen"/>
      </w:pPr>
    </w:p>
    <w:p>
      <w:pPr>
        <w:pStyle w:val="zySubsection"/>
      </w:pPr>
      <w:r>
        <w:tab/>
      </w:r>
      <w:r>
        <w:tab/>
        <w:t>If the Registrar is holding or has held an inquiry under Part 15, Division 2 or 4 of the Act, in relation to:</w:t>
      </w:r>
    </w:p>
    <w:p>
      <w:pPr>
        <w:pStyle w:val="BlankClose"/>
      </w:pPr>
    </w:p>
    <w:p>
      <w:pPr>
        <w:pStyle w:val="yMiscellaneousBody"/>
        <w:ind w:left="851" w:hanging="851"/>
      </w:pPr>
      <w:r>
        <w:rPr>
          <w:b/>
          <w:bCs/>
        </w:rPr>
        <w:t>27.</w:t>
      </w:r>
      <w:r>
        <w:tab/>
        <w:t xml:space="preserve">In section 542(3) — </w:t>
      </w:r>
    </w:p>
    <w:p>
      <w:pPr>
        <w:pStyle w:val="yMiscellaneousBody"/>
        <w:tabs>
          <w:tab w:val="left" w:pos="1134"/>
          <w:tab w:val="left" w:pos="1701"/>
        </w:tabs>
      </w:pPr>
      <w:r>
        <w:tab/>
        <w:t>(a)</w:t>
      </w:r>
      <w:r>
        <w:tab/>
        <w:t>in paragraph (c) delete “direct.” and insert:</w:t>
      </w:r>
    </w:p>
    <w:p>
      <w:pPr>
        <w:pStyle w:val="BlankOpen"/>
      </w:pPr>
    </w:p>
    <w:p>
      <w:pPr>
        <w:pStyle w:val="yMiscellaneousBody"/>
        <w:tabs>
          <w:tab w:val="left" w:pos="1701"/>
        </w:tabs>
      </w:pPr>
      <w:r>
        <w:tab/>
        <w:t>direct; and</w:t>
      </w:r>
    </w:p>
    <w:p>
      <w:pPr>
        <w:pStyle w:val="BlankClose"/>
      </w:pPr>
    </w:p>
    <w:p>
      <w:pPr>
        <w:pStyle w:val="yMiscellaneousBody"/>
        <w:tabs>
          <w:tab w:val="left" w:pos="1134"/>
          <w:tab w:val="left" w:pos="1701"/>
        </w:tabs>
      </w:pPr>
      <w:r>
        <w:tab/>
        <w:t>(b)</w:t>
      </w:r>
      <w:r>
        <w:tab/>
        <w:t>after paragraph (c) insert:</w:t>
      </w:r>
    </w:p>
    <w:p>
      <w:pPr>
        <w:pStyle w:val="BlankOpen"/>
      </w:pPr>
    </w:p>
    <w:p>
      <w:pPr>
        <w:pStyle w:val="zyIndenta"/>
      </w:pPr>
      <w:r>
        <w:tab/>
        <w:t>(d)</w:t>
      </w:r>
      <w:r>
        <w:tab/>
        <w:t>for a winding</w:t>
      </w:r>
      <w:r>
        <w:noBreakHyphen/>
        <w:t xml:space="preserve">up on a certificate of the Registrar under the </w:t>
      </w:r>
      <w:r>
        <w:rPr>
          <w:i/>
          <w:iCs/>
        </w:rPr>
        <w:t>Co</w:t>
      </w:r>
      <w:r>
        <w:rPr>
          <w:i/>
          <w:iCs/>
        </w:rPr>
        <w:noBreakHyphen/>
        <w:t>operatives Act 2009</w:t>
      </w:r>
      <w:r>
        <w:t xml:space="preserve"> (</w:t>
      </w:r>
      <w:smartTag w:uri="urn:schemas-microsoft-com:office:smarttags" w:element="State">
        <w:smartTag w:uri="urn:schemas-microsoft-com:office:smarttags" w:element="place">
          <w:r>
            <w:t>Western Australia</w:t>
          </w:r>
        </w:smartTag>
      </w:smartTag>
      <w:r>
        <w:t>), section 314 — with the consent of the Registrar.</w:t>
      </w:r>
    </w:p>
    <w:p>
      <w:pPr>
        <w:pStyle w:val="BlankClose"/>
      </w:pPr>
    </w:p>
    <w:p>
      <w:pPr>
        <w:pStyle w:val="zyIndenta"/>
        <w:rPr>
          <w:ins w:id="1138" w:author="Master Repository Process" w:date="2021-07-31T15:17:00Z"/>
        </w:r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1139" w:name="_Toc292195116"/>
      <w:bookmarkStart w:id="1140" w:name="_Toc292195404"/>
      <w:bookmarkStart w:id="1141" w:name="_Toc292198029"/>
      <w:bookmarkStart w:id="1142" w:name="_Toc265852157"/>
      <w:bookmarkStart w:id="1143" w:name="_Toc265852898"/>
      <w:bookmarkStart w:id="1144" w:name="_Toc266086728"/>
      <w:bookmarkStart w:id="1145" w:name="_Toc266088013"/>
      <w:bookmarkStart w:id="1146" w:name="_Toc266199872"/>
      <w:bookmarkStart w:id="1147" w:name="_Toc266279517"/>
      <w:bookmarkStart w:id="1148" w:name="_Toc266289780"/>
      <w:bookmarkStart w:id="1149" w:name="_Toc266345824"/>
      <w:bookmarkStart w:id="1150" w:name="_Toc266371341"/>
      <w:bookmarkStart w:id="1151" w:name="_Toc266430569"/>
      <w:bookmarkStart w:id="1152" w:name="_Toc266434727"/>
      <w:bookmarkStart w:id="1153" w:name="_Toc266435013"/>
      <w:bookmarkStart w:id="1154" w:name="_Toc266435929"/>
      <w:bookmarkStart w:id="1155" w:name="_Toc266436232"/>
      <w:bookmarkStart w:id="1156" w:name="_Toc266436518"/>
      <w:bookmarkStart w:id="1157" w:name="_Toc266436804"/>
      <w:bookmarkStart w:id="1158" w:name="_Toc266608379"/>
      <w:bookmarkStart w:id="1159" w:name="_Toc266609928"/>
      <w:bookmarkStart w:id="1160" w:name="_Toc266613846"/>
      <w:bookmarkStart w:id="1161" w:name="_Toc267054024"/>
      <w:bookmarkStart w:id="1162" w:name="_Toc267054558"/>
      <w:bookmarkStart w:id="1163" w:name="_Toc267054927"/>
      <w:bookmarkStart w:id="1164" w:name="_Toc267055213"/>
      <w:bookmarkStart w:id="1165" w:name="_Toc267055499"/>
      <w:bookmarkStart w:id="1166" w:name="_Toc267383326"/>
      <w:bookmarkStart w:id="1167" w:name="_Toc267388331"/>
      <w:bookmarkStart w:id="1168" w:name="_Toc267388617"/>
      <w:bookmarkStart w:id="1169" w:name="_Toc267388903"/>
      <w:bookmarkStart w:id="1170" w:name="_Toc269375203"/>
      <w:bookmarkStart w:id="1171" w:name="_Toc269375583"/>
      <w:bookmarkStart w:id="1172" w:name="_Toc269386931"/>
      <w:bookmarkStart w:id="1173" w:name="_Toc269387220"/>
      <w:r>
        <w:rPr>
          <w:rStyle w:val="CharSchNo"/>
        </w:rPr>
        <w:t>Schedule 6</w:t>
      </w:r>
      <w:r>
        <w:rPr>
          <w:rStyle w:val="CharSDivNo"/>
        </w:rPr>
        <w:t> </w:t>
      </w:r>
      <w:r>
        <w:t>—</w:t>
      </w:r>
      <w:r>
        <w:rPr>
          <w:rStyle w:val="CharSDivText"/>
        </w:rPr>
        <w:t> </w:t>
      </w:r>
      <w:r>
        <w:rPr>
          <w:rStyle w:val="CharSchText"/>
        </w:rPr>
        <w:t>Undesirable matter for names</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pPr>
        <w:pStyle w:val="yShoulderClause"/>
      </w:pPr>
      <w:r>
        <w:t>[r. 17]</w:t>
      </w:r>
    </w:p>
    <w:p>
      <w:pPr>
        <w:pStyle w:val="yMiscellaneousBody"/>
        <w:tabs>
          <w:tab w:val="left" w:pos="851"/>
        </w:tabs>
      </w:pPr>
      <w:r>
        <w:rPr>
          <w:b/>
          <w:bCs/>
        </w:rPr>
        <w:t>1</w:t>
      </w:r>
      <w:r>
        <w:t>.</w:t>
      </w:r>
      <w:r>
        <w:tab/>
        <w:t xml:space="preserve">Names that are likely to be confused with or mistaken for — </w:t>
      </w:r>
    </w:p>
    <w:p>
      <w:pPr>
        <w:pStyle w:val="yMiscellaneousBody"/>
        <w:tabs>
          <w:tab w:val="left" w:pos="851"/>
          <w:tab w:val="left" w:pos="1418"/>
        </w:tabs>
        <w:ind w:left="1418" w:hanging="1418"/>
      </w:pPr>
      <w:r>
        <w:tab/>
        <w:t>(a)</w:t>
      </w:r>
      <w:r>
        <w:tab/>
        <w:t xml:space="preserve">a name reserved or registered under the Corporations Act or registered under the </w:t>
      </w:r>
      <w:r>
        <w:rPr>
          <w:i/>
          <w:iCs/>
        </w:rPr>
        <w:t>Business Names Act 1962</w:t>
      </w:r>
      <w:r>
        <w:t xml:space="preserve"> section 7; or</w:t>
      </w:r>
    </w:p>
    <w:p>
      <w:pPr>
        <w:pStyle w:val="yMiscellaneousBody"/>
        <w:tabs>
          <w:tab w:val="left" w:pos="851"/>
          <w:tab w:val="left" w:pos="1418"/>
        </w:tabs>
        <w:ind w:left="1418" w:hanging="1418"/>
      </w:pPr>
      <w:r>
        <w:tab/>
        <w:t>(b)</w:t>
      </w:r>
      <w:r>
        <w:tab/>
        <w:t xml:space="preserve">the name of any of the following registered in </w:t>
      </w:r>
      <w:smartTag w:uri="urn:schemas-microsoft-com:office:smarttags" w:element="State">
        <w:smartTag w:uri="urn:schemas-microsoft-com:office:smarttags" w:element="place">
          <w:r>
            <w:t>Western Australia</w:t>
          </w:r>
        </w:smartTag>
      </w:smartTag>
      <w:r>
        <w:t xml:space="preserve"> — </w:t>
      </w:r>
    </w:p>
    <w:p>
      <w:pPr>
        <w:pStyle w:val="yMiscellaneousBody"/>
        <w:numPr>
          <w:ilvl w:val="0"/>
          <w:numId w:val="1"/>
        </w:numPr>
        <w:tabs>
          <w:tab w:val="clear" w:pos="2138"/>
          <w:tab w:val="left" w:pos="1843"/>
        </w:tabs>
        <w:ind w:left="1418" w:firstLine="0"/>
      </w:pPr>
      <w:r>
        <w:t>an incorporated association</w:t>
      </w:r>
    </w:p>
    <w:p>
      <w:pPr>
        <w:pStyle w:val="yMiscellaneousBody"/>
        <w:numPr>
          <w:ilvl w:val="0"/>
          <w:numId w:val="1"/>
        </w:numPr>
        <w:tabs>
          <w:tab w:val="clear" w:pos="2138"/>
          <w:tab w:val="left" w:pos="1843"/>
        </w:tabs>
        <w:ind w:left="1418" w:firstLine="0"/>
      </w:pPr>
      <w:r>
        <w:t>a building society</w:t>
      </w:r>
    </w:p>
    <w:p>
      <w:pPr>
        <w:pStyle w:val="yMiscellaneousBody"/>
        <w:numPr>
          <w:ilvl w:val="0"/>
          <w:numId w:val="1"/>
        </w:numPr>
        <w:tabs>
          <w:tab w:val="clear" w:pos="2138"/>
          <w:tab w:val="left" w:pos="1843"/>
        </w:tabs>
        <w:ind w:left="1418" w:firstLine="0"/>
      </w:pPr>
      <w:r>
        <w:t>a co</w:t>
      </w:r>
      <w:r>
        <w:noBreakHyphen/>
        <w:t>operative</w:t>
      </w:r>
    </w:p>
    <w:p>
      <w:pPr>
        <w:pStyle w:val="yMiscellaneousBody"/>
        <w:numPr>
          <w:ilvl w:val="0"/>
          <w:numId w:val="1"/>
        </w:numPr>
        <w:tabs>
          <w:tab w:val="clear" w:pos="2138"/>
          <w:tab w:val="left" w:pos="1843"/>
        </w:tabs>
        <w:ind w:left="1418" w:firstLine="0"/>
      </w:pPr>
      <w:r>
        <w:t>a foreign co</w:t>
      </w:r>
      <w:r>
        <w:noBreakHyphen/>
        <w:t>operative</w:t>
      </w:r>
    </w:p>
    <w:p>
      <w:pPr>
        <w:pStyle w:val="NotesPerm"/>
      </w:pPr>
      <w:r>
        <w:tab/>
        <w:t>Example:</w:t>
      </w:r>
    </w:p>
    <w:p>
      <w:pPr>
        <w:pStyle w:val="NotesPerm"/>
        <w:tabs>
          <w:tab w:val="clear" w:pos="879"/>
          <w:tab w:val="left" w:pos="1701"/>
        </w:tabs>
        <w:spacing w:before="80"/>
        <w:ind w:left="1701" w:hanging="1701"/>
        <w:rPr>
          <w:i/>
          <w:iCs/>
        </w:rPr>
      </w:pPr>
      <w:r>
        <w:tab/>
        <w:t>It may be unsuitable for a co</w:t>
      </w:r>
      <w:r>
        <w:noBreakHyphen/>
        <w:t>operative to be called Hypothetical Co</w:t>
      </w:r>
      <w:r>
        <w:noBreakHyphen/>
        <w:t>operative Limited if a corporation known as Hypothetical Limited already exists.</w:t>
      </w:r>
    </w:p>
    <w:p>
      <w:pPr>
        <w:pStyle w:val="yMiscellaneousBody"/>
        <w:tabs>
          <w:tab w:val="left" w:pos="851"/>
        </w:tabs>
        <w:ind w:left="851" w:hanging="851"/>
      </w:pPr>
      <w:r>
        <w:rPr>
          <w:b/>
          <w:bCs/>
        </w:rPr>
        <w:t>2.</w:t>
      </w:r>
      <w:r>
        <w:tab/>
        <w:t>Names that are misleading in relation to the nature, objects or purposes of the businesses conducted or to be conducted under the names or any other matter.</w:t>
      </w:r>
    </w:p>
    <w:p>
      <w:pPr>
        <w:pStyle w:val="yMiscellaneousBody"/>
        <w:tabs>
          <w:tab w:val="left" w:pos="851"/>
        </w:tabs>
        <w:ind w:left="851" w:hanging="851"/>
      </w:pPr>
      <w:r>
        <w:rPr>
          <w:b/>
          <w:bCs/>
        </w:rPr>
        <w:t>3.</w:t>
      </w:r>
      <w:r>
        <w:tab/>
        <w:t>Names that may be offensive to members of the public or a section of the public.</w:t>
      </w:r>
    </w:p>
    <w:p>
      <w:pPr>
        <w:pStyle w:val="yMiscellaneousBody"/>
        <w:tabs>
          <w:tab w:val="left" w:pos="851"/>
        </w:tabs>
        <w:ind w:left="851" w:hanging="851"/>
      </w:pPr>
      <w:r>
        <w:rPr>
          <w:b/>
          <w:bCs/>
        </w:rPr>
        <w:t>4.</w:t>
      </w:r>
      <w:r>
        <w:tab/>
        <w:t xml:space="preserve">Names containing the following words or phrases, any abbreviation of them or any similar words, phrases or abbreviations — </w:t>
      </w:r>
    </w:p>
    <w:p>
      <w:pPr>
        <w:pStyle w:val="yMiscellaneousBody"/>
        <w:numPr>
          <w:ilvl w:val="0"/>
          <w:numId w:val="2"/>
        </w:numPr>
        <w:tabs>
          <w:tab w:val="clear" w:pos="2138"/>
          <w:tab w:val="left" w:pos="1276"/>
        </w:tabs>
        <w:ind w:left="851" w:firstLine="0"/>
      </w:pPr>
      <w:r>
        <w:t>aboriginal corporation</w:t>
      </w:r>
    </w:p>
    <w:p>
      <w:pPr>
        <w:pStyle w:val="yMiscellaneousBody"/>
        <w:numPr>
          <w:ilvl w:val="0"/>
          <w:numId w:val="2"/>
        </w:numPr>
        <w:tabs>
          <w:tab w:val="clear" w:pos="2138"/>
          <w:tab w:val="left" w:pos="1276"/>
        </w:tabs>
        <w:ind w:left="851" w:firstLine="0"/>
      </w:pPr>
      <w:r>
        <w:t>aboriginal council</w:t>
      </w:r>
    </w:p>
    <w:p>
      <w:pPr>
        <w:pStyle w:val="yMiscellaneousBody"/>
        <w:numPr>
          <w:ilvl w:val="0"/>
          <w:numId w:val="2"/>
        </w:numPr>
        <w:tabs>
          <w:tab w:val="clear" w:pos="2138"/>
          <w:tab w:val="left" w:pos="1276"/>
        </w:tabs>
        <w:ind w:left="851" w:firstLine="0"/>
      </w:pPr>
      <w:r>
        <w:t>building society</w:t>
      </w:r>
    </w:p>
    <w:p>
      <w:pPr>
        <w:pStyle w:val="yMiscellaneousBody"/>
        <w:numPr>
          <w:ilvl w:val="0"/>
          <w:numId w:val="2"/>
        </w:numPr>
        <w:tabs>
          <w:tab w:val="clear" w:pos="2138"/>
          <w:tab w:val="left" w:pos="1276"/>
        </w:tabs>
        <w:ind w:left="851" w:firstLine="0"/>
      </w:pPr>
      <w:r>
        <w:t>chamber of commerce</w:t>
      </w:r>
    </w:p>
    <w:p>
      <w:pPr>
        <w:pStyle w:val="yMiscellaneousBody"/>
        <w:numPr>
          <w:ilvl w:val="0"/>
          <w:numId w:val="2"/>
        </w:numPr>
        <w:tabs>
          <w:tab w:val="clear" w:pos="2138"/>
          <w:tab w:val="left" w:pos="1276"/>
        </w:tabs>
        <w:ind w:left="851" w:firstLine="0"/>
      </w:pPr>
      <w:r>
        <w:t>chamber of industry</w:t>
      </w:r>
    </w:p>
    <w:p>
      <w:pPr>
        <w:pStyle w:val="yMiscellaneousBody"/>
        <w:numPr>
          <w:ilvl w:val="0"/>
          <w:numId w:val="2"/>
        </w:numPr>
        <w:tabs>
          <w:tab w:val="clear" w:pos="2138"/>
          <w:tab w:val="left" w:pos="1276"/>
        </w:tabs>
        <w:ind w:left="851" w:firstLine="0"/>
      </w:pPr>
      <w:r>
        <w:t>chamber of manufacturers</w:t>
      </w:r>
    </w:p>
    <w:p>
      <w:pPr>
        <w:pStyle w:val="yMiscellaneousBody"/>
        <w:numPr>
          <w:ilvl w:val="0"/>
          <w:numId w:val="2"/>
        </w:numPr>
        <w:tabs>
          <w:tab w:val="clear" w:pos="2138"/>
          <w:tab w:val="left" w:pos="1276"/>
        </w:tabs>
        <w:ind w:left="851" w:firstLine="0"/>
      </w:pPr>
      <w:r>
        <w:t>chartered</w:t>
      </w:r>
    </w:p>
    <w:p>
      <w:pPr>
        <w:pStyle w:val="yMiscellaneousBody"/>
        <w:numPr>
          <w:ilvl w:val="0"/>
          <w:numId w:val="2"/>
        </w:numPr>
        <w:tabs>
          <w:tab w:val="clear" w:pos="2138"/>
          <w:tab w:val="left" w:pos="1276"/>
        </w:tabs>
        <w:ind w:left="851" w:firstLine="0"/>
      </w:pPr>
      <w:r>
        <w:t>college of advanced education</w:t>
      </w:r>
    </w:p>
    <w:p>
      <w:pPr>
        <w:pStyle w:val="yMiscellaneousBody"/>
        <w:numPr>
          <w:ilvl w:val="0"/>
          <w:numId w:val="2"/>
        </w:numPr>
        <w:tabs>
          <w:tab w:val="clear" w:pos="2138"/>
          <w:tab w:val="left" w:pos="1276"/>
        </w:tabs>
        <w:ind w:left="851" w:firstLine="0"/>
      </w:pPr>
      <w:r>
        <w:t>consumer</w:t>
      </w:r>
    </w:p>
    <w:p>
      <w:pPr>
        <w:pStyle w:val="yMiscellaneousBody"/>
        <w:numPr>
          <w:ilvl w:val="0"/>
          <w:numId w:val="2"/>
        </w:numPr>
        <w:tabs>
          <w:tab w:val="clear" w:pos="2138"/>
          <w:tab w:val="left" w:pos="1276"/>
        </w:tabs>
        <w:ind w:left="851" w:firstLine="0"/>
      </w:pPr>
      <w:r>
        <w:t>co</w:t>
      </w:r>
      <w:r>
        <w:noBreakHyphen/>
        <w:t>operative housing society</w:t>
      </w:r>
    </w:p>
    <w:p>
      <w:pPr>
        <w:pStyle w:val="yMiscellaneousBody"/>
        <w:numPr>
          <w:ilvl w:val="0"/>
          <w:numId w:val="2"/>
        </w:numPr>
        <w:tabs>
          <w:tab w:val="clear" w:pos="2138"/>
          <w:tab w:val="left" w:pos="1276"/>
        </w:tabs>
        <w:ind w:left="851" w:firstLine="0"/>
      </w:pPr>
      <w:r>
        <w:t>credit co</w:t>
      </w:r>
      <w:r>
        <w:noBreakHyphen/>
        <w:t>operative</w:t>
      </w:r>
    </w:p>
    <w:p>
      <w:pPr>
        <w:pStyle w:val="yMiscellaneousBody"/>
        <w:numPr>
          <w:ilvl w:val="0"/>
          <w:numId w:val="2"/>
        </w:numPr>
        <w:tabs>
          <w:tab w:val="clear" w:pos="2138"/>
          <w:tab w:val="left" w:pos="1276"/>
        </w:tabs>
        <w:ind w:left="851" w:firstLine="0"/>
      </w:pPr>
      <w:r>
        <w:t>credit society</w:t>
      </w:r>
    </w:p>
    <w:p>
      <w:pPr>
        <w:pStyle w:val="yMiscellaneousBody"/>
        <w:numPr>
          <w:ilvl w:val="0"/>
          <w:numId w:val="2"/>
        </w:numPr>
        <w:tabs>
          <w:tab w:val="clear" w:pos="2138"/>
          <w:tab w:val="left" w:pos="1276"/>
        </w:tabs>
        <w:ind w:left="851" w:firstLine="0"/>
      </w:pPr>
      <w:r>
        <w:t>credit union</w:t>
      </w:r>
    </w:p>
    <w:p>
      <w:pPr>
        <w:pStyle w:val="yMiscellaneousBody"/>
        <w:numPr>
          <w:ilvl w:val="0"/>
          <w:numId w:val="2"/>
        </w:numPr>
        <w:tabs>
          <w:tab w:val="clear" w:pos="2138"/>
          <w:tab w:val="left" w:pos="1276"/>
        </w:tabs>
        <w:ind w:left="851" w:firstLine="0"/>
      </w:pPr>
      <w:r>
        <w:t>executor</w:t>
      </w:r>
    </w:p>
    <w:p>
      <w:pPr>
        <w:pStyle w:val="yMiscellaneousBody"/>
        <w:numPr>
          <w:ilvl w:val="0"/>
          <w:numId w:val="2"/>
        </w:numPr>
        <w:tabs>
          <w:tab w:val="clear" w:pos="2138"/>
          <w:tab w:val="left" w:pos="1276"/>
        </w:tabs>
        <w:ind w:left="851" w:firstLine="0"/>
      </w:pPr>
      <w:r>
        <w:t>foreign society</w:t>
      </w:r>
    </w:p>
    <w:p>
      <w:pPr>
        <w:pStyle w:val="yMiscellaneousBody"/>
        <w:numPr>
          <w:ilvl w:val="0"/>
          <w:numId w:val="2"/>
        </w:numPr>
        <w:tabs>
          <w:tab w:val="clear" w:pos="2138"/>
          <w:tab w:val="left" w:pos="1276"/>
        </w:tabs>
        <w:ind w:left="851" w:firstLine="0"/>
      </w:pPr>
      <w:r>
        <w:t>friendly society</w:t>
      </w:r>
    </w:p>
    <w:p>
      <w:pPr>
        <w:pStyle w:val="yMiscellaneousBody"/>
        <w:numPr>
          <w:ilvl w:val="0"/>
          <w:numId w:val="2"/>
        </w:numPr>
        <w:tabs>
          <w:tab w:val="clear" w:pos="2138"/>
          <w:tab w:val="left" w:pos="1276"/>
        </w:tabs>
        <w:ind w:left="851" w:firstLine="0"/>
      </w:pPr>
      <w:r>
        <w:t>futures exchange</w:t>
      </w:r>
    </w:p>
    <w:p>
      <w:pPr>
        <w:pStyle w:val="yMiscellaneousBody"/>
        <w:numPr>
          <w:ilvl w:val="0"/>
          <w:numId w:val="2"/>
        </w:numPr>
        <w:tabs>
          <w:tab w:val="clear" w:pos="2138"/>
          <w:tab w:val="left" w:pos="1276"/>
        </w:tabs>
        <w:ind w:left="851" w:firstLine="0"/>
      </w:pPr>
      <w:r>
        <w:t>guarantee</w:t>
      </w:r>
    </w:p>
    <w:p>
      <w:pPr>
        <w:pStyle w:val="yMiscellaneousBody"/>
        <w:numPr>
          <w:ilvl w:val="0"/>
          <w:numId w:val="2"/>
        </w:numPr>
        <w:tabs>
          <w:tab w:val="clear" w:pos="2138"/>
          <w:tab w:val="left" w:pos="1276"/>
        </w:tabs>
        <w:ind w:left="851" w:firstLine="0"/>
      </w:pPr>
      <w:r>
        <w:t>incorporated</w:t>
      </w:r>
    </w:p>
    <w:p>
      <w:pPr>
        <w:pStyle w:val="yMiscellaneousBody"/>
        <w:numPr>
          <w:ilvl w:val="0"/>
          <w:numId w:val="2"/>
        </w:numPr>
        <w:tabs>
          <w:tab w:val="clear" w:pos="2138"/>
          <w:tab w:val="left" w:pos="1276"/>
        </w:tabs>
        <w:ind w:left="851" w:firstLine="0"/>
      </w:pPr>
      <w:r>
        <w:t>institute of advanced education</w:t>
      </w:r>
    </w:p>
    <w:p>
      <w:pPr>
        <w:pStyle w:val="yMiscellaneousBody"/>
        <w:numPr>
          <w:ilvl w:val="0"/>
          <w:numId w:val="2"/>
        </w:numPr>
        <w:tabs>
          <w:tab w:val="clear" w:pos="2138"/>
          <w:tab w:val="left" w:pos="1276"/>
        </w:tabs>
        <w:ind w:left="851" w:firstLine="0"/>
      </w:pPr>
      <w:r>
        <w:t>made in Australia</w:t>
      </w:r>
    </w:p>
    <w:p>
      <w:pPr>
        <w:pStyle w:val="yMiscellaneousBody"/>
        <w:numPr>
          <w:ilvl w:val="0"/>
          <w:numId w:val="2"/>
        </w:numPr>
        <w:tabs>
          <w:tab w:val="clear" w:pos="2138"/>
          <w:tab w:val="left" w:pos="1276"/>
        </w:tabs>
        <w:ind w:left="851" w:firstLine="0"/>
      </w:pPr>
      <w:r>
        <w:t>savings</w:t>
      </w:r>
    </w:p>
    <w:p>
      <w:pPr>
        <w:pStyle w:val="yMiscellaneousBody"/>
        <w:numPr>
          <w:ilvl w:val="0"/>
          <w:numId w:val="2"/>
        </w:numPr>
        <w:tabs>
          <w:tab w:val="clear" w:pos="2138"/>
          <w:tab w:val="left" w:pos="1276"/>
        </w:tabs>
        <w:ind w:left="851" w:firstLine="0"/>
      </w:pPr>
      <w:r>
        <w:t>Starr Bowkett</w:t>
      </w:r>
    </w:p>
    <w:p>
      <w:pPr>
        <w:pStyle w:val="yMiscellaneousBody"/>
        <w:numPr>
          <w:ilvl w:val="0"/>
          <w:numId w:val="2"/>
        </w:numPr>
        <w:tabs>
          <w:tab w:val="clear" w:pos="2138"/>
          <w:tab w:val="left" w:pos="1276"/>
        </w:tabs>
        <w:ind w:left="851" w:firstLine="0"/>
      </w:pPr>
      <w:r>
        <w:t>stock exchange</w:t>
      </w:r>
    </w:p>
    <w:p>
      <w:pPr>
        <w:pStyle w:val="yMiscellaneousBody"/>
        <w:numPr>
          <w:ilvl w:val="0"/>
          <w:numId w:val="2"/>
        </w:numPr>
        <w:tabs>
          <w:tab w:val="clear" w:pos="2138"/>
          <w:tab w:val="left" w:pos="1276"/>
        </w:tabs>
        <w:ind w:left="851" w:firstLine="0"/>
      </w:pPr>
      <w:r>
        <w:t>Torres Strait Islander corporation</w:t>
      </w:r>
    </w:p>
    <w:p>
      <w:pPr>
        <w:pStyle w:val="yMiscellaneousBody"/>
        <w:numPr>
          <w:ilvl w:val="0"/>
          <w:numId w:val="2"/>
        </w:numPr>
        <w:tabs>
          <w:tab w:val="clear" w:pos="2138"/>
          <w:tab w:val="left" w:pos="1276"/>
        </w:tabs>
        <w:ind w:left="851" w:firstLine="0"/>
      </w:pPr>
      <w:r>
        <w:t>trust</w:t>
      </w:r>
    </w:p>
    <w:p>
      <w:pPr>
        <w:pStyle w:val="yMiscellaneousBody"/>
        <w:numPr>
          <w:ilvl w:val="0"/>
          <w:numId w:val="2"/>
        </w:numPr>
        <w:tabs>
          <w:tab w:val="clear" w:pos="2138"/>
          <w:tab w:val="left" w:pos="1276"/>
        </w:tabs>
        <w:ind w:left="851" w:firstLine="0"/>
      </w:pPr>
      <w:r>
        <w:t>trustee</w:t>
      </w:r>
    </w:p>
    <w:p>
      <w:pPr>
        <w:pStyle w:val="yMiscellaneousBody"/>
        <w:numPr>
          <w:ilvl w:val="0"/>
          <w:numId w:val="2"/>
        </w:numPr>
        <w:tabs>
          <w:tab w:val="clear" w:pos="2138"/>
          <w:tab w:val="left" w:pos="1276"/>
        </w:tabs>
        <w:ind w:left="851" w:firstLine="0"/>
      </w:pPr>
      <w:r>
        <w:t>university.</w:t>
      </w:r>
    </w:p>
    <w:p>
      <w:pPr>
        <w:pStyle w:val="yMiscellaneousBody"/>
        <w:tabs>
          <w:tab w:val="left" w:pos="851"/>
        </w:tabs>
        <w:ind w:left="851" w:hanging="851"/>
      </w:pPr>
      <w:r>
        <w:rPr>
          <w:b/>
          <w:bCs/>
        </w:rPr>
        <w:t>5.</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a connection with a member of the Royal Family if that connection does not exist;</w:t>
      </w:r>
    </w:p>
    <w:p>
      <w:pPr>
        <w:pStyle w:val="yMiscellaneousBody"/>
        <w:tabs>
          <w:tab w:val="left" w:pos="993"/>
          <w:tab w:val="left" w:pos="1560"/>
        </w:tabs>
        <w:ind w:left="1560" w:hanging="1560"/>
      </w:pPr>
      <w:r>
        <w:tab/>
        <w:t>(b)</w:t>
      </w:r>
      <w:r>
        <w:tab/>
        <w:t>that Royal patronage has been received when this is not the case.</w:t>
      </w:r>
    </w:p>
    <w:p>
      <w:pPr>
        <w:pStyle w:val="yMiscellaneousBody"/>
        <w:tabs>
          <w:tab w:val="left" w:pos="851"/>
        </w:tabs>
        <w:ind w:left="851" w:hanging="851"/>
      </w:pPr>
      <w:r>
        <w:rPr>
          <w:b/>
          <w:bCs/>
        </w:rPr>
        <w:t>6.</w:t>
      </w:r>
      <w:r>
        <w:tab/>
        <w:t>Names that, in the context in which they are proposed to be used, are capable of suggesting a connection with the State, the Government of the Commonwealth or a State or another part of the Queen’s dominions, possessions or territories.</w:t>
      </w:r>
    </w:p>
    <w:p>
      <w:pPr>
        <w:pStyle w:val="yMiscellaneousBody"/>
        <w:tabs>
          <w:tab w:val="left" w:pos="851"/>
        </w:tabs>
      </w:pPr>
      <w:r>
        <w:rPr>
          <w:b/>
          <w:bCs/>
        </w:rPr>
        <w:t>7.</w:t>
      </w:r>
      <w:r>
        <w:tab/>
        <w:t>Names that include the words ‘Commonwealth’ or ‘federal’.</w:t>
      </w:r>
    </w:p>
    <w:p>
      <w:pPr>
        <w:pStyle w:val="yMiscellaneousBody"/>
        <w:tabs>
          <w:tab w:val="left" w:pos="851"/>
        </w:tabs>
        <w:ind w:left="851" w:hanging="851"/>
      </w:pPr>
      <w:r>
        <w:rPr>
          <w:b/>
          <w:bCs/>
        </w:rPr>
        <w:t>8.</w:t>
      </w:r>
      <w:r>
        <w:tab/>
        <w:t>Names that in the context in which they are proposed to be used, are capable of suggesting a connection with the government of a foreign country.</w:t>
      </w:r>
    </w:p>
    <w:p>
      <w:pPr>
        <w:pStyle w:val="yMiscellaneousBody"/>
        <w:tabs>
          <w:tab w:val="left" w:pos="851"/>
        </w:tabs>
        <w:ind w:left="851" w:hanging="851"/>
      </w:pPr>
      <w:r>
        <w:rPr>
          <w:b/>
          <w:bCs/>
        </w:rPr>
        <w:t>9.</w:t>
      </w:r>
      <w:r>
        <w:tab/>
        <w:t>Names that in the context in which they are proposed to be used, are capable of suggesting a connection with a department, authority or instrumentality of the government of the Commonwealth or a State or with a local government.</w:t>
      </w:r>
    </w:p>
    <w:p>
      <w:pPr>
        <w:pStyle w:val="yMiscellaneousBody"/>
        <w:tabs>
          <w:tab w:val="left" w:pos="851"/>
        </w:tabs>
        <w:ind w:left="851" w:hanging="851"/>
      </w:pPr>
      <w:r>
        <w:rPr>
          <w:b/>
          <w:bCs/>
        </w:rPr>
        <w:t>10.</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connection with an ex servicemen’s organisation if that connection does not exist;</w:t>
      </w:r>
    </w:p>
    <w:p>
      <w:pPr>
        <w:pStyle w:val="yMiscellaneousBody"/>
        <w:tabs>
          <w:tab w:val="left" w:pos="993"/>
          <w:tab w:val="left" w:pos="1560"/>
        </w:tabs>
        <w:ind w:left="1560" w:hanging="1560"/>
      </w:pPr>
      <w:r>
        <w:tab/>
        <w:t>(b)</w:t>
      </w:r>
      <w:r>
        <w:tab/>
        <w:t>that the members of an organisation are totally or partially incapacitated when this is not the case.</w:t>
      </w:r>
    </w:p>
    <w:p>
      <w:pPr>
        <w:pStyle w:val="yMiscellaneousBody"/>
        <w:tabs>
          <w:tab w:val="left" w:pos="851"/>
        </w:tabs>
        <w:ind w:left="851" w:hanging="851"/>
      </w:pPr>
      <w:r>
        <w:rPr>
          <w:b/>
          <w:bCs/>
        </w:rPr>
        <w:t>11.</w:t>
      </w:r>
      <w:r>
        <w:tab/>
        <w:t xml:space="preserve">Names that are subject to restrictions under Commonwealth Acts including, but not limited to the following — </w:t>
      </w:r>
    </w:p>
    <w:p>
      <w:pPr>
        <w:pStyle w:val="yMiscellaneousBody"/>
        <w:tabs>
          <w:tab w:val="left" w:pos="993"/>
          <w:tab w:val="left" w:pos="1560"/>
        </w:tabs>
        <w:ind w:left="1560" w:hanging="1560"/>
      </w:pPr>
      <w:r>
        <w:tab/>
        <w:t>(a)</w:t>
      </w:r>
      <w:r>
        <w:tab/>
      </w:r>
      <w:r>
        <w:rPr>
          <w:i/>
          <w:iCs/>
        </w:rPr>
        <w:t>International Organisations (Privileges and Immunities) Act 1963</w:t>
      </w:r>
      <w:r>
        <w:t xml:space="preserve"> to the extent it prevents assumption or use in connection with a trade, business, profession, calling or occupation, of the name or an abbreviation of the name of the United Nations or any other prescribed international organisation;</w:t>
      </w:r>
    </w:p>
    <w:p>
      <w:pPr>
        <w:pStyle w:val="yMiscellaneousBody"/>
        <w:tabs>
          <w:tab w:val="left" w:pos="993"/>
          <w:tab w:val="left" w:pos="1560"/>
        </w:tabs>
        <w:ind w:left="1560" w:hanging="1560"/>
      </w:pPr>
      <w:r>
        <w:tab/>
        <w:t>(b)</w:t>
      </w:r>
      <w:r>
        <w:tab/>
      </w:r>
      <w:r>
        <w:rPr>
          <w:i/>
          <w:iCs/>
        </w:rPr>
        <w:t>Banking Act 1959</w:t>
      </w:r>
      <w:r>
        <w:t xml:space="preserve"> to the extent it prevents the assumption or use, in relation to financial business, of ‘bank’, ‘banker’, or ‘banking’ or any similar word;</w:t>
      </w:r>
    </w:p>
    <w:p>
      <w:pPr>
        <w:pStyle w:val="yMiscellaneousBody"/>
        <w:tabs>
          <w:tab w:val="left" w:pos="993"/>
          <w:tab w:val="left" w:pos="1560"/>
        </w:tabs>
        <w:ind w:left="1560" w:hanging="1560"/>
      </w:pPr>
      <w:r>
        <w:tab/>
        <w:t>(c)</w:t>
      </w:r>
      <w:r>
        <w:tab/>
      </w:r>
      <w:r>
        <w:rPr>
          <w:i/>
          <w:iCs/>
        </w:rPr>
        <w:t>Protection of Word “Anzac” Regulations</w:t>
      </w:r>
      <w:r>
        <w:t xml:space="preserve"> to the extent it prevents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MiscellaneousBody"/>
        <w:tabs>
          <w:tab w:val="left" w:pos="993"/>
          <w:tab w:val="left" w:pos="1560"/>
        </w:tabs>
        <w:ind w:left="1560" w:hanging="1560"/>
      </w:pPr>
      <w:r>
        <w:tab/>
        <w:t>(d)</w:t>
      </w:r>
      <w:r>
        <w:tab/>
      </w:r>
      <w:r>
        <w:rPr>
          <w:i/>
          <w:iCs/>
        </w:rPr>
        <w:t>Defence (Prohibited Words and Letters) Regulations 1957</w:t>
      </w:r>
      <w:r>
        <w:t xml:space="preserve"> to the extent it prohibits the use in connection with a trade, business, calling or profession or by an organisation or body of persons of the words and letters set out in the regulations (being words and letters indicative of a part of the armed forces of Australia);</w:t>
      </w:r>
    </w:p>
    <w:p>
      <w:pPr>
        <w:pStyle w:val="yMiscellaneousBody"/>
        <w:tabs>
          <w:tab w:val="left" w:pos="993"/>
          <w:tab w:val="left" w:pos="1560"/>
        </w:tabs>
        <w:ind w:left="1560" w:hanging="1560"/>
      </w:pPr>
      <w:r>
        <w:tab/>
        <w:t>(e)</w:t>
      </w:r>
      <w:r>
        <w:tab/>
      </w:r>
      <w:r>
        <w:rPr>
          <w:i/>
          <w:iCs/>
        </w:rPr>
        <w:t>Scout Association Act 1924</w:t>
      </w:r>
      <w:r>
        <w:t xml:space="preserve"> to the extent it prevents the use of the name ‘Scout Association’ or any name implying that any other society or body is the association or a branch of the association;</w:t>
      </w:r>
    </w:p>
    <w:p>
      <w:pPr>
        <w:pStyle w:val="yMiscellaneousBody"/>
        <w:tabs>
          <w:tab w:val="left" w:pos="993"/>
          <w:tab w:val="left" w:pos="1560"/>
        </w:tabs>
        <w:ind w:left="1560" w:hanging="1560"/>
      </w:pPr>
      <w:r>
        <w:tab/>
        <w:t>(f)</w:t>
      </w:r>
      <w:r>
        <w:tab/>
      </w:r>
      <w:r>
        <w:rPr>
          <w:i/>
          <w:iCs/>
        </w:rPr>
        <w:t>Geneva Conventions Act 1957</w:t>
      </w:r>
      <w:r>
        <w:t xml:space="preserve"> to the extent it prevents the use of ‘Red Cross’, ‘Geneva Cross’, ‘Red Crescent’ or ‘Red Lion and Sun’ or wording resembling any of those expressions.</w:t>
      </w:r>
    </w:p>
    <w:p>
      <w:pPr>
        <w:pStyle w:val="yMiscellaneousBody"/>
        <w:tabs>
          <w:tab w:val="left" w:pos="851"/>
        </w:tabs>
        <w:ind w:left="851" w:hanging="851"/>
      </w:pPr>
      <w:r>
        <w:rPr>
          <w:b/>
          <w:bCs/>
        </w:rPr>
        <w:t>12.</w:t>
      </w:r>
      <w:r>
        <w:tab/>
        <w:t xml:space="preserve">Names that are subject to restrictions under Western Australian Acts including, but not limited to, the following — </w:t>
      </w:r>
    </w:p>
    <w:p>
      <w:pPr>
        <w:pStyle w:val="yMiscellaneousBody"/>
        <w:tabs>
          <w:tab w:val="left" w:pos="993"/>
          <w:tab w:val="left" w:pos="1560"/>
        </w:tabs>
      </w:pPr>
      <w:r>
        <w:tab/>
        <w:t>(a)</w:t>
      </w:r>
      <w:r>
        <w:tab/>
      </w:r>
      <w:r>
        <w:rPr>
          <w:i/>
          <w:iCs/>
        </w:rPr>
        <w:t>Architects Act 2004</w:t>
      </w:r>
      <w:r>
        <w:t>;</w:t>
      </w:r>
    </w:p>
    <w:p>
      <w:pPr>
        <w:pStyle w:val="yMiscellaneousBody"/>
        <w:tabs>
          <w:tab w:val="left" w:pos="993"/>
          <w:tab w:val="left" w:pos="1560"/>
        </w:tabs>
      </w:pPr>
      <w:r>
        <w:tab/>
        <w:t>(b)</w:t>
      </w:r>
      <w:r>
        <w:tab/>
      </w:r>
      <w:r>
        <w:rPr>
          <w:i/>
          <w:iCs/>
        </w:rPr>
        <w:t>Chiropractors Act 2005</w:t>
      </w:r>
      <w:r>
        <w:t>;</w:t>
      </w:r>
    </w:p>
    <w:p>
      <w:pPr>
        <w:pStyle w:val="yMiscellaneousBody"/>
        <w:tabs>
          <w:tab w:val="left" w:pos="993"/>
          <w:tab w:val="left" w:pos="1560"/>
        </w:tabs>
      </w:pPr>
      <w:r>
        <w:tab/>
        <w:t>(c)</w:t>
      </w:r>
      <w:r>
        <w:tab/>
      </w:r>
      <w:r>
        <w:rPr>
          <w:i/>
          <w:iCs/>
        </w:rPr>
        <w:t>Dental Act 1939</w:t>
      </w:r>
      <w:r>
        <w:t>;</w:t>
      </w:r>
    </w:p>
    <w:p>
      <w:pPr>
        <w:pStyle w:val="yMiscellaneousBody"/>
        <w:tabs>
          <w:tab w:val="left" w:pos="993"/>
          <w:tab w:val="left" w:pos="1560"/>
        </w:tabs>
      </w:pPr>
      <w:r>
        <w:tab/>
        <w:t>(d)</w:t>
      </w:r>
      <w:r>
        <w:tab/>
      </w:r>
      <w:r>
        <w:rPr>
          <w:i/>
          <w:iCs/>
        </w:rPr>
        <w:t>Dental Prosthetists Act 1985</w:t>
      </w:r>
      <w:r>
        <w:t>;</w:t>
      </w:r>
    </w:p>
    <w:p>
      <w:pPr>
        <w:pStyle w:val="yMiscellaneousBody"/>
        <w:tabs>
          <w:tab w:val="left" w:pos="993"/>
          <w:tab w:val="left" w:pos="1560"/>
        </w:tabs>
      </w:pPr>
      <w:r>
        <w:tab/>
        <w:t>(e)</w:t>
      </w:r>
      <w:r>
        <w:tab/>
      </w:r>
      <w:r>
        <w:rPr>
          <w:i/>
          <w:iCs/>
        </w:rPr>
        <w:t>Hairdressers Registration Act 1946</w:t>
      </w:r>
      <w:r>
        <w:t>;</w:t>
      </w:r>
    </w:p>
    <w:p>
      <w:pPr>
        <w:pStyle w:val="yMiscellaneousBody"/>
        <w:tabs>
          <w:tab w:val="left" w:pos="993"/>
          <w:tab w:val="left" w:pos="1560"/>
        </w:tabs>
      </w:pPr>
      <w:r>
        <w:tab/>
        <w:t>(f)</w:t>
      </w:r>
      <w:r>
        <w:tab/>
      </w:r>
      <w:r>
        <w:rPr>
          <w:i/>
          <w:iCs/>
        </w:rPr>
        <w:t>Legal Profession Act 2008</w:t>
      </w:r>
      <w:r>
        <w:t>;</w:t>
      </w:r>
    </w:p>
    <w:p>
      <w:pPr>
        <w:pStyle w:val="yMiscellaneousBody"/>
        <w:tabs>
          <w:tab w:val="left" w:pos="993"/>
          <w:tab w:val="left" w:pos="1560"/>
        </w:tabs>
      </w:pPr>
      <w:r>
        <w:tab/>
        <w:t>(g)</w:t>
      </w:r>
      <w:r>
        <w:rPr>
          <w:i/>
          <w:iCs/>
        </w:rPr>
        <w:tab/>
        <w:t>Licensed Surveyors Act 1909</w:t>
      </w:r>
      <w:r>
        <w:t>;</w:t>
      </w:r>
    </w:p>
    <w:p>
      <w:pPr>
        <w:pStyle w:val="yMiscellaneousBody"/>
        <w:tabs>
          <w:tab w:val="left" w:pos="993"/>
          <w:tab w:val="left" w:pos="1560"/>
        </w:tabs>
      </w:pPr>
      <w:r>
        <w:tab/>
        <w:t>(h)</w:t>
      </w:r>
      <w:r>
        <w:tab/>
      </w:r>
      <w:r>
        <w:rPr>
          <w:i/>
          <w:iCs/>
        </w:rPr>
        <w:t>Medical Practitioners Act 2008</w:t>
      </w:r>
      <w:r>
        <w:t>;</w:t>
      </w:r>
    </w:p>
    <w:p>
      <w:pPr>
        <w:pStyle w:val="yMiscellaneousBody"/>
        <w:tabs>
          <w:tab w:val="left" w:pos="993"/>
          <w:tab w:val="left" w:pos="1560"/>
        </w:tabs>
      </w:pPr>
      <w:r>
        <w:tab/>
        <w:t>(i)</w:t>
      </w:r>
      <w:r>
        <w:tab/>
      </w:r>
      <w:r>
        <w:rPr>
          <w:i/>
          <w:iCs/>
        </w:rPr>
        <w:t>Medical Radiation Technologists Act 2006</w:t>
      </w:r>
      <w:r>
        <w:t>;</w:t>
      </w:r>
    </w:p>
    <w:p>
      <w:pPr>
        <w:pStyle w:val="yMiscellaneousBody"/>
        <w:tabs>
          <w:tab w:val="left" w:pos="993"/>
          <w:tab w:val="left" w:pos="1560"/>
        </w:tabs>
      </w:pPr>
      <w:r>
        <w:tab/>
        <w:t>(j)</w:t>
      </w:r>
      <w:r>
        <w:tab/>
      </w:r>
      <w:r>
        <w:rPr>
          <w:i/>
          <w:iCs/>
        </w:rPr>
        <w:t>Nurses and Midwives Act 2006</w:t>
      </w:r>
      <w:r>
        <w:t>;</w:t>
      </w:r>
    </w:p>
    <w:p>
      <w:pPr>
        <w:pStyle w:val="yMiscellaneousBody"/>
        <w:tabs>
          <w:tab w:val="left" w:pos="993"/>
          <w:tab w:val="left" w:pos="1560"/>
        </w:tabs>
      </w:pPr>
      <w:r>
        <w:tab/>
        <w:t>(k)</w:t>
      </w:r>
      <w:r>
        <w:tab/>
      </w:r>
      <w:r>
        <w:rPr>
          <w:i/>
          <w:iCs/>
        </w:rPr>
        <w:t>Occupational Therapists Act 2005</w:t>
      </w:r>
      <w:r>
        <w:t>;</w:t>
      </w:r>
    </w:p>
    <w:p>
      <w:pPr>
        <w:pStyle w:val="yMiscellaneousBody"/>
        <w:tabs>
          <w:tab w:val="left" w:pos="993"/>
          <w:tab w:val="left" w:pos="1560"/>
        </w:tabs>
      </w:pPr>
      <w:r>
        <w:tab/>
        <w:t>(l)</w:t>
      </w:r>
      <w:r>
        <w:tab/>
      </w:r>
      <w:r>
        <w:rPr>
          <w:i/>
          <w:iCs/>
        </w:rPr>
        <w:t>Optometrists Act 2005</w:t>
      </w:r>
      <w:r>
        <w:t>;</w:t>
      </w:r>
    </w:p>
    <w:p>
      <w:pPr>
        <w:pStyle w:val="yMiscellaneousBody"/>
        <w:tabs>
          <w:tab w:val="left" w:pos="993"/>
          <w:tab w:val="left" w:pos="1560"/>
        </w:tabs>
      </w:pPr>
      <w:r>
        <w:tab/>
        <w:t>(m)</w:t>
      </w:r>
      <w:r>
        <w:tab/>
      </w:r>
      <w:r>
        <w:rPr>
          <w:i/>
          <w:iCs/>
        </w:rPr>
        <w:t>Osteopaths Act 2005</w:t>
      </w:r>
      <w:r>
        <w:t>;</w:t>
      </w:r>
    </w:p>
    <w:p>
      <w:pPr>
        <w:pStyle w:val="yMiscellaneousBody"/>
        <w:tabs>
          <w:tab w:val="left" w:pos="993"/>
          <w:tab w:val="left" w:pos="1560"/>
        </w:tabs>
      </w:pPr>
      <w:r>
        <w:tab/>
        <w:t>(n)</w:t>
      </w:r>
      <w:r>
        <w:tab/>
      </w:r>
      <w:r>
        <w:rPr>
          <w:i/>
          <w:iCs/>
        </w:rPr>
        <w:t>Pharmacy Act 1964</w:t>
      </w:r>
      <w:r>
        <w:t>;</w:t>
      </w:r>
    </w:p>
    <w:p>
      <w:pPr>
        <w:pStyle w:val="yMiscellaneousBody"/>
        <w:tabs>
          <w:tab w:val="left" w:pos="993"/>
          <w:tab w:val="left" w:pos="1560"/>
        </w:tabs>
      </w:pPr>
      <w:r>
        <w:tab/>
        <w:t>(o)</w:t>
      </w:r>
      <w:r>
        <w:tab/>
      </w:r>
      <w:r>
        <w:rPr>
          <w:i/>
          <w:iCs/>
        </w:rPr>
        <w:t>Physiotherapists Act 2005</w:t>
      </w:r>
      <w:r>
        <w:t>;</w:t>
      </w:r>
    </w:p>
    <w:p>
      <w:pPr>
        <w:pStyle w:val="yMiscellaneousBody"/>
        <w:tabs>
          <w:tab w:val="left" w:pos="993"/>
          <w:tab w:val="left" w:pos="1560"/>
        </w:tabs>
      </w:pPr>
      <w:r>
        <w:tab/>
        <w:t>(p)</w:t>
      </w:r>
      <w:r>
        <w:tab/>
      </w:r>
      <w:r>
        <w:rPr>
          <w:i/>
          <w:iCs/>
        </w:rPr>
        <w:t>Podiatrists Act 2005</w:t>
      </w:r>
      <w:r>
        <w:t>;</w:t>
      </w:r>
    </w:p>
    <w:p>
      <w:pPr>
        <w:pStyle w:val="yMiscellaneousBody"/>
        <w:tabs>
          <w:tab w:val="left" w:pos="993"/>
          <w:tab w:val="left" w:pos="1560"/>
        </w:tabs>
      </w:pPr>
      <w:r>
        <w:tab/>
        <w:t>(q)</w:t>
      </w:r>
      <w:r>
        <w:tab/>
      </w:r>
      <w:r>
        <w:rPr>
          <w:i/>
          <w:iCs/>
        </w:rPr>
        <w:t>Police Act 1892</w:t>
      </w:r>
      <w:r>
        <w:t>;</w:t>
      </w:r>
    </w:p>
    <w:p>
      <w:pPr>
        <w:pStyle w:val="yMiscellaneousBody"/>
        <w:tabs>
          <w:tab w:val="left" w:pos="993"/>
          <w:tab w:val="left" w:pos="1560"/>
        </w:tabs>
      </w:pPr>
      <w:r>
        <w:tab/>
        <w:t>(r)</w:t>
      </w:r>
      <w:r>
        <w:tab/>
      </w:r>
      <w:r>
        <w:rPr>
          <w:i/>
          <w:iCs/>
        </w:rPr>
        <w:t>Psychologists Act 2005</w:t>
      </w:r>
      <w:r>
        <w:t>;</w:t>
      </w:r>
    </w:p>
    <w:p>
      <w:pPr>
        <w:pStyle w:val="yMiscellaneousBody"/>
        <w:tabs>
          <w:tab w:val="left" w:pos="993"/>
          <w:tab w:val="left" w:pos="1560"/>
        </w:tabs>
      </w:pPr>
      <w:r>
        <w:tab/>
        <w:t>(s)</w:t>
      </w:r>
      <w:r>
        <w:tab/>
      </w:r>
      <w:r>
        <w:rPr>
          <w:i/>
          <w:iCs/>
        </w:rPr>
        <w:t>Veterinary Surgeons Act 1960</w:t>
      </w:r>
      <w:r>
        <w:t>.</w:t>
      </w:r>
    </w:p>
    <w:p>
      <w:pPr>
        <w:pStyle w:val="Subsection"/>
        <w:rPr>
          <w:ins w:id="1174" w:author="Master Repository Process" w:date="2021-07-31T15:17:00Z"/>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1175" w:name="_Toc292195117"/>
      <w:bookmarkStart w:id="1176" w:name="_Toc292195405"/>
      <w:bookmarkStart w:id="1177" w:name="_Toc292198030"/>
      <w:bookmarkStart w:id="1178" w:name="_Toc265852158"/>
      <w:bookmarkStart w:id="1179" w:name="_Toc265852899"/>
      <w:bookmarkStart w:id="1180" w:name="_Toc266086729"/>
      <w:bookmarkStart w:id="1181" w:name="_Toc266088014"/>
      <w:bookmarkStart w:id="1182" w:name="_Toc266199873"/>
      <w:bookmarkStart w:id="1183" w:name="_Toc266279518"/>
      <w:bookmarkStart w:id="1184" w:name="_Toc266289781"/>
      <w:bookmarkStart w:id="1185" w:name="_Toc266345825"/>
      <w:bookmarkStart w:id="1186" w:name="_Toc266371342"/>
      <w:bookmarkStart w:id="1187" w:name="_Toc266430570"/>
      <w:bookmarkStart w:id="1188" w:name="_Toc266434728"/>
      <w:bookmarkStart w:id="1189" w:name="_Toc266435014"/>
      <w:bookmarkStart w:id="1190" w:name="_Toc266435930"/>
      <w:bookmarkStart w:id="1191" w:name="_Toc266436233"/>
      <w:bookmarkStart w:id="1192" w:name="_Toc266436519"/>
      <w:bookmarkStart w:id="1193" w:name="_Toc266436805"/>
      <w:bookmarkStart w:id="1194" w:name="_Toc266608380"/>
      <w:bookmarkStart w:id="1195" w:name="_Toc266609929"/>
      <w:bookmarkStart w:id="1196" w:name="_Toc266613847"/>
      <w:bookmarkStart w:id="1197" w:name="_Toc267054025"/>
      <w:bookmarkStart w:id="1198" w:name="_Toc267054559"/>
      <w:bookmarkStart w:id="1199" w:name="_Toc267054928"/>
      <w:bookmarkStart w:id="1200" w:name="_Toc267055214"/>
      <w:bookmarkStart w:id="1201" w:name="_Toc267055500"/>
      <w:bookmarkStart w:id="1202" w:name="_Toc267383327"/>
      <w:bookmarkStart w:id="1203" w:name="_Toc267388332"/>
      <w:bookmarkStart w:id="1204" w:name="_Toc267388618"/>
      <w:bookmarkStart w:id="1205" w:name="_Toc267388904"/>
      <w:bookmarkStart w:id="1206" w:name="_Toc269375204"/>
      <w:bookmarkStart w:id="1207" w:name="_Toc269375584"/>
      <w:bookmarkStart w:id="1208" w:name="_Toc269386932"/>
      <w:bookmarkStart w:id="1209" w:name="_Toc269387221"/>
      <w:r>
        <w:rPr>
          <w:rStyle w:val="CharSchNo"/>
        </w:rPr>
        <w:t>Schedule 7</w:t>
      </w:r>
      <w:r>
        <w:rPr>
          <w:rStyle w:val="CharSDivNo"/>
        </w:rPr>
        <w:t> </w:t>
      </w:r>
      <w:r>
        <w:t>—</w:t>
      </w:r>
      <w:r>
        <w:rPr>
          <w:rStyle w:val="CharSDivText"/>
        </w:rPr>
        <w:t> </w:t>
      </w:r>
      <w:r>
        <w:rPr>
          <w:rStyle w:val="CharSchText"/>
        </w:rPr>
        <w:t>Information for explanatory statements</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yShoulderClause"/>
      </w:pPr>
      <w:r>
        <w:t>[r. 34]</w:t>
      </w:r>
    </w:p>
    <w:p>
      <w:pPr>
        <w:pStyle w:val="yHeading5"/>
      </w:pPr>
      <w:bookmarkStart w:id="1210" w:name="_Toc292198031"/>
      <w:bookmarkStart w:id="1211" w:name="_Toc267388905"/>
      <w:bookmarkStart w:id="1212" w:name="_Toc269387222"/>
      <w:r>
        <w:rPr>
          <w:rStyle w:val="CharSClsNo"/>
        </w:rPr>
        <w:t>1</w:t>
      </w:r>
      <w:r>
        <w:t>.</w:t>
      </w:r>
      <w:r>
        <w:tab/>
        <w:t>Terms used</w:t>
      </w:r>
      <w:bookmarkEnd w:id="1210"/>
      <w:bookmarkEnd w:id="1211"/>
      <w:bookmarkEnd w:id="1212"/>
    </w:p>
    <w:p>
      <w:pPr>
        <w:pStyle w:val="ySubsection"/>
      </w:pPr>
      <w:r>
        <w:tab/>
      </w:r>
      <w:r>
        <w:tab/>
        <w:t xml:space="preserve">In this Schedule — </w:t>
      </w:r>
    </w:p>
    <w:p>
      <w:pPr>
        <w:pStyle w:val="yDefstart"/>
      </w:pPr>
      <w:r>
        <w:tab/>
      </w:r>
      <w:r>
        <w:rPr>
          <w:rStyle w:val="CharDefText"/>
        </w:rPr>
        <w:t>explanatory</w:t>
      </w:r>
      <w:r>
        <w:t xml:space="preserve"> statement includes a draft explanatory statement;</w:t>
      </w:r>
    </w:p>
    <w:p>
      <w:pPr>
        <w:pStyle w:val="yDefstart"/>
      </w:pPr>
      <w:r>
        <w:tab/>
      </w:r>
      <w:r>
        <w:rPr>
          <w:rStyle w:val="CharDefText"/>
        </w:rPr>
        <w:t>internal creditor</w:t>
      </w:r>
      <w:r>
        <w:t>, of a co</w:t>
      </w:r>
      <w:r>
        <w:noBreakHyphen/>
        <w:t xml:space="preserve">operative, means a creditor who is — </w:t>
      </w:r>
    </w:p>
    <w:p>
      <w:pPr>
        <w:pStyle w:val="yDefpara"/>
      </w:pPr>
      <w:r>
        <w:tab/>
        <w:t>(a)</w:t>
      </w:r>
      <w:r>
        <w:tab/>
        <w:t>a member of the co</w:t>
      </w:r>
      <w:r>
        <w:noBreakHyphen/>
        <w:t>operative; or</w:t>
      </w:r>
    </w:p>
    <w:p>
      <w:pPr>
        <w:pStyle w:val="yDefpara"/>
      </w:pPr>
      <w:r>
        <w:tab/>
        <w:t>(b)</w:t>
      </w:r>
      <w:r>
        <w:tab/>
        <w:t>a relative or spouse of a member of the co</w:t>
      </w:r>
      <w:r>
        <w:noBreakHyphen/>
        <w:t>operative; or</w:t>
      </w:r>
    </w:p>
    <w:p>
      <w:pPr>
        <w:pStyle w:val="yDefpara"/>
      </w:pPr>
      <w:r>
        <w:tab/>
        <w:t>(c)</w:t>
      </w:r>
      <w:r>
        <w:tab/>
        <w:t>a relative of the spouse of a member of the co</w:t>
      </w:r>
      <w:r>
        <w:noBreakHyphen/>
        <w:t>operative;</w:t>
      </w:r>
    </w:p>
    <w:p>
      <w:pPr>
        <w:pStyle w:val="yDefstart"/>
      </w:pPr>
      <w:r>
        <w:tab/>
      </w:r>
      <w:r>
        <w:rPr>
          <w:rStyle w:val="CharDefText"/>
        </w:rPr>
        <w:t>scheme</w:t>
      </w:r>
      <w:r>
        <w:t xml:space="preserve"> means the proposed compromise or arrangement;</w:t>
      </w:r>
    </w:p>
    <w:p>
      <w:pPr>
        <w:pStyle w:val="yDefstart"/>
      </w:pPr>
      <w:r>
        <w:tab/>
      </w:r>
      <w:r>
        <w:rPr>
          <w:rStyle w:val="CharDefText"/>
        </w:rPr>
        <w:t>scheme co</w:t>
      </w:r>
      <w:r>
        <w:rPr>
          <w:rStyle w:val="CharDefText"/>
        </w:rPr>
        <w:noBreakHyphen/>
        <w:t>operative</w:t>
      </w:r>
      <w:r>
        <w:t xml:space="preserve"> means a co</w:t>
      </w:r>
      <w:r>
        <w:noBreakHyphen/>
        <w:t>operative to which a scheme applies;</w:t>
      </w:r>
    </w:p>
    <w:p>
      <w:pPr>
        <w:pStyle w:val="yDefstart"/>
      </w:pPr>
      <w:r>
        <w:tab/>
      </w:r>
      <w:r>
        <w:rPr>
          <w:rStyle w:val="CharDefText"/>
        </w:rPr>
        <w:t>scheme creditor</w:t>
      </w:r>
      <w:r>
        <w:t xml:space="preserve"> means a creditor or class of creditors of a co</w:t>
      </w:r>
      <w:r>
        <w:noBreakHyphen/>
        <w:t>operative to whom the scheme is to apply;</w:t>
      </w:r>
    </w:p>
    <w:p>
      <w:pPr>
        <w:pStyle w:val="yDefstart"/>
      </w:pPr>
      <w:r>
        <w:tab/>
      </w:r>
      <w:r>
        <w:rPr>
          <w:rStyle w:val="CharDefText"/>
        </w:rPr>
        <w:t>scheme member</w:t>
      </w:r>
      <w:r>
        <w:t xml:space="preserve"> means a member or class of members of a scheme co</w:t>
      </w:r>
      <w:r>
        <w:noBreakHyphen/>
        <w:t>operative.</w:t>
      </w:r>
    </w:p>
    <w:p>
      <w:pPr>
        <w:pStyle w:val="yHeading5"/>
      </w:pPr>
      <w:bookmarkStart w:id="1213" w:name="_Toc292198032"/>
      <w:bookmarkStart w:id="1214" w:name="_Toc267388906"/>
      <w:bookmarkStart w:id="1215" w:name="_Toc269387223"/>
      <w:r>
        <w:rPr>
          <w:rStyle w:val="CharSClsNo"/>
        </w:rPr>
        <w:t>2</w:t>
      </w:r>
      <w:r>
        <w:t>.</w:t>
      </w:r>
      <w:r>
        <w:tab/>
        <w:t>Information about proposed compromise or arrangement with creditors</w:t>
      </w:r>
      <w:bookmarkEnd w:id="1213"/>
      <w:bookmarkEnd w:id="1214"/>
      <w:bookmarkEnd w:id="1215"/>
    </w:p>
    <w:p>
      <w:pPr>
        <w:pStyle w:val="ySubsection"/>
      </w:pPr>
      <w:r>
        <w:tab/>
        <w:t>(1)</w:t>
      </w:r>
      <w:r>
        <w:tab/>
        <w:t xml:space="preserve">If the proposed compromise or arrangement is with creditors, the information the explanatory statement must include in relation to the proposed compromise or arrangement is — </w:t>
      </w:r>
    </w:p>
    <w:p>
      <w:pPr>
        <w:pStyle w:val="yIndenta"/>
      </w:pPr>
      <w:r>
        <w:tab/>
        <w:t>(a)</w:t>
      </w:r>
      <w:r>
        <w:tab/>
        <w:t>the expected dividend that would be available to scheme creditors if the co</w:t>
      </w:r>
      <w:r>
        <w:noBreakHyphen/>
        <w:t>operative were to be wound</w:t>
      </w:r>
      <w:r>
        <w:noBreakHyphen/>
        <w:t>up within 6 months after the date of hearing of the application to the Supreme Court under section 339 of the Act; and</w:t>
      </w:r>
    </w:p>
    <w:p>
      <w:pPr>
        <w:pStyle w:val="yIndenta"/>
      </w:pPr>
      <w:r>
        <w:tab/>
        <w:t>(b)</w:t>
      </w:r>
      <w:r>
        <w:tab/>
        <w:t>if a composition of debts is proposed — the expected dividend that would be paid to scheme creditors if the scheme were put into effect; and</w:t>
      </w:r>
    </w:p>
    <w:p>
      <w:pPr>
        <w:pStyle w:val="yIndenta"/>
      </w:pPr>
      <w:r>
        <w:tab/>
        <w:t>(c)</w:t>
      </w:r>
      <w:r>
        <w:tab/>
        <w:t>a list of the names of all known scheme creditors and the debts owed to them; and</w:t>
      </w:r>
    </w:p>
    <w:p>
      <w:pPr>
        <w:pStyle w:val="yIndenta"/>
      </w:pPr>
      <w:r>
        <w:tab/>
        <w:t>(d)</w:t>
      </w:r>
      <w:r>
        <w:tab/>
        <w:t>if a scheme creditor is known to be a guaranteed creditor — the name of the creditor and the amount of the debt owed to the creditor; and</w:t>
      </w:r>
    </w:p>
    <w:p>
      <w:pPr>
        <w:pStyle w:val="yIndenta"/>
      </w:pPr>
      <w:r>
        <w:tab/>
        <w:t>(e)</w:t>
      </w:r>
      <w:r>
        <w:tab/>
        <w:t>if a scheme creditor is known to be an internal creditor — the name of the creditor and the amount of the debt owed to the creditor.</w:t>
      </w:r>
    </w:p>
    <w:p>
      <w:pPr>
        <w:pStyle w:val="ySubsection"/>
      </w:pPr>
      <w:r>
        <w:tab/>
        <w:t>(2)</w:t>
      </w:r>
      <w:r>
        <w:tab/>
        <w:t>The explanatory statement must also state that an order under section 339 of the Act is not an endorsement of, or expression of opinion on, the scheme.</w:t>
      </w:r>
    </w:p>
    <w:p>
      <w:pPr>
        <w:pStyle w:val="ySubsection"/>
      </w:pPr>
      <w:r>
        <w:tab/>
        <w:t>(3)</w:t>
      </w:r>
      <w:r>
        <w:tab/>
        <w:t xml:space="preserve">The statement must also contain or include — </w:t>
      </w:r>
    </w:p>
    <w:p>
      <w:pPr>
        <w:pStyle w:val="yIndenta"/>
      </w:pPr>
      <w:r>
        <w:tab/>
        <w:t>(a)</w:t>
      </w:r>
      <w:r>
        <w:tab/>
        <w:t>a report of the co</w:t>
      </w:r>
      <w:r>
        <w:noBreakHyphen/>
        <w:t>operative in the approved form, showing the financial position of the co</w:t>
      </w:r>
      <w:r>
        <w:noBreakHyphen/>
        <w:t>operative at a day, within one month before the day the intended application under section 339 of the Act is to be made to the court; and</w:t>
      </w:r>
    </w:p>
    <w:p>
      <w:pPr>
        <w:pStyle w:val="yIndenta"/>
      </w:pPr>
      <w:r>
        <w:tab/>
        <w:t>(b)</w:t>
      </w:r>
      <w:r>
        <w:tab/>
        <w:t>a copy, certified by a director or the principal executive officer or secretary of the co</w:t>
      </w:r>
      <w:r>
        <w:noBreakHyphen/>
        <w:t>operative to be a true copy, of all accounts, including any group accounts, required to be laid before the co</w:t>
      </w:r>
      <w:r>
        <w:noBreakHyphen/>
        <w:t>operative at its annual general meeting; and</w:t>
      </w:r>
    </w:p>
    <w:p>
      <w:pPr>
        <w:pStyle w:val="yIndenta"/>
      </w:pPr>
      <w:r>
        <w:tab/>
        <w:t>(c)</w:t>
      </w:r>
      <w:r>
        <w:tab/>
        <w:t>a copy of each document required by law to be attached to the accounts mentioned in paragraph (b); and</w:t>
      </w:r>
    </w:p>
    <w:p>
      <w:pPr>
        <w:pStyle w:val="yIndenta"/>
      </w:pPr>
      <w:r>
        <w:tab/>
        <w:t>(d)</w:t>
      </w:r>
      <w:r>
        <w:tab/>
        <w:t>if the scheme co</w:t>
      </w:r>
      <w:r>
        <w:noBreakHyphen/>
        <w:t xml:space="preserve">operative is a trustee — a statement — </w:t>
      </w:r>
    </w:p>
    <w:p>
      <w:pPr>
        <w:pStyle w:val="yIndenti0"/>
      </w:pPr>
      <w:r>
        <w:tab/>
        <w:t>(i)</w:t>
      </w:r>
      <w:r>
        <w:tab/>
        <w:t>of the number of trusts the trustee administers; and</w:t>
      </w:r>
    </w:p>
    <w:p>
      <w:pPr>
        <w:pStyle w:val="yIndenti0"/>
      </w:pPr>
      <w:r>
        <w:tab/>
        <w:t>(ii)</w:t>
      </w:r>
      <w:r>
        <w:tab/>
        <w:t>whether the trustee carries on any business separate from the trust; and</w:t>
      </w:r>
    </w:p>
    <w:p>
      <w:pPr>
        <w:pStyle w:val="yIndenti0"/>
      </w:pPr>
      <w:r>
        <w:tab/>
        <w:t>(iii)</w:t>
      </w:r>
      <w:r>
        <w:tab/>
        <w:t>how the scheme creditors may obtain a copy of the relevant trust deed, free of charge, before the date of the meeting;</w:t>
      </w:r>
    </w:p>
    <w:p>
      <w:pPr>
        <w:pStyle w:val="yIndenta"/>
      </w:pPr>
      <w:r>
        <w:tab/>
      </w:r>
      <w:r>
        <w:tab/>
        <w:t>and</w:t>
      </w:r>
    </w:p>
    <w:p>
      <w:pPr>
        <w:pStyle w:val="yIndenta"/>
      </w:pPr>
      <w:r>
        <w:tab/>
        <w:t>(e)</w:t>
      </w:r>
      <w:r>
        <w:tab/>
        <w:t>if any person who would be appointed to manage the scheme proposes to charge for his or her services and services of his or her staff under a particular scale of charges — the scale of charges.</w:t>
      </w:r>
    </w:p>
    <w:p>
      <w:pPr>
        <w:pStyle w:val="yHeading5"/>
      </w:pPr>
      <w:bookmarkStart w:id="1216" w:name="_Toc292198033"/>
      <w:bookmarkStart w:id="1217" w:name="_Toc267388907"/>
      <w:bookmarkStart w:id="1218" w:name="_Toc269387224"/>
      <w:r>
        <w:rPr>
          <w:rStyle w:val="CharSClsNo"/>
        </w:rPr>
        <w:t>3</w:t>
      </w:r>
      <w:r>
        <w:t>.</w:t>
      </w:r>
      <w:r>
        <w:tab/>
        <w:t>Information about proposed compromise or arrangement with members or class of members</w:t>
      </w:r>
      <w:bookmarkEnd w:id="1216"/>
      <w:bookmarkEnd w:id="1217"/>
      <w:bookmarkEnd w:id="1218"/>
    </w:p>
    <w:p>
      <w:pPr>
        <w:pStyle w:val="ySubsection"/>
      </w:pPr>
      <w:r>
        <w:tab/>
        <w:t>(1)</w:t>
      </w:r>
      <w:r>
        <w:tab/>
        <w:t xml:space="preserve">If the proposed compromise or arrangement is with members or a class of members, the information the explanatory statement must include in relation to the proposed compromise or arrangement is — </w:t>
      </w:r>
    </w:p>
    <w:p>
      <w:pPr>
        <w:pStyle w:val="yIndenta"/>
      </w:pPr>
      <w:r>
        <w:tab/>
        <w:t>(a)</w:t>
      </w:r>
      <w:r>
        <w:tab/>
        <w:t>unless paragraph (b) applies — in relation to each director of the co</w:t>
      </w:r>
      <w:r>
        <w:noBreakHyphen/>
        <w:t xml:space="preserve">operative — </w:t>
      </w:r>
    </w:p>
    <w:p>
      <w:pPr>
        <w:pStyle w:val="yIndenti0"/>
      </w:pPr>
      <w:r>
        <w:tab/>
        <w:t>(i)</w:t>
      </w:r>
      <w:r>
        <w:tab/>
        <w:t>whether the director recommends accepting or rejecting the scheme and the reasons for the recommendation; or</w:t>
      </w:r>
    </w:p>
    <w:p>
      <w:pPr>
        <w:pStyle w:val="yIndenti0"/>
      </w:pPr>
      <w:r>
        <w:tab/>
        <w:t>(ii)</w:t>
      </w:r>
      <w:r>
        <w:tab/>
        <w:t>if the director is not available to consider the scheme — that the director is not available to consider the scheme and the reasons the director is not available to consider it; or</w:t>
      </w:r>
    </w:p>
    <w:p>
      <w:pPr>
        <w:pStyle w:val="yIndenti0"/>
      </w:pPr>
      <w:r>
        <w:tab/>
        <w:t>(iii)</w:t>
      </w:r>
      <w:r>
        <w:tab/>
        <w:t xml:space="preserve">in any other case — that the director does not wish to make, or does not consider himself or herself justified in making, a recommendation and, if the director requires, the reasons for not making a recommendation; </w:t>
      </w:r>
    </w:p>
    <w:p>
      <w:pPr>
        <w:pStyle w:val="yIndenta"/>
      </w:pPr>
      <w:r>
        <w:tab/>
      </w:r>
      <w:r>
        <w:tab/>
        <w:t>or</w:t>
      </w:r>
    </w:p>
    <w:p>
      <w:pPr>
        <w:pStyle w:val="yIndenta"/>
      </w:pPr>
      <w:r>
        <w:tab/>
        <w:t>(b)</w:t>
      </w:r>
      <w:r>
        <w:tab/>
        <w:t>if the co</w:t>
      </w:r>
      <w:r>
        <w:noBreakHyphen/>
        <w:t>operative is not being wound</w:t>
      </w:r>
      <w:r>
        <w:noBreakHyphen/>
        <w:t xml:space="preserve">up or is under official management — in relation to each liquidator or official manager — </w:t>
      </w:r>
    </w:p>
    <w:p>
      <w:pPr>
        <w:pStyle w:val="yIndenti0"/>
      </w:pPr>
      <w:r>
        <w:tab/>
        <w:t>(i)</w:t>
      </w:r>
      <w:r>
        <w:tab/>
        <w:t>whether the liquidator or official manager recommends accepting or rejecting the scheme and the reasons for the recommendation; or</w:t>
      </w:r>
    </w:p>
    <w:p>
      <w:pPr>
        <w:pStyle w:val="yIndenti0"/>
      </w:pPr>
      <w:r>
        <w:tab/>
        <w:t>(ii)</w:t>
      </w:r>
      <w:r>
        <w:tab/>
        <w:t>if the liquidator or official manager does not wish to make a recommendation — the reasons for not wishing to make the recommendation.</w:t>
      </w:r>
    </w:p>
    <w:p>
      <w:pPr>
        <w:pStyle w:val="ySubsection"/>
      </w:pPr>
      <w:r>
        <w:tab/>
        <w:t>(2)</w:t>
      </w:r>
      <w:r>
        <w:tab/>
        <w:t xml:space="preserve">The statement must also include — </w:t>
      </w:r>
    </w:p>
    <w:p>
      <w:pPr>
        <w:pStyle w:val="yIndenta"/>
      </w:pPr>
      <w:r>
        <w:tab/>
        <w:t>(a)</w:t>
      </w:r>
      <w:r>
        <w:tab/>
        <w:t>the number, description and amount of marketable securities of the co</w:t>
      </w:r>
      <w:r>
        <w:noBreakHyphen/>
        <w:t>operative the subject of the scheme held by or for each director of the co</w:t>
      </w:r>
      <w:r>
        <w:noBreakHyphen/>
        <w:t>operative or, if none are held by or for the director, a statement to that effect; and</w:t>
      </w:r>
    </w:p>
    <w:p>
      <w:pPr>
        <w:pStyle w:val="yIndenta"/>
      </w:pPr>
      <w:r>
        <w:tab/>
        <w:t>(b)</w:t>
      </w:r>
      <w:r>
        <w:tab/>
        <w:t>whether each director of the co</w:t>
      </w:r>
      <w:r>
        <w:noBreakHyphen/>
        <w:t>operative who holds shares, or for whom shares are held, in the co</w:t>
      </w:r>
      <w:r>
        <w:noBreakHyphen/>
        <w:t xml:space="preserve">operative — </w:t>
      </w:r>
    </w:p>
    <w:p>
      <w:pPr>
        <w:pStyle w:val="yIndenti0"/>
      </w:pPr>
      <w:r>
        <w:tab/>
        <w:t>(i)</w:t>
      </w:r>
      <w:r>
        <w:tab/>
        <w:t>intends to vote for or against the scheme; or</w:t>
      </w:r>
    </w:p>
    <w:p>
      <w:pPr>
        <w:pStyle w:val="yIndenti0"/>
      </w:pPr>
      <w:r>
        <w:tab/>
        <w:t>(ii)</w:t>
      </w:r>
      <w:r>
        <w:tab/>
        <w:t xml:space="preserve">has not decided whether to vote for or against the scheme; </w:t>
      </w:r>
    </w:p>
    <w:p>
      <w:pPr>
        <w:pStyle w:val="yIndenta"/>
      </w:pPr>
      <w:r>
        <w:tab/>
      </w:r>
      <w:r>
        <w:tab/>
        <w:t>and</w:t>
      </w:r>
    </w:p>
    <w:p>
      <w:pPr>
        <w:pStyle w:val="yIndenta"/>
      </w:pPr>
      <w:r>
        <w:tab/>
        <w:t>(c)</w:t>
      </w:r>
      <w:r>
        <w:tab/>
        <w:t>if the other party to the proposed reconstruction or amalgamation is or includes a corporation — whether any marketable securities of the corporation are held by or for a director of the scheme co</w:t>
      </w:r>
      <w:r>
        <w:noBreakHyphen/>
        <w:t>operative and, if so, the number, description and amount of the marketable securities; and</w:t>
      </w:r>
    </w:p>
    <w:p>
      <w:pPr>
        <w:pStyle w:val="yIndenta"/>
      </w:pPr>
      <w:r>
        <w:tab/>
        <w:t>(d)</w:t>
      </w:r>
      <w:r>
        <w:tab/>
        <w:t xml:space="preserve">particulars of any payment or other benefit that is proposed to be made or given to — </w:t>
      </w:r>
    </w:p>
    <w:p>
      <w:pPr>
        <w:pStyle w:val="yIndenti0"/>
      </w:pPr>
      <w:r>
        <w:tab/>
        <w:t>(i)</w:t>
      </w:r>
      <w:r>
        <w:tab/>
        <w:t>any director, principal executive officer or secretary of the scheme co</w:t>
      </w:r>
      <w:r>
        <w:noBreakHyphen/>
        <w:t>operative as compensation for loss of, or as consideration for his or her retirement from, office in the co</w:t>
      </w:r>
      <w:r>
        <w:noBreakHyphen/>
        <w:t>operative or a related corporation; or</w:t>
      </w:r>
    </w:p>
    <w:p>
      <w:pPr>
        <w:pStyle w:val="yIndenti0"/>
      </w:pPr>
      <w:r>
        <w:tab/>
        <w:t>(ii)</w:t>
      </w:r>
      <w:r>
        <w:tab/>
        <w:t>any director, principal executive officer or secretary of a related corporation as compensation for loss of, or as consideration for his or her retirement from, office in the related corporation or the scheme co</w:t>
      </w:r>
      <w:r>
        <w:noBreakHyphen/>
        <w:t>operative;</w:t>
      </w:r>
    </w:p>
    <w:p>
      <w:pPr>
        <w:pStyle w:val="yIndenta"/>
      </w:pPr>
      <w:r>
        <w:tab/>
      </w:r>
      <w:r>
        <w:tab/>
        <w:t>and</w:t>
      </w:r>
    </w:p>
    <w:p>
      <w:pPr>
        <w:pStyle w:val="yIndenta"/>
      </w:pPr>
      <w:r>
        <w:tab/>
        <w:t>(e)</w:t>
      </w:r>
      <w:r>
        <w:tab/>
        <w:t>if there is any other agreement or arrangement made between a director of the scheme co</w:t>
      </w:r>
      <w:r>
        <w:noBreakHyphen/>
        <w:t>operative and another person in relation to or conditional on the outcome of the scheme — particulars of the agreement or arrangement; and</w:t>
      </w:r>
    </w:p>
    <w:p>
      <w:pPr>
        <w:pStyle w:val="yIndenta"/>
      </w:pPr>
      <w:r>
        <w:tab/>
        <w:t>(f)</w:t>
      </w:r>
      <w:r>
        <w:tab/>
        <w:t>if the object of the scheme is for a co</w:t>
      </w:r>
      <w:r>
        <w:noBreakHyphen/>
        <w:t>operative to acquire control of another corporation that is a company — particulars of the nature and extent of any interest of a director of the company in any contract entered into by the co</w:t>
      </w:r>
      <w:r>
        <w:noBreakHyphen/>
        <w:t>operative; and</w:t>
      </w:r>
    </w:p>
    <w:p>
      <w:pPr>
        <w:pStyle w:val="yIndenta"/>
      </w:pPr>
      <w:r>
        <w:tab/>
        <w:t>(g)</w:t>
      </w:r>
      <w:r>
        <w:tab/>
        <w:t xml:space="preserve">whether, within the knowledge of — </w:t>
      </w:r>
    </w:p>
    <w:p>
      <w:pPr>
        <w:pStyle w:val="yIndenti0"/>
      </w:pPr>
      <w:r>
        <w:tab/>
        <w:t>(i)</w:t>
      </w:r>
      <w:r>
        <w:tab/>
        <w:t>the directors of the co</w:t>
      </w:r>
      <w:r>
        <w:noBreakHyphen/>
        <w:t>operative the subject of the scheme; or</w:t>
      </w:r>
    </w:p>
    <w:p>
      <w:pPr>
        <w:pStyle w:val="yIndenti0"/>
      </w:pPr>
      <w:r>
        <w:tab/>
        <w:t>(ii)</w:t>
      </w:r>
      <w:r>
        <w:tab/>
        <w:t>if the co</w:t>
      </w:r>
      <w:r>
        <w:noBreakHyphen/>
        <w:t>operative is in liquidation or under official management — the liquidator or official manager,</w:t>
      </w:r>
    </w:p>
    <w:p>
      <w:pPr>
        <w:pStyle w:val="yIndenta"/>
      </w:pPr>
      <w:r>
        <w:tab/>
      </w:r>
      <w:r>
        <w:tab/>
        <w:t>the financial position of the co</w:t>
      </w:r>
      <w:r>
        <w:noBreakHyphen/>
        <w:t>operative has materially changed since the date of the last balance sheet laid before the co</w:t>
      </w:r>
      <w:r>
        <w:noBreakHyphen/>
        <w:t>operative in a general meeting and if so, full particulars of the change; and</w:t>
      </w:r>
    </w:p>
    <w:p>
      <w:pPr>
        <w:pStyle w:val="yIndenta"/>
      </w:pPr>
      <w:r>
        <w:tab/>
        <w:t>(h)</w:t>
      </w:r>
      <w:r>
        <w:tab/>
        <w:t>any other information material to making a decision in relation to the scheme, being information that has not previously been disclosed to the scheme members and is within the knowledge of any director, liquidator or official manager of a scheme co</w:t>
      </w:r>
      <w:r>
        <w:noBreakHyphen/>
        <w:t>operative or a related scheme.</w:t>
      </w:r>
    </w:p>
    <w:p>
      <w:pPr>
        <w:pStyle w:val="ySubsection"/>
      </w:pPr>
      <w:r>
        <w:tab/>
        <w:t>(3)</w:t>
      </w:r>
      <w:r>
        <w:tab/>
        <w:t xml:space="preserve">If — </w:t>
      </w:r>
    </w:p>
    <w:p>
      <w:pPr>
        <w:pStyle w:val="yIndenta"/>
      </w:pPr>
      <w:r>
        <w:tab/>
        <w:t>(a)</w:t>
      </w:r>
      <w:r>
        <w:tab/>
        <w:t>the other party to the proposed reconstruction or amalgamation of the scheme co</w:t>
      </w:r>
      <w:r>
        <w:noBreakHyphen/>
        <w:t>operative has a prescribed shareholding in the co</w:t>
      </w:r>
      <w:r>
        <w:noBreakHyphen/>
        <w:t>operative; or</w:t>
      </w:r>
    </w:p>
    <w:p>
      <w:pPr>
        <w:pStyle w:val="yIndenta"/>
      </w:pPr>
      <w:r>
        <w:tab/>
        <w:t>(b)</w:t>
      </w:r>
      <w:r>
        <w:tab/>
        <w:t>a director of any corporation that is the other party to the proposed reconstruction or amalgamation is a director of a scheme co</w:t>
      </w:r>
      <w:r>
        <w:noBreakHyphen/>
        <w:t>operative,</w:t>
      </w:r>
    </w:p>
    <w:p>
      <w:pPr>
        <w:pStyle w:val="ySubsection"/>
      </w:pPr>
      <w:r>
        <w:tab/>
      </w:r>
      <w:r>
        <w:tab/>
        <w:t>the statement must include a copy of a report made by an expert who is not associated with the corporation that is the other party, stating whether or not, in his or her opinion, the proposed scheme is in the best interests of the members of the scheme co</w:t>
      </w:r>
      <w:r>
        <w:noBreakHyphen/>
        <w:t>operative and the reasons for the opinion.</w:t>
      </w:r>
    </w:p>
    <w:p>
      <w:pPr>
        <w:pStyle w:val="ySubsection"/>
      </w:pPr>
      <w:r>
        <w:tab/>
        <w:t>(4)</w:t>
      </w:r>
      <w:r>
        <w:tab/>
        <w:t>If the scheme co</w:t>
      </w:r>
      <w:r>
        <w:noBreakHyphen/>
        <w:t>operative obtains 2 or more reports, each of which could be used for the purposes of subclause (3), the statement must include a copy of each report.</w:t>
      </w:r>
    </w:p>
    <w:p>
      <w:pPr>
        <w:pStyle w:val="ySubsection"/>
      </w:pPr>
      <w:r>
        <w:tab/>
        <w:t>(5)</w:t>
      </w:r>
      <w:r>
        <w:tab/>
        <w:t xml:space="preserve">If — </w:t>
      </w:r>
    </w:p>
    <w:p>
      <w:pPr>
        <w:pStyle w:val="yIndenta"/>
      </w:pPr>
      <w:r>
        <w:tab/>
        <w:t>(a)</w:t>
      </w:r>
      <w:r>
        <w:tab/>
        <w:t>the scheme co</w:t>
      </w:r>
      <w:r>
        <w:noBreakHyphen/>
        <w:t>operative obtains a report for the purposes of subclause (3); and</w:t>
      </w:r>
    </w:p>
    <w:p>
      <w:pPr>
        <w:pStyle w:val="yIndenta"/>
      </w:pPr>
      <w:r>
        <w:tab/>
        <w:t>(b)</w:t>
      </w:r>
      <w:r>
        <w:tab/>
        <w:t xml:space="preserve">the report contains — </w:t>
      </w:r>
    </w:p>
    <w:p>
      <w:pPr>
        <w:pStyle w:val="yIndenti0"/>
      </w:pPr>
      <w:r>
        <w:tab/>
        <w:t>(i)</w:t>
      </w:r>
      <w:r>
        <w:tab/>
        <w:t>a forecast of the profits or profitability of the co</w:t>
      </w:r>
      <w:r>
        <w:noBreakHyphen/>
        <w:t>operative; or</w:t>
      </w:r>
    </w:p>
    <w:p>
      <w:pPr>
        <w:pStyle w:val="yIndenti0"/>
      </w:pPr>
      <w:r>
        <w:tab/>
        <w:t>(ii)</w:t>
      </w:r>
      <w:r>
        <w:tab/>
        <w:t>a statement that the market value of an asset or assets of the co</w:t>
      </w:r>
      <w:r>
        <w:noBreakHyphen/>
        <w:t>operative or a related corporation differs from an amount at which the value of the asset or assets is shown in the books of the co</w:t>
      </w:r>
      <w:r>
        <w:noBreakHyphen/>
        <w:t>operative or the related corporation,</w:t>
      </w:r>
    </w:p>
    <w:p>
      <w:pPr>
        <w:pStyle w:val="yIndenta"/>
      </w:pPr>
      <w:r>
        <w:tab/>
      </w:r>
      <w:r>
        <w:tab/>
        <w:t>the report must not be included in the statement without the written consent of the Registrar and in accordance with any conditions of the consent.</w:t>
      </w:r>
    </w:p>
    <w:p>
      <w:pPr>
        <w:pStyle w:val="ySubsection"/>
      </w:pPr>
      <w:r>
        <w:tab/>
        <w:t>(6)</w:t>
      </w:r>
      <w:r>
        <w:tab/>
        <w:t xml:space="preserve">For the purposes of subclause (3) — </w:t>
      </w:r>
    </w:p>
    <w:p>
      <w:pPr>
        <w:pStyle w:val="yIndenta"/>
      </w:pPr>
      <w:r>
        <w:tab/>
        <w:t>(a)</w:t>
      </w:r>
      <w:r>
        <w:tab/>
        <w:t>a person has a prescribed shareholding in a co</w:t>
      </w:r>
      <w:r>
        <w:noBreakHyphen/>
        <w:t>operative if the person is entitled to at least 30% of the issued shares in the co</w:t>
      </w:r>
      <w:r>
        <w:noBreakHyphen/>
        <w:t>operative; and</w:t>
      </w:r>
    </w:p>
    <w:p>
      <w:pPr>
        <w:pStyle w:val="yIndenta"/>
      </w:pPr>
      <w:r>
        <w:tab/>
        <w:t>(b)</w:t>
      </w:r>
      <w:r>
        <w:tab/>
        <w:t>a person has a prescribed shareholding in a co</w:t>
      </w:r>
      <w:r>
        <w:noBreakHyphen/>
        <w:t>operative in which the shares are divided into 2 or more classes of shares if the person is entitled to at least 30% of the shares in one of those classes.</w:t>
      </w:r>
    </w:p>
    <w:p>
      <w:pPr>
        <w:pStyle w:val="ySubsection"/>
      </w:pPr>
      <w:r>
        <w:tab/>
        <w:t>(7)</w:t>
      </w:r>
      <w:r>
        <w:tab/>
        <w:t>If all or part of the consideration to be offered to a scheme member consists of marketable securities issued, or to be issued, by a corporation, the statement must set out the formula to be applied to find out the number of marketable securities to be issued to each scheme member and the basis on which the formula was developed.</w:t>
      </w:r>
    </w:p>
    <w:p>
      <w:pPr>
        <w:pStyle w:val="ySubsection"/>
      </w:pPr>
      <w:r>
        <w:tab/>
        <w:t>(8)</w:t>
      </w:r>
      <w:r>
        <w:tab/>
        <w:t xml:space="preserve">If marketable securities of the same class as those mentioned in subclause (7) are granted official quotation on a securities exchange, the statement must state the fact, specify the securities exchange concerned, and state — </w:t>
      </w:r>
    </w:p>
    <w:p>
      <w:pPr>
        <w:pStyle w:val="yIndenta"/>
      </w:pPr>
      <w:r>
        <w:tab/>
        <w:t>(a)</w:t>
      </w:r>
      <w:r>
        <w:tab/>
        <w:t>the latest recorded sale price before the date the statement is sent to the Registrar; and</w:t>
      </w:r>
    </w:p>
    <w:p>
      <w:pPr>
        <w:pStyle w:val="yIndenta"/>
      </w:pPr>
      <w:r>
        <w:tab/>
        <w:t>(b)</w:t>
      </w:r>
      <w:r>
        <w:tab/>
        <w:t>the highest and lowest recorded sale prices in the 3 months immediately before the date the statement is sent to the Registrar and the dates of the relevant sales; and</w:t>
      </w:r>
    </w:p>
    <w:p>
      <w:pPr>
        <w:pStyle w:val="yIndenta"/>
      </w:pPr>
      <w:r>
        <w:tab/>
        <w:t>(c)</w:t>
      </w:r>
      <w:r>
        <w:tab/>
        <w:t>if the scheme has been the subject of a public announcement in newspapers or in any other way before the statement was sent to the Registrar — the latest recorded sale price immediately before the public announcement.</w:t>
      </w:r>
    </w:p>
    <w:p>
      <w:pPr>
        <w:pStyle w:val="ySubsection"/>
      </w:pPr>
      <w:r>
        <w:tab/>
        <w:t>(9)</w:t>
      </w:r>
      <w:r>
        <w:tab/>
        <w:t>If the marketable securities mentioned in subclause (8) are granted official quotation on more than one securities exchange, it is enough compliance with subclause (8)(a) and (c) if information on the marketable securities is given for the securities exchange at which there has been the greatest number of recorded dealings in the securities in the 3 months immediately before the date the statement is sent to the Registrar.</w:t>
      </w:r>
    </w:p>
    <w:p>
      <w:pPr>
        <w:pStyle w:val="ySubsection"/>
      </w:pPr>
      <w:r>
        <w:tab/>
        <w:t>(10)</w:t>
      </w:r>
      <w:r>
        <w:tab/>
        <w:t>However, if the securities have not been granted official quotation on a securities exchange, the statement must include all the information a director, liquidator or official manager of the scheme co</w:t>
      </w:r>
      <w:r>
        <w:noBreakHyphen/>
        <w:t>operative or of a related corporation has about the number of securities sold in the 3 months immediately before the explanatory statement was prepared and the price of the securities or, if the information or any part of it cannot be found, a statement to that effect.</w:t>
      </w:r>
    </w:p>
    <w:p>
      <w:pPr>
        <w:pStyle w:val="ySubsection"/>
      </w:pPr>
      <w:r>
        <w:tab/>
        <w:t>(11)</w:t>
      </w:r>
      <w:r>
        <w:tab/>
        <w:t>The statement must include particulars of the intentions of the directors of the co</w:t>
      </w:r>
      <w:r>
        <w:noBreakHyphen/>
        <w:t xml:space="preserve">operative the subject of the scheme in relation to — </w:t>
      </w:r>
    </w:p>
    <w:p>
      <w:pPr>
        <w:pStyle w:val="yIndenta"/>
      </w:pPr>
      <w:r>
        <w:tab/>
        <w:t>(a)</w:t>
      </w:r>
      <w:r>
        <w:tab/>
        <w:t>the continuation of the business of the co</w:t>
      </w:r>
      <w:r>
        <w:noBreakHyphen/>
        <w:t>operative or, if the undertaking of the co</w:t>
      </w:r>
      <w:r>
        <w:noBreakHyphen/>
        <w:t>operative or any part of the undertaking is to be transferred, how the undertaking or the part of the undertaking is to be conducted in the future; and</w:t>
      </w:r>
    </w:p>
    <w:p>
      <w:pPr>
        <w:pStyle w:val="yIndenta"/>
      </w:pPr>
      <w:r>
        <w:tab/>
        <w:t>(b)</w:t>
      </w:r>
      <w:r>
        <w:tab/>
        <w:t>any major changes to be made to the business of the co</w:t>
      </w:r>
      <w:r>
        <w:noBreakHyphen/>
        <w:t>operative, including any redeployment of fixed assets of the co</w:t>
      </w:r>
      <w:r>
        <w:noBreakHyphen/>
        <w:t>operative; and</w:t>
      </w:r>
    </w:p>
    <w:p>
      <w:pPr>
        <w:pStyle w:val="yIndenta"/>
      </w:pPr>
      <w:r>
        <w:tab/>
        <w:t>(c)</w:t>
      </w:r>
      <w:r>
        <w:tab/>
        <w:t>the future employment of the present employees of the co</w:t>
      </w:r>
      <w:r>
        <w:noBreakHyphen/>
        <w:t>operative.</w:t>
      </w:r>
    </w:p>
    <w:p>
      <w:pPr>
        <w:pStyle w:val="Subsection"/>
        <w:rPr>
          <w:ins w:id="1219" w:author="Master Repository Process" w:date="2021-07-31T15:17:00Z"/>
        </w:rPr>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1220" w:name="_Toc292195121"/>
      <w:bookmarkStart w:id="1221" w:name="_Toc292195409"/>
      <w:bookmarkStart w:id="1222" w:name="_Toc292198034"/>
      <w:bookmarkStart w:id="1223" w:name="_Toc265852162"/>
      <w:bookmarkStart w:id="1224" w:name="_Toc265852903"/>
      <w:bookmarkStart w:id="1225" w:name="_Toc266086733"/>
      <w:bookmarkStart w:id="1226" w:name="_Toc266088018"/>
      <w:bookmarkStart w:id="1227" w:name="_Toc266199877"/>
      <w:bookmarkStart w:id="1228" w:name="_Toc266279522"/>
      <w:bookmarkStart w:id="1229" w:name="_Toc266289785"/>
      <w:bookmarkStart w:id="1230" w:name="_Toc266345829"/>
      <w:bookmarkStart w:id="1231" w:name="_Toc266371346"/>
      <w:bookmarkStart w:id="1232" w:name="_Toc266430574"/>
      <w:bookmarkStart w:id="1233" w:name="_Toc266434732"/>
      <w:bookmarkStart w:id="1234" w:name="_Toc266435018"/>
      <w:bookmarkStart w:id="1235" w:name="_Toc266435934"/>
      <w:bookmarkStart w:id="1236" w:name="_Toc266436237"/>
      <w:bookmarkStart w:id="1237" w:name="_Toc266436523"/>
      <w:bookmarkStart w:id="1238" w:name="_Toc266436809"/>
      <w:bookmarkStart w:id="1239" w:name="_Toc266608384"/>
      <w:bookmarkStart w:id="1240" w:name="_Toc266609933"/>
      <w:bookmarkStart w:id="1241" w:name="_Toc266613851"/>
      <w:bookmarkStart w:id="1242" w:name="_Toc267054029"/>
      <w:bookmarkStart w:id="1243" w:name="_Toc267054563"/>
      <w:bookmarkStart w:id="1244" w:name="_Toc267054932"/>
      <w:bookmarkStart w:id="1245" w:name="_Toc267055218"/>
      <w:bookmarkStart w:id="1246" w:name="_Toc267055504"/>
      <w:bookmarkStart w:id="1247" w:name="_Toc267383331"/>
      <w:bookmarkStart w:id="1248" w:name="_Toc267388336"/>
      <w:bookmarkStart w:id="1249" w:name="_Toc267388622"/>
      <w:bookmarkStart w:id="1250" w:name="_Toc267388908"/>
      <w:bookmarkStart w:id="1251" w:name="_Toc269375208"/>
      <w:bookmarkStart w:id="1252" w:name="_Toc269375588"/>
      <w:bookmarkStart w:id="1253" w:name="_Toc269386936"/>
      <w:bookmarkStart w:id="1254" w:name="_Toc269387225"/>
      <w:r>
        <w:rPr>
          <w:rStyle w:val="CharSchNo"/>
        </w:rPr>
        <w:t>Schedule 8</w:t>
      </w:r>
      <w:r>
        <w:t> — </w:t>
      </w:r>
      <w:r>
        <w:rPr>
          <w:rStyle w:val="CharSchText"/>
        </w:rPr>
        <w:t>Provisions of Act applying to participating and non</w:t>
      </w:r>
      <w:r>
        <w:rPr>
          <w:rStyle w:val="CharSchText"/>
        </w:rPr>
        <w:noBreakHyphen/>
        <w:t>participating co</w:t>
      </w:r>
      <w:r>
        <w:rPr>
          <w:rStyle w:val="CharSchText"/>
        </w:rPr>
        <w:noBreakHyphen/>
        <w:t>operatives</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pStyle w:val="yShoulderClause"/>
      </w:pPr>
      <w:r>
        <w:t>[r. 38]</w:t>
      </w:r>
    </w:p>
    <w:p>
      <w:pPr>
        <w:pStyle w:val="yHeading3"/>
        <w:spacing w:after="240"/>
      </w:pPr>
      <w:bookmarkStart w:id="1255" w:name="_Toc292195122"/>
      <w:bookmarkStart w:id="1256" w:name="_Toc292195410"/>
      <w:bookmarkStart w:id="1257" w:name="_Toc292198035"/>
      <w:bookmarkStart w:id="1258" w:name="_Toc265852163"/>
      <w:bookmarkStart w:id="1259" w:name="_Toc265852904"/>
      <w:bookmarkStart w:id="1260" w:name="_Toc266086734"/>
      <w:bookmarkStart w:id="1261" w:name="_Toc266088019"/>
      <w:bookmarkStart w:id="1262" w:name="_Toc266199878"/>
      <w:bookmarkStart w:id="1263" w:name="_Toc266279523"/>
      <w:bookmarkStart w:id="1264" w:name="_Toc266289786"/>
      <w:bookmarkStart w:id="1265" w:name="_Toc266345830"/>
      <w:bookmarkStart w:id="1266" w:name="_Toc266371347"/>
      <w:bookmarkStart w:id="1267" w:name="_Toc266430575"/>
      <w:bookmarkStart w:id="1268" w:name="_Toc266434733"/>
      <w:bookmarkStart w:id="1269" w:name="_Toc266435019"/>
      <w:bookmarkStart w:id="1270" w:name="_Toc266435935"/>
      <w:bookmarkStart w:id="1271" w:name="_Toc266436238"/>
      <w:bookmarkStart w:id="1272" w:name="_Toc266436524"/>
      <w:bookmarkStart w:id="1273" w:name="_Toc266436810"/>
      <w:bookmarkStart w:id="1274" w:name="_Toc266608385"/>
      <w:bookmarkStart w:id="1275" w:name="_Toc266609934"/>
      <w:bookmarkStart w:id="1276" w:name="_Toc266613852"/>
      <w:bookmarkStart w:id="1277" w:name="_Toc267054030"/>
      <w:bookmarkStart w:id="1278" w:name="_Toc267054564"/>
      <w:bookmarkStart w:id="1279" w:name="_Toc267054933"/>
      <w:bookmarkStart w:id="1280" w:name="_Toc267055219"/>
      <w:bookmarkStart w:id="1281" w:name="_Toc267055505"/>
      <w:bookmarkStart w:id="1282" w:name="_Toc267383332"/>
      <w:bookmarkStart w:id="1283" w:name="_Toc267388337"/>
      <w:bookmarkStart w:id="1284" w:name="_Toc267388623"/>
      <w:bookmarkStart w:id="1285" w:name="_Toc267388909"/>
      <w:bookmarkStart w:id="1286" w:name="_Toc269375209"/>
      <w:bookmarkStart w:id="1287" w:name="_Toc269375589"/>
      <w:bookmarkStart w:id="1288" w:name="_Toc269386937"/>
      <w:bookmarkStart w:id="1289" w:name="_Toc269387226"/>
      <w:r>
        <w:rPr>
          <w:rStyle w:val="CharSDivNo"/>
        </w:rPr>
        <w:t>Division 1</w:t>
      </w:r>
      <w:r>
        <w:t> — </w:t>
      </w:r>
      <w:r>
        <w:rPr>
          <w:rStyle w:val="CharSDivText"/>
        </w:rPr>
        <w:t>Provisions applying to participating co</w:t>
      </w:r>
      <w:r>
        <w:rPr>
          <w:rStyle w:val="CharSDivText"/>
        </w:rPr>
        <w:noBreakHyphen/>
        <w:t>operatives</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tbl>
      <w:tblPr>
        <w:tblW w:w="0" w:type="auto"/>
        <w:tblInd w:w="392" w:type="dxa"/>
        <w:tblLayout w:type="fixed"/>
        <w:tblCellMar>
          <w:bottom w:w="113" w:type="dxa"/>
        </w:tblCellMar>
        <w:tblLook w:val="0000" w:firstRow="0" w:lastRow="0" w:firstColumn="0" w:lastColumn="0" w:noHBand="0" w:noVBand="0"/>
      </w:tblPr>
      <w:tblGrid>
        <w:gridCol w:w="1417"/>
        <w:gridCol w:w="5103"/>
      </w:tblGrid>
      <w:tr>
        <w:tc>
          <w:tcPr>
            <w:tcW w:w="1417" w:type="dxa"/>
          </w:tcPr>
          <w:p>
            <w:pPr>
              <w:pStyle w:val="yTableNAm"/>
            </w:pPr>
            <w:r>
              <w:t>1.</w:t>
            </w:r>
          </w:p>
        </w:tc>
        <w:tc>
          <w:tcPr>
            <w:tcW w:w="5103" w:type="dxa"/>
          </w:tcPr>
          <w:p>
            <w:pPr>
              <w:pStyle w:val="yTableNAm"/>
            </w:pPr>
            <w:r>
              <w:t>section 240</w:t>
            </w:r>
          </w:p>
        </w:tc>
      </w:tr>
      <w:tr>
        <w:tc>
          <w:tcPr>
            <w:tcW w:w="1417" w:type="dxa"/>
          </w:tcPr>
          <w:p>
            <w:pPr>
              <w:pStyle w:val="yTableNAm"/>
            </w:pPr>
            <w:r>
              <w:t>2.</w:t>
            </w:r>
          </w:p>
        </w:tc>
        <w:tc>
          <w:tcPr>
            <w:tcW w:w="5103" w:type="dxa"/>
          </w:tcPr>
          <w:p>
            <w:pPr>
              <w:pStyle w:val="yTableNAm"/>
            </w:pPr>
            <w:r>
              <w:t>section 316 (but only to the extent that it adopts the Corporations Act Part 5.4B)</w:t>
            </w:r>
          </w:p>
        </w:tc>
      </w:tr>
      <w:tr>
        <w:tc>
          <w:tcPr>
            <w:tcW w:w="1417" w:type="dxa"/>
          </w:tcPr>
          <w:p>
            <w:pPr>
              <w:pStyle w:val="yTableNAm"/>
            </w:pPr>
            <w:r>
              <w:t>3.</w:t>
            </w:r>
          </w:p>
        </w:tc>
        <w:tc>
          <w:tcPr>
            <w:tcW w:w="5103" w:type="dxa"/>
          </w:tcPr>
          <w:p>
            <w:pPr>
              <w:pStyle w:val="yTableNAm"/>
            </w:pPr>
            <w:r>
              <w:t>section 484</w:t>
            </w:r>
          </w:p>
        </w:tc>
      </w:tr>
    </w:tbl>
    <w:p>
      <w:pPr>
        <w:pStyle w:val="yHeading3"/>
      </w:pPr>
      <w:bookmarkStart w:id="1290" w:name="_Toc292195123"/>
      <w:bookmarkStart w:id="1291" w:name="_Toc292195411"/>
      <w:bookmarkStart w:id="1292" w:name="_Toc292198036"/>
      <w:bookmarkStart w:id="1293" w:name="_Toc265852164"/>
      <w:bookmarkStart w:id="1294" w:name="_Toc265852905"/>
      <w:bookmarkStart w:id="1295" w:name="_Toc266086735"/>
      <w:bookmarkStart w:id="1296" w:name="_Toc266088020"/>
      <w:bookmarkStart w:id="1297" w:name="_Toc266199879"/>
      <w:bookmarkStart w:id="1298" w:name="_Toc266279524"/>
      <w:bookmarkStart w:id="1299" w:name="_Toc266289787"/>
      <w:bookmarkStart w:id="1300" w:name="_Toc266345831"/>
      <w:bookmarkStart w:id="1301" w:name="_Toc266371348"/>
      <w:bookmarkStart w:id="1302" w:name="_Toc266430576"/>
      <w:bookmarkStart w:id="1303" w:name="_Toc266434734"/>
      <w:bookmarkStart w:id="1304" w:name="_Toc266435020"/>
      <w:bookmarkStart w:id="1305" w:name="_Toc266435936"/>
      <w:bookmarkStart w:id="1306" w:name="_Toc266436239"/>
      <w:bookmarkStart w:id="1307" w:name="_Toc266436525"/>
      <w:bookmarkStart w:id="1308" w:name="_Toc266436811"/>
      <w:bookmarkStart w:id="1309" w:name="_Toc266608386"/>
      <w:bookmarkStart w:id="1310" w:name="_Toc266609935"/>
      <w:bookmarkStart w:id="1311" w:name="_Toc266613853"/>
      <w:bookmarkStart w:id="1312" w:name="_Toc267054031"/>
      <w:bookmarkStart w:id="1313" w:name="_Toc267054565"/>
      <w:bookmarkStart w:id="1314" w:name="_Toc267054934"/>
      <w:bookmarkStart w:id="1315" w:name="_Toc267055220"/>
      <w:bookmarkStart w:id="1316" w:name="_Toc267055506"/>
      <w:bookmarkStart w:id="1317" w:name="_Toc267383333"/>
      <w:bookmarkStart w:id="1318" w:name="_Toc267388338"/>
      <w:bookmarkStart w:id="1319" w:name="_Toc267388624"/>
      <w:bookmarkStart w:id="1320" w:name="_Toc267388910"/>
      <w:bookmarkStart w:id="1321" w:name="_Toc269375210"/>
      <w:bookmarkStart w:id="1322" w:name="_Toc269375590"/>
      <w:bookmarkStart w:id="1323" w:name="_Toc269386938"/>
      <w:bookmarkStart w:id="1324" w:name="_Toc269387227"/>
      <w:r>
        <w:rPr>
          <w:rStyle w:val="CharSDivNo"/>
        </w:rPr>
        <w:t>Division 2</w:t>
      </w:r>
      <w:r>
        <w:t> — </w:t>
      </w:r>
      <w:r>
        <w:rPr>
          <w:rStyle w:val="CharSDivText"/>
        </w:rPr>
        <w:t>Provisions applying to non</w:t>
      </w:r>
      <w:r>
        <w:rPr>
          <w:rStyle w:val="CharSDivText"/>
        </w:rPr>
        <w:noBreakHyphen/>
        <w:t>participating co</w:t>
      </w:r>
      <w:r>
        <w:rPr>
          <w:rStyle w:val="CharSDivText"/>
        </w:rPr>
        <w:noBreakHyphen/>
        <w:t>operatives</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tbl>
      <w:tblPr>
        <w:tblW w:w="0" w:type="auto"/>
        <w:tblInd w:w="392" w:type="dxa"/>
        <w:tblLayout w:type="fixed"/>
        <w:tblCellMar>
          <w:bottom w:w="113" w:type="dxa"/>
        </w:tblCellMar>
        <w:tblLook w:val="0000" w:firstRow="0" w:lastRow="0" w:firstColumn="0" w:lastColumn="0" w:noHBand="0" w:noVBand="0"/>
      </w:tblPr>
      <w:tblGrid>
        <w:gridCol w:w="1417"/>
        <w:gridCol w:w="5103"/>
      </w:tblGrid>
      <w:tr>
        <w:tc>
          <w:tcPr>
            <w:tcW w:w="1417" w:type="dxa"/>
          </w:tcPr>
          <w:p>
            <w:pPr>
              <w:pStyle w:val="yTableNAm"/>
            </w:pPr>
            <w:r>
              <w:t>4.</w:t>
            </w:r>
          </w:p>
        </w:tc>
        <w:tc>
          <w:tcPr>
            <w:tcW w:w="5103" w:type="dxa"/>
          </w:tcPr>
          <w:p>
            <w:pPr>
              <w:pStyle w:val="yTableNAm"/>
            </w:pPr>
            <w:r>
              <w:t>section 15</w:t>
            </w:r>
          </w:p>
        </w:tc>
      </w:tr>
      <w:tr>
        <w:tc>
          <w:tcPr>
            <w:tcW w:w="1417" w:type="dxa"/>
          </w:tcPr>
          <w:p>
            <w:pPr>
              <w:pStyle w:val="yTableNAm"/>
            </w:pPr>
            <w:r>
              <w:t>5.</w:t>
            </w:r>
          </w:p>
        </w:tc>
        <w:tc>
          <w:tcPr>
            <w:tcW w:w="5103" w:type="dxa"/>
          </w:tcPr>
          <w:p>
            <w:pPr>
              <w:pStyle w:val="yTableNAm"/>
            </w:pPr>
            <w:r>
              <w:t>section 240</w:t>
            </w:r>
          </w:p>
        </w:tc>
      </w:tr>
    </w:tbl>
    <w:p>
      <w:pPr>
        <w:pStyle w:val="yScheduleHeading"/>
      </w:pPr>
      <w:bookmarkStart w:id="1325" w:name="_Toc292195124"/>
      <w:bookmarkStart w:id="1326" w:name="_Toc292195412"/>
      <w:bookmarkStart w:id="1327" w:name="_Toc292198037"/>
      <w:bookmarkStart w:id="1328" w:name="_Toc265852165"/>
      <w:bookmarkStart w:id="1329" w:name="_Toc265852906"/>
      <w:bookmarkStart w:id="1330" w:name="_Toc266086736"/>
      <w:bookmarkStart w:id="1331" w:name="_Toc266088021"/>
      <w:bookmarkStart w:id="1332" w:name="_Toc266199880"/>
      <w:bookmarkStart w:id="1333" w:name="_Toc266279525"/>
      <w:bookmarkStart w:id="1334" w:name="_Toc266289788"/>
      <w:bookmarkStart w:id="1335" w:name="_Toc266345832"/>
      <w:bookmarkStart w:id="1336" w:name="_Toc266371349"/>
      <w:bookmarkStart w:id="1337" w:name="_Toc266430577"/>
      <w:bookmarkStart w:id="1338" w:name="_Toc266434735"/>
      <w:bookmarkStart w:id="1339" w:name="_Toc266435021"/>
      <w:bookmarkStart w:id="1340" w:name="_Toc266435937"/>
      <w:bookmarkStart w:id="1341" w:name="_Toc266436240"/>
      <w:bookmarkStart w:id="1342" w:name="_Toc266436526"/>
      <w:bookmarkStart w:id="1343" w:name="_Toc266436812"/>
      <w:bookmarkStart w:id="1344" w:name="_Toc266608387"/>
      <w:bookmarkStart w:id="1345" w:name="_Toc266609936"/>
      <w:bookmarkStart w:id="1346" w:name="_Toc266613854"/>
      <w:bookmarkStart w:id="1347" w:name="_Toc267054032"/>
      <w:bookmarkStart w:id="1348" w:name="_Toc267054566"/>
      <w:bookmarkStart w:id="1349" w:name="_Toc267054935"/>
      <w:bookmarkStart w:id="1350" w:name="_Toc267055221"/>
      <w:bookmarkStart w:id="1351" w:name="_Toc267055507"/>
      <w:bookmarkStart w:id="1352" w:name="_Toc267383334"/>
      <w:bookmarkStart w:id="1353" w:name="_Toc267388339"/>
      <w:bookmarkStart w:id="1354" w:name="_Toc267388625"/>
      <w:bookmarkStart w:id="1355" w:name="_Toc267388911"/>
      <w:bookmarkStart w:id="1356" w:name="_Toc269375211"/>
      <w:bookmarkStart w:id="1357" w:name="_Toc269375591"/>
      <w:bookmarkStart w:id="1358" w:name="_Toc269386939"/>
      <w:bookmarkStart w:id="1359" w:name="_Toc269387228"/>
      <w:r>
        <w:rPr>
          <w:rStyle w:val="CharSchNo"/>
        </w:rPr>
        <w:t>Schedule 9</w:t>
      </w:r>
      <w:r>
        <w:rPr>
          <w:rStyle w:val="CharSDivNo"/>
        </w:rPr>
        <w:t> </w:t>
      </w:r>
      <w:r>
        <w:t>—</w:t>
      </w:r>
      <w:r>
        <w:rPr>
          <w:rStyle w:val="CharSDivText"/>
        </w:rPr>
        <w:t> </w:t>
      </w:r>
      <w:r>
        <w:rPr>
          <w:rStyle w:val="CharSchText"/>
        </w:rPr>
        <w:t>Holders of prescribed offices</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pPr>
        <w:pStyle w:val="yShoulderClause"/>
      </w:pPr>
      <w:r>
        <w:t>[r. 45]</w:t>
      </w:r>
    </w:p>
    <w:p>
      <w:pPr>
        <w:pStyle w:val="yMiscellaneousBody"/>
        <w:rPr>
          <w:b/>
          <w:bCs/>
        </w:rPr>
      </w:pPr>
      <w:r>
        <w:rPr>
          <w:b/>
          <w:bCs/>
        </w:rPr>
        <w:t>Commonwealth</w:t>
      </w:r>
    </w:p>
    <w:p>
      <w:pPr>
        <w:pStyle w:val="yNumberedItem"/>
      </w:pPr>
      <w:r>
        <w:rPr>
          <w:b/>
          <w:bCs/>
        </w:rPr>
        <w:t>1.</w:t>
      </w:r>
      <w:r>
        <w:tab/>
        <w:t>The Treasurer</w:t>
      </w:r>
    </w:p>
    <w:p>
      <w:pPr>
        <w:pStyle w:val="yNumberedItem"/>
      </w:pPr>
      <w:r>
        <w:rPr>
          <w:b/>
          <w:bCs/>
        </w:rPr>
        <w:t>2.</w:t>
      </w:r>
      <w:r>
        <w:tab/>
        <w:t xml:space="preserve">A trustee under the </w:t>
      </w:r>
      <w:r>
        <w:rPr>
          <w:i/>
          <w:iCs/>
        </w:rPr>
        <w:t>Bankruptcy Act 1966</w:t>
      </w:r>
      <w:r>
        <w:t xml:space="preserve"> (Commonwealth) Part 4, 10 or 11</w:t>
      </w:r>
    </w:p>
    <w:p>
      <w:pPr>
        <w:pStyle w:val="yNumberedItem"/>
      </w:pPr>
      <w:r>
        <w:rPr>
          <w:b/>
          <w:bCs/>
        </w:rPr>
        <w:t>3.</w:t>
      </w:r>
      <w:r>
        <w:tab/>
        <w:t xml:space="preserve">Each of the following officers of ASIC — </w:t>
      </w:r>
    </w:p>
    <w:p>
      <w:pPr>
        <w:pStyle w:val="yMiscellaneousBody"/>
        <w:tabs>
          <w:tab w:val="left" w:pos="1134"/>
          <w:tab w:val="left" w:pos="1560"/>
        </w:tabs>
        <w:ind w:left="1560" w:hanging="1560"/>
      </w:pPr>
      <w:r>
        <w:tab/>
        <w:t>(a)</w:t>
      </w:r>
      <w:r>
        <w:tab/>
        <w:t>the chairperson, deputy chairperson or member of the commission;</w:t>
      </w:r>
    </w:p>
    <w:p>
      <w:pPr>
        <w:pStyle w:val="yMiscellaneousBody"/>
        <w:tabs>
          <w:tab w:val="left" w:pos="1134"/>
          <w:tab w:val="left" w:pos="1560"/>
        </w:tabs>
      </w:pPr>
      <w:r>
        <w:tab/>
        <w:t>(b)</w:t>
      </w:r>
      <w:r>
        <w:tab/>
        <w:t>president or member of the takeovers panel.</w:t>
      </w:r>
    </w:p>
    <w:p>
      <w:pPr>
        <w:pStyle w:val="yMiscellaneousBody"/>
        <w:rPr>
          <w:b/>
          <w:bCs/>
        </w:rPr>
      </w:pPr>
      <w:smartTag w:uri="urn:schemas-microsoft-com:office:smarttags" w:element="State">
        <w:smartTag w:uri="urn:schemas-microsoft-com:office:smarttags" w:element="place">
          <w:r>
            <w:rPr>
              <w:b/>
              <w:bCs/>
            </w:rPr>
            <w:t>Australian Capital Territory</w:t>
          </w:r>
        </w:smartTag>
      </w:smartTag>
    </w:p>
    <w:p>
      <w:pPr>
        <w:pStyle w:val="yNumberedItem"/>
      </w:pPr>
      <w:r>
        <w:rPr>
          <w:b/>
          <w:bCs/>
        </w:rPr>
        <w:t>4.</w:t>
      </w:r>
      <w:r>
        <w:tab/>
        <w:t>Registrar or master of the Australian Capital Territory Supreme Court</w:t>
      </w:r>
    </w:p>
    <w:p>
      <w:pPr>
        <w:pStyle w:val="yNumberedItem"/>
      </w:pPr>
      <w:r>
        <w:rPr>
          <w:b/>
          <w:bCs/>
        </w:rPr>
        <w:t>5.</w:t>
      </w:r>
      <w:r>
        <w:tab/>
        <w:t>Treasurer</w:t>
      </w:r>
    </w:p>
    <w:p>
      <w:pPr>
        <w:pStyle w:val="yNumberedItem"/>
      </w:pPr>
      <w:r>
        <w:rPr>
          <w:b/>
          <w:bCs/>
        </w:rPr>
        <w:t>6.</w:t>
      </w:r>
      <w:r>
        <w:tab/>
        <w:t xml:space="preserve">The public trustee under the </w:t>
      </w:r>
      <w:r>
        <w:rPr>
          <w:i/>
          <w:iCs/>
        </w:rPr>
        <w:t>Public Trustee Act 1985</w:t>
      </w:r>
      <w:r>
        <w:t xml:space="preserve"> (</w:t>
      </w:r>
      <w:smartTag w:uri="urn:schemas-microsoft-com:office:smarttags" w:element="State">
        <w:smartTag w:uri="urn:schemas-microsoft-com:office:smarttags" w:element="place">
          <w:r>
            <w:t>Australian Capital Territory</w:t>
          </w:r>
        </w:smartTag>
      </w:smartTag>
      <w:r>
        <w:t>)</w:t>
      </w:r>
    </w:p>
    <w:p>
      <w:pPr>
        <w:pStyle w:val="yMiscellaneousBody"/>
        <w:rPr>
          <w:b/>
          <w:bCs/>
        </w:rPr>
      </w:pPr>
      <w:smartTag w:uri="urn:schemas-microsoft-com:office:smarttags" w:element="State">
        <w:smartTag w:uri="urn:schemas-microsoft-com:office:smarttags" w:element="place">
          <w:r>
            <w:rPr>
              <w:b/>
              <w:bCs/>
            </w:rPr>
            <w:t>New South Wales</w:t>
          </w:r>
        </w:smartTag>
      </w:smartTag>
    </w:p>
    <w:p>
      <w:pPr>
        <w:pStyle w:val="yNumberedItem"/>
      </w:pPr>
      <w:r>
        <w:rPr>
          <w:b/>
          <w:bCs/>
        </w:rPr>
        <w:t>7.</w:t>
      </w:r>
      <w:r>
        <w:tab/>
        <w:t>Treasurer</w:t>
      </w:r>
    </w:p>
    <w:p>
      <w:pPr>
        <w:pStyle w:val="yNumberedItem"/>
      </w:pPr>
      <w:r>
        <w:rPr>
          <w:b/>
          <w:bCs/>
        </w:rPr>
        <w:t>8.</w:t>
      </w:r>
      <w:r>
        <w:tab/>
        <w:t xml:space="preserve">The public trustee under the </w:t>
      </w:r>
      <w:r>
        <w:rPr>
          <w:i/>
          <w:iCs/>
        </w:rPr>
        <w:t>Public Trustee Act 1913</w:t>
      </w:r>
      <w:r>
        <w:t xml:space="preserve"> (</w:t>
      </w:r>
      <w:smartTag w:uri="urn:schemas-microsoft-com:office:smarttags" w:element="State">
        <w:smartTag w:uri="urn:schemas-microsoft-com:office:smarttags" w:element="place">
          <w:r>
            <w:t>New South Wales</w:t>
          </w:r>
        </w:smartTag>
      </w:smartTag>
      <w:r>
        <w:t>)</w:t>
      </w:r>
    </w:p>
    <w:p>
      <w:pPr>
        <w:pStyle w:val="yNumberedItem"/>
      </w:pPr>
      <w:r>
        <w:rPr>
          <w:b/>
          <w:bCs/>
        </w:rPr>
        <w:t>9.</w:t>
      </w:r>
      <w:r>
        <w:tab/>
        <w:t xml:space="preserve">The master under the </w:t>
      </w:r>
      <w:r>
        <w:rPr>
          <w:i/>
          <w:iCs/>
        </w:rPr>
        <w:t>Supreme Court Act 1970</w:t>
      </w:r>
      <w:r>
        <w:t>, (</w:t>
      </w:r>
      <w:smartTag w:uri="urn:schemas-microsoft-com:office:smarttags" w:element="State">
        <w:smartTag w:uri="urn:schemas-microsoft-com:office:smarttags" w:element="place">
          <w:r>
            <w:t>New South Wales</w:t>
          </w:r>
        </w:smartTag>
      </w:smartTag>
      <w:r>
        <w:t>) Part 8, Division 1</w:t>
      </w:r>
    </w:p>
    <w:p>
      <w:pPr>
        <w:pStyle w:val="yNumberedItem"/>
      </w:pPr>
      <w:r>
        <w:rPr>
          <w:b/>
          <w:bCs/>
        </w:rPr>
        <w:t>10.</w:t>
      </w:r>
      <w:r>
        <w:tab/>
        <w:t xml:space="preserve">The supervisor of loan fund companies under the </w:t>
      </w:r>
      <w:r>
        <w:rPr>
          <w:i/>
          <w:iCs/>
        </w:rPr>
        <w:t xml:space="preserve">Loan Fund Companies Act 1976 </w:t>
      </w:r>
      <w:r>
        <w:t>(</w:t>
      </w:r>
      <w:smartTag w:uri="urn:schemas-microsoft-com:office:smarttags" w:element="State">
        <w:smartTag w:uri="urn:schemas-microsoft-com:office:smarttags" w:element="place">
          <w:r>
            <w:t>New South Wales</w:t>
          </w:r>
        </w:smartTag>
      </w:smartTag>
      <w:r>
        <w:t>)</w:t>
      </w:r>
    </w:p>
    <w:p>
      <w:pPr>
        <w:pStyle w:val="yNumberedItem"/>
      </w:pPr>
      <w:r>
        <w:rPr>
          <w:b/>
          <w:bCs/>
        </w:rPr>
        <w:t>11.</w:t>
      </w:r>
      <w:r>
        <w:tab/>
        <w:t xml:space="preserve">The protective commissioner under the </w:t>
      </w:r>
      <w:r>
        <w:rPr>
          <w:i/>
          <w:iCs/>
        </w:rPr>
        <w:t>Protected Estates Act 1983</w:t>
      </w:r>
      <w:r>
        <w:t xml:space="preserve"> (</w:t>
      </w:r>
      <w:smartTag w:uri="urn:schemas-microsoft-com:office:smarttags" w:element="State">
        <w:smartTag w:uri="urn:schemas-microsoft-com:office:smarttags" w:element="place">
          <w:r>
            <w:t>New South Wales</w:t>
          </w:r>
        </w:smartTag>
      </w:smartTag>
      <w:r>
        <w:t>)</w:t>
      </w:r>
    </w:p>
    <w:p>
      <w:pPr>
        <w:pStyle w:val="yMiscellaneousBody"/>
        <w:rPr>
          <w:b/>
          <w:bCs/>
        </w:rPr>
      </w:pPr>
      <w:smartTag w:uri="urn:schemas-microsoft-com:office:smarttags" w:element="State">
        <w:smartTag w:uri="urn:schemas-microsoft-com:office:smarttags" w:element="place">
          <w:r>
            <w:rPr>
              <w:b/>
              <w:bCs/>
            </w:rPr>
            <w:t>Northern Territory</w:t>
          </w:r>
        </w:smartTag>
      </w:smartTag>
    </w:p>
    <w:p>
      <w:pPr>
        <w:pStyle w:val="yNumberedItem"/>
      </w:pPr>
      <w:r>
        <w:rPr>
          <w:b/>
          <w:bCs/>
        </w:rPr>
        <w:t>12.</w:t>
      </w:r>
      <w:r>
        <w:tab/>
        <w:t>Treasurer</w:t>
      </w:r>
    </w:p>
    <w:p>
      <w:pPr>
        <w:pStyle w:val="yNumberedItem"/>
      </w:pPr>
      <w:r>
        <w:rPr>
          <w:b/>
          <w:bCs/>
        </w:rPr>
        <w:t>13.</w:t>
      </w:r>
      <w:r>
        <w:tab/>
        <w:t xml:space="preserve">Public trustee under the </w:t>
      </w:r>
      <w:r>
        <w:rPr>
          <w:i/>
          <w:iCs/>
        </w:rPr>
        <w:t>Public Trustee Act</w:t>
      </w:r>
      <w:r>
        <w:t xml:space="preserve"> (</w:t>
      </w:r>
      <w:smartTag w:uri="urn:schemas-microsoft-com:office:smarttags" w:element="State">
        <w:smartTag w:uri="urn:schemas-microsoft-com:office:smarttags" w:element="place">
          <w:r>
            <w:t>Northern Territory</w:t>
          </w:r>
        </w:smartTag>
      </w:smartTag>
      <w:r>
        <w:t>)</w:t>
      </w:r>
    </w:p>
    <w:p>
      <w:pPr>
        <w:pStyle w:val="yNumberedItem"/>
      </w:pPr>
      <w:r>
        <w:rPr>
          <w:b/>
          <w:bCs/>
        </w:rPr>
        <w:t>14.</w:t>
      </w:r>
      <w:r>
        <w:tab/>
        <w:t xml:space="preserve">Master of the Supreme Court of the </w:t>
      </w:r>
      <w:smartTag w:uri="urn:schemas-microsoft-com:office:smarttags" w:element="State">
        <w:smartTag w:uri="urn:schemas-microsoft-com:office:smarttags" w:element="place">
          <w:r>
            <w:t>Northern Territory</w:t>
          </w:r>
        </w:smartTag>
      </w:smartTag>
    </w:p>
    <w:p>
      <w:pPr>
        <w:pStyle w:val="yNumberedItem"/>
      </w:pPr>
      <w:r>
        <w:rPr>
          <w:b/>
          <w:bCs/>
        </w:rPr>
        <w:t>15.</w:t>
      </w:r>
      <w:r>
        <w:tab/>
        <w:t>Commissioner for corporate affairs</w:t>
      </w:r>
    </w:p>
    <w:p>
      <w:pPr>
        <w:pStyle w:val="yMiscellaneousBody"/>
        <w:rPr>
          <w:b/>
          <w:bCs/>
        </w:rPr>
      </w:pPr>
      <w:smartTag w:uri="urn:schemas-microsoft-com:office:smarttags" w:element="State">
        <w:smartTag w:uri="urn:schemas-microsoft-com:office:smarttags" w:element="place">
          <w:r>
            <w:rPr>
              <w:b/>
              <w:bCs/>
            </w:rPr>
            <w:t>Queensland</w:t>
          </w:r>
        </w:smartTag>
      </w:smartTag>
    </w:p>
    <w:p>
      <w:pPr>
        <w:pStyle w:val="yNumberedItem"/>
      </w:pPr>
      <w:r>
        <w:rPr>
          <w:b/>
          <w:bCs/>
        </w:rPr>
        <w:t>16.</w:t>
      </w:r>
      <w:r>
        <w:tab/>
        <w:t>Treasurer</w:t>
      </w:r>
    </w:p>
    <w:p>
      <w:pPr>
        <w:pStyle w:val="yNumberedItem"/>
      </w:pPr>
      <w:r>
        <w:rPr>
          <w:b/>
          <w:bCs/>
        </w:rPr>
        <w:t>17.</w:t>
      </w:r>
      <w:r>
        <w:tab/>
        <w:t>Commissioner for corporate affairs</w:t>
      </w:r>
    </w:p>
    <w:p>
      <w:pPr>
        <w:pStyle w:val="yNumberedItem"/>
      </w:pPr>
      <w:r>
        <w:rPr>
          <w:b/>
          <w:bCs/>
        </w:rPr>
        <w:t>18.</w:t>
      </w:r>
      <w:r>
        <w:tab/>
        <w:t>Public trustee</w:t>
      </w:r>
    </w:p>
    <w:p>
      <w:pPr>
        <w:pStyle w:val="yNumberedItem"/>
      </w:pPr>
      <w:r>
        <w:rPr>
          <w:b/>
          <w:bCs/>
        </w:rPr>
        <w:t>19.</w:t>
      </w:r>
      <w:r>
        <w:tab/>
        <w:t xml:space="preserve">Registrar of the Supreme Court of </w:t>
      </w:r>
      <w:smartTag w:uri="urn:schemas-microsoft-com:office:smarttags" w:element="State">
        <w:smartTag w:uri="urn:schemas-microsoft-com:office:smarttags" w:element="place">
          <w:r>
            <w:t>Queensland</w:t>
          </w:r>
        </w:smartTag>
      </w:smartTag>
    </w:p>
    <w:p>
      <w:pPr>
        <w:pStyle w:val="yMiscellaneousBody"/>
        <w:rPr>
          <w:b/>
          <w:bCs/>
        </w:rPr>
      </w:pPr>
      <w:smartTag w:uri="urn:schemas-microsoft-com:office:smarttags" w:element="State">
        <w:smartTag w:uri="urn:schemas-microsoft-com:office:smarttags" w:element="place">
          <w:r>
            <w:rPr>
              <w:b/>
              <w:bCs/>
            </w:rPr>
            <w:t>South Australia</w:t>
          </w:r>
        </w:smartTag>
      </w:smartTag>
    </w:p>
    <w:p>
      <w:pPr>
        <w:pStyle w:val="yNumberedItem"/>
      </w:pPr>
      <w:r>
        <w:rPr>
          <w:b/>
          <w:bCs/>
        </w:rPr>
        <w:t>20.</w:t>
      </w:r>
      <w:r>
        <w:tab/>
        <w:t>Treasurer</w:t>
      </w:r>
    </w:p>
    <w:p>
      <w:pPr>
        <w:pStyle w:val="yNumberedItem"/>
      </w:pPr>
      <w:r>
        <w:rPr>
          <w:b/>
          <w:bCs/>
        </w:rPr>
        <w:t>21.</w:t>
      </w:r>
      <w:r>
        <w:tab/>
        <w:t xml:space="preserve">Curator of prisoners property under the </w:t>
      </w:r>
      <w:r>
        <w:rPr>
          <w:i/>
          <w:iCs/>
        </w:rPr>
        <w:t>Criminal Law Consolidation Act 1935</w:t>
      </w:r>
      <w:r>
        <w:t xml:space="preserve"> (</w:t>
      </w:r>
      <w:smartTag w:uri="urn:schemas-microsoft-com:office:smarttags" w:element="State">
        <w:smartTag w:uri="urn:schemas-microsoft-com:office:smarttags" w:element="place">
          <w:r>
            <w:t>South Australia</w:t>
          </w:r>
        </w:smartTag>
      </w:smartTag>
      <w:r>
        <w:t>)</w:t>
      </w:r>
    </w:p>
    <w:p>
      <w:pPr>
        <w:pStyle w:val="yNumberedItem"/>
      </w:pPr>
      <w:r>
        <w:rPr>
          <w:b/>
          <w:bCs/>
        </w:rPr>
        <w:t>22.</w:t>
      </w:r>
      <w:r>
        <w:tab/>
        <w:t xml:space="preserve">Public trustee under the </w:t>
      </w:r>
      <w:r>
        <w:rPr>
          <w:i/>
          <w:iCs/>
        </w:rPr>
        <w:t>Public Trustee Act 1995</w:t>
      </w:r>
      <w:r>
        <w:t xml:space="preserve"> (South Australia)</w:t>
      </w:r>
    </w:p>
    <w:p>
      <w:pPr>
        <w:pStyle w:val="yNumberedItem"/>
      </w:pPr>
      <w:r>
        <w:rPr>
          <w:b/>
          <w:bCs/>
        </w:rPr>
        <w:t>23.</w:t>
      </w:r>
      <w:r>
        <w:tab/>
        <w:t xml:space="preserve">Master or accountant under the </w:t>
      </w:r>
      <w:r>
        <w:rPr>
          <w:i/>
          <w:iCs/>
        </w:rPr>
        <w:t>Supreme Court Act 1935</w:t>
      </w:r>
      <w:r>
        <w:t xml:space="preserve"> (South Australia)</w:t>
      </w:r>
    </w:p>
    <w:p>
      <w:pPr>
        <w:pStyle w:val="yMiscellaneousBody"/>
        <w:rPr>
          <w:b/>
          <w:bCs/>
        </w:rPr>
      </w:pPr>
      <w:r>
        <w:rPr>
          <w:b/>
          <w:bCs/>
        </w:rPr>
        <w:t>Tasmania</w:t>
      </w:r>
    </w:p>
    <w:p>
      <w:pPr>
        <w:pStyle w:val="yNumberedItem"/>
      </w:pPr>
      <w:r>
        <w:rPr>
          <w:b/>
          <w:bCs/>
        </w:rPr>
        <w:t>24.</w:t>
      </w:r>
      <w:r>
        <w:tab/>
        <w:t>Administrator under the Criminal Code, Chapter 49 (Tasmania)</w:t>
      </w:r>
    </w:p>
    <w:p>
      <w:pPr>
        <w:pStyle w:val="yNumberedItem"/>
      </w:pPr>
      <w:r>
        <w:rPr>
          <w:b/>
          <w:bCs/>
        </w:rPr>
        <w:t>25.</w:t>
      </w:r>
      <w:r>
        <w:tab/>
        <w:t>Treasurer</w:t>
      </w:r>
    </w:p>
    <w:p>
      <w:pPr>
        <w:pStyle w:val="yNumberedItem"/>
      </w:pPr>
      <w:r>
        <w:rPr>
          <w:b/>
          <w:bCs/>
        </w:rPr>
        <w:t>26.</w:t>
      </w:r>
      <w:r>
        <w:tab/>
        <w:t>Commissioner for corporate affairs</w:t>
      </w:r>
    </w:p>
    <w:p>
      <w:pPr>
        <w:pStyle w:val="yNumberedItem"/>
      </w:pPr>
      <w:r>
        <w:rPr>
          <w:b/>
          <w:bCs/>
        </w:rPr>
        <w:t>27.</w:t>
      </w:r>
      <w:r>
        <w:tab/>
        <w:t xml:space="preserve">Public trustee under the </w:t>
      </w:r>
      <w:r>
        <w:rPr>
          <w:i/>
          <w:iCs/>
        </w:rPr>
        <w:t>Public Trustee Act 1930</w:t>
      </w:r>
      <w:r>
        <w:t xml:space="preserve"> (Tasmania)</w:t>
      </w:r>
    </w:p>
    <w:p>
      <w:pPr>
        <w:pStyle w:val="yNumberedItem"/>
      </w:pPr>
      <w:r>
        <w:rPr>
          <w:b/>
          <w:bCs/>
        </w:rPr>
        <w:t>28.</w:t>
      </w:r>
      <w:r>
        <w:tab/>
        <w:t>Registrar of the Supreme Court of Tasmania</w:t>
      </w:r>
    </w:p>
    <w:p>
      <w:pPr>
        <w:pStyle w:val="yMiscellaneousBody"/>
        <w:rPr>
          <w:b/>
          <w:bCs/>
        </w:rPr>
      </w:pPr>
      <w:r>
        <w:rPr>
          <w:b/>
          <w:bCs/>
        </w:rPr>
        <w:t>Victoria</w:t>
      </w:r>
    </w:p>
    <w:p>
      <w:pPr>
        <w:pStyle w:val="yNumberedItem"/>
      </w:pPr>
      <w:r>
        <w:rPr>
          <w:b/>
          <w:bCs/>
        </w:rPr>
        <w:t>29.</w:t>
      </w:r>
      <w:r>
        <w:tab/>
        <w:t>Treasurer</w:t>
      </w:r>
    </w:p>
    <w:p>
      <w:pPr>
        <w:pStyle w:val="yNumberedItem"/>
      </w:pPr>
      <w:r>
        <w:rPr>
          <w:b/>
          <w:bCs/>
        </w:rPr>
        <w:t>30.</w:t>
      </w:r>
      <w:r>
        <w:tab/>
        <w:t>Commissioner for corporate affairs</w:t>
      </w:r>
    </w:p>
    <w:p>
      <w:pPr>
        <w:pStyle w:val="yNumberedItem"/>
      </w:pPr>
      <w:r>
        <w:rPr>
          <w:b/>
          <w:bCs/>
        </w:rPr>
        <w:t>31.</w:t>
      </w:r>
      <w:r>
        <w:tab/>
        <w:t>State Trustees Limited ACN 064 593 148</w:t>
      </w:r>
    </w:p>
    <w:p>
      <w:pPr>
        <w:pStyle w:val="yNumberedItem"/>
      </w:pPr>
      <w:r>
        <w:rPr>
          <w:b/>
          <w:bCs/>
        </w:rPr>
        <w:t>32.</w:t>
      </w:r>
      <w:r>
        <w:tab/>
        <w:t xml:space="preserve">Master under the </w:t>
      </w:r>
      <w:r>
        <w:rPr>
          <w:i/>
          <w:iCs/>
        </w:rPr>
        <w:t>Supreme Court Act 1986</w:t>
      </w:r>
      <w:r>
        <w:t xml:space="preserve"> (Victoria)</w:t>
      </w:r>
    </w:p>
    <w:p>
      <w:pPr>
        <w:pStyle w:val="yMiscellaneousBody"/>
        <w:rPr>
          <w:b/>
          <w:bCs/>
        </w:rPr>
      </w:pPr>
      <w:r>
        <w:rPr>
          <w:b/>
          <w:bCs/>
        </w:rPr>
        <w:t>Western Australia</w:t>
      </w:r>
    </w:p>
    <w:p>
      <w:pPr>
        <w:pStyle w:val="yNumberedItem"/>
      </w:pPr>
      <w:r>
        <w:rPr>
          <w:b/>
          <w:bCs/>
        </w:rPr>
        <w:t>33.</w:t>
      </w:r>
      <w:r>
        <w:tab/>
        <w:t>Treasurer</w:t>
      </w:r>
    </w:p>
    <w:p>
      <w:pPr>
        <w:pStyle w:val="yNumberedItem"/>
      </w:pPr>
      <w:r>
        <w:rPr>
          <w:b/>
          <w:bCs/>
        </w:rPr>
        <w:t>34.</w:t>
      </w:r>
      <w:r>
        <w:tab/>
        <w:t>Commissioner for corporate affairs</w:t>
      </w:r>
    </w:p>
    <w:p>
      <w:pPr>
        <w:pStyle w:val="yNumberedItem"/>
      </w:pPr>
      <w:r>
        <w:rPr>
          <w:b/>
          <w:bCs/>
        </w:rPr>
        <w:t>35.</w:t>
      </w:r>
      <w:r>
        <w:tab/>
        <w:t xml:space="preserve">Public trustee under the </w:t>
      </w:r>
      <w:r>
        <w:rPr>
          <w:i/>
          <w:iCs/>
        </w:rPr>
        <w:t>Public Trustee Act 1941</w:t>
      </w:r>
    </w:p>
    <w:p>
      <w:pPr>
        <w:pStyle w:val="yNumberedItem"/>
        <w:rPr>
          <w:del w:id="1360" w:author="Master Repository Process" w:date="2021-07-31T15:17:00Z"/>
          <w:i/>
          <w:iCs/>
          <w:sz w:val="20"/>
        </w:rPr>
      </w:pPr>
      <w:r>
        <w:rPr>
          <w:b/>
          <w:bCs/>
        </w:rPr>
        <w:t>36.</w:t>
      </w:r>
      <w:r>
        <w:tab/>
        <w:t xml:space="preserve">Master or registrar of the Supreme Court of Western Australia under the </w:t>
      </w:r>
      <w:r>
        <w:rPr>
          <w:i/>
          <w:iCs/>
        </w:rPr>
        <w:t>Supreme Court Act 1935</w:t>
      </w:r>
    </w:p>
    <w:p>
      <w:pPr>
        <w:pStyle w:val="yNumberedItem"/>
        <w:rPr>
          <w:ins w:id="1361" w:author="Master Repository Process" w:date="2021-07-31T15:17:00Z"/>
        </w:rPr>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yScheduleHeading"/>
      </w:pPr>
      <w:bookmarkStart w:id="1362" w:name="_Toc292195125"/>
      <w:bookmarkStart w:id="1363" w:name="_Toc292195413"/>
      <w:bookmarkStart w:id="1364" w:name="_Toc292198038"/>
      <w:bookmarkStart w:id="1365" w:name="_Toc265852166"/>
      <w:bookmarkStart w:id="1366" w:name="_Toc265852907"/>
      <w:bookmarkStart w:id="1367" w:name="_Toc266086737"/>
      <w:bookmarkStart w:id="1368" w:name="_Toc266088022"/>
      <w:bookmarkStart w:id="1369" w:name="_Toc266199881"/>
      <w:bookmarkStart w:id="1370" w:name="_Toc266279526"/>
      <w:bookmarkStart w:id="1371" w:name="_Toc266289789"/>
      <w:bookmarkStart w:id="1372" w:name="_Toc266345833"/>
      <w:bookmarkStart w:id="1373" w:name="_Toc266371350"/>
      <w:bookmarkStart w:id="1374" w:name="_Toc266430578"/>
      <w:bookmarkStart w:id="1375" w:name="_Toc266434736"/>
      <w:bookmarkStart w:id="1376" w:name="_Toc266435022"/>
      <w:bookmarkStart w:id="1377" w:name="_Toc266435938"/>
      <w:bookmarkStart w:id="1378" w:name="_Toc266436241"/>
      <w:bookmarkStart w:id="1379" w:name="_Toc266436527"/>
      <w:bookmarkStart w:id="1380" w:name="_Toc266436813"/>
      <w:bookmarkStart w:id="1381" w:name="_Toc266608388"/>
      <w:bookmarkStart w:id="1382" w:name="_Toc266609937"/>
      <w:bookmarkStart w:id="1383" w:name="_Toc266613855"/>
      <w:bookmarkStart w:id="1384" w:name="_Toc267054033"/>
      <w:bookmarkStart w:id="1385" w:name="_Toc267054567"/>
      <w:bookmarkStart w:id="1386" w:name="_Toc267054936"/>
      <w:bookmarkStart w:id="1387" w:name="_Toc267055222"/>
      <w:bookmarkStart w:id="1388" w:name="_Toc267055508"/>
      <w:bookmarkStart w:id="1389" w:name="_Toc267383335"/>
      <w:bookmarkStart w:id="1390" w:name="_Toc267388340"/>
      <w:bookmarkStart w:id="1391" w:name="_Toc267388626"/>
      <w:bookmarkStart w:id="1392" w:name="_Toc267388912"/>
      <w:bookmarkStart w:id="1393" w:name="_Toc269375212"/>
      <w:bookmarkStart w:id="1394" w:name="_Toc269375592"/>
      <w:bookmarkStart w:id="1395" w:name="_Toc269386940"/>
      <w:bookmarkStart w:id="1396" w:name="_Toc269387229"/>
      <w:r>
        <w:rPr>
          <w:rStyle w:val="CharSchNo"/>
        </w:rPr>
        <w:t>Schedule 10</w:t>
      </w:r>
      <w:r>
        <w:t> — </w:t>
      </w:r>
      <w:r>
        <w:rPr>
          <w:rStyle w:val="CharSchText"/>
        </w:rPr>
        <w:t>Fees</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pPr>
        <w:pStyle w:val="yShoulderClause"/>
      </w:pPr>
      <w:r>
        <w:t>[r. 42]</w:t>
      </w:r>
    </w:p>
    <w:p>
      <w:pPr>
        <w:pStyle w:val="yHeading5"/>
      </w:pPr>
      <w:bookmarkStart w:id="1397" w:name="_Toc292198039"/>
      <w:bookmarkStart w:id="1398" w:name="_Toc267388913"/>
      <w:bookmarkStart w:id="1399" w:name="_Toc269387230"/>
      <w:r>
        <w:rPr>
          <w:rStyle w:val="CharSClsNo"/>
        </w:rPr>
        <w:t>1</w:t>
      </w:r>
      <w:r>
        <w:t>.</w:t>
      </w:r>
      <w:r>
        <w:tab/>
        <w:t>Fees and late filing fee</w:t>
      </w:r>
      <w:bookmarkEnd w:id="1397"/>
      <w:bookmarkEnd w:id="1398"/>
      <w:bookmarkEnd w:id="1399"/>
    </w:p>
    <w:p>
      <w:pPr>
        <w:pStyle w:val="ySubsection"/>
      </w:pPr>
      <w:r>
        <w:tab/>
        <w:t>(1)</w:t>
      </w:r>
      <w:r>
        <w:tab/>
        <w:t>The fees set out in the Table are payable for the corresponding item in that Table.</w:t>
      </w:r>
    </w:p>
    <w:p>
      <w:pPr>
        <w:pStyle w:val="ySubsection"/>
      </w:pPr>
      <w:r>
        <w:tab/>
        <w:t>(2)</w:t>
      </w:r>
      <w:r>
        <w:tab/>
        <w:t>A fee that is marked with an asterisk may incur an additional fee imposed by the Registrar for late filing of a document required to be filed under the Act.</w:t>
      </w:r>
    </w:p>
    <w:p>
      <w:pPr>
        <w:pStyle w:val="ySubsection"/>
      </w:pPr>
      <w:r>
        <w:tab/>
        <w:t>(3)</w:t>
      </w:r>
      <w:r>
        <w:tab/>
        <w:t xml:space="preserve">The additional fee in subclause (2) is — </w:t>
      </w:r>
    </w:p>
    <w:p>
      <w:pPr>
        <w:pStyle w:val="yIndenta"/>
      </w:pPr>
      <w:r>
        <w:tab/>
        <w:t>(a)</w:t>
      </w:r>
      <w:r>
        <w:tab/>
        <w:t>$68.00 — where the document is filed less than 28 days late;</w:t>
      </w:r>
    </w:p>
    <w:p>
      <w:pPr>
        <w:pStyle w:val="yIndenta"/>
      </w:pPr>
      <w:r>
        <w:tab/>
        <w:t>(b)</w:t>
      </w:r>
      <w:r>
        <w:tab/>
        <w:t>$275.00 — where the filing of the document is 28 days late or longer.</w:t>
      </w:r>
    </w:p>
    <w:p>
      <w:pPr>
        <w:pStyle w:val="yTHeadingNAm"/>
      </w:pPr>
      <w:r>
        <w:t>Table of Fees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763"/>
        <w:gridCol w:w="1228"/>
      </w:tblGrid>
      <w:tr>
        <w:trPr>
          <w:cantSplit/>
          <w:tblHeader/>
        </w:trPr>
        <w:tc>
          <w:tcPr>
            <w:tcW w:w="708" w:type="dxa"/>
          </w:tcPr>
          <w:p>
            <w:pPr>
              <w:pStyle w:val="yTableNAm"/>
              <w:rPr>
                <w:b/>
                <w:bCs/>
              </w:rPr>
            </w:pPr>
            <w:r>
              <w:rPr>
                <w:b/>
                <w:bCs/>
              </w:rPr>
              <w:t>No.</w:t>
            </w:r>
          </w:p>
        </w:tc>
        <w:tc>
          <w:tcPr>
            <w:tcW w:w="4763" w:type="dxa"/>
          </w:tcPr>
          <w:p>
            <w:pPr>
              <w:pStyle w:val="yTableNAm"/>
              <w:rPr>
                <w:b/>
                <w:bCs/>
              </w:rPr>
            </w:pPr>
            <w:r>
              <w:rPr>
                <w:b/>
                <w:bCs/>
                <w:lang w:eastAsia="en-AU"/>
              </w:rPr>
              <w:t>Item giving rise to a fee</w:t>
            </w:r>
          </w:p>
        </w:tc>
        <w:tc>
          <w:tcPr>
            <w:tcW w:w="1228" w:type="dxa"/>
          </w:tcPr>
          <w:p>
            <w:pPr>
              <w:pStyle w:val="yTableNAm"/>
              <w:jc w:val="center"/>
              <w:rPr>
                <w:b/>
                <w:bCs/>
              </w:rPr>
            </w:pPr>
            <w:r>
              <w:rPr>
                <w:b/>
                <w:bCs/>
              </w:rPr>
              <w:t>Fee</w:t>
            </w:r>
          </w:p>
          <w:p>
            <w:pPr>
              <w:pStyle w:val="yTableNAm"/>
              <w:jc w:val="center"/>
            </w:pPr>
            <w:r>
              <w:rPr>
                <w:b/>
                <w:bCs/>
              </w:rPr>
              <w:t>$</w:t>
            </w:r>
          </w:p>
        </w:tc>
      </w:tr>
      <w:tr>
        <w:trPr>
          <w:cantSplit/>
        </w:trPr>
        <w:tc>
          <w:tcPr>
            <w:tcW w:w="708" w:type="dxa"/>
          </w:tcPr>
          <w:p>
            <w:pPr>
              <w:pStyle w:val="yTableNAm"/>
            </w:pPr>
            <w:r>
              <w:t>1</w:t>
            </w:r>
          </w:p>
        </w:tc>
        <w:tc>
          <w:tcPr>
            <w:tcW w:w="4763" w:type="dxa"/>
          </w:tcPr>
          <w:p>
            <w:pPr>
              <w:pStyle w:val="yTableNAm"/>
            </w:pPr>
            <w:r>
              <w:rPr>
                <w:lang w:eastAsia="en-AU"/>
              </w:rPr>
              <w:t>Submission of proposed disclosure statement for approval under sections 16, 146, 186, 251, 252, 255, 300 or 392 of the Act ………………………...</w:t>
            </w:r>
          </w:p>
        </w:tc>
        <w:tc>
          <w:tcPr>
            <w:tcW w:w="1228" w:type="dxa"/>
          </w:tcPr>
          <w:p>
            <w:pPr>
              <w:pStyle w:val="yTableNAm"/>
              <w:tabs>
                <w:tab w:val="clear" w:pos="567"/>
                <w:tab w:val="decimal" w:pos="516"/>
              </w:tabs>
            </w:pPr>
            <w:r>
              <w:br/>
            </w:r>
            <w:r>
              <w:br/>
              <w:t>275.00</w:t>
            </w:r>
          </w:p>
        </w:tc>
      </w:tr>
      <w:tr>
        <w:trPr>
          <w:cantSplit/>
        </w:trPr>
        <w:tc>
          <w:tcPr>
            <w:tcW w:w="708" w:type="dxa"/>
          </w:tcPr>
          <w:p>
            <w:pPr>
              <w:pStyle w:val="yTableNAm"/>
            </w:pPr>
            <w:r>
              <w:t>2</w:t>
            </w:r>
          </w:p>
        </w:tc>
        <w:tc>
          <w:tcPr>
            <w:tcW w:w="4763" w:type="dxa"/>
          </w:tcPr>
          <w:p>
            <w:pPr>
              <w:pStyle w:val="yTableNAm"/>
            </w:pPr>
            <w:r>
              <w:rPr>
                <w:lang w:eastAsia="en-AU"/>
              </w:rPr>
              <w:t>Application for exemption under sections 139 or 296 of the Act ……………………………………..</w:t>
            </w:r>
          </w:p>
        </w:tc>
        <w:tc>
          <w:tcPr>
            <w:tcW w:w="1228" w:type="dxa"/>
          </w:tcPr>
          <w:p>
            <w:pPr>
              <w:pStyle w:val="yTableNAm"/>
              <w:tabs>
                <w:tab w:val="clear" w:pos="567"/>
                <w:tab w:val="decimal" w:pos="516"/>
              </w:tabs>
            </w:pPr>
            <w:r>
              <w:br/>
              <w:t>275.00</w:t>
            </w:r>
          </w:p>
        </w:tc>
      </w:tr>
      <w:tr>
        <w:trPr>
          <w:cantSplit/>
        </w:trPr>
        <w:tc>
          <w:tcPr>
            <w:tcW w:w="708" w:type="dxa"/>
          </w:tcPr>
          <w:p>
            <w:pPr>
              <w:pStyle w:val="yTableNAm"/>
            </w:pPr>
            <w:r>
              <w:t>3</w:t>
            </w:r>
          </w:p>
        </w:tc>
        <w:tc>
          <w:tcPr>
            <w:tcW w:w="4763" w:type="dxa"/>
          </w:tcPr>
          <w:p>
            <w:pPr>
              <w:pStyle w:val="yTableNAm"/>
            </w:pPr>
            <w:r>
              <w:t>Submission of proposed rules for approval under section 17 of the Act ………………………………</w:t>
            </w:r>
          </w:p>
        </w:tc>
        <w:tc>
          <w:tcPr>
            <w:tcW w:w="1228" w:type="dxa"/>
          </w:tcPr>
          <w:p>
            <w:pPr>
              <w:pStyle w:val="yTableNAm"/>
              <w:tabs>
                <w:tab w:val="clear" w:pos="567"/>
                <w:tab w:val="decimal" w:pos="516"/>
              </w:tabs>
            </w:pPr>
            <w:r>
              <w:br/>
              <w:t>135.00</w:t>
            </w:r>
          </w:p>
        </w:tc>
      </w:tr>
      <w:tr>
        <w:trPr>
          <w:cantSplit/>
        </w:trPr>
        <w:tc>
          <w:tcPr>
            <w:tcW w:w="708" w:type="dxa"/>
          </w:tcPr>
          <w:p>
            <w:pPr>
              <w:pStyle w:val="yTableNAm"/>
            </w:pPr>
            <w:r>
              <w:t>4</w:t>
            </w:r>
          </w:p>
        </w:tc>
        <w:tc>
          <w:tcPr>
            <w:tcW w:w="4763" w:type="dxa"/>
          </w:tcPr>
          <w:p>
            <w:pPr>
              <w:pStyle w:val="yTableNAm"/>
            </w:pPr>
            <w:r>
              <w:rPr>
                <w:lang w:eastAsia="en-AU"/>
              </w:rPr>
              <w:t>Decision on registration applications under sections 18, 23, 182 or 448 of the Act …………….</w:t>
            </w:r>
          </w:p>
        </w:tc>
        <w:tc>
          <w:tcPr>
            <w:tcW w:w="1228" w:type="dxa"/>
          </w:tcPr>
          <w:p>
            <w:pPr>
              <w:pStyle w:val="yTableNAm"/>
              <w:tabs>
                <w:tab w:val="clear" w:pos="567"/>
                <w:tab w:val="decimal" w:pos="516"/>
              </w:tabs>
            </w:pPr>
            <w:r>
              <w:br/>
              <w:t>135.00</w:t>
            </w:r>
          </w:p>
        </w:tc>
      </w:tr>
      <w:tr>
        <w:trPr>
          <w:cantSplit/>
        </w:trPr>
        <w:tc>
          <w:tcPr>
            <w:tcW w:w="708" w:type="dxa"/>
          </w:tcPr>
          <w:p>
            <w:pPr>
              <w:pStyle w:val="yTableNAm"/>
            </w:pPr>
            <w:r>
              <w:t>5</w:t>
            </w:r>
          </w:p>
        </w:tc>
        <w:tc>
          <w:tcPr>
            <w:tcW w:w="4763" w:type="dxa"/>
          </w:tcPr>
          <w:p>
            <w:pPr>
              <w:pStyle w:val="yTableNAm"/>
              <w:rPr>
                <w:lang w:eastAsia="en-AU"/>
              </w:rPr>
            </w:pPr>
            <w:r>
              <w:rPr>
                <w:lang w:eastAsia="en-AU"/>
              </w:rPr>
              <w:t>Duplicate certificate issued under section 34 of the Act ………………………………………………...</w:t>
            </w:r>
          </w:p>
        </w:tc>
        <w:tc>
          <w:tcPr>
            <w:tcW w:w="1228" w:type="dxa"/>
          </w:tcPr>
          <w:p>
            <w:pPr>
              <w:pStyle w:val="yTableNAm"/>
              <w:tabs>
                <w:tab w:val="clear" w:pos="567"/>
                <w:tab w:val="decimal" w:pos="516"/>
              </w:tabs>
            </w:pPr>
            <w:r>
              <w:br/>
              <w:t>34.00</w:t>
            </w:r>
          </w:p>
        </w:tc>
      </w:tr>
      <w:tr>
        <w:trPr>
          <w:cantSplit/>
        </w:trPr>
        <w:tc>
          <w:tcPr>
            <w:tcW w:w="708" w:type="dxa"/>
          </w:tcPr>
          <w:p>
            <w:pPr>
              <w:pStyle w:val="yTableNAm"/>
            </w:pPr>
            <w:r>
              <w:t>6</w:t>
            </w:r>
          </w:p>
        </w:tc>
        <w:tc>
          <w:tcPr>
            <w:tcW w:w="4763" w:type="dxa"/>
          </w:tcPr>
          <w:p>
            <w:pPr>
              <w:pStyle w:val="yTableNAm"/>
              <w:rPr>
                <w:lang w:eastAsia="en-AU"/>
              </w:rPr>
            </w:pPr>
            <w:r>
              <w:rPr>
                <w:lang w:eastAsia="en-AU"/>
              </w:rPr>
              <w:t xml:space="preserve">Uncertified copy of rules under section 99(2) or an uncertified extract or copy of a document under section 457 of the Act — </w:t>
            </w:r>
          </w:p>
          <w:p>
            <w:pPr>
              <w:pStyle w:val="yTableNAm"/>
              <w:tabs>
                <w:tab w:val="clear" w:pos="567"/>
                <w:tab w:val="left" w:pos="743"/>
              </w:tabs>
              <w:ind w:left="318"/>
              <w:rPr>
                <w:lang w:eastAsia="en-AU"/>
              </w:rPr>
            </w:pPr>
            <w:r>
              <w:rPr>
                <w:lang w:eastAsia="en-AU"/>
              </w:rPr>
              <w:t>(a)</w:t>
            </w:r>
            <w:r>
              <w:rPr>
                <w:lang w:eastAsia="en-AU"/>
              </w:rPr>
              <w:tab/>
              <w:t>for the first page ………………………….</w:t>
            </w:r>
          </w:p>
          <w:p>
            <w:pPr>
              <w:pStyle w:val="yTableNAm"/>
              <w:tabs>
                <w:tab w:val="left" w:pos="743"/>
              </w:tabs>
              <w:ind w:left="318"/>
              <w:rPr>
                <w:lang w:eastAsia="en-AU"/>
              </w:rPr>
            </w:pPr>
            <w:r>
              <w:rPr>
                <w:lang w:eastAsia="en-AU"/>
              </w:rPr>
              <w:t>(b)</w:t>
            </w:r>
            <w:r>
              <w:rPr>
                <w:lang w:eastAsia="en-AU"/>
              </w:rPr>
              <w:tab/>
              <w:t>for each additional page ………………….</w:t>
            </w:r>
          </w:p>
          <w:p>
            <w:pPr>
              <w:pStyle w:val="yTableNAm"/>
              <w:rPr>
                <w:lang w:eastAsia="en-AU"/>
              </w:rPr>
            </w:pPr>
            <w:r>
              <w:rPr>
                <w:lang w:eastAsia="en-AU"/>
              </w:rPr>
              <w:t>up to a maximum of $86.60.</w:t>
            </w:r>
          </w:p>
        </w:tc>
        <w:tc>
          <w:tcPr>
            <w:tcW w:w="1228" w:type="dxa"/>
          </w:tcPr>
          <w:p>
            <w:pPr>
              <w:pStyle w:val="yTableNAm"/>
              <w:tabs>
                <w:tab w:val="clear" w:pos="567"/>
                <w:tab w:val="decimal" w:pos="516"/>
              </w:tabs>
            </w:pPr>
            <w:r>
              <w:br/>
            </w:r>
            <w:r>
              <w:br/>
            </w:r>
          </w:p>
          <w:p>
            <w:pPr>
              <w:pStyle w:val="yTableNAm"/>
              <w:tabs>
                <w:tab w:val="clear" w:pos="567"/>
                <w:tab w:val="decimal" w:pos="516"/>
              </w:tabs>
            </w:pPr>
            <w:r>
              <w:t>11.60</w:t>
            </w:r>
          </w:p>
          <w:p>
            <w:pPr>
              <w:pStyle w:val="yTableNAm"/>
              <w:tabs>
                <w:tab w:val="clear" w:pos="567"/>
                <w:tab w:val="decimal" w:pos="516"/>
              </w:tabs>
            </w:pPr>
            <w:r>
              <w:t>1.50</w:t>
            </w:r>
          </w:p>
          <w:p>
            <w:pPr>
              <w:pStyle w:val="yTableNAm"/>
              <w:tabs>
                <w:tab w:val="clear" w:pos="567"/>
                <w:tab w:val="decimal" w:pos="516"/>
              </w:tabs>
            </w:pPr>
          </w:p>
        </w:tc>
      </w:tr>
      <w:tr>
        <w:trPr>
          <w:cantSplit/>
        </w:trPr>
        <w:tc>
          <w:tcPr>
            <w:tcW w:w="708" w:type="dxa"/>
          </w:tcPr>
          <w:p>
            <w:pPr>
              <w:pStyle w:val="yTableNAm"/>
            </w:pPr>
            <w:r>
              <w:t>7</w:t>
            </w:r>
          </w:p>
        </w:tc>
        <w:tc>
          <w:tcPr>
            <w:tcW w:w="4763" w:type="dxa"/>
          </w:tcPr>
          <w:p>
            <w:pPr>
              <w:pStyle w:val="yTableNAm"/>
              <w:rPr>
                <w:lang w:eastAsia="en-AU"/>
              </w:rPr>
            </w:pPr>
            <w:r>
              <w:rPr>
                <w:lang w:eastAsia="en-AU"/>
              </w:rPr>
              <w:t>Submission of proposed alteration of rules for approval under section 103 of the Act—</w:t>
            </w:r>
          </w:p>
          <w:p>
            <w:pPr>
              <w:pStyle w:val="yTableNAm"/>
              <w:tabs>
                <w:tab w:val="left" w:pos="743"/>
              </w:tabs>
              <w:ind w:left="318"/>
              <w:rPr>
                <w:lang w:eastAsia="en-AU"/>
              </w:rPr>
            </w:pPr>
            <w:r>
              <w:rPr>
                <w:lang w:eastAsia="en-AU"/>
              </w:rPr>
              <w:t>(a)</w:t>
            </w:r>
            <w:r>
              <w:rPr>
                <w:lang w:eastAsia="en-AU"/>
              </w:rPr>
              <w:tab/>
            </w:r>
            <w:r>
              <w:rPr>
                <w:lang w:eastAsia="en-AU"/>
              </w:rPr>
              <w:tab/>
              <w:t>for each rule to be altered ………………...</w:t>
            </w:r>
          </w:p>
          <w:p>
            <w:pPr>
              <w:pStyle w:val="yTableNAm"/>
              <w:tabs>
                <w:tab w:val="left" w:pos="743"/>
              </w:tabs>
              <w:ind w:left="318"/>
              <w:rPr>
                <w:lang w:eastAsia="en-AU"/>
              </w:rPr>
            </w:pPr>
            <w:r>
              <w:rPr>
                <w:lang w:eastAsia="en-AU"/>
              </w:rPr>
              <w:t>(b)</w:t>
            </w:r>
            <w:r>
              <w:rPr>
                <w:lang w:eastAsia="en-AU"/>
              </w:rPr>
              <w:tab/>
              <w:t>maximum fee ……………………………..</w:t>
            </w:r>
          </w:p>
        </w:tc>
        <w:tc>
          <w:tcPr>
            <w:tcW w:w="1228" w:type="dxa"/>
          </w:tcPr>
          <w:p>
            <w:pPr>
              <w:pStyle w:val="yTableNAm"/>
              <w:tabs>
                <w:tab w:val="clear" w:pos="567"/>
                <w:tab w:val="decimal" w:pos="516"/>
              </w:tabs>
            </w:pPr>
            <w:r>
              <w:br/>
            </w:r>
          </w:p>
          <w:p>
            <w:pPr>
              <w:pStyle w:val="yTableNAm"/>
              <w:tabs>
                <w:tab w:val="clear" w:pos="567"/>
                <w:tab w:val="decimal" w:pos="516"/>
              </w:tabs>
            </w:pPr>
            <w:r>
              <w:t>13.50</w:t>
            </w:r>
          </w:p>
          <w:p>
            <w:pPr>
              <w:pStyle w:val="yTableNAm"/>
              <w:tabs>
                <w:tab w:val="clear" w:pos="567"/>
                <w:tab w:val="decimal" w:pos="516"/>
              </w:tabs>
            </w:pPr>
            <w:r>
              <w:t>135.00</w:t>
            </w:r>
          </w:p>
        </w:tc>
      </w:tr>
      <w:tr>
        <w:trPr>
          <w:cantSplit/>
        </w:trPr>
        <w:tc>
          <w:tcPr>
            <w:tcW w:w="708" w:type="dxa"/>
          </w:tcPr>
          <w:p>
            <w:pPr>
              <w:pStyle w:val="yTableNAm"/>
            </w:pPr>
            <w:r>
              <w:t>8</w:t>
            </w:r>
          </w:p>
        </w:tc>
        <w:tc>
          <w:tcPr>
            <w:tcW w:w="4763" w:type="dxa"/>
          </w:tcPr>
          <w:p>
            <w:pPr>
              <w:pStyle w:val="yTableNAm"/>
              <w:rPr>
                <w:lang w:eastAsia="en-AU"/>
              </w:rPr>
            </w:pPr>
            <w:r>
              <w:rPr>
                <w:lang w:eastAsia="en-AU"/>
              </w:rPr>
              <w:t>Application for registration of alteration of rules under section 106 of the Act ………………………</w:t>
            </w:r>
          </w:p>
        </w:tc>
        <w:tc>
          <w:tcPr>
            <w:tcW w:w="1228" w:type="dxa"/>
          </w:tcPr>
          <w:p>
            <w:pPr>
              <w:pStyle w:val="yTableNAm"/>
              <w:tabs>
                <w:tab w:val="clear" w:pos="567"/>
                <w:tab w:val="decimal" w:pos="516"/>
              </w:tabs>
            </w:pPr>
            <w:r>
              <w:br/>
              <w:t>34.00</w:t>
            </w:r>
          </w:p>
        </w:tc>
      </w:tr>
      <w:tr>
        <w:trPr>
          <w:cantSplit/>
        </w:trPr>
        <w:tc>
          <w:tcPr>
            <w:tcW w:w="708" w:type="dxa"/>
          </w:tcPr>
          <w:p>
            <w:pPr>
              <w:pStyle w:val="yTableNAm"/>
            </w:pPr>
            <w:r>
              <w:t>9</w:t>
            </w:r>
          </w:p>
        </w:tc>
        <w:tc>
          <w:tcPr>
            <w:tcW w:w="4763" w:type="dxa"/>
          </w:tcPr>
          <w:p>
            <w:pPr>
              <w:pStyle w:val="yTableNAm"/>
              <w:rPr>
                <w:lang w:eastAsia="en-AU"/>
              </w:rPr>
            </w:pPr>
            <w:r>
              <w:rPr>
                <w:lang w:eastAsia="en-AU"/>
              </w:rPr>
              <w:t>Review of right of member to vote under section</w:t>
            </w:r>
            <w:r>
              <w:t> </w:t>
            </w:r>
            <w:r>
              <w:rPr>
                <w:lang w:eastAsia="en-AU"/>
              </w:rPr>
              <w:t>171 ………………………………………...</w:t>
            </w:r>
          </w:p>
        </w:tc>
        <w:tc>
          <w:tcPr>
            <w:tcW w:w="1228" w:type="dxa"/>
          </w:tcPr>
          <w:p>
            <w:pPr>
              <w:pStyle w:val="yTableNAm"/>
              <w:tabs>
                <w:tab w:val="clear" w:pos="567"/>
                <w:tab w:val="decimal" w:pos="516"/>
              </w:tabs>
            </w:pPr>
            <w:r>
              <w:br/>
              <w:t>135.00</w:t>
            </w:r>
          </w:p>
        </w:tc>
      </w:tr>
      <w:tr>
        <w:trPr>
          <w:cantSplit/>
        </w:trPr>
        <w:tc>
          <w:tcPr>
            <w:tcW w:w="708" w:type="dxa"/>
          </w:tcPr>
          <w:p>
            <w:pPr>
              <w:pStyle w:val="yTableNAm"/>
            </w:pPr>
            <w:r>
              <w:t>10</w:t>
            </w:r>
          </w:p>
        </w:tc>
        <w:tc>
          <w:tcPr>
            <w:tcW w:w="4763" w:type="dxa"/>
          </w:tcPr>
          <w:p>
            <w:pPr>
              <w:pStyle w:val="yTableNAm"/>
              <w:rPr>
                <w:lang w:eastAsia="en-AU"/>
              </w:rPr>
            </w:pPr>
            <w:r>
              <w:rPr>
                <w:lang w:eastAsia="en-AU"/>
              </w:rPr>
              <w:t>Filing fee for lodgment of special resolution under section 181 ………………………………………...</w:t>
            </w:r>
          </w:p>
        </w:tc>
        <w:tc>
          <w:tcPr>
            <w:tcW w:w="1228" w:type="dxa"/>
          </w:tcPr>
          <w:p>
            <w:pPr>
              <w:pStyle w:val="yTableNAm"/>
              <w:tabs>
                <w:tab w:val="clear" w:pos="567"/>
                <w:tab w:val="decimal" w:pos="516"/>
              </w:tabs>
            </w:pPr>
            <w:r>
              <w:br/>
              <w:t>34.00</w:t>
            </w:r>
          </w:p>
        </w:tc>
      </w:tr>
      <w:tr>
        <w:trPr>
          <w:cantSplit/>
        </w:trPr>
        <w:tc>
          <w:tcPr>
            <w:tcW w:w="708" w:type="dxa"/>
          </w:tcPr>
          <w:p>
            <w:pPr>
              <w:pStyle w:val="yTableNAm"/>
            </w:pPr>
            <w:r>
              <w:t>11</w:t>
            </w:r>
          </w:p>
        </w:tc>
        <w:tc>
          <w:tcPr>
            <w:tcW w:w="4763" w:type="dxa"/>
          </w:tcPr>
          <w:p>
            <w:pPr>
              <w:pStyle w:val="yTableNAm"/>
              <w:rPr>
                <w:lang w:eastAsia="en-AU"/>
              </w:rPr>
            </w:pPr>
            <w:r>
              <w:rPr>
                <w:lang w:eastAsia="en-AU"/>
              </w:rPr>
              <w:t xml:space="preserve">Application under section 231(1)(d) of the Act to keep register at an office approved by </w:t>
            </w:r>
            <w:r>
              <w:rPr>
                <w:lang w:eastAsia="en-AU"/>
              </w:rPr>
              <w:br/>
              <w:t>the Registrar ……………………………………….</w:t>
            </w:r>
          </w:p>
        </w:tc>
        <w:tc>
          <w:tcPr>
            <w:tcW w:w="1228" w:type="dxa"/>
          </w:tcPr>
          <w:p>
            <w:pPr>
              <w:pStyle w:val="yTableNAm"/>
              <w:tabs>
                <w:tab w:val="clear" w:pos="567"/>
                <w:tab w:val="decimal" w:pos="516"/>
              </w:tabs>
            </w:pPr>
            <w:r>
              <w:br/>
            </w:r>
            <w:r>
              <w:br/>
              <w:t>34.00</w:t>
            </w:r>
          </w:p>
        </w:tc>
      </w:tr>
      <w:tr>
        <w:trPr>
          <w:cantSplit/>
        </w:trPr>
        <w:tc>
          <w:tcPr>
            <w:tcW w:w="708" w:type="dxa"/>
          </w:tcPr>
          <w:p>
            <w:pPr>
              <w:pStyle w:val="yTableNAm"/>
            </w:pPr>
            <w:r>
              <w:t>12</w:t>
            </w:r>
          </w:p>
        </w:tc>
        <w:tc>
          <w:tcPr>
            <w:tcW w:w="4763" w:type="dxa"/>
          </w:tcPr>
          <w:p>
            <w:pPr>
              <w:pStyle w:val="yTableNAm"/>
              <w:rPr>
                <w:lang w:eastAsia="en-AU"/>
              </w:rPr>
            </w:pPr>
            <w:r>
              <w:rPr>
                <w:lang w:eastAsia="en-AU"/>
              </w:rPr>
              <w:t>Giving notice of appointment or cessation of appointment of a person as director, chief executive officer or secretary under section 234 of the Act ……………………………………………..</w:t>
            </w:r>
          </w:p>
        </w:tc>
        <w:tc>
          <w:tcPr>
            <w:tcW w:w="1228" w:type="dxa"/>
          </w:tcPr>
          <w:p>
            <w:pPr>
              <w:pStyle w:val="yTableNAm"/>
              <w:tabs>
                <w:tab w:val="clear" w:pos="567"/>
                <w:tab w:val="decimal" w:pos="516"/>
              </w:tabs>
            </w:pPr>
            <w:r>
              <w:br/>
            </w:r>
            <w:r>
              <w:br/>
            </w:r>
            <w:r>
              <w:br/>
              <w:t>Nil*</w:t>
            </w:r>
          </w:p>
        </w:tc>
      </w:tr>
      <w:tr>
        <w:trPr>
          <w:cantSplit/>
        </w:trPr>
        <w:tc>
          <w:tcPr>
            <w:tcW w:w="708" w:type="dxa"/>
          </w:tcPr>
          <w:p>
            <w:pPr>
              <w:pStyle w:val="yTableNAm"/>
            </w:pPr>
            <w:r>
              <w:t>13</w:t>
            </w:r>
          </w:p>
        </w:tc>
        <w:tc>
          <w:tcPr>
            <w:tcW w:w="4763" w:type="dxa"/>
          </w:tcPr>
          <w:p>
            <w:pPr>
              <w:pStyle w:val="yTableNAm"/>
              <w:rPr>
                <w:lang w:eastAsia="en-AU"/>
              </w:rPr>
            </w:pPr>
            <w:r>
              <w:rPr>
                <w:lang w:eastAsia="en-AU"/>
              </w:rPr>
              <w:t>Filing annual report under section 235 of the Act ...</w:t>
            </w:r>
          </w:p>
        </w:tc>
        <w:tc>
          <w:tcPr>
            <w:tcW w:w="1228" w:type="dxa"/>
          </w:tcPr>
          <w:p>
            <w:pPr>
              <w:pStyle w:val="yTableNAm"/>
              <w:tabs>
                <w:tab w:val="clear" w:pos="567"/>
                <w:tab w:val="decimal" w:pos="516"/>
              </w:tabs>
            </w:pPr>
            <w:r>
              <w:t>34.00*</w:t>
            </w:r>
          </w:p>
        </w:tc>
      </w:tr>
      <w:tr>
        <w:trPr>
          <w:cantSplit/>
        </w:trPr>
        <w:tc>
          <w:tcPr>
            <w:tcW w:w="708" w:type="dxa"/>
          </w:tcPr>
          <w:p>
            <w:pPr>
              <w:pStyle w:val="yTableNAm"/>
            </w:pPr>
            <w:r>
              <w:t>14</w:t>
            </w:r>
          </w:p>
        </w:tc>
        <w:tc>
          <w:tcPr>
            <w:tcW w:w="4763" w:type="dxa"/>
          </w:tcPr>
          <w:p>
            <w:pPr>
              <w:pStyle w:val="yTableNAm"/>
              <w:rPr>
                <w:lang w:eastAsia="en-AU"/>
              </w:rPr>
            </w:pPr>
            <w:r>
              <w:rPr>
                <w:lang w:eastAsia="en-AU"/>
              </w:rPr>
              <w:t>Approval of the registration of a name as mentioned in section 238(4) of the Act …………...</w:t>
            </w:r>
          </w:p>
        </w:tc>
        <w:tc>
          <w:tcPr>
            <w:tcW w:w="1228" w:type="dxa"/>
          </w:tcPr>
          <w:p>
            <w:pPr>
              <w:pStyle w:val="yTableNAm"/>
              <w:tabs>
                <w:tab w:val="clear" w:pos="567"/>
                <w:tab w:val="decimal" w:pos="516"/>
              </w:tabs>
            </w:pPr>
            <w:r>
              <w:br/>
              <w:t>70.00</w:t>
            </w:r>
          </w:p>
        </w:tc>
      </w:tr>
      <w:tr>
        <w:trPr>
          <w:cantSplit/>
        </w:trPr>
        <w:tc>
          <w:tcPr>
            <w:tcW w:w="708" w:type="dxa"/>
          </w:tcPr>
          <w:p>
            <w:pPr>
              <w:pStyle w:val="yTableNAm"/>
            </w:pPr>
            <w:r>
              <w:t>15</w:t>
            </w:r>
          </w:p>
        </w:tc>
        <w:tc>
          <w:tcPr>
            <w:tcW w:w="4763" w:type="dxa"/>
          </w:tcPr>
          <w:p>
            <w:pPr>
              <w:pStyle w:val="yTableNAm"/>
              <w:rPr>
                <w:lang w:eastAsia="en-AU"/>
              </w:rPr>
            </w:pPr>
            <w:r>
              <w:rPr>
                <w:lang w:eastAsia="en-AU"/>
              </w:rPr>
              <w:t>Providing written notice of a new address under section 243(3) ……………………………………..</w:t>
            </w:r>
          </w:p>
        </w:tc>
        <w:tc>
          <w:tcPr>
            <w:tcW w:w="1228" w:type="dxa"/>
          </w:tcPr>
          <w:p>
            <w:pPr>
              <w:pStyle w:val="yTableNAm"/>
              <w:tabs>
                <w:tab w:val="clear" w:pos="567"/>
                <w:tab w:val="decimal" w:pos="516"/>
              </w:tabs>
            </w:pPr>
            <w:r>
              <w:br/>
              <w:t>Nil*</w:t>
            </w:r>
          </w:p>
        </w:tc>
      </w:tr>
      <w:tr>
        <w:trPr>
          <w:cantSplit/>
        </w:trPr>
        <w:tc>
          <w:tcPr>
            <w:tcW w:w="708" w:type="dxa"/>
          </w:tcPr>
          <w:p>
            <w:pPr>
              <w:pStyle w:val="yTableNAm"/>
            </w:pPr>
            <w:r>
              <w:t>16</w:t>
            </w:r>
          </w:p>
        </w:tc>
        <w:tc>
          <w:tcPr>
            <w:tcW w:w="4763" w:type="dxa"/>
          </w:tcPr>
          <w:p>
            <w:pPr>
              <w:pStyle w:val="yTableNAm"/>
              <w:rPr>
                <w:lang w:eastAsia="en-AU"/>
              </w:rPr>
            </w:pPr>
            <w:r>
              <w:rPr>
                <w:lang w:eastAsia="en-AU"/>
              </w:rPr>
              <w:t>Registrar’s statement of maximum permissible level of share interest as mentioned in section</w:t>
            </w:r>
            <w:r>
              <w:t> </w:t>
            </w:r>
            <w:r>
              <w:rPr>
                <w:lang w:eastAsia="en-AU"/>
              </w:rPr>
              <w:t>278(2) of the Act ………………………….</w:t>
            </w:r>
          </w:p>
        </w:tc>
        <w:tc>
          <w:tcPr>
            <w:tcW w:w="1228" w:type="dxa"/>
          </w:tcPr>
          <w:p>
            <w:pPr>
              <w:pStyle w:val="yTableNAm"/>
              <w:tabs>
                <w:tab w:val="clear" w:pos="567"/>
                <w:tab w:val="decimal" w:pos="516"/>
              </w:tabs>
            </w:pPr>
            <w:r>
              <w:br/>
            </w:r>
            <w:r>
              <w:br/>
              <w:t>275.00</w:t>
            </w:r>
          </w:p>
        </w:tc>
      </w:tr>
      <w:tr>
        <w:trPr>
          <w:cantSplit/>
        </w:trPr>
        <w:tc>
          <w:tcPr>
            <w:tcW w:w="708" w:type="dxa"/>
          </w:tcPr>
          <w:p>
            <w:pPr>
              <w:pStyle w:val="yTableNAm"/>
            </w:pPr>
            <w:r>
              <w:t>17</w:t>
            </w:r>
          </w:p>
        </w:tc>
        <w:tc>
          <w:tcPr>
            <w:tcW w:w="4763" w:type="dxa"/>
          </w:tcPr>
          <w:p>
            <w:pPr>
              <w:pStyle w:val="yTableNAm"/>
              <w:rPr>
                <w:lang w:eastAsia="en-AU"/>
              </w:rPr>
            </w:pPr>
            <w:r>
              <w:rPr>
                <w:lang w:eastAsia="en-AU"/>
              </w:rPr>
              <w:t>Approval of resolution by the Registrar as mentioned in section 278(5) of the Act …………...</w:t>
            </w:r>
          </w:p>
        </w:tc>
        <w:tc>
          <w:tcPr>
            <w:tcW w:w="1228" w:type="dxa"/>
          </w:tcPr>
          <w:p>
            <w:pPr>
              <w:pStyle w:val="yTableNAm"/>
              <w:tabs>
                <w:tab w:val="clear" w:pos="567"/>
                <w:tab w:val="decimal" w:pos="516"/>
              </w:tabs>
            </w:pPr>
            <w:r>
              <w:br/>
              <w:t>135.00</w:t>
            </w:r>
          </w:p>
        </w:tc>
      </w:tr>
      <w:tr>
        <w:trPr>
          <w:cantSplit/>
        </w:trPr>
        <w:tc>
          <w:tcPr>
            <w:tcW w:w="708" w:type="dxa"/>
          </w:tcPr>
          <w:p>
            <w:pPr>
              <w:pStyle w:val="yTableNAm"/>
            </w:pPr>
            <w:r>
              <w:t>18</w:t>
            </w:r>
          </w:p>
        </w:tc>
        <w:tc>
          <w:tcPr>
            <w:tcW w:w="4763" w:type="dxa"/>
          </w:tcPr>
          <w:p>
            <w:pPr>
              <w:pStyle w:val="yTableNAm"/>
              <w:rPr>
                <w:lang w:eastAsia="en-AU"/>
              </w:rPr>
            </w:pPr>
            <w:r>
              <w:rPr>
                <w:lang w:eastAsia="en-AU"/>
              </w:rPr>
              <w:t>Application for extension of time as mentioned in section 292(5) of the Act ………………………….</w:t>
            </w:r>
          </w:p>
        </w:tc>
        <w:tc>
          <w:tcPr>
            <w:tcW w:w="1228" w:type="dxa"/>
          </w:tcPr>
          <w:p>
            <w:pPr>
              <w:pStyle w:val="yTableNAm"/>
              <w:tabs>
                <w:tab w:val="clear" w:pos="567"/>
                <w:tab w:val="decimal" w:pos="516"/>
              </w:tabs>
            </w:pPr>
            <w:r>
              <w:br/>
              <w:t>68.00</w:t>
            </w:r>
          </w:p>
        </w:tc>
      </w:tr>
      <w:tr>
        <w:trPr>
          <w:cantSplit/>
        </w:trPr>
        <w:tc>
          <w:tcPr>
            <w:tcW w:w="708" w:type="dxa"/>
          </w:tcPr>
          <w:p>
            <w:pPr>
              <w:pStyle w:val="yTableNAm"/>
            </w:pPr>
            <w:r>
              <w:t>19</w:t>
            </w:r>
          </w:p>
        </w:tc>
        <w:tc>
          <w:tcPr>
            <w:tcW w:w="4763" w:type="dxa"/>
          </w:tcPr>
          <w:p>
            <w:pPr>
              <w:pStyle w:val="yTableNAm"/>
              <w:rPr>
                <w:lang w:eastAsia="en-AU"/>
              </w:rPr>
            </w:pPr>
            <w:r>
              <w:rPr>
                <w:lang w:eastAsia="en-AU"/>
              </w:rPr>
              <w:t>Application for Registrar’s consent as mentioned in sections 299(2) or 391(3) of the Act or Schedule 7 clause 3(5) to these regulations …………………...</w:t>
            </w:r>
          </w:p>
        </w:tc>
        <w:tc>
          <w:tcPr>
            <w:tcW w:w="1228" w:type="dxa"/>
          </w:tcPr>
          <w:p>
            <w:pPr>
              <w:pStyle w:val="yTableNAm"/>
              <w:tabs>
                <w:tab w:val="clear" w:pos="567"/>
                <w:tab w:val="decimal" w:pos="516"/>
              </w:tabs>
            </w:pPr>
            <w:r>
              <w:br/>
            </w:r>
            <w:r>
              <w:br/>
              <w:t>70.00</w:t>
            </w:r>
          </w:p>
        </w:tc>
      </w:tr>
      <w:tr>
        <w:trPr>
          <w:cantSplit/>
        </w:trPr>
        <w:tc>
          <w:tcPr>
            <w:tcW w:w="708" w:type="dxa"/>
          </w:tcPr>
          <w:p>
            <w:pPr>
              <w:pStyle w:val="yTableNAm"/>
            </w:pPr>
            <w:r>
              <w:t>20</w:t>
            </w:r>
          </w:p>
        </w:tc>
        <w:tc>
          <w:tcPr>
            <w:tcW w:w="4763" w:type="dxa"/>
          </w:tcPr>
          <w:p>
            <w:pPr>
              <w:pStyle w:val="yTableNAm"/>
              <w:rPr>
                <w:lang w:eastAsia="en-AU"/>
              </w:rPr>
            </w:pPr>
            <w:r>
              <w:rPr>
                <w:lang w:eastAsia="en-AU"/>
              </w:rPr>
              <w:t>Application for approval of a merger or transfer of engagement under section 302, 303, 394 or 395 of the Act ……………………………………………..</w:t>
            </w:r>
          </w:p>
        </w:tc>
        <w:tc>
          <w:tcPr>
            <w:tcW w:w="1228" w:type="dxa"/>
          </w:tcPr>
          <w:p>
            <w:pPr>
              <w:pStyle w:val="yTableNAm"/>
              <w:tabs>
                <w:tab w:val="clear" w:pos="567"/>
                <w:tab w:val="decimal" w:pos="516"/>
              </w:tabs>
            </w:pPr>
            <w:r>
              <w:br/>
            </w:r>
            <w:r>
              <w:br/>
              <w:t>275.00</w:t>
            </w:r>
          </w:p>
        </w:tc>
      </w:tr>
      <w:tr>
        <w:trPr>
          <w:cantSplit/>
        </w:trPr>
        <w:tc>
          <w:tcPr>
            <w:tcW w:w="708" w:type="dxa"/>
          </w:tcPr>
          <w:p>
            <w:pPr>
              <w:pStyle w:val="yTableNAm"/>
            </w:pPr>
            <w:r>
              <w:t>21</w:t>
            </w:r>
          </w:p>
        </w:tc>
        <w:tc>
          <w:tcPr>
            <w:tcW w:w="4763" w:type="dxa"/>
          </w:tcPr>
          <w:p>
            <w:pPr>
              <w:pStyle w:val="yTableNAm"/>
              <w:rPr>
                <w:lang w:eastAsia="en-AU"/>
              </w:rPr>
            </w:pPr>
            <w:r>
              <w:rPr>
                <w:lang w:eastAsia="en-AU"/>
              </w:rPr>
              <w:t>Approval of an explanatory statement under section 350(1) of the Act ………………………….</w:t>
            </w:r>
          </w:p>
        </w:tc>
        <w:tc>
          <w:tcPr>
            <w:tcW w:w="1228" w:type="dxa"/>
          </w:tcPr>
          <w:p>
            <w:pPr>
              <w:pStyle w:val="yTableNAm"/>
              <w:tabs>
                <w:tab w:val="clear" w:pos="567"/>
                <w:tab w:val="decimal" w:pos="516"/>
              </w:tabs>
            </w:pPr>
            <w:r>
              <w:br/>
              <w:t>675.00</w:t>
            </w:r>
          </w:p>
        </w:tc>
      </w:tr>
      <w:tr>
        <w:trPr>
          <w:cantSplit/>
        </w:trPr>
        <w:tc>
          <w:tcPr>
            <w:tcW w:w="708" w:type="dxa"/>
          </w:tcPr>
          <w:p>
            <w:pPr>
              <w:pStyle w:val="yTableNAm"/>
            </w:pPr>
            <w:r>
              <w:t>22</w:t>
            </w:r>
          </w:p>
        </w:tc>
        <w:tc>
          <w:tcPr>
            <w:tcW w:w="4763" w:type="dxa"/>
          </w:tcPr>
          <w:p>
            <w:pPr>
              <w:pStyle w:val="yTableNAm"/>
              <w:rPr>
                <w:lang w:eastAsia="en-AU"/>
              </w:rPr>
            </w:pPr>
            <w:r>
              <w:rPr>
                <w:lang w:eastAsia="en-AU"/>
              </w:rPr>
              <w:t>Filing office copy of order under section 352(5) of the Act ……………………………………………..</w:t>
            </w:r>
          </w:p>
        </w:tc>
        <w:tc>
          <w:tcPr>
            <w:tcW w:w="1228" w:type="dxa"/>
          </w:tcPr>
          <w:p>
            <w:pPr>
              <w:pStyle w:val="yTableNAm"/>
              <w:tabs>
                <w:tab w:val="clear" w:pos="567"/>
                <w:tab w:val="decimal" w:pos="516"/>
              </w:tabs>
            </w:pPr>
            <w:r>
              <w:br/>
              <w:t>Nil*</w:t>
            </w:r>
          </w:p>
        </w:tc>
      </w:tr>
      <w:tr>
        <w:trPr>
          <w:cantSplit/>
        </w:trPr>
        <w:tc>
          <w:tcPr>
            <w:tcW w:w="708" w:type="dxa"/>
          </w:tcPr>
          <w:p>
            <w:pPr>
              <w:pStyle w:val="yTableNAm"/>
            </w:pPr>
            <w:r>
              <w:t>23</w:t>
            </w:r>
          </w:p>
        </w:tc>
        <w:tc>
          <w:tcPr>
            <w:tcW w:w="4763" w:type="dxa"/>
          </w:tcPr>
          <w:p>
            <w:pPr>
              <w:pStyle w:val="yTableNAm"/>
              <w:rPr>
                <w:lang w:eastAsia="en-AU"/>
              </w:rPr>
            </w:pPr>
            <w:r>
              <w:rPr>
                <w:lang w:eastAsia="en-AU"/>
              </w:rPr>
              <w:t>Foreign co</w:t>
            </w:r>
            <w:r>
              <w:rPr>
                <w:lang w:eastAsia="en-AU"/>
              </w:rPr>
              <w:noBreakHyphen/>
              <w:t>operative lodging notification of intention to carry on business as mentioned in section 372 of the Act ……………………………..</w:t>
            </w:r>
          </w:p>
        </w:tc>
        <w:tc>
          <w:tcPr>
            <w:tcW w:w="1228" w:type="dxa"/>
          </w:tcPr>
          <w:p>
            <w:pPr>
              <w:pStyle w:val="yTableNAm"/>
              <w:tabs>
                <w:tab w:val="clear" w:pos="567"/>
                <w:tab w:val="decimal" w:pos="516"/>
              </w:tabs>
            </w:pPr>
            <w:r>
              <w:br/>
            </w:r>
            <w:r>
              <w:br/>
              <w:t>Nil*</w:t>
            </w:r>
          </w:p>
        </w:tc>
      </w:tr>
      <w:tr>
        <w:trPr>
          <w:cantSplit/>
        </w:trPr>
        <w:tc>
          <w:tcPr>
            <w:tcW w:w="708" w:type="dxa"/>
          </w:tcPr>
          <w:p>
            <w:pPr>
              <w:pStyle w:val="yTableNAm"/>
            </w:pPr>
            <w:r>
              <w:t>24</w:t>
            </w:r>
          </w:p>
        </w:tc>
        <w:tc>
          <w:tcPr>
            <w:tcW w:w="4763" w:type="dxa"/>
          </w:tcPr>
          <w:p>
            <w:pPr>
              <w:pStyle w:val="yTableNAm"/>
              <w:rPr>
                <w:lang w:eastAsia="en-AU"/>
              </w:rPr>
            </w:pPr>
            <w:r>
              <w:rPr>
                <w:lang w:eastAsia="en-AU"/>
              </w:rPr>
              <w:t>Filing particulars of change concerning foreign co</w:t>
            </w:r>
            <w:r>
              <w:rPr>
                <w:lang w:eastAsia="en-AU"/>
              </w:rPr>
              <w:noBreakHyphen/>
              <w:t>operative under section 382 of the Act ………...</w:t>
            </w:r>
          </w:p>
        </w:tc>
        <w:tc>
          <w:tcPr>
            <w:tcW w:w="1228" w:type="dxa"/>
          </w:tcPr>
          <w:p>
            <w:pPr>
              <w:pStyle w:val="yTableNAm"/>
              <w:tabs>
                <w:tab w:val="clear" w:pos="567"/>
                <w:tab w:val="decimal" w:pos="516"/>
              </w:tabs>
            </w:pPr>
            <w:r>
              <w:br/>
              <w:t>Nil*</w:t>
            </w:r>
          </w:p>
        </w:tc>
      </w:tr>
      <w:tr>
        <w:trPr>
          <w:cantSplit/>
        </w:trPr>
        <w:tc>
          <w:tcPr>
            <w:tcW w:w="708" w:type="dxa"/>
          </w:tcPr>
          <w:p>
            <w:pPr>
              <w:pStyle w:val="yTableNAm"/>
            </w:pPr>
            <w:r>
              <w:t>25</w:t>
            </w:r>
          </w:p>
        </w:tc>
        <w:tc>
          <w:tcPr>
            <w:tcW w:w="4763" w:type="dxa"/>
          </w:tcPr>
          <w:p>
            <w:pPr>
              <w:pStyle w:val="yTableNAm"/>
              <w:rPr>
                <w:lang w:eastAsia="en-AU"/>
              </w:rPr>
            </w:pPr>
            <w:r>
              <w:rPr>
                <w:lang w:eastAsia="en-AU"/>
              </w:rPr>
              <w:t>Giving notice of cessation under section 383 of the Act ………………………………………………...</w:t>
            </w:r>
          </w:p>
        </w:tc>
        <w:tc>
          <w:tcPr>
            <w:tcW w:w="1228" w:type="dxa"/>
          </w:tcPr>
          <w:p>
            <w:pPr>
              <w:pStyle w:val="yTableNAm"/>
              <w:tabs>
                <w:tab w:val="clear" w:pos="567"/>
                <w:tab w:val="decimal" w:pos="516"/>
              </w:tabs>
            </w:pPr>
            <w:r>
              <w:br/>
              <w:t>Nil*</w:t>
            </w:r>
          </w:p>
        </w:tc>
      </w:tr>
      <w:tr>
        <w:trPr>
          <w:cantSplit/>
        </w:trPr>
        <w:tc>
          <w:tcPr>
            <w:tcW w:w="708" w:type="dxa"/>
          </w:tcPr>
          <w:p>
            <w:pPr>
              <w:pStyle w:val="yTableNAm"/>
            </w:pPr>
            <w:r>
              <w:t>26</w:t>
            </w:r>
          </w:p>
        </w:tc>
        <w:tc>
          <w:tcPr>
            <w:tcW w:w="4763" w:type="dxa"/>
          </w:tcPr>
          <w:p>
            <w:pPr>
              <w:pStyle w:val="yTableNAm"/>
              <w:rPr>
                <w:lang w:eastAsia="en-AU"/>
              </w:rPr>
            </w:pPr>
            <w:r>
              <w:rPr>
                <w:lang w:eastAsia="en-AU"/>
              </w:rPr>
              <w:t>Application to have the Registrar call a special meeting or hold, or appoint an inspector to hold, an inquiry under section 444 of the Act …………</w:t>
            </w:r>
          </w:p>
        </w:tc>
        <w:tc>
          <w:tcPr>
            <w:tcW w:w="1228" w:type="dxa"/>
          </w:tcPr>
          <w:p>
            <w:pPr>
              <w:pStyle w:val="yTableNAm"/>
              <w:tabs>
                <w:tab w:val="clear" w:pos="567"/>
                <w:tab w:val="decimal" w:pos="516"/>
              </w:tabs>
            </w:pPr>
            <w:r>
              <w:br/>
            </w:r>
            <w:r>
              <w:br/>
              <w:t>275.00</w:t>
            </w:r>
          </w:p>
        </w:tc>
      </w:tr>
      <w:tr>
        <w:trPr>
          <w:cantSplit/>
        </w:trPr>
        <w:tc>
          <w:tcPr>
            <w:tcW w:w="708" w:type="dxa"/>
          </w:tcPr>
          <w:p>
            <w:pPr>
              <w:pStyle w:val="yTableNAm"/>
            </w:pPr>
            <w:r>
              <w:t>27</w:t>
            </w:r>
          </w:p>
        </w:tc>
        <w:tc>
          <w:tcPr>
            <w:tcW w:w="4763" w:type="dxa"/>
          </w:tcPr>
          <w:p>
            <w:pPr>
              <w:pStyle w:val="yTableNAm"/>
              <w:rPr>
                <w:lang w:eastAsia="en-AU"/>
              </w:rPr>
            </w:pPr>
            <w:r>
              <w:rPr>
                <w:lang w:eastAsia="en-AU"/>
              </w:rPr>
              <w:t xml:space="preserve">Application for the Registrar to grant an extension of, or to abridge time under section 449 of the Act </w:t>
            </w:r>
          </w:p>
        </w:tc>
        <w:tc>
          <w:tcPr>
            <w:tcW w:w="1228" w:type="dxa"/>
          </w:tcPr>
          <w:p>
            <w:pPr>
              <w:pStyle w:val="yTableNAm"/>
              <w:tabs>
                <w:tab w:val="clear" w:pos="567"/>
                <w:tab w:val="decimal" w:pos="516"/>
              </w:tabs>
            </w:pPr>
            <w:r>
              <w:br/>
              <w:t>68.00</w:t>
            </w:r>
          </w:p>
        </w:tc>
      </w:tr>
      <w:tr>
        <w:trPr>
          <w:cantSplit/>
        </w:trPr>
        <w:tc>
          <w:tcPr>
            <w:tcW w:w="708" w:type="dxa"/>
          </w:tcPr>
          <w:p>
            <w:pPr>
              <w:pStyle w:val="yTableNAm"/>
            </w:pPr>
            <w:r>
              <w:t>28</w:t>
            </w:r>
          </w:p>
        </w:tc>
        <w:tc>
          <w:tcPr>
            <w:tcW w:w="4763" w:type="dxa"/>
          </w:tcPr>
          <w:p>
            <w:pPr>
              <w:pStyle w:val="yTableNAm"/>
              <w:rPr>
                <w:lang w:eastAsia="en-AU"/>
              </w:rPr>
            </w:pPr>
            <w:r>
              <w:rPr>
                <w:lang w:eastAsia="en-AU"/>
              </w:rPr>
              <w:t>Inspection of register or prescribed documents under section 457(1)(a) or (1)(b) of the Act ………</w:t>
            </w:r>
          </w:p>
        </w:tc>
        <w:tc>
          <w:tcPr>
            <w:tcW w:w="1228" w:type="dxa"/>
          </w:tcPr>
          <w:p>
            <w:pPr>
              <w:pStyle w:val="yTableNAm"/>
              <w:tabs>
                <w:tab w:val="clear" w:pos="567"/>
                <w:tab w:val="decimal" w:pos="516"/>
              </w:tabs>
            </w:pPr>
            <w:r>
              <w:br/>
              <w:t>13.50</w:t>
            </w:r>
          </w:p>
        </w:tc>
      </w:tr>
      <w:tr>
        <w:trPr>
          <w:cantSplit/>
        </w:trPr>
        <w:tc>
          <w:tcPr>
            <w:tcW w:w="708" w:type="dxa"/>
          </w:tcPr>
          <w:p>
            <w:pPr>
              <w:pStyle w:val="yTableNAm"/>
            </w:pPr>
            <w:r>
              <w:t>29</w:t>
            </w:r>
          </w:p>
        </w:tc>
        <w:tc>
          <w:tcPr>
            <w:tcW w:w="4763" w:type="dxa"/>
          </w:tcPr>
          <w:p>
            <w:pPr>
              <w:pStyle w:val="yTableNAm"/>
              <w:rPr>
                <w:lang w:eastAsia="en-AU"/>
              </w:rPr>
            </w:pPr>
            <w:r>
              <w:rPr>
                <w:lang w:eastAsia="en-AU"/>
              </w:rPr>
              <w:t xml:space="preserve">Certified copy of a document under section 457(1)(d) of the Act — </w:t>
            </w:r>
          </w:p>
          <w:p>
            <w:pPr>
              <w:pStyle w:val="yTableNAm"/>
              <w:ind w:left="176"/>
              <w:rPr>
                <w:lang w:eastAsia="en-AU"/>
              </w:rPr>
            </w:pPr>
            <w:r>
              <w:rPr>
                <w:lang w:eastAsia="en-AU"/>
              </w:rPr>
              <w:t>(a)</w:t>
            </w:r>
            <w:r>
              <w:rPr>
                <w:lang w:eastAsia="en-AU"/>
              </w:rPr>
              <w:tab/>
              <w:t>for the first page ……………………………</w:t>
            </w:r>
          </w:p>
          <w:p>
            <w:pPr>
              <w:pStyle w:val="yTableNAm"/>
              <w:ind w:left="176"/>
              <w:rPr>
                <w:lang w:eastAsia="en-AU"/>
              </w:rPr>
            </w:pPr>
            <w:r>
              <w:rPr>
                <w:lang w:eastAsia="en-AU"/>
              </w:rPr>
              <w:t>(b)</w:t>
            </w:r>
            <w:r>
              <w:rPr>
                <w:lang w:eastAsia="en-AU"/>
              </w:rPr>
              <w:tab/>
              <w:t>for each additional page ……………………</w:t>
            </w:r>
          </w:p>
        </w:tc>
        <w:tc>
          <w:tcPr>
            <w:tcW w:w="1228" w:type="dxa"/>
          </w:tcPr>
          <w:p>
            <w:pPr>
              <w:pStyle w:val="yTableNAm"/>
              <w:tabs>
                <w:tab w:val="clear" w:pos="567"/>
                <w:tab w:val="decimal" w:pos="516"/>
              </w:tabs>
            </w:pPr>
            <w:r>
              <w:br/>
            </w:r>
          </w:p>
          <w:p>
            <w:pPr>
              <w:pStyle w:val="yTableNAm"/>
              <w:tabs>
                <w:tab w:val="clear" w:pos="567"/>
                <w:tab w:val="decimal" w:pos="516"/>
              </w:tabs>
            </w:pPr>
            <w:r>
              <w:t>25.50</w:t>
            </w:r>
          </w:p>
          <w:p>
            <w:pPr>
              <w:pStyle w:val="yTableNAm"/>
              <w:tabs>
                <w:tab w:val="clear" w:pos="567"/>
                <w:tab w:val="decimal" w:pos="516"/>
              </w:tabs>
            </w:pPr>
            <w:r>
              <w:t>2.60</w:t>
            </w:r>
          </w:p>
        </w:tc>
      </w:tr>
      <w:tr>
        <w:trPr>
          <w:cantSplit/>
        </w:trPr>
        <w:tc>
          <w:tcPr>
            <w:tcW w:w="708" w:type="dxa"/>
          </w:tcPr>
          <w:p>
            <w:pPr>
              <w:pStyle w:val="yTableNAm"/>
            </w:pPr>
            <w:r>
              <w:t>30</w:t>
            </w:r>
          </w:p>
        </w:tc>
        <w:tc>
          <w:tcPr>
            <w:tcW w:w="4763" w:type="dxa"/>
          </w:tcPr>
          <w:p>
            <w:pPr>
              <w:pStyle w:val="yTableNAm"/>
              <w:rPr>
                <w:lang w:eastAsia="en-AU"/>
              </w:rPr>
            </w:pPr>
            <w:r>
              <w:rPr>
                <w:lang w:eastAsia="en-AU"/>
              </w:rPr>
              <w:t>Application for permission to give notice by newspaper under section 484(2)(f) ………………..</w:t>
            </w:r>
          </w:p>
        </w:tc>
        <w:tc>
          <w:tcPr>
            <w:tcW w:w="1228" w:type="dxa"/>
          </w:tcPr>
          <w:p>
            <w:pPr>
              <w:pStyle w:val="yTableNAm"/>
              <w:tabs>
                <w:tab w:val="clear" w:pos="567"/>
                <w:tab w:val="decimal" w:pos="516"/>
              </w:tabs>
            </w:pPr>
            <w:r>
              <w:br/>
              <w:t>68.00</w:t>
            </w:r>
          </w:p>
        </w:tc>
      </w:tr>
      <w:tr>
        <w:trPr>
          <w:cantSplit/>
        </w:trPr>
        <w:tc>
          <w:tcPr>
            <w:tcW w:w="708" w:type="dxa"/>
          </w:tcPr>
          <w:p>
            <w:pPr>
              <w:pStyle w:val="yTableNAm"/>
            </w:pPr>
            <w:r>
              <w:t>31</w:t>
            </w:r>
          </w:p>
        </w:tc>
        <w:tc>
          <w:tcPr>
            <w:tcW w:w="4763" w:type="dxa"/>
          </w:tcPr>
          <w:p>
            <w:pPr>
              <w:pStyle w:val="yTableNAm"/>
              <w:rPr>
                <w:lang w:eastAsia="en-AU"/>
              </w:rPr>
            </w:pPr>
            <w:r>
              <w:rPr>
                <w:lang w:eastAsia="en-AU"/>
              </w:rPr>
              <w:t>Filing a notice under Schedule 3 clause 13(1), 17(1), 36(1) or 36(2) to the Act …………………...</w:t>
            </w:r>
          </w:p>
        </w:tc>
        <w:tc>
          <w:tcPr>
            <w:tcW w:w="1228" w:type="dxa"/>
          </w:tcPr>
          <w:p>
            <w:pPr>
              <w:pStyle w:val="yTableNAm"/>
              <w:tabs>
                <w:tab w:val="clear" w:pos="567"/>
                <w:tab w:val="decimal" w:pos="516"/>
              </w:tabs>
            </w:pPr>
            <w:r>
              <w:br/>
              <w:t>34.00</w:t>
            </w:r>
          </w:p>
        </w:tc>
      </w:tr>
      <w:tr>
        <w:trPr>
          <w:cantSplit/>
        </w:trPr>
        <w:tc>
          <w:tcPr>
            <w:tcW w:w="708" w:type="dxa"/>
          </w:tcPr>
          <w:p>
            <w:pPr>
              <w:pStyle w:val="yTableNAm"/>
            </w:pPr>
            <w:r>
              <w:t>32</w:t>
            </w:r>
          </w:p>
        </w:tc>
        <w:tc>
          <w:tcPr>
            <w:tcW w:w="4763" w:type="dxa"/>
          </w:tcPr>
          <w:p>
            <w:pPr>
              <w:pStyle w:val="yTableNAm"/>
              <w:rPr>
                <w:lang w:eastAsia="en-AU"/>
              </w:rPr>
            </w:pPr>
            <w:r>
              <w:rPr>
                <w:lang w:eastAsia="en-AU"/>
              </w:rPr>
              <w:t xml:space="preserve">Application for the Registrar to allow a further period under Schedule 3 clause 20(3)(c) to the Act </w:t>
            </w:r>
          </w:p>
        </w:tc>
        <w:tc>
          <w:tcPr>
            <w:tcW w:w="1228" w:type="dxa"/>
          </w:tcPr>
          <w:p>
            <w:pPr>
              <w:pStyle w:val="yTableNAm"/>
              <w:tabs>
                <w:tab w:val="clear" w:pos="567"/>
                <w:tab w:val="decimal" w:pos="516"/>
              </w:tabs>
            </w:pPr>
            <w:r>
              <w:br/>
              <w:t>68.00</w:t>
            </w:r>
          </w:p>
        </w:tc>
      </w:tr>
      <w:tr>
        <w:trPr>
          <w:cantSplit/>
        </w:trPr>
        <w:tc>
          <w:tcPr>
            <w:tcW w:w="708" w:type="dxa"/>
          </w:tcPr>
          <w:p>
            <w:pPr>
              <w:pStyle w:val="yTableNAm"/>
            </w:pPr>
            <w:r>
              <w:t>33</w:t>
            </w:r>
          </w:p>
        </w:tc>
        <w:tc>
          <w:tcPr>
            <w:tcW w:w="4763" w:type="dxa"/>
          </w:tcPr>
          <w:p>
            <w:pPr>
              <w:pStyle w:val="yTableNAm"/>
              <w:rPr>
                <w:lang w:eastAsia="en-AU"/>
              </w:rPr>
            </w:pPr>
            <w:r>
              <w:rPr>
                <w:lang w:eastAsia="en-AU"/>
              </w:rPr>
              <w:t>Lodging a memorandum of discharge under Schedule 3 clause 37(2) to the Act ………………..</w:t>
            </w:r>
          </w:p>
        </w:tc>
        <w:tc>
          <w:tcPr>
            <w:tcW w:w="1228" w:type="dxa"/>
          </w:tcPr>
          <w:p>
            <w:pPr>
              <w:pStyle w:val="yTableNAm"/>
              <w:tabs>
                <w:tab w:val="clear" w:pos="567"/>
                <w:tab w:val="decimal" w:pos="516"/>
              </w:tabs>
            </w:pPr>
            <w:r>
              <w:br/>
              <w:t>34.00</w:t>
            </w:r>
          </w:p>
        </w:tc>
      </w:tr>
      <w:tr>
        <w:trPr>
          <w:cantSplit/>
        </w:trPr>
        <w:tc>
          <w:tcPr>
            <w:tcW w:w="708" w:type="dxa"/>
          </w:tcPr>
          <w:p>
            <w:pPr>
              <w:pStyle w:val="yTableNAm"/>
            </w:pPr>
            <w:r>
              <w:t>34</w:t>
            </w:r>
          </w:p>
        </w:tc>
        <w:tc>
          <w:tcPr>
            <w:tcW w:w="4763" w:type="dxa"/>
          </w:tcPr>
          <w:p>
            <w:pPr>
              <w:pStyle w:val="yTableNAm"/>
              <w:rPr>
                <w:lang w:eastAsia="en-AU"/>
              </w:rPr>
            </w:pPr>
            <w:r>
              <w:rPr>
                <w:lang w:eastAsia="en-AU"/>
              </w:rPr>
              <w:t>Lodging a managing controller’s report under Schedule 4 clause 12(2) to the Act ………………..</w:t>
            </w:r>
          </w:p>
        </w:tc>
        <w:tc>
          <w:tcPr>
            <w:tcW w:w="1228" w:type="dxa"/>
          </w:tcPr>
          <w:p>
            <w:pPr>
              <w:pStyle w:val="yTableNAm"/>
              <w:tabs>
                <w:tab w:val="clear" w:pos="567"/>
                <w:tab w:val="decimal" w:pos="516"/>
              </w:tabs>
            </w:pPr>
            <w:r>
              <w:br/>
              <w:t>Nil*</w:t>
            </w:r>
          </w:p>
        </w:tc>
      </w:tr>
      <w:tr>
        <w:trPr>
          <w:cantSplit/>
        </w:trPr>
        <w:tc>
          <w:tcPr>
            <w:tcW w:w="708" w:type="dxa"/>
          </w:tcPr>
          <w:p>
            <w:pPr>
              <w:pStyle w:val="yTableNAm"/>
            </w:pPr>
            <w:r>
              <w:t>35</w:t>
            </w:r>
          </w:p>
        </w:tc>
        <w:tc>
          <w:tcPr>
            <w:tcW w:w="4763" w:type="dxa"/>
          </w:tcPr>
          <w:p>
            <w:pPr>
              <w:pStyle w:val="yTableNAm"/>
              <w:rPr>
                <w:lang w:eastAsia="en-AU"/>
              </w:rPr>
            </w:pPr>
            <w:r>
              <w:rPr>
                <w:lang w:eastAsia="en-AU"/>
              </w:rPr>
              <w:t>Inspection of managing controller’s report under Schedule 4 clause 12(3)(b) to the Act …………….</w:t>
            </w:r>
          </w:p>
        </w:tc>
        <w:tc>
          <w:tcPr>
            <w:tcW w:w="1228" w:type="dxa"/>
          </w:tcPr>
          <w:p>
            <w:pPr>
              <w:pStyle w:val="yTableNAm"/>
              <w:tabs>
                <w:tab w:val="clear" w:pos="567"/>
                <w:tab w:val="decimal" w:pos="516"/>
              </w:tabs>
            </w:pPr>
            <w:r>
              <w:br/>
              <w:t>13.50</w:t>
            </w:r>
          </w:p>
        </w:tc>
      </w:tr>
      <w:tr>
        <w:trPr>
          <w:cantSplit/>
        </w:trPr>
        <w:tc>
          <w:tcPr>
            <w:tcW w:w="708" w:type="dxa"/>
          </w:tcPr>
          <w:p>
            <w:pPr>
              <w:pStyle w:val="yTableNAm"/>
            </w:pPr>
            <w:r>
              <w:t>36</w:t>
            </w:r>
          </w:p>
        </w:tc>
        <w:tc>
          <w:tcPr>
            <w:tcW w:w="4763" w:type="dxa"/>
          </w:tcPr>
          <w:p>
            <w:pPr>
              <w:pStyle w:val="yTableNAm"/>
              <w:rPr>
                <w:lang w:eastAsia="en-AU"/>
              </w:rPr>
            </w:pPr>
            <w:r>
              <w:rPr>
                <w:lang w:eastAsia="en-AU"/>
              </w:rPr>
              <w:t>Lodging receiver’s report under Schedule 4 clause 13(1)(c) to the Act …………………………</w:t>
            </w:r>
          </w:p>
        </w:tc>
        <w:tc>
          <w:tcPr>
            <w:tcW w:w="1228" w:type="dxa"/>
          </w:tcPr>
          <w:p>
            <w:pPr>
              <w:pStyle w:val="yTableNAm"/>
              <w:tabs>
                <w:tab w:val="clear" w:pos="567"/>
                <w:tab w:val="decimal" w:pos="516"/>
              </w:tabs>
            </w:pPr>
            <w:r>
              <w:br/>
              <w:t>Nil*</w:t>
            </w:r>
          </w:p>
        </w:tc>
      </w:tr>
      <w:tr>
        <w:trPr>
          <w:cantSplit/>
        </w:trPr>
        <w:tc>
          <w:tcPr>
            <w:tcW w:w="708" w:type="dxa"/>
          </w:tcPr>
          <w:p>
            <w:pPr>
              <w:pStyle w:val="yTableNAm"/>
            </w:pPr>
            <w:r>
              <w:t>37</w:t>
            </w:r>
          </w:p>
        </w:tc>
        <w:tc>
          <w:tcPr>
            <w:tcW w:w="4763" w:type="dxa"/>
          </w:tcPr>
          <w:p>
            <w:pPr>
              <w:pStyle w:val="yTableNAm"/>
              <w:rPr>
                <w:lang w:eastAsia="en-AU"/>
              </w:rPr>
            </w:pPr>
            <w:r>
              <w:rPr>
                <w:lang w:eastAsia="en-AU"/>
              </w:rPr>
              <w:t>Lodging notice of obtaining an order for the appointment of a receiver under Schedule 4 clause 18(1)(a) to the Act …………………………</w:t>
            </w:r>
          </w:p>
        </w:tc>
        <w:tc>
          <w:tcPr>
            <w:tcW w:w="1228" w:type="dxa"/>
          </w:tcPr>
          <w:p>
            <w:pPr>
              <w:pStyle w:val="yTableNAm"/>
              <w:tabs>
                <w:tab w:val="clear" w:pos="567"/>
                <w:tab w:val="decimal" w:pos="516"/>
              </w:tabs>
            </w:pPr>
            <w:r>
              <w:br/>
            </w:r>
            <w:r>
              <w:br/>
              <w:t>Nil*</w:t>
            </w:r>
          </w:p>
        </w:tc>
      </w:tr>
      <w:tr>
        <w:trPr>
          <w:cantSplit/>
        </w:trPr>
        <w:tc>
          <w:tcPr>
            <w:tcW w:w="708" w:type="dxa"/>
          </w:tcPr>
          <w:p>
            <w:pPr>
              <w:pStyle w:val="yTableNAm"/>
            </w:pPr>
            <w:r>
              <w:t>38</w:t>
            </w:r>
          </w:p>
        </w:tc>
        <w:tc>
          <w:tcPr>
            <w:tcW w:w="4763" w:type="dxa"/>
          </w:tcPr>
          <w:p>
            <w:pPr>
              <w:pStyle w:val="yTableNAm"/>
              <w:rPr>
                <w:lang w:eastAsia="en-AU"/>
              </w:rPr>
            </w:pPr>
            <w:r>
              <w:rPr>
                <w:lang w:eastAsia="en-AU"/>
              </w:rPr>
              <w:t>Lodging notice of the appointment of a controller under Schedule 4 clause 18(2)(a) to the Act ….…...</w:t>
            </w:r>
          </w:p>
        </w:tc>
        <w:tc>
          <w:tcPr>
            <w:tcW w:w="1228" w:type="dxa"/>
          </w:tcPr>
          <w:p>
            <w:pPr>
              <w:pStyle w:val="yTableNAm"/>
              <w:tabs>
                <w:tab w:val="clear" w:pos="567"/>
                <w:tab w:val="decimal" w:pos="516"/>
              </w:tabs>
            </w:pPr>
            <w:r>
              <w:br/>
              <w:t>Nil*</w:t>
            </w:r>
          </w:p>
        </w:tc>
      </w:tr>
      <w:tr>
        <w:trPr>
          <w:cantSplit/>
        </w:trPr>
        <w:tc>
          <w:tcPr>
            <w:tcW w:w="708" w:type="dxa"/>
          </w:tcPr>
          <w:p>
            <w:pPr>
              <w:pStyle w:val="yTableNAm"/>
            </w:pPr>
            <w:r>
              <w:t>39</w:t>
            </w:r>
          </w:p>
        </w:tc>
        <w:tc>
          <w:tcPr>
            <w:tcW w:w="4763" w:type="dxa"/>
          </w:tcPr>
          <w:p>
            <w:pPr>
              <w:pStyle w:val="yTableNAm"/>
              <w:rPr>
                <w:lang w:eastAsia="en-AU"/>
              </w:rPr>
            </w:pPr>
            <w:r>
              <w:rPr>
                <w:lang w:eastAsia="en-AU"/>
              </w:rPr>
              <w:t>Lodging notice that a person has entered into possession or taken control of property of a co</w:t>
            </w:r>
            <w:r>
              <w:rPr>
                <w:lang w:eastAsia="en-AU"/>
              </w:rPr>
              <w:noBreakHyphen/>
              <w:t>operative under Schedule 4 clause 18(3) to the Act ………………………………………………...</w:t>
            </w:r>
          </w:p>
        </w:tc>
        <w:tc>
          <w:tcPr>
            <w:tcW w:w="1228" w:type="dxa"/>
          </w:tcPr>
          <w:p>
            <w:pPr>
              <w:pStyle w:val="yTableNAm"/>
              <w:tabs>
                <w:tab w:val="clear" w:pos="567"/>
                <w:tab w:val="decimal" w:pos="516"/>
              </w:tabs>
            </w:pPr>
            <w:r>
              <w:br/>
            </w:r>
            <w:r>
              <w:br/>
            </w:r>
            <w:r>
              <w:br/>
              <w:t>Nil*</w:t>
            </w:r>
          </w:p>
        </w:tc>
      </w:tr>
      <w:tr>
        <w:trPr>
          <w:cantSplit/>
        </w:trPr>
        <w:tc>
          <w:tcPr>
            <w:tcW w:w="708" w:type="dxa"/>
          </w:tcPr>
          <w:p>
            <w:pPr>
              <w:pStyle w:val="yTableNAm"/>
            </w:pPr>
            <w:r>
              <w:t>40</w:t>
            </w:r>
          </w:p>
        </w:tc>
        <w:tc>
          <w:tcPr>
            <w:tcW w:w="4763" w:type="dxa"/>
          </w:tcPr>
          <w:p>
            <w:pPr>
              <w:pStyle w:val="yTableNAm"/>
              <w:rPr>
                <w:lang w:eastAsia="en-AU"/>
              </w:rPr>
            </w:pPr>
            <w:r>
              <w:rPr>
                <w:lang w:eastAsia="en-AU"/>
              </w:rPr>
              <w:t>Lodging a notice of change in the situation of the controller’s office under Schedule 4 clause 18(5) to the Act ……………………………………………..</w:t>
            </w:r>
          </w:p>
        </w:tc>
        <w:tc>
          <w:tcPr>
            <w:tcW w:w="1228" w:type="dxa"/>
          </w:tcPr>
          <w:p>
            <w:pPr>
              <w:pStyle w:val="yTableNAm"/>
              <w:tabs>
                <w:tab w:val="clear" w:pos="567"/>
                <w:tab w:val="decimal" w:pos="516"/>
              </w:tabs>
            </w:pPr>
            <w:r>
              <w:br/>
            </w:r>
            <w:r>
              <w:br/>
              <w:t>Nil*</w:t>
            </w:r>
          </w:p>
        </w:tc>
      </w:tr>
      <w:tr>
        <w:trPr>
          <w:cantSplit/>
        </w:trPr>
        <w:tc>
          <w:tcPr>
            <w:tcW w:w="708" w:type="dxa"/>
          </w:tcPr>
          <w:p>
            <w:pPr>
              <w:pStyle w:val="yTableNAm"/>
            </w:pPr>
            <w:r>
              <w:t>41</w:t>
            </w:r>
          </w:p>
        </w:tc>
        <w:tc>
          <w:tcPr>
            <w:tcW w:w="4763" w:type="dxa"/>
          </w:tcPr>
          <w:p>
            <w:pPr>
              <w:pStyle w:val="yTableNAm"/>
              <w:rPr>
                <w:lang w:eastAsia="en-AU"/>
              </w:rPr>
            </w:pPr>
            <w:r>
              <w:rPr>
                <w:lang w:eastAsia="en-AU"/>
              </w:rPr>
              <w:t>Lodging notice of cessation as controller under Schedule 4 clause 18(6) to the Act ………………..</w:t>
            </w:r>
          </w:p>
        </w:tc>
        <w:tc>
          <w:tcPr>
            <w:tcW w:w="1228" w:type="dxa"/>
          </w:tcPr>
          <w:p>
            <w:pPr>
              <w:pStyle w:val="yTableNAm"/>
              <w:tabs>
                <w:tab w:val="clear" w:pos="567"/>
                <w:tab w:val="decimal" w:pos="516"/>
              </w:tabs>
            </w:pPr>
            <w:r>
              <w:br/>
              <w:t>Nil*</w:t>
            </w:r>
          </w:p>
        </w:tc>
      </w:tr>
      <w:tr>
        <w:trPr>
          <w:cantSplit/>
        </w:trPr>
        <w:tc>
          <w:tcPr>
            <w:tcW w:w="708" w:type="dxa"/>
          </w:tcPr>
          <w:p>
            <w:pPr>
              <w:pStyle w:val="yTableNAm"/>
            </w:pPr>
            <w:r>
              <w:t>42</w:t>
            </w:r>
          </w:p>
        </w:tc>
        <w:tc>
          <w:tcPr>
            <w:tcW w:w="4763" w:type="dxa"/>
          </w:tcPr>
          <w:p>
            <w:pPr>
              <w:pStyle w:val="yTableNAm"/>
              <w:rPr>
                <w:lang w:eastAsia="en-AU"/>
              </w:rPr>
            </w:pPr>
            <w:r>
              <w:rPr>
                <w:lang w:eastAsia="en-AU"/>
              </w:rPr>
              <w:t>Lodging copy of report of the reporting officers’ under Schedule 4 clause 20(2)(c) of to the Act …...</w:t>
            </w:r>
          </w:p>
        </w:tc>
        <w:tc>
          <w:tcPr>
            <w:tcW w:w="1228" w:type="dxa"/>
          </w:tcPr>
          <w:p>
            <w:pPr>
              <w:pStyle w:val="yTableNAm"/>
              <w:tabs>
                <w:tab w:val="clear" w:pos="567"/>
                <w:tab w:val="decimal" w:pos="516"/>
              </w:tabs>
            </w:pPr>
            <w:r>
              <w:br/>
              <w:t>Nil*</w:t>
            </w:r>
          </w:p>
        </w:tc>
      </w:tr>
      <w:tr>
        <w:trPr>
          <w:cantSplit/>
        </w:trPr>
        <w:tc>
          <w:tcPr>
            <w:tcW w:w="708" w:type="dxa"/>
          </w:tcPr>
          <w:p>
            <w:pPr>
              <w:pStyle w:val="yTableNAm"/>
            </w:pPr>
            <w:r>
              <w:t>43</w:t>
            </w:r>
          </w:p>
        </w:tc>
        <w:tc>
          <w:tcPr>
            <w:tcW w:w="4763" w:type="dxa"/>
          </w:tcPr>
          <w:p>
            <w:pPr>
              <w:pStyle w:val="yTableNAm"/>
              <w:rPr>
                <w:lang w:eastAsia="en-AU"/>
              </w:rPr>
            </w:pPr>
            <w:r>
              <w:rPr>
                <w:lang w:eastAsia="en-AU"/>
              </w:rPr>
              <w:t xml:space="preserve">Lodging copy of extension notice given by controller under Schedule 4 clause 20(4) to the Act </w:t>
            </w:r>
          </w:p>
        </w:tc>
        <w:tc>
          <w:tcPr>
            <w:tcW w:w="1228" w:type="dxa"/>
          </w:tcPr>
          <w:p>
            <w:pPr>
              <w:pStyle w:val="yTableNAm"/>
              <w:tabs>
                <w:tab w:val="clear" w:pos="567"/>
                <w:tab w:val="decimal" w:pos="516"/>
              </w:tabs>
            </w:pPr>
            <w:r>
              <w:br/>
              <w:t>Nil*</w:t>
            </w:r>
          </w:p>
        </w:tc>
      </w:tr>
      <w:tr>
        <w:trPr>
          <w:cantSplit/>
        </w:trPr>
        <w:tc>
          <w:tcPr>
            <w:tcW w:w="708" w:type="dxa"/>
          </w:tcPr>
          <w:p>
            <w:pPr>
              <w:pStyle w:val="yTableNAm"/>
            </w:pPr>
            <w:r>
              <w:t>44</w:t>
            </w:r>
          </w:p>
        </w:tc>
        <w:tc>
          <w:tcPr>
            <w:tcW w:w="4763" w:type="dxa"/>
          </w:tcPr>
          <w:p>
            <w:pPr>
              <w:pStyle w:val="yTableNAm"/>
              <w:rPr>
                <w:lang w:eastAsia="en-AU"/>
              </w:rPr>
            </w:pPr>
            <w:r>
              <w:rPr>
                <w:lang w:eastAsia="en-AU"/>
              </w:rPr>
              <w:t>Lodging copy of court order granting extension under Schedule 4 clause 20(5) to the Act …………</w:t>
            </w:r>
          </w:p>
        </w:tc>
        <w:tc>
          <w:tcPr>
            <w:tcW w:w="1228" w:type="dxa"/>
          </w:tcPr>
          <w:p>
            <w:pPr>
              <w:pStyle w:val="yTableNAm"/>
              <w:tabs>
                <w:tab w:val="clear" w:pos="567"/>
                <w:tab w:val="decimal" w:pos="516"/>
              </w:tabs>
            </w:pPr>
            <w:r>
              <w:br/>
              <w:t>Nil*</w:t>
            </w:r>
          </w:p>
        </w:tc>
      </w:tr>
      <w:tr>
        <w:trPr>
          <w:cantSplit/>
        </w:trPr>
        <w:tc>
          <w:tcPr>
            <w:tcW w:w="708" w:type="dxa"/>
          </w:tcPr>
          <w:p>
            <w:pPr>
              <w:pStyle w:val="yTableNAm"/>
            </w:pPr>
            <w:r>
              <w:t>45</w:t>
            </w:r>
          </w:p>
        </w:tc>
        <w:tc>
          <w:tcPr>
            <w:tcW w:w="4763" w:type="dxa"/>
          </w:tcPr>
          <w:p>
            <w:pPr>
              <w:pStyle w:val="yTableNAm"/>
              <w:rPr>
                <w:lang w:eastAsia="en-AU"/>
              </w:rPr>
            </w:pPr>
            <w:r>
              <w:rPr>
                <w:lang w:eastAsia="en-AU"/>
              </w:rPr>
              <w:t>Lodging copy of controller’s account under Schedule 4 clause 23(1) to the Act ………………..</w:t>
            </w:r>
          </w:p>
        </w:tc>
        <w:tc>
          <w:tcPr>
            <w:tcW w:w="1228" w:type="dxa"/>
          </w:tcPr>
          <w:p>
            <w:pPr>
              <w:pStyle w:val="yTableNAm"/>
              <w:tabs>
                <w:tab w:val="clear" w:pos="567"/>
                <w:tab w:val="decimal" w:pos="516"/>
              </w:tabs>
            </w:pPr>
            <w:r>
              <w:br/>
              <w:t>Nil*</w:t>
            </w:r>
          </w:p>
        </w:tc>
      </w:tr>
      <w:tr>
        <w:trPr>
          <w:cantSplit/>
        </w:trPr>
        <w:tc>
          <w:tcPr>
            <w:tcW w:w="708" w:type="dxa"/>
          </w:tcPr>
          <w:p>
            <w:pPr>
              <w:pStyle w:val="yTableNAm"/>
            </w:pPr>
            <w:r>
              <w:t>46</w:t>
            </w:r>
          </w:p>
        </w:tc>
        <w:tc>
          <w:tcPr>
            <w:tcW w:w="4763" w:type="dxa"/>
          </w:tcPr>
          <w:p>
            <w:pPr>
              <w:pStyle w:val="yTableNAm"/>
              <w:rPr>
                <w:lang w:eastAsia="en-AU"/>
              </w:rPr>
            </w:pPr>
            <w:r>
              <w:rPr>
                <w:lang w:eastAsia="en-AU"/>
              </w:rPr>
              <w:t>Lodging of half year reports under section 320 of the Corporations Act as applied by section 225 of the Act ……………………………………………..</w:t>
            </w:r>
          </w:p>
        </w:tc>
        <w:tc>
          <w:tcPr>
            <w:tcW w:w="1228" w:type="dxa"/>
          </w:tcPr>
          <w:p>
            <w:pPr>
              <w:pStyle w:val="yTableNAm"/>
              <w:tabs>
                <w:tab w:val="clear" w:pos="567"/>
                <w:tab w:val="decimal" w:pos="516"/>
              </w:tabs>
            </w:pPr>
            <w:r>
              <w:br/>
            </w:r>
            <w:r>
              <w:br/>
              <w:t>Nil*</w:t>
            </w:r>
          </w:p>
        </w:tc>
      </w:tr>
      <w:tr>
        <w:trPr>
          <w:cantSplit/>
        </w:trPr>
        <w:tc>
          <w:tcPr>
            <w:tcW w:w="708" w:type="dxa"/>
          </w:tcPr>
          <w:p>
            <w:pPr>
              <w:pStyle w:val="yTableNAm"/>
            </w:pPr>
            <w:r>
              <w:t>47</w:t>
            </w:r>
          </w:p>
        </w:tc>
        <w:tc>
          <w:tcPr>
            <w:tcW w:w="4763" w:type="dxa"/>
          </w:tcPr>
          <w:p>
            <w:pPr>
              <w:pStyle w:val="yTableNAm"/>
              <w:rPr>
                <w:lang w:eastAsia="en-AU"/>
              </w:rPr>
            </w:pPr>
            <w:r>
              <w:rPr>
                <w:lang w:eastAsia="en-AU"/>
              </w:rPr>
              <w:t>Lodging a disclosure document under section 718 of the Corporations Act as applied by section 250 of the Act ………………………………………….</w:t>
            </w:r>
          </w:p>
        </w:tc>
        <w:tc>
          <w:tcPr>
            <w:tcW w:w="1228" w:type="dxa"/>
          </w:tcPr>
          <w:p>
            <w:pPr>
              <w:pStyle w:val="yTableNAm"/>
              <w:tabs>
                <w:tab w:val="clear" w:pos="567"/>
                <w:tab w:val="decimal" w:pos="516"/>
              </w:tabs>
            </w:pPr>
            <w:r>
              <w:br/>
            </w:r>
            <w:r>
              <w:br/>
              <w:t>2025.00</w:t>
            </w:r>
          </w:p>
        </w:tc>
      </w:tr>
      <w:tr>
        <w:trPr>
          <w:cantSplit/>
        </w:trPr>
        <w:tc>
          <w:tcPr>
            <w:tcW w:w="708" w:type="dxa"/>
          </w:tcPr>
          <w:p>
            <w:pPr>
              <w:pStyle w:val="yTableNAm"/>
            </w:pPr>
            <w:r>
              <w:t>48</w:t>
            </w:r>
          </w:p>
        </w:tc>
        <w:tc>
          <w:tcPr>
            <w:tcW w:w="4763" w:type="dxa"/>
          </w:tcPr>
          <w:p>
            <w:pPr>
              <w:pStyle w:val="yTableNAm"/>
              <w:rPr>
                <w:lang w:eastAsia="en-AU"/>
              </w:rPr>
            </w:pPr>
            <w:r>
              <w:rPr>
                <w:lang w:eastAsia="en-AU"/>
              </w:rPr>
              <w:t>Lodging a supplementary or replacement disclosure document under section 719 of the Corporations Act as applied by section 250 of the Act ………………………………………………...</w:t>
            </w:r>
          </w:p>
        </w:tc>
        <w:tc>
          <w:tcPr>
            <w:tcW w:w="1228" w:type="dxa"/>
          </w:tcPr>
          <w:p>
            <w:pPr>
              <w:pStyle w:val="yTableNAm"/>
              <w:tabs>
                <w:tab w:val="clear" w:pos="567"/>
                <w:tab w:val="decimal" w:pos="516"/>
              </w:tabs>
            </w:pPr>
            <w:r>
              <w:br/>
            </w:r>
            <w:r>
              <w:br/>
            </w:r>
            <w:r>
              <w:br/>
              <w:t>Nil*</w:t>
            </w:r>
          </w:p>
        </w:tc>
      </w:tr>
      <w:tr>
        <w:trPr>
          <w:cantSplit/>
        </w:trPr>
        <w:tc>
          <w:tcPr>
            <w:tcW w:w="708" w:type="dxa"/>
          </w:tcPr>
          <w:p>
            <w:pPr>
              <w:pStyle w:val="yTableNAm"/>
            </w:pPr>
            <w:r>
              <w:t>49</w:t>
            </w:r>
          </w:p>
        </w:tc>
        <w:tc>
          <w:tcPr>
            <w:tcW w:w="4763" w:type="dxa"/>
          </w:tcPr>
          <w:p>
            <w:pPr>
              <w:pStyle w:val="yTableNAm"/>
              <w:rPr>
                <w:lang w:eastAsia="en-AU"/>
              </w:rPr>
            </w:pPr>
            <w:r>
              <w:rPr>
                <w:lang w:eastAsia="en-AU"/>
              </w:rPr>
              <w:t>Application for the Registrar to exercise the powers conferred by sections 601AE(2) or 601AF of the Corporations Act as applied by section 316 of the Act …………………………………………</w:t>
            </w:r>
          </w:p>
        </w:tc>
        <w:tc>
          <w:tcPr>
            <w:tcW w:w="1228" w:type="dxa"/>
          </w:tcPr>
          <w:p>
            <w:pPr>
              <w:pStyle w:val="yTableNAm"/>
              <w:tabs>
                <w:tab w:val="clear" w:pos="567"/>
                <w:tab w:val="decimal" w:pos="516"/>
              </w:tabs>
            </w:pPr>
            <w:r>
              <w:br/>
            </w:r>
            <w:r>
              <w:br/>
            </w:r>
            <w:r>
              <w:br/>
              <w:t>275.00</w:t>
            </w:r>
          </w:p>
        </w:tc>
      </w:tr>
      <w:tr>
        <w:trPr>
          <w:cantSplit/>
        </w:trPr>
        <w:tc>
          <w:tcPr>
            <w:tcW w:w="708" w:type="dxa"/>
          </w:tcPr>
          <w:p>
            <w:pPr>
              <w:pStyle w:val="yTableNAm"/>
            </w:pPr>
            <w:r>
              <w:t>50</w:t>
            </w:r>
          </w:p>
        </w:tc>
        <w:tc>
          <w:tcPr>
            <w:tcW w:w="4763" w:type="dxa"/>
          </w:tcPr>
          <w:p>
            <w:pPr>
              <w:pStyle w:val="yTableNAm"/>
              <w:rPr>
                <w:lang w:eastAsia="en-AU"/>
              </w:rPr>
            </w:pPr>
            <w:r>
              <w:rPr>
                <w:lang w:eastAsia="en-AU"/>
              </w:rPr>
              <w:t>Lodging any other document under the Corporations Act as applied by the Act …………...</w:t>
            </w:r>
          </w:p>
        </w:tc>
        <w:tc>
          <w:tcPr>
            <w:tcW w:w="1228" w:type="dxa"/>
          </w:tcPr>
          <w:p>
            <w:pPr>
              <w:pStyle w:val="yTableNAm"/>
              <w:tabs>
                <w:tab w:val="clear" w:pos="567"/>
                <w:tab w:val="decimal" w:pos="516"/>
              </w:tabs>
            </w:pPr>
            <w:r>
              <w:br/>
              <w:t>Nil*</w:t>
            </w:r>
          </w:p>
        </w:tc>
      </w:tr>
      <w:tr>
        <w:trPr>
          <w:cantSplit/>
        </w:trPr>
        <w:tc>
          <w:tcPr>
            <w:tcW w:w="708" w:type="dxa"/>
          </w:tcPr>
          <w:p>
            <w:pPr>
              <w:pStyle w:val="yTableNAm"/>
            </w:pPr>
            <w:r>
              <w:t>51</w:t>
            </w:r>
          </w:p>
        </w:tc>
        <w:tc>
          <w:tcPr>
            <w:tcW w:w="4763" w:type="dxa"/>
          </w:tcPr>
          <w:p>
            <w:pPr>
              <w:pStyle w:val="yTableNAm"/>
              <w:rPr>
                <w:lang w:eastAsia="en-AU"/>
              </w:rPr>
            </w:pPr>
            <w:r>
              <w:rPr>
                <w:lang w:eastAsia="en-AU"/>
              </w:rPr>
              <w:t>Applications for exemption under section 111AS, 111AT, 283GA, 741, 742 or 1045A of the Corporations Act as applied by section 250 of the Act ………………………………………………...</w:t>
            </w:r>
          </w:p>
        </w:tc>
        <w:tc>
          <w:tcPr>
            <w:tcW w:w="1228" w:type="dxa"/>
          </w:tcPr>
          <w:p>
            <w:pPr>
              <w:pStyle w:val="yTableNAm"/>
              <w:tabs>
                <w:tab w:val="clear" w:pos="567"/>
                <w:tab w:val="decimal" w:pos="516"/>
              </w:tabs>
            </w:pPr>
            <w:r>
              <w:br/>
            </w:r>
            <w:r>
              <w:br/>
            </w:r>
            <w:r>
              <w:br/>
              <w:t>275.00</w:t>
            </w:r>
          </w:p>
        </w:tc>
      </w:tr>
      <w:tr>
        <w:trPr>
          <w:cantSplit/>
        </w:trPr>
        <w:tc>
          <w:tcPr>
            <w:tcW w:w="708" w:type="dxa"/>
          </w:tcPr>
          <w:p>
            <w:pPr>
              <w:pStyle w:val="yTableNAm"/>
            </w:pPr>
            <w:r>
              <w:t>52</w:t>
            </w:r>
          </w:p>
        </w:tc>
        <w:tc>
          <w:tcPr>
            <w:tcW w:w="4763" w:type="dxa"/>
          </w:tcPr>
          <w:p>
            <w:pPr>
              <w:pStyle w:val="yTableNAm"/>
              <w:rPr>
                <w:lang w:eastAsia="en-AU"/>
              </w:rPr>
            </w:pPr>
            <w:r>
              <w:rPr>
                <w:lang w:eastAsia="en-AU"/>
              </w:rPr>
              <w:t>Lodging documents or making applications for the registrar to exercise a power or do something under the Act for which no other fee is prescribed ………</w:t>
            </w:r>
          </w:p>
        </w:tc>
        <w:tc>
          <w:tcPr>
            <w:tcW w:w="1228" w:type="dxa"/>
          </w:tcPr>
          <w:p>
            <w:pPr>
              <w:pStyle w:val="yTableNAm"/>
              <w:tabs>
                <w:tab w:val="clear" w:pos="567"/>
                <w:tab w:val="decimal" w:pos="516"/>
              </w:tabs>
            </w:pPr>
            <w:r>
              <w:br/>
            </w:r>
            <w:r>
              <w:br/>
              <w:t>34.00</w:t>
            </w:r>
          </w:p>
        </w:tc>
      </w:tr>
    </w:tbl>
    <w:p/>
    <w:p>
      <w:pPr>
        <w:rPr>
          <w:ins w:id="1400" w:author="Master Repository Process" w:date="2021-07-31T15:17:00Z"/>
        </w:r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bookmarkStart w:id="1401" w:name="_Toc113695922"/>
      <w:bookmarkStart w:id="1402" w:name="_Toc269375594"/>
      <w:bookmarkStart w:id="1403" w:name="_Toc269386655"/>
      <w:bookmarkStart w:id="1404" w:name="_Toc269386944"/>
      <w:bookmarkStart w:id="1405" w:name="_Toc292195127"/>
      <w:bookmarkStart w:id="1406" w:name="_Toc292195415"/>
    </w:p>
    <w:p>
      <w:pPr>
        <w:pStyle w:val="nHeading2"/>
        <w:rPr>
          <w:ins w:id="1407" w:author="Master Repository Process" w:date="2021-07-31T15:17:00Z"/>
        </w:rPr>
      </w:pPr>
      <w:bookmarkStart w:id="1408" w:name="_Toc292198040"/>
      <w:ins w:id="1409" w:author="Master Repository Process" w:date="2021-07-31T15:17:00Z">
        <w:r>
          <w:t>Notes</w:t>
        </w:r>
        <w:bookmarkEnd w:id="1401"/>
        <w:bookmarkEnd w:id="1402"/>
        <w:bookmarkEnd w:id="1403"/>
        <w:bookmarkEnd w:id="1404"/>
        <w:bookmarkEnd w:id="1405"/>
        <w:bookmarkEnd w:id="1406"/>
        <w:bookmarkEnd w:id="1408"/>
      </w:ins>
    </w:p>
    <w:p>
      <w:pPr>
        <w:pStyle w:val="nSubsection"/>
        <w:rPr>
          <w:ins w:id="1410" w:author="Master Repository Process" w:date="2021-07-31T15:17:00Z"/>
          <w:snapToGrid w:val="0"/>
        </w:rPr>
      </w:pPr>
      <w:ins w:id="1411" w:author="Master Repository Process" w:date="2021-07-31T15:17:00Z">
        <w:r>
          <w:rPr>
            <w:snapToGrid w:val="0"/>
            <w:vertAlign w:val="superscript"/>
          </w:rPr>
          <w:t>1</w:t>
        </w:r>
        <w:r>
          <w:rPr>
            <w:snapToGrid w:val="0"/>
          </w:rPr>
          <w:tab/>
          <w:t xml:space="preserve">This is a compilation of the </w:t>
        </w:r>
        <w:r>
          <w:rPr>
            <w:i/>
          </w:rPr>
          <w:t>Co-operatives Regulations 2010.</w:t>
        </w:r>
        <w:r>
          <w:t xml:space="preserve">  </w:t>
        </w:r>
        <w:r>
          <w:rPr>
            <w:snapToGrid w:val="0"/>
          </w:rPr>
          <w:t>The following table contains information about those regulations.</w:t>
        </w:r>
      </w:ins>
    </w:p>
    <w:p>
      <w:pPr>
        <w:pStyle w:val="nHeading3"/>
        <w:rPr>
          <w:ins w:id="1412" w:author="Master Repository Process" w:date="2021-07-31T15:17:00Z"/>
        </w:rPr>
      </w:pPr>
      <w:bookmarkStart w:id="1413" w:name="_Toc70311430"/>
      <w:bookmarkStart w:id="1414" w:name="_Toc113695923"/>
      <w:bookmarkStart w:id="1415" w:name="_Toc292198041"/>
      <w:ins w:id="1416" w:author="Master Repository Process" w:date="2021-07-31T15:17:00Z">
        <w:r>
          <w:t>Compilation table</w:t>
        </w:r>
        <w:bookmarkEnd w:id="1413"/>
        <w:bookmarkEnd w:id="1414"/>
        <w:bookmarkEnd w:id="141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417" w:author="Master Repository Process" w:date="2021-07-31T15:17:00Z"/>
        </w:trPr>
        <w:tc>
          <w:tcPr>
            <w:tcW w:w="3118" w:type="dxa"/>
          </w:tcPr>
          <w:p>
            <w:pPr>
              <w:pStyle w:val="nTable"/>
              <w:spacing w:after="40"/>
              <w:rPr>
                <w:ins w:id="1418" w:author="Master Repository Process" w:date="2021-07-31T15:17:00Z"/>
                <w:b/>
                <w:sz w:val="19"/>
              </w:rPr>
            </w:pPr>
            <w:ins w:id="1419" w:author="Master Repository Process" w:date="2021-07-31T15:17:00Z">
              <w:r>
                <w:rPr>
                  <w:b/>
                  <w:sz w:val="19"/>
                </w:rPr>
                <w:t>Citation</w:t>
              </w:r>
            </w:ins>
          </w:p>
        </w:tc>
        <w:tc>
          <w:tcPr>
            <w:tcW w:w="1276" w:type="dxa"/>
          </w:tcPr>
          <w:p>
            <w:pPr>
              <w:pStyle w:val="nTable"/>
              <w:spacing w:after="40"/>
              <w:rPr>
                <w:ins w:id="1420" w:author="Master Repository Process" w:date="2021-07-31T15:17:00Z"/>
                <w:b/>
                <w:sz w:val="19"/>
              </w:rPr>
            </w:pPr>
            <w:ins w:id="1421" w:author="Master Repository Process" w:date="2021-07-31T15:17:00Z">
              <w:r>
                <w:rPr>
                  <w:b/>
                  <w:sz w:val="19"/>
                </w:rPr>
                <w:t>Gazettal</w:t>
              </w:r>
            </w:ins>
          </w:p>
        </w:tc>
        <w:tc>
          <w:tcPr>
            <w:tcW w:w="2693" w:type="dxa"/>
          </w:tcPr>
          <w:p>
            <w:pPr>
              <w:pStyle w:val="nTable"/>
              <w:spacing w:after="40"/>
              <w:rPr>
                <w:ins w:id="1422" w:author="Master Repository Process" w:date="2021-07-31T15:17:00Z"/>
                <w:b/>
                <w:sz w:val="19"/>
              </w:rPr>
            </w:pPr>
            <w:ins w:id="1423" w:author="Master Repository Process" w:date="2021-07-31T15:17:00Z">
              <w:r>
                <w:rPr>
                  <w:b/>
                  <w:sz w:val="19"/>
                </w:rPr>
                <w:t>Commencement</w:t>
              </w:r>
            </w:ins>
          </w:p>
        </w:tc>
      </w:tr>
      <w:tr>
        <w:trPr>
          <w:ins w:id="1424" w:author="Master Repository Process" w:date="2021-07-31T15:17:00Z"/>
        </w:trPr>
        <w:tc>
          <w:tcPr>
            <w:tcW w:w="3118" w:type="dxa"/>
          </w:tcPr>
          <w:p>
            <w:pPr>
              <w:pStyle w:val="nTable"/>
              <w:spacing w:after="40"/>
              <w:rPr>
                <w:ins w:id="1425" w:author="Master Repository Process" w:date="2021-07-31T15:17:00Z"/>
              </w:rPr>
            </w:pPr>
            <w:ins w:id="1426" w:author="Master Repository Process" w:date="2021-07-31T15:17:00Z">
              <w:r>
                <w:rPr>
                  <w:i/>
                  <w:sz w:val="19"/>
                </w:rPr>
                <w:t>Co-operatives Regulations 2010</w:t>
              </w:r>
            </w:ins>
          </w:p>
        </w:tc>
        <w:tc>
          <w:tcPr>
            <w:tcW w:w="1276" w:type="dxa"/>
          </w:tcPr>
          <w:p>
            <w:pPr>
              <w:pStyle w:val="nTable"/>
              <w:spacing w:after="40"/>
              <w:rPr>
                <w:ins w:id="1427" w:author="Master Repository Process" w:date="2021-07-31T15:17:00Z"/>
                <w:sz w:val="19"/>
              </w:rPr>
            </w:pPr>
            <w:ins w:id="1428" w:author="Master Repository Process" w:date="2021-07-31T15:17:00Z">
              <w:r>
                <w:rPr>
                  <w:sz w:val="19"/>
                </w:rPr>
                <w:t>13 Aug 2010 p. 3765-970</w:t>
              </w:r>
            </w:ins>
          </w:p>
        </w:tc>
        <w:tc>
          <w:tcPr>
            <w:tcW w:w="2693" w:type="dxa"/>
          </w:tcPr>
          <w:p>
            <w:pPr>
              <w:pStyle w:val="nTable"/>
              <w:spacing w:after="40"/>
              <w:rPr>
                <w:ins w:id="1429" w:author="Master Repository Process" w:date="2021-07-31T15:17:00Z"/>
                <w:sz w:val="19"/>
              </w:rPr>
            </w:pPr>
            <w:ins w:id="1430" w:author="Master Repository Process" w:date="2021-07-31T15:17:00Z">
              <w:r>
                <w:rPr>
                  <w:sz w:val="19"/>
                </w:rPr>
                <w:t>r. 1 and 2: 13 Aug 2010 (see r. 2(a))</w:t>
              </w:r>
              <w:r>
                <w:rPr>
                  <w:sz w:val="19"/>
                </w:rPr>
                <w:br/>
                <w:t xml:space="preserve">Regulations other than r. 1 and 2: 1 Sep 2010 (see r. 2(b) and </w:t>
              </w:r>
              <w:r>
                <w:rPr>
                  <w:i/>
                  <w:iCs/>
                  <w:sz w:val="19"/>
                </w:rPr>
                <w:t>Gazette</w:t>
              </w:r>
              <w:r>
                <w:rPr>
                  <w:sz w:val="19"/>
                </w:rPr>
                <w:t xml:space="preserve"> 13 Aug 2010 p. 3975)</w:t>
              </w:r>
            </w:ins>
          </w:p>
        </w:tc>
      </w:tr>
    </w:tbl>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Co-operatives Regulations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Co-operatives Regulations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5</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Co-operatives Regulations 2010</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5</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Co-operatives Regulations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c>
        <w:tcPr>
          <w:tcW w:w="5715" w:type="dxa"/>
        </w:tcPr>
        <w:p>
          <w:pPr>
            <w:pStyle w:val="HeaderTextLeft"/>
          </w:pPr>
          <w:fldSimple w:instr=" styleref CharSchText ">
            <w:r>
              <w:rPr>
                <w:noProof/>
              </w:rPr>
              <w:t>Particulars to be included in registers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Co-operatives Regulations 2010</w:t>
            </w:r>
          </w:fldSimple>
        </w:p>
      </w:tc>
    </w:tr>
    <w:tr>
      <w:tc>
        <w:tcPr>
          <w:tcW w:w="5715" w:type="dxa"/>
        </w:tcPr>
        <w:p>
          <w:pPr>
            <w:pStyle w:val="HeaderTextRight"/>
          </w:pPr>
          <w:fldSimple w:instr=" styleref CharSchText ">
            <w:r>
              <w:rPr>
                <w:noProof/>
              </w:rPr>
              <w:t>Particulars to be included in registers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Co-operatives Regulations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5</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5</w:instrText>
          </w:r>
          <w:r>
            <w:rPr>
              <w:bCs/>
            </w:rPr>
            <w:fldChar w:fldCharType="end"/>
          </w:r>
          <w:r>
            <w:rPr>
              <w:bCs/>
            </w:rPr>
            <w:instrText>"</w:instrText>
          </w:r>
          <w:r>
            <w:rPr>
              <w:bCs/>
            </w:rPr>
            <w:fldChar w:fldCharType="separate"/>
          </w:r>
          <w:r>
            <w:rPr>
              <w:bCs/>
              <w:noProof/>
            </w:rPr>
            <w:t>Schedule 5</w:t>
          </w:r>
          <w:r>
            <w:rPr>
              <w:bCs/>
            </w:rPr>
            <w:fldChar w:fldCharType="end"/>
          </w:r>
        </w:p>
      </w:tc>
      <w:tc>
        <w:tcPr>
          <w:tcW w:w="5715" w:type="dxa"/>
        </w:tcPr>
        <w:p>
          <w:pPr>
            <w:pStyle w:val="HeaderTextLeft"/>
          </w:pPr>
          <w:fldSimple w:instr=" styleref CharSchText ">
            <w:r>
              <w:rPr>
                <w:noProof/>
              </w:rPr>
              <w:t>Changes to Corporations Act provisions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Changes for the Act (section 316)</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Co-operatives Regulations 2010</w:t>
            </w:r>
          </w:fldSimple>
        </w:p>
      </w:tc>
    </w:tr>
    <w:tr>
      <w:tc>
        <w:tcPr>
          <w:tcW w:w="5715" w:type="dxa"/>
        </w:tcPr>
        <w:p>
          <w:pPr>
            <w:pStyle w:val="HeaderTextRight"/>
          </w:pPr>
          <w:fldSimple w:instr=" styleref CharSchText ">
            <w:r>
              <w:rPr>
                <w:noProof/>
              </w:rPr>
              <w:t>Changes to Corporations Act provisions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5</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5</w:instrText>
          </w:r>
          <w:r>
            <w:rPr>
              <w:bCs/>
            </w:rPr>
            <w:fldChar w:fldCharType="end"/>
          </w:r>
          <w:r>
            <w:rPr>
              <w:bCs/>
            </w:rPr>
            <w:instrText>"</w:instrText>
          </w:r>
          <w:r>
            <w:rPr>
              <w:bCs/>
            </w:rPr>
            <w:fldChar w:fldCharType="separate"/>
          </w:r>
          <w:r>
            <w:rPr>
              <w:bCs/>
              <w:noProof/>
            </w:rPr>
            <w:t>Schedule 5</w:t>
          </w:r>
          <w:r>
            <w:rPr>
              <w:bCs/>
            </w:rPr>
            <w:fldChar w:fldCharType="end"/>
          </w:r>
        </w:p>
      </w:tc>
    </w:tr>
    <w:tr>
      <w:tc>
        <w:tcPr>
          <w:tcW w:w="5715" w:type="dxa"/>
        </w:tcPr>
        <w:p>
          <w:pPr>
            <w:pStyle w:val="HeaderTextRight"/>
          </w:pPr>
          <w:fldSimple w:instr=" styleref CharSDivText ">
            <w:r>
              <w:rPr>
                <w:noProof/>
              </w:rPr>
              <w:t>Changes for the Act (section 316)</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Co-operatives Regulations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6</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6</w:instrText>
          </w:r>
          <w:r>
            <w:rPr>
              <w:bCs/>
            </w:rPr>
            <w:fldChar w:fldCharType="end"/>
          </w:r>
          <w:r>
            <w:rPr>
              <w:bCs/>
            </w:rPr>
            <w:instrText>"</w:instrText>
          </w:r>
          <w:r>
            <w:rPr>
              <w:bCs/>
            </w:rPr>
            <w:fldChar w:fldCharType="separate"/>
          </w:r>
          <w:r>
            <w:rPr>
              <w:bCs/>
              <w:noProof/>
            </w:rPr>
            <w:t>Schedule 6</w:t>
          </w:r>
          <w:r>
            <w:rPr>
              <w:bCs/>
            </w:rPr>
            <w:fldChar w:fldCharType="end"/>
          </w:r>
        </w:p>
      </w:tc>
      <w:tc>
        <w:tcPr>
          <w:tcW w:w="5715" w:type="dxa"/>
        </w:tcPr>
        <w:p>
          <w:pPr>
            <w:pStyle w:val="HeaderTextLeft"/>
          </w:pPr>
          <w:fldSimple w:instr=" styleref CharSchText ">
            <w:r>
              <w:rPr>
                <w:noProof/>
              </w:rPr>
              <w:t>Undesirable matter for names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Co-operatives Regulations 2010</w:t>
            </w:r>
          </w:fldSimple>
        </w:p>
      </w:tc>
    </w:tr>
    <w:tr>
      <w:tc>
        <w:tcPr>
          <w:tcW w:w="5715" w:type="dxa"/>
        </w:tcPr>
        <w:p>
          <w:pPr>
            <w:pStyle w:val="HeaderTextRight"/>
          </w:pPr>
          <w:fldSimple w:instr=" styleref CharSchText ">
            <w:r>
              <w:rPr>
                <w:noProof/>
              </w:rPr>
              <w:t>Undesirable matter for names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6</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6</w:instrText>
          </w:r>
          <w:r>
            <w:rPr>
              <w:bCs/>
            </w:rPr>
            <w:fldChar w:fldCharType="end"/>
          </w:r>
          <w:r>
            <w:rPr>
              <w:bCs/>
            </w:rPr>
            <w:instrText>"</w:instrText>
          </w:r>
          <w:r>
            <w:rPr>
              <w:bCs/>
            </w:rPr>
            <w:fldChar w:fldCharType="separate"/>
          </w:r>
          <w:r>
            <w:rPr>
              <w:bCs/>
              <w:noProof/>
            </w:rPr>
            <w:t>Schedule 6</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Co-operatives Regulations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7</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7</w:instrText>
          </w:r>
          <w:r>
            <w:rPr>
              <w:bCs/>
            </w:rPr>
            <w:fldChar w:fldCharType="end"/>
          </w:r>
          <w:r>
            <w:rPr>
              <w:bCs/>
            </w:rPr>
            <w:instrText>"</w:instrText>
          </w:r>
          <w:r>
            <w:rPr>
              <w:bCs/>
            </w:rPr>
            <w:fldChar w:fldCharType="separate"/>
          </w:r>
          <w:r>
            <w:rPr>
              <w:bCs/>
              <w:noProof/>
            </w:rPr>
            <w:t>Schedule 7</w:t>
          </w:r>
          <w:r>
            <w:rPr>
              <w:bCs/>
            </w:rPr>
            <w:fldChar w:fldCharType="end"/>
          </w:r>
        </w:p>
      </w:tc>
      <w:tc>
        <w:tcPr>
          <w:tcW w:w="5715" w:type="dxa"/>
        </w:tcPr>
        <w:p>
          <w:pPr>
            <w:pStyle w:val="HeaderTextLeft"/>
          </w:pPr>
          <w:fldSimple w:instr=" styleref CharSchText ">
            <w:r>
              <w:rPr>
                <w:noProof/>
              </w:rPr>
              <w:t>Information for explanatory statements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Co-operatives Regulations 2010</w:t>
            </w:r>
          </w:fldSimple>
        </w:p>
      </w:tc>
    </w:tr>
    <w:tr>
      <w:tc>
        <w:tcPr>
          <w:tcW w:w="5715" w:type="dxa"/>
        </w:tcPr>
        <w:p>
          <w:pPr>
            <w:pStyle w:val="HeaderTextRight"/>
          </w:pPr>
          <w:fldSimple w:instr=" styleref CharSchText ">
            <w:r>
              <w:rPr>
                <w:noProof/>
              </w:rPr>
              <w:t>Information for explanatory statements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7</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7</w:instrText>
          </w:r>
          <w:r>
            <w:rPr>
              <w:bCs/>
            </w:rPr>
            <w:fldChar w:fldCharType="end"/>
          </w:r>
          <w:r>
            <w:rPr>
              <w:bCs/>
            </w:rPr>
            <w:instrText>"</w:instrText>
          </w:r>
          <w:r>
            <w:rPr>
              <w:bCs/>
            </w:rPr>
            <w:fldChar w:fldCharType="separate"/>
          </w:r>
          <w:r>
            <w:rPr>
              <w:bCs/>
              <w:noProof/>
            </w:rPr>
            <w:t>Schedule 7</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Co-operatives Regulations 2010</w:t>
            </w:r>
          </w:fldSimple>
        </w:p>
      </w:tc>
    </w:tr>
    <w:tr>
      <w:tc>
        <w:tcPr>
          <w:tcW w:w="1548" w:type="dxa"/>
        </w:tcPr>
        <w:p>
          <w:pPr>
            <w:pStyle w:val="HeaderNumberLeft"/>
            <w:rPr>
              <w:b w:val="0"/>
            </w:rPr>
          </w:pPr>
          <w:fldSimple w:instr=" styleref CharSchno ">
            <w:r>
              <w:rPr>
                <w:noProof/>
              </w:rPr>
              <w:t>Schedule 9</w:t>
            </w:r>
          </w:fldSimple>
        </w:p>
      </w:tc>
      <w:tc>
        <w:tcPr>
          <w:tcW w:w="5715" w:type="dxa"/>
        </w:tcPr>
        <w:p>
          <w:pPr>
            <w:pStyle w:val="HeaderTextLeft"/>
          </w:pPr>
          <w:fldSimple w:instr=" styleref CharSchText ">
            <w:r>
              <w:rPr>
                <w:noProof/>
              </w:rPr>
              <w:t>Holders of prescribed offices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Co-operatives Regulations 2010</w:t>
            </w:r>
          </w:fldSimple>
        </w:p>
      </w:tc>
    </w:tr>
    <w:tr>
      <w:tc>
        <w:tcPr>
          <w:tcW w:w="5715" w:type="dxa"/>
          <w:vAlign w:val="bottom"/>
        </w:tcPr>
        <w:p>
          <w:pPr>
            <w:pStyle w:val="HeaderTextRight"/>
          </w:pPr>
          <w:fldSimple w:instr=" styleref CharSchText ">
            <w:r>
              <w:rPr>
                <w:noProof/>
              </w:rPr>
              <w:t>Holders of prescribed offices</w:t>
            </w:r>
          </w:fldSimple>
        </w:p>
      </w:tc>
      <w:tc>
        <w:tcPr>
          <w:tcW w:w="1548" w:type="dxa"/>
        </w:tcPr>
        <w:p>
          <w:pPr>
            <w:pStyle w:val="HeaderNumberRight"/>
            <w:ind w:right="17"/>
          </w:pPr>
          <w:fldSimple w:instr=" styleref CharSchno ">
            <w:r>
              <w:rPr>
                <w:noProof/>
              </w:rPr>
              <w:t>Schedule 9</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Co-operatives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Co-operatives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Co-operatives Regulations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Co-operatives Regulations 2010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Co-operatives Regulations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41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Co-operatives Regulations 2010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Co-operatives Regulations 2010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FCFD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4AAF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9D830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1680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5960B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6C0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1C46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342A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EECB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B862F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5460D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97C0054C"/>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3C816273"/>
    <w:multiLevelType w:val="hybridMultilevel"/>
    <w:tmpl w:val="1D02556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6" w15:restartNumberingAfterBreak="0">
    <w:nsid w:val="3CC46842"/>
    <w:multiLevelType w:val="hybridMultilevel"/>
    <w:tmpl w:val="E3605EF0"/>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25"/>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F2A00922-416F-4DEB-AA55-A7809E39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eader" Target="header26.xml"/><Relationship Id="rId21" Type="http://schemas.openxmlformats.org/officeDocument/2006/relationships/header" Target="header8.xml"/><Relationship Id="rId34" Type="http://schemas.openxmlformats.org/officeDocument/2006/relationships/header" Target="header21.xm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41"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52233</Words>
  <Characters>251768</Characters>
  <Application>Microsoft Office Word</Application>
  <DocSecurity>0</DocSecurity>
  <Lines>6140</Lines>
  <Paragraphs>3415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Regulations 2010 00-a0-01 - 00-b0-01</dc:title>
  <dc:subject/>
  <dc:creator/>
  <cp:keywords/>
  <dc:description/>
  <cp:lastModifiedBy>Master Repository Process</cp:lastModifiedBy>
  <cp:revision>2</cp:revision>
  <cp:lastPrinted>2010-07-20T03:21:00Z</cp:lastPrinted>
  <dcterms:created xsi:type="dcterms:W3CDTF">2021-07-31T07:17:00Z</dcterms:created>
  <dcterms:modified xsi:type="dcterms:W3CDTF">2021-07-31T07:17:00Z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 2010 p 3765-970</vt:lpwstr>
  </property>
  <property fmtid="{D5CDD505-2E9C-101B-9397-08002B2CF9AE}" pid="3" name="CommencementDate">
    <vt:lpwstr>20100901</vt:lpwstr>
  </property>
  <property fmtid="{D5CDD505-2E9C-101B-9397-08002B2CF9AE}" pid="4" name="OwlsUID">
    <vt:i4>42298</vt:i4>
  </property>
  <property fmtid="{D5CDD505-2E9C-101B-9397-08002B2CF9AE}" pid="5" name="DocumentType">
    <vt:lpwstr>Reg</vt:lpwstr>
  </property>
  <property fmtid="{D5CDD505-2E9C-101B-9397-08002B2CF9AE}" pid="6" name="FromSuffix">
    <vt:lpwstr>00-a0-01</vt:lpwstr>
  </property>
  <property fmtid="{D5CDD505-2E9C-101B-9397-08002B2CF9AE}" pid="7" name="FromAsAtDate">
    <vt:lpwstr>13 Aug 2010</vt:lpwstr>
  </property>
  <property fmtid="{D5CDD505-2E9C-101B-9397-08002B2CF9AE}" pid="8" name="ToSuffix">
    <vt:lpwstr>00-b0-01</vt:lpwstr>
  </property>
  <property fmtid="{D5CDD505-2E9C-101B-9397-08002B2CF9AE}" pid="9" name="ToAsAtDate">
    <vt:lpwstr>01 Sep 2010</vt:lpwstr>
  </property>
</Properties>
</file>