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Disputes Committee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Feb 2004</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25 May 2011</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09:03:00Z"/>
        </w:trPr>
        <w:tc>
          <w:tcPr>
            <w:tcW w:w="2434" w:type="dxa"/>
            <w:vMerge w:val="restart"/>
          </w:tcPr>
          <w:p>
            <w:pPr>
              <w:rPr>
                <w:del w:id="1" w:author="Master Repository Process" w:date="2021-07-31T09:03:00Z"/>
              </w:rPr>
            </w:pPr>
          </w:p>
        </w:tc>
        <w:tc>
          <w:tcPr>
            <w:tcW w:w="2434" w:type="dxa"/>
            <w:vMerge w:val="restart"/>
          </w:tcPr>
          <w:p>
            <w:pPr>
              <w:jc w:val="center"/>
              <w:rPr>
                <w:del w:id="2" w:author="Master Repository Process" w:date="2021-07-31T09:03:00Z"/>
              </w:rPr>
            </w:pPr>
            <w:del w:id="3" w:author="Master Repository Process" w:date="2021-07-31T09:03: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7-31T09:03:00Z"/>
              </w:rPr>
            </w:pPr>
          </w:p>
        </w:tc>
      </w:tr>
      <w:tr>
        <w:trPr>
          <w:cantSplit/>
          <w:del w:id="5" w:author="Master Repository Process" w:date="2021-07-31T09:03:00Z"/>
        </w:trPr>
        <w:tc>
          <w:tcPr>
            <w:tcW w:w="2434" w:type="dxa"/>
            <w:vMerge/>
          </w:tcPr>
          <w:p>
            <w:pPr>
              <w:rPr>
                <w:del w:id="6" w:author="Master Repository Process" w:date="2021-07-31T09:03:00Z"/>
              </w:rPr>
            </w:pPr>
          </w:p>
        </w:tc>
        <w:tc>
          <w:tcPr>
            <w:tcW w:w="2434" w:type="dxa"/>
            <w:vMerge/>
          </w:tcPr>
          <w:p>
            <w:pPr>
              <w:jc w:val="center"/>
              <w:rPr>
                <w:del w:id="7" w:author="Master Repository Process" w:date="2021-07-31T09:03:00Z"/>
              </w:rPr>
            </w:pPr>
          </w:p>
        </w:tc>
        <w:tc>
          <w:tcPr>
            <w:tcW w:w="2434" w:type="dxa"/>
          </w:tcPr>
          <w:p>
            <w:pPr>
              <w:keepNext/>
              <w:rPr>
                <w:del w:id="8" w:author="Master Repository Process" w:date="2021-07-31T09:03:00Z"/>
                <w:b/>
                <w:sz w:val="22"/>
              </w:rPr>
            </w:pPr>
            <w:del w:id="9" w:author="Master Repository Process" w:date="2021-07-31T09:03:00Z">
              <w:r>
                <w:rPr>
                  <w:b/>
                  <w:sz w:val="22"/>
                </w:rPr>
                <w:delText xml:space="preserve">Reprinted under the </w:delText>
              </w:r>
              <w:r>
                <w:rPr>
                  <w:b/>
                  <w:i/>
                  <w:sz w:val="22"/>
                </w:rPr>
                <w:delText>Reprints Act 1984</w:delText>
              </w:r>
              <w:r>
                <w:rPr>
                  <w:b/>
                </w:rPr>
                <w:delText xml:space="preserve"> </w:delText>
              </w:r>
              <w:r>
                <w:rPr>
                  <w:b/>
                  <w:sz w:val="22"/>
                </w:rPr>
                <w:delText xml:space="preserve">as </w:delText>
              </w:r>
              <w:r>
                <w:rPr>
                  <w:b/>
                  <w:sz w:val="22"/>
                </w:rPr>
                <w:br/>
                <w:delText>at 13</w:delText>
              </w:r>
              <w:r>
                <w:rPr>
                  <w:b/>
                  <w:snapToGrid w:val="0"/>
                  <w:sz w:val="22"/>
                </w:rPr>
                <w:delText xml:space="preserve"> February 2004</w:delText>
              </w:r>
            </w:del>
          </w:p>
        </w:tc>
      </w:tr>
    </w:tbl>
    <w:p>
      <w:pPr>
        <w:pStyle w:val="WA"/>
      </w:pPr>
      <w:r>
        <w:t>Western Australia</w:t>
      </w:r>
    </w:p>
    <w:p>
      <w:pPr>
        <w:pStyle w:val="PrincipalActReg"/>
        <w:rPr>
          <w:snapToGrid w:val="0"/>
        </w:rPr>
      </w:pPr>
      <w:r>
        <w:rPr>
          <w:snapToGrid w:val="0"/>
        </w:rPr>
        <w:t>Builders’ Registration Act 1939</w:t>
      </w:r>
    </w:p>
    <w:p>
      <w:pPr>
        <w:pStyle w:val="NameofActReg"/>
      </w:pPr>
      <w:r>
        <w:t>Building Disputes Committee Regulations 1992</w:t>
      </w:r>
    </w:p>
    <w:p>
      <w:pPr>
        <w:pStyle w:val="Heading5"/>
        <w:rPr>
          <w:snapToGrid w:val="0"/>
        </w:rPr>
      </w:pPr>
      <w:bookmarkStart w:id="10" w:name="_Toc63674881"/>
      <w:bookmarkStart w:id="11" w:name="_Toc294266021"/>
      <w:bookmarkStart w:id="12" w:name="_Toc294266087"/>
      <w:bookmarkStart w:id="13" w:name="_Toc66162635"/>
      <w:r>
        <w:rPr>
          <w:rStyle w:val="CharSectno"/>
        </w:rPr>
        <w:t>1</w:t>
      </w:r>
      <w:bookmarkStart w:id="14" w:name="_GoBack"/>
      <w:bookmarkEnd w:id="14"/>
      <w:r>
        <w:rPr>
          <w:snapToGrid w:val="0"/>
        </w:rPr>
        <w:t>.</w:t>
      </w:r>
      <w:r>
        <w:rPr>
          <w:snapToGrid w:val="0"/>
        </w:rPr>
        <w:tab/>
        <w:t>Citation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Building Disputes Committee Regulations 1992</w:t>
      </w:r>
      <w:r>
        <w:rPr>
          <w:snapToGrid w:val="0"/>
        </w:rPr>
        <w:t> </w:t>
      </w:r>
      <w:r>
        <w:rPr>
          <w:snapToGrid w:val="0"/>
          <w:vertAlign w:val="superscript"/>
        </w:rPr>
        <w:t>1</w:t>
      </w:r>
      <w:r>
        <w:rPr>
          <w:snapToGrid w:val="0"/>
        </w:rPr>
        <w:t>.</w:t>
      </w:r>
    </w:p>
    <w:p>
      <w:pPr>
        <w:pStyle w:val="Heading5"/>
        <w:rPr>
          <w:snapToGrid w:val="0"/>
        </w:rPr>
      </w:pPr>
      <w:bookmarkStart w:id="15" w:name="_Toc63674882"/>
      <w:bookmarkStart w:id="16" w:name="_Toc294266022"/>
      <w:bookmarkStart w:id="17" w:name="_Toc294266088"/>
      <w:bookmarkStart w:id="18" w:name="_Toc66162636"/>
      <w:r>
        <w:rPr>
          <w:rStyle w:val="CharSectno"/>
        </w:rPr>
        <w:t>2</w:t>
      </w:r>
      <w:r>
        <w:rPr>
          <w:snapToGrid w:val="0"/>
        </w:rPr>
        <w:t>.</w:t>
      </w:r>
      <w:r>
        <w:rPr>
          <w:snapToGrid w:val="0"/>
        </w:rPr>
        <w:tab/>
        <w:t>Jurisdiction that may be given to registrar</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jurisdiction set out in the Table to this regulation is prescribed, for the purposes of section 33(2) of the Act, as jurisdiction that the registrar may exercise with the written approval of the Disputes Committee or the chairperson of that Committee.</w:t>
      </w:r>
    </w:p>
    <w:p>
      <w:pPr>
        <w:pStyle w:val="MiscellaneousHeading"/>
        <w:rPr>
          <w:b/>
          <w:snapToGrid w:val="0"/>
        </w:rPr>
      </w:pPr>
      <w:r>
        <w:rPr>
          <w:b/>
          <w:snapToGrid w:val="0"/>
        </w:rPr>
        <w:t>Table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5387"/>
      </w:tblGrid>
      <w:tr>
        <w:tc>
          <w:tcPr>
            <w:tcW w:w="992" w:type="dxa"/>
          </w:tcPr>
          <w:p>
            <w:pPr>
              <w:pStyle w:val="MiscellaneousBody"/>
              <w:rPr>
                <w:snapToGrid w:val="0"/>
              </w:rPr>
            </w:pPr>
            <w:r>
              <w:rPr>
                <w:snapToGrid w:val="0"/>
              </w:rPr>
              <w:t>A.</w:t>
            </w:r>
          </w:p>
        </w:tc>
        <w:tc>
          <w:tcPr>
            <w:tcW w:w="5387" w:type="dxa"/>
          </w:tcPr>
          <w:p>
            <w:pPr>
              <w:pStyle w:val="MiscellaneousBody"/>
              <w:rPr>
                <w:snapToGrid w:val="0"/>
              </w:rPr>
            </w:pPr>
            <w:r>
              <w:rPr>
                <w:snapToGrid w:val="0"/>
              </w:rPr>
              <w:t>The hearing of a complaint under section 12A of the Act and the determination of the complaint by the making of one of the following orders — </w:t>
            </w:r>
          </w:p>
        </w:tc>
      </w:tr>
      <w:tr>
        <w:tc>
          <w:tcPr>
            <w:tcW w:w="992" w:type="dxa"/>
          </w:tcPr>
          <w:p>
            <w:pPr>
              <w:pStyle w:val="MiscellaneousBody"/>
              <w:rPr>
                <w:snapToGrid w:val="0"/>
              </w:rPr>
            </w:pPr>
          </w:p>
        </w:tc>
        <w:tc>
          <w:tcPr>
            <w:tcW w:w="5387" w:type="dxa"/>
          </w:tcPr>
          <w:p>
            <w:pPr>
              <w:pStyle w:val="MiscellaneousBody"/>
              <w:tabs>
                <w:tab w:val="left" w:pos="317"/>
                <w:tab w:val="left" w:pos="884"/>
              </w:tabs>
              <w:ind w:left="884" w:hanging="884"/>
              <w:rPr>
                <w:snapToGrid w:val="0"/>
              </w:rPr>
            </w:pPr>
            <w:r>
              <w:rPr>
                <w:snapToGrid w:val="0"/>
              </w:rPr>
              <w:tab/>
              <w:t>(a)</w:t>
            </w:r>
            <w:r>
              <w:rPr>
                <w:snapToGrid w:val="0"/>
              </w:rPr>
              <w:tab/>
              <w:t>an order under subsection (1)(a) or (1a)(a) of that section to remedy building work; or</w:t>
            </w:r>
          </w:p>
        </w:tc>
      </w:tr>
      <w:tr>
        <w:tc>
          <w:tcPr>
            <w:tcW w:w="992" w:type="dxa"/>
          </w:tcPr>
          <w:p>
            <w:pPr>
              <w:pStyle w:val="MiscellaneousBody"/>
              <w:rPr>
                <w:snapToGrid w:val="0"/>
              </w:rPr>
            </w:pPr>
          </w:p>
        </w:tc>
        <w:tc>
          <w:tcPr>
            <w:tcW w:w="5387" w:type="dxa"/>
          </w:tcPr>
          <w:p>
            <w:pPr>
              <w:pStyle w:val="MiscellaneousBody"/>
              <w:tabs>
                <w:tab w:val="left" w:pos="317"/>
                <w:tab w:val="left" w:pos="884"/>
              </w:tabs>
              <w:ind w:left="884" w:hanging="884"/>
              <w:rPr>
                <w:snapToGrid w:val="0"/>
              </w:rPr>
            </w:pPr>
            <w:r>
              <w:rPr>
                <w:snapToGrid w:val="0"/>
              </w:rPr>
              <w:tab/>
              <w:t>(b)</w:t>
            </w:r>
            <w:r>
              <w:rPr>
                <w:snapToGrid w:val="0"/>
              </w:rPr>
              <w:tab/>
              <w:t>an order under subsection (1)(b) or (1a)(b) of that section for the payment of costs or compensation but not exceeding an amount of $5 000.</w:t>
            </w:r>
          </w:p>
        </w:tc>
      </w:tr>
      <w:tr>
        <w:tc>
          <w:tcPr>
            <w:tcW w:w="992" w:type="dxa"/>
          </w:tcPr>
          <w:p>
            <w:pPr>
              <w:pStyle w:val="MiscellaneousBody"/>
              <w:rPr>
                <w:snapToGrid w:val="0"/>
              </w:rPr>
            </w:pPr>
            <w:r>
              <w:rPr>
                <w:snapToGrid w:val="0"/>
              </w:rPr>
              <w:t>B.</w:t>
            </w:r>
          </w:p>
        </w:tc>
        <w:tc>
          <w:tcPr>
            <w:tcW w:w="5387" w:type="dxa"/>
          </w:tcPr>
          <w:p>
            <w:pPr>
              <w:pStyle w:val="MiscellaneousBody"/>
              <w:rPr>
                <w:snapToGrid w:val="0"/>
              </w:rPr>
            </w:pPr>
            <w:r>
              <w:rPr>
                <w:snapToGrid w:val="0"/>
              </w:rPr>
              <w:t xml:space="preserve">The hearing of an application under subsection (1) of section 17 of the </w:t>
            </w:r>
            <w:r>
              <w:rPr>
                <w:i/>
                <w:snapToGrid w:val="0"/>
              </w:rPr>
              <w:t>Home Building Contracts Act 1991</w:t>
            </w:r>
            <w:r>
              <w:rPr>
                <w:snapToGrid w:val="0"/>
              </w:rPr>
              <w:t xml:space="preserve"> and the determination of the application by making </w:t>
            </w:r>
            <w:r>
              <w:rPr>
                <w:snapToGrid w:val="0"/>
              </w:rPr>
              <w:lastRenderedPageBreak/>
              <w:t>an order under subsection (4)(a) of that section.</w:t>
            </w:r>
          </w:p>
        </w:tc>
      </w:tr>
      <w:tr>
        <w:tc>
          <w:tcPr>
            <w:tcW w:w="992" w:type="dxa"/>
          </w:tcPr>
          <w:p>
            <w:pPr>
              <w:pStyle w:val="MiscellaneousBody"/>
              <w:rPr>
                <w:snapToGrid w:val="0"/>
              </w:rPr>
            </w:pPr>
            <w:r>
              <w:rPr>
                <w:snapToGrid w:val="0"/>
              </w:rPr>
              <w:lastRenderedPageBreak/>
              <w:t>C.</w:t>
            </w:r>
          </w:p>
        </w:tc>
        <w:tc>
          <w:tcPr>
            <w:tcW w:w="5387" w:type="dxa"/>
          </w:tcPr>
          <w:p>
            <w:pPr>
              <w:pStyle w:val="MiscellaneousBody"/>
              <w:rPr>
                <w:snapToGrid w:val="0"/>
              </w:rPr>
            </w:pPr>
            <w:r>
              <w:rPr>
                <w:snapToGrid w:val="0"/>
              </w:rPr>
              <w:t xml:space="preserve">The hearing of an application under subsection (1) of section 18 of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w:t>
            </w:r>
            <w:r>
              <w:rPr>
                <w:snapToGrid w:val="0"/>
              </w:rPr>
              <w:t xml:space="preserve"> and the making of an order under that subsection.</w:t>
            </w:r>
          </w:p>
        </w:tc>
      </w:tr>
    </w:tbl>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9" w:name="_Toc294183002"/>
      <w:bookmarkStart w:id="20" w:name="_Toc294183031"/>
      <w:bookmarkStart w:id="21" w:name="_Toc294266023"/>
      <w:bookmarkStart w:id="22" w:name="_Toc294266061"/>
      <w:bookmarkStart w:id="23" w:name="_Toc294266089"/>
      <w:r>
        <w:t>Notes</w:t>
      </w:r>
      <w:bookmarkEnd w:id="19"/>
      <w:bookmarkEnd w:id="20"/>
      <w:bookmarkEnd w:id="21"/>
      <w:bookmarkEnd w:id="22"/>
      <w:bookmarkEnd w:id="23"/>
    </w:p>
    <w:p>
      <w:pPr>
        <w:pStyle w:val="nSubsection"/>
        <w:rPr>
          <w:snapToGrid w:val="0"/>
        </w:rPr>
      </w:pPr>
      <w:r>
        <w:rPr>
          <w:snapToGrid w:val="0"/>
          <w:vertAlign w:val="superscript"/>
        </w:rPr>
        <w:t>1</w:t>
      </w:r>
      <w:r>
        <w:rPr>
          <w:snapToGrid w:val="0"/>
        </w:rPr>
        <w:tab/>
        <w:t xml:space="preserve">This is a </w:t>
      </w:r>
      <w:del w:id="24" w:author="Master Repository Process" w:date="2021-07-31T09:03:00Z">
        <w:r>
          <w:rPr>
            <w:snapToGrid w:val="0"/>
          </w:rPr>
          <w:delText>reprint as at 13 February 2004</w:delText>
        </w:r>
      </w:del>
      <w:ins w:id="25" w:author="Master Repository Process" w:date="2021-07-31T09:03:00Z">
        <w:r>
          <w:rPr>
            <w:snapToGrid w:val="0"/>
          </w:rPr>
          <w:t>compilation</w:t>
        </w:r>
      </w:ins>
      <w:r>
        <w:rPr>
          <w:snapToGrid w:val="0"/>
        </w:rPr>
        <w:t xml:space="preserve"> of the </w:t>
      </w:r>
      <w:r>
        <w:rPr>
          <w:i/>
          <w:noProof/>
          <w:snapToGrid w:val="0"/>
        </w:rPr>
        <w:t>Building Disputes Committee Regulations 1992</w:t>
      </w:r>
      <w:r>
        <w:rPr>
          <w:snapToGrid w:val="0"/>
        </w:rPr>
        <w:t>.  The following table contains information about these regulations and any reprint</w:t>
      </w:r>
      <w:ins w:id="26" w:author="Master Repository Process" w:date="2021-07-31T09:03:00Z">
        <w:r>
          <w:rPr>
            <w:snapToGrid w:val="0"/>
            <w:vertAlign w:val="superscript"/>
          </w:rPr>
          <w:t> 1a</w:t>
        </w:r>
      </w:ins>
      <w:r>
        <w:rPr>
          <w:snapToGrid w:val="0"/>
        </w:rPr>
        <w:t>.</w:t>
      </w:r>
    </w:p>
    <w:p>
      <w:pPr>
        <w:pStyle w:val="nHeading3"/>
        <w:rPr>
          <w:snapToGrid w:val="0"/>
        </w:rPr>
      </w:pPr>
      <w:bookmarkStart w:id="27" w:name="_Toc294266024"/>
      <w:bookmarkStart w:id="28" w:name="_Toc294266090"/>
      <w:bookmarkStart w:id="29" w:name="_Toc66162637"/>
      <w:r>
        <w:rPr>
          <w:snapToGrid w:val="0"/>
        </w:rPr>
        <w:t>Compilation table</w:t>
      </w:r>
      <w:bookmarkEnd w:id="27"/>
      <w:bookmarkEnd w:id="28"/>
      <w:bookmarkEnd w:id="2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sz w:val="19"/>
              </w:rPr>
            </w:pPr>
            <w:r>
              <w:rPr>
                <w:b/>
                <w:sz w:val="19"/>
              </w:rPr>
              <w:t>Citation</w:t>
            </w:r>
          </w:p>
        </w:tc>
        <w:tc>
          <w:tcPr>
            <w:tcW w:w="1276" w:type="dxa"/>
            <w:tcBorders>
              <w:top w:val="single" w:sz="8" w:space="0" w:color="auto"/>
              <w:bottom w:val="single" w:sz="8" w:space="0" w:color="auto"/>
            </w:tcBorders>
          </w:tcPr>
          <w:p>
            <w:pPr>
              <w:pStyle w:val="nTable"/>
              <w:rPr>
                <w:b/>
                <w:sz w:val="19"/>
              </w:rPr>
            </w:pPr>
            <w:r>
              <w:rPr>
                <w:b/>
                <w:sz w:val="19"/>
              </w:rPr>
              <w:t>Gazettal</w:t>
            </w:r>
          </w:p>
        </w:tc>
        <w:tc>
          <w:tcPr>
            <w:tcW w:w="2693" w:type="dxa"/>
            <w:tcBorders>
              <w:top w:val="single" w:sz="8" w:space="0" w:color="auto"/>
              <w:bottom w:val="single" w:sz="8" w:space="0" w:color="auto"/>
            </w:tcBorders>
          </w:tcPr>
          <w:p>
            <w:pPr>
              <w:pStyle w:val="nTable"/>
              <w:rPr>
                <w:b/>
                <w:sz w:val="19"/>
              </w:rPr>
            </w:pPr>
            <w:r>
              <w:rPr>
                <w:b/>
                <w:sz w:val="19"/>
              </w:rPr>
              <w:t>Commencement</w:t>
            </w:r>
          </w:p>
        </w:tc>
      </w:tr>
      <w:tr>
        <w:tc>
          <w:tcPr>
            <w:tcW w:w="3118" w:type="dxa"/>
          </w:tcPr>
          <w:p>
            <w:pPr>
              <w:pStyle w:val="nTable"/>
              <w:rPr>
                <w:sz w:val="19"/>
              </w:rPr>
            </w:pPr>
            <w:r>
              <w:rPr>
                <w:i/>
                <w:sz w:val="19"/>
              </w:rPr>
              <w:t>Building Disputes Committee Regulations 1992</w:t>
            </w:r>
          </w:p>
        </w:tc>
        <w:tc>
          <w:tcPr>
            <w:tcW w:w="1276" w:type="dxa"/>
          </w:tcPr>
          <w:p>
            <w:pPr>
              <w:pStyle w:val="nTable"/>
              <w:rPr>
                <w:sz w:val="19"/>
              </w:rPr>
            </w:pPr>
            <w:r>
              <w:rPr>
                <w:sz w:val="19"/>
              </w:rPr>
              <w:t>10 Jul 1992 p. 3199</w:t>
            </w:r>
          </w:p>
        </w:tc>
        <w:tc>
          <w:tcPr>
            <w:tcW w:w="2693" w:type="dxa"/>
          </w:tcPr>
          <w:p>
            <w:pPr>
              <w:pStyle w:val="nTable"/>
              <w:rPr>
                <w:sz w:val="19"/>
              </w:rPr>
            </w:pPr>
            <w:r>
              <w:rPr>
                <w:sz w:val="19"/>
              </w:rPr>
              <w:t>10 Jul 1992</w:t>
            </w:r>
          </w:p>
        </w:tc>
      </w:tr>
      <w:tr>
        <w:trPr>
          <w:cantSplit/>
        </w:trPr>
        <w:tc>
          <w:tcPr>
            <w:tcW w:w="7087" w:type="dxa"/>
            <w:gridSpan w:val="3"/>
            <w:tcBorders>
              <w:bottom w:val="single" w:sz="4" w:space="0" w:color="auto"/>
            </w:tcBorders>
          </w:tcPr>
          <w:p>
            <w:pPr>
              <w:pStyle w:val="nTable"/>
              <w:spacing w:after="40"/>
              <w:rPr>
                <w:sz w:val="19"/>
              </w:rPr>
            </w:pPr>
            <w:r>
              <w:rPr>
                <w:b/>
                <w:sz w:val="19"/>
              </w:rPr>
              <w:t>Reprint 1:  The</w:t>
            </w:r>
            <w:r>
              <w:rPr>
                <w:b/>
                <w:i/>
                <w:sz w:val="19"/>
              </w:rPr>
              <w:t xml:space="preserve"> Building Disputes Committee Regulations 1992 </w:t>
            </w:r>
            <w:r>
              <w:rPr>
                <w:b/>
                <w:sz w:val="19"/>
              </w:rPr>
              <w:t xml:space="preserve">as at 13 Feb 2004 </w:t>
            </w:r>
          </w:p>
        </w:tc>
      </w:tr>
    </w:tbl>
    <w:p>
      <w:pPr>
        <w:pStyle w:val="nSubsection"/>
        <w:spacing w:before="360"/>
        <w:ind w:left="482" w:hanging="482"/>
        <w:rPr>
          <w:ins w:id="30" w:author="Master Repository Process" w:date="2021-07-31T09:03:00Z"/>
        </w:rPr>
      </w:pPr>
      <w:ins w:id="31" w:author="Master Repository Process" w:date="2021-07-31T09:03:00Z">
        <w:r>
          <w:rPr>
            <w:vertAlign w:val="superscript"/>
          </w:rPr>
          <w:t>1a</w:t>
        </w:r>
        <w:r>
          <w:tab/>
          <w:t>On the date as at which thi</w:t>
        </w:r>
        <w:bookmarkStart w:id="32" w:name="_Hlt507390729"/>
        <w:bookmarkEnd w:id="32"/>
        <w:r>
          <w:t>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3" w:author="Master Repository Process" w:date="2021-07-31T09:03:00Z"/>
          <w:snapToGrid w:val="0"/>
        </w:rPr>
      </w:pPr>
      <w:bookmarkStart w:id="34" w:name="_Toc272150942"/>
      <w:bookmarkStart w:id="35" w:name="_Toc294266025"/>
      <w:bookmarkStart w:id="36" w:name="_Toc294266091"/>
      <w:ins w:id="37" w:author="Master Repository Process" w:date="2021-07-31T09:03:00Z">
        <w:r>
          <w:rPr>
            <w:snapToGrid w:val="0"/>
          </w:rPr>
          <w:t>Provisions that have not come into operation</w:t>
        </w:r>
        <w:bookmarkEnd w:id="34"/>
        <w:bookmarkEnd w:id="35"/>
        <w:bookmarkEnd w:id="36"/>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38" w:author="Master Repository Process" w:date="2021-07-31T09:03:00Z"/>
        </w:trPr>
        <w:tc>
          <w:tcPr>
            <w:tcW w:w="2268" w:type="dxa"/>
            <w:tcBorders>
              <w:top w:val="single" w:sz="8" w:space="0" w:color="auto"/>
              <w:bottom w:val="single" w:sz="8" w:space="0" w:color="auto"/>
            </w:tcBorders>
          </w:tcPr>
          <w:p>
            <w:pPr>
              <w:pStyle w:val="nTable"/>
              <w:keepNext/>
              <w:spacing w:after="40"/>
              <w:ind w:right="113"/>
              <w:rPr>
                <w:ins w:id="39" w:author="Master Repository Process" w:date="2021-07-31T09:03:00Z"/>
                <w:b/>
                <w:sz w:val="19"/>
              </w:rPr>
            </w:pPr>
            <w:ins w:id="40" w:author="Master Repository Process" w:date="2021-07-31T09:03:00Z">
              <w:r>
                <w:rPr>
                  <w:b/>
                  <w:sz w:val="19"/>
                </w:rPr>
                <w:t>Short title</w:t>
              </w:r>
            </w:ins>
          </w:p>
        </w:tc>
        <w:tc>
          <w:tcPr>
            <w:tcW w:w="1134" w:type="dxa"/>
            <w:tcBorders>
              <w:top w:val="single" w:sz="8" w:space="0" w:color="auto"/>
              <w:bottom w:val="single" w:sz="8" w:space="0" w:color="auto"/>
            </w:tcBorders>
          </w:tcPr>
          <w:p>
            <w:pPr>
              <w:pStyle w:val="nTable"/>
              <w:keepNext/>
              <w:spacing w:after="40"/>
              <w:rPr>
                <w:ins w:id="41" w:author="Master Repository Process" w:date="2021-07-31T09:03:00Z"/>
                <w:b/>
                <w:sz w:val="19"/>
              </w:rPr>
            </w:pPr>
            <w:ins w:id="42" w:author="Master Repository Process" w:date="2021-07-31T09:03:00Z">
              <w:r>
                <w:rPr>
                  <w:b/>
                  <w:sz w:val="19"/>
                </w:rPr>
                <w:t>Number and year</w:t>
              </w:r>
            </w:ins>
          </w:p>
        </w:tc>
        <w:tc>
          <w:tcPr>
            <w:tcW w:w="1134" w:type="dxa"/>
            <w:tcBorders>
              <w:top w:val="single" w:sz="8" w:space="0" w:color="auto"/>
              <w:bottom w:val="single" w:sz="8" w:space="0" w:color="auto"/>
            </w:tcBorders>
          </w:tcPr>
          <w:p>
            <w:pPr>
              <w:pStyle w:val="nTable"/>
              <w:keepNext/>
              <w:spacing w:after="40"/>
              <w:rPr>
                <w:ins w:id="43" w:author="Master Repository Process" w:date="2021-07-31T09:03:00Z"/>
                <w:b/>
                <w:sz w:val="19"/>
              </w:rPr>
            </w:pPr>
            <w:ins w:id="44" w:author="Master Repository Process" w:date="2021-07-31T09:03:00Z">
              <w:r>
                <w:rPr>
                  <w:b/>
                  <w:sz w:val="19"/>
                </w:rPr>
                <w:t>Assent</w:t>
              </w:r>
            </w:ins>
          </w:p>
        </w:tc>
        <w:tc>
          <w:tcPr>
            <w:tcW w:w="2552" w:type="dxa"/>
            <w:tcBorders>
              <w:top w:val="single" w:sz="8" w:space="0" w:color="auto"/>
              <w:bottom w:val="single" w:sz="8" w:space="0" w:color="auto"/>
            </w:tcBorders>
          </w:tcPr>
          <w:p>
            <w:pPr>
              <w:pStyle w:val="nTable"/>
              <w:keepNext/>
              <w:spacing w:after="40"/>
              <w:rPr>
                <w:ins w:id="45" w:author="Master Repository Process" w:date="2021-07-31T09:03:00Z"/>
                <w:b/>
                <w:sz w:val="19"/>
              </w:rPr>
            </w:pPr>
            <w:ins w:id="46" w:author="Master Repository Process" w:date="2021-07-31T09:03:00Z">
              <w:r>
                <w:rPr>
                  <w:b/>
                  <w:sz w:val="19"/>
                </w:rPr>
                <w:t>Commencement</w:t>
              </w:r>
            </w:ins>
          </w:p>
        </w:tc>
      </w:tr>
      <w:tr>
        <w:trPr>
          <w:cantSplit/>
          <w:ins w:id="47" w:author="Master Repository Process" w:date="2021-07-31T09:03:00Z"/>
        </w:trPr>
        <w:tc>
          <w:tcPr>
            <w:tcW w:w="2268" w:type="dxa"/>
            <w:tcBorders>
              <w:bottom w:val="single" w:sz="8" w:space="0" w:color="auto"/>
            </w:tcBorders>
          </w:tcPr>
          <w:p>
            <w:pPr>
              <w:pStyle w:val="nTable"/>
              <w:spacing w:after="40"/>
              <w:ind w:right="113"/>
              <w:rPr>
                <w:ins w:id="48" w:author="Master Repository Process" w:date="2021-07-31T09:03:00Z"/>
                <w:sz w:val="19"/>
              </w:rPr>
            </w:pPr>
            <w:ins w:id="49" w:author="Master Repository Process" w:date="2021-07-31T09:03:00Z">
              <w:r>
                <w:rPr>
                  <w:i/>
                  <w:sz w:val="19"/>
                </w:rPr>
                <w:t>Building Services (Complaint Resolution and Administration) Act 2011</w:t>
              </w:r>
              <w:r>
                <w:rPr>
                  <w:sz w:val="19"/>
                </w:rPr>
                <w:t xml:space="preserve"> s. 131</w:t>
              </w:r>
              <w:r>
                <w:rPr>
                  <w:sz w:val="19"/>
                  <w:vertAlign w:val="superscript"/>
                </w:rPr>
                <w:t> 2</w:t>
              </w:r>
            </w:ins>
          </w:p>
        </w:tc>
        <w:tc>
          <w:tcPr>
            <w:tcW w:w="1134" w:type="dxa"/>
            <w:tcBorders>
              <w:bottom w:val="single" w:sz="8" w:space="0" w:color="auto"/>
            </w:tcBorders>
          </w:tcPr>
          <w:p>
            <w:pPr>
              <w:pStyle w:val="nTable"/>
              <w:spacing w:after="40"/>
              <w:rPr>
                <w:ins w:id="50" w:author="Master Repository Process" w:date="2021-07-31T09:03:00Z"/>
                <w:sz w:val="19"/>
              </w:rPr>
            </w:pPr>
            <w:ins w:id="51" w:author="Master Repository Process" w:date="2021-07-31T09:03:00Z">
              <w:r>
                <w:rPr>
                  <w:sz w:val="19"/>
                </w:rPr>
                <w:t>16 of 2011</w:t>
              </w:r>
            </w:ins>
          </w:p>
        </w:tc>
        <w:tc>
          <w:tcPr>
            <w:tcW w:w="1134" w:type="dxa"/>
            <w:tcBorders>
              <w:bottom w:val="single" w:sz="8" w:space="0" w:color="auto"/>
            </w:tcBorders>
          </w:tcPr>
          <w:p>
            <w:pPr>
              <w:pStyle w:val="nTable"/>
              <w:spacing w:after="40"/>
              <w:rPr>
                <w:ins w:id="52" w:author="Master Repository Process" w:date="2021-07-31T09:03:00Z"/>
                <w:sz w:val="19"/>
              </w:rPr>
            </w:pPr>
            <w:ins w:id="53" w:author="Master Repository Process" w:date="2021-07-31T09:03:00Z">
              <w:r>
                <w:rPr>
                  <w:sz w:val="19"/>
                </w:rPr>
                <w:t>25 May 2011</w:t>
              </w:r>
            </w:ins>
          </w:p>
        </w:tc>
        <w:tc>
          <w:tcPr>
            <w:tcW w:w="2552" w:type="dxa"/>
            <w:tcBorders>
              <w:bottom w:val="single" w:sz="8" w:space="0" w:color="auto"/>
            </w:tcBorders>
          </w:tcPr>
          <w:p>
            <w:pPr>
              <w:pStyle w:val="nTable"/>
              <w:spacing w:after="40"/>
              <w:rPr>
                <w:ins w:id="54" w:author="Master Repository Process" w:date="2021-07-31T09:03:00Z"/>
                <w:sz w:val="19"/>
              </w:rPr>
            </w:pPr>
            <w:ins w:id="55" w:author="Master Repository Process" w:date="2021-07-31T09:03:00Z">
              <w:r>
                <w:rPr>
                  <w:sz w:val="19"/>
                </w:rPr>
                <w:t>To be proclaimed (see s. 2(b))</w:t>
              </w:r>
            </w:ins>
          </w:p>
        </w:tc>
      </w:tr>
    </w:tbl>
    <w:p>
      <w:pPr>
        <w:pStyle w:val="nSubsection"/>
        <w:keepNext/>
        <w:keepLines/>
        <w:rPr>
          <w:ins w:id="56" w:author="Master Repository Process" w:date="2021-07-31T09:03:00Z"/>
        </w:rPr>
      </w:pPr>
      <w:ins w:id="57" w:author="Master Repository Process" w:date="2021-07-31T09:03:00Z">
        <w:r>
          <w:rPr>
            <w:vertAlign w:val="superscript"/>
          </w:rPr>
          <w:t>2</w:t>
        </w:r>
        <w:r>
          <w:rPr>
            <w:vertAlign w:val="superscript"/>
          </w:rPr>
          <w:tab/>
        </w:r>
        <w:r>
          <w:t>On the date as at which this compilation was prepared, the</w:t>
        </w:r>
        <w:r>
          <w:rPr>
            <w:iCs/>
          </w:rPr>
          <w:t xml:space="preserve"> </w:t>
        </w:r>
        <w:r>
          <w:rPr>
            <w:i/>
          </w:rPr>
          <w:t>Building Services (Complaint Resolution and Administration) Act 2011</w:t>
        </w:r>
        <w:r>
          <w:t xml:space="preserve"> s. 131 had not come into operation.  It reads as follows:</w:t>
        </w:r>
      </w:ins>
    </w:p>
    <w:p>
      <w:pPr>
        <w:pStyle w:val="BlankOpen"/>
        <w:rPr>
          <w:ins w:id="58" w:author="Master Repository Process" w:date="2021-07-31T09:03:00Z"/>
        </w:rPr>
      </w:pPr>
    </w:p>
    <w:p>
      <w:pPr>
        <w:pStyle w:val="nzHeading5"/>
        <w:rPr>
          <w:ins w:id="59" w:author="Master Repository Process" w:date="2021-07-31T09:03:00Z"/>
        </w:rPr>
      </w:pPr>
      <w:bookmarkStart w:id="60" w:name="_Toc293532925"/>
      <w:bookmarkStart w:id="61" w:name="_Toc294099340"/>
      <w:bookmarkStart w:id="62" w:name="_Toc294099684"/>
      <w:ins w:id="63" w:author="Master Repository Process" w:date="2021-07-31T09:03:00Z">
        <w:r>
          <w:rPr>
            <w:rStyle w:val="CharSectno"/>
          </w:rPr>
          <w:t>131</w:t>
        </w:r>
        <w:r>
          <w:t>.</w:t>
        </w:r>
        <w:r>
          <w:tab/>
        </w:r>
        <w:r>
          <w:rPr>
            <w:i/>
          </w:rPr>
          <w:t>Building Disputes Committee Regulations 1992</w:t>
        </w:r>
        <w:r>
          <w:t xml:space="preserve"> repealed</w:t>
        </w:r>
        <w:bookmarkEnd w:id="60"/>
        <w:bookmarkEnd w:id="61"/>
        <w:bookmarkEnd w:id="62"/>
      </w:ins>
    </w:p>
    <w:p>
      <w:pPr>
        <w:pStyle w:val="nzSubsection"/>
        <w:rPr>
          <w:ins w:id="64" w:author="Master Repository Process" w:date="2021-07-31T09:03:00Z"/>
        </w:rPr>
      </w:pPr>
      <w:ins w:id="65" w:author="Master Repository Process" w:date="2021-07-31T09:03:00Z">
        <w:r>
          <w:tab/>
        </w:r>
        <w:r>
          <w:tab/>
          <w:t xml:space="preserve">The </w:t>
        </w:r>
        <w:r>
          <w:rPr>
            <w:i/>
            <w:iCs/>
          </w:rPr>
          <w:t>Building Disputes Committee Regulations 1992</w:t>
        </w:r>
        <w:r>
          <w:t xml:space="preserve"> are repealed.</w:t>
        </w:r>
      </w:ins>
    </w:p>
    <w:p>
      <w:pPr>
        <w:pStyle w:val="BlankClose"/>
        <w:rPr>
          <w:ins w:id="66" w:author="Master Repository Process" w:date="2021-07-31T09:03:00Z"/>
        </w:rPr>
      </w:pP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Disputes Committee Regulations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Disputes Committee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Disputes Committee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Disputes Committee Regulations 1992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Disputes Committee Regulations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Disputes Committee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Disputes Committee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4"/>
  </w:num>
  <w:num w:numId="1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3251C842-6C17-4F8D-BDF9-0DFA1C04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460</Words>
  <Characters>2369</Characters>
  <Application>Microsoft Office Word</Application>
  <DocSecurity>0</DocSecurity>
  <Lines>98</Lines>
  <Paragraphs>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Disputes Committee Regulations 1992 01-a0-05 - 01-b0-02</dc:title>
  <dc:subject/>
  <dc:creator/>
  <cp:keywords/>
  <dc:description/>
  <cp:lastModifiedBy>Master Repository Process</cp:lastModifiedBy>
  <cp:revision>2</cp:revision>
  <cp:lastPrinted>2004-02-06T04:05:00Z</cp:lastPrinted>
  <dcterms:created xsi:type="dcterms:W3CDTF">2021-07-31T01:03:00Z</dcterms:created>
  <dcterms:modified xsi:type="dcterms:W3CDTF">2021-07-31T01:03:00Z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10-Jul-1992 p.3199 </vt:lpwstr>
  </property>
  <property fmtid="{D5CDD505-2E9C-101B-9397-08002B2CF9AE}" pid="3" name="CommencementDate">
    <vt:lpwstr>20110525</vt:lpwstr>
  </property>
  <property fmtid="{D5CDD505-2E9C-101B-9397-08002B2CF9AE}" pid="4" name="DocumentType">
    <vt:lpwstr>Reg</vt:lpwstr>
  </property>
  <property fmtid="{D5CDD505-2E9C-101B-9397-08002B2CF9AE}" pid="5" name="OwlsUID">
    <vt:i4>4305</vt:i4>
  </property>
  <property fmtid="{D5CDD505-2E9C-101B-9397-08002B2CF9AE}" pid="6" name="FromSuffix">
    <vt:lpwstr>01-a0-05</vt:lpwstr>
  </property>
  <property fmtid="{D5CDD505-2E9C-101B-9397-08002B2CF9AE}" pid="7" name="FromAsAtDate">
    <vt:lpwstr>13 Feb 2004</vt:lpwstr>
  </property>
  <property fmtid="{D5CDD505-2E9C-101B-9397-08002B2CF9AE}" pid="8" name="ToSuffix">
    <vt:lpwstr>01-b0-02</vt:lpwstr>
  </property>
  <property fmtid="{D5CDD505-2E9C-101B-9397-08002B2CF9AE}" pid="9" name="ToAsAtDate">
    <vt:lpwstr>25 May 2011</vt:lpwstr>
  </property>
</Properties>
</file>