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389741071"/>
      <w:bookmarkStart w:id="1" w:name="_Toc389741015"/>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3" w:name="_Toc389741072"/>
      <w:bookmarkStart w:id="4" w:name="_Toc389741016"/>
      <w:r>
        <w:rPr>
          <w:rStyle w:val="CharSectno"/>
        </w:rPr>
        <w:t>2</w:t>
      </w:r>
      <w:r>
        <w:rPr>
          <w:snapToGrid w:val="0"/>
        </w:rPr>
        <w:t>.</w:t>
      </w:r>
      <w:r>
        <w:rPr>
          <w:snapToGrid w:val="0"/>
        </w:rPr>
        <w:tab/>
        <w:t>Terms used in these rules</w:t>
      </w:r>
      <w:bookmarkEnd w:id="3"/>
      <w:bookmarkEnd w:id="4"/>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5" w:name="_Toc389741073"/>
      <w:bookmarkStart w:id="6" w:name="_Toc389741017"/>
      <w:r>
        <w:rPr>
          <w:rStyle w:val="CharSectno"/>
        </w:rPr>
        <w:t>3</w:t>
      </w:r>
      <w:r>
        <w:rPr>
          <w:snapToGrid w:val="0"/>
        </w:rPr>
        <w:t>.</w:t>
      </w:r>
      <w:r>
        <w:rPr>
          <w:snapToGrid w:val="0"/>
        </w:rPr>
        <w:tab/>
        <w:t>Nomination of appointee members</w:t>
      </w:r>
      <w:bookmarkEnd w:id="5"/>
      <w:bookmarkEnd w:id="6"/>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7" w:name="_Toc389741074"/>
      <w:bookmarkStart w:id="8" w:name="_Toc389741018"/>
      <w:r>
        <w:rPr>
          <w:rStyle w:val="CharSectno"/>
        </w:rPr>
        <w:t>4</w:t>
      </w:r>
      <w:r>
        <w:rPr>
          <w:snapToGrid w:val="0"/>
        </w:rPr>
        <w:t>.</w:t>
      </w:r>
      <w:r>
        <w:rPr>
          <w:snapToGrid w:val="0"/>
        </w:rPr>
        <w:tab/>
        <w:t>Meetings and business of the Board</w:t>
      </w:r>
      <w:bookmarkEnd w:id="7"/>
      <w:bookmarkEnd w:id="8"/>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Deleted in Gazette 30 Dec 1983 p. 5134.]</w:t>
      </w:r>
    </w:p>
    <w:p>
      <w:pPr>
        <w:pStyle w:val="Heading5"/>
        <w:rPr>
          <w:snapToGrid w:val="0"/>
        </w:rPr>
      </w:pPr>
      <w:bookmarkStart w:id="9" w:name="_Toc389741075"/>
      <w:bookmarkStart w:id="10" w:name="_Toc389741019"/>
      <w:r>
        <w:rPr>
          <w:rStyle w:val="CharSectno"/>
        </w:rPr>
        <w:t>6</w:t>
      </w:r>
      <w:r>
        <w:rPr>
          <w:snapToGrid w:val="0"/>
        </w:rPr>
        <w:t>.</w:t>
      </w:r>
      <w:r>
        <w:rPr>
          <w:snapToGrid w:val="0"/>
        </w:rPr>
        <w:tab/>
        <w:t>The Register of Painters (s. 10)</w:t>
      </w:r>
      <w:bookmarkEnd w:id="9"/>
      <w:bookmarkEnd w:id="10"/>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11" w:name="_Toc389741076"/>
      <w:bookmarkStart w:id="12" w:name="_Toc389741020"/>
      <w:r>
        <w:rPr>
          <w:rStyle w:val="CharSectno"/>
        </w:rPr>
        <w:t>7</w:t>
      </w:r>
      <w:r>
        <w:rPr>
          <w:snapToGrid w:val="0"/>
        </w:rPr>
        <w:t>.</w:t>
      </w:r>
      <w:r>
        <w:rPr>
          <w:snapToGrid w:val="0"/>
        </w:rPr>
        <w:tab/>
        <w:t>Registration — individuals (s. 12)</w:t>
      </w:r>
      <w:bookmarkEnd w:id="11"/>
      <w:bookmarkEnd w:id="12"/>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deleted]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pPr>
      <w:bookmarkStart w:id="13" w:name="_Toc389741077"/>
      <w:bookmarkStart w:id="14" w:name="_Toc389741021"/>
      <w:r>
        <w:rPr>
          <w:rStyle w:val="CharSectno"/>
        </w:rPr>
        <w:t>8A</w:t>
      </w:r>
      <w:r>
        <w:t>.</w:t>
      </w:r>
      <w:r>
        <w:tab/>
        <w:t>Prescribed qualifications (Act s. 12(1)(b)(i))</w:t>
      </w:r>
      <w:bookmarkEnd w:id="13"/>
      <w:bookmarkEnd w:id="14"/>
    </w:p>
    <w:p>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pPr>
        <w:pStyle w:val="Footnotesection"/>
      </w:pPr>
      <w:r>
        <w:tab/>
        <w:t>[Rule 8A inserted in Gazette 23 Jul 2010 p. 3399.]</w:t>
      </w:r>
    </w:p>
    <w:p>
      <w:pPr>
        <w:pStyle w:val="Heading5"/>
        <w:rPr>
          <w:snapToGrid w:val="0"/>
        </w:rPr>
      </w:pPr>
      <w:bookmarkStart w:id="15" w:name="_Toc389741078"/>
      <w:bookmarkStart w:id="16" w:name="_Toc389741022"/>
      <w:r>
        <w:rPr>
          <w:rStyle w:val="CharSectno"/>
        </w:rPr>
        <w:t>8</w:t>
      </w:r>
      <w:r>
        <w:rPr>
          <w:snapToGrid w:val="0"/>
        </w:rPr>
        <w:t>.</w:t>
      </w:r>
      <w:r>
        <w:rPr>
          <w:snapToGrid w:val="0"/>
        </w:rPr>
        <w:tab/>
        <w:t>Course of training and examinations (s. 13)</w:t>
      </w:r>
      <w:bookmarkEnd w:id="15"/>
      <w:bookmarkEnd w:id="16"/>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pPr>
      <w:r>
        <w:tab/>
        <w:t>(2A)</w:t>
      </w:r>
      <w:r>
        <w:tab/>
        <w:t xml:space="preserve">The prescribed additional examinations that persons applying to be registered under section 12(1)(b) of the Act have to have passed are examinations on the subjects of — </w:t>
      </w:r>
    </w:p>
    <w:p>
      <w:pPr>
        <w:pStyle w:val="Indenta"/>
      </w:pPr>
      <w:r>
        <w:tab/>
        <w:t>(a)</w:t>
      </w:r>
      <w:r>
        <w:tab/>
        <w:t>business management; and</w:t>
      </w:r>
    </w:p>
    <w:p>
      <w:pPr>
        <w:pStyle w:val="Indenta"/>
        <w:rPr>
          <w:szCs w:val="24"/>
        </w:rPr>
      </w:pPr>
      <w:r>
        <w:tab/>
        <w:t>(b)</w:t>
      </w:r>
      <w:r>
        <w:tab/>
        <w:t>estimating and specification.</w:t>
      </w:r>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 23 Jul 2010 p. 3400.]</w:t>
      </w:r>
    </w:p>
    <w:p>
      <w:pPr>
        <w:pStyle w:val="Heading5"/>
        <w:rPr>
          <w:snapToGrid w:val="0"/>
        </w:rPr>
      </w:pPr>
      <w:bookmarkStart w:id="17" w:name="_Toc389741079"/>
      <w:bookmarkStart w:id="18" w:name="_Toc389741023"/>
      <w:r>
        <w:rPr>
          <w:rStyle w:val="CharSectno"/>
        </w:rPr>
        <w:t>9</w:t>
      </w:r>
      <w:r>
        <w:rPr>
          <w:snapToGrid w:val="0"/>
        </w:rPr>
        <w:t>.</w:t>
      </w:r>
      <w:r>
        <w:rPr>
          <w:snapToGrid w:val="0"/>
        </w:rPr>
        <w:tab/>
        <w:t>Applicants for examination</w:t>
      </w:r>
      <w:bookmarkEnd w:id="17"/>
      <w:bookmarkEnd w:id="18"/>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19" w:name="_Toc389741080"/>
      <w:bookmarkStart w:id="20" w:name="_Toc389741024"/>
      <w:r>
        <w:rPr>
          <w:rStyle w:val="CharSectno"/>
        </w:rPr>
        <w:t>10</w:t>
      </w:r>
      <w:r>
        <w:rPr>
          <w:snapToGrid w:val="0"/>
        </w:rPr>
        <w:t>.</w:t>
      </w:r>
      <w:r>
        <w:rPr>
          <w:snapToGrid w:val="0"/>
        </w:rPr>
        <w:tab/>
        <w:t>Registration of partnerships, companies and other bodies corporate (s. 14)</w:t>
      </w:r>
      <w:bookmarkEnd w:id="19"/>
      <w:bookmarkEnd w:id="20"/>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21" w:name="_Toc389741081"/>
      <w:bookmarkStart w:id="22" w:name="_Toc389741025"/>
      <w:r>
        <w:rPr>
          <w:rStyle w:val="CharSectno"/>
        </w:rPr>
        <w:t>10A</w:t>
      </w:r>
      <w:r>
        <w:rPr>
          <w:snapToGrid w:val="0"/>
        </w:rPr>
        <w:t>.</w:t>
      </w:r>
      <w:r>
        <w:rPr>
          <w:snapToGrid w:val="0"/>
        </w:rPr>
        <w:tab/>
        <w:t>Change of address</w:t>
      </w:r>
      <w:bookmarkEnd w:id="21"/>
      <w:bookmarkEnd w:id="22"/>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t>Deleted in Gazette 30 Dec 2004 p. 7019.]</w:t>
      </w:r>
    </w:p>
    <w:p>
      <w:pPr>
        <w:pStyle w:val="Heading5"/>
        <w:rPr>
          <w:snapToGrid w:val="0"/>
        </w:rPr>
      </w:pPr>
      <w:bookmarkStart w:id="23" w:name="_Toc389741082"/>
      <w:bookmarkStart w:id="24" w:name="_Toc389741026"/>
      <w:r>
        <w:rPr>
          <w:rStyle w:val="CharSectno"/>
        </w:rPr>
        <w:t>12</w:t>
      </w:r>
      <w:r>
        <w:rPr>
          <w:snapToGrid w:val="0"/>
        </w:rPr>
        <w:t>.</w:t>
      </w:r>
      <w:r>
        <w:rPr>
          <w:snapToGrid w:val="0"/>
        </w:rPr>
        <w:tab/>
        <w:t>Statutory declarations</w:t>
      </w:r>
      <w:bookmarkEnd w:id="23"/>
      <w:bookmarkEnd w:id="24"/>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25" w:name="_Toc389741083"/>
      <w:bookmarkStart w:id="26" w:name="_Toc389741027"/>
      <w:r>
        <w:rPr>
          <w:rStyle w:val="CharSectno"/>
        </w:rPr>
        <w:t>13</w:t>
      </w:r>
      <w:r>
        <w:rPr>
          <w:snapToGrid w:val="0"/>
        </w:rPr>
        <w:t>.</w:t>
      </w:r>
      <w:r>
        <w:rPr>
          <w:snapToGrid w:val="0"/>
        </w:rPr>
        <w:tab/>
        <w:t>Fees</w:t>
      </w:r>
      <w:bookmarkEnd w:id="25"/>
      <w:bookmarkEnd w:id="26"/>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deleted in Gazette 30 Dec 1983 p. 5134.]</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7" w:name="_Toc389741084"/>
      <w:bookmarkStart w:id="28" w:name="_Toc389741028"/>
      <w:r>
        <w:rPr>
          <w:rStyle w:val="CharSchNo"/>
        </w:rPr>
        <w:t>Second Appendix</w:t>
      </w:r>
      <w:bookmarkEnd w:id="27"/>
      <w:bookmarkEnd w:id="28"/>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t>
            </w:r>
            <w:smartTag w:uri="urn:schemas-microsoft-com:office:smarttags" w:element="place">
              <w:smartTag w:uri="urn:schemas-microsoft-com:office:smarttags" w:element="State">
                <w:r>
                  <w:t>Western Australia</w:t>
                </w:r>
              </w:smartTag>
            </w:smartTag>
            <w:r>
              <w:t xml:space="preserve">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Body"/>
        <w:rPr>
          <w:b/>
          <w:bCs/>
        </w:rPr>
      </w:pPr>
      <w:r>
        <w:rPr>
          <w:b/>
          <w:bCs/>
        </w:rPr>
        <w:t>Statutory declaration</w:t>
      </w:r>
    </w:p>
    <w:p>
      <w:pPr>
        <w:pStyle w:val="yMiscellaneousBody"/>
      </w:pPr>
      <w:r>
        <w:t>I,</w:t>
      </w:r>
    </w:p>
    <w:p>
      <w:pPr>
        <w:pStyle w:val="yMiscellaneousBody"/>
      </w:pPr>
      <w:r>
        <w:t>[</w:t>
      </w:r>
      <w:r>
        <w:rPr>
          <w:i/>
        </w:rPr>
        <w:t>name, address and occupation of person making the declaration</w:t>
      </w:r>
      <w:r>
        <w:t>]</w:t>
      </w:r>
    </w:p>
    <w:p>
      <w:pPr>
        <w:pStyle w:val="yMiscellaneousBody"/>
      </w:pPr>
      <w:r>
        <w:t>sincerely declare that the information provided by me in this application is true and correct.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 of person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2 inserted in Gazette 30 Jan 1976 p. 238</w:t>
      </w:r>
      <w:r>
        <w:noBreakHyphen/>
        <w:t>9; amended in Gazette 2 Dec 1983 p. 4800; 24 Dec 1991 p. 6396; 15 Jun 2007 p. 2780; 23 Jul 2010 p. 3400.]</w:t>
      </w:r>
    </w:p>
    <w:p>
      <w:pPr>
        <w:pStyle w:val="yMiscellaneousHeading"/>
        <w:pageBreakBefore/>
        <w:rPr>
          <w:b/>
        </w:rPr>
      </w:pPr>
      <w:r>
        <w:rPr>
          <w:b/>
        </w:rPr>
        <w:t>Form No. 3</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smartTag w:uri="urn:schemas-microsoft-com:office:smarttags" w:element="State">
        <w:smartTag w:uri="urn:schemas-microsoft-com:office:smarttags" w:element="place">
          <w:r>
            <w:t>Western Australia</w:t>
          </w:r>
        </w:smartTag>
      </w:smartTag>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 xml:space="preserve">of </w:t>
            </w:r>
            <w:smartTag w:uri="urn:schemas-microsoft-com:office:smarttags" w:element="place">
              <w:smartTag w:uri="urn:schemas-microsoft-com:office:smarttags" w:element="State">
                <w:r>
                  <w:t>Western Australia</w:t>
                </w:r>
              </w:smartTag>
            </w:smartTag>
            <w:r>
              <w:t>,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 xml:space="preserve">in the State of </w:t>
      </w:r>
      <w:smartTag w:uri="urn:schemas-microsoft-com:office:smarttags" w:element="place">
        <w:smartTag w:uri="urn:schemas-microsoft-com:office:smarttags" w:element="State">
          <w:r>
            <w:t>Western Australia</w:t>
          </w:r>
        </w:smartTag>
      </w:smartTag>
      <w:r>
        <w:t>,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t>
            </w:r>
            <w:smartTag w:uri="urn:schemas-microsoft-com:office:smarttags" w:element="State">
              <w:smartTag w:uri="urn:schemas-microsoft-com:office:smarttags" w:element="place">
                <w:r>
                  <w:t>Western Australia</w:t>
                </w:r>
              </w:smartTag>
            </w:smartTag>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29" w:name="_Toc389741085"/>
      <w:bookmarkStart w:id="30" w:name="_Toc389741029"/>
      <w:r>
        <w:rPr>
          <w:rStyle w:val="CharSchNo"/>
        </w:rPr>
        <w:t>Third Appendix</w:t>
      </w:r>
      <w:r>
        <w:rPr>
          <w:rStyle w:val="CharSDivNo"/>
        </w:rPr>
        <w:t> </w:t>
      </w:r>
      <w:r>
        <w:t>—</w:t>
      </w:r>
      <w:r>
        <w:rPr>
          <w:rStyle w:val="CharSDivText"/>
        </w:rPr>
        <w:t> </w:t>
      </w:r>
      <w:r>
        <w:rPr>
          <w:rStyle w:val="CharSchText"/>
        </w:rPr>
        <w:t>Fees</w:t>
      </w:r>
      <w:bookmarkEnd w:id="29"/>
      <w:bookmarkEnd w:id="30"/>
    </w:p>
    <w:p>
      <w:pPr>
        <w:pStyle w:val="yShoulderClause"/>
      </w:pPr>
      <w:r>
        <w:t>[r.</w:t>
      </w:r>
      <w:del w:id="31" w:author="Master Repository Process" w:date="2021-09-11T17:47:00Z">
        <w:r>
          <w:delText> </w:delText>
        </w:r>
      </w:del>
      <w:ins w:id="32" w:author="Master Repository Process" w:date="2021-09-11T17:47:00Z">
        <w:r>
          <w:t xml:space="preserve"> </w:t>
        </w:r>
      </w:ins>
      <w:r>
        <w:t>13]</w:t>
      </w:r>
    </w:p>
    <w:p>
      <w:pPr>
        <w:pStyle w:val="yFootnoteheading"/>
      </w:pPr>
      <w:r>
        <w:tab/>
        <w:t xml:space="preserve">[Heading inserted in Gazette </w:t>
      </w:r>
      <w:del w:id="33" w:author="Master Repository Process" w:date="2021-09-11T17:47:00Z">
        <w:r>
          <w:delText>25</w:delText>
        </w:r>
      </w:del>
      <w:ins w:id="34" w:author="Master Repository Process" w:date="2021-09-11T17:47:00Z">
        <w:r>
          <w:t>22</w:t>
        </w:r>
      </w:ins>
      <w:r>
        <w:t> Jun </w:t>
      </w:r>
      <w:del w:id="35" w:author="Master Repository Process" w:date="2021-09-11T17:47:00Z">
        <w:r>
          <w:delText>2010</w:delText>
        </w:r>
      </w:del>
      <w:ins w:id="36" w:author="Master Repository Process" w:date="2021-09-11T17:47:00Z">
        <w:r>
          <w:t>2011</w:t>
        </w:r>
      </w:ins>
      <w:r>
        <w:t xml:space="preserve"> p. </w:t>
      </w:r>
      <w:del w:id="37" w:author="Master Repository Process" w:date="2021-09-11T17:47:00Z">
        <w:r>
          <w:delText>2855</w:delText>
        </w:r>
      </w:del>
      <w:ins w:id="38" w:author="Master Repository Process" w:date="2021-09-11T17:47:00Z">
        <w:r>
          <w:t>2322</w:t>
        </w:r>
      </w:ins>
      <w:r>
        <w:t>.]</w:t>
      </w:r>
    </w:p>
    <w:p>
      <w:pPr>
        <w:pStyle w:val="ySubsection"/>
      </w:pPr>
      <w:r>
        <w:tab/>
      </w:r>
      <w:r>
        <w:tab/>
        <w:t xml:space="preserve">The following fees are prescribed for the purposes of these rules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969"/>
        <w:gridCol w:w="993"/>
      </w:tblGrid>
      <w:tr>
        <w:trPr>
          <w:tblHeader/>
        </w:trPr>
        <w:tc>
          <w:tcPr>
            <w:tcW w:w="850" w:type="dxa"/>
          </w:tcPr>
          <w:p>
            <w:pPr>
              <w:pStyle w:val="yTableNAm"/>
            </w:pPr>
          </w:p>
        </w:tc>
        <w:tc>
          <w:tcPr>
            <w:tcW w:w="3969" w:type="dxa"/>
          </w:tcPr>
          <w:p>
            <w:pPr>
              <w:pStyle w:val="yTableNAm"/>
            </w:pPr>
          </w:p>
        </w:tc>
        <w:tc>
          <w:tcPr>
            <w:tcW w:w="993" w:type="dxa"/>
          </w:tcPr>
          <w:p>
            <w:pPr>
              <w:pStyle w:val="yTableNAm"/>
              <w:jc w:val="center"/>
              <w:rPr>
                <w:b/>
                <w:bCs/>
              </w:rPr>
            </w:pPr>
            <w:r>
              <w:rPr>
                <w:b/>
                <w:bCs/>
              </w:rPr>
              <w:t>$</w:t>
            </w:r>
          </w:p>
        </w:tc>
      </w:tr>
      <w:tr>
        <w:tc>
          <w:tcPr>
            <w:tcW w:w="850" w:type="dxa"/>
          </w:tcPr>
          <w:p>
            <w:pPr>
              <w:pStyle w:val="yTableNAm"/>
            </w:pPr>
            <w:r>
              <w:t>1.</w:t>
            </w:r>
          </w:p>
        </w:tc>
        <w:tc>
          <w:tcPr>
            <w:tcW w:w="3969" w:type="dxa"/>
          </w:tcPr>
          <w:p>
            <w:pPr>
              <w:pStyle w:val="yTableNAm"/>
            </w:pPr>
            <w:r>
              <w:t>For examination</w:t>
            </w:r>
          </w:p>
        </w:tc>
        <w:tc>
          <w:tcPr>
            <w:tcW w:w="993" w:type="dxa"/>
          </w:tcPr>
          <w:p>
            <w:pPr>
              <w:pStyle w:val="yTableNAm"/>
              <w:jc w:val="right"/>
            </w:pPr>
            <w:r>
              <w:t>6.30</w:t>
            </w:r>
          </w:p>
        </w:tc>
      </w:tr>
      <w:tr>
        <w:tc>
          <w:tcPr>
            <w:tcW w:w="850" w:type="dxa"/>
          </w:tcPr>
          <w:p>
            <w:pPr>
              <w:pStyle w:val="yTableNAm"/>
            </w:pPr>
            <w:r>
              <w:t>2.</w:t>
            </w:r>
          </w:p>
        </w:tc>
        <w:tc>
          <w:tcPr>
            <w:tcW w:w="3969" w:type="dxa"/>
          </w:tcPr>
          <w:p>
            <w:pPr>
              <w:pStyle w:val="yTableNAm"/>
            </w:pPr>
            <w:r>
              <w:t xml:space="preserve">For application for registration — </w:t>
            </w:r>
          </w:p>
        </w:tc>
        <w:tc>
          <w:tcPr>
            <w:tcW w:w="993" w:type="dxa"/>
          </w:tcPr>
          <w:p>
            <w:pPr>
              <w:pStyle w:val="yTableNAm"/>
              <w:jc w:val="right"/>
            </w:pPr>
          </w:p>
        </w:tc>
      </w:tr>
      <w:tr>
        <w:tc>
          <w:tcPr>
            <w:tcW w:w="850" w:type="dxa"/>
          </w:tcPr>
          <w:p>
            <w:pPr>
              <w:pStyle w:val="yTableNAm"/>
            </w:pPr>
          </w:p>
        </w:tc>
        <w:tc>
          <w:tcPr>
            <w:tcW w:w="3969" w:type="dxa"/>
          </w:tcPr>
          <w:p>
            <w:pPr>
              <w:pStyle w:val="yTableNAm"/>
            </w:pPr>
            <w:del w:id="39" w:author="Master Repository Process" w:date="2021-09-11T17:47:00Z">
              <w:r>
                <w:tab/>
              </w:r>
            </w:del>
            <w:r>
              <w:t>(a)</w:t>
            </w:r>
            <w:r>
              <w:tab/>
              <w:t>companies</w:t>
            </w:r>
          </w:p>
        </w:tc>
        <w:tc>
          <w:tcPr>
            <w:tcW w:w="993" w:type="dxa"/>
          </w:tcPr>
          <w:p>
            <w:pPr>
              <w:pStyle w:val="yTableNAm"/>
              <w:jc w:val="right"/>
            </w:pPr>
            <w:del w:id="40" w:author="Master Repository Process" w:date="2021-09-11T17:47:00Z">
              <w:r>
                <w:delText>120</w:delText>
              </w:r>
            </w:del>
            <w:ins w:id="41" w:author="Master Repository Process" w:date="2021-09-11T17:47:00Z">
              <w:r>
                <w:t>123</w:t>
              </w:r>
            </w:ins>
            <w:r>
              <w:t>.00</w:t>
            </w:r>
          </w:p>
        </w:tc>
      </w:tr>
      <w:tr>
        <w:tc>
          <w:tcPr>
            <w:tcW w:w="850" w:type="dxa"/>
          </w:tcPr>
          <w:p>
            <w:pPr>
              <w:pStyle w:val="yTableNAm"/>
            </w:pPr>
          </w:p>
        </w:tc>
        <w:tc>
          <w:tcPr>
            <w:tcW w:w="3969" w:type="dxa"/>
          </w:tcPr>
          <w:p>
            <w:pPr>
              <w:pStyle w:val="yTableNAm"/>
            </w:pPr>
            <w:del w:id="42" w:author="Master Repository Process" w:date="2021-09-11T17:47:00Z">
              <w:r>
                <w:tab/>
              </w:r>
            </w:del>
            <w:r>
              <w:t>(b)</w:t>
            </w:r>
            <w:r>
              <w:tab/>
              <w:t>individuals</w:t>
            </w:r>
          </w:p>
        </w:tc>
        <w:tc>
          <w:tcPr>
            <w:tcW w:w="993" w:type="dxa"/>
          </w:tcPr>
          <w:p>
            <w:pPr>
              <w:pStyle w:val="yTableNAm"/>
              <w:jc w:val="right"/>
            </w:pPr>
            <w:del w:id="43" w:author="Master Repository Process" w:date="2021-09-11T17:47:00Z">
              <w:r>
                <w:delText>120</w:delText>
              </w:r>
            </w:del>
            <w:ins w:id="44" w:author="Master Repository Process" w:date="2021-09-11T17:47:00Z">
              <w:r>
                <w:t>123</w:t>
              </w:r>
            </w:ins>
            <w:r>
              <w:t>.00</w:t>
            </w:r>
          </w:p>
        </w:tc>
      </w:tr>
      <w:tr>
        <w:tc>
          <w:tcPr>
            <w:tcW w:w="850" w:type="dxa"/>
          </w:tcPr>
          <w:p>
            <w:pPr>
              <w:pStyle w:val="yTableNAm"/>
            </w:pPr>
          </w:p>
        </w:tc>
        <w:tc>
          <w:tcPr>
            <w:tcW w:w="3969" w:type="dxa"/>
          </w:tcPr>
          <w:p>
            <w:pPr>
              <w:pStyle w:val="yTableNAm"/>
            </w:pPr>
            <w:del w:id="45" w:author="Master Repository Process" w:date="2021-09-11T17:47:00Z">
              <w:r>
                <w:tab/>
              </w:r>
            </w:del>
            <w:r>
              <w:t>(c)</w:t>
            </w:r>
            <w:r>
              <w:tab/>
              <w:t>partnerships</w:t>
            </w:r>
          </w:p>
        </w:tc>
        <w:tc>
          <w:tcPr>
            <w:tcW w:w="993" w:type="dxa"/>
          </w:tcPr>
          <w:p>
            <w:pPr>
              <w:pStyle w:val="yTableNAm"/>
              <w:jc w:val="right"/>
            </w:pPr>
            <w:del w:id="46" w:author="Master Repository Process" w:date="2021-09-11T17:47:00Z">
              <w:r>
                <w:delText>92</w:delText>
              </w:r>
            </w:del>
            <w:ins w:id="47" w:author="Master Repository Process" w:date="2021-09-11T17:47:00Z">
              <w:r>
                <w:t>94</w:t>
              </w:r>
            </w:ins>
            <w:r>
              <w:t>.00</w:t>
            </w:r>
          </w:p>
        </w:tc>
      </w:tr>
      <w:tr>
        <w:tc>
          <w:tcPr>
            <w:tcW w:w="850" w:type="dxa"/>
          </w:tcPr>
          <w:p>
            <w:pPr>
              <w:pStyle w:val="yTableNAm"/>
            </w:pPr>
            <w:r>
              <w:t>3.</w:t>
            </w:r>
          </w:p>
        </w:tc>
        <w:tc>
          <w:tcPr>
            <w:tcW w:w="3969" w:type="dxa"/>
          </w:tcPr>
          <w:p>
            <w:pPr>
              <w:pStyle w:val="yTableNAm"/>
            </w:pPr>
            <w:r>
              <w:t xml:space="preserve">For annual registration fee — </w:t>
            </w:r>
          </w:p>
        </w:tc>
        <w:tc>
          <w:tcPr>
            <w:tcW w:w="993" w:type="dxa"/>
          </w:tcPr>
          <w:p>
            <w:pPr>
              <w:pStyle w:val="yTableNAm"/>
              <w:jc w:val="right"/>
            </w:pPr>
          </w:p>
        </w:tc>
      </w:tr>
      <w:tr>
        <w:tc>
          <w:tcPr>
            <w:tcW w:w="850" w:type="dxa"/>
          </w:tcPr>
          <w:p>
            <w:pPr>
              <w:pStyle w:val="yTableNAm"/>
            </w:pPr>
          </w:p>
        </w:tc>
        <w:tc>
          <w:tcPr>
            <w:tcW w:w="3969" w:type="dxa"/>
          </w:tcPr>
          <w:p>
            <w:pPr>
              <w:pStyle w:val="yTableNAm"/>
            </w:pPr>
            <w:del w:id="48" w:author="Master Repository Process" w:date="2021-09-11T17:47:00Z">
              <w:r>
                <w:tab/>
              </w:r>
            </w:del>
            <w:r>
              <w:t>(a)</w:t>
            </w:r>
            <w:r>
              <w:tab/>
              <w:t>companies</w:t>
            </w:r>
          </w:p>
        </w:tc>
        <w:tc>
          <w:tcPr>
            <w:tcW w:w="993" w:type="dxa"/>
          </w:tcPr>
          <w:p>
            <w:pPr>
              <w:pStyle w:val="yTableNAm"/>
              <w:jc w:val="right"/>
            </w:pPr>
            <w:del w:id="49" w:author="Master Repository Process" w:date="2021-09-11T17:47:00Z">
              <w:r>
                <w:delText>346</w:delText>
              </w:r>
            </w:del>
            <w:ins w:id="50" w:author="Master Repository Process" w:date="2021-09-11T17:47:00Z">
              <w:r>
                <w:t>356</w:t>
              </w:r>
            </w:ins>
            <w:r>
              <w:t>.00</w:t>
            </w:r>
          </w:p>
        </w:tc>
      </w:tr>
      <w:tr>
        <w:tc>
          <w:tcPr>
            <w:tcW w:w="850" w:type="dxa"/>
          </w:tcPr>
          <w:p>
            <w:pPr>
              <w:pStyle w:val="yTableNAm"/>
            </w:pPr>
          </w:p>
        </w:tc>
        <w:tc>
          <w:tcPr>
            <w:tcW w:w="3969" w:type="dxa"/>
          </w:tcPr>
          <w:p>
            <w:pPr>
              <w:pStyle w:val="yTableNAm"/>
            </w:pPr>
            <w:del w:id="51" w:author="Master Repository Process" w:date="2021-09-11T17:47:00Z">
              <w:r>
                <w:tab/>
              </w:r>
            </w:del>
            <w:r>
              <w:t>(b)</w:t>
            </w:r>
            <w:r>
              <w:tab/>
              <w:t>individuals</w:t>
            </w:r>
          </w:p>
        </w:tc>
        <w:tc>
          <w:tcPr>
            <w:tcW w:w="993" w:type="dxa"/>
          </w:tcPr>
          <w:p>
            <w:pPr>
              <w:pStyle w:val="yTableNAm"/>
              <w:jc w:val="right"/>
            </w:pPr>
            <w:del w:id="52" w:author="Master Repository Process" w:date="2021-09-11T17:47:00Z">
              <w:r>
                <w:delText>230</w:delText>
              </w:r>
            </w:del>
            <w:ins w:id="53" w:author="Master Repository Process" w:date="2021-09-11T17:47:00Z">
              <w:r>
                <w:t>236</w:t>
              </w:r>
            </w:ins>
            <w:r>
              <w:t>.00</w:t>
            </w:r>
          </w:p>
        </w:tc>
      </w:tr>
      <w:tr>
        <w:tc>
          <w:tcPr>
            <w:tcW w:w="850" w:type="dxa"/>
          </w:tcPr>
          <w:p>
            <w:pPr>
              <w:pStyle w:val="yTableNAm"/>
            </w:pPr>
          </w:p>
        </w:tc>
        <w:tc>
          <w:tcPr>
            <w:tcW w:w="3969" w:type="dxa"/>
          </w:tcPr>
          <w:p>
            <w:pPr>
              <w:pStyle w:val="yTableNAm"/>
            </w:pPr>
            <w:del w:id="54" w:author="Master Repository Process" w:date="2021-09-11T17:47:00Z">
              <w:r>
                <w:tab/>
              </w:r>
            </w:del>
            <w:r>
              <w:t>(c)</w:t>
            </w:r>
            <w:r>
              <w:tab/>
              <w:t>partnerships</w:t>
            </w:r>
          </w:p>
        </w:tc>
        <w:tc>
          <w:tcPr>
            <w:tcW w:w="993" w:type="dxa"/>
          </w:tcPr>
          <w:p>
            <w:pPr>
              <w:pStyle w:val="yTableNAm"/>
              <w:jc w:val="right"/>
            </w:pPr>
            <w:del w:id="55" w:author="Master Repository Process" w:date="2021-09-11T17:47:00Z">
              <w:r>
                <w:delText>142</w:delText>
              </w:r>
            </w:del>
            <w:ins w:id="56" w:author="Master Repository Process" w:date="2021-09-11T17:47:00Z">
              <w:r>
                <w:t>146</w:t>
              </w:r>
            </w:ins>
            <w:r>
              <w:t>.00</w:t>
            </w:r>
          </w:p>
        </w:tc>
      </w:tr>
      <w:tr>
        <w:tc>
          <w:tcPr>
            <w:tcW w:w="850" w:type="dxa"/>
          </w:tcPr>
          <w:p>
            <w:pPr>
              <w:pStyle w:val="yTableNAm"/>
            </w:pPr>
            <w:r>
              <w:t>4.</w:t>
            </w:r>
          </w:p>
        </w:tc>
        <w:tc>
          <w:tcPr>
            <w:tcW w:w="3969" w:type="dxa"/>
          </w:tcPr>
          <w:p>
            <w:pPr>
              <w:pStyle w:val="yTableNAm"/>
            </w:pPr>
            <w:r>
              <w:t>For any certificate</w:t>
            </w:r>
          </w:p>
        </w:tc>
        <w:tc>
          <w:tcPr>
            <w:tcW w:w="993" w:type="dxa"/>
          </w:tcPr>
          <w:p>
            <w:pPr>
              <w:pStyle w:val="yTableNAm"/>
              <w:jc w:val="right"/>
            </w:pPr>
            <w:r>
              <w:t>11.00</w:t>
            </w:r>
          </w:p>
        </w:tc>
      </w:tr>
    </w:tbl>
    <w:p>
      <w:pPr>
        <w:pStyle w:val="yFootnotesection"/>
      </w:pPr>
      <w:r>
        <w:tab/>
        <w:t xml:space="preserve">[Third Appendix inserted in Gazette </w:t>
      </w:r>
      <w:del w:id="57" w:author="Master Repository Process" w:date="2021-09-11T17:47:00Z">
        <w:r>
          <w:delText>25</w:delText>
        </w:r>
      </w:del>
      <w:ins w:id="58" w:author="Master Repository Process" w:date="2021-09-11T17:47:00Z">
        <w:r>
          <w:t>22</w:t>
        </w:r>
      </w:ins>
      <w:r>
        <w:t> Jun </w:t>
      </w:r>
      <w:del w:id="59" w:author="Master Repository Process" w:date="2021-09-11T17:47:00Z">
        <w:r>
          <w:delText>2010</w:delText>
        </w:r>
      </w:del>
      <w:ins w:id="60" w:author="Master Repository Process" w:date="2021-09-11T17:47:00Z">
        <w:r>
          <w:t>2011</w:t>
        </w:r>
      </w:ins>
      <w:r>
        <w:t xml:space="preserve"> p. </w:t>
      </w:r>
      <w:del w:id="61" w:author="Master Repository Process" w:date="2021-09-11T17:47:00Z">
        <w:r>
          <w:delText>2855-6</w:delText>
        </w:r>
      </w:del>
      <w:ins w:id="62" w:author="Master Repository Process" w:date="2021-09-11T17:47:00Z">
        <w:r>
          <w:t>2322</w:t>
        </w:r>
        <w:r>
          <w:noBreakHyphen/>
          <w:t>3</w:t>
        </w:r>
      </w:ins>
      <w:r>
        <w:t>.]</w:t>
      </w:r>
    </w:p>
    <w:p>
      <w:pPr>
        <w:sectPr>
          <w:headerReference w:type="even" r:id="rId14"/>
          <w:headerReference w:type="default" r:id="rId15"/>
          <w:headerReference w:type="first" r:id="rId16"/>
          <w:pgSz w:w="11906" w:h="16838" w:code="9"/>
          <w:pgMar w:top="2381" w:right="2409" w:bottom="3543" w:left="2409" w:header="720" w:footer="3380" w:gutter="0"/>
          <w:cols w:space="720"/>
          <w:noEndnote/>
          <w:docGrid w:linePitch="326"/>
        </w:sectPr>
      </w:pPr>
    </w:p>
    <w:p>
      <w:pPr>
        <w:pStyle w:val="nHeading2"/>
      </w:pPr>
      <w:bookmarkStart w:id="63" w:name="_Toc389741086"/>
      <w:bookmarkStart w:id="64" w:name="_Toc389741030"/>
      <w:r>
        <w:t>Notes</w:t>
      </w:r>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 w:name="_Toc389741087"/>
      <w:bookmarkStart w:id="66" w:name="_Toc389741031"/>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Painters’ Registration Board Rules 1962</w:t>
            </w:r>
          </w:p>
        </w:tc>
        <w:tc>
          <w:tcPr>
            <w:tcW w:w="1276" w:type="dxa"/>
            <w:tcBorders>
              <w:top w:val="single" w:sz="8" w:space="0" w:color="auto"/>
            </w:tcBorders>
          </w:tcPr>
          <w:p>
            <w:pPr>
              <w:pStyle w:val="nTable"/>
              <w:spacing w:after="40"/>
              <w:rPr>
                <w:sz w:val="19"/>
              </w:rPr>
            </w:pPr>
            <w:r>
              <w:rPr>
                <w:sz w:val="19"/>
              </w:rPr>
              <w:t>27 Dec 1962 p. 4125</w:t>
            </w:r>
            <w:r>
              <w:rPr>
                <w:sz w:val="19"/>
              </w:rPr>
              <w:noBreakHyphen/>
              <w:t>34</w:t>
            </w:r>
          </w:p>
        </w:tc>
        <w:tc>
          <w:tcPr>
            <w:tcW w:w="2693" w:type="dxa"/>
            <w:tcBorders>
              <w:top w:val="single" w:sz="8" w:space="0" w:color="auto"/>
            </w:tcBorders>
          </w:tcPr>
          <w:p>
            <w:pPr>
              <w:pStyle w:val="nTable"/>
              <w:spacing w:after="40"/>
              <w:rPr>
                <w:sz w:val="19"/>
              </w:rPr>
            </w:pPr>
            <w:r>
              <w:rPr>
                <w:sz w:val="19"/>
              </w:rPr>
              <w:t>1 Jan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Jul 1963 p. 2208</w:t>
            </w:r>
            <w:r>
              <w:rPr>
                <w:sz w:val="19"/>
              </w:rPr>
              <w:noBreakHyphen/>
              <w:t>9</w:t>
            </w:r>
          </w:p>
        </w:tc>
        <w:tc>
          <w:tcPr>
            <w:tcW w:w="2693" w:type="dxa"/>
          </w:tcPr>
          <w:p>
            <w:pPr>
              <w:pStyle w:val="nTable"/>
              <w:spacing w:after="40"/>
              <w:rPr>
                <w:sz w:val="19"/>
              </w:rPr>
            </w:pPr>
            <w:r>
              <w:rPr>
                <w:sz w:val="19"/>
              </w:rPr>
              <w:t>30 Jul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Aug 1965 p. 2559</w:t>
            </w:r>
          </w:p>
        </w:tc>
        <w:tc>
          <w:tcPr>
            <w:tcW w:w="2693" w:type="dxa"/>
          </w:tcPr>
          <w:p>
            <w:pPr>
              <w:pStyle w:val="nTable"/>
              <w:spacing w:after="40"/>
              <w:rPr>
                <w:sz w:val="19"/>
              </w:rPr>
            </w:pPr>
            <w:r>
              <w:rPr>
                <w:sz w:val="19"/>
              </w:rPr>
              <w:t>31 Aug 1965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 Jul 1969 p. 1953</w:t>
            </w:r>
            <w:r>
              <w:rPr>
                <w:sz w:val="19"/>
              </w:rPr>
              <w:br/>
              <w:t>(erratum 15 Jul 1969 p. 2047)</w:t>
            </w:r>
          </w:p>
        </w:tc>
        <w:tc>
          <w:tcPr>
            <w:tcW w:w="2693" w:type="dxa"/>
          </w:tcPr>
          <w:p>
            <w:pPr>
              <w:pStyle w:val="nTable"/>
              <w:spacing w:after="40"/>
              <w:rPr>
                <w:sz w:val="19"/>
              </w:rPr>
            </w:pPr>
            <w:r>
              <w:rPr>
                <w:sz w:val="19"/>
              </w:rPr>
              <w:t>2 Jul 1969</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555</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556</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Jan 1975 p. 292</w:t>
            </w:r>
          </w:p>
        </w:tc>
        <w:tc>
          <w:tcPr>
            <w:tcW w:w="2693" w:type="dxa"/>
          </w:tcPr>
          <w:p>
            <w:pPr>
              <w:pStyle w:val="nTable"/>
              <w:spacing w:after="40"/>
              <w:rPr>
                <w:sz w:val="19"/>
              </w:rPr>
            </w:pPr>
            <w:r>
              <w:rPr>
                <w:sz w:val="19"/>
              </w:rPr>
              <w:t>31 Jan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14 Nov 1975 p. 4205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Jan 1976 p. 238</w:t>
            </w:r>
            <w:r>
              <w:rPr>
                <w:sz w:val="19"/>
              </w:rPr>
              <w:noBreakHyphen/>
              <w:t>9</w:t>
            </w:r>
          </w:p>
        </w:tc>
        <w:tc>
          <w:tcPr>
            <w:tcW w:w="2693" w:type="dxa"/>
          </w:tcPr>
          <w:p>
            <w:pPr>
              <w:pStyle w:val="nTable"/>
              <w:spacing w:after="40"/>
              <w:rPr>
                <w:sz w:val="19"/>
              </w:rPr>
            </w:pPr>
            <w:r>
              <w:rPr>
                <w:sz w:val="19"/>
              </w:rPr>
              <w:t>30 Jan 1976</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 Dec 1978 p. 4560</w:t>
            </w:r>
          </w:p>
        </w:tc>
        <w:tc>
          <w:tcPr>
            <w:tcW w:w="2693" w:type="dxa"/>
          </w:tcPr>
          <w:p>
            <w:pPr>
              <w:pStyle w:val="nTable"/>
              <w:spacing w:after="40"/>
              <w:rPr>
                <w:sz w:val="19"/>
              </w:rPr>
            </w:pPr>
            <w:r>
              <w:rPr>
                <w:sz w:val="19"/>
              </w:rPr>
              <w:t>1 Dec 1978</w:t>
            </w:r>
          </w:p>
        </w:tc>
      </w:tr>
      <w:tr>
        <w:trPr>
          <w:cantSplit/>
        </w:trPr>
        <w:tc>
          <w:tcPr>
            <w:tcW w:w="3119" w:type="dxa"/>
          </w:tcPr>
          <w:p>
            <w:pPr>
              <w:pStyle w:val="nTable"/>
              <w:spacing w:after="40"/>
              <w:ind w:right="113"/>
              <w:rPr>
                <w:sz w:val="19"/>
              </w:rPr>
            </w:pPr>
            <w:r>
              <w:rPr>
                <w:i/>
                <w:sz w:val="19"/>
              </w:rPr>
              <w:t>Painters’ Registration Board (Amendment) Rules 1980</w:t>
            </w:r>
          </w:p>
        </w:tc>
        <w:tc>
          <w:tcPr>
            <w:tcW w:w="1276" w:type="dxa"/>
          </w:tcPr>
          <w:p>
            <w:pPr>
              <w:pStyle w:val="nTable"/>
              <w:spacing w:after="40"/>
              <w:rPr>
                <w:sz w:val="19"/>
              </w:rPr>
            </w:pPr>
            <w:r>
              <w:rPr>
                <w:sz w:val="19"/>
              </w:rPr>
              <w:t>12 Dec 1980 p. 4271</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sz w:val="19"/>
              </w:rPr>
            </w:pPr>
            <w:r>
              <w:rPr>
                <w:i/>
                <w:sz w:val="19"/>
              </w:rPr>
              <w:t>Painters’ Registration Board Amendment Rules 1981</w:t>
            </w:r>
          </w:p>
        </w:tc>
        <w:tc>
          <w:tcPr>
            <w:tcW w:w="1276" w:type="dxa"/>
          </w:tcPr>
          <w:p>
            <w:pPr>
              <w:pStyle w:val="nTable"/>
              <w:spacing w:after="40"/>
              <w:rPr>
                <w:sz w:val="19"/>
              </w:rPr>
            </w:pPr>
            <w:r>
              <w:rPr>
                <w:sz w:val="19"/>
              </w:rPr>
              <w:t>3 Jul 1981 p. 2613</w:t>
            </w:r>
          </w:p>
        </w:tc>
        <w:tc>
          <w:tcPr>
            <w:tcW w:w="2693" w:type="dxa"/>
          </w:tcPr>
          <w:p>
            <w:pPr>
              <w:pStyle w:val="nTable"/>
              <w:spacing w:after="40"/>
              <w:rPr>
                <w:sz w:val="19"/>
              </w:rPr>
            </w:pPr>
            <w:r>
              <w:rPr>
                <w:sz w:val="19"/>
              </w:rPr>
              <w:t>3 Jul 1981</w:t>
            </w:r>
          </w:p>
        </w:tc>
      </w:tr>
      <w:tr>
        <w:trPr>
          <w:cantSplit/>
        </w:trPr>
        <w:tc>
          <w:tcPr>
            <w:tcW w:w="3119" w:type="dxa"/>
          </w:tcPr>
          <w:p>
            <w:pPr>
              <w:pStyle w:val="nTable"/>
              <w:keepLines/>
              <w:spacing w:after="40"/>
              <w:ind w:right="113"/>
              <w:rPr>
                <w:sz w:val="19"/>
              </w:rPr>
            </w:pPr>
            <w:r>
              <w:rPr>
                <w:i/>
                <w:sz w:val="19"/>
              </w:rPr>
              <w:t>Painters’ Registration Board Amendment Rules (No. 2) 1981</w:t>
            </w:r>
          </w:p>
        </w:tc>
        <w:tc>
          <w:tcPr>
            <w:tcW w:w="1276" w:type="dxa"/>
          </w:tcPr>
          <w:p>
            <w:pPr>
              <w:pStyle w:val="nTable"/>
              <w:keepLines/>
              <w:spacing w:after="40"/>
              <w:rPr>
                <w:sz w:val="19"/>
              </w:rPr>
            </w:pPr>
            <w:r>
              <w:rPr>
                <w:sz w:val="19"/>
              </w:rPr>
              <w:t>4 Dec 1981 p. 5031</w:t>
            </w:r>
          </w:p>
        </w:tc>
        <w:tc>
          <w:tcPr>
            <w:tcW w:w="2693" w:type="dxa"/>
          </w:tcPr>
          <w:p>
            <w:pPr>
              <w:pStyle w:val="nTable"/>
              <w:keepLines/>
              <w:spacing w:after="40"/>
              <w:rPr>
                <w:sz w:val="19"/>
              </w:rPr>
            </w:pPr>
            <w:r>
              <w:rPr>
                <w:sz w:val="19"/>
              </w:rPr>
              <w:t>1 Jan 1982 (see r. 2)</w:t>
            </w:r>
          </w:p>
        </w:tc>
      </w:tr>
      <w:tr>
        <w:trPr>
          <w:cantSplit/>
        </w:trPr>
        <w:tc>
          <w:tcPr>
            <w:tcW w:w="3119" w:type="dxa"/>
          </w:tcPr>
          <w:p>
            <w:pPr>
              <w:pStyle w:val="nTable"/>
              <w:spacing w:after="40"/>
              <w:ind w:right="113"/>
              <w:rPr>
                <w:sz w:val="19"/>
              </w:rPr>
            </w:pPr>
            <w:r>
              <w:rPr>
                <w:i/>
                <w:sz w:val="19"/>
              </w:rPr>
              <w:t>Painters’ Registration Board Amendment Rules 1983</w:t>
            </w:r>
          </w:p>
        </w:tc>
        <w:tc>
          <w:tcPr>
            <w:tcW w:w="1276" w:type="dxa"/>
          </w:tcPr>
          <w:p>
            <w:pPr>
              <w:pStyle w:val="nTable"/>
              <w:spacing w:after="40"/>
              <w:rPr>
                <w:sz w:val="19"/>
              </w:rPr>
            </w:pPr>
            <w:r>
              <w:rPr>
                <w:sz w:val="19"/>
              </w:rPr>
              <w:t>2 Dec 1983 p. 4800</w:t>
            </w:r>
          </w:p>
        </w:tc>
        <w:tc>
          <w:tcPr>
            <w:tcW w:w="2693" w:type="dxa"/>
          </w:tcPr>
          <w:p>
            <w:pPr>
              <w:pStyle w:val="nTable"/>
              <w:spacing w:after="40"/>
              <w:rPr>
                <w:sz w:val="19"/>
              </w:rPr>
            </w:pPr>
            <w:r>
              <w:rPr>
                <w:sz w:val="19"/>
              </w:rPr>
              <w:t>31 Dec 1983 (see r. 3)</w:t>
            </w:r>
          </w:p>
        </w:tc>
      </w:tr>
      <w:tr>
        <w:trPr>
          <w:cantSplit/>
        </w:trPr>
        <w:tc>
          <w:tcPr>
            <w:tcW w:w="3119" w:type="dxa"/>
          </w:tcPr>
          <w:p>
            <w:pPr>
              <w:pStyle w:val="nTable"/>
              <w:spacing w:after="40"/>
              <w:ind w:right="113"/>
              <w:rPr>
                <w:sz w:val="19"/>
              </w:rPr>
            </w:pPr>
            <w:r>
              <w:rPr>
                <w:i/>
                <w:sz w:val="19"/>
              </w:rPr>
              <w:t>Painters’ Registration Board Amendment Rules (No. 2) 1983</w:t>
            </w:r>
          </w:p>
        </w:tc>
        <w:tc>
          <w:tcPr>
            <w:tcW w:w="1276" w:type="dxa"/>
          </w:tcPr>
          <w:p>
            <w:pPr>
              <w:pStyle w:val="nTable"/>
              <w:spacing w:after="40"/>
              <w:rPr>
                <w:sz w:val="19"/>
              </w:rPr>
            </w:pPr>
            <w:r>
              <w:rPr>
                <w:sz w:val="19"/>
              </w:rPr>
              <w:t>30 Dec 1983 p. 5134</w:t>
            </w:r>
            <w:r>
              <w:rPr>
                <w:sz w:val="19"/>
              </w:rPr>
              <w:noBreakHyphen/>
              <w:t>5</w:t>
            </w:r>
          </w:p>
        </w:tc>
        <w:tc>
          <w:tcPr>
            <w:tcW w:w="2693" w:type="dxa"/>
          </w:tcPr>
          <w:p>
            <w:pPr>
              <w:pStyle w:val="nTable"/>
              <w:spacing w:after="40"/>
              <w:rPr>
                <w:sz w:val="19"/>
              </w:rPr>
            </w:pPr>
            <w:r>
              <w:rPr>
                <w:sz w:val="19"/>
              </w:rPr>
              <w:t>1 Jan 1984 (see r. 3)</w:t>
            </w:r>
          </w:p>
        </w:tc>
      </w:tr>
      <w:tr>
        <w:trPr>
          <w:cantSplit/>
        </w:trPr>
        <w:tc>
          <w:tcPr>
            <w:tcW w:w="3119" w:type="dxa"/>
          </w:tcPr>
          <w:p>
            <w:pPr>
              <w:pStyle w:val="nTable"/>
              <w:spacing w:after="40"/>
              <w:ind w:right="113"/>
              <w:rPr>
                <w:sz w:val="19"/>
              </w:rPr>
            </w:pPr>
            <w:r>
              <w:rPr>
                <w:i/>
                <w:sz w:val="19"/>
              </w:rPr>
              <w:t>Painters’ Registration Board Amendment Rules 1985</w:t>
            </w:r>
          </w:p>
        </w:tc>
        <w:tc>
          <w:tcPr>
            <w:tcW w:w="1276" w:type="dxa"/>
          </w:tcPr>
          <w:p>
            <w:pPr>
              <w:pStyle w:val="nTable"/>
              <w:spacing w:after="40"/>
              <w:rPr>
                <w:sz w:val="19"/>
              </w:rPr>
            </w:pPr>
            <w:r>
              <w:rPr>
                <w:sz w:val="19"/>
              </w:rPr>
              <w:t>15 Feb 1985 p. 633</w:t>
            </w:r>
          </w:p>
        </w:tc>
        <w:tc>
          <w:tcPr>
            <w:tcW w:w="2693" w:type="dxa"/>
          </w:tcPr>
          <w:p>
            <w:pPr>
              <w:pStyle w:val="nTable"/>
              <w:spacing w:after="40"/>
              <w:rPr>
                <w:sz w:val="19"/>
              </w:rPr>
            </w:pPr>
            <w:r>
              <w:rPr>
                <w:sz w:val="19"/>
              </w:rPr>
              <w:t>15 Feb 1985</w:t>
            </w:r>
          </w:p>
        </w:tc>
      </w:tr>
      <w:tr>
        <w:trPr>
          <w:cantSplit/>
        </w:trPr>
        <w:tc>
          <w:tcPr>
            <w:tcW w:w="3119" w:type="dxa"/>
          </w:tcPr>
          <w:p>
            <w:pPr>
              <w:pStyle w:val="nTable"/>
              <w:spacing w:after="40"/>
              <w:ind w:right="113"/>
              <w:rPr>
                <w:sz w:val="19"/>
              </w:rPr>
            </w:pPr>
            <w:r>
              <w:rPr>
                <w:i/>
                <w:sz w:val="19"/>
              </w:rPr>
              <w:t>Painters’ Registration Board Amendment Rules 1986</w:t>
            </w:r>
          </w:p>
        </w:tc>
        <w:tc>
          <w:tcPr>
            <w:tcW w:w="1276" w:type="dxa"/>
          </w:tcPr>
          <w:p>
            <w:pPr>
              <w:pStyle w:val="nTable"/>
              <w:spacing w:after="40"/>
              <w:rPr>
                <w:sz w:val="19"/>
              </w:rPr>
            </w:pPr>
            <w:r>
              <w:rPr>
                <w:sz w:val="19"/>
              </w:rPr>
              <w:t>24 Jan 1986 p. 298</w:t>
            </w:r>
            <w:r>
              <w:rPr>
                <w:sz w:val="19"/>
              </w:rPr>
              <w:noBreakHyphen/>
              <w:t>9</w:t>
            </w:r>
          </w:p>
        </w:tc>
        <w:tc>
          <w:tcPr>
            <w:tcW w:w="2693" w:type="dxa"/>
          </w:tcPr>
          <w:p>
            <w:pPr>
              <w:pStyle w:val="nTable"/>
              <w:spacing w:after="40"/>
              <w:rPr>
                <w:sz w:val="19"/>
              </w:rPr>
            </w:pPr>
            <w:r>
              <w:rPr>
                <w:sz w:val="19"/>
              </w:rPr>
              <w:t>24 Jan 1986</w:t>
            </w:r>
          </w:p>
        </w:tc>
      </w:tr>
      <w:tr>
        <w:trPr>
          <w:cantSplit/>
        </w:trPr>
        <w:tc>
          <w:tcPr>
            <w:tcW w:w="3119" w:type="dxa"/>
          </w:tcPr>
          <w:p>
            <w:pPr>
              <w:pStyle w:val="nTable"/>
              <w:spacing w:after="40"/>
              <w:ind w:right="113"/>
              <w:rPr>
                <w:sz w:val="19"/>
              </w:rPr>
            </w:pPr>
            <w:r>
              <w:rPr>
                <w:i/>
                <w:sz w:val="19"/>
              </w:rPr>
              <w:t>Painters’ Registration Board Amendment Rules (No. 2) 1986</w:t>
            </w:r>
          </w:p>
        </w:tc>
        <w:tc>
          <w:tcPr>
            <w:tcW w:w="1276" w:type="dxa"/>
          </w:tcPr>
          <w:p>
            <w:pPr>
              <w:pStyle w:val="nTable"/>
              <w:spacing w:after="40"/>
              <w:rPr>
                <w:sz w:val="19"/>
              </w:rPr>
            </w:pPr>
            <w:r>
              <w:rPr>
                <w:sz w:val="19"/>
              </w:rPr>
              <w:t>19 Dec 1986 p. 4926</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sz w:val="19"/>
              </w:rPr>
            </w:pPr>
            <w:r>
              <w:rPr>
                <w:i/>
                <w:sz w:val="19"/>
              </w:rPr>
              <w:t>Painters’ Registration Board Amendment Rules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9" w:type="dxa"/>
          </w:tcPr>
          <w:p>
            <w:pPr>
              <w:pStyle w:val="nTable"/>
              <w:spacing w:after="40"/>
              <w:ind w:right="113"/>
              <w:rPr>
                <w:sz w:val="19"/>
              </w:rPr>
            </w:pPr>
            <w:r>
              <w:rPr>
                <w:i/>
                <w:sz w:val="19"/>
              </w:rPr>
              <w:t>Painters’ Registration Board Amendment Rules 1989</w:t>
            </w:r>
          </w:p>
        </w:tc>
        <w:tc>
          <w:tcPr>
            <w:tcW w:w="1276" w:type="dxa"/>
          </w:tcPr>
          <w:p>
            <w:pPr>
              <w:pStyle w:val="nTable"/>
              <w:spacing w:after="40"/>
              <w:rPr>
                <w:sz w:val="19"/>
              </w:rPr>
            </w:pPr>
            <w:r>
              <w:rPr>
                <w:sz w:val="19"/>
              </w:rPr>
              <w:t>29 Dec 1989 p. 4685</w:t>
            </w:r>
          </w:p>
        </w:tc>
        <w:tc>
          <w:tcPr>
            <w:tcW w:w="2693" w:type="dxa"/>
          </w:tcPr>
          <w:p>
            <w:pPr>
              <w:pStyle w:val="nTable"/>
              <w:spacing w:after="40"/>
              <w:rPr>
                <w:sz w:val="19"/>
              </w:rPr>
            </w:pPr>
            <w:r>
              <w:rPr>
                <w:sz w:val="19"/>
              </w:rPr>
              <w:t>1 Jan 1990 (see r. 2)</w:t>
            </w:r>
          </w:p>
        </w:tc>
      </w:tr>
      <w:tr>
        <w:trPr>
          <w:cantSplit/>
        </w:trPr>
        <w:tc>
          <w:tcPr>
            <w:tcW w:w="7088" w:type="dxa"/>
            <w:gridSpan w:val="3"/>
          </w:tcPr>
          <w:p>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trPr>
          <w:cantSplit/>
        </w:trPr>
        <w:tc>
          <w:tcPr>
            <w:tcW w:w="3119" w:type="dxa"/>
          </w:tcPr>
          <w:p>
            <w:pPr>
              <w:pStyle w:val="nTable"/>
              <w:spacing w:after="40"/>
              <w:ind w:right="113"/>
              <w:rPr>
                <w:sz w:val="19"/>
              </w:rPr>
            </w:pPr>
            <w:r>
              <w:rPr>
                <w:i/>
                <w:sz w:val="19"/>
              </w:rPr>
              <w:t>Painters’ Registration Board Amendment Rules 1991</w:t>
            </w:r>
          </w:p>
        </w:tc>
        <w:tc>
          <w:tcPr>
            <w:tcW w:w="1276" w:type="dxa"/>
          </w:tcPr>
          <w:p>
            <w:pPr>
              <w:pStyle w:val="nTable"/>
              <w:spacing w:after="40"/>
              <w:rPr>
                <w:sz w:val="19"/>
              </w:rPr>
            </w:pPr>
            <w:r>
              <w:rPr>
                <w:sz w:val="19"/>
              </w:rPr>
              <w:t>24 Dec 1991 p. 6395</w:t>
            </w:r>
            <w:r>
              <w:rPr>
                <w:sz w:val="19"/>
              </w:rPr>
              <w:noBreakHyphen/>
              <w:t>6</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sz w:val="19"/>
              </w:rPr>
            </w:pPr>
            <w:r>
              <w:rPr>
                <w:i/>
                <w:sz w:val="19"/>
              </w:rPr>
              <w:t>Painters’ Registration Board Amendment Rules 1993</w:t>
            </w:r>
          </w:p>
        </w:tc>
        <w:tc>
          <w:tcPr>
            <w:tcW w:w="1276" w:type="dxa"/>
          </w:tcPr>
          <w:p>
            <w:pPr>
              <w:pStyle w:val="nTable"/>
              <w:spacing w:after="40"/>
              <w:rPr>
                <w:sz w:val="19"/>
              </w:rPr>
            </w:pPr>
            <w:r>
              <w:rPr>
                <w:sz w:val="19"/>
              </w:rPr>
              <w:t>29 Jan 1993 p. 859</w:t>
            </w:r>
          </w:p>
        </w:tc>
        <w:tc>
          <w:tcPr>
            <w:tcW w:w="2693" w:type="dxa"/>
          </w:tcPr>
          <w:p>
            <w:pPr>
              <w:pStyle w:val="nTable"/>
              <w:spacing w:after="40"/>
              <w:rPr>
                <w:sz w:val="19"/>
              </w:rPr>
            </w:pPr>
            <w:r>
              <w:rPr>
                <w:sz w:val="19"/>
              </w:rPr>
              <w:t>1 Feb 1993 (see r. 2)</w:t>
            </w:r>
          </w:p>
        </w:tc>
      </w:tr>
      <w:tr>
        <w:trPr>
          <w:cantSplit/>
        </w:trPr>
        <w:tc>
          <w:tcPr>
            <w:tcW w:w="3119" w:type="dxa"/>
          </w:tcPr>
          <w:p>
            <w:pPr>
              <w:pStyle w:val="nTable"/>
              <w:spacing w:after="40"/>
              <w:ind w:right="113"/>
              <w:rPr>
                <w:sz w:val="19"/>
              </w:rPr>
            </w:pPr>
            <w:r>
              <w:rPr>
                <w:i/>
                <w:sz w:val="19"/>
              </w:rPr>
              <w:t>Painters’ Registration Board Amendment Rules 1995</w:t>
            </w:r>
          </w:p>
        </w:tc>
        <w:tc>
          <w:tcPr>
            <w:tcW w:w="1276" w:type="dxa"/>
          </w:tcPr>
          <w:p>
            <w:pPr>
              <w:pStyle w:val="nTable"/>
              <w:spacing w:after="40"/>
              <w:rPr>
                <w:sz w:val="19"/>
              </w:rPr>
            </w:pPr>
            <w:r>
              <w:rPr>
                <w:sz w:val="19"/>
              </w:rPr>
              <w:t>13 Jan 1995 p. 94</w:t>
            </w:r>
          </w:p>
        </w:tc>
        <w:tc>
          <w:tcPr>
            <w:tcW w:w="2693" w:type="dxa"/>
          </w:tcPr>
          <w:p>
            <w:pPr>
              <w:pStyle w:val="nTable"/>
              <w:spacing w:after="40"/>
              <w:rPr>
                <w:sz w:val="19"/>
              </w:rPr>
            </w:pPr>
            <w:r>
              <w:rPr>
                <w:sz w:val="19"/>
              </w:rPr>
              <w:t>13 Jan 1995</w:t>
            </w:r>
          </w:p>
        </w:tc>
      </w:tr>
      <w:tr>
        <w:trPr>
          <w:cantSplit/>
        </w:trPr>
        <w:tc>
          <w:tcPr>
            <w:tcW w:w="3119" w:type="dxa"/>
          </w:tcPr>
          <w:p>
            <w:pPr>
              <w:pStyle w:val="nTable"/>
              <w:keepNext/>
              <w:keepLines/>
              <w:spacing w:after="40"/>
              <w:ind w:right="113"/>
              <w:rPr>
                <w:sz w:val="19"/>
              </w:rPr>
            </w:pPr>
            <w:r>
              <w:rPr>
                <w:i/>
                <w:sz w:val="19"/>
              </w:rPr>
              <w:t>Painters’ Registration Board Amendment Rules (No. 2) 1995</w:t>
            </w:r>
          </w:p>
        </w:tc>
        <w:tc>
          <w:tcPr>
            <w:tcW w:w="1276" w:type="dxa"/>
          </w:tcPr>
          <w:p>
            <w:pPr>
              <w:pStyle w:val="nTable"/>
              <w:keepNext/>
              <w:keepLines/>
              <w:spacing w:after="40"/>
              <w:rPr>
                <w:sz w:val="19"/>
              </w:rPr>
            </w:pPr>
            <w:r>
              <w:rPr>
                <w:sz w:val="19"/>
              </w:rPr>
              <w:t>29 Dec 1995 p. 6239</w:t>
            </w:r>
          </w:p>
        </w:tc>
        <w:tc>
          <w:tcPr>
            <w:tcW w:w="2693" w:type="dxa"/>
          </w:tcPr>
          <w:p>
            <w:pPr>
              <w:pStyle w:val="nTable"/>
              <w:keepNext/>
              <w:keepLines/>
              <w:spacing w:after="40"/>
              <w:rPr>
                <w:sz w:val="19"/>
              </w:rPr>
            </w:pPr>
            <w:r>
              <w:rPr>
                <w:sz w:val="19"/>
              </w:rPr>
              <w:t>1 Jan 1996 (see r. 2)</w:t>
            </w:r>
          </w:p>
        </w:tc>
      </w:tr>
      <w:tr>
        <w:trPr>
          <w:cantSplit/>
        </w:trPr>
        <w:tc>
          <w:tcPr>
            <w:tcW w:w="3119" w:type="dxa"/>
          </w:tcPr>
          <w:p>
            <w:pPr>
              <w:pStyle w:val="nTable"/>
              <w:spacing w:after="40"/>
              <w:ind w:right="113"/>
              <w:rPr>
                <w:sz w:val="19"/>
              </w:rPr>
            </w:pPr>
            <w:r>
              <w:rPr>
                <w:i/>
                <w:sz w:val="19"/>
              </w:rPr>
              <w:t>Painters’ Registration Board Amendment Rules (No. 2) 2001</w:t>
            </w:r>
          </w:p>
        </w:tc>
        <w:tc>
          <w:tcPr>
            <w:tcW w:w="1276" w:type="dxa"/>
          </w:tcPr>
          <w:p>
            <w:pPr>
              <w:pStyle w:val="nTable"/>
              <w:spacing w:after="40"/>
              <w:rPr>
                <w:sz w:val="19"/>
              </w:rPr>
            </w:pPr>
            <w:r>
              <w:rPr>
                <w:sz w:val="19"/>
              </w:rPr>
              <w:t>5 Oct 2001 p. 5473</w:t>
            </w:r>
            <w:r>
              <w:rPr>
                <w:sz w:val="19"/>
              </w:rPr>
              <w:noBreakHyphen/>
              <w:t>4</w:t>
            </w:r>
          </w:p>
        </w:tc>
        <w:tc>
          <w:tcPr>
            <w:tcW w:w="2693" w:type="dxa"/>
          </w:tcPr>
          <w:p>
            <w:pPr>
              <w:pStyle w:val="nTable"/>
              <w:spacing w:after="40"/>
              <w:rPr>
                <w:sz w:val="19"/>
              </w:rPr>
            </w:pPr>
            <w:r>
              <w:rPr>
                <w:sz w:val="19"/>
              </w:rPr>
              <w:t>5 Oct 2001</w:t>
            </w:r>
          </w:p>
        </w:tc>
      </w:tr>
      <w:tr>
        <w:trPr>
          <w:cantSplit/>
        </w:trPr>
        <w:tc>
          <w:tcPr>
            <w:tcW w:w="3119" w:type="dxa"/>
          </w:tcPr>
          <w:p>
            <w:pPr>
              <w:pStyle w:val="nTable"/>
              <w:spacing w:after="40"/>
              <w:ind w:right="113"/>
              <w:rPr>
                <w:i/>
                <w:sz w:val="19"/>
              </w:rPr>
            </w:pPr>
            <w:r>
              <w:rPr>
                <w:i/>
                <w:sz w:val="19"/>
              </w:rPr>
              <w:t>Painters’ Registration Board Amendment Rules (No. 3) 2001</w:t>
            </w:r>
          </w:p>
        </w:tc>
        <w:tc>
          <w:tcPr>
            <w:tcW w:w="1276" w:type="dxa"/>
          </w:tcPr>
          <w:p>
            <w:pPr>
              <w:pStyle w:val="nTable"/>
              <w:spacing w:after="40"/>
              <w:rPr>
                <w:sz w:val="19"/>
              </w:rPr>
            </w:pPr>
            <w:r>
              <w:rPr>
                <w:sz w:val="19"/>
              </w:rPr>
              <w:t>4 Jan 2002 p. 3</w:t>
            </w:r>
            <w:r>
              <w:rPr>
                <w:sz w:val="19"/>
              </w:rPr>
              <w:noBreakHyphen/>
              <w:t>4</w:t>
            </w:r>
          </w:p>
        </w:tc>
        <w:tc>
          <w:tcPr>
            <w:tcW w:w="2693" w:type="dxa"/>
          </w:tcPr>
          <w:p>
            <w:pPr>
              <w:pStyle w:val="nTable"/>
              <w:spacing w:after="40"/>
              <w:rPr>
                <w:sz w:val="19"/>
              </w:rPr>
            </w:pPr>
            <w:r>
              <w:rPr>
                <w:sz w:val="19"/>
              </w:rPr>
              <w:t>4 Jan 2002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2004</w:t>
            </w:r>
          </w:p>
        </w:tc>
        <w:tc>
          <w:tcPr>
            <w:tcW w:w="1276" w:type="dxa"/>
          </w:tcPr>
          <w:p>
            <w:pPr>
              <w:pStyle w:val="nTable"/>
              <w:spacing w:after="40"/>
              <w:rPr>
                <w:sz w:val="19"/>
              </w:rPr>
            </w:pPr>
            <w:r>
              <w:rPr>
                <w:sz w:val="19"/>
              </w:rPr>
              <w:t>30 Dec 2004 p. 7019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Painters’ Registration Board Amendment Rules 2005</w:t>
            </w:r>
          </w:p>
        </w:tc>
        <w:tc>
          <w:tcPr>
            <w:tcW w:w="1276" w:type="dxa"/>
          </w:tcPr>
          <w:p>
            <w:pPr>
              <w:pStyle w:val="nTable"/>
              <w:spacing w:after="40"/>
              <w:rPr>
                <w:sz w:val="19"/>
              </w:rPr>
            </w:pPr>
            <w:r>
              <w:rPr>
                <w:sz w:val="19"/>
              </w:rPr>
              <w:t>28 Jun 2005 p. 2917-18</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Painters’ Registration Board Amendment Rules 2006</w:t>
            </w:r>
          </w:p>
        </w:tc>
        <w:tc>
          <w:tcPr>
            <w:tcW w:w="1276" w:type="dxa"/>
          </w:tcPr>
          <w:p>
            <w:pPr>
              <w:pStyle w:val="nTable"/>
              <w:spacing w:after="40"/>
              <w:rPr>
                <w:sz w:val="19"/>
              </w:rPr>
            </w:pPr>
            <w:r>
              <w:rPr>
                <w:sz w:val="19"/>
              </w:rPr>
              <w:t>27 Jun 2006 p. 2267-8</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Painters’ Registration Board Amendment Rules 2007</w:t>
            </w:r>
          </w:p>
        </w:tc>
        <w:tc>
          <w:tcPr>
            <w:tcW w:w="1276" w:type="dxa"/>
          </w:tcPr>
          <w:p>
            <w:pPr>
              <w:pStyle w:val="nTable"/>
              <w:spacing w:after="40"/>
              <w:rPr>
                <w:sz w:val="19"/>
              </w:rPr>
            </w:pPr>
            <w:r>
              <w:rPr>
                <w:sz w:val="19"/>
              </w:rPr>
              <w:t>15 Jun 2007 p. 2780-1</w:t>
            </w:r>
          </w:p>
        </w:tc>
        <w:tc>
          <w:tcPr>
            <w:tcW w:w="2693" w:type="dxa"/>
          </w:tcPr>
          <w:p>
            <w:pPr>
              <w:pStyle w:val="nTable"/>
              <w:spacing w:after="40"/>
              <w:rPr>
                <w:sz w:val="19"/>
              </w:rPr>
            </w:pPr>
            <w:r>
              <w:rPr>
                <w:sz w:val="19"/>
              </w:rPr>
              <w:t>r. 1 and 2: 15 Jun 2007 (see r. 2(a));</w:t>
            </w:r>
            <w:r>
              <w:rPr>
                <w:sz w:val="19"/>
              </w:rPr>
              <w:br/>
              <w:t>Rules other than r. 1 and 2: 1 Jul 2007 (see r. 2(b)(i))</w:t>
            </w:r>
          </w:p>
        </w:tc>
      </w:tr>
      <w:tr>
        <w:trPr>
          <w:cantSplit/>
        </w:trPr>
        <w:tc>
          <w:tcPr>
            <w:tcW w:w="3119" w:type="dxa"/>
          </w:tcPr>
          <w:p>
            <w:pPr>
              <w:pStyle w:val="nTable"/>
              <w:spacing w:after="40"/>
              <w:ind w:right="113"/>
              <w:rPr>
                <w:i/>
                <w:sz w:val="19"/>
              </w:rPr>
            </w:pPr>
            <w:r>
              <w:rPr>
                <w:i/>
                <w:sz w:val="19"/>
              </w:rPr>
              <w:t>Painters’ Registration Board Amendment Rules 2008</w:t>
            </w:r>
          </w:p>
        </w:tc>
        <w:tc>
          <w:tcPr>
            <w:tcW w:w="1276" w:type="dxa"/>
          </w:tcPr>
          <w:p>
            <w:pPr>
              <w:pStyle w:val="nTable"/>
              <w:spacing w:after="40"/>
              <w:rPr>
                <w:sz w:val="19"/>
              </w:rPr>
            </w:pPr>
            <w:r>
              <w:rPr>
                <w:sz w:val="19"/>
              </w:rPr>
              <w:t>17 Jun 2008 p. 2556</w:t>
            </w:r>
            <w:r>
              <w:rPr>
                <w:sz w:val="19"/>
              </w:rPr>
              <w:noBreakHyphen/>
              <w:t>7</w:t>
            </w:r>
          </w:p>
        </w:tc>
        <w:tc>
          <w:tcPr>
            <w:tcW w:w="2693" w:type="dxa"/>
          </w:tcPr>
          <w:p>
            <w:pPr>
              <w:pStyle w:val="nTable"/>
              <w:spacing w:after="40"/>
              <w:rPr>
                <w:sz w:val="19"/>
              </w:rPr>
            </w:pPr>
            <w:r>
              <w:rPr>
                <w:sz w:val="19"/>
              </w:rPr>
              <w:t>r. 1 and 2: 17 Jun 2008 (see r. 2(a));</w:t>
            </w:r>
            <w:r>
              <w:rPr>
                <w:sz w:val="19"/>
              </w:rPr>
              <w:br/>
              <w:t>Rules other than r. 1 and 2: 1 Jul 2008 (see r. 2(b)(i))</w:t>
            </w:r>
          </w:p>
        </w:tc>
      </w:tr>
      <w:tr>
        <w:trPr>
          <w:cantSplit/>
        </w:trPr>
        <w:tc>
          <w:tcPr>
            <w:tcW w:w="7088" w:type="dxa"/>
            <w:gridSpan w:val="3"/>
          </w:tcPr>
          <w:p>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2009</w:t>
            </w:r>
          </w:p>
        </w:tc>
        <w:tc>
          <w:tcPr>
            <w:tcW w:w="1276" w:type="dxa"/>
          </w:tcPr>
          <w:p>
            <w:pPr>
              <w:pStyle w:val="nTable"/>
              <w:spacing w:after="40"/>
              <w:rPr>
                <w:sz w:val="19"/>
              </w:rPr>
            </w:pPr>
            <w:r>
              <w:rPr>
                <w:sz w:val="19"/>
              </w:rPr>
              <w:t>23 Jun 2009 p. 2451</w:t>
            </w:r>
            <w:r>
              <w:rPr>
                <w:sz w:val="19"/>
              </w:rPr>
              <w:noBreakHyphen/>
              <w:t>3</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trPr>
          <w:cantSplit/>
        </w:trPr>
        <w:tc>
          <w:tcPr>
            <w:tcW w:w="3119" w:type="dxa"/>
          </w:tcPr>
          <w:p>
            <w:pPr>
              <w:pStyle w:val="nTable"/>
              <w:spacing w:after="40"/>
              <w:ind w:right="113"/>
              <w:rPr>
                <w:i/>
                <w:sz w:val="19"/>
              </w:rPr>
            </w:pPr>
            <w:r>
              <w:rPr>
                <w:i/>
                <w:sz w:val="19"/>
              </w:rPr>
              <w:t>Painters’ Registration Board Amendment Rules (No. 2) 2010</w:t>
            </w:r>
          </w:p>
        </w:tc>
        <w:tc>
          <w:tcPr>
            <w:tcW w:w="1276" w:type="dxa"/>
          </w:tcPr>
          <w:p>
            <w:pPr>
              <w:pStyle w:val="nTable"/>
              <w:spacing w:after="40"/>
              <w:rPr>
                <w:sz w:val="19"/>
              </w:rPr>
            </w:pPr>
            <w:r>
              <w:rPr>
                <w:sz w:val="19"/>
              </w:rPr>
              <w:t>25 Jun 2010 p. 2855-6</w:t>
            </w:r>
          </w:p>
        </w:tc>
        <w:tc>
          <w:tcPr>
            <w:tcW w:w="2693" w:type="dxa"/>
          </w:tcPr>
          <w:p>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r>
        <w:trPr>
          <w:cantSplit/>
        </w:trPr>
        <w:tc>
          <w:tcPr>
            <w:tcW w:w="3119" w:type="dxa"/>
          </w:tcPr>
          <w:p>
            <w:pPr>
              <w:pStyle w:val="nTable"/>
              <w:spacing w:after="40"/>
              <w:ind w:right="113"/>
              <w:rPr>
                <w:i/>
                <w:sz w:val="19"/>
              </w:rPr>
            </w:pPr>
            <w:r>
              <w:rPr>
                <w:i/>
                <w:sz w:val="19"/>
              </w:rPr>
              <w:t>Painters’ Registration Board Amendment Rules 2010</w:t>
            </w:r>
          </w:p>
        </w:tc>
        <w:tc>
          <w:tcPr>
            <w:tcW w:w="1276" w:type="dxa"/>
          </w:tcPr>
          <w:p>
            <w:pPr>
              <w:pStyle w:val="nTable"/>
              <w:spacing w:after="40"/>
              <w:rPr>
                <w:sz w:val="19"/>
              </w:rPr>
            </w:pPr>
            <w:r>
              <w:rPr>
                <w:sz w:val="19"/>
              </w:rPr>
              <w:t>23 Jul 2010 p. 3399-400</w:t>
            </w:r>
          </w:p>
        </w:tc>
        <w:tc>
          <w:tcPr>
            <w:tcW w:w="2693" w:type="dxa"/>
          </w:tcPr>
          <w:p>
            <w:pPr>
              <w:pStyle w:val="nTable"/>
              <w:spacing w:after="40"/>
              <w:rPr>
                <w:snapToGrid w:val="0"/>
                <w:spacing w:val="-2"/>
                <w:sz w:val="19"/>
              </w:rPr>
            </w:pPr>
            <w:r>
              <w:rPr>
                <w:snapToGrid w:val="0"/>
                <w:spacing w:val="-2"/>
                <w:sz w:val="19"/>
              </w:rPr>
              <w:t>r. 1 and 2: 23 Jul 2010 (see r. 2(a));</w:t>
            </w:r>
            <w:r>
              <w:rPr>
                <w:snapToGrid w:val="0"/>
                <w:spacing w:val="-2"/>
                <w:sz w:val="19"/>
              </w:rPr>
              <w:br/>
              <w:t>Rules other than r. 1 and 2: 24 Jul 2010 (see r. 2(b))</w:t>
            </w:r>
          </w:p>
        </w:tc>
      </w:tr>
      <w:tr>
        <w:trPr>
          <w:cantSplit/>
          <w:ins w:id="67" w:author="Master Repository Process" w:date="2021-09-11T17:47:00Z"/>
        </w:trPr>
        <w:tc>
          <w:tcPr>
            <w:tcW w:w="3119" w:type="dxa"/>
            <w:tcBorders>
              <w:bottom w:val="single" w:sz="4" w:space="0" w:color="auto"/>
            </w:tcBorders>
          </w:tcPr>
          <w:p>
            <w:pPr>
              <w:pStyle w:val="nTable"/>
              <w:spacing w:after="40"/>
              <w:ind w:right="113"/>
              <w:rPr>
                <w:ins w:id="68" w:author="Master Repository Process" w:date="2021-09-11T17:47:00Z"/>
                <w:i/>
                <w:sz w:val="19"/>
              </w:rPr>
            </w:pPr>
            <w:ins w:id="69" w:author="Master Repository Process" w:date="2021-09-11T17:47:00Z">
              <w:r>
                <w:rPr>
                  <w:i/>
                  <w:sz w:val="19"/>
                </w:rPr>
                <w:t>Painters’ Registration Board Amendment Rules 2011</w:t>
              </w:r>
            </w:ins>
          </w:p>
        </w:tc>
        <w:tc>
          <w:tcPr>
            <w:tcW w:w="1276" w:type="dxa"/>
            <w:tcBorders>
              <w:bottom w:val="single" w:sz="4" w:space="0" w:color="auto"/>
            </w:tcBorders>
          </w:tcPr>
          <w:p>
            <w:pPr>
              <w:pStyle w:val="nTable"/>
              <w:spacing w:after="40"/>
              <w:rPr>
                <w:ins w:id="70" w:author="Master Repository Process" w:date="2021-09-11T17:47:00Z"/>
                <w:sz w:val="19"/>
              </w:rPr>
            </w:pPr>
            <w:ins w:id="71" w:author="Master Repository Process" w:date="2021-09-11T17:47:00Z">
              <w:r>
                <w:rPr>
                  <w:sz w:val="19"/>
                </w:rPr>
                <w:t>22 Jun 2011 p. 2321-3</w:t>
              </w:r>
            </w:ins>
          </w:p>
        </w:tc>
        <w:tc>
          <w:tcPr>
            <w:tcW w:w="2693" w:type="dxa"/>
            <w:tcBorders>
              <w:bottom w:val="single" w:sz="4" w:space="0" w:color="auto"/>
            </w:tcBorders>
          </w:tcPr>
          <w:p>
            <w:pPr>
              <w:pStyle w:val="nTable"/>
              <w:spacing w:after="40"/>
              <w:rPr>
                <w:ins w:id="72" w:author="Master Repository Process" w:date="2021-09-11T17:47:00Z"/>
                <w:snapToGrid w:val="0"/>
                <w:spacing w:val="-2"/>
                <w:sz w:val="19"/>
              </w:rPr>
            </w:pPr>
            <w:ins w:id="73" w:author="Master Repository Process" w:date="2021-09-11T17:47:00Z">
              <w:r>
                <w:rPr>
                  <w:snapToGrid w:val="0"/>
                  <w:spacing w:val="-2"/>
                  <w:sz w:val="19"/>
                </w:rPr>
                <w:t>r. 1 and 2: 22 Jun 2011 (see r. 2(a));</w:t>
              </w:r>
              <w:r>
                <w:rPr>
                  <w:snapToGrid w:val="0"/>
                  <w:spacing w:val="-2"/>
                  <w:sz w:val="19"/>
                </w:rPr>
                <w:br/>
                <w:t>Rules other than r. 1 and 2: 1 Jul 2011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 w:name="_Toc389741088"/>
      <w:bookmarkStart w:id="75" w:name="_Toc389741032"/>
      <w:r>
        <w:rPr>
          <w:snapToGrid w:val="0"/>
        </w:rPr>
        <w:t>Provisions that have not come into operation</w:t>
      </w:r>
      <w:bookmarkEnd w:id="74"/>
      <w:bookmarkEnd w:id="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Building Services (Registration) Act 2011 </w:t>
            </w:r>
            <w:r>
              <w:rPr>
                <w:snapToGrid w:val="0"/>
                <w:sz w:val="19"/>
              </w:rPr>
              <w:t>s. 111 </w:t>
            </w:r>
            <w:r>
              <w:rPr>
                <w:snapToGrid w:val="0"/>
                <w:sz w:val="19"/>
                <w:vertAlign w:val="superscript"/>
              </w:rPr>
              <w:t>3</w:t>
            </w:r>
          </w:p>
        </w:tc>
        <w:tc>
          <w:tcPr>
            <w:tcW w:w="1118" w:type="dxa"/>
          </w:tcPr>
          <w:p>
            <w:pPr>
              <w:pStyle w:val="nTable"/>
              <w:spacing w:after="40"/>
              <w:rPr>
                <w:snapToGrid w:val="0"/>
                <w:sz w:val="19"/>
              </w:rPr>
            </w:pPr>
            <w:r>
              <w:rPr>
                <w:snapToGrid w:val="0"/>
                <w:sz w:val="19"/>
              </w:rPr>
              <w:t>19 of 2011</w:t>
            </w:r>
          </w:p>
        </w:tc>
        <w:tc>
          <w:tcPr>
            <w:tcW w:w="1134" w:type="dxa"/>
          </w:tcPr>
          <w:p>
            <w:pPr>
              <w:pStyle w:val="nTable"/>
              <w:spacing w:after="40"/>
              <w:rPr>
                <w:snapToGrid w:val="0"/>
                <w:sz w:val="19"/>
              </w:rPr>
            </w:pPr>
            <w:r>
              <w:rPr>
                <w:snapToGrid w:val="0"/>
                <w:sz w:val="19"/>
              </w:rPr>
              <w:t>22 Jun 2011</w:t>
            </w:r>
          </w:p>
        </w:tc>
        <w:tc>
          <w:tcPr>
            <w:tcW w:w="2552" w:type="dxa"/>
          </w:tcPr>
          <w:p>
            <w:pPr>
              <w:pStyle w:val="nTable"/>
              <w:spacing w:after="40"/>
              <w:rPr>
                <w:snapToGrid w:val="0"/>
                <w:sz w:val="19"/>
              </w:rPr>
            </w:pPr>
            <w:r>
              <w:rPr>
                <w:snapToGrid w:val="0"/>
                <w:sz w:val="19"/>
              </w:rPr>
              <w:t>To be proclaimed (see s. 2(b))</w:t>
            </w:r>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Building Services (Registration) Act 2011 </w:t>
      </w:r>
      <w:r>
        <w:rPr>
          <w:snapToGrid w:val="0"/>
        </w:rPr>
        <w:t>s. 111 had not come into operation. It reads as follows:</w:t>
      </w:r>
    </w:p>
    <w:p>
      <w:pPr>
        <w:pStyle w:val="BlankOpen"/>
      </w:pPr>
    </w:p>
    <w:p>
      <w:pPr>
        <w:pStyle w:val="nzHeading5"/>
      </w:pPr>
      <w:r>
        <w:rPr>
          <w:rStyle w:val="CharSectno"/>
        </w:rPr>
        <w:t>111</w:t>
      </w:r>
      <w:r>
        <w:t>.</w:t>
      </w:r>
      <w:r>
        <w:tab/>
      </w:r>
      <w:r>
        <w:rPr>
          <w:i/>
          <w:iCs/>
        </w:rPr>
        <w:t>Painters’ Registration Board Rules 1962</w:t>
      </w:r>
      <w:r>
        <w:t xml:space="preserve"> repealed</w:t>
      </w:r>
    </w:p>
    <w:p>
      <w:pPr>
        <w:pStyle w:val="nzSubsection"/>
      </w:pPr>
      <w:r>
        <w:tab/>
      </w:r>
      <w:r>
        <w:tab/>
        <w:t xml:space="preserve">The </w:t>
      </w:r>
      <w:r>
        <w:rPr>
          <w:i/>
        </w:rPr>
        <w:t>Painters’ Registration Board Rules 1962</w:t>
      </w:r>
      <w:r>
        <w:t xml:space="preserve"> are repealed.</w:t>
      </w:r>
    </w:p>
    <w:p>
      <w:pPr>
        <w:pStyle w:val="BlankOpen"/>
      </w:pPr>
    </w:p>
    <w:p>
      <w:pPr>
        <w:pStyle w:val="BlankOpen"/>
      </w:pPr>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p/>
    <w:sectPr>
      <w:headerReference w:type="even" r:id="rId20"/>
      <w:headerReference w:type="default" r:id="rId2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318"/>
    <w:docVar w:name="WAFER_20140605140318" w:val="RemoveTocBookmarks,RemoveUnusedBookmarks,RemoveLanguageTags,UsedStyles,ResetPageSize"/>
    <w:docVar w:name="WAFER_20140605140318_GUID" w:val="ecc5b988-21b7-4ef8-999e-c817cd6286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4404D16-A1ED-4FF1-BD49-FD76D696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3660</Words>
  <Characters>21485</Characters>
  <Application>Microsoft Office Word</Application>
  <DocSecurity>0</DocSecurity>
  <Lines>795</Lines>
  <Paragraphs>493</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03-e0-02 - 03-f0-04</dc:title>
  <dc:subject/>
  <dc:creator/>
  <cp:keywords/>
  <dc:description/>
  <cp:lastModifiedBy>Master Repository Process</cp:lastModifiedBy>
  <cp:revision>2</cp:revision>
  <cp:lastPrinted>2008-10-20T05:34:00Z</cp:lastPrinted>
  <dcterms:created xsi:type="dcterms:W3CDTF">2021-09-11T09:47:00Z</dcterms:created>
  <dcterms:modified xsi:type="dcterms:W3CDTF">2021-09-11T09:47:00Z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22 Jun 2011</vt:lpwstr>
  </property>
  <property fmtid="{D5CDD505-2E9C-101B-9397-08002B2CF9AE}" pid="9" name="ToSuffix">
    <vt:lpwstr>03-f0-04</vt:lpwstr>
  </property>
  <property fmtid="{D5CDD505-2E9C-101B-9397-08002B2CF9AE}" pid="10" name="ToAsAtDate">
    <vt:lpwstr>01 Jul 2011</vt:lpwstr>
  </property>
</Properties>
</file>