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keepLines/>
        <w:suppressLineNumbers/>
        <w:ind w:right="284"/>
      </w:pPr>
      <w:r>
        <w:t>State Superannuation Act 2000</w:t>
      </w:r>
    </w:p>
    <w:p>
      <w:pPr>
        <w:pStyle w:val="LongTitle"/>
        <w:keepLines/>
        <w:suppressLineNumbers/>
        <w:spacing w:before="600"/>
      </w:pPr>
      <w:r>
        <w:t>A</w:t>
      </w:r>
      <w:bookmarkStart w:id="0" w:name="_GoBack"/>
      <w:bookmarkEnd w:id="0"/>
      <w:r>
        <w:t>n Act to provide superannuation schemes for persons working for —</w:t>
      </w:r>
    </w:p>
    <w:p>
      <w:pPr>
        <w:pStyle w:val="LongTitle2"/>
      </w:pPr>
      <w:r>
        <w:tab/>
        <w:t>•</w:t>
      </w:r>
      <w:r>
        <w:tab/>
        <w:t>the Crown;</w:t>
      </w:r>
    </w:p>
    <w:p>
      <w:pPr>
        <w:pStyle w:val="LongTitle2"/>
      </w:pPr>
      <w:r>
        <w:tab/>
        <w:t>•</w:t>
      </w:r>
      <w:r>
        <w:tab/>
        <w:t>the Government of Western Australia;</w:t>
      </w:r>
    </w:p>
    <w:p>
      <w:pPr>
        <w:pStyle w:val="LongTitle2"/>
      </w:pPr>
      <w:r>
        <w:tab/>
        <w:t>•</w:t>
      </w:r>
      <w:r>
        <w:tab/>
        <w:t>Ministers of the Crown; or</w:t>
      </w:r>
    </w:p>
    <w:p>
      <w:pPr>
        <w:pStyle w:val="LongTitle2"/>
      </w:pPr>
      <w:r>
        <w:tab/>
        <w:t>•</w:t>
      </w:r>
      <w:r>
        <w:tab/>
      </w:r>
      <w:r>
        <w:tab/>
        <w:t>certain authorities, bodies and persons,</w:t>
      </w:r>
    </w:p>
    <w:p>
      <w:pPr>
        <w:pStyle w:val="LongTitle"/>
        <w:keepLines/>
        <w:suppressLineNumbers/>
        <w:tabs>
          <w:tab w:val="left" w:pos="709"/>
          <w:tab w:val="left" w:pos="1134"/>
        </w:tabs>
      </w:pPr>
      <w:r>
        <w:t xml:space="preserve">and certain other persons, to repeal the </w:t>
      </w:r>
      <w:r>
        <w:rPr>
          <w:i/>
        </w:rPr>
        <w:t>Government Employees Superannuation Act 1987</w:t>
      </w:r>
      <w:r>
        <w:t xml:space="preserve"> and the </w:t>
      </w:r>
      <w:r>
        <w:rPr>
          <w:i/>
        </w:rPr>
        <w:t>Superannuation and Family Benefits Act 1938</w:t>
      </w:r>
      <w:r>
        <w:t>, and for related purposes.</w:t>
      </w:r>
    </w:p>
    <w:p>
      <w:pPr>
        <w:pStyle w:val="Heading2"/>
        <w:keepLines/>
      </w:pPr>
      <w:bookmarkStart w:id="1" w:name="_Toc92706069"/>
      <w:bookmarkStart w:id="2" w:name="_Toc137013216"/>
      <w:bookmarkStart w:id="3" w:name="_Toc137013294"/>
      <w:bookmarkStart w:id="4" w:name="_Toc137013372"/>
      <w:bookmarkStart w:id="5" w:name="_Toc170193480"/>
      <w:r>
        <w:rPr>
          <w:rStyle w:val="CharPartNo"/>
        </w:rPr>
        <w:t>Part 1</w:t>
      </w:r>
      <w:r>
        <w:t xml:space="preserve"> — </w:t>
      </w:r>
      <w:r>
        <w:rPr>
          <w:rStyle w:val="CharPartText"/>
        </w:rPr>
        <w:t>Preliminary</w:t>
      </w:r>
      <w:bookmarkEnd w:id="1"/>
      <w:bookmarkEnd w:id="2"/>
      <w:bookmarkEnd w:id="3"/>
      <w:bookmarkEnd w:id="4"/>
      <w:bookmarkEnd w:id="5"/>
    </w:p>
    <w:p>
      <w:pPr>
        <w:pStyle w:val="Heading5"/>
        <w:suppressLineNumbers/>
      </w:pPr>
      <w:bookmarkStart w:id="6" w:name="_Toc496925275"/>
      <w:bookmarkStart w:id="7" w:name="_Toc520186352"/>
      <w:bookmarkStart w:id="8" w:name="_Toc137013295"/>
      <w:bookmarkStart w:id="9" w:name="_Toc170193481"/>
      <w:bookmarkStart w:id="10" w:name="_Toc92706070"/>
      <w:r>
        <w:rPr>
          <w:rStyle w:val="CharSectno"/>
        </w:rPr>
        <w:t>1</w:t>
      </w:r>
      <w:r>
        <w:t>.</w:t>
      </w:r>
      <w:r>
        <w:tab/>
        <w:t>Short title</w:t>
      </w:r>
      <w:bookmarkEnd w:id="6"/>
      <w:bookmarkEnd w:id="7"/>
      <w:bookmarkEnd w:id="8"/>
      <w:bookmarkEnd w:id="9"/>
      <w:bookmarkEnd w:id="10"/>
    </w:p>
    <w:p>
      <w:pPr>
        <w:pStyle w:val="Subsection"/>
        <w:keepLines/>
        <w:suppressLineNumbers/>
      </w:pPr>
      <w:r>
        <w:tab/>
      </w:r>
      <w:r>
        <w:tab/>
        <w:t xml:space="preserve">This Act may be cited as the </w:t>
      </w:r>
      <w:r>
        <w:rPr>
          <w:i/>
        </w:rPr>
        <w:t>State Superannuation Act 2000</w:t>
      </w:r>
      <w:r>
        <w:t xml:space="preserve">. </w:t>
      </w:r>
    </w:p>
    <w:p>
      <w:pPr>
        <w:pStyle w:val="Heading5"/>
      </w:pPr>
      <w:bookmarkStart w:id="11" w:name="_Toc442678265"/>
      <w:bookmarkStart w:id="12" w:name="_Toc496925276"/>
      <w:bookmarkStart w:id="13" w:name="_Toc520186353"/>
      <w:bookmarkStart w:id="14" w:name="_Toc137013296"/>
      <w:bookmarkStart w:id="15" w:name="_Toc170193482"/>
      <w:bookmarkStart w:id="16" w:name="_Toc92706071"/>
      <w:r>
        <w:rPr>
          <w:rStyle w:val="CharSectno"/>
        </w:rPr>
        <w:t>2</w:t>
      </w:r>
      <w:r>
        <w:t>.</w:t>
      </w:r>
      <w:r>
        <w:tab/>
        <w:t>Commencement</w:t>
      </w:r>
      <w:bookmarkEnd w:id="11"/>
      <w:bookmarkEnd w:id="12"/>
      <w:bookmarkEnd w:id="13"/>
      <w:bookmarkEnd w:id="14"/>
      <w:bookmarkEnd w:id="15"/>
      <w:bookmarkEnd w:id="16"/>
    </w:p>
    <w:p>
      <w:pPr>
        <w:pStyle w:val="Subsection"/>
        <w:keepLines/>
      </w:pPr>
      <w:r>
        <w:tab/>
      </w:r>
      <w:r>
        <w:tab/>
        <w:t>This Act comes into operation on a day fixed by proclamation.</w:t>
      </w:r>
    </w:p>
    <w:p>
      <w:pPr>
        <w:pStyle w:val="Heading5"/>
      </w:pPr>
      <w:bookmarkStart w:id="17" w:name="_Toc442678266"/>
      <w:bookmarkStart w:id="18" w:name="_Toc496925277"/>
      <w:bookmarkStart w:id="19" w:name="_Toc520186354"/>
      <w:bookmarkStart w:id="20" w:name="_Toc137013297"/>
      <w:bookmarkStart w:id="21" w:name="_Toc170193483"/>
      <w:bookmarkStart w:id="22" w:name="_Toc92706072"/>
      <w:r>
        <w:rPr>
          <w:rStyle w:val="CharSectno"/>
        </w:rPr>
        <w:t>3</w:t>
      </w:r>
      <w:r>
        <w:t>.</w:t>
      </w:r>
      <w:r>
        <w:tab/>
      </w:r>
      <w:bookmarkEnd w:id="17"/>
      <w:r>
        <w:t>Interpretation</w:t>
      </w:r>
      <w:bookmarkEnd w:id="18"/>
      <w:bookmarkEnd w:id="19"/>
      <w:bookmarkEnd w:id="20"/>
      <w:bookmarkEnd w:id="21"/>
      <w:bookmarkEnd w:id="22"/>
    </w:p>
    <w:p>
      <w:pPr>
        <w:pStyle w:val="Subsection"/>
      </w:pPr>
      <w:r>
        <w:tab/>
        <w:t>(1)</w:t>
      </w:r>
      <w:r>
        <w:tab/>
        <w:t>In this Act — </w:t>
      </w:r>
    </w:p>
    <w:p>
      <w:pPr>
        <w:pStyle w:val="Defstart"/>
      </w:pPr>
      <w:r>
        <w:tab/>
      </w:r>
      <w:r>
        <w:rPr>
          <w:b/>
        </w:rPr>
        <w:t>“actuary”</w:t>
      </w:r>
      <w:r>
        <w:t xml:space="preserve"> means a fellow or accredited member of the Institute of Actuaries of Australia, or any other person with actuarial knowledge and experience who is approved by the Minister; </w:t>
      </w:r>
    </w:p>
    <w:p>
      <w:pPr>
        <w:pStyle w:val="Defstart"/>
      </w:pPr>
      <w:r>
        <w:tab/>
      </w:r>
      <w:r>
        <w:rPr>
          <w:b/>
        </w:rPr>
        <w:t>“benefit”</w:t>
      </w:r>
      <w:r>
        <w:t xml:space="preserve"> means a benefit paid or payable under a scheme, whether paid or payable as a lump sum, pension, allowance or annuity or in any other form;</w:t>
      </w:r>
    </w:p>
    <w:p>
      <w:pPr>
        <w:pStyle w:val="Defstart"/>
      </w:pPr>
      <w:r>
        <w:tab/>
      </w:r>
      <w:r>
        <w:rPr>
          <w:b/>
        </w:rPr>
        <w:t>“Board”</w:t>
      </w:r>
      <w:r>
        <w:t xml:space="preserve"> means the Government Employees Superannuation Board under section </w:t>
      </w:r>
      <w:bookmarkStart w:id="23" w:name="_Hlt463767899"/>
      <w:r>
        <w:t>5</w:t>
      </w:r>
      <w:bookmarkEnd w:id="23"/>
      <w:r>
        <w:t>;</w:t>
      </w:r>
    </w:p>
    <w:p>
      <w:pPr>
        <w:pStyle w:val="Defstart"/>
      </w:pPr>
      <w:r>
        <w:tab/>
      </w:r>
      <w:r>
        <w:rPr>
          <w:b/>
        </w:rPr>
        <w:t>“Employer”</w:t>
      </w:r>
      <w:r>
        <w:t xml:space="preserve"> means — </w:t>
      </w:r>
    </w:p>
    <w:p>
      <w:pPr>
        <w:pStyle w:val="Defpara"/>
      </w:pPr>
      <w:r>
        <w:tab/>
        <w:t>(a)</w:t>
      </w:r>
      <w:r>
        <w:tab/>
        <w:t>the Crown;</w:t>
      </w:r>
    </w:p>
    <w:p>
      <w:pPr>
        <w:pStyle w:val="Defpara"/>
      </w:pPr>
      <w:r>
        <w:tab/>
        <w:t>(b)</w:t>
      </w:r>
      <w:r>
        <w:tab/>
        <w:t>the Government of Western Australia;</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b/>
        </w:rPr>
        <w:t>“Fund”</w:t>
      </w:r>
      <w:r>
        <w:t xml:space="preserve"> means the Government Employees Superannuation Fund under section 14;</w:t>
      </w:r>
    </w:p>
    <w:p>
      <w:pPr>
        <w:pStyle w:val="Defstart"/>
      </w:pPr>
      <w:r>
        <w:tab/>
      </w:r>
      <w:r>
        <w:rPr>
          <w:b/>
        </w:rPr>
        <w:t>“GES Act”</w:t>
      </w:r>
      <w:r>
        <w:t xml:space="preserve"> means the </w:t>
      </w:r>
      <w:r>
        <w:rPr>
          <w:i/>
        </w:rPr>
        <w:t xml:space="preserve">Government Employees Superannuation Act 1987 </w:t>
      </w:r>
      <w:r>
        <w:t>as in force immediately before this Act came into operation;</w:t>
      </w:r>
    </w:p>
    <w:p>
      <w:pPr>
        <w:pStyle w:val="Defstart"/>
      </w:pPr>
      <w:r>
        <w:tab/>
      </w:r>
      <w:r>
        <w:rPr>
          <w:b/>
        </w:rPr>
        <w:t>“Member”</w:t>
      </w:r>
      <w:r>
        <w:t xml:space="preserve"> means a member of a scheme;</w:t>
      </w:r>
    </w:p>
    <w:p>
      <w:pPr>
        <w:pStyle w:val="Defstart"/>
        <w:rPr>
          <w:i/>
        </w:rPr>
      </w:pPr>
      <w:r>
        <w:tab/>
      </w:r>
      <w:r>
        <w:rPr>
          <w:b/>
        </w:rPr>
        <w:t>“S&amp;FB Act”</w:t>
      </w:r>
      <w:r>
        <w:t xml:space="preserve"> means the </w:t>
      </w:r>
      <w:r>
        <w:rPr>
          <w:i/>
        </w:rPr>
        <w:t xml:space="preserve">Superannuation and Family Benefits Act 1938 </w:t>
      </w:r>
      <w:r>
        <w:t>as in force immediately before this Act came into operation;</w:t>
      </w:r>
    </w:p>
    <w:p>
      <w:pPr>
        <w:pStyle w:val="Defstart"/>
      </w:pPr>
      <w:r>
        <w:tab/>
      </w:r>
      <w:r>
        <w:rPr>
          <w:b/>
        </w:rPr>
        <w:t>“scheme”</w:t>
      </w:r>
      <w:r>
        <w:t>, except in section 30, means a superannuation scheme established or continued under this Act;</w:t>
      </w:r>
    </w:p>
    <w:p>
      <w:pPr>
        <w:pStyle w:val="Defstart"/>
        <w:rPr>
          <w:ins w:id="24" w:author="svcMRProcess" w:date="2015-12-14T21:58:00Z"/>
        </w:rPr>
      </w:pPr>
      <w:ins w:id="25" w:author="svcMRProcess" w:date="2015-12-14T21:58:00Z">
        <w:r>
          <w:rPr>
            <w:b/>
          </w:rPr>
          <w:tab/>
          <w:t>“</w:t>
        </w:r>
        <w:r>
          <w:rPr>
            <w:rStyle w:val="CharDefText"/>
          </w:rPr>
          <w:t>subsidiary</w:t>
        </w:r>
        <w:r>
          <w:rPr>
            <w:b/>
          </w:rPr>
          <w:t>”</w:t>
        </w:r>
        <w:r>
          <w:t xml:space="preserve"> means a body determined under subsection (3) to be a subsidiary of the Board;</w:t>
        </w:r>
      </w:ins>
    </w:p>
    <w:p>
      <w:pPr>
        <w:pStyle w:val="Defstart"/>
      </w:pPr>
      <w:r>
        <w:tab/>
      </w:r>
      <w:r>
        <w:rPr>
          <w:b/>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rPr>
          <w:ins w:id="26" w:author="svcMRProcess" w:date="2015-12-14T21:58:00Z"/>
        </w:rPr>
      </w:pPr>
      <w:ins w:id="27" w:author="svcMRProcess" w:date="2015-12-14T21:58:00Z">
        <w:r>
          <w:tab/>
          <w:t>(3)</w:t>
        </w:r>
        <w:r>
          <w:tab/>
          <w:t xml:space="preserve">Part 1.2 Division 6 of the </w:t>
        </w:r>
        <w:r>
          <w:rPr>
            <w:i/>
            <w:iCs/>
          </w:rPr>
          <w:t>Corporations Act 2001</w:t>
        </w:r>
        <w:r>
          <w:t xml:space="preserve"> of the Commonwealth applies for the purpose of determining whether a body is a subsidiary of the Board.</w:t>
        </w:r>
      </w:ins>
    </w:p>
    <w:p>
      <w:pPr>
        <w:pStyle w:val="Footnotesection"/>
        <w:rPr>
          <w:ins w:id="28" w:author="svcMRProcess" w:date="2015-12-14T21:58:00Z"/>
        </w:rPr>
      </w:pPr>
      <w:ins w:id="29" w:author="svcMRProcess" w:date="2015-12-14T21:58:00Z">
        <w:r>
          <w:tab/>
          <w:t>[Section 3 amended by No. 18 of 2006 s. 6.]</w:t>
        </w:r>
      </w:ins>
    </w:p>
    <w:p>
      <w:pPr>
        <w:pStyle w:val="Heading5"/>
      </w:pPr>
      <w:bookmarkStart w:id="30" w:name="_Toc496925278"/>
      <w:bookmarkStart w:id="31" w:name="_Toc520186355"/>
      <w:bookmarkStart w:id="32" w:name="_Toc137013298"/>
      <w:bookmarkStart w:id="33" w:name="_Toc170193484"/>
      <w:bookmarkStart w:id="34" w:name="_Toc92706073"/>
      <w:r>
        <w:rPr>
          <w:rStyle w:val="CharSectno"/>
        </w:rPr>
        <w:t>4</w:t>
      </w:r>
      <w:r>
        <w:t>.</w:t>
      </w:r>
      <w:r>
        <w:tab/>
        <w:t>Act binds the Crown</w:t>
      </w:r>
      <w:bookmarkEnd w:id="30"/>
      <w:bookmarkEnd w:id="31"/>
      <w:bookmarkEnd w:id="32"/>
      <w:bookmarkEnd w:id="33"/>
      <w:bookmarkEnd w:id="34"/>
    </w:p>
    <w:p>
      <w:pPr>
        <w:pStyle w:val="Subsection"/>
      </w:pPr>
      <w:r>
        <w:tab/>
      </w:r>
      <w:r>
        <w:tab/>
        <w:t>This Act binds the Crown.</w:t>
      </w:r>
    </w:p>
    <w:p>
      <w:pPr>
        <w:pStyle w:val="Heading2"/>
        <w:keepLines/>
      </w:pPr>
      <w:bookmarkStart w:id="35" w:name="_Toc92706074"/>
      <w:bookmarkStart w:id="36" w:name="_Toc137013221"/>
      <w:bookmarkStart w:id="37" w:name="_Toc137013299"/>
      <w:bookmarkStart w:id="38" w:name="_Toc137013377"/>
      <w:bookmarkStart w:id="39" w:name="_Toc170193485"/>
      <w:r>
        <w:rPr>
          <w:rStyle w:val="CharPartNo"/>
        </w:rPr>
        <w:t>Part 2</w:t>
      </w:r>
      <w:r>
        <w:t xml:space="preserve"> — </w:t>
      </w:r>
      <w:r>
        <w:rPr>
          <w:rStyle w:val="CharPartText"/>
        </w:rPr>
        <w:t>Government Employees Superannuation Board</w:t>
      </w:r>
      <w:bookmarkEnd w:id="35"/>
      <w:bookmarkEnd w:id="36"/>
      <w:bookmarkEnd w:id="37"/>
      <w:bookmarkEnd w:id="38"/>
      <w:bookmarkEnd w:id="39"/>
      <w:r>
        <w:t xml:space="preserve"> </w:t>
      </w:r>
    </w:p>
    <w:p>
      <w:pPr>
        <w:pStyle w:val="Heading5"/>
      </w:pPr>
      <w:bookmarkStart w:id="40" w:name="_Toc435930233"/>
      <w:bookmarkStart w:id="41" w:name="_Toc438262818"/>
      <w:bookmarkStart w:id="42" w:name="_Toc442678267"/>
      <w:bookmarkStart w:id="43" w:name="_Toc496925279"/>
      <w:bookmarkStart w:id="44" w:name="_Toc520186356"/>
      <w:bookmarkStart w:id="45" w:name="_Toc137013300"/>
      <w:bookmarkStart w:id="46" w:name="_Toc170193486"/>
      <w:bookmarkStart w:id="47" w:name="_Toc92706075"/>
      <w:r>
        <w:rPr>
          <w:rStyle w:val="CharSectno"/>
        </w:rPr>
        <w:t>5</w:t>
      </w:r>
      <w:r>
        <w:t>.</w:t>
      </w:r>
      <w:r>
        <w:tab/>
      </w:r>
      <w:bookmarkEnd w:id="40"/>
      <w:bookmarkEnd w:id="41"/>
      <w:bookmarkEnd w:id="42"/>
      <w:r>
        <w:t>Government Employees Superannuation Board</w:t>
      </w:r>
      <w:bookmarkEnd w:id="43"/>
      <w:bookmarkEnd w:id="44"/>
      <w:bookmarkEnd w:id="45"/>
      <w:bookmarkEnd w:id="46"/>
      <w:bookmarkEnd w:id="47"/>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48" w:name="_Toc496925280"/>
      <w:bookmarkStart w:id="49" w:name="_Toc520186357"/>
      <w:bookmarkStart w:id="50" w:name="_Toc137013301"/>
      <w:bookmarkStart w:id="51" w:name="_Toc170193487"/>
      <w:bookmarkStart w:id="52" w:name="_Toc92706076"/>
      <w:r>
        <w:rPr>
          <w:rStyle w:val="CharSectno"/>
        </w:rPr>
        <w:t>6</w:t>
      </w:r>
      <w:r>
        <w:t>.</w:t>
      </w:r>
      <w:r>
        <w:tab/>
        <w:t>Functions of the Board</w:t>
      </w:r>
      <w:bookmarkEnd w:id="48"/>
      <w:bookmarkEnd w:id="49"/>
      <w:bookmarkEnd w:id="50"/>
      <w:bookmarkEnd w:id="51"/>
      <w:bookmarkEnd w:id="52"/>
    </w:p>
    <w:p>
      <w:pPr>
        <w:pStyle w:val="Subsection"/>
      </w:pPr>
      <w:r>
        <w:tab/>
        <w:t>(1)</w:t>
      </w:r>
      <w:r>
        <w:tab/>
        <w:t>The functions of the Board are to —</w:t>
      </w:r>
    </w:p>
    <w:p>
      <w:pPr>
        <w:pStyle w:val="Indenta"/>
      </w:pPr>
      <w:r>
        <w:tab/>
        <w:t>(a)</w:t>
      </w:r>
      <w:r>
        <w:tab/>
        <w:t>administer this Act;</w:t>
      </w:r>
      <w:ins w:id="53" w:author="svcMRProcess" w:date="2015-12-14T21:58:00Z">
        <w:r>
          <w:t xml:space="preserve"> and</w:t>
        </w:r>
      </w:ins>
    </w:p>
    <w:p>
      <w:pPr>
        <w:pStyle w:val="Indenta"/>
      </w:pPr>
      <w:r>
        <w:tab/>
        <w:t>(b)</w:t>
      </w:r>
      <w:r>
        <w:tab/>
        <w:t xml:space="preserve">manage the Fund; </w:t>
      </w:r>
      <w:ins w:id="54" w:author="svcMRProcess" w:date="2015-12-14T21:58:00Z">
        <w:r>
          <w:t xml:space="preserve">and </w:t>
        </w:r>
      </w:ins>
    </w:p>
    <w:p>
      <w:pPr>
        <w:pStyle w:val="Indenta"/>
      </w:pPr>
      <w:r>
        <w:tab/>
        <w:t>(c)</w:t>
      </w:r>
      <w:r>
        <w:tab/>
        <w:t>administer the schemes;</w:t>
      </w:r>
      <w:ins w:id="55" w:author="svcMRProcess" w:date="2015-12-14T21:58:00Z">
        <w:r>
          <w:t xml:space="preserve"> and</w:t>
        </w:r>
      </w:ins>
      <w:r>
        <w:t xml:space="preserve"> </w:t>
      </w:r>
    </w:p>
    <w:p>
      <w:pPr>
        <w:pStyle w:val="Indenta"/>
      </w:pPr>
      <w:r>
        <w:tab/>
        <w:t>(d)</w:t>
      </w:r>
      <w:r>
        <w:tab/>
        <w:t xml:space="preserve">provide information, advice and assistance to the Minister and the Treasurer on matters relating to superannuation; </w:t>
      </w:r>
      <w:ins w:id="56" w:author="svcMRProcess" w:date="2015-12-14T21:58:00Z">
        <w:r>
          <w:t xml:space="preserve">and </w:t>
        </w:r>
      </w:ins>
    </w:p>
    <w:p>
      <w:pPr>
        <w:pStyle w:val="Indenta"/>
        <w:rPr>
          <w:ins w:id="57" w:author="svcMRProcess" w:date="2015-12-14T21:58:00Z"/>
        </w:rPr>
      </w:pPr>
      <w:r>
        <w:tab/>
        <w:t>(e)</w:t>
      </w:r>
      <w:r>
        <w:tab/>
        <w:t>provide</w:t>
      </w:r>
      <w:del w:id="58" w:author="svcMRProcess" w:date="2015-12-14T21:58:00Z">
        <w:r>
          <w:delText xml:space="preserve"> other </w:delText>
        </w:r>
      </w:del>
      <w:ins w:id="59" w:author="svcMRProcess" w:date="2015-12-14T21:58:00Z">
        <w:r>
          <w:t xml:space="preserve">, or facilitate the provision of, </w:t>
        </w:r>
      </w:ins>
      <w:r>
        <w:t xml:space="preserve">products and services </w:t>
      </w:r>
      <w:del w:id="60" w:author="svcMRProcess" w:date="2015-12-14T21:58:00Z">
        <w:r>
          <w:delText>in accordance with the regulations</w:delText>
        </w:r>
      </w:del>
      <w:ins w:id="61" w:author="svcMRProcess" w:date="2015-12-14T21:58:00Z">
        <w:r>
          <w:t xml:space="preserve">to — </w:t>
        </w:r>
      </w:ins>
    </w:p>
    <w:p>
      <w:pPr>
        <w:pStyle w:val="Indenti"/>
      </w:pPr>
      <w:ins w:id="62" w:author="svcMRProcess" w:date="2015-12-14T21:58:00Z">
        <w:r>
          <w:tab/>
          <w:t>(i)</w:t>
        </w:r>
        <w:r>
          <w:tab/>
          <w:t>members of superannuation schemes administered by the Board under this Act or any other written law</w:t>
        </w:r>
      </w:ins>
      <w:r>
        <w:t>; and</w:t>
      </w:r>
    </w:p>
    <w:p>
      <w:pPr>
        <w:pStyle w:val="Indenti"/>
        <w:rPr>
          <w:ins w:id="63" w:author="svcMRProcess" w:date="2015-12-14T21:58:00Z"/>
        </w:rPr>
      </w:pPr>
      <w:ins w:id="64" w:author="svcMRProcess" w:date="2015-12-14T21:58:00Z">
        <w:r>
          <w:tab/>
          <w:t>(ii)</w:t>
        </w:r>
        <w:r>
          <w:tab/>
          <w:t>Employers;</w:t>
        </w:r>
      </w:ins>
    </w:p>
    <w:p>
      <w:pPr>
        <w:pStyle w:val="Indenta"/>
        <w:rPr>
          <w:ins w:id="65" w:author="svcMRProcess" w:date="2015-12-14T21:58:00Z"/>
        </w:rPr>
      </w:pPr>
      <w:ins w:id="66" w:author="svcMRProcess" w:date="2015-12-14T21:58:00Z">
        <w:r>
          <w:tab/>
        </w:r>
        <w:r>
          <w:tab/>
          <w:t>and</w:t>
        </w:r>
      </w:ins>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 xml:space="preserve">act in the best interests of Members; </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rPr>
          <w:ins w:id="67" w:author="svcMRProcess" w:date="2015-12-14T21:58:00Z"/>
        </w:rPr>
      </w:pPr>
      <w:ins w:id="68" w:author="svcMRProcess" w:date="2015-12-14T21:58:00Z">
        <w:r>
          <w:tab/>
          <w:t>[Section 6 amended by No. 18 of 2006 s. 7.]</w:t>
        </w:r>
      </w:ins>
    </w:p>
    <w:p>
      <w:pPr>
        <w:pStyle w:val="Heading5"/>
        <w:rPr>
          <w:snapToGrid w:val="0"/>
        </w:rPr>
      </w:pPr>
      <w:bookmarkStart w:id="69" w:name="_Toc496925281"/>
      <w:bookmarkStart w:id="70" w:name="_Toc520186358"/>
      <w:bookmarkStart w:id="71" w:name="_Toc137013302"/>
      <w:bookmarkStart w:id="72" w:name="_Toc170193488"/>
      <w:bookmarkStart w:id="73" w:name="_Toc92706077"/>
      <w:r>
        <w:rPr>
          <w:rStyle w:val="CharSectno"/>
        </w:rPr>
        <w:t>7</w:t>
      </w:r>
      <w:r>
        <w:rPr>
          <w:snapToGrid w:val="0"/>
        </w:rPr>
        <w:t>.</w:t>
      </w:r>
      <w:r>
        <w:rPr>
          <w:snapToGrid w:val="0"/>
        </w:rPr>
        <w:tab/>
        <w:t>Powers of the Board</w:t>
      </w:r>
      <w:bookmarkEnd w:id="69"/>
      <w:bookmarkEnd w:id="70"/>
      <w:bookmarkEnd w:id="71"/>
      <w:bookmarkEnd w:id="72"/>
      <w:bookmarkEnd w:id="73"/>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 xml:space="preserve">acquire, hold, deal with and dispose of property of any sort; </w:t>
      </w:r>
      <w:ins w:id="74" w:author="svcMRProcess" w:date="2015-12-14T21:58:00Z">
        <w:r>
          <w:t>and</w:t>
        </w:r>
      </w:ins>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w:t>
      </w:r>
      <w:ins w:id="75" w:author="svcMRProcess" w:date="2015-12-14T21:58:00Z">
        <w:r>
          <w:t xml:space="preserve"> and</w:t>
        </w:r>
      </w:ins>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ins w:id="76" w:author="svcMRProcess" w:date="2015-12-14T21:58:00Z">
        <w:r>
          <w:t>and</w:t>
        </w:r>
      </w:ins>
    </w:p>
    <w:p>
      <w:pPr>
        <w:pStyle w:val="Indenta"/>
        <w:rPr>
          <w:ins w:id="77" w:author="svcMRProcess" w:date="2015-12-14T21:58:00Z"/>
        </w:rPr>
      </w:pPr>
      <w:ins w:id="78" w:author="svcMRProcess" w:date="2015-12-14T21:58:00Z">
        <w:r>
          <w:tab/>
          <w:t>(ca)</w:t>
        </w:r>
        <w:r>
          <w:tab/>
          <w:t>subject to section 7A, form or acquire a subsidiary for the purpose of performing the function referred to in section 6(1)(e); and</w:t>
        </w:r>
      </w:ins>
    </w:p>
    <w:p>
      <w:pPr>
        <w:pStyle w:val="Indenta"/>
      </w:pPr>
      <w:r>
        <w:rPr>
          <w:snapToGrid w:val="0"/>
        </w:rPr>
        <w:tab/>
        <w:t>(d)</w:t>
      </w:r>
      <w:r>
        <w:rPr>
          <w:snapToGrid w:val="0"/>
        </w:rPr>
        <w:tab/>
      </w:r>
      <w:r>
        <w:t>promote and market the Board, its activities, products and services;</w:t>
      </w:r>
      <w:ins w:id="79" w:author="svcMRProcess" w:date="2015-12-14T21:58:00Z">
        <w:r>
          <w:t xml:space="preserve"> and</w:t>
        </w:r>
      </w:ins>
    </w:p>
    <w:p>
      <w:pPr>
        <w:pStyle w:val="Indenta"/>
        <w:rPr>
          <w:snapToGrid w:val="0"/>
        </w:rPr>
      </w:pPr>
      <w:r>
        <w:rPr>
          <w:snapToGrid w:val="0"/>
        </w:rPr>
        <w:tab/>
        <w:t>(e)</w:t>
      </w:r>
      <w:r>
        <w:rPr>
          <w:snapToGrid w:val="0"/>
        </w:rPr>
        <w:tab/>
        <w:t xml:space="preserve">conduct research; </w:t>
      </w:r>
      <w:ins w:id="80" w:author="svcMRProcess" w:date="2015-12-14T21:58:00Z">
        <w:r>
          <w:t>and</w:t>
        </w:r>
      </w:ins>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rPr>
          <w:ins w:id="81" w:author="svcMRProcess" w:date="2015-12-14T21:58:00Z"/>
        </w:rPr>
      </w:pPr>
      <w:ins w:id="82" w:author="svcMRProcess" w:date="2015-12-14T21:58:00Z">
        <w:r>
          <w:tab/>
          <w:t>[Section 7 amended by No. 18 of 2006 s. 8.]</w:t>
        </w:r>
      </w:ins>
    </w:p>
    <w:p>
      <w:pPr>
        <w:pStyle w:val="Heading5"/>
        <w:rPr>
          <w:ins w:id="83" w:author="svcMRProcess" w:date="2015-12-14T21:58:00Z"/>
        </w:rPr>
      </w:pPr>
      <w:bookmarkStart w:id="84" w:name="_Toc132092744"/>
      <w:bookmarkStart w:id="85" w:name="_Toc136390863"/>
      <w:bookmarkStart w:id="86" w:name="_Toc137013303"/>
      <w:bookmarkStart w:id="87" w:name="_Toc170193489"/>
      <w:bookmarkStart w:id="88" w:name="_Toc496925282"/>
      <w:bookmarkStart w:id="89" w:name="_Toc520186359"/>
      <w:ins w:id="90" w:author="svcMRProcess" w:date="2015-12-14T21:58:00Z">
        <w:r>
          <w:rPr>
            <w:rStyle w:val="CharSectno"/>
          </w:rPr>
          <w:t>7A</w:t>
        </w:r>
        <w:r>
          <w:t>.</w:t>
        </w:r>
        <w:r>
          <w:tab/>
          <w:t>Formation or acquisition of subsidiary</w:t>
        </w:r>
        <w:bookmarkEnd w:id="84"/>
        <w:bookmarkEnd w:id="85"/>
        <w:bookmarkEnd w:id="86"/>
        <w:bookmarkEnd w:id="87"/>
      </w:ins>
    </w:p>
    <w:p>
      <w:pPr>
        <w:pStyle w:val="Subsection"/>
        <w:rPr>
          <w:ins w:id="91" w:author="svcMRProcess" w:date="2015-12-14T21:58:00Z"/>
        </w:rPr>
      </w:pPr>
      <w:ins w:id="92" w:author="svcMRProcess" w:date="2015-12-14T21:58:00Z">
        <w:r>
          <w:tab/>
          <w:t>(1)</w:t>
        </w:r>
        <w:r>
          <w:tab/>
          <w:t>The Board must obtain the approval of the Minister before it forms or acquires a subsidiary.</w:t>
        </w:r>
      </w:ins>
    </w:p>
    <w:p>
      <w:pPr>
        <w:pStyle w:val="Subsection"/>
        <w:rPr>
          <w:ins w:id="93" w:author="svcMRProcess" w:date="2015-12-14T21:58:00Z"/>
        </w:rPr>
      </w:pPr>
      <w:ins w:id="94" w:author="svcMRProcess" w:date="2015-12-14T21:58:00Z">
        <w:r>
          <w:tab/>
          <w:t>(2)</w:t>
        </w:r>
        <w:r>
          <w:tab/>
          <w:t>The Minister must not give approval under subsection (1) except with the Treasurer’s concurrence.</w:t>
        </w:r>
      </w:ins>
    </w:p>
    <w:p>
      <w:pPr>
        <w:pStyle w:val="Subsection"/>
        <w:rPr>
          <w:ins w:id="95" w:author="svcMRProcess" w:date="2015-12-14T21:58:00Z"/>
        </w:rPr>
      </w:pPr>
      <w:ins w:id="96" w:author="svcMRProcess" w:date="2015-12-14T21:58:00Z">
        <w:r>
          <w:tab/>
          <w:t>(3)</w:t>
        </w:r>
        <w:r>
          <w:tab/>
          <w:t>When seeking approval under subsection (1) the Board must give to the Minister a copy of the subsidiary’s constitution or proposed constitution, as the case requires.</w:t>
        </w:r>
      </w:ins>
    </w:p>
    <w:p>
      <w:pPr>
        <w:pStyle w:val="Footnotesection"/>
        <w:rPr>
          <w:ins w:id="97" w:author="svcMRProcess" w:date="2015-12-14T21:58:00Z"/>
        </w:rPr>
      </w:pPr>
      <w:ins w:id="98" w:author="svcMRProcess" w:date="2015-12-14T21:58:00Z">
        <w:r>
          <w:tab/>
          <w:t>[Section 7A inserted by No. 18 of 2006 s. 9.]</w:t>
        </w:r>
      </w:ins>
    </w:p>
    <w:p>
      <w:pPr>
        <w:pStyle w:val="Heading5"/>
        <w:rPr>
          <w:ins w:id="99" w:author="svcMRProcess" w:date="2015-12-14T21:58:00Z"/>
        </w:rPr>
      </w:pPr>
      <w:bookmarkStart w:id="100" w:name="_Toc132092745"/>
      <w:bookmarkStart w:id="101" w:name="_Toc136390864"/>
      <w:bookmarkStart w:id="102" w:name="_Toc137013304"/>
      <w:bookmarkStart w:id="103" w:name="_Toc170193490"/>
      <w:ins w:id="104" w:author="svcMRProcess" w:date="2015-12-14T21:58:00Z">
        <w:r>
          <w:rPr>
            <w:rStyle w:val="CharSectno"/>
          </w:rPr>
          <w:t>7B</w:t>
        </w:r>
        <w:r>
          <w:t>.</w:t>
        </w:r>
        <w:r>
          <w:tab/>
          <w:t>Control of subsidiary</w:t>
        </w:r>
        <w:bookmarkEnd w:id="100"/>
        <w:bookmarkEnd w:id="101"/>
        <w:bookmarkEnd w:id="102"/>
        <w:bookmarkEnd w:id="103"/>
      </w:ins>
    </w:p>
    <w:p>
      <w:pPr>
        <w:pStyle w:val="Subsection"/>
        <w:rPr>
          <w:ins w:id="105" w:author="svcMRProcess" w:date="2015-12-14T21:58:00Z"/>
        </w:rPr>
      </w:pPr>
      <w:ins w:id="106" w:author="svcMRProcess" w:date="2015-12-14T21:58:00Z">
        <w:r>
          <w:tab/>
          <w:t>(1)</w:t>
        </w:r>
        <w:r>
          <w:tab/>
          <w:t xml:space="preserve">In this section — </w:t>
        </w:r>
      </w:ins>
    </w:p>
    <w:p>
      <w:pPr>
        <w:pStyle w:val="Defstart"/>
        <w:rPr>
          <w:ins w:id="107" w:author="svcMRProcess" w:date="2015-12-14T21:58:00Z"/>
        </w:rPr>
      </w:pPr>
      <w:ins w:id="108" w:author="svcMRProcess" w:date="2015-12-14T21:58:00Z">
        <w:r>
          <w:rPr>
            <w:b/>
          </w:rPr>
          <w:tab/>
          <w:t>“</w:t>
        </w:r>
        <w:r>
          <w:rPr>
            <w:rStyle w:val="CharDefText"/>
          </w:rPr>
          <w:t>Corporations Act</w:t>
        </w:r>
        <w:r>
          <w:rPr>
            <w:b/>
          </w:rPr>
          <w:t>”</w:t>
        </w:r>
        <w:r>
          <w:t xml:space="preserve"> means the </w:t>
        </w:r>
        <w:r>
          <w:rPr>
            <w:i/>
            <w:iCs/>
          </w:rPr>
          <w:t>Corporations Act 2001</w:t>
        </w:r>
        <w:r>
          <w:t xml:space="preserve"> of the Commonwealth.</w:t>
        </w:r>
      </w:ins>
    </w:p>
    <w:p>
      <w:pPr>
        <w:pStyle w:val="Subsection"/>
        <w:rPr>
          <w:ins w:id="109" w:author="svcMRProcess" w:date="2015-12-14T21:58:00Z"/>
        </w:rPr>
      </w:pPr>
      <w:ins w:id="110" w:author="svcMRProcess" w:date="2015-12-14T21:58:00Z">
        <w:r>
          <w:tab/>
          <w:t>(2)</w:t>
        </w:r>
        <w:r>
          <w:tab/>
          <w:t xml:space="preserve">The Board must ensure that the constitution of every subsidiary of the Board that under a written law or the Corporations Act is required to have a constitution — </w:t>
        </w:r>
      </w:ins>
    </w:p>
    <w:p>
      <w:pPr>
        <w:pStyle w:val="Indenta"/>
        <w:rPr>
          <w:ins w:id="111" w:author="svcMRProcess" w:date="2015-12-14T21:58:00Z"/>
        </w:rPr>
      </w:pPr>
      <w:ins w:id="112" w:author="svcMRProcess" w:date="2015-12-14T21:58:00Z">
        <w:r>
          <w:tab/>
          <w:t>(a)</w:t>
        </w:r>
        <w:r>
          <w:tab/>
          <w:t>contains provisions to the effect of those required by Schedule 3; and</w:t>
        </w:r>
      </w:ins>
    </w:p>
    <w:p>
      <w:pPr>
        <w:pStyle w:val="Indenta"/>
        <w:rPr>
          <w:ins w:id="113" w:author="svcMRProcess" w:date="2015-12-14T21:58:00Z"/>
        </w:rPr>
      </w:pPr>
      <w:ins w:id="114" w:author="svcMRProcess" w:date="2015-12-14T21:58:00Z">
        <w:r>
          <w:tab/>
          <w:t>(b)</w:t>
        </w:r>
        <w:r>
          <w:tab/>
          <w:t>is consistent with this Act; and</w:t>
        </w:r>
      </w:ins>
    </w:p>
    <w:p>
      <w:pPr>
        <w:pStyle w:val="Indenta"/>
        <w:rPr>
          <w:ins w:id="115" w:author="svcMRProcess" w:date="2015-12-14T21:58:00Z"/>
        </w:rPr>
      </w:pPr>
      <w:ins w:id="116" w:author="svcMRProcess" w:date="2015-12-14T21:58:00Z">
        <w:r>
          <w:tab/>
          <w:t>(c)</w:t>
        </w:r>
        <w:r>
          <w:tab/>
          <w:t>is not amended in a way that makes it inconsistent with this Act.</w:t>
        </w:r>
      </w:ins>
    </w:p>
    <w:p>
      <w:pPr>
        <w:pStyle w:val="Subsection"/>
        <w:rPr>
          <w:ins w:id="117" w:author="svcMRProcess" w:date="2015-12-14T21:58:00Z"/>
        </w:rPr>
      </w:pPr>
      <w:ins w:id="118" w:author="svcMRProcess" w:date="2015-12-14T21:58:00Z">
        <w:r>
          <w:tab/>
          <w:t>(3)</w:t>
        </w:r>
        <w:r>
          <w:tab/>
          <w:t>A director or a member of the staff of the Board may with the approval of the Board become a director of a company that is or is to be a subsidiary of the Board.</w:t>
        </w:r>
      </w:ins>
    </w:p>
    <w:p>
      <w:pPr>
        <w:pStyle w:val="Subsection"/>
        <w:rPr>
          <w:ins w:id="119" w:author="svcMRProcess" w:date="2015-12-14T21:58:00Z"/>
        </w:rPr>
      </w:pPr>
      <w:ins w:id="120" w:author="svcMRProcess" w:date="2015-12-14T21:58:00Z">
        <w:r>
          <w:tab/>
          <w:t>(4)</w:t>
        </w:r>
        <w:r>
          <w:tab/>
          <w:t>The provisions of this Act prevail to the extent of any inconsistency with the constitution of any subsidiary of the Board.</w:t>
        </w:r>
      </w:ins>
    </w:p>
    <w:p>
      <w:pPr>
        <w:pStyle w:val="Subsection"/>
        <w:rPr>
          <w:ins w:id="121" w:author="svcMRProcess" w:date="2015-12-14T21:58:00Z"/>
        </w:rPr>
      </w:pPr>
      <w:ins w:id="122" w:author="svcMRProcess" w:date="2015-12-14T21:58:00Z">
        <w:r>
          <w:tab/>
          <w:t>(5)</w:t>
        </w:r>
        <w:r>
          <w:tab/>
          <w:t xml:space="preserve">Neither — </w:t>
        </w:r>
      </w:ins>
    </w:p>
    <w:p>
      <w:pPr>
        <w:pStyle w:val="Indenta"/>
        <w:rPr>
          <w:ins w:id="123" w:author="svcMRProcess" w:date="2015-12-14T21:58:00Z"/>
        </w:rPr>
      </w:pPr>
      <w:ins w:id="124" w:author="svcMRProcess" w:date="2015-12-14T21:58:00Z">
        <w:r>
          <w:tab/>
          <w:t>(a)</w:t>
        </w:r>
        <w:r>
          <w:tab/>
          <w:t>subsection (2); nor</w:t>
        </w:r>
      </w:ins>
    </w:p>
    <w:p>
      <w:pPr>
        <w:pStyle w:val="Indenta"/>
        <w:rPr>
          <w:ins w:id="125" w:author="svcMRProcess" w:date="2015-12-14T21:58:00Z"/>
        </w:rPr>
      </w:pPr>
      <w:ins w:id="126" w:author="svcMRProcess" w:date="2015-12-14T21:58:00Z">
        <w:r>
          <w:tab/>
          <w:t>(b)</w:t>
        </w:r>
        <w:r>
          <w:tab/>
          <w:t>provisions referred to in subsection (2)(a) included in the constitution of a subsidiary,</w:t>
        </w:r>
      </w:ins>
    </w:p>
    <w:p>
      <w:pPr>
        <w:pStyle w:val="Subsection"/>
        <w:rPr>
          <w:ins w:id="127" w:author="svcMRProcess" w:date="2015-12-14T21:58:00Z"/>
        </w:rPr>
      </w:pPr>
      <w:ins w:id="128" w:author="svcMRProcess" w:date="2015-12-14T21:58:00Z">
        <w:r>
          <w:tab/>
        </w:r>
        <w:r>
          <w:tab/>
          <w:t>make the Board or the Minister a director of a subsidiary for the purposes of the Corporations Act.</w:t>
        </w:r>
      </w:ins>
    </w:p>
    <w:p>
      <w:pPr>
        <w:pStyle w:val="Subsection"/>
        <w:rPr>
          <w:ins w:id="129" w:author="svcMRProcess" w:date="2015-12-14T21:58:00Z"/>
        </w:rPr>
      </w:pPr>
      <w:ins w:id="130" w:author="svcMRProcess" w:date="2015-12-14T21:58:00Z">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ins>
    </w:p>
    <w:p>
      <w:pPr>
        <w:pStyle w:val="Footnotesection"/>
        <w:rPr>
          <w:ins w:id="131" w:author="svcMRProcess" w:date="2015-12-14T21:58:00Z"/>
        </w:rPr>
      </w:pPr>
      <w:ins w:id="132" w:author="svcMRProcess" w:date="2015-12-14T21:58:00Z">
        <w:r>
          <w:tab/>
          <w:t>[Section 7B inserted by No. 18 of 2006 s. 9.]</w:t>
        </w:r>
      </w:ins>
    </w:p>
    <w:p>
      <w:pPr>
        <w:pStyle w:val="Heading5"/>
      </w:pPr>
      <w:bookmarkStart w:id="133" w:name="_Toc137013305"/>
      <w:bookmarkStart w:id="134" w:name="_Toc170193491"/>
      <w:bookmarkStart w:id="135" w:name="_Toc92706078"/>
      <w:r>
        <w:rPr>
          <w:rStyle w:val="CharSectno"/>
        </w:rPr>
        <w:t>8</w:t>
      </w:r>
      <w:r>
        <w:t>.</w:t>
      </w:r>
      <w:r>
        <w:tab/>
        <w:t>Composition of the Board</w:t>
      </w:r>
      <w:bookmarkEnd w:id="88"/>
      <w:bookmarkEnd w:id="89"/>
      <w:bookmarkEnd w:id="133"/>
      <w:bookmarkEnd w:id="134"/>
      <w:bookmarkEnd w:id="135"/>
    </w:p>
    <w:p>
      <w:pPr>
        <w:pStyle w:val="Subsection"/>
        <w:keepNext/>
      </w:pPr>
      <w:r>
        <w:tab/>
        <w:t>(1)</w:t>
      </w:r>
      <w:r>
        <w:tab/>
        <w:t>The Board comprises 7 directors of whom — </w:t>
      </w:r>
    </w:p>
    <w:p>
      <w:pPr>
        <w:pStyle w:val="Indenta"/>
      </w:pPr>
      <w:r>
        <w:tab/>
        <w:t>(a)</w:t>
      </w:r>
      <w:r>
        <w:tab/>
        <w:t xml:space="preserve">one is to be appointed by the Governor as chairman on the nomination of the Minister; </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 xml:space="preserve">Schedule </w:t>
      </w:r>
      <w:bookmarkStart w:id="136" w:name="_Hlt447517359"/>
      <w:r>
        <w:t>1</w:t>
      </w:r>
      <w:bookmarkEnd w:id="136"/>
      <w:r>
        <w:t xml:space="preserve"> has effect.</w:t>
      </w:r>
    </w:p>
    <w:p>
      <w:pPr>
        <w:pStyle w:val="Heading5"/>
      </w:pPr>
      <w:bookmarkStart w:id="137" w:name="_Toc414097218"/>
      <w:bookmarkStart w:id="138" w:name="_Toc415275318"/>
      <w:bookmarkStart w:id="139" w:name="_Toc416669741"/>
      <w:bookmarkStart w:id="140" w:name="_Toc442591397"/>
      <w:bookmarkStart w:id="141" w:name="_Toc496925283"/>
      <w:bookmarkStart w:id="142" w:name="_Toc520186360"/>
      <w:bookmarkStart w:id="143" w:name="_Toc137013306"/>
      <w:bookmarkStart w:id="144" w:name="_Toc170193492"/>
      <w:bookmarkStart w:id="145" w:name="_Toc92706079"/>
      <w:r>
        <w:rPr>
          <w:rStyle w:val="CharSectno"/>
        </w:rPr>
        <w:t>9</w:t>
      </w:r>
      <w:r>
        <w:t>.</w:t>
      </w:r>
      <w:r>
        <w:tab/>
      </w:r>
      <w:bookmarkEnd w:id="137"/>
      <w:bookmarkEnd w:id="138"/>
      <w:bookmarkEnd w:id="139"/>
      <w:r>
        <w:t>Protection from liability</w:t>
      </w:r>
      <w:bookmarkEnd w:id="140"/>
      <w:bookmarkEnd w:id="141"/>
      <w:bookmarkEnd w:id="142"/>
      <w:bookmarkEnd w:id="143"/>
      <w:bookmarkEnd w:id="144"/>
      <w:bookmarkEnd w:id="145"/>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Heading5"/>
      </w:pPr>
      <w:bookmarkStart w:id="146" w:name="_Toc496925284"/>
      <w:bookmarkStart w:id="147" w:name="_Toc520186361"/>
      <w:bookmarkStart w:id="148" w:name="_Toc137013307"/>
      <w:bookmarkStart w:id="149" w:name="_Toc170193493"/>
      <w:bookmarkStart w:id="150" w:name="_Toc92706080"/>
      <w:r>
        <w:rPr>
          <w:rStyle w:val="CharSectno"/>
        </w:rPr>
        <w:t>10</w:t>
      </w:r>
      <w:r>
        <w:t>.</w:t>
      </w:r>
      <w:r>
        <w:tab/>
        <w:t>Meetings, procedures and common seal</w:t>
      </w:r>
      <w:bookmarkEnd w:id="146"/>
      <w:bookmarkEnd w:id="147"/>
      <w:bookmarkEnd w:id="148"/>
      <w:bookmarkEnd w:id="149"/>
      <w:bookmarkEnd w:id="150"/>
    </w:p>
    <w:p>
      <w:pPr>
        <w:pStyle w:val="Subsection"/>
      </w:pPr>
      <w:r>
        <w:tab/>
      </w:r>
      <w:bookmarkStart w:id="151" w:name="_Hlt462552645"/>
      <w:bookmarkEnd w:id="151"/>
      <w:r>
        <w:t>(1)</w:t>
      </w:r>
      <w:r>
        <w:tab/>
        <w:t>Schedule 2 has effect.</w:t>
      </w:r>
    </w:p>
    <w:p>
      <w:pPr>
        <w:pStyle w:val="Subsection"/>
      </w:pPr>
      <w:r>
        <w:tab/>
        <w:t>(2)</w:t>
      </w:r>
      <w:r>
        <w:tab/>
        <w:t xml:space="preserve">The common seal of the Board is to be — </w:t>
      </w:r>
    </w:p>
    <w:p>
      <w:pPr>
        <w:pStyle w:val="Indenta"/>
      </w:pPr>
      <w:r>
        <w:tab/>
        <w:t>(a)</w:t>
      </w:r>
      <w:r>
        <w:tab/>
        <w:t>in a form determined by the Board;</w:t>
      </w:r>
    </w:p>
    <w:p>
      <w:pPr>
        <w:pStyle w:val="Indenta"/>
      </w:pPr>
      <w:r>
        <w:tab/>
        <w:t>(b)</w:t>
      </w:r>
      <w:r>
        <w:tab/>
        <w:t>kept in safe custody as the Board directs; and</w:t>
      </w:r>
    </w:p>
    <w:p>
      <w:pPr>
        <w:pStyle w:val="Indenta"/>
      </w:pPr>
      <w:r>
        <w:tab/>
        <w:t>(c)</w:t>
      </w:r>
      <w:r>
        <w:tab/>
        <w:t>used only as authorized by the Board.</w:t>
      </w:r>
    </w:p>
    <w:p>
      <w:pPr>
        <w:pStyle w:val="Heading5"/>
      </w:pPr>
      <w:bookmarkStart w:id="152" w:name="_Toc496925285"/>
      <w:bookmarkStart w:id="153" w:name="_Toc520186362"/>
      <w:bookmarkStart w:id="154" w:name="_Toc137013308"/>
      <w:bookmarkStart w:id="155" w:name="_Toc170193494"/>
      <w:bookmarkStart w:id="156" w:name="_Toc92706081"/>
      <w:r>
        <w:rPr>
          <w:rStyle w:val="CharSectno"/>
        </w:rPr>
        <w:t>11</w:t>
      </w:r>
      <w:r>
        <w:t>.</w:t>
      </w:r>
      <w:r>
        <w:tab/>
        <w:t>Staff</w:t>
      </w:r>
      <w:bookmarkEnd w:id="152"/>
      <w:bookmarkEnd w:id="153"/>
      <w:bookmarkEnd w:id="154"/>
      <w:bookmarkEnd w:id="155"/>
      <w:bookmarkEnd w:id="156"/>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57" w:name="_Toc496925286"/>
      <w:bookmarkStart w:id="158" w:name="_Toc520186363"/>
      <w:bookmarkStart w:id="159" w:name="_Toc137013309"/>
      <w:bookmarkStart w:id="160" w:name="_Toc170193495"/>
      <w:bookmarkStart w:id="161" w:name="_Toc92706082"/>
      <w:r>
        <w:rPr>
          <w:rStyle w:val="CharSectno"/>
        </w:rPr>
        <w:t>12</w:t>
      </w:r>
      <w:r>
        <w:rPr>
          <w:snapToGrid w:val="0"/>
        </w:rPr>
        <w:t>.</w:t>
      </w:r>
      <w:r>
        <w:rPr>
          <w:snapToGrid w:val="0"/>
        </w:rPr>
        <w:tab/>
        <w:t>Delegation</w:t>
      </w:r>
      <w:bookmarkEnd w:id="157"/>
      <w:bookmarkEnd w:id="158"/>
      <w:bookmarkEnd w:id="159"/>
      <w:bookmarkEnd w:id="160"/>
      <w:bookmarkEnd w:id="161"/>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62" w:name="_Hlt462034089"/>
      <w:r>
        <w:t>8</w:t>
      </w:r>
      <w:bookmarkEnd w:id="162"/>
      <w:r>
        <w:t xml:space="preserve"> of Schedule </w:t>
      </w:r>
      <w:bookmarkStart w:id="163" w:name="_Hlt462558615"/>
      <w:r>
        <w:t>2</w:t>
      </w:r>
      <w:bookmarkEnd w:id="163"/>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64" w:name="_Toc496925287"/>
      <w:bookmarkStart w:id="165" w:name="_Toc520186364"/>
      <w:bookmarkStart w:id="166" w:name="_Toc137013310"/>
      <w:bookmarkStart w:id="167" w:name="_Toc170193496"/>
      <w:bookmarkStart w:id="168" w:name="_Toc92706083"/>
      <w:r>
        <w:rPr>
          <w:rStyle w:val="CharSectno"/>
        </w:rPr>
        <w:t>13</w:t>
      </w:r>
      <w:r>
        <w:rPr>
          <w:snapToGrid w:val="0"/>
        </w:rPr>
        <w:t>.</w:t>
      </w:r>
      <w:r>
        <w:rPr>
          <w:snapToGrid w:val="0"/>
        </w:rPr>
        <w:tab/>
        <w:t>Review of Board decisions</w:t>
      </w:r>
      <w:bookmarkEnd w:id="164"/>
      <w:bookmarkEnd w:id="165"/>
      <w:bookmarkEnd w:id="166"/>
      <w:bookmarkEnd w:id="167"/>
      <w:bookmarkEnd w:id="168"/>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if the decision relates to a superannuation scheme continued by section 29(c) or (d),</w:t>
      </w:r>
      <w:r>
        <w:t xml:space="preserve"> 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w:t>
      </w:r>
    </w:p>
    <w:p>
      <w:pPr>
        <w:pStyle w:val="Heading2"/>
        <w:keepLines/>
      </w:pPr>
      <w:bookmarkStart w:id="169" w:name="_Toc92706084"/>
      <w:bookmarkStart w:id="170" w:name="_Toc137013233"/>
      <w:bookmarkStart w:id="171" w:name="_Toc137013311"/>
      <w:bookmarkStart w:id="172" w:name="_Toc137013389"/>
      <w:bookmarkStart w:id="173" w:name="_Toc170193497"/>
      <w:r>
        <w:rPr>
          <w:rStyle w:val="CharPartNo"/>
        </w:rPr>
        <w:t>Part 3</w:t>
      </w:r>
      <w:r>
        <w:t xml:space="preserve"> — </w:t>
      </w:r>
      <w:r>
        <w:rPr>
          <w:rStyle w:val="CharPartText"/>
        </w:rPr>
        <w:t>Government Employees Superannuation Fund</w:t>
      </w:r>
      <w:bookmarkEnd w:id="169"/>
      <w:bookmarkEnd w:id="170"/>
      <w:bookmarkEnd w:id="171"/>
      <w:bookmarkEnd w:id="172"/>
      <w:bookmarkEnd w:id="173"/>
    </w:p>
    <w:p>
      <w:pPr>
        <w:pStyle w:val="Heading5"/>
      </w:pPr>
      <w:bookmarkStart w:id="174" w:name="_Toc496925288"/>
      <w:bookmarkStart w:id="175" w:name="_Toc520186365"/>
      <w:bookmarkStart w:id="176" w:name="_Toc137013312"/>
      <w:bookmarkStart w:id="177" w:name="_Toc170193498"/>
      <w:bookmarkStart w:id="178" w:name="_Toc92706085"/>
      <w:r>
        <w:rPr>
          <w:rStyle w:val="CharSectno"/>
        </w:rPr>
        <w:t>14</w:t>
      </w:r>
      <w:r>
        <w:t>.</w:t>
      </w:r>
      <w:r>
        <w:tab/>
        <w:t>The Fund</w:t>
      </w:r>
      <w:bookmarkEnd w:id="174"/>
      <w:bookmarkEnd w:id="175"/>
      <w:bookmarkEnd w:id="176"/>
      <w:bookmarkEnd w:id="177"/>
      <w:bookmarkEnd w:id="178"/>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Heading5"/>
      </w:pPr>
      <w:bookmarkStart w:id="179" w:name="_Toc496925289"/>
      <w:bookmarkStart w:id="180" w:name="_Toc520186366"/>
      <w:bookmarkStart w:id="181" w:name="_Toc137013313"/>
      <w:bookmarkStart w:id="182" w:name="_Toc170193499"/>
      <w:bookmarkStart w:id="183" w:name="_Toc92706086"/>
      <w:r>
        <w:rPr>
          <w:rStyle w:val="CharSectno"/>
        </w:rPr>
        <w:t>15</w:t>
      </w:r>
      <w:r>
        <w:t>.</w:t>
      </w:r>
      <w:r>
        <w:tab/>
        <w:t>Contents of the Fund</w:t>
      </w:r>
      <w:bookmarkEnd w:id="179"/>
      <w:bookmarkEnd w:id="180"/>
      <w:bookmarkEnd w:id="181"/>
      <w:bookmarkEnd w:id="182"/>
      <w:bookmarkEnd w:id="183"/>
    </w:p>
    <w:p>
      <w:pPr>
        <w:pStyle w:val="Subsection"/>
      </w:pPr>
      <w:r>
        <w:tab/>
        <w:t>(1)</w:t>
      </w:r>
      <w:r>
        <w:tab/>
        <w:t>The Board is to credit to the Fund —</w:t>
      </w:r>
    </w:p>
    <w:p>
      <w:pPr>
        <w:pStyle w:val="Indenta"/>
      </w:pPr>
      <w:r>
        <w:tab/>
        <w:t>(a)</w:t>
      </w:r>
      <w:r>
        <w:tab/>
        <w:t>contributions made under this Act;</w:t>
      </w:r>
    </w:p>
    <w:p>
      <w:pPr>
        <w:pStyle w:val="Indenta"/>
      </w:pPr>
      <w:r>
        <w:tab/>
        <w:t>(b)</w:t>
      </w:r>
      <w:r>
        <w:tab/>
        <w:t>amounts transferred to the Fund from other superannuation funds</w:t>
      </w:r>
      <w:del w:id="184" w:author="svcMRProcess" w:date="2015-12-14T21:58:00Z">
        <w:r>
          <w:delText xml:space="preserve"> in respect of Members</w:delText>
        </w:r>
      </w:del>
      <w:r>
        <w:t>;</w:t>
      </w:r>
    </w:p>
    <w:p>
      <w:pPr>
        <w:pStyle w:val="Indenta"/>
      </w:pPr>
      <w:r>
        <w:tab/>
        <w:t>(c)</w:t>
      </w:r>
      <w:r>
        <w:tab/>
        <w:t xml:space="preserve">earnings derived from the investment of the Fund; </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w:t>
      </w:r>
      <w:ins w:id="185" w:author="svcMRProcess" w:date="2015-12-14T21:58:00Z">
        <w:r>
          <w:t xml:space="preserve"> and</w:t>
        </w:r>
      </w:ins>
    </w:p>
    <w:p>
      <w:pPr>
        <w:pStyle w:val="Indenta"/>
      </w:pPr>
      <w:r>
        <w:tab/>
        <w:t>(b)</w:t>
      </w:r>
      <w:r>
        <w:tab/>
        <w:t>costs incurred by the Board in carrying out its functions; and</w:t>
      </w:r>
    </w:p>
    <w:p>
      <w:pPr>
        <w:pStyle w:val="Indenta"/>
        <w:rPr>
          <w:ins w:id="186" w:author="svcMRProcess" w:date="2015-12-14T21:58:00Z"/>
        </w:rPr>
      </w:pPr>
      <w:ins w:id="187" w:author="svcMRProcess" w:date="2015-12-14T21:58:00Z">
        <w:r>
          <w:tab/>
          <w:t>(ba)</w:t>
        </w:r>
        <w:r>
          <w:tab/>
          <w:t>expenditure relating to the establishment of a subsidiary under section 7(2)(ca); and</w:t>
        </w:r>
      </w:ins>
    </w:p>
    <w:p>
      <w:pPr>
        <w:pStyle w:val="Indenta"/>
      </w:pPr>
      <w:r>
        <w:tab/>
        <w:t>(c)</w:t>
      </w:r>
      <w:r>
        <w:tab/>
        <w:t>other amounts lawfully paid by the Board or charged to the Fund.</w:t>
      </w:r>
    </w:p>
    <w:p>
      <w:pPr>
        <w:pStyle w:val="Footnotesection"/>
        <w:rPr>
          <w:ins w:id="188" w:author="svcMRProcess" w:date="2015-12-14T21:58:00Z"/>
        </w:rPr>
      </w:pPr>
      <w:ins w:id="189" w:author="svcMRProcess" w:date="2015-12-14T21:58:00Z">
        <w:r>
          <w:tab/>
          <w:t>[Section 15 amended by No. 18 of 2006 s. 10.]</w:t>
        </w:r>
      </w:ins>
    </w:p>
    <w:p>
      <w:pPr>
        <w:pStyle w:val="Heading5"/>
        <w:keepLines w:val="0"/>
      </w:pPr>
      <w:bookmarkStart w:id="190" w:name="_Toc496925290"/>
      <w:bookmarkStart w:id="191" w:name="_Toc520186367"/>
      <w:bookmarkStart w:id="192" w:name="_Toc137013314"/>
      <w:bookmarkStart w:id="193" w:name="_Toc170193500"/>
      <w:bookmarkStart w:id="194" w:name="_Toc92706087"/>
      <w:r>
        <w:rPr>
          <w:rStyle w:val="CharSectno"/>
        </w:rPr>
        <w:t>16</w:t>
      </w:r>
      <w:r>
        <w:t>.</w:t>
      </w:r>
      <w:r>
        <w:tab/>
        <w:t>Accounting records</w:t>
      </w:r>
      <w:bookmarkEnd w:id="190"/>
      <w:bookmarkEnd w:id="191"/>
      <w:bookmarkEnd w:id="192"/>
      <w:bookmarkEnd w:id="193"/>
      <w:bookmarkEnd w:id="194"/>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95" w:name="_Toc496925291"/>
      <w:bookmarkStart w:id="196" w:name="_Toc520186368"/>
      <w:bookmarkStart w:id="197" w:name="_Toc137013315"/>
      <w:bookmarkStart w:id="198" w:name="_Toc170193501"/>
      <w:bookmarkStart w:id="199" w:name="_Toc92706088"/>
      <w:r>
        <w:rPr>
          <w:rStyle w:val="CharSectno"/>
        </w:rPr>
        <w:t>17</w:t>
      </w:r>
      <w:r>
        <w:t>.</w:t>
      </w:r>
      <w:r>
        <w:tab/>
        <w:t>Actuarial investigation</w:t>
      </w:r>
      <w:bookmarkEnd w:id="195"/>
      <w:bookmarkEnd w:id="196"/>
      <w:bookmarkEnd w:id="197"/>
      <w:bookmarkEnd w:id="198"/>
      <w:bookmarkEnd w:id="199"/>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200" w:name="_Toc496925292"/>
      <w:bookmarkStart w:id="201" w:name="_Toc520186369"/>
      <w:bookmarkStart w:id="202" w:name="_Toc137013316"/>
      <w:bookmarkStart w:id="203" w:name="_Toc170193502"/>
      <w:bookmarkStart w:id="204" w:name="_Toc92706089"/>
      <w:r>
        <w:rPr>
          <w:rStyle w:val="CharSectno"/>
        </w:rPr>
        <w:t>18</w:t>
      </w:r>
      <w:r>
        <w:t>.</w:t>
      </w:r>
      <w:r>
        <w:tab/>
        <w:t>Power to invest</w:t>
      </w:r>
      <w:bookmarkEnd w:id="200"/>
      <w:bookmarkEnd w:id="201"/>
      <w:bookmarkEnd w:id="202"/>
      <w:bookmarkEnd w:id="203"/>
      <w:bookmarkEnd w:id="204"/>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205" w:name="_Toc496925293"/>
      <w:bookmarkStart w:id="206" w:name="_Toc520186370"/>
      <w:bookmarkStart w:id="207" w:name="_Toc137013317"/>
      <w:bookmarkStart w:id="208" w:name="_Toc170193503"/>
      <w:bookmarkStart w:id="209" w:name="_Toc92706090"/>
      <w:r>
        <w:rPr>
          <w:rStyle w:val="CharSectno"/>
        </w:rPr>
        <w:t>19</w:t>
      </w:r>
      <w:r>
        <w:t>.</w:t>
      </w:r>
      <w:r>
        <w:tab/>
        <w:t>Investment strategy</w:t>
      </w:r>
      <w:bookmarkEnd w:id="205"/>
      <w:bookmarkEnd w:id="206"/>
      <w:bookmarkEnd w:id="207"/>
      <w:bookmarkEnd w:id="208"/>
      <w:bookmarkEnd w:id="209"/>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 xml:space="preserve">the need to exercise care and prudence to maintain the integrity of the Fund; </w:t>
      </w:r>
    </w:p>
    <w:p>
      <w:pPr>
        <w:pStyle w:val="Indenta"/>
      </w:pPr>
      <w:r>
        <w:tab/>
        <w:t>(b)</w:t>
      </w:r>
      <w:r>
        <w:tab/>
        <w:t>the —</w:t>
      </w:r>
    </w:p>
    <w:p>
      <w:pPr>
        <w:pStyle w:val="Indenti"/>
      </w:pPr>
      <w:r>
        <w:tab/>
        <w:t>(i)</w:t>
      </w:r>
      <w:r>
        <w:tab/>
        <w:t>nature of;</w:t>
      </w:r>
    </w:p>
    <w:p>
      <w:pPr>
        <w:pStyle w:val="Indenti"/>
      </w:pPr>
      <w:r>
        <w:tab/>
        <w:t>(ii)</w:t>
      </w:r>
      <w:r>
        <w:tab/>
        <w:t xml:space="preserve">potential for capital appreciation and income return from; </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 xml:space="preserve">different investments and different kinds of investments; </w:t>
      </w:r>
    </w:p>
    <w:p>
      <w:pPr>
        <w:pStyle w:val="Indenta"/>
      </w:pPr>
      <w:r>
        <w:tab/>
        <w:t>(c)</w:t>
      </w:r>
      <w:r>
        <w:tab/>
        <w:t>the desirability of diversifying its investments;</w:t>
      </w:r>
    </w:p>
    <w:p>
      <w:pPr>
        <w:pStyle w:val="Indenta"/>
      </w:pPr>
      <w:r>
        <w:tab/>
        <w:t>(d)</w:t>
      </w:r>
      <w:r>
        <w:tab/>
        <w:t xml:space="preserve">the liquidity of the Fund; </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Heading5"/>
        <w:keepNext w:val="0"/>
        <w:keepLines w:val="0"/>
      </w:pPr>
      <w:bookmarkStart w:id="210" w:name="_Toc496925294"/>
      <w:bookmarkStart w:id="211" w:name="_Toc520186371"/>
      <w:bookmarkStart w:id="212" w:name="_Toc137013318"/>
      <w:bookmarkStart w:id="213" w:name="_Toc170193504"/>
      <w:bookmarkStart w:id="214" w:name="_Toc92706091"/>
      <w:r>
        <w:rPr>
          <w:rStyle w:val="CharSectno"/>
        </w:rPr>
        <w:t>20</w:t>
      </w:r>
      <w:r>
        <w:rPr>
          <w:snapToGrid w:val="0"/>
        </w:rPr>
        <w:t>.</w:t>
      </w:r>
      <w:r>
        <w:rPr>
          <w:snapToGrid w:val="0"/>
        </w:rPr>
        <w:tab/>
        <w:t>Limitation on in-house assets</w:t>
      </w:r>
      <w:bookmarkEnd w:id="210"/>
      <w:bookmarkEnd w:id="211"/>
      <w:bookmarkEnd w:id="212"/>
      <w:bookmarkEnd w:id="213"/>
      <w:bookmarkEnd w:id="214"/>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215" w:name="_Toc496925295"/>
      <w:bookmarkStart w:id="216" w:name="_Toc520186372"/>
      <w:bookmarkStart w:id="217" w:name="_Toc137013319"/>
      <w:bookmarkStart w:id="218" w:name="_Toc170193505"/>
      <w:bookmarkStart w:id="219" w:name="_Toc92706092"/>
      <w:r>
        <w:rPr>
          <w:rStyle w:val="CharSectno"/>
        </w:rPr>
        <w:t>21</w:t>
      </w:r>
      <w:r>
        <w:rPr>
          <w:snapToGrid w:val="0"/>
        </w:rPr>
        <w:t>.</w:t>
      </w:r>
      <w:r>
        <w:rPr>
          <w:snapToGrid w:val="0"/>
        </w:rPr>
        <w:tab/>
        <w:t>Loans to Members prohibited</w:t>
      </w:r>
      <w:bookmarkEnd w:id="215"/>
      <w:bookmarkEnd w:id="216"/>
      <w:bookmarkEnd w:id="217"/>
      <w:bookmarkEnd w:id="218"/>
      <w:bookmarkEnd w:id="219"/>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220" w:name="_Toc496925296"/>
      <w:bookmarkStart w:id="221" w:name="_Toc520186373"/>
      <w:bookmarkStart w:id="222" w:name="_Toc137013320"/>
      <w:bookmarkStart w:id="223" w:name="_Toc170193506"/>
      <w:bookmarkStart w:id="224" w:name="_Toc92706093"/>
      <w:r>
        <w:rPr>
          <w:rStyle w:val="CharSectno"/>
        </w:rPr>
        <w:t>22</w:t>
      </w:r>
      <w:r>
        <w:rPr>
          <w:snapToGrid w:val="0"/>
        </w:rPr>
        <w:t>.</w:t>
      </w:r>
      <w:r>
        <w:rPr>
          <w:snapToGrid w:val="0"/>
        </w:rPr>
        <w:tab/>
        <w:t>Earnings derived from investment</w:t>
      </w:r>
      <w:bookmarkEnd w:id="220"/>
      <w:bookmarkEnd w:id="221"/>
      <w:bookmarkEnd w:id="222"/>
      <w:bookmarkEnd w:id="223"/>
      <w:bookmarkEnd w:id="224"/>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225" w:name="_Toc496925297"/>
      <w:bookmarkStart w:id="226" w:name="_Toc520186374"/>
      <w:bookmarkStart w:id="227" w:name="_Toc137013321"/>
      <w:bookmarkStart w:id="228" w:name="_Toc170193507"/>
      <w:bookmarkStart w:id="229" w:name="_Toc92706094"/>
      <w:r>
        <w:rPr>
          <w:rStyle w:val="CharSectno"/>
        </w:rPr>
        <w:t>23</w:t>
      </w:r>
      <w:r>
        <w:t>.</w:t>
      </w:r>
      <w:r>
        <w:tab/>
        <w:t>Investment manager</w:t>
      </w:r>
      <w:bookmarkEnd w:id="225"/>
      <w:bookmarkEnd w:id="226"/>
      <w:bookmarkEnd w:id="227"/>
      <w:bookmarkEnd w:id="228"/>
      <w:bookmarkEnd w:id="229"/>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230" w:name="_Toc496925298"/>
      <w:bookmarkStart w:id="231" w:name="_Toc520186375"/>
      <w:bookmarkStart w:id="232" w:name="_Toc137013322"/>
      <w:bookmarkStart w:id="233" w:name="_Toc170193508"/>
      <w:bookmarkStart w:id="234" w:name="_Toc92706095"/>
      <w:r>
        <w:rPr>
          <w:rStyle w:val="CharSectno"/>
        </w:rPr>
        <w:t>24</w:t>
      </w:r>
      <w:r>
        <w:t>.</w:t>
      </w:r>
      <w:r>
        <w:tab/>
        <w:t>Borrowing</w:t>
      </w:r>
      <w:bookmarkEnd w:id="230"/>
      <w:bookmarkEnd w:id="231"/>
      <w:bookmarkEnd w:id="232"/>
      <w:bookmarkEnd w:id="233"/>
      <w:bookmarkEnd w:id="234"/>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re-borrow or obtain advances.</w:t>
      </w:r>
    </w:p>
    <w:p>
      <w:pPr>
        <w:pStyle w:val="Heading5"/>
        <w:keepNext w:val="0"/>
        <w:keepLines w:val="0"/>
      </w:pPr>
      <w:bookmarkStart w:id="235" w:name="_Toc496925299"/>
      <w:bookmarkStart w:id="236" w:name="_Toc520186376"/>
      <w:bookmarkStart w:id="237" w:name="_Toc137013323"/>
      <w:bookmarkStart w:id="238" w:name="_Toc170193509"/>
      <w:bookmarkStart w:id="239" w:name="_Toc92706096"/>
      <w:r>
        <w:rPr>
          <w:rStyle w:val="CharSectno"/>
        </w:rPr>
        <w:t>25</w:t>
      </w:r>
      <w:r>
        <w:t>.</w:t>
      </w:r>
      <w:r>
        <w:tab/>
        <w:t>Interest accrues on money owing to Fund</w:t>
      </w:r>
      <w:bookmarkEnd w:id="235"/>
      <w:bookmarkEnd w:id="236"/>
      <w:bookmarkEnd w:id="237"/>
      <w:bookmarkEnd w:id="238"/>
      <w:bookmarkEnd w:id="239"/>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240" w:name="_Toc435930251"/>
      <w:bookmarkStart w:id="241" w:name="_Toc438262836"/>
      <w:bookmarkStart w:id="242" w:name="_Toc496925300"/>
      <w:bookmarkStart w:id="243" w:name="_Toc520186377"/>
      <w:bookmarkStart w:id="244" w:name="_Toc137013324"/>
      <w:bookmarkStart w:id="245" w:name="_Toc170193510"/>
      <w:bookmarkStart w:id="246" w:name="_Toc92706097"/>
      <w:r>
        <w:rPr>
          <w:rStyle w:val="CharSectno"/>
        </w:rPr>
        <w:t>26</w:t>
      </w:r>
      <w:r>
        <w:t>.</w:t>
      </w:r>
      <w:r>
        <w:tab/>
      </w:r>
      <w:r>
        <w:rPr>
          <w:snapToGrid w:val="0"/>
        </w:rPr>
        <w:t>Recovery of money owing to Fund</w:t>
      </w:r>
      <w:bookmarkEnd w:id="240"/>
      <w:bookmarkEnd w:id="241"/>
      <w:bookmarkEnd w:id="242"/>
      <w:bookmarkEnd w:id="243"/>
      <w:bookmarkEnd w:id="244"/>
      <w:bookmarkEnd w:id="245"/>
      <w:bookmarkEnd w:id="246"/>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 xml:space="preserve">as a debt in a court of competent jurisdiction; </w:t>
      </w:r>
    </w:p>
    <w:p>
      <w:pPr>
        <w:pStyle w:val="Indenta"/>
        <w:rPr>
          <w:snapToGrid w:val="0"/>
        </w:rPr>
      </w:pPr>
      <w:r>
        <w:rPr>
          <w:snapToGrid w:val="0"/>
        </w:rPr>
        <w:tab/>
        <w:t>(b)</w:t>
      </w:r>
      <w:r>
        <w:rPr>
          <w:snapToGrid w:val="0"/>
        </w:rPr>
        <w:tab/>
        <w:t>by deducting the amount owing from any amount that is, or becomes, payable from the Fund to the debtor;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pPr>
      <w:r>
        <w:rPr>
          <w:snapToGrid w:val="0"/>
        </w:rPr>
        <w:tab/>
      </w:r>
      <w:r>
        <w:rPr>
          <w:snapToGrid w:val="0"/>
        </w:rPr>
        <w:tab/>
        <w:t>and the Employer must comply with the direction.</w:t>
      </w:r>
    </w:p>
    <w:p>
      <w:pPr>
        <w:pStyle w:val="Heading5"/>
        <w:keepNext w:val="0"/>
        <w:keepLines w:val="0"/>
        <w:rPr>
          <w:snapToGrid w:val="0"/>
        </w:rPr>
      </w:pPr>
      <w:bookmarkStart w:id="247" w:name="_Toc435930302"/>
      <w:bookmarkStart w:id="248" w:name="_Toc438262887"/>
      <w:bookmarkStart w:id="249" w:name="_Toc496925301"/>
      <w:bookmarkStart w:id="250" w:name="_Toc520186378"/>
      <w:bookmarkStart w:id="251" w:name="_Toc137013325"/>
      <w:bookmarkStart w:id="252" w:name="_Toc170193511"/>
      <w:bookmarkStart w:id="253" w:name="_Toc92706098"/>
      <w:r>
        <w:rPr>
          <w:rStyle w:val="CharSectno"/>
        </w:rPr>
        <w:t>27.</w:t>
      </w:r>
      <w:r>
        <w:rPr>
          <w:rStyle w:val="CharSectno"/>
        </w:rPr>
        <w:tab/>
      </w:r>
      <w:bookmarkEnd w:id="247"/>
      <w:bookmarkEnd w:id="248"/>
      <w:r>
        <w:rPr>
          <w:i/>
          <w:snapToGrid w:val="0"/>
        </w:rPr>
        <w:t xml:space="preserve">Unclaimed Money Act 1990 </w:t>
      </w:r>
      <w:r>
        <w:rPr>
          <w:snapToGrid w:val="0"/>
        </w:rPr>
        <w:t>does not apply to unclaimed benefits</w:t>
      </w:r>
      <w:bookmarkEnd w:id="249"/>
      <w:bookmarkEnd w:id="250"/>
      <w:bookmarkEnd w:id="251"/>
      <w:bookmarkEnd w:id="252"/>
      <w:bookmarkEnd w:id="253"/>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keepLines/>
      </w:pPr>
      <w:bookmarkStart w:id="254" w:name="_Toc92706099"/>
      <w:bookmarkStart w:id="255" w:name="_Toc137013248"/>
      <w:bookmarkStart w:id="256" w:name="_Toc137013326"/>
      <w:bookmarkStart w:id="257" w:name="_Toc137013404"/>
      <w:bookmarkStart w:id="258" w:name="_Toc170193512"/>
      <w:r>
        <w:rPr>
          <w:rStyle w:val="CharPartNo"/>
        </w:rPr>
        <w:t>Part 4</w:t>
      </w:r>
      <w:r>
        <w:rPr>
          <w:rStyle w:val="CharDivNo"/>
        </w:rPr>
        <w:t xml:space="preserve"> </w:t>
      </w:r>
      <w:r>
        <w:t>—</w:t>
      </w:r>
      <w:r>
        <w:rPr>
          <w:rStyle w:val="CharDivText"/>
        </w:rPr>
        <w:t xml:space="preserve"> </w:t>
      </w:r>
      <w:r>
        <w:rPr>
          <w:rStyle w:val="CharPartText"/>
        </w:rPr>
        <w:t>Superannuation schemes</w:t>
      </w:r>
      <w:bookmarkEnd w:id="254"/>
      <w:bookmarkEnd w:id="255"/>
      <w:bookmarkEnd w:id="256"/>
      <w:bookmarkEnd w:id="257"/>
      <w:bookmarkEnd w:id="258"/>
    </w:p>
    <w:p>
      <w:pPr>
        <w:pStyle w:val="Heading5"/>
        <w:keepNext w:val="0"/>
        <w:keepLines w:val="0"/>
      </w:pPr>
      <w:bookmarkStart w:id="259" w:name="_Toc496925302"/>
      <w:bookmarkStart w:id="260" w:name="_Toc520186379"/>
      <w:bookmarkStart w:id="261" w:name="_Toc137013327"/>
      <w:bookmarkStart w:id="262" w:name="_Toc170193513"/>
      <w:bookmarkStart w:id="263" w:name="_Toc92706100"/>
      <w:r>
        <w:rPr>
          <w:rStyle w:val="CharSectno"/>
        </w:rPr>
        <w:t>28</w:t>
      </w:r>
      <w:r>
        <w:t>.</w:t>
      </w:r>
      <w:r>
        <w:tab/>
        <w:t>Superannuation schemes</w:t>
      </w:r>
      <w:bookmarkEnd w:id="259"/>
      <w:bookmarkEnd w:id="260"/>
      <w:bookmarkEnd w:id="261"/>
      <w:bookmarkEnd w:id="262"/>
      <w:bookmarkEnd w:id="263"/>
    </w:p>
    <w:p>
      <w:pPr>
        <w:pStyle w:val="Subsection"/>
      </w:pPr>
      <w:r>
        <w:tab/>
        <w:t>(1)</w:t>
      </w:r>
      <w:r>
        <w:tab/>
        <w:t xml:space="preserve">The Governor may, by regulations under section 38, establish superannuation schemes for persons who are working, or have worked, for Employers. </w:t>
      </w:r>
    </w:p>
    <w:p>
      <w:pPr>
        <w:pStyle w:val="Subsection"/>
        <w:rPr>
          <w:ins w:id="264" w:author="svcMRProcess" w:date="2015-12-14T21:58:00Z"/>
        </w:rPr>
      </w:pPr>
      <w:r>
        <w:tab/>
        <w:t>(2)</w:t>
      </w:r>
      <w:r>
        <w:tab/>
        <w:t>A scheme, other than a scheme continued by section</w:t>
      </w:r>
      <w:del w:id="265" w:author="svcMRProcess" w:date="2015-12-14T21:58:00Z">
        <w:r>
          <w:delText xml:space="preserve"> </w:delText>
        </w:r>
      </w:del>
      <w:ins w:id="266" w:author="svcMRProcess" w:date="2015-12-14T21:58:00Z">
        <w:r>
          <w:t> </w:t>
        </w:r>
      </w:ins>
      <w:r>
        <w:t>29(b), (c) or (d), may provide for the spouses or former spouses of</w:t>
      </w:r>
      <w:del w:id="267" w:author="svcMRProcess" w:date="2015-12-14T21:58:00Z">
        <w:r>
          <w:delText xml:space="preserve"> </w:delText>
        </w:r>
      </w:del>
      <w:ins w:id="268" w:author="svcMRProcess" w:date="2015-12-14T21:58:00Z">
        <w:r>
          <w:t xml:space="preserve"> — </w:t>
        </w:r>
      </w:ins>
    </w:p>
    <w:p>
      <w:pPr>
        <w:pStyle w:val="Indenta"/>
        <w:rPr>
          <w:ins w:id="269" w:author="svcMRProcess" w:date="2015-12-14T21:58:00Z"/>
        </w:rPr>
      </w:pPr>
      <w:ins w:id="270" w:author="svcMRProcess" w:date="2015-12-14T21:58:00Z">
        <w:r>
          <w:tab/>
          <w:t>(a)</w:t>
        </w:r>
        <w:r>
          <w:tab/>
        </w:r>
      </w:ins>
      <w:r>
        <w:t>persons who are working, or have worked, for Employers</w:t>
      </w:r>
      <w:ins w:id="271" w:author="svcMRProcess" w:date="2015-12-14T21:58:00Z">
        <w:r>
          <w:t>; or</w:t>
        </w:r>
      </w:ins>
    </w:p>
    <w:p>
      <w:pPr>
        <w:pStyle w:val="Indenta"/>
        <w:rPr>
          <w:ins w:id="272" w:author="svcMRProcess" w:date="2015-12-14T21:58:00Z"/>
        </w:rPr>
      </w:pPr>
      <w:ins w:id="273" w:author="svcMRProcess" w:date="2015-12-14T21:58:00Z">
        <w:r>
          <w:tab/>
          <w:t>(b)</w:t>
        </w:r>
        <w:r>
          <w:tab/>
          <w:t>persons who are, or will become, entitled</w:t>
        </w:r>
      </w:ins>
      <w:r>
        <w:t xml:space="preserve"> to </w:t>
      </w:r>
      <w:ins w:id="274" w:author="svcMRProcess" w:date="2015-12-14T21:58:00Z">
        <w:r>
          <w:t xml:space="preserve">benefits under the </w:t>
        </w:r>
        <w:r>
          <w:rPr>
            <w:i/>
            <w:iCs/>
          </w:rPr>
          <w:t>Parliamentary Superannuation Act 1970</w:t>
        </w:r>
        <w:r>
          <w:t>,</w:t>
        </w:r>
      </w:ins>
    </w:p>
    <w:p>
      <w:pPr>
        <w:pStyle w:val="Subsection"/>
      </w:pPr>
      <w:ins w:id="275" w:author="svcMRProcess" w:date="2015-12-14T21:58:00Z">
        <w:r>
          <w:tab/>
        </w:r>
        <w:r>
          <w:tab/>
          <w:t xml:space="preserve">to </w:t>
        </w:r>
      </w:ins>
      <w:r>
        <w:t>participate in the scheme.</w:t>
      </w:r>
    </w:p>
    <w:p>
      <w:pPr>
        <w:pStyle w:val="Subsection"/>
      </w:pPr>
      <w:r>
        <w:tab/>
        <w:t>(3)</w:t>
      </w:r>
      <w:r>
        <w:tab/>
        <w:t>In subsection (2) —</w:t>
      </w:r>
    </w:p>
    <w:p>
      <w:pPr>
        <w:pStyle w:val="Defstart"/>
        <w:rPr>
          <w:ins w:id="276" w:author="svcMRProcess" w:date="2015-12-14T21:58:00Z"/>
        </w:rPr>
      </w:pPr>
      <w:ins w:id="277" w:author="svcMRProcess" w:date="2015-12-14T21:58:00Z">
        <w:r>
          <w:rPr>
            <w:b/>
          </w:rPr>
          <w:tab/>
          <w:t>“</w:t>
        </w:r>
        <w:r>
          <w:rPr>
            <w:rStyle w:val="CharDefText"/>
          </w:rPr>
          <w:t>benefits</w:t>
        </w:r>
        <w:r>
          <w:rPr>
            <w:b/>
          </w:rPr>
          <w:t>”</w:t>
        </w:r>
        <w:r>
          <w:t xml:space="preserve"> has the meaning given to that term in section 28(1) of the </w:t>
        </w:r>
        <w:r>
          <w:rPr>
            <w:i/>
            <w:iCs/>
          </w:rPr>
          <w:t>Parliamentary Superannuation Act 1970</w:t>
        </w:r>
        <w:r>
          <w:t>;</w:t>
        </w:r>
      </w:ins>
    </w:p>
    <w:p>
      <w:pPr>
        <w:pStyle w:val="Defstart"/>
      </w:pPr>
      <w:r>
        <w:tab/>
      </w:r>
      <w:r>
        <w:rPr>
          <w:b/>
        </w:rPr>
        <w:t>“spouse”</w:t>
      </w:r>
      <w:r>
        <w:t>, in relation to a person, includes a de facto partner of that person.</w:t>
      </w:r>
    </w:p>
    <w:p>
      <w:pPr>
        <w:pStyle w:val="Footnotesection"/>
      </w:pPr>
      <w:r>
        <w:tab/>
        <w:t>[Section 28 amended by No. 3 of 2002 s. 102</w:t>
      </w:r>
      <w:ins w:id="278" w:author="svcMRProcess" w:date="2015-12-14T21:58:00Z">
        <w:r>
          <w:t>; No. 18 of 2006 s. 11</w:t>
        </w:r>
      </w:ins>
      <w:r>
        <w:t>.]</w:t>
      </w:r>
    </w:p>
    <w:p>
      <w:pPr>
        <w:pStyle w:val="Heading5"/>
        <w:keepNext w:val="0"/>
      </w:pPr>
      <w:bookmarkStart w:id="279" w:name="_Toc496925303"/>
      <w:bookmarkStart w:id="280" w:name="_Toc520186380"/>
      <w:bookmarkStart w:id="281" w:name="_Toc137013328"/>
      <w:bookmarkStart w:id="282" w:name="_Toc170193514"/>
      <w:bookmarkStart w:id="283" w:name="_Toc92706101"/>
      <w:r>
        <w:rPr>
          <w:rStyle w:val="CharSectno"/>
        </w:rPr>
        <w:t>29</w:t>
      </w:r>
      <w:r>
        <w:t>.</w:t>
      </w:r>
      <w:r>
        <w:tab/>
        <w:t>Continuation of superannuation schemes</w:t>
      </w:r>
      <w:bookmarkEnd w:id="279"/>
      <w:bookmarkEnd w:id="280"/>
      <w:bookmarkEnd w:id="281"/>
      <w:bookmarkEnd w:id="282"/>
      <w:bookmarkEnd w:id="283"/>
    </w:p>
    <w:p>
      <w:pPr>
        <w:pStyle w:val="Subsection"/>
      </w:pPr>
      <w:r>
        <w:tab/>
      </w:r>
      <w:r>
        <w:tab/>
        <w:t>On the day on which this Act comes into operation the following superannuation schemes become superannuation schemes under this Act —</w:t>
      </w:r>
    </w:p>
    <w:p>
      <w:pPr>
        <w:pStyle w:val="Indenta"/>
      </w:pPr>
      <w:r>
        <w:tab/>
        <w:t>(a)</w:t>
      </w:r>
      <w:r>
        <w:tab/>
        <w:t>the superannuation scheme that was provided for in Part VIIA of the GES Act</w:t>
      </w:r>
      <w:r>
        <w:rPr>
          <w:i/>
        </w:rPr>
        <w:t xml:space="preserve"> </w:t>
      </w:r>
      <w:r>
        <w:t xml:space="preserve">immediately before its repeal by section 39 (referred to in that Act as the 1993 scheme); </w:t>
      </w:r>
    </w:p>
    <w:p>
      <w:pPr>
        <w:pStyle w:val="Indenta"/>
      </w:pPr>
      <w:r>
        <w:tab/>
        <w:t>(b)</w:t>
      </w:r>
      <w:r>
        <w:tab/>
        <w:t>the superannuation scheme that was provided for in Parts IV, V, VI and VII of the GES Act immediately before its repeal by section 39 (referred to in that Act as the 1987 scheme);</w:t>
      </w:r>
    </w:p>
    <w:p>
      <w:pPr>
        <w:pStyle w:val="Indenta"/>
      </w:pPr>
      <w:r>
        <w:tab/>
        <w:t>(c)</w:t>
      </w:r>
      <w:r>
        <w:tab/>
        <w:t>the superannuation scheme that was provided for in Parts IV, V and VB of the S&amp;FB Act immediately before its repeal by section 39; and</w:t>
      </w:r>
    </w:p>
    <w:p>
      <w:pPr>
        <w:pStyle w:val="Indenta"/>
      </w:pPr>
      <w:r>
        <w:tab/>
        <w:t>(d)</w:t>
      </w:r>
      <w:r>
        <w:tab/>
        <w:t>the superannuation scheme that was provided for in Parts VA and VB of the S&amp;FB Act immediately before its repeal by section 39.</w:t>
      </w:r>
    </w:p>
    <w:p>
      <w:pPr>
        <w:pStyle w:val="Heading5"/>
        <w:keepLines w:val="0"/>
        <w:rPr>
          <w:snapToGrid w:val="0"/>
        </w:rPr>
      </w:pPr>
      <w:bookmarkStart w:id="284" w:name="_Toc496925304"/>
      <w:bookmarkStart w:id="285" w:name="_Toc520186381"/>
      <w:bookmarkStart w:id="286" w:name="_Toc137013329"/>
      <w:bookmarkStart w:id="287" w:name="_Toc170193515"/>
      <w:bookmarkStart w:id="288" w:name="_Toc92706102"/>
      <w:bookmarkStart w:id="289" w:name="_Toc435930319"/>
      <w:bookmarkStart w:id="290" w:name="_Toc438262904"/>
      <w:r>
        <w:rPr>
          <w:rStyle w:val="CharSectno"/>
        </w:rPr>
        <w:t>30</w:t>
      </w:r>
      <w:r>
        <w:t>.</w:t>
      </w:r>
      <w:r>
        <w:tab/>
        <w:t>O</w:t>
      </w:r>
      <w:r>
        <w:rPr>
          <w:snapToGrid w:val="0"/>
        </w:rPr>
        <w:t>ther public sector superannuation schemes</w:t>
      </w:r>
      <w:bookmarkEnd w:id="284"/>
      <w:bookmarkEnd w:id="285"/>
      <w:bookmarkEnd w:id="286"/>
      <w:bookmarkEnd w:id="287"/>
      <w:bookmarkEnd w:id="288"/>
      <w:r>
        <w:rPr>
          <w:snapToGrid w:val="0"/>
        </w:rPr>
        <w:t xml:space="preserve"> </w:t>
      </w:r>
      <w:bookmarkEnd w:id="289"/>
      <w:bookmarkEnd w:id="290"/>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Act;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Heading2"/>
        <w:keepLines/>
      </w:pPr>
      <w:bookmarkStart w:id="291" w:name="_Toc92706103"/>
      <w:bookmarkStart w:id="292" w:name="_Toc137013252"/>
      <w:bookmarkStart w:id="293" w:name="_Toc137013330"/>
      <w:bookmarkStart w:id="294" w:name="_Toc137013408"/>
      <w:bookmarkStart w:id="295" w:name="_Toc170193516"/>
      <w:r>
        <w:rPr>
          <w:rStyle w:val="CharPartNo"/>
        </w:rPr>
        <w:t>Part 5</w:t>
      </w:r>
      <w:r>
        <w:rPr>
          <w:rStyle w:val="CharDivNo"/>
        </w:rPr>
        <w:t xml:space="preserve"> </w:t>
      </w:r>
      <w:r>
        <w:t>—</w:t>
      </w:r>
      <w:r>
        <w:rPr>
          <w:rStyle w:val="CharDivText"/>
        </w:rPr>
        <w:t xml:space="preserve"> </w:t>
      </w:r>
      <w:r>
        <w:rPr>
          <w:rStyle w:val="CharPartText"/>
        </w:rPr>
        <w:t>Government guarantees and appropriation of the Consolidated Fund</w:t>
      </w:r>
      <w:bookmarkEnd w:id="291"/>
      <w:bookmarkEnd w:id="292"/>
      <w:bookmarkEnd w:id="293"/>
      <w:bookmarkEnd w:id="294"/>
      <w:bookmarkEnd w:id="295"/>
    </w:p>
    <w:p>
      <w:pPr>
        <w:pStyle w:val="Heading5"/>
        <w:keepNext w:val="0"/>
        <w:keepLines w:val="0"/>
      </w:pPr>
      <w:bookmarkStart w:id="296" w:name="_Toc496925305"/>
      <w:bookmarkStart w:id="297" w:name="_Toc520186382"/>
      <w:bookmarkStart w:id="298" w:name="_Toc137013331"/>
      <w:bookmarkStart w:id="299" w:name="_Toc170193517"/>
      <w:bookmarkStart w:id="300" w:name="_Toc92706104"/>
      <w:r>
        <w:rPr>
          <w:rStyle w:val="CharSectno"/>
        </w:rPr>
        <w:t>31</w:t>
      </w:r>
      <w:r>
        <w:t>.</w:t>
      </w:r>
      <w:r>
        <w:tab/>
        <w:t>Guarantee of benefits and Board’s obligations</w:t>
      </w:r>
      <w:bookmarkEnd w:id="296"/>
      <w:bookmarkEnd w:id="297"/>
      <w:bookmarkEnd w:id="298"/>
      <w:bookmarkEnd w:id="299"/>
      <w:bookmarkEnd w:id="300"/>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this Act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Fund, and the Consolidated Fund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Fund. </w:t>
      </w:r>
    </w:p>
    <w:p>
      <w:pPr>
        <w:pStyle w:val="Heading5"/>
        <w:keepLines w:val="0"/>
      </w:pPr>
      <w:bookmarkStart w:id="301" w:name="_Toc496925306"/>
      <w:bookmarkStart w:id="302" w:name="_Toc520186383"/>
      <w:bookmarkStart w:id="303" w:name="_Toc137013332"/>
      <w:bookmarkStart w:id="304" w:name="_Toc170193518"/>
      <w:bookmarkStart w:id="305" w:name="_Toc92706105"/>
      <w:r>
        <w:rPr>
          <w:rStyle w:val="CharSectno"/>
        </w:rPr>
        <w:t>32</w:t>
      </w:r>
      <w:r>
        <w:rPr>
          <w:snapToGrid w:val="0"/>
        </w:rPr>
        <w:t>.</w:t>
      </w:r>
      <w:r>
        <w:rPr>
          <w:snapToGrid w:val="0"/>
        </w:rPr>
        <w:tab/>
        <w:t>Appropriation to meet contribution and funding obligations</w:t>
      </w:r>
      <w:bookmarkEnd w:id="301"/>
      <w:bookmarkEnd w:id="302"/>
      <w:bookmarkEnd w:id="303"/>
      <w:bookmarkEnd w:id="304"/>
      <w:bookmarkEnd w:id="305"/>
    </w:p>
    <w:p>
      <w:pPr>
        <w:pStyle w:val="Subsection"/>
        <w:rPr>
          <w:snapToGrid w:val="0"/>
        </w:rPr>
      </w:pPr>
      <w:bookmarkStart w:id="306" w:name="_Toc435930267"/>
      <w:bookmarkStart w:id="307" w:name="_Toc438262852"/>
      <w:r>
        <w:tab/>
      </w:r>
      <w:r>
        <w:tab/>
        <w:t xml:space="preserve">The Consolidated Fund is appropriated to the extent necessary </w:t>
      </w:r>
      <w:bookmarkEnd w:id="306"/>
      <w:bookmarkEnd w:id="307"/>
      <w:r>
        <w:t xml:space="preserve">to meet the payment of contributions and other amounts required by </w:t>
      </w:r>
      <w:r>
        <w:rPr>
          <w:snapToGrid w:val="0"/>
        </w:rPr>
        <w:t xml:space="preserve">regulations under this Act to be paid by the Crown to the Fund on or after the commencement of this Act. </w:t>
      </w:r>
    </w:p>
    <w:p>
      <w:pPr>
        <w:pStyle w:val="Heading2"/>
        <w:keepLines/>
      </w:pPr>
      <w:bookmarkStart w:id="308" w:name="_Toc92706106"/>
      <w:bookmarkStart w:id="309" w:name="_Toc137013255"/>
      <w:bookmarkStart w:id="310" w:name="_Toc137013333"/>
      <w:bookmarkStart w:id="311" w:name="_Toc137013411"/>
      <w:bookmarkStart w:id="312" w:name="_Toc170193519"/>
      <w:r>
        <w:rPr>
          <w:rStyle w:val="CharPartNo"/>
        </w:rPr>
        <w:t>Part 6</w:t>
      </w:r>
      <w:r>
        <w:t xml:space="preserve"> — </w:t>
      </w:r>
      <w:r>
        <w:rPr>
          <w:rStyle w:val="CharPartText"/>
        </w:rPr>
        <w:t>Miscellaneous</w:t>
      </w:r>
      <w:bookmarkEnd w:id="308"/>
      <w:bookmarkEnd w:id="309"/>
      <w:bookmarkEnd w:id="310"/>
      <w:bookmarkEnd w:id="311"/>
      <w:bookmarkEnd w:id="312"/>
    </w:p>
    <w:p>
      <w:pPr>
        <w:pStyle w:val="Heading5"/>
        <w:keepLines w:val="0"/>
      </w:pPr>
      <w:bookmarkStart w:id="313" w:name="_Toc496925307"/>
      <w:bookmarkStart w:id="314" w:name="_Toc520186384"/>
      <w:bookmarkStart w:id="315" w:name="_Toc137013334"/>
      <w:bookmarkStart w:id="316" w:name="_Toc170193520"/>
      <w:bookmarkStart w:id="317" w:name="_Toc92706107"/>
      <w:r>
        <w:rPr>
          <w:rStyle w:val="CharSectno"/>
        </w:rPr>
        <w:t>33</w:t>
      </w:r>
      <w:r>
        <w:t>.</w:t>
      </w:r>
      <w:r>
        <w:tab/>
        <w:t>Treasurer’s approvals and guidelines</w:t>
      </w:r>
      <w:bookmarkEnd w:id="313"/>
      <w:bookmarkEnd w:id="314"/>
      <w:bookmarkEnd w:id="315"/>
      <w:bookmarkEnd w:id="316"/>
      <w:bookmarkEnd w:id="317"/>
    </w:p>
    <w:p>
      <w:pPr>
        <w:pStyle w:val="Subsection"/>
      </w:pPr>
      <w:r>
        <w:tab/>
        <w:t>(1)</w:t>
      </w:r>
      <w:r>
        <w:tab/>
        <w:t>An approval given by the Treasurer —</w:t>
      </w:r>
    </w:p>
    <w:p>
      <w:pPr>
        <w:pStyle w:val="Indenta"/>
      </w:pPr>
      <w:r>
        <w:tab/>
        <w:t>(a)</w:t>
      </w:r>
      <w:r>
        <w:tab/>
        <w:t>must be in writing;</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w:t>
      </w:r>
      <w:ins w:id="318" w:author="svcMRProcess" w:date="2015-12-14T21:58:00Z">
        <w:r>
          <w:t xml:space="preserve"> and</w:t>
        </w:r>
      </w:ins>
    </w:p>
    <w:p>
      <w:pPr>
        <w:pStyle w:val="Indenta"/>
      </w:pPr>
      <w:r>
        <w:tab/>
        <w:t>(b)</w:t>
      </w:r>
      <w:r>
        <w:tab/>
        <w:t>the provision by the Board of</w:t>
      </w:r>
      <w:del w:id="319" w:author="svcMRProcess" w:date="2015-12-14T21:58:00Z">
        <w:r>
          <w:delText xml:space="preserve"> other</w:delText>
        </w:r>
      </w:del>
      <w:ins w:id="320" w:author="svcMRProcess" w:date="2015-12-14T21:58:00Z">
        <w:r>
          <w:t>, or the facilitation by the Board of the provision of,</w:t>
        </w:r>
      </w:ins>
      <w:r>
        <w:t xml:space="preserve"> products and services under section 6(1)(e);</w:t>
      </w:r>
      <w:ins w:id="321" w:author="svcMRProcess" w:date="2015-12-14T21:58:00Z">
        <w:r>
          <w:t xml:space="preserve"> and</w:t>
        </w:r>
      </w:ins>
    </w:p>
    <w:p>
      <w:pPr>
        <w:pStyle w:val="Indenta"/>
      </w:pPr>
      <w:r>
        <w:tab/>
        <w:t>(c)</w:t>
      </w:r>
      <w:r>
        <w:tab/>
        <w:t>the carrying out of actuarial investigations under section</w:t>
      </w:r>
      <w:bookmarkStart w:id="322" w:name="_Hlt461855087"/>
      <w:r>
        <w:t> 17</w:t>
      </w:r>
      <w:bookmarkEnd w:id="322"/>
      <w:r>
        <w:t>;</w:t>
      </w:r>
      <w:ins w:id="323" w:author="svcMRProcess" w:date="2015-12-14T21:58:00Z">
        <w:r>
          <w:t xml:space="preserve"> and</w:t>
        </w:r>
      </w:ins>
    </w:p>
    <w:p>
      <w:pPr>
        <w:pStyle w:val="Indenta"/>
      </w:pPr>
      <w:r>
        <w:tab/>
        <w:t>(d)</w:t>
      </w:r>
      <w:r>
        <w:tab/>
        <w:t>the making of investments under section 18;</w:t>
      </w:r>
      <w:ins w:id="324" w:author="svcMRProcess" w:date="2015-12-14T21:58:00Z">
        <w:r>
          <w:t xml:space="preserve"> and</w:t>
        </w:r>
      </w:ins>
    </w:p>
    <w:p>
      <w:pPr>
        <w:pStyle w:val="Indenta"/>
      </w:pPr>
      <w:r>
        <w:tab/>
        <w:t>(e)</w:t>
      </w:r>
      <w:r>
        <w:tab/>
        <w:t>the submission of matters to the Treasurer for approval under sections 18, 23, 24 and 38(5);</w:t>
      </w:r>
      <w:ins w:id="325" w:author="svcMRProcess" w:date="2015-12-14T21:58:00Z">
        <w:r>
          <w:t xml:space="preserve"> and</w:t>
        </w:r>
      </w:ins>
    </w:p>
    <w:p>
      <w:pPr>
        <w:pStyle w:val="Indenta"/>
      </w:pPr>
      <w:r>
        <w:tab/>
        <w:t>(f)</w:t>
      </w:r>
      <w:r>
        <w:tab/>
        <w:t xml:space="preserve">the review by the Board of its investment strategy and the management and performance of its investments under section 19(3); </w:t>
      </w:r>
      <w:ins w:id="326" w:author="svcMRProcess" w:date="2015-12-14T21:58:00Z">
        <w:r>
          <w:t>and</w:t>
        </w:r>
      </w:ins>
    </w:p>
    <w:p>
      <w:pPr>
        <w:pStyle w:val="Indenta"/>
      </w:pPr>
      <w:r>
        <w:tab/>
        <w:t>(g)</w:t>
      </w:r>
      <w:r>
        <w:tab/>
        <w:t>the allocation of investment earnings under section 22;</w:t>
      </w:r>
      <w:ins w:id="327" w:author="svcMRProcess" w:date="2015-12-14T21:58:00Z">
        <w:r>
          <w:t xml:space="preserve"> and</w:t>
        </w:r>
      </w:ins>
    </w:p>
    <w:p>
      <w:pPr>
        <w:pStyle w:val="Indenta"/>
      </w:pPr>
      <w:r>
        <w:tab/>
        <w:t>(h)</w:t>
      </w:r>
      <w:r>
        <w:tab/>
        <w:t xml:space="preserve">the appointment of investment managers under section 23(1); </w:t>
      </w:r>
      <w:ins w:id="328" w:author="svcMRProcess" w:date="2015-12-14T21:58:00Z">
        <w:r>
          <w:t>and</w:t>
        </w:r>
      </w:ins>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rPr>
          <w:ins w:id="329" w:author="svcMRProcess" w:date="2015-12-14T21:58:00Z"/>
        </w:rPr>
      </w:pPr>
      <w:ins w:id="330" w:author="svcMRProcess" w:date="2015-12-14T21:58:00Z">
        <w:r>
          <w:tab/>
          <w:t>[Section 33 amended by No. 18 of 2006 s. 12.]</w:t>
        </w:r>
      </w:ins>
    </w:p>
    <w:p>
      <w:pPr>
        <w:pStyle w:val="Heading5"/>
        <w:keepLines w:val="0"/>
        <w:rPr>
          <w:snapToGrid w:val="0"/>
        </w:rPr>
      </w:pPr>
      <w:bookmarkStart w:id="331" w:name="_Toc496925308"/>
      <w:bookmarkStart w:id="332" w:name="_Toc520186385"/>
      <w:bookmarkStart w:id="333" w:name="_Toc137013335"/>
      <w:bookmarkStart w:id="334" w:name="_Toc170193521"/>
      <w:bookmarkStart w:id="335" w:name="_Toc92706108"/>
      <w:r>
        <w:rPr>
          <w:rStyle w:val="CharSectno"/>
        </w:rPr>
        <w:t>34</w:t>
      </w:r>
      <w:r>
        <w:rPr>
          <w:snapToGrid w:val="0"/>
        </w:rPr>
        <w:t>.</w:t>
      </w:r>
      <w:r>
        <w:rPr>
          <w:snapToGrid w:val="0"/>
        </w:rPr>
        <w:tab/>
        <w:t>Directions to Employers as to practice and procedure</w:t>
      </w:r>
      <w:bookmarkEnd w:id="331"/>
      <w:bookmarkEnd w:id="332"/>
      <w:bookmarkEnd w:id="333"/>
      <w:bookmarkEnd w:id="334"/>
      <w:bookmarkEnd w:id="335"/>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this Act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 xml:space="preserve">apply at all times, at a particular time, or for a particular period; </w:t>
      </w:r>
    </w:p>
    <w:p>
      <w:pPr>
        <w:pStyle w:val="Indenta"/>
        <w:rPr>
          <w:snapToGrid w:val="0"/>
        </w:rPr>
      </w:pPr>
      <w:r>
        <w:rPr>
          <w:snapToGrid w:val="0"/>
        </w:rPr>
        <w:tab/>
        <w:t>(b)</w:t>
      </w:r>
      <w:r>
        <w:rPr>
          <w:snapToGrid w:val="0"/>
        </w:rPr>
        <w:tab/>
        <w:t xml:space="preserve">apply to all Employers, to a particular Employer, or to Employers in a particular class; </w:t>
      </w:r>
    </w:p>
    <w:p>
      <w:pPr>
        <w:pStyle w:val="Indenta"/>
        <w:rPr>
          <w:snapToGrid w:val="0"/>
        </w:rPr>
      </w:pPr>
      <w:r>
        <w:rPr>
          <w:snapToGrid w:val="0"/>
        </w:rPr>
        <w:tab/>
        <w:t>(c)</w:t>
      </w:r>
      <w:r>
        <w:rPr>
          <w:snapToGrid w:val="0"/>
        </w:rPr>
        <w:tab/>
        <w:t xml:space="preserve">direct something to be done in a particular manner; </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Heading5"/>
        <w:keepLines w:val="0"/>
        <w:rPr>
          <w:snapToGrid w:val="0"/>
        </w:rPr>
      </w:pPr>
      <w:bookmarkStart w:id="336" w:name="_Toc496925309"/>
      <w:bookmarkStart w:id="337" w:name="_Toc520186386"/>
      <w:bookmarkStart w:id="338" w:name="_Toc137013336"/>
      <w:bookmarkStart w:id="339" w:name="_Toc170193522"/>
      <w:bookmarkStart w:id="340" w:name="_Toc92706109"/>
      <w:r>
        <w:rPr>
          <w:rStyle w:val="CharSectno"/>
        </w:rPr>
        <w:t>35</w:t>
      </w:r>
      <w:r>
        <w:t>.</w:t>
      </w:r>
      <w:r>
        <w:tab/>
      </w:r>
      <w:r>
        <w:rPr>
          <w:snapToGrid w:val="0"/>
        </w:rPr>
        <w:t>Minister may give directions to the Board</w:t>
      </w:r>
      <w:bookmarkEnd w:id="336"/>
      <w:bookmarkEnd w:id="337"/>
      <w:bookmarkEnd w:id="338"/>
      <w:bookmarkEnd w:id="339"/>
      <w:bookmarkEnd w:id="340"/>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rPr>
          <w:snapToGrid w:val="0"/>
        </w:rPr>
      </w:pPr>
      <w:r>
        <w:rPr>
          <w:snapToGrid w:val="0"/>
        </w:rPr>
        <w:tab/>
        <w:t>(3)</w:t>
      </w:r>
      <w:r>
        <w:rPr>
          <w:snapToGrid w:val="0"/>
        </w:rPr>
        <w:tab/>
        <w:t xml:space="preserve">The text of any direction received by the Board is to be included in the annual report submitted by the accountable authority of the Board under section 66 of the </w:t>
      </w:r>
      <w:r>
        <w:rPr>
          <w:i/>
          <w:snapToGrid w:val="0"/>
        </w:rPr>
        <w:t>Financial Administration and Audit Act 1985</w:t>
      </w:r>
      <w:r>
        <w:rPr>
          <w:snapToGrid w:val="0"/>
        </w:rPr>
        <w:t xml:space="preserve">. </w:t>
      </w:r>
    </w:p>
    <w:p>
      <w:pPr>
        <w:pStyle w:val="Heading5"/>
        <w:keepLines w:val="0"/>
        <w:rPr>
          <w:snapToGrid w:val="0"/>
        </w:rPr>
      </w:pPr>
      <w:bookmarkStart w:id="341" w:name="_Toc435930237"/>
      <w:bookmarkStart w:id="342" w:name="_Toc438262822"/>
      <w:bookmarkStart w:id="343" w:name="_Toc496925310"/>
      <w:bookmarkStart w:id="344" w:name="_Toc520186387"/>
      <w:bookmarkStart w:id="345" w:name="_Toc137013337"/>
      <w:bookmarkStart w:id="346" w:name="_Toc170193523"/>
      <w:bookmarkStart w:id="347" w:name="_Toc92706110"/>
      <w:r>
        <w:rPr>
          <w:rStyle w:val="CharSectno"/>
        </w:rPr>
        <w:t>36</w:t>
      </w:r>
      <w:r>
        <w:rPr>
          <w:snapToGrid w:val="0"/>
        </w:rPr>
        <w:t>.</w:t>
      </w:r>
      <w:r>
        <w:rPr>
          <w:snapToGrid w:val="0"/>
        </w:rPr>
        <w:tab/>
        <w:t>Minister to have access to information</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ins w:id="348" w:author="svcMRProcess" w:date="2015-12-14T21:58:00Z">
        <w:r>
          <w:t xml:space="preserve"> or a subsidiary</w:t>
        </w:r>
      </w:ins>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rPr>
          <w:snapToGrid w:val="0"/>
        </w:rPr>
      </w:pPr>
      <w:r>
        <w:rPr>
          <w:snapToGrid w:val="0"/>
        </w:rPr>
        <w:tab/>
      </w:r>
      <w:r>
        <w:rPr>
          <w:snapToGrid w:val="0"/>
        </w:rPr>
        <w:tab/>
        <w:t>and the Board is to comply with that request.</w:t>
      </w:r>
    </w:p>
    <w:p>
      <w:pPr>
        <w:pStyle w:val="Subsection"/>
        <w:rPr>
          <w:snapToGrid w:val="0"/>
        </w:rPr>
      </w:pPr>
      <w:r>
        <w:rPr>
          <w:snapToGrid w:val="0"/>
        </w:rPr>
        <w:tab/>
        <w:t>(3)</w:t>
      </w:r>
      <w:r>
        <w:rPr>
          <w:snapToGrid w:val="0"/>
        </w:rPr>
        <w:tab/>
        <w:t>This section does not entitle the Minister to information in the possession of the Board</w:t>
      </w:r>
      <w:r>
        <w:t xml:space="preserve"> </w:t>
      </w:r>
      <w:ins w:id="349" w:author="svcMRProcess" w:date="2015-12-14T21:58:00Z">
        <w:r>
          <w:t>or a subsidiary</w:t>
        </w:r>
        <w:r>
          <w:rPr>
            <w:snapToGrid w:val="0"/>
          </w:rPr>
          <w:t xml:space="preserve"> </w:t>
        </w:r>
      </w:ins>
      <w:r>
        <w:rPr>
          <w:snapToGrid w:val="0"/>
        </w:rPr>
        <w:t>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authorized by the beneficiary; or</w:t>
      </w:r>
    </w:p>
    <w:p>
      <w:pPr>
        <w:pStyle w:val="Indenta"/>
      </w:pPr>
      <w:r>
        <w:tab/>
        <w:t>(d)</w:t>
      </w:r>
      <w:r>
        <w:tab/>
        <w:t>authorized or required by a written law.</w:t>
      </w:r>
    </w:p>
    <w:p>
      <w:pPr>
        <w:pStyle w:val="Subsection"/>
        <w:keepNext/>
        <w:rPr>
          <w:snapToGrid w:val="0"/>
        </w:rPr>
      </w:pPr>
      <w:r>
        <w:rPr>
          <w:snapToGrid w:val="0"/>
        </w:rPr>
        <w:tab/>
        <w:t>(4)</w:t>
      </w:r>
      <w:r>
        <w:rPr>
          <w:snapToGrid w:val="0"/>
        </w:rPr>
        <w:tab/>
        <w:t>In this section — </w:t>
      </w:r>
    </w:p>
    <w:p>
      <w:pPr>
        <w:pStyle w:val="Defstart"/>
      </w:pPr>
      <w:r>
        <w:tab/>
      </w:r>
      <w:r>
        <w:rPr>
          <w:b/>
        </w:rPr>
        <w:t>“beneficiary”</w:t>
      </w:r>
      <w:r>
        <w:t xml:space="preserve"> means —</w:t>
      </w:r>
    </w:p>
    <w:p>
      <w:pPr>
        <w:pStyle w:val="Defpara"/>
      </w:pPr>
      <w:r>
        <w:tab/>
        <w:t>(a)</w:t>
      </w:r>
      <w:r>
        <w:tab/>
        <w:t xml:space="preserve">a Member; </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rPr>
          <w:ins w:id="350" w:author="svcMRProcess" w:date="2015-12-14T21:58:00Z"/>
        </w:rPr>
      </w:pPr>
      <w:ins w:id="351" w:author="svcMRProcess" w:date="2015-12-14T21:58:00Z">
        <w:r>
          <w:tab/>
          <w:t>[Section 36 amended by No. 18 of 2006 s. 13.]</w:t>
        </w:r>
      </w:ins>
    </w:p>
    <w:p>
      <w:pPr>
        <w:pStyle w:val="Heading5"/>
        <w:keepLines w:val="0"/>
      </w:pPr>
      <w:bookmarkStart w:id="352" w:name="_Toc496925311"/>
      <w:bookmarkStart w:id="353" w:name="_Toc520186388"/>
      <w:bookmarkStart w:id="354" w:name="_Toc137013338"/>
      <w:bookmarkStart w:id="355" w:name="_Toc170193524"/>
      <w:bookmarkStart w:id="356" w:name="_Toc92706111"/>
      <w:r>
        <w:rPr>
          <w:rStyle w:val="CharSectno"/>
        </w:rPr>
        <w:t>37</w:t>
      </w:r>
      <w:r>
        <w:t>.</w:t>
      </w:r>
      <w:r>
        <w:tab/>
        <w:t>Minister to consult with Treasurer</w:t>
      </w:r>
      <w:bookmarkEnd w:id="352"/>
      <w:bookmarkEnd w:id="353"/>
      <w:bookmarkEnd w:id="354"/>
      <w:bookmarkEnd w:id="355"/>
      <w:bookmarkEnd w:id="356"/>
    </w:p>
    <w:p>
      <w:pPr>
        <w:pStyle w:val="Subsection"/>
        <w:keepLines/>
      </w:pPr>
      <w:r>
        <w:tab/>
      </w:r>
      <w:r>
        <w:tab/>
        <w:t xml:space="preserve">The Minister is to consult with the Treasurer before performing a function under this Act if the performance of the function will or may affect the financial rights or obligations of the Crown under this Act and the value of that effect will or may exceed the prescribed amount. </w:t>
      </w:r>
    </w:p>
    <w:p>
      <w:pPr>
        <w:pStyle w:val="Heading5"/>
        <w:keepLines w:val="0"/>
      </w:pPr>
      <w:bookmarkStart w:id="357" w:name="_Toc496925312"/>
      <w:bookmarkStart w:id="358" w:name="_Toc520186389"/>
      <w:bookmarkStart w:id="359" w:name="_Toc137013339"/>
      <w:bookmarkStart w:id="360" w:name="_Toc170193525"/>
      <w:bookmarkStart w:id="361" w:name="_Toc92706112"/>
      <w:r>
        <w:rPr>
          <w:rStyle w:val="CharSectno"/>
        </w:rPr>
        <w:t>38</w:t>
      </w:r>
      <w:r>
        <w:rPr>
          <w:snapToGrid w:val="0"/>
        </w:rPr>
        <w:t>.</w:t>
      </w:r>
      <w:r>
        <w:rPr>
          <w:snapToGrid w:val="0"/>
        </w:rPr>
        <w:tab/>
        <w:t>Regulations</w:t>
      </w:r>
      <w:bookmarkEnd w:id="357"/>
      <w:bookmarkEnd w:id="358"/>
      <w:bookmarkEnd w:id="359"/>
      <w:bookmarkEnd w:id="360"/>
      <w:bookmarkEnd w:id="361"/>
    </w:p>
    <w:p>
      <w:pPr>
        <w:pStyle w:val="Subsection"/>
        <w:keepLines/>
      </w:pPr>
      <w:r>
        <w:tab/>
        <w:t>(1)</w:t>
      </w:r>
      <w:r>
        <w:tab/>
        <w:t xml:space="preserve">Subject to subsections (3) to (7), the Governor may make regulations prescribing all matters that are required or permitted by this Act or section 26 of the </w:t>
      </w:r>
      <w:r>
        <w:rPr>
          <w:i/>
        </w:rPr>
        <w:t>State Superannuation</w:t>
      </w:r>
      <w:r>
        <w:t xml:space="preserve"> </w:t>
      </w:r>
      <w:r>
        <w:rPr>
          <w:i/>
        </w:rPr>
        <w:t>(Transitional and Consequential Provision) Act 2000</w:t>
      </w:r>
      <w:r>
        <w:t xml:space="preserve"> to be prescribed, or are necessary or convenient to be prescribed, for giving effect to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w:t>
      </w:r>
      <w:ins w:id="362" w:author="svcMRProcess" w:date="2015-12-14T21:58:00Z">
        <w:r>
          <w:t xml:space="preserve"> and</w:t>
        </w:r>
      </w:ins>
    </w:p>
    <w:p>
      <w:pPr>
        <w:pStyle w:val="Indenta"/>
      </w:pPr>
      <w:r>
        <w:tab/>
        <w:t>(b)</w:t>
      </w:r>
      <w:r>
        <w:tab/>
        <w:t>membership and Employer participation in the schemes;</w:t>
      </w:r>
      <w:ins w:id="363" w:author="svcMRProcess" w:date="2015-12-14T21:58:00Z">
        <w:r>
          <w:t xml:space="preserve"> and</w:t>
        </w:r>
      </w:ins>
    </w:p>
    <w:p>
      <w:pPr>
        <w:pStyle w:val="Indenta"/>
      </w:pPr>
      <w:r>
        <w:tab/>
        <w:t>(c)</w:t>
      </w:r>
      <w:r>
        <w:tab/>
        <w:t xml:space="preserve">contributions </w:t>
      </w:r>
      <w:del w:id="364" w:author="svcMRProcess" w:date="2015-12-14T21:58:00Z">
        <w:r>
          <w:delText>to be made</w:delText>
        </w:r>
      </w:del>
      <w:ins w:id="365" w:author="svcMRProcess" w:date="2015-12-14T21:58:00Z">
        <w:r>
          <w:t>and transfers of money</w:t>
        </w:r>
      </w:ins>
      <w:r>
        <w:t xml:space="preserve"> to the Fund and other funding of the Fund;</w:t>
      </w:r>
      <w:ins w:id="366" w:author="svcMRProcess" w:date="2015-12-14T21:58:00Z">
        <w:r>
          <w:t xml:space="preserve"> and</w:t>
        </w:r>
      </w:ins>
    </w:p>
    <w:p>
      <w:pPr>
        <w:pStyle w:val="Indenta"/>
      </w:pPr>
      <w:r>
        <w:tab/>
        <w:t>(d)</w:t>
      </w:r>
      <w:r>
        <w:tab/>
        <w:t>benefits and how they are paid or dealt with;</w:t>
      </w:r>
      <w:ins w:id="367" w:author="svcMRProcess" w:date="2015-12-14T21:58:00Z">
        <w:r>
          <w:t xml:space="preserve"> and</w:t>
        </w:r>
      </w:ins>
    </w:p>
    <w:p>
      <w:pPr>
        <w:pStyle w:val="Indenta"/>
      </w:pPr>
      <w:r>
        <w:tab/>
        <w:t>(e)</w:t>
      </w:r>
      <w:r>
        <w:tab/>
        <w:t>insurance to be provided through the schemes;</w:t>
      </w:r>
      <w:ins w:id="368" w:author="svcMRProcess" w:date="2015-12-14T21:58:00Z">
        <w:r>
          <w:t xml:space="preserve"> and</w:t>
        </w:r>
      </w:ins>
    </w:p>
    <w:p>
      <w:pPr>
        <w:pStyle w:val="Indenta"/>
      </w:pPr>
      <w:r>
        <w:tab/>
        <w:t>(f)</w:t>
      </w:r>
      <w:r>
        <w:tab/>
        <w:t>management of the Fund;</w:t>
      </w:r>
      <w:ins w:id="369" w:author="svcMRProcess" w:date="2015-12-14T21:58:00Z">
        <w:r>
          <w:t xml:space="preserve"> and</w:t>
        </w:r>
      </w:ins>
    </w:p>
    <w:p>
      <w:pPr>
        <w:pStyle w:val="Indenta"/>
      </w:pPr>
      <w:r>
        <w:tab/>
        <w:t>(g)</w:t>
      </w:r>
      <w:r>
        <w:tab/>
        <w:t>administration of the schemes;</w:t>
      </w:r>
      <w:ins w:id="370" w:author="svcMRProcess" w:date="2015-12-14T21:58:00Z">
        <w:r>
          <w:t xml:space="preserve"> and</w:t>
        </w:r>
      </w:ins>
    </w:p>
    <w:p>
      <w:pPr>
        <w:pStyle w:val="Indenta"/>
      </w:pPr>
      <w:r>
        <w:tab/>
        <w:t>(h)</w:t>
      </w:r>
      <w:r>
        <w:tab/>
        <w:t>accounts and records to be kept by the Board;</w:t>
      </w:r>
      <w:ins w:id="371" w:author="svcMRProcess" w:date="2015-12-14T21:58:00Z">
        <w:r>
          <w:t xml:space="preserve"> and</w:t>
        </w:r>
      </w:ins>
    </w:p>
    <w:p>
      <w:pPr>
        <w:pStyle w:val="Indenta"/>
      </w:pPr>
      <w:r>
        <w:tab/>
        <w:t>(i)</w:t>
      </w:r>
      <w:r>
        <w:tab/>
        <w:t>information and documents to be given to and by the Board;</w:t>
      </w:r>
      <w:ins w:id="372" w:author="svcMRProcess" w:date="2015-12-14T21:58:00Z">
        <w:r>
          <w:t xml:space="preserve"> and</w:t>
        </w:r>
      </w:ins>
    </w:p>
    <w:p>
      <w:pPr>
        <w:pStyle w:val="Indenta"/>
      </w:pPr>
      <w:r>
        <w:tab/>
        <w:t>(j)</w:t>
      </w:r>
      <w:r>
        <w:tab/>
        <w:t>provision by the Board of</w:t>
      </w:r>
      <w:del w:id="373" w:author="svcMRProcess" w:date="2015-12-14T21:58:00Z">
        <w:r>
          <w:delText xml:space="preserve"> other</w:delText>
        </w:r>
      </w:del>
      <w:ins w:id="374" w:author="svcMRProcess" w:date="2015-12-14T21:58:00Z">
        <w:r>
          <w:t>, or facilitation by the Board of the provision of,</w:t>
        </w:r>
      </w:ins>
      <w:r>
        <w:t xml:space="preserve"> products and services;</w:t>
      </w:r>
      <w:ins w:id="375" w:author="svcMRProcess" w:date="2015-12-14T21:58:00Z">
        <w:r>
          <w:t xml:space="preserve"> and</w:t>
        </w:r>
      </w:ins>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Regulations cannot be made under subsection (1) in relation to the superannuation schemes continued by section 29(a),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29(a) or (b), the multiplying factor for any relevant benefit; or</w:t>
      </w:r>
    </w:p>
    <w:p>
      <w:pPr>
        <w:pStyle w:val="Indenti"/>
      </w:pPr>
      <w:r>
        <w:tab/>
        <w:t>(ii)</w:t>
      </w:r>
      <w:r>
        <w:tab/>
        <w:t>in the case of the scheme continued by section 29(c), the pension value factor for any Member of that scheme,</w:t>
      </w:r>
    </w:p>
    <w:p>
      <w:pPr>
        <w:pStyle w:val="Indenta"/>
      </w:pPr>
      <w:r>
        <w:tab/>
      </w:r>
      <w:r>
        <w:tab/>
        <w:t>to less than it was immediately before the commencement day;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rPr>
          <w:ins w:id="376" w:author="svcMRProcess" w:date="2015-12-14T21:58:00Z"/>
        </w:rPr>
      </w:pPr>
      <w:ins w:id="377" w:author="svcMRProcess" w:date="2015-12-14T21:58:00Z">
        <w:r>
          <w:tab/>
          <w:t>(4a)</w:t>
        </w:r>
        <w:r>
          <w:tab/>
          <w:t xml:space="preserve">Subsections (3) and (4) do not apply in respect of regulations that reduce or provide for the reduction of a Member’s benefit if — </w:t>
        </w:r>
      </w:ins>
    </w:p>
    <w:p>
      <w:pPr>
        <w:pStyle w:val="Indenta"/>
        <w:rPr>
          <w:ins w:id="378" w:author="svcMRProcess" w:date="2015-12-14T21:58:00Z"/>
        </w:rPr>
      </w:pPr>
      <w:ins w:id="379" w:author="svcMRProcess" w:date="2015-12-14T21:58:00Z">
        <w:r>
          <w:tab/>
          <w:t>(a)</w:t>
        </w:r>
        <w:r>
          <w:tab/>
          <w:t>a superannuation agreement, flag lifting agreement or splitting order is in force in respect of the Member; and</w:t>
        </w:r>
      </w:ins>
    </w:p>
    <w:p>
      <w:pPr>
        <w:pStyle w:val="Indenta"/>
        <w:rPr>
          <w:ins w:id="380" w:author="svcMRProcess" w:date="2015-12-14T21:58:00Z"/>
        </w:rPr>
      </w:pPr>
      <w:ins w:id="381" w:author="svcMRProcess" w:date="2015-12-14T21:58:00Z">
        <w:r>
          <w:tab/>
          <w:t>(b)</w:t>
        </w:r>
        <w:r>
          <w:tab/>
          <w:t>the reduction does not reduce the Member’s benefit to less than the Member’s entitlement under the agreement or order.</w:t>
        </w:r>
      </w:ins>
    </w:p>
    <w:p>
      <w:pPr>
        <w:pStyle w:val="Subsection"/>
        <w:rPr>
          <w:ins w:id="382" w:author="svcMRProcess" w:date="2015-12-14T21:58:00Z"/>
        </w:rPr>
      </w:pPr>
      <w:ins w:id="383" w:author="svcMRProcess" w:date="2015-12-14T21:58:00Z">
        <w:r>
          <w:tab/>
          <w:t>(4b)</w:t>
        </w:r>
        <w:r>
          <w:tab/>
          <w:t xml:space="preserve">In subsection (4a),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ins>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pPr>
      <w:r>
        <w:tab/>
        <w:t>(b)</w:t>
      </w:r>
      <w:r>
        <w:tab/>
        <w:t xml:space="preserve">relate to </w:t>
      </w:r>
      <w:del w:id="384" w:author="svcMRProcess" w:date="2015-12-14T21:58:00Z">
        <w:r>
          <w:delText xml:space="preserve">other products and services that may be provided by the Board, </w:delText>
        </w:r>
      </w:del>
      <w:ins w:id="385" w:author="svcMRProcess" w:date="2015-12-14T21:58:00Z">
        <w:r>
          <w:t>a matter referred to in subsection (2)(j),</w:t>
        </w:r>
      </w:ins>
    </w:p>
    <w:p>
      <w:pPr>
        <w:pStyle w:val="Subsection"/>
      </w:pPr>
      <w:r>
        <w:tab/>
      </w:r>
      <w:r>
        <w:tab/>
        <w:t>cannot be made under subsection (1) unless they have been approved by the Treasurer.</w:t>
      </w:r>
    </w:p>
    <w:p>
      <w:pPr>
        <w:pStyle w:val="Subsection"/>
        <w:keepLines/>
      </w:pPr>
      <w:r>
        <w:tab/>
        <w:t>(6)</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rPr>
        <w:t>Gazette</w:t>
      </w:r>
      <w:r>
        <w:t>.</w:t>
      </w:r>
    </w:p>
    <w:p>
      <w:pPr>
        <w:pStyle w:val="Subsection"/>
      </w:pPr>
      <w:r>
        <w:tab/>
        <w:t>(7)</w:t>
      </w:r>
      <w:r>
        <w:tab/>
        <w:t>Regulations of the kind referred to in subsection (6) cannot be made if they will or may affect a person, except the Crown or an Employer, by —</w:t>
      </w:r>
    </w:p>
    <w:p>
      <w:pPr>
        <w:pStyle w:val="Indenta"/>
        <w:rPr>
          <w:snapToGrid w:val="0"/>
        </w:rPr>
      </w:pPr>
      <w:r>
        <w:rPr>
          <w:snapToGrid w:val="0"/>
        </w:rPr>
        <w:tab/>
        <w:t>(a)</w:t>
      </w:r>
      <w:r>
        <w:rPr>
          <w:snapToGrid w:val="0"/>
        </w:rPr>
        <w:tab/>
        <w:t>prejudicing rights that existed before the regulation was published; or</w:t>
      </w:r>
    </w:p>
    <w:p>
      <w:pPr>
        <w:pStyle w:val="Indenta"/>
        <w:rPr>
          <w:snapToGrid w:val="0"/>
        </w:rPr>
      </w:pPr>
      <w:r>
        <w:rPr>
          <w:snapToGrid w:val="0"/>
        </w:rPr>
        <w:tab/>
        <w:t>(b)</w:t>
      </w:r>
      <w:r>
        <w:rPr>
          <w:snapToGrid w:val="0"/>
        </w:rP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(4) and this subsection —</w:t>
      </w:r>
    </w:p>
    <w:p>
      <w:pPr>
        <w:pStyle w:val="Defstart"/>
      </w:pPr>
      <w:r>
        <w:tab/>
      </w:r>
      <w:r>
        <w:rPr>
          <w:b/>
        </w:rPr>
        <w:t>“commencement day”</w:t>
      </w:r>
      <w:r>
        <w:t xml:space="preserve"> means the day on which this Act comes into operation;</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the commencement day, calculated as a multiple of a Member’s salary.</w:t>
      </w:r>
    </w:p>
    <w:p>
      <w:pPr>
        <w:pStyle w:val="Footnotesection"/>
      </w:pPr>
      <w:r>
        <w:tab/>
        <w:t>[Section 38 amended by No. 55 of 2004 s. 1105</w:t>
      </w:r>
      <w:ins w:id="386" w:author="svcMRProcess" w:date="2015-12-14T21:58:00Z">
        <w:r>
          <w:t>; No. 18 of 2006 s. 14</w:t>
        </w:r>
      </w:ins>
      <w:r>
        <w:t>.]</w:t>
      </w:r>
    </w:p>
    <w:p>
      <w:pPr>
        <w:pStyle w:val="Heading5"/>
        <w:keepLines w:val="0"/>
      </w:pPr>
      <w:bookmarkStart w:id="387" w:name="_Toc452795442"/>
      <w:bookmarkStart w:id="388" w:name="_Toc453994027"/>
      <w:bookmarkStart w:id="389" w:name="_Toc496925313"/>
      <w:bookmarkStart w:id="390" w:name="_Toc520186390"/>
      <w:bookmarkStart w:id="391" w:name="_Toc137013340"/>
      <w:bookmarkStart w:id="392" w:name="_Toc170193526"/>
      <w:bookmarkStart w:id="393" w:name="_Toc92706113"/>
      <w:r>
        <w:rPr>
          <w:rStyle w:val="CharSectno"/>
        </w:rPr>
        <w:t>39</w:t>
      </w:r>
      <w:r>
        <w:t>.</w:t>
      </w:r>
      <w:r>
        <w:tab/>
        <w:t>Repeal</w:t>
      </w:r>
      <w:bookmarkEnd w:id="387"/>
      <w:bookmarkEnd w:id="388"/>
      <w:r>
        <w:t>s</w:t>
      </w:r>
      <w:bookmarkEnd w:id="389"/>
      <w:bookmarkEnd w:id="390"/>
      <w:bookmarkEnd w:id="391"/>
      <w:bookmarkEnd w:id="392"/>
      <w:bookmarkEnd w:id="393"/>
    </w:p>
    <w:p>
      <w:pPr>
        <w:pStyle w:val="Subsection"/>
      </w:pPr>
      <w:r>
        <w:tab/>
      </w:r>
      <w:r>
        <w:tab/>
        <w:t xml:space="preserve">The </w:t>
      </w:r>
      <w:r>
        <w:rPr>
          <w:i/>
        </w:rPr>
        <w:t xml:space="preserve">Government Employees Superannuation Act 1987 </w:t>
      </w:r>
      <w:r>
        <w:t xml:space="preserve">and the </w:t>
      </w:r>
      <w:r>
        <w:rPr>
          <w:i/>
        </w:rPr>
        <w:t>Superannuation and Family Benefits Act 1938</w:t>
      </w:r>
      <w:r>
        <w:t xml:space="preserve"> are repealed.</w:t>
      </w:r>
    </w:p>
    <w:p>
      <w:pPr>
        <w:pStyle w:val="Heading5"/>
        <w:rPr>
          <w:ins w:id="394" w:author="svcMRProcess" w:date="2015-12-14T21:58:00Z"/>
        </w:rPr>
      </w:pPr>
      <w:bookmarkStart w:id="395" w:name="_Toc119215682"/>
      <w:bookmarkStart w:id="396" w:name="_Toc119402154"/>
      <w:bookmarkStart w:id="397" w:name="_Toc136390871"/>
      <w:bookmarkStart w:id="398" w:name="_Toc137013341"/>
      <w:bookmarkStart w:id="399" w:name="_Toc170193527"/>
      <w:ins w:id="400" w:author="svcMRProcess" w:date="2015-12-14T21:58:00Z">
        <w:r>
          <w:rPr>
            <w:rStyle w:val="CharSectno"/>
          </w:rPr>
          <w:t>40</w:t>
        </w:r>
        <w:r>
          <w:t>.</w:t>
        </w:r>
        <w:r>
          <w:tab/>
          <w:t>Inconsistent written laws</w:t>
        </w:r>
        <w:bookmarkEnd w:id="395"/>
        <w:bookmarkEnd w:id="396"/>
        <w:bookmarkEnd w:id="397"/>
        <w:bookmarkEnd w:id="398"/>
        <w:bookmarkEnd w:id="399"/>
      </w:ins>
    </w:p>
    <w:p>
      <w:pPr>
        <w:pStyle w:val="Subsection"/>
        <w:rPr>
          <w:ins w:id="401" w:author="svcMRProcess" w:date="2015-12-14T21:58:00Z"/>
        </w:rPr>
      </w:pPr>
      <w:ins w:id="402" w:author="svcMRProcess" w:date="2015-12-14T21:58:00Z">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ins>
    </w:p>
    <w:p>
      <w:pPr>
        <w:pStyle w:val="Footnotesection"/>
        <w:rPr>
          <w:ins w:id="403" w:author="svcMRProcess" w:date="2015-12-14T21:58:00Z"/>
        </w:rPr>
      </w:pPr>
      <w:ins w:id="404" w:author="svcMRProcess" w:date="2015-12-14T21:58:00Z">
        <w:r>
          <w:tab/>
          <w:t>[Section 40 inserted by No. 18 of 2006 s. 15.]</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05" w:name="_Toc137013342"/>
      <w:bookmarkStart w:id="406" w:name="_Toc137013420"/>
      <w:bookmarkStart w:id="407" w:name="_Toc170193528"/>
      <w:bookmarkStart w:id="408" w:name="_Toc92706114"/>
      <w:r>
        <w:rPr>
          <w:rStyle w:val="CharSchNo"/>
        </w:rPr>
        <w:t>Schedule 1</w:t>
      </w:r>
      <w:r>
        <w:t> — </w:t>
      </w:r>
      <w:r>
        <w:rPr>
          <w:rStyle w:val="CharSchText"/>
        </w:rPr>
        <w:t>Government Employees Superannuation Board</w:t>
      </w:r>
      <w:bookmarkEnd w:id="405"/>
      <w:bookmarkEnd w:id="406"/>
      <w:bookmarkEnd w:id="407"/>
      <w:bookmarkEnd w:id="408"/>
    </w:p>
    <w:p>
      <w:pPr>
        <w:pStyle w:val="yShoulderClause"/>
      </w:pPr>
      <w:r>
        <w:t>[s. 8(2)]</w:t>
      </w:r>
    </w:p>
    <w:p>
      <w:pPr>
        <w:pStyle w:val="yHeading5"/>
        <w:outlineLvl w:val="9"/>
      </w:pPr>
      <w:bookmarkStart w:id="409" w:name="_Toc496925314"/>
      <w:bookmarkStart w:id="410" w:name="_Toc520186391"/>
      <w:bookmarkStart w:id="411" w:name="_Toc137013343"/>
      <w:bookmarkStart w:id="412" w:name="_Toc170193529"/>
      <w:bookmarkStart w:id="413" w:name="_Toc92706115"/>
      <w:bookmarkStart w:id="414" w:name="_Toc438262912"/>
      <w:r>
        <w:rPr>
          <w:rStyle w:val="CharSClsNo"/>
        </w:rPr>
        <w:t>1</w:t>
      </w:r>
      <w:r>
        <w:t>.</w:t>
      </w:r>
      <w:r>
        <w:tab/>
        <w:t>Chairman</w:t>
      </w:r>
      <w:bookmarkEnd w:id="409"/>
      <w:bookmarkEnd w:id="410"/>
      <w:bookmarkEnd w:id="411"/>
      <w:bookmarkEnd w:id="412"/>
      <w:bookmarkEnd w:id="413"/>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9"/>
      </w:pPr>
      <w:bookmarkStart w:id="415" w:name="_Toc496925315"/>
      <w:bookmarkStart w:id="416" w:name="_Toc520186392"/>
      <w:bookmarkStart w:id="417" w:name="_Toc137013344"/>
      <w:bookmarkStart w:id="418" w:name="_Toc170193530"/>
      <w:bookmarkStart w:id="419" w:name="_Toc92706116"/>
      <w:r>
        <w:rPr>
          <w:rStyle w:val="CharSClsNo"/>
        </w:rPr>
        <w:t>2</w:t>
      </w:r>
      <w:r>
        <w:t>.</w:t>
      </w:r>
      <w:r>
        <w:tab/>
      </w:r>
      <w:bookmarkStart w:id="420" w:name="_Toc442678278"/>
      <w:r>
        <w:t>Deputy chairman</w:t>
      </w:r>
      <w:bookmarkEnd w:id="414"/>
      <w:bookmarkEnd w:id="415"/>
      <w:bookmarkEnd w:id="416"/>
      <w:bookmarkEnd w:id="417"/>
      <w:bookmarkEnd w:id="418"/>
      <w:bookmarkEnd w:id="420"/>
      <w:bookmarkEnd w:id="419"/>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421" w:name="_Toc438262913"/>
    </w:p>
    <w:p>
      <w:pPr>
        <w:pStyle w:val="yHeading5"/>
        <w:keepLines w:val="0"/>
        <w:outlineLvl w:val="9"/>
      </w:pPr>
      <w:bookmarkStart w:id="422" w:name="_Toc442678275"/>
      <w:bookmarkStart w:id="423" w:name="_Toc496925316"/>
      <w:bookmarkStart w:id="424" w:name="_Toc520186393"/>
      <w:bookmarkStart w:id="425" w:name="_Toc137013345"/>
      <w:bookmarkStart w:id="426" w:name="_Toc170193531"/>
      <w:bookmarkStart w:id="427" w:name="_Toc92706117"/>
      <w:bookmarkEnd w:id="421"/>
      <w:r>
        <w:rPr>
          <w:rStyle w:val="CharSClsNo"/>
        </w:rPr>
        <w:t>3</w:t>
      </w:r>
      <w:r>
        <w:t>.</w:t>
      </w:r>
      <w:r>
        <w:tab/>
      </w:r>
      <w:bookmarkStart w:id="428" w:name="_Toc438262909"/>
      <w:r>
        <w:t>Election of member directors</w:t>
      </w:r>
      <w:bookmarkEnd w:id="422"/>
      <w:bookmarkEnd w:id="423"/>
      <w:bookmarkEnd w:id="424"/>
      <w:bookmarkEnd w:id="425"/>
      <w:bookmarkEnd w:id="426"/>
      <w:bookmarkEnd w:id="428"/>
      <w:bookmarkEnd w:id="427"/>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9"/>
      </w:pPr>
      <w:bookmarkStart w:id="429" w:name="_Toc496925317"/>
      <w:bookmarkStart w:id="430" w:name="_Toc520186394"/>
      <w:bookmarkStart w:id="431" w:name="_Toc137013346"/>
      <w:bookmarkStart w:id="432" w:name="_Toc170193532"/>
      <w:bookmarkStart w:id="433" w:name="_Toc92706118"/>
      <w:bookmarkStart w:id="434" w:name="_Toc438262908"/>
      <w:r>
        <w:rPr>
          <w:rStyle w:val="CharSClsNo"/>
        </w:rPr>
        <w:t>4</w:t>
      </w:r>
      <w:r>
        <w:t>.</w:t>
      </w:r>
      <w:r>
        <w:tab/>
        <w:t>Term of office</w:t>
      </w:r>
      <w:bookmarkEnd w:id="429"/>
      <w:bookmarkEnd w:id="430"/>
      <w:bookmarkEnd w:id="431"/>
      <w:bookmarkEnd w:id="432"/>
      <w:bookmarkEnd w:id="433"/>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434"/>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9"/>
      </w:pPr>
      <w:bookmarkStart w:id="435" w:name="_Toc496925318"/>
      <w:bookmarkStart w:id="436" w:name="_Toc520186395"/>
      <w:bookmarkStart w:id="437" w:name="_Toc137013347"/>
      <w:bookmarkStart w:id="438" w:name="_Toc170193533"/>
      <w:bookmarkStart w:id="439" w:name="_Toc92706119"/>
      <w:r>
        <w:rPr>
          <w:rStyle w:val="CharSClsNo"/>
        </w:rPr>
        <w:t>5</w:t>
      </w:r>
      <w:r>
        <w:t>.</w:t>
      </w:r>
      <w:r>
        <w:tab/>
        <w:t>Directors are part-time</w:t>
      </w:r>
      <w:bookmarkEnd w:id="435"/>
      <w:bookmarkEnd w:id="436"/>
      <w:bookmarkEnd w:id="437"/>
      <w:bookmarkEnd w:id="438"/>
      <w:bookmarkEnd w:id="439"/>
    </w:p>
    <w:p>
      <w:pPr>
        <w:pStyle w:val="ySubsection"/>
      </w:pPr>
      <w:r>
        <w:tab/>
      </w:r>
      <w:r>
        <w:tab/>
        <w:t>All directors hold their offices on a part</w:t>
      </w:r>
      <w:r>
        <w:noBreakHyphen/>
        <w:t xml:space="preserve">time basis. </w:t>
      </w:r>
    </w:p>
    <w:p>
      <w:pPr>
        <w:pStyle w:val="yHeading5"/>
        <w:keepNext w:val="0"/>
        <w:keepLines w:val="0"/>
        <w:outlineLvl w:val="9"/>
      </w:pPr>
      <w:bookmarkStart w:id="440" w:name="_Toc496925319"/>
      <w:bookmarkStart w:id="441" w:name="_Toc520186396"/>
      <w:bookmarkStart w:id="442" w:name="_Toc137013348"/>
      <w:bookmarkStart w:id="443" w:name="_Toc170193534"/>
      <w:bookmarkStart w:id="444" w:name="_Toc92706120"/>
      <w:bookmarkStart w:id="445" w:name="_Toc442678279"/>
      <w:r>
        <w:rPr>
          <w:rStyle w:val="CharSClsNo"/>
        </w:rPr>
        <w:t>6</w:t>
      </w:r>
      <w:r>
        <w:t>.</w:t>
      </w:r>
      <w:r>
        <w:tab/>
        <w:t>Casual vacancies</w:t>
      </w:r>
      <w:bookmarkEnd w:id="440"/>
      <w:bookmarkEnd w:id="441"/>
      <w:bookmarkEnd w:id="442"/>
      <w:bookmarkEnd w:id="443"/>
      <w:bookmarkEnd w:id="444"/>
      <w:r>
        <w:t xml:space="preserve"> </w:t>
      </w:r>
      <w:bookmarkEnd w:id="445"/>
    </w:p>
    <w:p>
      <w:pPr>
        <w:pStyle w:val="ySubsection"/>
      </w:pPr>
      <w:r>
        <w:tab/>
        <w:t>(1)</w:t>
      </w:r>
      <w:r>
        <w:tab/>
        <w:t>A casual vacancy in the office of a director occurs if the director —</w:t>
      </w:r>
    </w:p>
    <w:p>
      <w:pPr>
        <w:pStyle w:val="yIndenta"/>
      </w:pPr>
      <w:r>
        <w:tab/>
        <w:t>(a)</w:t>
      </w:r>
      <w:r>
        <w:tab/>
        <w:t>dies;</w:t>
      </w:r>
    </w:p>
    <w:p>
      <w:pPr>
        <w:pStyle w:val="yIndenta"/>
      </w:pPr>
      <w:r>
        <w:tab/>
        <w:t>(b)</w:t>
      </w:r>
      <w:r>
        <w:tab/>
        <w:t>resigns by notice to the Minister;</w:t>
      </w:r>
    </w:p>
    <w:p>
      <w:pPr>
        <w:pStyle w:val="yIndenta"/>
      </w:pPr>
      <w:r>
        <w:tab/>
        <w:t>(c)</w:t>
      </w:r>
      <w:r>
        <w:tab/>
        <w:t>is an insolvent under administration as defined in the</w:t>
      </w:r>
      <w:r>
        <w:rPr>
          <w:i/>
        </w:rPr>
        <w:t xml:space="preserve"> Corporations Act 2001</w:t>
      </w:r>
      <w:r>
        <w:t xml:space="preserve"> of the Commonwealth;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 xml:space="preserve">is incompetent; </w:t>
      </w:r>
    </w:p>
    <w:p>
      <w:pPr>
        <w:pStyle w:val="yIndenta"/>
      </w:pPr>
      <w:r>
        <w:tab/>
        <w:t>(d)</w:t>
      </w:r>
      <w:r>
        <w:tab/>
        <w:t>has contravened clause 10 or 11 of Schedule 2;</w:t>
      </w:r>
    </w:p>
    <w:p>
      <w:pPr>
        <w:pStyle w:val="yIndenta"/>
      </w:pPr>
      <w:r>
        <w:tab/>
        <w:t>(e)</w:t>
      </w:r>
      <w:r>
        <w:tab/>
        <w:t>is suffering from mental or physical incapacity impairing the performance of his or her functions under this Act;</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Heading5"/>
        <w:keepNext w:val="0"/>
        <w:keepLines w:val="0"/>
        <w:outlineLvl w:val="9"/>
      </w:pPr>
      <w:bookmarkStart w:id="446" w:name="_Toc496925320"/>
      <w:bookmarkStart w:id="447" w:name="_Toc520186397"/>
      <w:bookmarkStart w:id="448" w:name="_Toc137013349"/>
      <w:bookmarkStart w:id="449" w:name="_Toc170193535"/>
      <w:bookmarkStart w:id="450" w:name="_Toc92706121"/>
      <w:r>
        <w:rPr>
          <w:rStyle w:val="CharSClsNo"/>
        </w:rPr>
        <w:t>7</w:t>
      </w:r>
      <w:r>
        <w:t>.</w:t>
      </w:r>
      <w:r>
        <w:tab/>
        <w:t>Remuneration and allowances</w:t>
      </w:r>
      <w:bookmarkEnd w:id="446"/>
      <w:bookmarkEnd w:id="447"/>
      <w:bookmarkEnd w:id="448"/>
      <w:bookmarkEnd w:id="449"/>
      <w:bookmarkEnd w:id="450"/>
    </w:p>
    <w:p>
      <w:pPr>
        <w:pStyle w:val="ySubsection"/>
      </w:pPr>
      <w:r>
        <w:tab/>
      </w:r>
      <w:r>
        <w:tab/>
        <w:t>A director is entitled to the remuneration and allowances determined by the Minister on the recommendation of the Minister for Public Sector Management.</w:t>
      </w:r>
    </w:p>
    <w:p>
      <w:pPr>
        <w:pStyle w:val="yFootnotesection"/>
      </w:pPr>
      <w:r>
        <w:tab/>
        <w:t>[Schedule 1 amended by No. 10 of 2001 s.220.]</w:t>
      </w:r>
    </w:p>
    <w:p>
      <w:pPr>
        <w:pStyle w:val="yScheduleHeading"/>
      </w:pPr>
      <w:bookmarkStart w:id="451" w:name="_Toc137013350"/>
      <w:bookmarkStart w:id="452" w:name="_Toc137013428"/>
      <w:bookmarkStart w:id="453" w:name="_Toc170193536"/>
      <w:bookmarkStart w:id="454" w:name="_Toc92706122"/>
      <w:r>
        <w:rPr>
          <w:rStyle w:val="CharSchNo"/>
        </w:rPr>
        <w:t xml:space="preserve">Schedule </w:t>
      </w:r>
      <w:bookmarkStart w:id="455" w:name="_Hlt462558618"/>
      <w:bookmarkEnd w:id="455"/>
      <w:r>
        <w:rPr>
          <w:rStyle w:val="CharSchNo"/>
        </w:rPr>
        <w:t>2</w:t>
      </w:r>
      <w:r>
        <w:t> — </w:t>
      </w:r>
      <w:r>
        <w:rPr>
          <w:rStyle w:val="CharSchText"/>
        </w:rPr>
        <w:t>Meetings and procedures</w:t>
      </w:r>
      <w:bookmarkEnd w:id="451"/>
      <w:bookmarkEnd w:id="452"/>
      <w:bookmarkEnd w:id="453"/>
      <w:bookmarkEnd w:id="454"/>
    </w:p>
    <w:p>
      <w:pPr>
        <w:pStyle w:val="yShoulderClause"/>
      </w:pPr>
      <w:r>
        <w:t xml:space="preserve">[s. </w:t>
      </w:r>
      <w:bookmarkStart w:id="456" w:name="_Hlt462552637"/>
      <w:r>
        <w:t>10(1)</w:t>
      </w:r>
      <w:bookmarkEnd w:id="456"/>
      <w:r>
        <w:t>]</w:t>
      </w:r>
    </w:p>
    <w:p>
      <w:pPr>
        <w:pStyle w:val="yHeading5"/>
        <w:keepNext w:val="0"/>
        <w:keepLines w:val="0"/>
        <w:outlineLvl w:val="9"/>
      </w:pPr>
      <w:bookmarkStart w:id="457" w:name="_Toc496925321"/>
      <w:bookmarkStart w:id="458" w:name="_Toc520186398"/>
      <w:bookmarkStart w:id="459" w:name="_Toc137013351"/>
      <w:bookmarkStart w:id="460" w:name="_Toc170193537"/>
      <w:bookmarkStart w:id="461" w:name="_Toc92706123"/>
      <w:r>
        <w:rPr>
          <w:rStyle w:val="CharSClsNo"/>
        </w:rPr>
        <w:t>1</w:t>
      </w:r>
      <w:r>
        <w:t>.</w:t>
      </w:r>
      <w:r>
        <w:tab/>
        <w:t>Board to determine own procedure</w:t>
      </w:r>
      <w:bookmarkEnd w:id="457"/>
      <w:bookmarkEnd w:id="458"/>
      <w:bookmarkEnd w:id="459"/>
      <w:bookmarkEnd w:id="460"/>
      <w:bookmarkEnd w:id="461"/>
    </w:p>
    <w:p>
      <w:pPr>
        <w:pStyle w:val="ySubsection"/>
      </w:pPr>
      <w:r>
        <w:tab/>
      </w:r>
      <w:r>
        <w:tab/>
        <w:t xml:space="preserve">The Board may determine its own procedure for calling and conducting Board meetings except to the extent that it is prescribed under this Act. </w:t>
      </w:r>
    </w:p>
    <w:p>
      <w:pPr>
        <w:pStyle w:val="yHeading5"/>
        <w:keepNext w:val="0"/>
        <w:keepLines w:val="0"/>
        <w:outlineLvl w:val="9"/>
      </w:pPr>
      <w:bookmarkStart w:id="462" w:name="_Toc438262918"/>
      <w:bookmarkStart w:id="463" w:name="_Toc496925322"/>
      <w:bookmarkStart w:id="464" w:name="_Toc520186399"/>
      <w:bookmarkStart w:id="465" w:name="_Toc137013352"/>
      <w:bookmarkStart w:id="466" w:name="_Toc170193538"/>
      <w:bookmarkStart w:id="467" w:name="_Toc92706124"/>
      <w:r>
        <w:rPr>
          <w:rStyle w:val="CharSClsNo"/>
        </w:rPr>
        <w:t>2</w:t>
      </w:r>
      <w:r>
        <w:t>.</w:t>
      </w:r>
      <w:r>
        <w:tab/>
        <w:t>Quorum</w:t>
      </w:r>
      <w:bookmarkEnd w:id="462"/>
      <w:bookmarkEnd w:id="463"/>
      <w:bookmarkEnd w:id="464"/>
      <w:bookmarkEnd w:id="465"/>
      <w:bookmarkEnd w:id="466"/>
      <w:bookmarkEnd w:id="467"/>
      <w:r>
        <w:t xml:space="preserve"> </w:t>
      </w:r>
    </w:p>
    <w:p>
      <w:pPr>
        <w:pStyle w:val="ySubsection"/>
      </w:pPr>
      <w:r>
        <w:tab/>
      </w:r>
      <w:r>
        <w:tab/>
        <w:t xml:space="preserve">The quorum at a Board meeting is 5 directors. </w:t>
      </w:r>
    </w:p>
    <w:p>
      <w:pPr>
        <w:pStyle w:val="yHeading5"/>
        <w:keepNext w:val="0"/>
        <w:keepLines w:val="0"/>
        <w:outlineLvl w:val="9"/>
      </w:pPr>
      <w:bookmarkStart w:id="468" w:name="_Toc438262916"/>
      <w:bookmarkStart w:id="469" w:name="_Toc496925323"/>
      <w:bookmarkStart w:id="470" w:name="_Toc520186400"/>
      <w:bookmarkStart w:id="471" w:name="_Toc137013353"/>
      <w:bookmarkStart w:id="472" w:name="_Toc170193539"/>
      <w:bookmarkStart w:id="473" w:name="_Toc92706125"/>
      <w:r>
        <w:rPr>
          <w:rStyle w:val="CharSClsNo"/>
        </w:rPr>
        <w:t>3</w:t>
      </w:r>
      <w:r>
        <w:t>.</w:t>
      </w:r>
      <w:r>
        <w:tab/>
        <w:t xml:space="preserve">Presiding </w:t>
      </w:r>
      <w:bookmarkEnd w:id="468"/>
      <w:r>
        <w:t>director</w:t>
      </w:r>
      <w:bookmarkEnd w:id="469"/>
      <w:bookmarkEnd w:id="470"/>
      <w:bookmarkEnd w:id="471"/>
      <w:bookmarkEnd w:id="472"/>
      <w:bookmarkEnd w:id="473"/>
      <w:r>
        <w:t xml:space="preserve"> </w:t>
      </w:r>
    </w:p>
    <w:p>
      <w:pPr>
        <w:pStyle w:val="ySubsection"/>
      </w:pPr>
      <w:r>
        <w:tab/>
      </w:r>
      <w:r>
        <w:tab/>
        <w:t>A Board meeting is to be presided over by — </w:t>
      </w:r>
    </w:p>
    <w:p>
      <w:pPr>
        <w:pStyle w:val="yIndenta"/>
      </w:pPr>
      <w:r>
        <w:tab/>
        <w:t>(a)</w:t>
      </w:r>
      <w:r>
        <w:tab/>
        <w:t>the chairman;</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Heading5"/>
        <w:keepNext w:val="0"/>
        <w:keepLines w:val="0"/>
        <w:outlineLvl w:val="9"/>
      </w:pPr>
      <w:bookmarkStart w:id="474" w:name="_Toc438262919"/>
      <w:bookmarkStart w:id="475" w:name="_Toc496925324"/>
      <w:bookmarkStart w:id="476" w:name="_Toc520186401"/>
      <w:bookmarkStart w:id="477" w:name="_Toc137013354"/>
      <w:bookmarkStart w:id="478" w:name="_Toc170193540"/>
      <w:bookmarkStart w:id="479" w:name="_Toc92706126"/>
      <w:r>
        <w:rPr>
          <w:rStyle w:val="CharSClsNo"/>
        </w:rPr>
        <w:t>4</w:t>
      </w:r>
      <w:r>
        <w:t>.</w:t>
      </w:r>
      <w:r>
        <w:tab/>
        <w:t>Voting</w:t>
      </w:r>
      <w:bookmarkEnd w:id="474"/>
      <w:bookmarkEnd w:id="475"/>
      <w:bookmarkEnd w:id="476"/>
      <w:bookmarkEnd w:id="477"/>
      <w:bookmarkEnd w:id="478"/>
      <w:bookmarkEnd w:id="479"/>
      <w:r>
        <w:t xml:space="preserve"> </w:t>
      </w:r>
    </w:p>
    <w:p>
      <w:pPr>
        <w:pStyle w:val="ySubsection"/>
        <w:keepNext/>
      </w:pPr>
      <w:r>
        <w:tab/>
      </w:r>
      <w:r>
        <w:tab/>
        <w:t>At a Board meeting —</w:t>
      </w:r>
    </w:p>
    <w:p>
      <w:pPr>
        <w:pStyle w:val="yIndenta"/>
      </w:pPr>
      <w:r>
        <w:tab/>
        <w:t>(a)</w:t>
      </w:r>
      <w:r>
        <w:tab/>
        <w:t xml:space="preserve">each director has one vote; </w:t>
      </w:r>
    </w:p>
    <w:p>
      <w:pPr>
        <w:pStyle w:val="yIndenta"/>
      </w:pPr>
      <w:r>
        <w:tab/>
        <w:t>(b)</w:t>
      </w:r>
      <w:r>
        <w:tab/>
        <w:t>the person presiding does not have a casting vote; and</w:t>
      </w:r>
    </w:p>
    <w:p>
      <w:pPr>
        <w:pStyle w:val="yIndenta"/>
      </w:pPr>
      <w:r>
        <w:tab/>
        <w:t>(c)</w:t>
      </w:r>
      <w:r>
        <w:tab/>
        <w:t xml:space="preserve">a resolution is passed if 5 or more directors vote in favour of it. </w:t>
      </w:r>
    </w:p>
    <w:p>
      <w:pPr>
        <w:pStyle w:val="yHeading5"/>
        <w:keepNext w:val="0"/>
        <w:keepLines w:val="0"/>
        <w:outlineLvl w:val="9"/>
      </w:pPr>
      <w:bookmarkStart w:id="480" w:name="_Toc438262920"/>
      <w:bookmarkStart w:id="481" w:name="_Toc496925325"/>
      <w:bookmarkStart w:id="482" w:name="_Toc520186402"/>
      <w:bookmarkStart w:id="483" w:name="_Toc137013355"/>
      <w:bookmarkStart w:id="484" w:name="_Toc170193541"/>
      <w:bookmarkStart w:id="485" w:name="_Toc92706127"/>
      <w:r>
        <w:rPr>
          <w:rStyle w:val="CharSClsNo"/>
        </w:rPr>
        <w:t>5</w:t>
      </w:r>
      <w:r>
        <w:t>.</w:t>
      </w:r>
      <w:r>
        <w:tab/>
        <w:t>Minutes</w:t>
      </w:r>
      <w:bookmarkEnd w:id="480"/>
      <w:bookmarkEnd w:id="481"/>
      <w:bookmarkEnd w:id="482"/>
      <w:bookmarkEnd w:id="483"/>
      <w:bookmarkEnd w:id="484"/>
      <w:bookmarkEnd w:id="485"/>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9"/>
      </w:pPr>
      <w:bookmarkStart w:id="486" w:name="_Toc496925326"/>
      <w:bookmarkStart w:id="487" w:name="_Toc520186403"/>
      <w:bookmarkStart w:id="488" w:name="_Toc137013356"/>
      <w:bookmarkStart w:id="489" w:name="_Toc170193542"/>
      <w:bookmarkStart w:id="490" w:name="_Toc92706128"/>
      <w:bookmarkStart w:id="491" w:name="_Toc438262915"/>
      <w:r>
        <w:rPr>
          <w:rStyle w:val="CharSClsNo"/>
        </w:rPr>
        <w:t>6</w:t>
      </w:r>
      <w:r>
        <w:t xml:space="preserve">. </w:t>
      </w:r>
      <w:r>
        <w:tab/>
        <w:t>Resolution without meeting</w:t>
      </w:r>
      <w:bookmarkEnd w:id="486"/>
      <w:bookmarkEnd w:id="487"/>
      <w:bookmarkEnd w:id="488"/>
      <w:bookmarkEnd w:id="489"/>
      <w:bookmarkEnd w:id="490"/>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9"/>
      </w:pPr>
      <w:bookmarkStart w:id="492" w:name="_Toc496925327"/>
      <w:bookmarkStart w:id="493" w:name="_Toc520186404"/>
      <w:bookmarkStart w:id="494" w:name="_Toc137013357"/>
      <w:bookmarkStart w:id="495" w:name="_Toc170193543"/>
      <w:bookmarkStart w:id="496" w:name="_Toc92706129"/>
      <w:r>
        <w:rPr>
          <w:rStyle w:val="CharSClsNo"/>
        </w:rPr>
        <w:t>7</w:t>
      </w:r>
      <w:r>
        <w:t xml:space="preserve">. </w:t>
      </w:r>
      <w:r>
        <w:tab/>
        <w:t>Telephone or video attendance at meetings</w:t>
      </w:r>
      <w:bookmarkEnd w:id="492"/>
      <w:bookmarkEnd w:id="493"/>
      <w:bookmarkEnd w:id="494"/>
      <w:bookmarkEnd w:id="495"/>
      <w:bookmarkEnd w:id="496"/>
      <w:r>
        <w:t xml:space="preserve"> </w:t>
      </w:r>
    </w:p>
    <w:p>
      <w:pPr>
        <w:pStyle w:val="ySubsection"/>
      </w:pPr>
      <w:r>
        <w:tab/>
      </w:r>
      <w:r>
        <w:tab/>
        <w:t xml:space="preserve">A director may attend a Board meeting by telephone, audio-visual link-up or any other form of instantaneous communication if all directors attending the meeting are simultaneously in contact with each other. </w:t>
      </w:r>
    </w:p>
    <w:p>
      <w:pPr>
        <w:pStyle w:val="yHeading5"/>
        <w:keepNext w:val="0"/>
        <w:keepLines w:val="0"/>
        <w:outlineLvl w:val="9"/>
      </w:pPr>
      <w:bookmarkStart w:id="497" w:name="_Hlt462558518"/>
      <w:bookmarkStart w:id="498" w:name="_Toc496925328"/>
      <w:bookmarkStart w:id="499" w:name="_Toc520186405"/>
      <w:bookmarkStart w:id="500" w:name="_Toc137013358"/>
      <w:bookmarkStart w:id="501" w:name="_Toc170193544"/>
      <w:bookmarkStart w:id="502" w:name="_Toc92706130"/>
      <w:bookmarkEnd w:id="497"/>
      <w:r>
        <w:rPr>
          <w:rStyle w:val="CharSClsNo"/>
        </w:rPr>
        <w:t>8</w:t>
      </w:r>
      <w:r>
        <w:t xml:space="preserve">. </w:t>
      </w:r>
      <w:r>
        <w:tab/>
        <w:t>Committees</w:t>
      </w:r>
      <w:bookmarkEnd w:id="498"/>
      <w:bookmarkEnd w:id="499"/>
      <w:bookmarkEnd w:id="500"/>
      <w:bookmarkEnd w:id="501"/>
      <w:bookmarkEnd w:id="502"/>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9"/>
      </w:pPr>
      <w:bookmarkStart w:id="503" w:name="_Toc496925329"/>
      <w:bookmarkStart w:id="504" w:name="_Toc520186406"/>
      <w:bookmarkStart w:id="505" w:name="_Toc137013359"/>
      <w:bookmarkStart w:id="506" w:name="_Toc170193545"/>
      <w:bookmarkStart w:id="507" w:name="_Toc92706131"/>
      <w:bookmarkEnd w:id="491"/>
      <w:r>
        <w:rPr>
          <w:rStyle w:val="CharSClsNo"/>
        </w:rPr>
        <w:t>9</w:t>
      </w:r>
      <w:r>
        <w:t>.</w:t>
      </w:r>
      <w:r>
        <w:tab/>
        <w:t>Material interest</w:t>
      </w:r>
      <w:bookmarkEnd w:id="503"/>
      <w:bookmarkEnd w:id="504"/>
      <w:bookmarkEnd w:id="505"/>
      <w:bookmarkEnd w:id="506"/>
      <w:bookmarkEnd w:id="507"/>
      <w:r>
        <w:t xml:space="preserve"> </w:t>
      </w:r>
    </w:p>
    <w:p>
      <w:pPr>
        <w:pStyle w:val="ySubsection"/>
        <w:keepNext/>
      </w:pPr>
      <w:r>
        <w:tab/>
        <w:t>(1)</w:t>
      </w:r>
      <w:r>
        <w:tab/>
        <w:t>For the purposes of this Schedule a person has a material interest in a matter if the person —</w:t>
      </w:r>
    </w:p>
    <w:p>
      <w:pPr>
        <w:pStyle w:val="yIndenta"/>
      </w:pPr>
      <w:r>
        <w:tab/>
        <w:t>(a)</w:t>
      </w:r>
      <w:r>
        <w:tab/>
        <w:t xml:space="preserve">subject to subclauses (2) and (3) has a direct or indirect pecuniary interest in the matter; </w:t>
      </w:r>
    </w:p>
    <w:p>
      <w:pPr>
        <w:pStyle w:val="yIndenta"/>
      </w:pPr>
      <w:r>
        <w:tab/>
        <w:t>(b)</w:t>
      </w:r>
      <w:r>
        <w:tab/>
        <w:t>has given advice for remuneration in relation to the matter to the Board or to the former Superannuation Board constituted under the S&amp;FB Act; or</w:t>
      </w:r>
    </w:p>
    <w:p>
      <w:pPr>
        <w:pStyle w:val="yIndenta"/>
      </w:pPr>
      <w:r>
        <w:tab/>
        <w:t>(c)</w:t>
      </w:r>
      <w:r>
        <w:tab/>
        <w:t>subject to subclauses (2) and (3) has a non-pecuniary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w:t>
      </w:r>
    </w:p>
    <w:p>
      <w:pPr>
        <w:pStyle w:val="yIndenta"/>
      </w:pPr>
      <w:r>
        <w:tab/>
        <w:t>(b)</w:t>
      </w:r>
      <w:r>
        <w:tab/>
        <w:t>a person who works for an Employer;</w:t>
      </w:r>
    </w:p>
    <w:p>
      <w:pPr>
        <w:pStyle w:val="yIndenta"/>
      </w:pPr>
      <w:r>
        <w:tab/>
        <w:t>(c)</w:t>
      </w:r>
      <w:r>
        <w:tab/>
        <w:t>an Employer or a member of the board or other body responsible for the control or direction of an Employer;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w:t>
      </w:r>
      <w:r>
        <w:rPr>
          <w:i/>
        </w:rPr>
        <w:t>Corporations Act 2001</w:t>
      </w:r>
      <w:r>
        <w:t xml:space="preserve"> of the Commonwealth)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w:t>
      </w:r>
    </w:p>
    <w:p>
      <w:pPr>
        <w:pStyle w:val="yHeading5"/>
        <w:keepNext w:val="0"/>
        <w:keepLines w:val="0"/>
        <w:outlineLvl w:val="9"/>
      </w:pPr>
      <w:bookmarkStart w:id="508" w:name="_Toc496925330"/>
      <w:bookmarkStart w:id="509" w:name="_Toc520186407"/>
      <w:bookmarkStart w:id="510" w:name="_Toc137013360"/>
      <w:bookmarkStart w:id="511" w:name="_Toc170193546"/>
      <w:bookmarkStart w:id="512" w:name="_Toc92706132"/>
      <w:r>
        <w:rPr>
          <w:rStyle w:val="CharSClsNo"/>
        </w:rPr>
        <w:t>10</w:t>
      </w:r>
      <w:r>
        <w:t>.</w:t>
      </w:r>
      <w:r>
        <w:tab/>
        <w:t>Disclosure of interests</w:t>
      </w:r>
      <w:bookmarkEnd w:id="508"/>
      <w:bookmarkEnd w:id="509"/>
      <w:bookmarkEnd w:id="510"/>
      <w:bookmarkEnd w:id="511"/>
      <w:bookmarkEnd w:id="512"/>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Heading5"/>
        <w:keepLines w:val="0"/>
        <w:outlineLvl w:val="9"/>
        <w:rPr>
          <w:rStyle w:val="CharSectno"/>
        </w:rPr>
      </w:pPr>
      <w:bookmarkStart w:id="513" w:name="_Toc496925331"/>
      <w:bookmarkStart w:id="514" w:name="_Toc520186408"/>
      <w:bookmarkStart w:id="515" w:name="_Toc137013361"/>
      <w:bookmarkStart w:id="516" w:name="_Toc170193547"/>
      <w:bookmarkStart w:id="517" w:name="_Toc92706133"/>
      <w:r>
        <w:rPr>
          <w:rStyle w:val="CharSClsNo"/>
        </w:rPr>
        <w:t>11</w:t>
      </w:r>
      <w:r>
        <w:rPr>
          <w:rStyle w:val="CharSectno"/>
        </w:rPr>
        <w:t>.</w:t>
      </w:r>
      <w:r>
        <w:rPr>
          <w:rStyle w:val="CharSectno"/>
        </w:rPr>
        <w:tab/>
        <w:t>Voting by interested persons</w:t>
      </w:r>
      <w:bookmarkEnd w:id="513"/>
      <w:bookmarkEnd w:id="514"/>
      <w:bookmarkEnd w:id="515"/>
      <w:bookmarkEnd w:id="516"/>
      <w:bookmarkEnd w:id="517"/>
      <w:r>
        <w:rPr>
          <w:rStyle w:val="CharSectno"/>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9"/>
        <w:rPr>
          <w:rStyle w:val="CharSectno"/>
        </w:rPr>
      </w:pPr>
      <w:bookmarkStart w:id="518" w:name="_Toc496925332"/>
      <w:bookmarkStart w:id="519" w:name="_Toc520186409"/>
      <w:bookmarkStart w:id="520" w:name="_Toc137013362"/>
      <w:bookmarkStart w:id="521" w:name="_Toc170193548"/>
      <w:bookmarkStart w:id="522" w:name="_Toc92706134"/>
      <w:r>
        <w:rPr>
          <w:rStyle w:val="CharSClsNo"/>
        </w:rPr>
        <w:t>12</w:t>
      </w:r>
      <w:r>
        <w:rPr>
          <w:rStyle w:val="CharSectno"/>
        </w:rPr>
        <w:t>.</w:t>
      </w:r>
      <w:r>
        <w:rPr>
          <w:rStyle w:val="CharSectno"/>
        </w:rPr>
        <w:tab/>
        <w:t>Interested person may be permitted to vote</w:t>
      </w:r>
      <w:bookmarkEnd w:id="518"/>
      <w:bookmarkEnd w:id="519"/>
      <w:bookmarkEnd w:id="520"/>
      <w:bookmarkEnd w:id="521"/>
      <w:bookmarkEnd w:id="522"/>
    </w:p>
    <w:p>
      <w:pPr>
        <w:pStyle w:val="ySubsection"/>
      </w:pPr>
      <w:r>
        <w:tab/>
        <w:t>(1)</w:t>
      </w:r>
      <w:r>
        <w:tab/>
        <w:t xml:space="preserve">Clause </w:t>
      </w:r>
      <w:bookmarkStart w:id="523" w:name="_Hlt462114270"/>
      <w:r>
        <w:t>11</w:t>
      </w:r>
      <w:bookmarkEnd w:id="523"/>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section 66 of the </w:t>
      </w:r>
      <w:r>
        <w:rPr>
          <w:i/>
        </w:rPr>
        <w:t>Financial Administration and Audit Act 1985</w:t>
      </w:r>
      <w:r>
        <w:t>.</w:t>
      </w:r>
    </w:p>
    <w:p>
      <w:pPr>
        <w:pStyle w:val="yFootnotesection"/>
      </w:pPr>
      <w:r>
        <w:tab/>
        <w:t>[Schedule 2 amended by No. 21 of 2003 s. 34.]</w:t>
      </w:r>
    </w:p>
    <w:p>
      <w:pPr>
        <w:pStyle w:val="yScheduleHeading"/>
        <w:rPr>
          <w:ins w:id="524" w:author="svcMRProcess" w:date="2015-12-14T21:58:00Z"/>
        </w:rPr>
      </w:pPr>
      <w:bookmarkStart w:id="525" w:name="_Toc130959728"/>
      <w:bookmarkStart w:id="526" w:name="_Toc130959975"/>
      <w:bookmarkStart w:id="527" w:name="_Toc130961941"/>
      <w:bookmarkStart w:id="528" w:name="_Toc130964956"/>
      <w:bookmarkStart w:id="529" w:name="_Toc130965470"/>
      <w:bookmarkStart w:id="530" w:name="_Toc130981272"/>
      <w:bookmarkStart w:id="531" w:name="_Toc130981786"/>
      <w:bookmarkStart w:id="532" w:name="_Toc130981826"/>
      <w:bookmarkStart w:id="533" w:name="_Toc130982212"/>
      <w:bookmarkStart w:id="534" w:name="_Toc131217175"/>
      <w:bookmarkStart w:id="535" w:name="_Toc131217443"/>
      <w:bookmarkStart w:id="536" w:name="_Toc131224763"/>
      <w:bookmarkStart w:id="537" w:name="_Toc131225691"/>
      <w:bookmarkStart w:id="538" w:name="_Toc131225823"/>
      <w:bookmarkStart w:id="539" w:name="_Toc131226994"/>
      <w:bookmarkStart w:id="540" w:name="_Toc131227397"/>
      <w:bookmarkStart w:id="541" w:name="_Toc131228463"/>
      <w:bookmarkStart w:id="542" w:name="_Toc131228664"/>
      <w:bookmarkStart w:id="543" w:name="_Toc131228836"/>
      <w:bookmarkStart w:id="544" w:name="_Toc131231910"/>
      <w:bookmarkStart w:id="545" w:name="_Toc131233070"/>
      <w:bookmarkStart w:id="546" w:name="_Toc131233487"/>
      <w:bookmarkStart w:id="547" w:name="_Toc131237659"/>
      <w:bookmarkStart w:id="548" w:name="_Toc131238011"/>
      <w:bookmarkStart w:id="549" w:name="_Toc131238423"/>
      <w:bookmarkStart w:id="550" w:name="_Toc131307737"/>
      <w:bookmarkStart w:id="551" w:name="_Toc131493281"/>
      <w:bookmarkStart w:id="552" w:name="_Toc131493616"/>
      <w:bookmarkStart w:id="553" w:name="_Toc131843814"/>
      <w:bookmarkStart w:id="554" w:name="_Toc131844778"/>
      <w:bookmarkStart w:id="555" w:name="_Toc131845234"/>
      <w:bookmarkStart w:id="556" w:name="_Toc131907538"/>
      <w:bookmarkStart w:id="557" w:name="_Toc131907661"/>
      <w:bookmarkStart w:id="558" w:name="_Toc131925638"/>
      <w:bookmarkStart w:id="559" w:name="_Toc132005824"/>
      <w:bookmarkStart w:id="560" w:name="_Toc132006017"/>
      <w:bookmarkStart w:id="561" w:name="_Toc132006464"/>
      <w:bookmarkStart w:id="562" w:name="_Toc132006845"/>
      <w:bookmarkStart w:id="563" w:name="_Toc132011480"/>
      <w:bookmarkStart w:id="564" w:name="_Toc132012115"/>
      <w:bookmarkStart w:id="565" w:name="_Toc132016846"/>
      <w:bookmarkStart w:id="566" w:name="_Toc132085308"/>
      <w:bookmarkStart w:id="567" w:name="_Toc132085336"/>
      <w:bookmarkStart w:id="568" w:name="_Toc132085357"/>
      <w:bookmarkStart w:id="569" w:name="_Toc132086513"/>
      <w:bookmarkStart w:id="570" w:name="_Toc132086534"/>
      <w:bookmarkStart w:id="571" w:name="_Toc132092751"/>
      <w:bookmarkStart w:id="572" w:name="_Toc132112821"/>
      <w:bookmarkStart w:id="573" w:name="_Toc132113556"/>
      <w:bookmarkStart w:id="574" w:name="_Toc132113994"/>
      <w:bookmarkStart w:id="575" w:name="_Toc132114106"/>
      <w:bookmarkStart w:id="576" w:name="_Toc132114327"/>
      <w:bookmarkStart w:id="577" w:name="_Toc132114361"/>
      <w:bookmarkStart w:id="578" w:name="_Toc132114540"/>
      <w:bookmarkStart w:id="579" w:name="_Toc132114632"/>
      <w:bookmarkStart w:id="580" w:name="_Toc132115098"/>
      <w:bookmarkStart w:id="581" w:name="_Toc132116506"/>
      <w:bookmarkStart w:id="582" w:name="_Toc132117196"/>
      <w:bookmarkStart w:id="583" w:name="_Toc132117241"/>
      <w:bookmarkStart w:id="584" w:name="_Toc132168245"/>
      <w:bookmarkStart w:id="585" w:name="_Toc132171431"/>
      <w:bookmarkStart w:id="586" w:name="_Toc132174460"/>
      <w:bookmarkStart w:id="587" w:name="_Toc132174570"/>
      <w:bookmarkStart w:id="588" w:name="_Toc132174707"/>
      <w:bookmarkStart w:id="589" w:name="_Toc132174781"/>
      <w:bookmarkStart w:id="590" w:name="_Toc132178366"/>
      <w:bookmarkStart w:id="591" w:name="_Toc132178653"/>
      <w:bookmarkStart w:id="592" w:name="_Toc132178715"/>
      <w:bookmarkStart w:id="593" w:name="_Toc132515578"/>
      <w:bookmarkStart w:id="594" w:name="_Toc136390873"/>
      <w:bookmarkStart w:id="595" w:name="_Toc137013363"/>
      <w:bookmarkStart w:id="596" w:name="_Toc137013441"/>
      <w:bookmarkStart w:id="597" w:name="_Toc170193549"/>
      <w:ins w:id="598" w:author="svcMRProcess" w:date="2015-12-14T21:58:00Z">
        <w:r>
          <w:rPr>
            <w:rStyle w:val="CharSchNo"/>
          </w:rPr>
          <w:t>Schedule 3</w:t>
        </w:r>
        <w:r>
          <w:t> — </w:t>
        </w:r>
        <w:r>
          <w:rPr>
            <w:rStyle w:val="CharSchText"/>
          </w:rPr>
          <w:t>Provisions to be included in constitution of subsidiary</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ins>
    </w:p>
    <w:p>
      <w:pPr>
        <w:pStyle w:val="yShoulderClause"/>
        <w:rPr>
          <w:ins w:id="599" w:author="svcMRProcess" w:date="2015-12-14T21:58:00Z"/>
        </w:rPr>
      </w:pPr>
      <w:ins w:id="600" w:author="svcMRProcess" w:date="2015-12-14T21:58:00Z">
        <w:r>
          <w:t>[s. 7B]</w:t>
        </w:r>
      </w:ins>
    </w:p>
    <w:p>
      <w:pPr>
        <w:pStyle w:val="yFootnoteheading"/>
        <w:rPr>
          <w:ins w:id="601" w:author="svcMRProcess" w:date="2015-12-14T21:58:00Z"/>
        </w:rPr>
      </w:pPr>
      <w:bookmarkStart w:id="602" w:name="_Toc132092752"/>
      <w:bookmarkStart w:id="603" w:name="_Toc136390874"/>
      <w:bookmarkStart w:id="604" w:name="_Toc137013364"/>
      <w:ins w:id="605" w:author="svcMRProcess" w:date="2015-12-14T21:58:00Z">
        <w:r>
          <w:tab/>
          <w:t>[Heading inserted by No. 18 of 2006 s. 16.]</w:t>
        </w:r>
      </w:ins>
    </w:p>
    <w:p>
      <w:pPr>
        <w:pStyle w:val="yHeading5"/>
        <w:rPr>
          <w:ins w:id="606" w:author="svcMRProcess" w:date="2015-12-14T21:58:00Z"/>
        </w:rPr>
      </w:pPr>
      <w:bookmarkStart w:id="607" w:name="_Toc170193550"/>
      <w:ins w:id="608" w:author="svcMRProcess" w:date="2015-12-14T21:58:00Z">
        <w:r>
          <w:rPr>
            <w:rStyle w:val="CharSClsNo"/>
          </w:rPr>
          <w:t>1</w:t>
        </w:r>
        <w:r>
          <w:t>.</w:t>
        </w:r>
        <w:r>
          <w:rPr>
            <w:b w:val="0"/>
          </w:rPr>
          <w:tab/>
        </w:r>
        <w:r>
          <w:t>Definition</w:t>
        </w:r>
        <w:bookmarkEnd w:id="602"/>
        <w:bookmarkEnd w:id="603"/>
        <w:bookmarkEnd w:id="604"/>
        <w:bookmarkEnd w:id="607"/>
      </w:ins>
    </w:p>
    <w:p>
      <w:pPr>
        <w:pStyle w:val="ySubsection"/>
        <w:rPr>
          <w:ins w:id="609" w:author="svcMRProcess" w:date="2015-12-14T21:58:00Z"/>
        </w:rPr>
      </w:pPr>
      <w:ins w:id="610" w:author="svcMRProcess" w:date="2015-12-14T21:58:00Z">
        <w:r>
          <w:tab/>
        </w:r>
        <w:r>
          <w:tab/>
          <w:t xml:space="preserve">In this Schedule — </w:t>
        </w:r>
      </w:ins>
    </w:p>
    <w:p>
      <w:pPr>
        <w:pStyle w:val="yDefstart"/>
        <w:rPr>
          <w:ins w:id="611" w:author="svcMRProcess" w:date="2015-12-14T21:58:00Z"/>
        </w:rPr>
      </w:pPr>
      <w:ins w:id="612" w:author="svcMRProcess" w:date="2015-12-14T21:58:00Z">
        <w:r>
          <w:tab/>
        </w:r>
        <w:r>
          <w:rPr>
            <w:b/>
          </w:rPr>
          <w:t>“</w:t>
        </w:r>
        <w:r>
          <w:rPr>
            <w:rStyle w:val="CharDefText"/>
          </w:rPr>
          <w:t>prior approval</w:t>
        </w:r>
        <w:r>
          <w:rPr>
            <w:b/>
          </w:rPr>
          <w:t>”</w:t>
        </w:r>
        <w:r>
          <w:t xml:space="preserve"> means the prior written approval of the Minister given with the Treasurer’s concurrence.</w:t>
        </w:r>
      </w:ins>
    </w:p>
    <w:p>
      <w:pPr>
        <w:pStyle w:val="yFootnotesection"/>
        <w:rPr>
          <w:ins w:id="613" w:author="svcMRProcess" w:date="2015-12-14T21:58:00Z"/>
        </w:rPr>
      </w:pPr>
      <w:ins w:id="614" w:author="svcMRProcess" w:date="2015-12-14T21:58:00Z">
        <w:r>
          <w:tab/>
          <w:t>[Clause 1 inserted by No. 18 of 2006 s. 16.]</w:t>
        </w:r>
      </w:ins>
    </w:p>
    <w:p>
      <w:pPr>
        <w:pStyle w:val="yHeading5"/>
        <w:rPr>
          <w:ins w:id="615" w:author="svcMRProcess" w:date="2015-12-14T21:58:00Z"/>
        </w:rPr>
      </w:pPr>
      <w:bookmarkStart w:id="616" w:name="_Toc132092753"/>
      <w:bookmarkStart w:id="617" w:name="_Toc136390875"/>
      <w:bookmarkStart w:id="618" w:name="_Toc137013365"/>
      <w:bookmarkStart w:id="619" w:name="_Toc170193551"/>
      <w:ins w:id="620" w:author="svcMRProcess" w:date="2015-12-14T21:58:00Z">
        <w:r>
          <w:rPr>
            <w:rStyle w:val="CharSClsNo"/>
          </w:rPr>
          <w:t>2</w:t>
        </w:r>
        <w:r>
          <w:t>.</w:t>
        </w:r>
        <w:r>
          <w:rPr>
            <w:b w:val="0"/>
          </w:rPr>
          <w:tab/>
        </w:r>
        <w:r>
          <w:t>Disposal of shares</w:t>
        </w:r>
        <w:bookmarkEnd w:id="616"/>
        <w:bookmarkEnd w:id="617"/>
        <w:bookmarkEnd w:id="618"/>
        <w:bookmarkEnd w:id="619"/>
      </w:ins>
    </w:p>
    <w:p>
      <w:pPr>
        <w:pStyle w:val="ySubsection"/>
        <w:rPr>
          <w:ins w:id="621" w:author="svcMRProcess" w:date="2015-12-14T21:58:00Z"/>
        </w:rPr>
      </w:pPr>
      <w:ins w:id="622" w:author="svcMRProcess" w:date="2015-12-14T21:58:00Z">
        <w:r>
          <w:tab/>
          <w:t>(1)</w:t>
        </w:r>
        <w:r>
          <w:tab/>
          <w:t>The Board must not sell or otherwise dispose of shares in the subsidiary without prior approval.</w:t>
        </w:r>
      </w:ins>
    </w:p>
    <w:p>
      <w:pPr>
        <w:pStyle w:val="ySubsection"/>
        <w:rPr>
          <w:ins w:id="623" w:author="svcMRProcess" w:date="2015-12-14T21:58:00Z"/>
        </w:rPr>
      </w:pPr>
      <w:ins w:id="624" w:author="svcMRProcess" w:date="2015-12-14T21:58:00Z">
        <w:r>
          <w:tab/>
          <w:t>(2)</w:t>
        </w:r>
        <w:r>
          <w:tab/>
          <w:t>The Minister is empowered to execute a transfer of any shares in the subsidiary held by the Board.</w:t>
        </w:r>
      </w:ins>
    </w:p>
    <w:p>
      <w:pPr>
        <w:pStyle w:val="yFootnotesection"/>
        <w:rPr>
          <w:ins w:id="625" w:author="svcMRProcess" w:date="2015-12-14T21:58:00Z"/>
        </w:rPr>
      </w:pPr>
      <w:ins w:id="626" w:author="svcMRProcess" w:date="2015-12-14T21:58:00Z">
        <w:r>
          <w:tab/>
          <w:t>[Clause 2 inserted by No. 18 of 2006 s. 16.]</w:t>
        </w:r>
      </w:ins>
    </w:p>
    <w:p>
      <w:pPr>
        <w:pStyle w:val="yHeading5"/>
        <w:rPr>
          <w:ins w:id="627" w:author="svcMRProcess" w:date="2015-12-14T21:58:00Z"/>
        </w:rPr>
      </w:pPr>
      <w:bookmarkStart w:id="628" w:name="_Toc132092754"/>
      <w:bookmarkStart w:id="629" w:name="_Toc136390876"/>
      <w:bookmarkStart w:id="630" w:name="_Toc137013366"/>
      <w:bookmarkStart w:id="631" w:name="_Toc170193552"/>
      <w:ins w:id="632" w:author="svcMRProcess" w:date="2015-12-14T21:58:00Z">
        <w:r>
          <w:rPr>
            <w:rStyle w:val="CharSClsNo"/>
          </w:rPr>
          <w:t>3</w:t>
        </w:r>
        <w:r>
          <w:t>.</w:t>
        </w:r>
        <w:r>
          <w:tab/>
          <w:t>Directors</w:t>
        </w:r>
        <w:bookmarkEnd w:id="628"/>
        <w:bookmarkEnd w:id="629"/>
        <w:bookmarkEnd w:id="630"/>
        <w:bookmarkEnd w:id="631"/>
      </w:ins>
    </w:p>
    <w:p>
      <w:pPr>
        <w:pStyle w:val="ySubsection"/>
        <w:rPr>
          <w:ins w:id="633" w:author="svcMRProcess" w:date="2015-12-14T21:58:00Z"/>
        </w:rPr>
      </w:pPr>
      <w:ins w:id="634" w:author="svcMRProcess" w:date="2015-12-14T21:58:00Z">
        <w:r>
          <w:tab/>
          <w:t>(1)</w:t>
        </w:r>
        <w:r>
          <w:tab/>
          <w:t>The directors of the subsidiary are to be appointed by the Board, but no such director may be appointed without prior approval.</w:t>
        </w:r>
      </w:ins>
    </w:p>
    <w:p>
      <w:pPr>
        <w:pStyle w:val="ySubsection"/>
        <w:rPr>
          <w:ins w:id="635" w:author="svcMRProcess" w:date="2015-12-14T21:58:00Z"/>
        </w:rPr>
      </w:pPr>
      <w:ins w:id="636" w:author="svcMRProcess" w:date="2015-12-14T21:58:00Z">
        <w:r>
          <w:tab/>
          <w:t>(2)</w:t>
        </w:r>
        <w:r>
          <w:tab/>
          <w:t>All decisions relating to the operation of the subsidiary are to be made by or under the authority of the board of the subsidiary in accordance with the statement of corporate intent of the Board and the subsidiary.</w:t>
        </w:r>
      </w:ins>
    </w:p>
    <w:p>
      <w:pPr>
        <w:pStyle w:val="ySubsection"/>
        <w:rPr>
          <w:ins w:id="637" w:author="svcMRProcess" w:date="2015-12-14T21:58:00Z"/>
        </w:rPr>
      </w:pPr>
      <w:ins w:id="638" w:author="svcMRProcess" w:date="2015-12-14T21:58:00Z">
        <w:r>
          <w:tab/>
          <w:t>(3)</w:t>
        </w:r>
        <w:r>
          <w:tab/>
          <w:t>The board of the subsidiary is accountable to the Minister in the manner set out in section 36 and in the constitution of the subsidiary.</w:t>
        </w:r>
      </w:ins>
    </w:p>
    <w:p>
      <w:pPr>
        <w:pStyle w:val="yFootnotesection"/>
        <w:rPr>
          <w:ins w:id="639" w:author="svcMRProcess" w:date="2015-12-14T21:58:00Z"/>
        </w:rPr>
      </w:pPr>
      <w:ins w:id="640" w:author="svcMRProcess" w:date="2015-12-14T21:58:00Z">
        <w:r>
          <w:tab/>
          <w:t>[Clause 3 inserted by No. 18 of 2006 s. 16.]</w:t>
        </w:r>
      </w:ins>
    </w:p>
    <w:p>
      <w:pPr>
        <w:pStyle w:val="yHeading5"/>
        <w:rPr>
          <w:ins w:id="641" w:author="svcMRProcess" w:date="2015-12-14T21:58:00Z"/>
        </w:rPr>
      </w:pPr>
      <w:bookmarkStart w:id="642" w:name="_Toc132092755"/>
      <w:bookmarkStart w:id="643" w:name="_Toc136390877"/>
      <w:bookmarkStart w:id="644" w:name="_Toc137013367"/>
      <w:bookmarkStart w:id="645" w:name="_Toc170193553"/>
      <w:ins w:id="646" w:author="svcMRProcess" w:date="2015-12-14T21:58:00Z">
        <w:r>
          <w:rPr>
            <w:rStyle w:val="CharSClsNo"/>
          </w:rPr>
          <w:t>4</w:t>
        </w:r>
        <w:r>
          <w:t>.</w:t>
        </w:r>
        <w:r>
          <w:tab/>
          <w:t>Further shares</w:t>
        </w:r>
        <w:bookmarkEnd w:id="642"/>
        <w:bookmarkEnd w:id="643"/>
        <w:bookmarkEnd w:id="644"/>
        <w:bookmarkEnd w:id="645"/>
      </w:ins>
    </w:p>
    <w:p>
      <w:pPr>
        <w:pStyle w:val="ySubsection"/>
        <w:rPr>
          <w:ins w:id="647" w:author="svcMRProcess" w:date="2015-12-14T21:58:00Z"/>
        </w:rPr>
      </w:pPr>
      <w:ins w:id="648" w:author="svcMRProcess" w:date="2015-12-14T21:58:00Z">
        <w:r>
          <w:tab/>
        </w:r>
        <w:r>
          <w:tab/>
          <w:t>Shares in the subsidiary must not be issued or transferred without prior approval.</w:t>
        </w:r>
      </w:ins>
    </w:p>
    <w:p>
      <w:pPr>
        <w:pStyle w:val="yFootnotesection"/>
        <w:rPr>
          <w:ins w:id="649" w:author="svcMRProcess" w:date="2015-12-14T21:58:00Z"/>
        </w:rPr>
      </w:pPr>
      <w:bookmarkStart w:id="650" w:name="_Toc132092756"/>
      <w:bookmarkStart w:id="651" w:name="_Toc136390878"/>
      <w:ins w:id="652" w:author="svcMRProcess" w:date="2015-12-14T21:58:00Z">
        <w:r>
          <w:tab/>
          <w:t>[Clause 4 inserted by No. 18 of 2006 s. 16.]</w:t>
        </w:r>
      </w:ins>
    </w:p>
    <w:p>
      <w:pPr>
        <w:pStyle w:val="yHeading5"/>
        <w:rPr>
          <w:ins w:id="653" w:author="svcMRProcess" w:date="2015-12-14T21:58:00Z"/>
        </w:rPr>
      </w:pPr>
      <w:bookmarkStart w:id="654" w:name="_Toc137013368"/>
      <w:bookmarkStart w:id="655" w:name="_Toc170193554"/>
      <w:ins w:id="656" w:author="svcMRProcess" w:date="2015-12-14T21:58:00Z">
        <w:r>
          <w:rPr>
            <w:rStyle w:val="CharSClsNo"/>
          </w:rPr>
          <w:t>5</w:t>
        </w:r>
        <w:r>
          <w:t>.</w:t>
        </w:r>
        <w:r>
          <w:rPr>
            <w:b w:val="0"/>
          </w:rPr>
          <w:tab/>
        </w:r>
        <w:r>
          <w:t>Alteration of constitution</w:t>
        </w:r>
        <w:bookmarkEnd w:id="650"/>
        <w:bookmarkEnd w:id="651"/>
        <w:bookmarkEnd w:id="654"/>
        <w:bookmarkEnd w:id="655"/>
      </w:ins>
    </w:p>
    <w:p>
      <w:pPr>
        <w:pStyle w:val="ySubsection"/>
        <w:rPr>
          <w:ins w:id="657" w:author="svcMRProcess" w:date="2015-12-14T21:58:00Z"/>
        </w:rPr>
      </w:pPr>
      <w:ins w:id="658" w:author="svcMRProcess" w:date="2015-12-14T21:58:00Z">
        <w:r>
          <w:tab/>
        </w:r>
        <w:r>
          <w:tab/>
          <w:t>The constitution of the subsidiary must not be modified or replaced without prior approval.</w:t>
        </w:r>
      </w:ins>
    </w:p>
    <w:p>
      <w:pPr>
        <w:pStyle w:val="yFootnotesection"/>
        <w:rPr>
          <w:ins w:id="659" w:author="svcMRProcess" w:date="2015-12-14T21:58:00Z"/>
        </w:rPr>
      </w:pPr>
      <w:bookmarkStart w:id="660" w:name="_Toc132092757"/>
      <w:bookmarkStart w:id="661" w:name="_Toc136390879"/>
      <w:ins w:id="662" w:author="svcMRProcess" w:date="2015-12-14T21:58:00Z">
        <w:r>
          <w:tab/>
          <w:t>[Clause 5 inserted by No. 18 of 2006 s. 16.]</w:t>
        </w:r>
      </w:ins>
    </w:p>
    <w:p>
      <w:pPr>
        <w:pStyle w:val="yHeading5"/>
        <w:rPr>
          <w:ins w:id="663" w:author="svcMRProcess" w:date="2015-12-14T21:58:00Z"/>
        </w:rPr>
      </w:pPr>
      <w:bookmarkStart w:id="664" w:name="_Toc137013369"/>
      <w:bookmarkStart w:id="665" w:name="_Toc170193555"/>
      <w:ins w:id="666" w:author="svcMRProcess" w:date="2015-12-14T21:58:00Z">
        <w:r>
          <w:rPr>
            <w:rStyle w:val="CharSClsNo"/>
          </w:rPr>
          <w:t>6</w:t>
        </w:r>
        <w:r>
          <w:t>.</w:t>
        </w:r>
        <w:r>
          <w:tab/>
          <w:t>Subsidiaries of subsidiary</w:t>
        </w:r>
        <w:bookmarkEnd w:id="660"/>
        <w:bookmarkEnd w:id="661"/>
        <w:bookmarkEnd w:id="664"/>
        <w:bookmarkEnd w:id="665"/>
      </w:ins>
    </w:p>
    <w:p>
      <w:pPr>
        <w:pStyle w:val="ySubsection"/>
        <w:rPr>
          <w:ins w:id="667" w:author="svcMRProcess" w:date="2015-12-14T21:58:00Z"/>
        </w:rPr>
      </w:pPr>
      <w:ins w:id="668" w:author="svcMRProcess" w:date="2015-12-14T21:58:00Z">
        <w:r>
          <w:tab/>
          <w:t>(1)</w:t>
        </w:r>
        <w:r>
          <w:tab/>
          <w:t>The subsidiary must not form or acquire any subsidiary without prior approval.</w:t>
        </w:r>
      </w:ins>
    </w:p>
    <w:p>
      <w:pPr>
        <w:pStyle w:val="ySubsection"/>
        <w:rPr>
          <w:ins w:id="669" w:author="svcMRProcess" w:date="2015-12-14T21:58:00Z"/>
        </w:rPr>
      </w:pPr>
      <w:ins w:id="670" w:author="svcMRProcess" w:date="2015-12-14T21:58:00Z">
        <w:r>
          <w:tab/>
          <w:t>(2)</w:t>
        </w:r>
        <w:r>
          <w:tab/>
          <w:t>The subsidiary must ensure that the constitution of each of its subsidiaries at all times complies with this Act.</w:t>
        </w:r>
      </w:ins>
    </w:p>
    <w:p>
      <w:pPr>
        <w:pStyle w:val="ySubsection"/>
        <w:rPr>
          <w:ins w:id="671" w:author="svcMRProcess" w:date="2015-12-14T21:58:00Z"/>
        </w:rPr>
      </w:pPr>
      <w:ins w:id="672" w:author="svcMRProcess" w:date="2015-12-14T21:58:00Z">
        <w:r>
          <w:tab/>
          <w:t>(3)</w:t>
        </w:r>
        <w:r>
          <w:tab/>
          <w:t>The subsidiary must, to the maximum extent practicable, ensure that each of its subsidiaries complies with its constitution and with the requirements of this Act.</w:t>
        </w:r>
      </w:ins>
    </w:p>
    <w:p>
      <w:pPr>
        <w:pStyle w:val="yFootnotesection"/>
        <w:rPr>
          <w:ins w:id="673" w:author="svcMRProcess" w:date="2015-12-14T21:58:00Z"/>
        </w:rPr>
      </w:pPr>
      <w:ins w:id="674" w:author="svcMRProcess" w:date="2015-12-14T21:58:00Z">
        <w:r>
          <w:tab/>
          <w:t>[Clause 6 inserted by No. 18 of 2006 s. 16.]</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75" w:name="_Toc92706135"/>
      <w:bookmarkStart w:id="676" w:name="_Toc137013292"/>
      <w:bookmarkStart w:id="677" w:name="_Toc137013370"/>
      <w:bookmarkStart w:id="678" w:name="_Toc137013448"/>
      <w:bookmarkStart w:id="679" w:name="_Toc170193556"/>
      <w:r>
        <w:t>Notes</w:t>
      </w:r>
      <w:bookmarkEnd w:id="675"/>
      <w:bookmarkEnd w:id="676"/>
      <w:bookmarkEnd w:id="677"/>
      <w:bookmarkEnd w:id="678"/>
      <w:bookmarkEnd w:id="679"/>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w:t>
      </w:r>
      <w:del w:id="680" w:author="svcMRProcess" w:date="2015-12-14T21:58:00Z">
        <w:r>
          <w:rPr>
            <w:i/>
            <w:snapToGrid w:val="0"/>
          </w:rPr>
          <w:delText> </w:delText>
        </w:r>
      </w:del>
      <w:ins w:id="681" w:author="svcMRProcess" w:date="2015-12-14T21:58:00Z">
        <w:r>
          <w:rPr>
            <w:i/>
            <w:noProof/>
            <w:snapToGrid w:val="0"/>
          </w:rPr>
          <w:t xml:space="preserve"> </w:t>
        </w:r>
      </w:ins>
      <w:r>
        <w:rPr>
          <w:i/>
          <w:noProof/>
          <w:snapToGrid w:val="0"/>
        </w:rPr>
        <w:t>2000</w:t>
      </w:r>
      <w:r>
        <w:rPr>
          <w:snapToGrid w:val="0"/>
        </w:rPr>
        <w:t xml:space="preserve"> and includes </w:t>
      </w:r>
      <w:del w:id="682" w:author="svcMRProcess" w:date="2015-12-14T21:58:00Z">
        <w:r>
          <w:rPr>
            <w:snapToGrid w:val="0"/>
          </w:rPr>
          <w:delText>all</w:delText>
        </w:r>
      </w:del>
      <w:ins w:id="683" w:author="svcMRProcess" w:date="2015-12-14T21:58:00Z">
        <w:r>
          <w:rPr>
            <w:snapToGrid w:val="0"/>
          </w:rPr>
          <w:t>the</w:t>
        </w:r>
      </w:ins>
      <w:r>
        <w:rPr>
          <w:snapToGrid w:val="0"/>
        </w:rPr>
        <w:t xml:space="preserve"> amendments </w:t>
      </w:r>
      <w:del w:id="684" w:author="svcMRProcess" w:date="2015-12-14T21:58:00Z">
        <w:r>
          <w:rPr>
            <w:snapToGrid w:val="0"/>
          </w:rPr>
          <w:delText>effected</w:delText>
        </w:r>
      </w:del>
      <w:ins w:id="685" w:author="svcMRProcess" w:date="2015-12-14T21:58:00Z">
        <w:r>
          <w:rPr>
            <w:snapToGrid w:val="0"/>
          </w:rPr>
          <w:t>made</w:t>
        </w:r>
      </w:ins>
      <w:r>
        <w:rPr>
          <w:snapToGrid w:val="0"/>
        </w:rPr>
        <w:t xml:space="preserve"> by the other </w:t>
      </w:r>
      <w:del w:id="686" w:author="svcMRProcess" w:date="2015-12-14T21:58:00Z">
        <w:r>
          <w:rPr>
            <w:snapToGrid w:val="0"/>
          </w:rPr>
          <w:delText>Acts</w:delText>
        </w:r>
      </w:del>
      <w:ins w:id="687" w:author="svcMRProcess" w:date="2015-12-14T21:58:00Z">
        <w:r>
          <w:rPr>
            <w:snapToGrid w:val="0"/>
          </w:rPr>
          <w:t>written laws</w:t>
        </w:r>
      </w:ins>
      <w:r>
        <w:rPr>
          <w:snapToGrid w:val="0"/>
        </w:rPr>
        <w:t xml:space="preserve"> referred to in the following </w:t>
      </w:r>
      <w:del w:id="688" w:author="svcMRProcess" w:date="2015-12-14T21:58:00Z">
        <w:r>
          <w:rPr>
            <w:snapToGrid w:val="0"/>
          </w:rPr>
          <w:delText>Table</w:delText>
        </w:r>
      </w:del>
      <w:ins w:id="689" w:author="svcMRProcess" w:date="2015-12-14T21:58:00Z">
        <w:r>
          <w:rPr>
            <w:snapToGrid w:val="0"/>
          </w:rPr>
          <w:t>table</w:t>
        </w:r>
      </w:ins>
      <w:r>
        <w:rPr>
          <w:snapToGrid w:val="0"/>
        </w:rPr>
        <w:t>.</w:t>
      </w:r>
    </w:p>
    <w:p>
      <w:pPr>
        <w:pStyle w:val="nHeading3"/>
        <w:rPr>
          <w:snapToGrid w:val="0"/>
        </w:rPr>
      </w:pPr>
      <w:bookmarkStart w:id="690" w:name="_Toc170193557"/>
      <w:bookmarkStart w:id="691" w:name="_Toc92706136"/>
      <w:r>
        <w:rPr>
          <w:snapToGrid w:val="0"/>
        </w:rPr>
        <w:t>Compilation table</w:t>
      </w:r>
      <w:bookmarkEnd w:id="690"/>
      <w:bookmarkEnd w:id="6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692" w:author="svcMRProcess" w:date="2015-12-14T21:58:00Z">
              <w:r>
                <w:rPr>
                  <w:b/>
                </w:rPr>
                <w:delText>Year</w:delText>
              </w:r>
            </w:del>
            <w:ins w:id="693" w:author="svcMRProcess" w:date="2015-12-14T21:58: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2</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ins w:id="694" w:author="svcMRProcess" w:date="2015-12-14T21:58:00Z"/>
        </w:trPr>
        <w:tc>
          <w:tcPr>
            <w:tcW w:w="2268" w:type="dxa"/>
            <w:tcBorders>
              <w:bottom w:val="single" w:sz="8" w:space="0" w:color="auto"/>
            </w:tcBorders>
          </w:tcPr>
          <w:p>
            <w:pPr>
              <w:pStyle w:val="nTable"/>
              <w:spacing w:after="40"/>
              <w:rPr>
                <w:ins w:id="695" w:author="svcMRProcess" w:date="2015-12-14T21:58:00Z"/>
                <w:iCs/>
                <w:sz w:val="19"/>
                <w:vertAlign w:val="superscript"/>
              </w:rPr>
            </w:pPr>
            <w:ins w:id="696" w:author="svcMRProcess" w:date="2015-12-14T21:58:00Z">
              <w:r>
                <w:rPr>
                  <w:i/>
                  <w:sz w:val="19"/>
                </w:rPr>
                <w:t>Superannuation Legislation Amendment and Validation Act 2006</w:t>
              </w:r>
              <w:r>
                <w:rPr>
                  <w:iCs/>
                  <w:sz w:val="19"/>
                </w:rPr>
                <w:t xml:space="preserve"> Pt. 3, s. 17 and 18 </w:t>
              </w:r>
              <w:r>
                <w:rPr>
                  <w:iCs/>
                  <w:sz w:val="19"/>
                  <w:vertAlign w:val="superscript"/>
                </w:rPr>
                <w:t>4</w:t>
              </w:r>
            </w:ins>
          </w:p>
        </w:tc>
        <w:tc>
          <w:tcPr>
            <w:tcW w:w="1134" w:type="dxa"/>
            <w:tcBorders>
              <w:bottom w:val="single" w:sz="8" w:space="0" w:color="auto"/>
            </w:tcBorders>
          </w:tcPr>
          <w:p>
            <w:pPr>
              <w:pStyle w:val="nTable"/>
              <w:spacing w:after="40"/>
              <w:rPr>
                <w:ins w:id="697" w:author="svcMRProcess" w:date="2015-12-14T21:58:00Z"/>
                <w:sz w:val="19"/>
              </w:rPr>
            </w:pPr>
            <w:ins w:id="698" w:author="svcMRProcess" w:date="2015-12-14T21:58:00Z">
              <w:r>
                <w:rPr>
                  <w:sz w:val="19"/>
                </w:rPr>
                <w:t>18 of 2006</w:t>
              </w:r>
            </w:ins>
          </w:p>
        </w:tc>
        <w:tc>
          <w:tcPr>
            <w:tcW w:w="1134" w:type="dxa"/>
            <w:tcBorders>
              <w:bottom w:val="single" w:sz="8" w:space="0" w:color="auto"/>
            </w:tcBorders>
          </w:tcPr>
          <w:p>
            <w:pPr>
              <w:pStyle w:val="nTable"/>
              <w:spacing w:after="40"/>
              <w:rPr>
                <w:ins w:id="699" w:author="svcMRProcess" w:date="2015-12-14T21:58:00Z"/>
                <w:sz w:val="19"/>
              </w:rPr>
            </w:pPr>
            <w:ins w:id="700" w:author="svcMRProcess" w:date="2015-12-14T21:58:00Z">
              <w:r>
                <w:rPr>
                  <w:sz w:val="19"/>
                </w:rPr>
                <w:t>31 May 2006</w:t>
              </w:r>
            </w:ins>
          </w:p>
        </w:tc>
        <w:tc>
          <w:tcPr>
            <w:tcW w:w="2551" w:type="dxa"/>
            <w:tcBorders>
              <w:bottom w:val="single" w:sz="8" w:space="0" w:color="auto"/>
            </w:tcBorders>
          </w:tcPr>
          <w:p>
            <w:pPr>
              <w:pStyle w:val="nTable"/>
              <w:spacing w:after="40"/>
              <w:rPr>
                <w:ins w:id="701" w:author="svcMRProcess" w:date="2015-12-14T21:58:00Z"/>
                <w:sz w:val="19"/>
              </w:rPr>
            </w:pPr>
            <w:ins w:id="702" w:author="svcMRProcess" w:date="2015-12-14T21:58:00Z">
              <w:r>
                <w:rPr>
                  <w:sz w:val="19"/>
                </w:rPr>
                <w:t>31 May 2006 (see s. 2)</w:t>
              </w:r>
            </w:ins>
          </w:p>
        </w:tc>
      </w:tr>
    </w:tbl>
    <w:p>
      <w:pPr>
        <w:pStyle w:val="nSubsection"/>
        <w:tabs>
          <w:tab w:val="clear" w:pos="454"/>
        </w:tabs>
        <w:ind w:left="567" w:hanging="567"/>
      </w:pPr>
      <w:r>
        <w:t>NB.</w:t>
      </w:r>
      <w:r>
        <w:tab/>
        <w:t xml:space="preserve">Also see </w:t>
      </w:r>
      <w:r>
        <w:rPr>
          <w:i/>
        </w:rPr>
        <w:t>State Superannuation (Transitional and Consequential Provisions) Act 2000</w:t>
      </w:r>
      <w:r>
        <w:t xml:space="preserve"> (No. 43 of 2000).</w:t>
      </w:r>
    </w:p>
    <w:p>
      <w:pPr>
        <w:pStyle w:val="nSubsection"/>
      </w:pPr>
      <w:r>
        <w:rPr>
          <w:vertAlign w:val="superscript"/>
        </w:rPr>
        <w:t>2</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703" w:name="_Toc471793482"/>
      <w:bookmarkStart w:id="704" w:name="_Toc38091139"/>
      <w:r>
        <w:rPr>
          <w:rStyle w:val="CharSectno"/>
        </w:rPr>
        <w:t>2</w:t>
      </w:r>
      <w:r>
        <w:rPr>
          <w:snapToGrid w:val="0"/>
        </w:rPr>
        <w:t>.</w:t>
      </w:r>
      <w:r>
        <w:rPr>
          <w:snapToGrid w:val="0"/>
        </w:rPr>
        <w:tab/>
        <w:t>Commencement</w:t>
      </w:r>
      <w:bookmarkEnd w:id="703"/>
      <w:bookmarkEnd w:id="704"/>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05" w:name="_Toc38091140"/>
      <w:r>
        <w:rPr>
          <w:rStyle w:val="CharSectno"/>
        </w:rPr>
        <w:t>3</w:t>
      </w:r>
      <w:r>
        <w:t>.</w:t>
      </w:r>
      <w:r>
        <w:tab/>
        <w:t>Interpretation</w:t>
      </w:r>
      <w:bookmarkEnd w:id="705"/>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706" w:name="_Toc38091141"/>
      <w:r>
        <w:rPr>
          <w:rStyle w:val="CharSectno"/>
        </w:rPr>
        <w:t>4</w:t>
      </w:r>
      <w:r>
        <w:t>.</w:t>
      </w:r>
      <w:r>
        <w:tab/>
        <w:t>Validation</w:t>
      </w:r>
      <w:bookmarkEnd w:id="706"/>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707" w:author="svcMRProcess" w:date="2015-12-14T21:58:00Z"/>
          <w:iCs/>
        </w:rPr>
      </w:pPr>
      <w:ins w:id="708" w:author="svcMRProcess" w:date="2015-12-14T21:58:00Z">
        <w:r>
          <w:rPr>
            <w:iCs/>
            <w:vertAlign w:val="superscript"/>
          </w:rPr>
          <w:t>4</w:t>
        </w:r>
        <w:r>
          <w:rPr>
            <w:iCs/>
          </w:rPr>
          <w:tab/>
          <w:t xml:space="preserve">The </w:t>
        </w:r>
        <w:r>
          <w:rPr>
            <w:i/>
          </w:rPr>
          <w:t>Superannuation Legislation Amendment and Validation Act 2006</w:t>
        </w:r>
        <w:r>
          <w:rPr>
            <w:iCs/>
          </w:rPr>
          <w:t xml:space="preserve"> s. 17 and 18 read as follows:</w:t>
        </w:r>
      </w:ins>
    </w:p>
    <w:p>
      <w:pPr>
        <w:pStyle w:val="MiscOpen"/>
        <w:rPr>
          <w:ins w:id="709" w:author="svcMRProcess" w:date="2015-12-14T21:58:00Z"/>
        </w:rPr>
      </w:pPr>
      <w:ins w:id="710" w:author="svcMRProcess" w:date="2015-12-14T21:58:00Z">
        <w:r>
          <w:t>“</w:t>
        </w:r>
      </w:ins>
    </w:p>
    <w:p>
      <w:pPr>
        <w:pStyle w:val="nzHeading5"/>
        <w:rPr>
          <w:ins w:id="711" w:author="svcMRProcess" w:date="2015-12-14T21:58:00Z"/>
        </w:rPr>
      </w:pPr>
      <w:bookmarkStart w:id="712" w:name="_Toc136390881"/>
      <w:ins w:id="713" w:author="svcMRProcess" w:date="2015-12-14T21:58:00Z">
        <w:r>
          <w:rPr>
            <w:rStyle w:val="CharSectno"/>
          </w:rPr>
          <w:t>17</w:t>
        </w:r>
        <w:r>
          <w:t>.</w:t>
        </w:r>
        <w:r>
          <w:tab/>
          <w:t>Validation of certain payments</w:t>
        </w:r>
        <w:bookmarkEnd w:id="712"/>
      </w:ins>
    </w:p>
    <w:p>
      <w:pPr>
        <w:pStyle w:val="nzSubsection"/>
        <w:rPr>
          <w:ins w:id="714" w:author="svcMRProcess" w:date="2015-12-14T21:58:00Z"/>
        </w:rPr>
      </w:pPr>
      <w:ins w:id="715" w:author="svcMRProcess" w:date="2015-12-14T21:58:00Z">
        <w:r>
          <w:tab/>
          <w:t>(1)</w:t>
        </w:r>
        <w:r>
          <w:tab/>
          <w:t xml:space="preserve">In this section — </w:t>
        </w:r>
      </w:ins>
    </w:p>
    <w:p>
      <w:pPr>
        <w:pStyle w:val="nzDefstart"/>
        <w:rPr>
          <w:ins w:id="716" w:author="svcMRProcess" w:date="2015-12-14T21:58:00Z"/>
        </w:rPr>
      </w:pPr>
      <w:ins w:id="717" w:author="svcMRProcess" w:date="2015-12-14T21:58:00Z">
        <w:r>
          <w:rPr>
            <w:b/>
          </w:rPr>
          <w:tab/>
          <w:t>“</w:t>
        </w:r>
        <w:r>
          <w:rPr>
            <w:rStyle w:val="CharDefText"/>
          </w:rPr>
          <w:t>Superannuation Act</w:t>
        </w:r>
        <w:r>
          <w:rPr>
            <w:b/>
          </w:rPr>
          <w: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ins>
    </w:p>
    <w:p>
      <w:pPr>
        <w:pStyle w:val="nzSubsection"/>
        <w:rPr>
          <w:ins w:id="718" w:author="svcMRProcess" w:date="2015-12-14T21:58:00Z"/>
        </w:rPr>
      </w:pPr>
      <w:ins w:id="719" w:author="svcMRProcess" w:date="2015-12-14T21:58:00Z">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ins>
    </w:p>
    <w:p>
      <w:pPr>
        <w:pStyle w:val="nzIndenta"/>
        <w:rPr>
          <w:ins w:id="720" w:author="svcMRProcess" w:date="2015-12-14T21:58:00Z"/>
        </w:rPr>
      </w:pPr>
      <w:ins w:id="721" w:author="svcMRProcess" w:date="2015-12-14T21:58:00Z">
        <w:r>
          <w:tab/>
          <w:t>(a)</w:t>
        </w:r>
        <w:r>
          <w:tab/>
          <w:t>made before this section came into operation; and</w:t>
        </w:r>
      </w:ins>
    </w:p>
    <w:p>
      <w:pPr>
        <w:pStyle w:val="nzIndenta"/>
        <w:rPr>
          <w:ins w:id="722" w:author="svcMRProcess" w:date="2015-12-14T21:58:00Z"/>
        </w:rPr>
      </w:pPr>
      <w:ins w:id="723" w:author="svcMRProcess" w:date="2015-12-14T21:58:00Z">
        <w:r>
          <w:tab/>
          <w:t>(b)</w:t>
        </w:r>
        <w:r>
          <w:tab/>
          <w:t xml:space="preserve">invalid or ineffective because of the </w:t>
        </w:r>
        <w:r>
          <w:rPr>
            <w:i/>
            <w:iCs/>
          </w:rPr>
          <w:t>Administration Act 1903</w:t>
        </w:r>
        <w:r>
          <w:t xml:space="preserve"> section 10,</w:t>
        </w:r>
      </w:ins>
    </w:p>
    <w:p>
      <w:pPr>
        <w:pStyle w:val="nzSubsection"/>
        <w:rPr>
          <w:ins w:id="724" w:author="svcMRProcess" w:date="2015-12-14T21:58:00Z"/>
        </w:rPr>
      </w:pPr>
      <w:ins w:id="725" w:author="svcMRProcess" w:date="2015-12-14T21:58:00Z">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ins>
    </w:p>
    <w:p>
      <w:pPr>
        <w:pStyle w:val="nzSubsection"/>
        <w:rPr>
          <w:ins w:id="726" w:author="svcMRProcess" w:date="2015-12-14T21:58:00Z"/>
        </w:rPr>
      </w:pPr>
      <w:ins w:id="727" w:author="svcMRProcess" w:date="2015-12-14T21:58:00Z">
        <w:r>
          <w:tab/>
          <w:t>(3)</w:t>
        </w:r>
        <w:r>
          <w:tab/>
          <w:t xml:space="preserve">If — </w:t>
        </w:r>
      </w:ins>
    </w:p>
    <w:p>
      <w:pPr>
        <w:pStyle w:val="nzIndenta"/>
        <w:rPr>
          <w:ins w:id="728" w:author="svcMRProcess" w:date="2015-12-14T21:58:00Z"/>
        </w:rPr>
      </w:pPr>
      <w:ins w:id="729" w:author="svcMRProcess" w:date="2015-12-14T21:58:00Z">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ins>
    </w:p>
    <w:p>
      <w:pPr>
        <w:pStyle w:val="nzIndenta"/>
        <w:rPr>
          <w:ins w:id="730" w:author="svcMRProcess" w:date="2015-12-14T21:58:00Z"/>
        </w:rPr>
      </w:pPr>
      <w:ins w:id="731" w:author="svcMRProcess" w:date="2015-12-14T21:58:00Z">
        <w:r>
          <w:tab/>
          <w:t>(b)</w:t>
        </w:r>
        <w:r>
          <w:tab/>
          <w:t>the executor or administrator paid, or purportedly paid, some or all of the benefit to another person before this section came into operation; and</w:t>
        </w:r>
      </w:ins>
    </w:p>
    <w:p>
      <w:pPr>
        <w:pStyle w:val="nzIndenta"/>
        <w:rPr>
          <w:ins w:id="732" w:author="svcMRProcess" w:date="2015-12-14T21:58:00Z"/>
        </w:rPr>
      </w:pPr>
      <w:ins w:id="733" w:author="svcMRProcess" w:date="2015-12-14T21:58:00Z">
        <w:r>
          <w:tab/>
          <w:t>(c)</w:t>
        </w:r>
        <w:r>
          <w:tab/>
          <w:t xml:space="preserve">the payment was invalid or ineffective because of the </w:t>
        </w:r>
        <w:r>
          <w:rPr>
            <w:i/>
            <w:iCs/>
          </w:rPr>
          <w:t>Administration Act 1903</w:t>
        </w:r>
        <w:r>
          <w:t xml:space="preserve"> section 10,</w:t>
        </w:r>
      </w:ins>
    </w:p>
    <w:p>
      <w:pPr>
        <w:pStyle w:val="nzSubsection"/>
        <w:rPr>
          <w:ins w:id="734" w:author="svcMRProcess" w:date="2015-12-14T21:58:00Z"/>
        </w:rPr>
      </w:pPr>
      <w:ins w:id="735" w:author="svcMRProcess" w:date="2015-12-14T21:58:00Z">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ins>
    </w:p>
    <w:p>
      <w:pPr>
        <w:pStyle w:val="nzHeading5"/>
        <w:rPr>
          <w:ins w:id="736" w:author="svcMRProcess" w:date="2015-12-14T21:58:00Z"/>
        </w:rPr>
      </w:pPr>
      <w:bookmarkStart w:id="737" w:name="_Toc116723332"/>
      <w:bookmarkStart w:id="738" w:name="_Toc119215683"/>
      <w:bookmarkStart w:id="739" w:name="_Toc119402155"/>
      <w:bookmarkStart w:id="740" w:name="_Toc136390882"/>
      <w:ins w:id="741" w:author="svcMRProcess" w:date="2015-12-14T21:58:00Z">
        <w:r>
          <w:rPr>
            <w:rStyle w:val="CharSectno"/>
          </w:rPr>
          <w:t>18</w:t>
        </w:r>
        <w:r>
          <w:t>.</w:t>
        </w:r>
        <w:r>
          <w:tab/>
          <w:t>Validation of contributions made for visiting medical practitioners</w:t>
        </w:r>
        <w:bookmarkEnd w:id="737"/>
        <w:bookmarkEnd w:id="738"/>
        <w:bookmarkEnd w:id="739"/>
        <w:bookmarkEnd w:id="740"/>
      </w:ins>
    </w:p>
    <w:p>
      <w:pPr>
        <w:pStyle w:val="nzSubsection"/>
        <w:rPr>
          <w:ins w:id="742" w:author="svcMRProcess" w:date="2015-12-14T21:58:00Z"/>
        </w:rPr>
      </w:pPr>
      <w:ins w:id="743" w:author="svcMRProcess" w:date="2015-12-14T21:58:00Z">
        <w:r>
          <w:tab/>
          <w:t>(1)</w:t>
        </w:r>
        <w:r>
          <w:tab/>
          <w:t xml:space="preserve">In this section — </w:t>
        </w:r>
      </w:ins>
    </w:p>
    <w:p>
      <w:pPr>
        <w:pStyle w:val="nzDefstart"/>
        <w:rPr>
          <w:ins w:id="744" w:author="svcMRProcess" w:date="2015-12-14T21:58:00Z"/>
        </w:rPr>
      </w:pPr>
      <w:ins w:id="745" w:author="svcMRProcess" w:date="2015-12-14T21:58:00Z">
        <w:r>
          <w:rPr>
            <w:b/>
          </w:rPr>
          <w:tab/>
          <w:t>“</w:t>
        </w:r>
        <w:r>
          <w:rPr>
            <w:rStyle w:val="CharDefText"/>
          </w:rPr>
          <w:t>Board</w:t>
        </w:r>
        <w:r>
          <w:rPr>
            <w:b/>
          </w:rPr>
          <w:t>”</w:t>
        </w:r>
        <w:r>
          <w:t xml:space="preserve"> means the Government Employees Superannuation Board referred to in the </w:t>
        </w:r>
        <w:r>
          <w:rPr>
            <w:i/>
            <w:iCs/>
          </w:rPr>
          <w:t>State Superannuation Act 2000</w:t>
        </w:r>
        <w:r>
          <w:t xml:space="preserve"> section 5;</w:t>
        </w:r>
      </w:ins>
    </w:p>
    <w:p>
      <w:pPr>
        <w:pStyle w:val="nzDefstart"/>
        <w:rPr>
          <w:ins w:id="746" w:author="svcMRProcess" w:date="2015-12-14T21:58:00Z"/>
        </w:rPr>
      </w:pPr>
      <w:ins w:id="747" w:author="svcMRProcess" w:date="2015-12-14T21:58:00Z">
        <w:r>
          <w:rPr>
            <w:b/>
          </w:rPr>
          <w:tab/>
          <w:t>“</w:t>
        </w:r>
        <w:r>
          <w:rPr>
            <w:rStyle w:val="CharDefText"/>
          </w:rPr>
          <w:t>visiting medical practitioner</w:t>
        </w:r>
        <w:r>
          <w:rPr>
            <w:b/>
          </w:rPr>
          <w:t>”</w:t>
        </w:r>
        <w:r>
          <w:t xml:space="preserve"> means a medical practitioner engaged, other than as an employee, to provide services in a hospital.</w:t>
        </w:r>
      </w:ins>
    </w:p>
    <w:p>
      <w:pPr>
        <w:pStyle w:val="nzSubsection"/>
        <w:rPr>
          <w:ins w:id="748" w:author="svcMRProcess" w:date="2015-12-14T21:58:00Z"/>
        </w:rPr>
      </w:pPr>
      <w:ins w:id="749" w:author="svcMRProcess" w:date="2015-12-14T21:58:00Z">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ins>
    </w:p>
    <w:p>
      <w:pPr>
        <w:pStyle w:val="nzSubsection"/>
        <w:rPr>
          <w:ins w:id="750" w:author="svcMRProcess" w:date="2015-12-14T21:58:00Z"/>
        </w:rPr>
      </w:pPr>
      <w:ins w:id="751" w:author="svcMRProcess" w:date="2015-12-14T21:58:00Z">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ins>
    </w:p>
    <w:p>
      <w:pPr>
        <w:pStyle w:val="MiscClose"/>
        <w:rPr>
          <w:ins w:id="752" w:author="svcMRProcess" w:date="2015-12-14T21:58:00Z"/>
        </w:rPr>
      </w:pPr>
      <w:ins w:id="753" w:author="svcMRProcess" w:date="2015-12-14T21:58: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Superannuation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C0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20B1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86A6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CEE8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AA44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649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A664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94F6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6E6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8A96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B2DA034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42280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30CA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7643D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8550</Words>
  <Characters>40874</Characters>
  <Application>Microsoft Office Word</Application>
  <DocSecurity>0</DocSecurity>
  <Lines>1135</Lines>
  <Paragraphs>716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48708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00-d0-03 - 00-e0-02</dc:title>
  <dc:subject/>
  <dc:creator/>
  <cp:keywords/>
  <dc:description/>
  <cp:lastModifiedBy>svcMRProcess</cp:lastModifiedBy>
  <cp:revision>2</cp:revision>
  <cp:lastPrinted>2001-02-21T07:58:00Z</cp:lastPrinted>
  <dcterms:created xsi:type="dcterms:W3CDTF">2015-12-14T13:58:00Z</dcterms:created>
  <dcterms:modified xsi:type="dcterms:W3CDTF">2015-12-14T13:58:00Z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20060531</vt:lpwstr>
  </property>
  <property fmtid="{D5CDD505-2E9C-101B-9397-08002B2CF9AE}" pid="4" name="DocumentType">
    <vt:lpwstr>Act</vt:lpwstr>
  </property>
  <property fmtid="{D5CDD505-2E9C-101B-9397-08002B2CF9AE}" pid="5" name="OwlsUID">
    <vt:i4>2027</vt:i4>
  </property>
  <property fmtid="{D5CDD505-2E9C-101B-9397-08002B2CF9AE}" pid="6" name="FromSuffix">
    <vt:lpwstr>00-d0-03</vt:lpwstr>
  </property>
  <property fmtid="{D5CDD505-2E9C-101B-9397-08002B2CF9AE}" pid="7" name="FromAsAtDate">
    <vt:lpwstr>01 Jan 2005</vt:lpwstr>
  </property>
  <property fmtid="{D5CDD505-2E9C-101B-9397-08002B2CF9AE}" pid="8" name="ToSuffix">
    <vt:lpwstr>00-e0-02</vt:lpwstr>
  </property>
  <property fmtid="{D5CDD505-2E9C-101B-9397-08002B2CF9AE}" pid="9" name="ToAsAtDate">
    <vt:lpwstr>31 May 2006</vt:lpwstr>
  </property>
</Properties>
</file>