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02 Sep 2011</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00:09:00Z"/>
        </w:trPr>
        <w:tc>
          <w:tcPr>
            <w:tcW w:w="2434" w:type="dxa"/>
            <w:vMerge w:val="restart"/>
          </w:tcPr>
          <w:p>
            <w:pPr>
              <w:rPr>
                <w:ins w:id="1" w:author="svcMRProcess" w:date="2015-12-09T00:09:00Z"/>
              </w:rPr>
            </w:pPr>
          </w:p>
        </w:tc>
        <w:tc>
          <w:tcPr>
            <w:tcW w:w="2434" w:type="dxa"/>
            <w:vMerge w:val="restart"/>
          </w:tcPr>
          <w:p>
            <w:pPr>
              <w:jc w:val="center"/>
              <w:rPr>
                <w:ins w:id="2" w:author="svcMRProcess" w:date="2015-12-09T00:09:00Z"/>
              </w:rPr>
            </w:pPr>
            <w:ins w:id="3" w:author="svcMRProcess" w:date="2015-12-09T00:0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9T00:09:00Z"/>
              </w:rPr>
            </w:pPr>
            <w:ins w:id="5" w:author="svcMRProcess" w:date="2015-12-09T00:09:00Z">
              <w:r>
                <w:rPr>
                  <w:b/>
                  <w:sz w:val="22"/>
                </w:rPr>
                <w:t xml:space="preserve">Reprinted under the </w:t>
              </w:r>
              <w:r>
                <w:rPr>
                  <w:b/>
                  <w:i/>
                  <w:sz w:val="22"/>
                </w:rPr>
                <w:t>Reprints Act 1984</w:t>
              </w:r>
              <w:r>
                <w:rPr>
                  <w:b/>
                  <w:sz w:val="22"/>
                </w:rPr>
                <w:t xml:space="preserve"> as</w:t>
              </w:r>
            </w:ins>
          </w:p>
        </w:tc>
      </w:tr>
      <w:tr>
        <w:trPr>
          <w:cantSplit/>
          <w:ins w:id="6" w:author="svcMRProcess" w:date="2015-12-09T00:09:00Z"/>
        </w:trPr>
        <w:tc>
          <w:tcPr>
            <w:tcW w:w="2434" w:type="dxa"/>
            <w:vMerge/>
          </w:tcPr>
          <w:p>
            <w:pPr>
              <w:rPr>
                <w:ins w:id="7" w:author="svcMRProcess" w:date="2015-12-09T00:09:00Z"/>
              </w:rPr>
            </w:pPr>
          </w:p>
        </w:tc>
        <w:tc>
          <w:tcPr>
            <w:tcW w:w="2434" w:type="dxa"/>
            <w:vMerge/>
          </w:tcPr>
          <w:p>
            <w:pPr>
              <w:jc w:val="center"/>
              <w:rPr>
                <w:ins w:id="8" w:author="svcMRProcess" w:date="2015-12-09T00:09:00Z"/>
              </w:rPr>
            </w:pPr>
          </w:p>
        </w:tc>
        <w:tc>
          <w:tcPr>
            <w:tcW w:w="2434" w:type="dxa"/>
          </w:tcPr>
          <w:p>
            <w:pPr>
              <w:keepNext/>
              <w:rPr>
                <w:ins w:id="9" w:author="svcMRProcess" w:date="2015-12-09T00:09:00Z"/>
                <w:b/>
                <w:sz w:val="22"/>
              </w:rPr>
            </w:pPr>
            <w:ins w:id="10" w:author="svcMRProcess" w:date="2015-12-09T00:09:00Z">
              <w:r>
                <w:rPr>
                  <w:b/>
                  <w:sz w:val="22"/>
                </w:rPr>
                <w:t>at 2</w:t>
              </w:r>
              <w:r>
                <w:rPr>
                  <w:b/>
                  <w:snapToGrid w:val="0"/>
                  <w:sz w:val="22"/>
                </w:rPr>
                <w:t xml:space="preserve"> September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320"/>
      </w:pPr>
      <w:r>
        <w:t>Business Names Act 1962</w:t>
      </w:r>
    </w:p>
    <w:p>
      <w:pPr>
        <w:pStyle w:val="LongTitle"/>
        <w:rPr>
          <w:snapToGrid w:val="0"/>
        </w:rPr>
      </w:pPr>
      <w:r>
        <w:rPr>
          <w:snapToGrid w:val="0"/>
        </w:rPr>
        <w:t>A</w:t>
      </w:r>
      <w:bookmarkStart w:id="11" w:name="_GoBack"/>
      <w:bookmarkEnd w:id="11"/>
      <w:r>
        <w:rPr>
          <w:snapToGrid w:val="0"/>
        </w:rPr>
        <w:t>n Act to consolidate and amend the law relating to business names and for other purposes.</w:t>
      </w:r>
    </w:p>
    <w:p>
      <w:pPr>
        <w:pStyle w:val="Heading5"/>
        <w:rPr>
          <w:snapToGrid w:val="0"/>
        </w:rPr>
      </w:pPr>
      <w:bookmarkStart w:id="12" w:name="_Toc455635864"/>
      <w:bookmarkStart w:id="13" w:name="_Toc39468326"/>
      <w:bookmarkStart w:id="14" w:name="_Toc303321914"/>
      <w:bookmarkStart w:id="15" w:name="_Toc281485665"/>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16" w:name="_Toc455635865"/>
      <w:bookmarkStart w:id="17" w:name="_Toc39468327"/>
      <w:bookmarkStart w:id="18" w:name="_Toc303321915"/>
      <w:bookmarkStart w:id="19" w:name="_Toc281485666"/>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55635866"/>
      <w:bookmarkStart w:id="21" w:name="_Toc39468328"/>
      <w:bookmarkStart w:id="22" w:name="_Toc303321916"/>
      <w:bookmarkStart w:id="23" w:name="_Toc281485667"/>
      <w:r>
        <w:rPr>
          <w:rStyle w:val="CharSectno"/>
        </w:rPr>
        <w:t>3</w:t>
      </w:r>
      <w:r>
        <w:rPr>
          <w:snapToGrid w:val="0"/>
        </w:rPr>
        <w:t>.</w:t>
      </w:r>
      <w:r>
        <w:rPr>
          <w:snapToGrid w:val="0"/>
        </w:rPr>
        <w:tab/>
        <w:t>Repeal,</w:t>
      </w:r>
      <w:del w:id="24" w:author="svcMRProcess" w:date="2015-12-09T00:09:00Z">
        <w:r>
          <w:rPr>
            <w:snapToGrid w:val="0"/>
          </w:rPr>
          <w:delText xml:space="preserve"> and</w:delText>
        </w:r>
      </w:del>
      <w:r>
        <w:rPr>
          <w:snapToGrid w:val="0"/>
        </w:rPr>
        <w:t xml:space="preserve"> savings and transitional provisions</w:t>
      </w:r>
      <w:bookmarkEnd w:id="20"/>
      <w:bookmarkEnd w:id="21"/>
      <w:bookmarkEnd w:id="22"/>
      <w:bookmarkEnd w:id="23"/>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ins w:id="25" w:author="svcMRProcess" w:date="2015-12-09T00:09:00Z">
        <w:r>
          <w:rPr>
            <w:snapToGrid w:val="0"/>
          </w:rPr>
          <w:t xml:space="preserve"> and</w:t>
        </w:r>
      </w:ins>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26" w:name="_Toc455635867"/>
      <w:bookmarkStart w:id="27" w:name="_Toc39468329"/>
      <w:bookmarkStart w:id="28" w:name="_Toc281485668"/>
      <w:bookmarkStart w:id="29" w:name="_Toc303321917"/>
      <w:r>
        <w:rPr>
          <w:rStyle w:val="CharSectno"/>
        </w:rPr>
        <w:t>4</w:t>
      </w:r>
      <w:r>
        <w:rPr>
          <w:snapToGrid w:val="0"/>
        </w:rPr>
        <w:t>.</w:t>
      </w:r>
      <w:r>
        <w:rPr>
          <w:snapToGrid w:val="0"/>
        </w:rPr>
        <w:tab/>
      </w:r>
      <w:bookmarkEnd w:id="26"/>
      <w:bookmarkEnd w:id="27"/>
      <w:del w:id="30" w:author="svcMRProcess" w:date="2015-12-09T00:09:00Z">
        <w:r>
          <w:rPr>
            <w:snapToGrid w:val="0"/>
          </w:rPr>
          <w:delText>Interpretation</w:delText>
        </w:r>
      </w:del>
      <w:bookmarkEnd w:id="28"/>
      <w:ins w:id="31" w:author="svcMRProcess" w:date="2015-12-09T00:09:00Z">
        <w:r>
          <w:rPr>
            <w:snapToGrid w:val="0"/>
          </w:rPr>
          <w:t>Terms used</w:t>
        </w:r>
      </w:ins>
      <w:bookmarkEnd w:id="29"/>
    </w:p>
    <w:p>
      <w:pPr>
        <w:pStyle w:val="Subsection"/>
        <w:spacing w:before="140"/>
        <w:rPr>
          <w:snapToGrid w:val="0"/>
        </w:rPr>
      </w:pPr>
      <w:r>
        <w:rPr>
          <w:snapToGrid w:val="0"/>
        </w:rPr>
        <w:tab/>
        <w:t>(1)</w:t>
      </w:r>
      <w:r>
        <w:rPr>
          <w:snapToGrid w:val="0"/>
        </w:rPr>
        <w:tab/>
        <w:t>In this Act unless the contrary intention appears —</w:t>
      </w:r>
    </w:p>
    <w:p>
      <w:pPr>
        <w:pStyle w:val="Defstart"/>
        <w:spacing w:before="74"/>
      </w:pPr>
      <w:r>
        <w:rPr>
          <w:b/>
        </w:rPr>
        <w:tab/>
      </w:r>
      <w:r>
        <w:rPr>
          <w:rStyle w:val="CharDefText"/>
        </w:rPr>
        <w:t>business</w:t>
      </w:r>
      <w:r>
        <w:t xml:space="preserve"> includes trade and profession;</w:t>
      </w:r>
    </w:p>
    <w:p>
      <w:pPr>
        <w:pStyle w:val="Defstart"/>
        <w:spacing w:before="74"/>
      </w:pPr>
      <w:r>
        <w:rPr>
          <w:b/>
        </w:rPr>
        <w:tab/>
      </w:r>
      <w:r>
        <w:rPr>
          <w:rStyle w:val="CharDefText"/>
        </w:rPr>
        <w:t>business name</w:t>
      </w:r>
      <w:r>
        <w:t xml:space="preserve"> means a name, style, title or designation under which a business is carried on;</w:t>
      </w:r>
    </w:p>
    <w:p>
      <w:pPr>
        <w:pStyle w:val="Defstart"/>
        <w:spacing w:before="74"/>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spacing w:before="74"/>
      </w:pPr>
      <w:r>
        <w:rPr>
          <w:b/>
        </w:rPr>
        <w:tab/>
      </w:r>
      <w:r>
        <w:rPr>
          <w:rStyle w:val="CharDefText"/>
        </w:rPr>
        <w:t>christian name</w:t>
      </w:r>
      <w:r>
        <w:t xml:space="preserve"> includes any forename;</w:t>
      </w:r>
    </w:p>
    <w:p>
      <w:pPr>
        <w:pStyle w:val="Defstart"/>
        <w:spacing w:before="74"/>
      </w:pPr>
      <w:r>
        <w:tab/>
      </w:r>
      <w:r>
        <w:rPr>
          <w:rStyle w:val="CharDefText"/>
        </w:rPr>
        <w:t>Commissioner</w:t>
      </w:r>
      <w:r>
        <w:t xml:space="preserve"> means the person for the time being designated as the Commissioner under section 4AA;</w:t>
      </w:r>
    </w:p>
    <w:p>
      <w:pPr>
        <w:pStyle w:val="Defstart"/>
        <w:spacing w:before="74"/>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spacing w:before="74"/>
      </w:pPr>
      <w:r>
        <w:tab/>
      </w:r>
      <w:r>
        <w:rPr>
          <w:rStyle w:val="CharDefText"/>
        </w:rPr>
        <w:t>Department</w:t>
      </w:r>
      <w:r>
        <w:t xml:space="preserve"> means the department of the Public Service principally assisting in the administration of this Act;</w:t>
      </w:r>
    </w:p>
    <w:p>
      <w:pPr>
        <w:pStyle w:val="Defstart"/>
        <w:spacing w:before="74"/>
      </w:pPr>
      <w:r>
        <w:rPr>
          <w:b/>
        </w:rPr>
        <w:tab/>
      </w:r>
      <w:r>
        <w:rPr>
          <w:rStyle w:val="CharDefText"/>
        </w:rPr>
        <w:t>director</w:t>
      </w:r>
      <w:r>
        <w:t xml:space="preserve"> in relation to a corporation, includes any person occupying the position of director of the corporation by whatever name called;</w:t>
      </w:r>
    </w:p>
    <w:p>
      <w:pPr>
        <w:pStyle w:val="Defstart"/>
        <w:spacing w:before="74"/>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spacing w:before="74"/>
      </w:pPr>
      <w:r>
        <w:rPr>
          <w:b/>
        </w:rPr>
        <w:tab/>
      </w:r>
      <w:r>
        <w:rPr>
          <w:rStyle w:val="CharDefText"/>
        </w:rPr>
        <w:t>individual</w:t>
      </w:r>
      <w:r>
        <w:t xml:space="preserve"> means a natural person and does not include a corporation;</w:t>
      </w:r>
    </w:p>
    <w:p>
      <w:pPr>
        <w:pStyle w:val="Defstart"/>
        <w:spacing w:before="74"/>
      </w:pPr>
      <w:r>
        <w:rPr>
          <w:b/>
        </w:rPr>
        <w:tab/>
      </w:r>
      <w:r>
        <w:rPr>
          <w:rStyle w:val="CharDefText"/>
        </w:rPr>
        <w:t>initial</w:t>
      </w:r>
      <w:r>
        <w:t xml:space="preserve"> includes a recognised abbreviation of a christian name;</w:t>
      </w:r>
    </w:p>
    <w:p>
      <w:pPr>
        <w:pStyle w:val="Defstart"/>
        <w:spacing w:before="74"/>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ins w:id="32" w:author="svcMRProcess" w:date="2015-12-09T00:09:00Z">
        <w:r>
          <w:rPr>
            <w:snapToGrid w:val="0"/>
          </w:rPr>
          <w:t xml:space="preserve"> or</w:t>
        </w:r>
      </w:ins>
    </w:p>
    <w:p>
      <w:pPr>
        <w:pStyle w:val="Indenta"/>
        <w:rPr>
          <w:snapToGrid w:val="0"/>
        </w:rPr>
      </w:pPr>
      <w:r>
        <w:rPr>
          <w:snapToGrid w:val="0"/>
        </w:rPr>
        <w:tab/>
        <w:t>(b)</w:t>
      </w:r>
      <w:r>
        <w:rPr>
          <w:snapToGrid w:val="0"/>
        </w:rPr>
        <w:tab/>
        <w:t>maintains any bank account;</w:t>
      </w:r>
      <w:ins w:id="33" w:author="svcMRProcess" w:date="2015-12-09T00:09:00Z">
        <w:r>
          <w:rPr>
            <w:snapToGrid w:val="0"/>
          </w:rPr>
          <w:t xml:space="preserve"> or</w:t>
        </w:r>
      </w:ins>
    </w:p>
    <w:p>
      <w:pPr>
        <w:pStyle w:val="Indenta"/>
        <w:rPr>
          <w:snapToGrid w:val="0"/>
        </w:rPr>
      </w:pPr>
      <w:r>
        <w:rPr>
          <w:snapToGrid w:val="0"/>
        </w:rPr>
        <w:tab/>
        <w:t>(c)</w:t>
      </w:r>
      <w:r>
        <w:rPr>
          <w:snapToGrid w:val="0"/>
        </w:rPr>
        <w:tab/>
        <w:t>effects any sale through an independent contractor;</w:t>
      </w:r>
      <w:ins w:id="34" w:author="svcMRProcess" w:date="2015-12-09T00:09:00Z">
        <w:r>
          <w:rPr>
            <w:snapToGrid w:val="0"/>
          </w:rPr>
          <w:t xml:space="preserve"> or</w:t>
        </w:r>
      </w:ins>
    </w:p>
    <w:p>
      <w:pPr>
        <w:pStyle w:val="Indenta"/>
        <w:rPr>
          <w:snapToGrid w:val="0"/>
        </w:rPr>
      </w:pPr>
      <w:r>
        <w:rPr>
          <w:snapToGrid w:val="0"/>
        </w:rPr>
        <w:tab/>
        <w:t>(d)</w:t>
      </w:r>
      <w:r>
        <w:rPr>
          <w:snapToGrid w:val="0"/>
        </w:rPr>
        <w:tab/>
        <w:t>creates evidence of any debt or creates a charge on real or personal property;</w:t>
      </w:r>
      <w:ins w:id="35" w:author="svcMRProcess" w:date="2015-12-09T00:09:00Z">
        <w:r>
          <w:rPr>
            <w:snapToGrid w:val="0"/>
          </w:rPr>
          <w:t xml:space="preserve"> or</w:t>
        </w:r>
      </w:ins>
    </w:p>
    <w:p>
      <w:pPr>
        <w:pStyle w:val="Indenta"/>
        <w:rPr>
          <w:snapToGrid w:val="0"/>
        </w:rPr>
      </w:pPr>
      <w:r>
        <w:rPr>
          <w:snapToGrid w:val="0"/>
        </w:rPr>
        <w:tab/>
        <w:t>(e)</w:t>
      </w:r>
      <w:r>
        <w:rPr>
          <w:snapToGrid w:val="0"/>
        </w:rPr>
        <w:tab/>
        <w:t>secures or collects any of his debts or enforces his rights in regard to any securities relating to those debts;</w:t>
      </w:r>
      <w:ins w:id="36" w:author="svcMRProcess" w:date="2015-12-09T00:09:00Z">
        <w:r>
          <w:rPr>
            <w:snapToGrid w:val="0"/>
          </w:rPr>
          <w:t xml:space="preserve"> or</w:t>
        </w:r>
      </w:ins>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37" w:name="_Toc138750722"/>
      <w:bookmarkStart w:id="38" w:name="_Toc139166463"/>
      <w:bookmarkStart w:id="39" w:name="_Toc139266183"/>
      <w:bookmarkStart w:id="40" w:name="_Toc303321918"/>
      <w:bookmarkStart w:id="41" w:name="_Toc281485669"/>
      <w:bookmarkStart w:id="42" w:name="_Toc455635868"/>
      <w:bookmarkStart w:id="43" w:name="_Toc39468330"/>
      <w:r>
        <w:rPr>
          <w:rStyle w:val="CharSectno"/>
        </w:rPr>
        <w:t>4AA</w:t>
      </w:r>
      <w:r>
        <w:t>.</w:t>
      </w:r>
      <w:r>
        <w:tab/>
        <w:t>Commissioner</w:t>
      </w:r>
      <w:bookmarkEnd w:id="37"/>
      <w:bookmarkEnd w:id="38"/>
      <w:bookmarkEnd w:id="39"/>
      <w:bookmarkEnd w:id="40"/>
      <w:bookmarkEnd w:id="4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spacing w:before="100"/>
        <w:ind w:left="890" w:hanging="890"/>
      </w:pPr>
      <w:r>
        <w:tab/>
        <w:t>[Section 4AA inserted by No. 28 of 2006 s. 56.]</w:t>
      </w:r>
    </w:p>
    <w:p>
      <w:pPr>
        <w:pStyle w:val="Heading5"/>
        <w:rPr>
          <w:snapToGrid w:val="0"/>
        </w:rPr>
      </w:pPr>
      <w:bookmarkStart w:id="44" w:name="_Toc303321919"/>
      <w:bookmarkStart w:id="45" w:name="_Toc281485670"/>
      <w:r>
        <w:rPr>
          <w:rStyle w:val="CharSectno"/>
        </w:rPr>
        <w:t>4A</w:t>
      </w:r>
      <w:r>
        <w:rPr>
          <w:snapToGrid w:val="0"/>
        </w:rPr>
        <w:t>.</w:t>
      </w:r>
      <w:r>
        <w:rPr>
          <w:snapToGrid w:val="0"/>
        </w:rPr>
        <w:tab/>
        <w:t>Arrangements for administration of this Act</w:t>
      </w:r>
      <w:bookmarkEnd w:id="42"/>
      <w:bookmarkEnd w:id="43"/>
      <w:bookmarkEnd w:id="44"/>
      <w:bookmarkEnd w:id="45"/>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spacing w:before="100"/>
        <w:ind w:left="890" w:hanging="890"/>
      </w:pPr>
      <w:r>
        <w:tab/>
        <w:t>[Section 4A inserted by No. 105 of 1990 s. 98; amended by No. 26 of 1999 s. 64.]</w:t>
      </w:r>
    </w:p>
    <w:p>
      <w:pPr>
        <w:pStyle w:val="Heading5"/>
        <w:rPr>
          <w:snapToGrid w:val="0"/>
        </w:rPr>
      </w:pPr>
      <w:bookmarkStart w:id="46" w:name="_Toc455635869"/>
      <w:bookmarkStart w:id="47" w:name="_Toc39468331"/>
      <w:bookmarkStart w:id="48" w:name="_Toc303321920"/>
      <w:bookmarkStart w:id="49" w:name="_Toc281485671"/>
      <w:r>
        <w:rPr>
          <w:rStyle w:val="CharSectno"/>
        </w:rPr>
        <w:t>5</w:t>
      </w:r>
      <w:r>
        <w:rPr>
          <w:snapToGrid w:val="0"/>
        </w:rPr>
        <w:t>.</w:t>
      </w:r>
      <w:r>
        <w:rPr>
          <w:snapToGrid w:val="0"/>
        </w:rPr>
        <w:tab/>
        <w:t>Certain business names to be registered</w:t>
      </w:r>
      <w:bookmarkEnd w:id="46"/>
      <w:bookmarkEnd w:id="47"/>
      <w:bookmarkEnd w:id="48"/>
      <w:bookmarkEnd w:id="49"/>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ins w:id="50" w:author="svcMRProcess" w:date="2015-12-09T00:09:00Z">
        <w:r>
          <w:rPr>
            <w:snapToGrid w:val="0"/>
          </w:rPr>
          <w:t xml:space="preserve"> or</w:t>
        </w:r>
      </w:ins>
    </w:p>
    <w:p>
      <w:pPr>
        <w:pStyle w:val="Indenti"/>
        <w:rPr>
          <w:snapToGrid w:val="0"/>
        </w:rPr>
      </w:pPr>
      <w:r>
        <w:rPr>
          <w:snapToGrid w:val="0"/>
        </w:rPr>
        <w:tab/>
        <w:t>(ii)</w:t>
      </w:r>
      <w:r>
        <w:rPr>
          <w:snapToGrid w:val="0"/>
        </w:rPr>
        <w:tab/>
        <w:t>the initial or initials of his christian name or names;</w:t>
      </w:r>
      <w:ins w:id="51" w:author="svcMRProcess" w:date="2015-12-09T00:09:00Z">
        <w:r>
          <w:rPr>
            <w:snapToGrid w:val="0"/>
          </w:rPr>
          <w:t xml:space="preserve"> or</w:t>
        </w:r>
      </w:ins>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52" w:name="_Toc455635870"/>
      <w:bookmarkStart w:id="53" w:name="_Toc39468332"/>
      <w:bookmarkStart w:id="54" w:name="_Toc303321921"/>
      <w:bookmarkStart w:id="55" w:name="_Toc281485672"/>
      <w:r>
        <w:rPr>
          <w:rStyle w:val="CharSectno"/>
        </w:rPr>
        <w:t>5A</w:t>
      </w:r>
      <w:r>
        <w:rPr>
          <w:snapToGrid w:val="0"/>
        </w:rPr>
        <w:t>.</w:t>
      </w:r>
      <w:r>
        <w:rPr>
          <w:snapToGrid w:val="0"/>
        </w:rPr>
        <w:tab/>
        <w:t>Leave of District Court required in certain cases before using business name</w:t>
      </w:r>
      <w:bookmarkEnd w:id="52"/>
      <w:bookmarkEnd w:id="53"/>
      <w:bookmarkEnd w:id="54"/>
      <w:bookmarkEnd w:id="55"/>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ins w:id="56" w:author="svcMRProcess" w:date="2015-12-09T00:09:00Z">
        <w:r>
          <w:rPr>
            <w:snapToGrid w:val="0"/>
          </w:rPr>
          <w:t xml:space="preserve"> or</w:t>
        </w:r>
      </w:ins>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t>
      </w:r>
      <w:smartTag w:uri="urn:schemas-microsoft-com:office:smarttags" w:element="State">
        <w:r>
          <w:rPr>
            <w:i/>
            <w:kern w:val="2"/>
          </w:rPr>
          <w:t>Western Australia</w:t>
        </w:r>
      </w:smartTag>
      <w:r>
        <w:rPr>
          <w:i/>
          <w:kern w:val="2"/>
        </w:rPr>
        <w:t>) Code</w:t>
      </w:r>
      <w:ins w:id="57" w:author="svcMRProcess" w:date="2015-12-09T00:09:00Z">
        <w:r>
          <w:rPr>
            <w:snapToGrid w:val="0"/>
            <w:vertAlign w:val="superscript"/>
          </w:rPr>
          <w:t> 3</w:t>
        </w:r>
      </w:ins>
      <w:r>
        <w:rPr>
          <w:kern w:val="2"/>
        </w:rPr>
        <w:t xml:space="preserve">, section 44 of the </w:t>
      </w:r>
      <w:r>
        <w:rPr>
          <w:i/>
          <w:kern w:val="2"/>
        </w:rPr>
        <w:t>Companies (Acquisition of Shares) (</w:t>
      </w:r>
      <w:smartTag w:uri="urn:schemas-microsoft-com:office:smarttags" w:element="State">
        <w:r>
          <w:rPr>
            <w:i/>
            <w:kern w:val="2"/>
          </w:rPr>
          <w:t>Western Australia</w:t>
        </w:r>
      </w:smartTag>
      <w:r>
        <w:rPr>
          <w:i/>
          <w:kern w:val="2"/>
        </w:rPr>
        <w:t>) Code</w:t>
      </w:r>
      <w:ins w:id="58" w:author="svcMRProcess" w:date="2015-12-09T00:09:00Z">
        <w:r>
          <w:rPr>
            <w:snapToGrid w:val="0"/>
            <w:vertAlign w:val="superscript"/>
          </w:rPr>
          <w:t> 3</w:t>
        </w:r>
      </w:ins>
      <w:r>
        <w:rPr>
          <w:kern w:val="2"/>
        </w:rPr>
        <w:t xml:space="preserve"> or section 129 of the </w:t>
      </w:r>
      <w:r>
        <w:rPr>
          <w:i/>
          <w:kern w:val="2"/>
        </w:rPr>
        <w:t>Securities Industry (</w:t>
      </w:r>
      <w:smartTag w:uri="urn:schemas-microsoft-com:office:smarttags" w:element="place">
        <w:smartTag w:uri="urn:schemas-microsoft-com:office:smarttags" w:element="State">
          <w:r>
            <w:rPr>
              <w:i/>
              <w:kern w:val="2"/>
            </w:rPr>
            <w:t>Western Australia</w:t>
          </w:r>
        </w:smartTag>
      </w:smartTag>
      <w:r>
        <w:rPr>
          <w:i/>
          <w:kern w:val="2"/>
        </w:rPr>
        <w:t>) Code</w:t>
      </w:r>
      <w:del w:id="59" w:author="svcMRProcess" w:date="2015-12-09T00:09:00Z">
        <w:r>
          <w:rPr>
            <w:kern w:val="2"/>
          </w:rPr>
          <w:delText>;</w:delText>
        </w:r>
      </w:del>
      <w:ins w:id="60" w:author="svcMRProcess" w:date="2015-12-09T00:09:00Z">
        <w:r>
          <w:rPr>
            <w:snapToGrid w:val="0"/>
            <w:vertAlign w:val="superscript"/>
          </w:rPr>
          <w:t> 3</w:t>
        </w:r>
        <w:r>
          <w:rPr>
            <w:kern w:val="2"/>
          </w:rPr>
          <w:t>; or</w:t>
        </w:r>
      </w:ins>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ins w:id="61" w:author="svcMRProcess" w:date="2015-12-09T00:09:00Z">
        <w:r>
          <w:rPr>
            <w:kern w:val="2"/>
          </w:rPr>
          <w:t xml:space="preserve"> or</w:t>
        </w:r>
      </w:ins>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ins w:id="62" w:author="svcMRProcess" w:date="2015-12-09T00:09:00Z">
        <w:r>
          <w:rPr>
            <w:kern w:val="2"/>
          </w:rPr>
          <w:t xml:space="preserve"> or</w:t>
        </w:r>
      </w:ins>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63" w:name="_Toc455635871"/>
      <w:bookmarkStart w:id="64" w:name="_Toc39468333"/>
      <w:bookmarkStart w:id="65" w:name="_Toc303321922"/>
      <w:bookmarkStart w:id="66" w:name="_Toc281485673"/>
      <w:r>
        <w:rPr>
          <w:rStyle w:val="CharSectno"/>
        </w:rPr>
        <w:t>6</w:t>
      </w:r>
      <w:r>
        <w:rPr>
          <w:snapToGrid w:val="0"/>
        </w:rPr>
        <w:t>.</w:t>
      </w:r>
      <w:r>
        <w:rPr>
          <w:snapToGrid w:val="0"/>
        </w:rPr>
        <w:tab/>
        <w:t>Register of business names</w:t>
      </w:r>
      <w:bookmarkEnd w:id="63"/>
      <w:bookmarkEnd w:id="64"/>
      <w:bookmarkEnd w:id="65"/>
      <w:bookmarkEnd w:id="66"/>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67" w:name="_Toc455635872"/>
      <w:bookmarkStart w:id="68" w:name="_Toc39468334"/>
      <w:bookmarkStart w:id="69" w:name="_Toc303321923"/>
      <w:bookmarkStart w:id="70" w:name="_Toc281485674"/>
      <w:r>
        <w:rPr>
          <w:rStyle w:val="CharSectno"/>
        </w:rPr>
        <w:t>7</w:t>
      </w:r>
      <w:r>
        <w:rPr>
          <w:snapToGrid w:val="0"/>
        </w:rPr>
        <w:t>.</w:t>
      </w:r>
      <w:r>
        <w:rPr>
          <w:snapToGrid w:val="0"/>
        </w:rPr>
        <w:tab/>
        <w:t>Registration of business names</w:t>
      </w:r>
      <w:bookmarkEnd w:id="67"/>
      <w:bookmarkEnd w:id="68"/>
      <w:bookmarkEnd w:id="69"/>
      <w:bookmarkEnd w:id="70"/>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ins w:id="71" w:author="svcMRProcess" w:date="2015-12-09T00:09:00Z">
        <w:r>
          <w:rPr>
            <w:snapToGrid w:val="0"/>
          </w:rPr>
          <w:t xml:space="preserve"> and</w:t>
        </w:r>
      </w:ins>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ins w:id="72" w:author="svcMRProcess" w:date="2015-12-09T00:09:00Z">
        <w:r>
          <w:rPr>
            <w:snapToGrid w:val="0"/>
          </w:rPr>
          <w:t xml:space="preserve"> and</w:t>
        </w:r>
      </w:ins>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ins w:id="73" w:author="svcMRProcess" w:date="2015-12-09T00:09:00Z">
        <w:r>
          <w:rPr>
            <w:snapToGrid w:val="0"/>
          </w:rPr>
          <w:t xml:space="preserve"> and</w:t>
        </w:r>
      </w:ins>
    </w:p>
    <w:p>
      <w:pPr>
        <w:pStyle w:val="Indenta"/>
      </w:pPr>
      <w:r>
        <w:tab/>
        <w:t>(ca)</w:t>
      </w:r>
      <w:r>
        <w:tab/>
        <w:t>the address of the place in the State where a notice given under this Act may be served;</w:t>
      </w:r>
      <w:ins w:id="74" w:author="svcMRProcess" w:date="2015-12-09T00:09:00Z">
        <w:r>
          <w:t xml:space="preserve"> and</w:t>
        </w:r>
      </w:ins>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ins w:id="75" w:author="svcMRProcess" w:date="2015-12-09T00:09:00Z">
        <w:r>
          <w:rPr>
            <w:snapToGrid w:val="0"/>
          </w:rPr>
          <w:t xml:space="preserve"> and</w:t>
        </w:r>
      </w:ins>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76" w:name="_Toc455635874"/>
      <w:bookmarkStart w:id="77" w:name="_Toc39468336"/>
      <w:r>
        <w:t>[</w:t>
      </w:r>
      <w:r>
        <w:rPr>
          <w:b/>
        </w:rPr>
        <w:t>8.</w:t>
      </w:r>
      <w:r>
        <w:tab/>
        <w:t>Deleted by No. 74 of 2003 s. 31(4).]</w:t>
      </w:r>
    </w:p>
    <w:p>
      <w:pPr>
        <w:pStyle w:val="Heading5"/>
        <w:rPr>
          <w:snapToGrid w:val="0"/>
        </w:rPr>
      </w:pPr>
      <w:bookmarkStart w:id="78" w:name="_Toc303321924"/>
      <w:bookmarkStart w:id="79" w:name="_Toc281485675"/>
      <w:r>
        <w:rPr>
          <w:rStyle w:val="CharSectno"/>
        </w:rPr>
        <w:t>9</w:t>
      </w:r>
      <w:r>
        <w:rPr>
          <w:snapToGrid w:val="0"/>
        </w:rPr>
        <w:t>.</w:t>
      </w:r>
      <w:r>
        <w:rPr>
          <w:snapToGrid w:val="0"/>
        </w:rPr>
        <w:tab/>
        <w:t>Restriction on registration of business names that are undesirable</w:t>
      </w:r>
      <w:del w:id="80" w:author="svcMRProcess" w:date="2015-12-09T00:09:00Z">
        <w:r>
          <w:rPr>
            <w:snapToGrid w:val="0"/>
          </w:rPr>
          <w:delText>,</w:delText>
        </w:r>
      </w:del>
      <w:r>
        <w:rPr>
          <w:snapToGrid w:val="0"/>
        </w:rPr>
        <w:t xml:space="preserve"> etc.</w:t>
      </w:r>
      <w:bookmarkEnd w:id="76"/>
      <w:bookmarkEnd w:id="77"/>
      <w:bookmarkEnd w:id="78"/>
      <w:bookmarkEnd w:id="79"/>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81" w:name="_Toc455635875"/>
      <w:bookmarkStart w:id="82" w:name="_Toc39468337"/>
      <w:bookmarkStart w:id="83" w:name="_Toc303321925"/>
      <w:bookmarkStart w:id="84" w:name="_Toc281485676"/>
      <w:r>
        <w:rPr>
          <w:rStyle w:val="CharSectno"/>
        </w:rPr>
        <w:t>10</w:t>
      </w:r>
      <w:r>
        <w:rPr>
          <w:snapToGrid w:val="0"/>
        </w:rPr>
        <w:t>.</w:t>
      </w:r>
      <w:r>
        <w:rPr>
          <w:snapToGrid w:val="0"/>
        </w:rPr>
        <w:tab/>
        <w:t>Power to cancel registration of business names that are undesirable</w:t>
      </w:r>
      <w:del w:id="85" w:author="svcMRProcess" w:date="2015-12-09T00:09:00Z">
        <w:r>
          <w:rPr>
            <w:snapToGrid w:val="0"/>
          </w:rPr>
          <w:delText>,</w:delText>
        </w:r>
      </w:del>
      <w:r>
        <w:rPr>
          <w:snapToGrid w:val="0"/>
        </w:rPr>
        <w:t xml:space="preserve"> etc.</w:t>
      </w:r>
      <w:bookmarkEnd w:id="81"/>
      <w:bookmarkEnd w:id="82"/>
      <w:bookmarkEnd w:id="83"/>
      <w:bookmarkEnd w:id="84"/>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86" w:name="_Toc455635876"/>
      <w:bookmarkStart w:id="87" w:name="_Toc39468338"/>
      <w:bookmarkStart w:id="88" w:name="_Toc303321926"/>
      <w:bookmarkStart w:id="89" w:name="_Toc281485677"/>
      <w:r>
        <w:rPr>
          <w:rStyle w:val="CharSectno"/>
        </w:rPr>
        <w:t>11</w:t>
      </w:r>
      <w:r>
        <w:rPr>
          <w:snapToGrid w:val="0"/>
        </w:rPr>
        <w:t>.</w:t>
      </w:r>
      <w:r>
        <w:rPr>
          <w:snapToGrid w:val="0"/>
        </w:rPr>
        <w:tab/>
        <w:t>Renewal of registration</w:t>
      </w:r>
      <w:bookmarkEnd w:id="86"/>
      <w:bookmarkEnd w:id="87"/>
      <w:bookmarkEnd w:id="88"/>
      <w:bookmarkEnd w:id="89"/>
    </w:p>
    <w:p>
      <w:pPr>
        <w:pStyle w:val="Subsection"/>
        <w:spacing w:before="150"/>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spacing w:before="150"/>
      </w:pPr>
      <w:r>
        <w:tab/>
        <w:t>(1a)</w:t>
      </w:r>
      <w:r>
        <w:tab/>
        <w:t>If, and to the extent that, the fee referred to in subsection (1) is a tax, this subsection imposes the tax.</w:t>
      </w:r>
    </w:p>
    <w:p>
      <w:pPr>
        <w:pStyle w:val="Subsection"/>
        <w:spacing w:before="150"/>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spacing w:before="150"/>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ins w:id="90" w:author="svcMRProcess" w:date="2015-12-09T00:09:00Z">
        <w:r>
          <w:rPr>
            <w:snapToGrid w:val="0"/>
          </w:rPr>
          <w:t xml:space="preserve"> and</w:t>
        </w:r>
      </w:ins>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ins w:id="91" w:author="svcMRProcess" w:date="2015-12-09T00:09:00Z">
        <w:r>
          <w:rPr>
            <w:snapToGrid w:val="0"/>
          </w:rPr>
          <w:t xml:space="preserve"> and</w:t>
        </w:r>
      </w:ins>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92" w:name="_Toc455635877"/>
      <w:bookmarkStart w:id="93" w:name="_Toc39468339"/>
      <w:bookmarkStart w:id="94" w:name="_Toc303321927"/>
      <w:bookmarkStart w:id="95" w:name="_Toc281485678"/>
      <w:r>
        <w:rPr>
          <w:rStyle w:val="CharSectno"/>
        </w:rPr>
        <w:t>12</w:t>
      </w:r>
      <w:r>
        <w:rPr>
          <w:snapToGrid w:val="0"/>
        </w:rPr>
        <w:t>.</w:t>
      </w:r>
      <w:r>
        <w:rPr>
          <w:snapToGrid w:val="0"/>
        </w:rPr>
        <w:tab/>
        <w:t>Notification of changes of particulars relating to registered business names, cessation of business</w:t>
      </w:r>
      <w:del w:id="96" w:author="svcMRProcess" w:date="2015-12-09T00:09:00Z">
        <w:r>
          <w:rPr>
            <w:snapToGrid w:val="0"/>
          </w:rPr>
          <w:delText>,</w:delText>
        </w:r>
      </w:del>
      <w:r>
        <w:rPr>
          <w:snapToGrid w:val="0"/>
        </w:rPr>
        <w:t xml:space="preserve"> etc.</w:t>
      </w:r>
      <w:bookmarkEnd w:id="92"/>
      <w:bookmarkEnd w:id="93"/>
      <w:bookmarkEnd w:id="94"/>
      <w:bookmarkEnd w:id="95"/>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ins w:id="97" w:author="svcMRProcess" w:date="2015-12-09T00:09:00Z">
        <w:r>
          <w:rPr>
            <w:snapToGrid w:val="0"/>
          </w:rPr>
          <w:t xml:space="preserve"> or</w:t>
        </w:r>
      </w:ins>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98" w:name="_Toc455635878"/>
      <w:bookmarkStart w:id="99" w:name="_Toc39468340"/>
      <w:bookmarkStart w:id="100" w:name="_Toc303321928"/>
      <w:bookmarkStart w:id="101" w:name="_Toc281485679"/>
      <w:r>
        <w:rPr>
          <w:rStyle w:val="CharSectno"/>
        </w:rPr>
        <w:t>13</w:t>
      </w:r>
      <w:r>
        <w:rPr>
          <w:snapToGrid w:val="0"/>
        </w:rPr>
        <w:t>.</w:t>
      </w:r>
      <w:r>
        <w:rPr>
          <w:snapToGrid w:val="0"/>
        </w:rPr>
        <w:tab/>
        <w:t>Duty to furnish information</w:t>
      </w:r>
      <w:bookmarkEnd w:id="98"/>
      <w:bookmarkEnd w:id="99"/>
      <w:bookmarkEnd w:id="100"/>
      <w:bookmarkEnd w:id="101"/>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del w:id="102" w:author="svcMRProcess" w:date="2015-12-09T00:09:00Z"/>
          <w:snapToGrid w:val="0"/>
        </w:rPr>
      </w:pPr>
      <w:bookmarkStart w:id="103" w:name="_Toc281485680"/>
      <w:bookmarkStart w:id="104" w:name="_Toc455635879"/>
      <w:bookmarkStart w:id="105" w:name="_Toc39468341"/>
      <w:bookmarkStart w:id="106" w:name="_Toc303321929"/>
      <w:del w:id="107" w:author="svcMRProcess" w:date="2015-12-09T00:09:00Z">
        <w:r>
          <w:rPr>
            <w:rStyle w:val="CharSectno"/>
          </w:rPr>
          <w:delText>14</w:delText>
        </w:r>
        <w:r>
          <w:rPr>
            <w:snapToGrid w:val="0"/>
          </w:rPr>
          <w:delText>.</w:delText>
        </w:r>
        <w:r>
          <w:rPr>
            <w:snapToGrid w:val="0"/>
          </w:rPr>
          <w:tab/>
          <w:delText>Disability of person in default</w:delText>
        </w:r>
        <w:bookmarkEnd w:id="103"/>
      </w:del>
    </w:p>
    <w:p>
      <w:pPr>
        <w:pStyle w:val="Heading5"/>
        <w:rPr>
          <w:ins w:id="108" w:author="svcMRProcess" w:date="2015-12-09T00:09:00Z"/>
          <w:snapToGrid w:val="0"/>
        </w:rPr>
      </w:pPr>
      <w:ins w:id="109" w:author="svcMRProcess" w:date="2015-12-09T00:09:00Z">
        <w:r>
          <w:rPr>
            <w:rStyle w:val="CharSectno"/>
          </w:rPr>
          <w:t>14</w:t>
        </w:r>
        <w:r>
          <w:rPr>
            <w:snapToGrid w:val="0"/>
          </w:rPr>
          <w:t>.</w:t>
        </w:r>
        <w:r>
          <w:rPr>
            <w:snapToGrid w:val="0"/>
          </w:rPr>
          <w:tab/>
        </w:r>
        <w:bookmarkEnd w:id="104"/>
        <w:bookmarkEnd w:id="105"/>
        <w:r>
          <w:rPr>
            <w:snapToGrid w:val="0"/>
          </w:rPr>
          <w:t>Certain proceedings may be stayed or subject to undertaking</w:t>
        </w:r>
        <w:bookmarkEnd w:id="106"/>
      </w:ins>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 xml:space="preserve">The power given by this section to a court may be exercised in the case of the Supreme Court by a </w:t>
      </w:r>
      <w:del w:id="110" w:author="svcMRProcess" w:date="2015-12-09T00:09:00Z">
        <w:r>
          <w:rPr>
            <w:snapToGrid w:val="0"/>
          </w:rPr>
          <w:delText>Judge</w:delText>
        </w:r>
      </w:del>
      <w:ins w:id="111" w:author="svcMRProcess" w:date="2015-12-09T00:09:00Z">
        <w:r>
          <w:rPr>
            <w:snapToGrid w:val="0"/>
          </w:rPr>
          <w:t>judge</w:t>
        </w:r>
      </w:ins>
      <w:r>
        <w:rPr>
          <w:snapToGrid w:val="0"/>
        </w:rPr>
        <w:t xml:space="preserve"> in chambers, in the case of The District Court of Western Australia by a </w:t>
      </w:r>
      <w:del w:id="112" w:author="svcMRProcess" w:date="2015-12-09T00:09:00Z">
        <w:r>
          <w:rPr>
            <w:snapToGrid w:val="0"/>
          </w:rPr>
          <w:delText>Judge</w:delText>
        </w:r>
      </w:del>
      <w:ins w:id="113" w:author="svcMRProcess" w:date="2015-12-09T00:09:00Z">
        <w:r>
          <w:rPr>
            <w:snapToGrid w:val="0"/>
          </w:rPr>
          <w:t>judge</w:t>
        </w:r>
      </w:ins>
      <w:r>
        <w:rPr>
          <w:snapToGrid w:val="0"/>
        </w:rPr>
        <w:t xml:space="preserve"> in chambers</w:t>
      </w:r>
      <w:r>
        <w:t xml:space="preserve"> or in the case of the </w:t>
      </w:r>
      <w:smartTag w:uri="urn:schemas-microsoft-com:office:smarttags" w:element="Street">
        <w:smartTag w:uri="urn:schemas-microsoft-com:office:smarttags" w:element="address">
          <w:r>
            <w:t>Magistrates Court</w:t>
          </w:r>
        </w:smartTag>
      </w:smartTag>
      <w:r>
        <w:t xml:space="preserve">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114" w:name="_Toc455635880"/>
      <w:bookmarkStart w:id="115" w:name="_Toc39468342"/>
      <w:bookmarkStart w:id="116" w:name="_Toc303321930"/>
      <w:bookmarkStart w:id="117" w:name="_Toc281485681"/>
      <w:r>
        <w:rPr>
          <w:rStyle w:val="CharSectno"/>
        </w:rPr>
        <w:t>15</w:t>
      </w:r>
      <w:r>
        <w:rPr>
          <w:snapToGrid w:val="0"/>
        </w:rPr>
        <w:t>.</w:t>
      </w:r>
      <w:r>
        <w:rPr>
          <w:snapToGrid w:val="0"/>
        </w:rPr>
        <w:tab/>
        <w:t>Signing of statements</w:t>
      </w:r>
      <w:bookmarkEnd w:id="114"/>
      <w:bookmarkEnd w:id="115"/>
      <w:bookmarkEnd w:id="116"/>
      <w:bookmarkEnd w:id="117"/>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118" w:name="_Toc455635881"/>
      <w:bookmarkStart w:id="119" w:name="_Toc39468343"/>
      <w:bookmarkStart w:id="120" w:name="_Toc303321931"/>
      <w:bookmarkStart w:id="121" w:name="_Toc281485682"/>
      <w:r>
        <w:rPr>
          <w:rStyle w:val="CharSectno"/>
        </w:rPr>
        <w:t>16</w:t>
      </w:r>
      <w:r>
        <w:rPr>
          <w:snapToGrid w:val="0"/>
        </w:rPr>
        <w:t>.</w:t>
      </w:r>
      <w:r>
        <w:rPr>
          <w:snapToGrid w:val="0"/>
        </w:rPr>
        <w:tab/>
        <w:t>Verification of particulars</w:t>
      </w:r>
      <w:bookmarkEnd w:id="118"/>
      <w:bookmarkEnd w:id="119"/>
      <w:bookmarkEnd w:id="120"/>
      <w:bookmarkEnd w:id="121"/>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122" w:name="_Toc455635882"/>
      <w:bookmarkStart w:id="123" w:name="_Toc39468344"/>
      <w:bookmarkStart w:id="124" w:name="_Toc303321932"/>
      <w:bookmarkStart w:id="125" w:name="_Toc281485683"/>
      <w:r>
        <w:rPr>
          <w:rStyle w:val="CharSectno"/>
        </w:rPr>
        <w:t>17</w:t>
      </w:r>
      <w:r>
        <w:rPr>
          <w:snapToGrid w:val="0"/>
        </w:rPr>
        <w:t>.</w:t>
      </w:r>
      <w:r>
        <w:rPr>
          <w:snapToGrid w:val="0"/>
        </w:rPr>
        <w:tab/>
        <w:t>Penalty for false statement</w:t>
      </w:r>
      <w:bookmarkEnd w:id="122"/>
      <w:bookmarkEnd w:id="123"/>
      <w:bookmarkEnd w:id="124"/>
      <w:bookmarkEnd w:id="125"/>
    </w:p>
    <w:p>
      <w:pPr>
        <w:pStyle w:val="Subsection"/>
        <w:spacing w:before="120"/>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spacing w:before="60"/>
        <w:rPr>
          <w:snapToGrid w:val="0"/>
        </w:rPr>
      </w:pPr>
      <w:r>
        <w:rPr>
          <w:snapToGrid w:val="0"/>
        </w:rPr>
        <w:tab/>
        <w:t>Penalty: $1 000.</w:t>
      </w:r>
    </w:p>
    <w:p>
      <w:pPr>
        <w:pStyle w:val="Footnotesection"/>
        <w:spacing w:before="80"/>
        <w:ind w:left="890" w:hanging="890"/>
      </w:pPr>
      <w:r>
        <w:tab/>
        <w:t>[Section 17 amended by No. 113 of 1965 s. 8; No. 40 of 1976 s. 12; No. 78 of 1995 s. 147.]</w:t>
      </w:r>
    </w:p>
    <w:p>
      <w:pPr>
        <w:pStyle w:val="Heading5"/>
        <w:spacing w:before="180"/>
        <w:rPr>
          <w:snapToGrid w:val="0"/>
        </w:rPr>
      </w:pPr>
      <w:bookmarkStart w:id="126" w:name="_Toc455635883"/>
      <w:bookmarkStart w:id="127" w:name="_Toc39468345"/>
      <w:bookmarkStart w:id="128" w:name="_Toc303321933"/>
      <w:bookmarkStart w:id="129" w:name="_Toc281485684"/>
      <w:r>
        <w:rPr>
          <w:rStyle w:val="CharSectno"/>
        </w:rPr>
        <w:t>18</w:t>
      </w:r>
      <w:r>
        <w:rPr>
          <w:snapToGrid w:val="0"/>
        </w:rPr>
        <w:t>.</w:t>
      </w:r>
      <w:r>
        <w:rPr>
          <w:snapToGrid w:val="0"/>
        </w:rPr>
        <w:tab/>
        <w:t>Notice of proposed cancellation</w:t>
      </w:r>
      <w:bookmarkEnd w:id="126"/>
      <w:bookmarkEnd w:id="127"/>
      <w:bookmarkEnd w:id="128"/>
      <w:bookmarkEnd w:id="129"/>
    </w:p>
    <w:p>
      <w:pPr>
        <w:pStyle w:val="Subsection"/>
        <w:spacing w:before="120"/>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60"/>
        <w:rPr>
          <w:snapToGrid w:val="0"/>
        </w:rPr>
      </w:pPr>
      <w:r>
        <w:rPr>
          <w:snapToGrid w:val="0"/>
        </w:rPr>
        <w:tab/>
        <w:t>(a)</w:t>
      </w:r>
      <w:r>
        <w:rPr>
          <w:snapToGrid w:val="0"/>
        </w:rPr>
        <w:tab/>
        <w:t>enquiring whether the person is or the persons are carrying on business under the name; and</w:t>
      </w:r>
    </w:p>
    <w:p>
      <w:pPr>
        <w:pStyle w:val="Indenta"/>
        <w:spacing w:before="6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spacing w:before="120"/>
        <w:rPr>
          <w:snapToGrid w:val="0"/>
        </w:rPr>
      </w:pPr>
      <w:r>
        <w:rPr>
          <w:snapToGrid w:val="0"/>
        </w:rPr>
        <w:tab/>
      </w:r>
      <w:r>
        <w:rPr>
          <w:snapToGrid w:val="0"/>
        </w:rPr>
        <w:tab/>
        <w:t>the registration of the business name may be cancelled.</w:t>
      </w:r>
    </w:p>
    <w:p>
      <w:pPr>
        <w:pStyle w:val="Subsection"/>
        <w:spacing w:before="120"/>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6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130" w:name="_Toc455635884"/>
      <w:bookmarkStart w:id="131" w:name="_Toc39468346"/>
      <w:bookmarkStart w:id="132" w:name="_Toc303321934"/>
      <w:bookmarkStart w:id="133" w:name="_Toc281485685"/>
      <w:r>
        <w:rPr>
          <w:rStyle w:val="CharSectno"/>
        </w:rPr>
        <w:t>19</w:t>
      </w:r>
      <w:r>
        <w:rPr>
          <w:snapToGrid w:val="0"/>
        </w:rPr>
        <w:t>.</w:t>
      </w:r>
      <w:r>
        <w:rPr>
          <w:snapToGrid w:val="0"/>
        </w:rPr>
        <w:tab/>
        <w:t>Cancellation of registration</w:t>
      </w:r>
      <w:bookmarkEnd w:id="130"/>
      <w:bookmarkEnd w:id="131"/>
      <w:bookmarkEnd w:id="132"/>
      <w:bookmarkEnd w:id="133"/>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ins w:id="134" w:author="svcMRProcess" w:date="2015-12-09T00:09:00Z">
        <w:r>
          <w:rPr>
            <w:snapToGrid w:val="0"/>
            <w:spacing w:val="-4"/>
          </w:rPr>
          <w:t xml:space="preserve"> or</w:t>
        </w:r>
      </w:ins>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ins w:id="135" w:author="svcMRProcess" w:date="2015-12-09T00:09:00Z">
        <w:r>
          <w:rPr>
            <w:rFonts w:ascii="Times" w:hAnsi="Times"/>
            <w:snapToGrid w:val="0"/>
          </w:rPr>
          <w:t xml:space="preserve"> or</w:t>
        </w:r>
      </w:ins>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136" w:name="_Toc455635885"/>
      <w:bookmarkStart w:id="137" w:name="_Toc39468347"/>
      <w:bookmarkStart w:id="138" w:name="_Toc303321935"/>
      <w:bookmarkStart w:id="139" w:name="_Toc281485686"/>
      <w:r>
        <w:rPr>
          <w:rStyle w:val="CharSectno"/>
        </w:rPr>
        <w:t>20</w:t>
      </w:r>
      <w:r>
        <w:rPr>
          <w:snapToGrid w:val="0"/>
        </w:rPr>
        <w:t>.</w:t>
      </w:r>
      <w:r>
        <w:rPr>
          <w:snapToGrid w:val="0"/>
        </w:rPr>
        <w:tab/>
        <w:t>Use and exhibition of business name</w:t>
      </w:r>
      <w:bookmarkEnd w:id="136"/>
      <w:bookmarkEnd w:id="137"/>
      <w:bookmarkEnd w:id="138"/>
      <w:bookmarkEnd w:id="139"/>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ins w:id="140" w:author="svcMRProcess" w:date="2015-12-09T00:09:00Z">
        <w:r>
          <w:rPr>
            <w:snapToGrid w:val="0"/>
          </w:rPr>
          <w:t xml:space="preserve"> and</w:t>
        </w:r>
      </w:ins>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141" w:name="_Toc455635886"/>
      <w:bookmarkStart w:id="142" w:name="_Toc39468348"/>
      <w:bookmarkStart w:id="143" w:name="_Toc303321936"/>
      <w:bookmarkStart w:id="144" w:name="_Toc281485687"/>
      <w:r>
        <w:rPr>
          <w:rStyle w:val="CharSectno"/>
        </w:rPr>
        <w:t>21</w:t>
      </w:r>
      <w:r>
        <w:rPr>
          <w:snapToGrid w:val="0"/>
        </w:rPr>
        <w:t>.</w:t>
      </w:r>
      <w:r>
        <w:rPr>
          <w:snapToGrid w:val="0"/>
        </w:rPr>
        <w:tab/>
        <w:t>Commissioner may correct errors in register</w:t>
      </w:r>
      <w:del w:id="145" w:author="svcMRProcess" w:date="2015-12-09T00:09:00Z">
        <w:r>
          <w:rPr>
            <w:snapToGrid w:val="0"/>
          </w:rPr>
          <w:delText>,</w:delText>
        </w:r>
      </w:del>
      <w:r>
        <w:rPr>
          <w:snapToGrid w:val="0"/>
        </w:rPr>
        <w:t xml:space="preserve"> etc.</w:t>
      </w:r>
      <w:bookmarkEnd w:id="141"/>
      <w:bookmarkEnd w:id="142"/>
      <w:bookmarkEnd w:id="143"/>
      <w:bookmarkEnd w:id="144"/>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146" w:name="_Toc455635887"/>
      <w:bookmarkStart w:id="147" w:name="_Toc39468349"/>
      <w:bookmarkStart w:id="148" w:name="_Toc303321937"/>
      <w:bookmarkStart w:id="149" w:name="_Toc281485688"/>
      <w:r>
        <w:rPr>
          <w:rStyle w:val="CharSectno"/>
        </w:rPr>
        <w:t>22</w:t>
      </w:r>
      <w:r>
        <w:rPr>
          <w:snapToGrid w:val="0"/>
        </w:rPr>
        <w:t>.</w:t>
      </w:r>
      <w:r>
        <w:rPr>
          <w:snapToGrid w:val="0"/>
        </w:rPr>
        <w:tab/>
        <w:t>Inspection of statements</w:t>
      </w:r>
      <w:bookmarkEnd w:id="146"/>
      <w:bookmarkEnd w:id="147"/>
      <w:bookmarkEnd w:id="148"/>
      <w:bookmarkEnd w:id="149"/>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150" w:name="_Toc455635888"/>
      <w:bookmarkStart w:id="151" w:name="_Toc39468350"/>
      <w:bookmarkStart w:id="152" w:name="_Toc303321938"/>
      <w:bookmarkStart w:id="153" w:name="_Toc281485689"/>
      <w:r>
        <w:rPr>
          <w:rStyle w:val="CharSectno"/>
        </w:rPr>
        <w:t>23</w:t>
      </w:r>
      <w:r>
        <w:rPr>
          <w:snapToGrid w:val="0"/>
        </w:rPr>
        <w:t>.</w:t>
      </w:r>
      <w:r>
        <w:rPr>
          <w:snapToGrid w:val="0"/>
        </w:rPr>
        <w:tab/>
        <w:t>Certificate of registration or non</w:t>
      </w:r>
      <w:r>
        <w:rPr>
          <w:snapToGrid w:val="0"/>
        </w:rPr>
        <w:noBreakHyphen/>
        <w:t>registration</w:t>
      </w:r>
      <w:bookmarkEnd w:id="150"/>
      <w:bookmarkEnd w:id="151"/>
      <w:bookmarkEnd w:id="152"/>
      <w:bookmarkEnd w:id="153"/>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154" w:name="_Toc455635889"/>
      <w:bookmarkStart w:id="155" w:name="_Toc39468351"/>
      <w:bookmarkStart w:id="156" w:name="_Toc303321939"/>
      <w:bookmarkStart w:id="157" w:name="_Toc281485690"/>
      <w:r>
        <w:rPr>
          <w:rStyle w:val="CharSectno"/>
        </w:rPr>
        <w:t>24</w:t>
      </w:r>
      <w:r>
        <w:rPr>
          <w:snapToGrid w:val="0"/>
        </w:rPr>
        <w:t>.</w:t>
      </w:r>
      <w:r>
        <w:rPr>
          <w:snapToGrid w:val="0"/>
        </w:rPr>
        <w:tab/>
        <w:t>Evidence of registration or non</w:t>
      </w:r>
      <w:r>
        <w:rPr>
          <w:snapToGrid w:val="0"/>
        </w:rPr>
        <w:noBreakHyphen/>
        <w:t>registration</w:t>
      </w:r>
      <w:bookmarkEnd w:id="154"/>
      <w:bookmarkEnd w:id="155"/>
      <w:bookmarkEnd w:id="156"/>
      <w:bookmarkEnd w:id="157"/>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ins w:id="158" w:author="svcMRProcess" w:date="2015-12-09T00:09:00Z">
        <w:r>
          <w:rPr>
            <w:snapToGrid w:val="0"/>
          </w:rPr>
          <w:t xml:space="preserve"> or</w:t>
        </w:r>
      </w:ins>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ins w:id="159" w:author="svcMRProcess" w:date="2015-12-09T00:09:00Z">
        <w:r>
          <w:rPr>
            <w:snapToGrid w:val="0"/>
          </w:rPr>
          <w:t xml:space="preserve"> or</w:t>
        </w:r>
      </w:ins>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160" w:name="_Toc455635890"/>
      <w:bookmarkStart w:id="161" w:name="_Toc39468352"/>
      <w:bookmarkStart w:id="162" w:name="_Toc303321940"/>
      <w:bookmarkStart w:id="163" w:name="_Toc281485691"/>
      <w:r>
        <w:rPr>
          <w:rStyle w:val="CharSectno"/>
        </w:rPr>
        <w:t>25</w:t>
      </w:r>
      <w:r>
        <w:rPr>
          <w:snapToGrid w:val="0"/>
        </w:rPr>
        <w:t>.</w:t>
      </w:r>
      <w:r>
        <w:rPr>
          <w:snapToGrid w:val="0"/>
        </w:rPr>
        <w:tab/>
        <w:t xml:space="preserve">Authority of Commissioner to destroy </w:t>
      </w:r>
      <w:ins w:id="164" w:author="svcMRProcess" w:date="2015-12-09T00:09:00Z">
        <w:r>
          <w:rPr>
            <w:snapToGrid w:val="0"/>
          </w:rPr>
          <w:t xml:space="preserve">or dispose of </w:t>
        </w:r>
      </w:ins>
      <w:r>
        <w:rPr>
          <w:snapToGrid w:val="0"/>
        </w:rPr>
        <w:t>documents</w:t>
      </w:r>
      <w:bookmarkEnd w:id="160"/>
      <w:bookmarkEnd w:id="161"/>
      <w:bookmarkEnd w:id="162"/>
      <w:del w:id="165" w:author="svcMRProcess" w:date="2015-12-09T00:09:00Z">
        <w:r>
          <w:rPr>
            <w:snapToGrid w:val="0"/>
          </w:rPr>
          <w:delText xml:space="preserve"> and validation</w:delText>
        </w:r>
      </w:del>
      <w:bookmarkEnd w:id="163"/>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166" w:name="_Toc455635891"/>
      <w:bookmarkStart w:id="167" w:name="_Toc39468353"/>
      <w:bookmarkStart w:id="168" w:name="_Toc303321941"/>
      <w:bookmarkStart w:id="169" w:name="_Toc281485692"/>
      <w:r>
        <w:rPr>
          <w:rStyle w:val="CharSectno"/>
        </w:rPr>
        <w:t>26</w:t>
      </w:r>
      <w:r>
        <w:rPr>
          <w:snapToGrid w:val="0"/>
        </w:rPr>
        <w:t>.</w:t>
      </w:r>
      <w:r>
        <w:rPr>
          <w:snapToGrid w:val="0"/>
        </w:rPr>
        <w:tab/>
        <w:t>Invitations to the public to make deposits or loans</w:t>
      </w:r>
      <w:bookmarkEnd w:id="166"/>
      <w:bookmarkEnd w:id="167"/>
      <w:bookmarkEnd w:id="168"/>
      <w:bookmarkEnd w:id="169"/>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ins w:id="170" w:author="svcMRProcess" w:date="2015-12-09T00:09:00Z">
        <w:r>
          <w:rPr>
            <w:snapToGrid w:val="0"/>
          </w:rPr>
          <w:t xml:space="preserve"> or</w:t>
        </w:r>
      </w:ins>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ins w:id="171" w:author="svcMRProcess" w:date="2015-12-09T00:09:00Z">
        <w:r>
          <w:rPr>
            <w:snapToGrid w:val="0"/>
          </w:rPr>
          <w:t xml:space="preserve"> or</w:t>
        </w:r>
      </w:ins>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172" w:name="_Toc455635892"/>
      <w:bookmarkStart w:id="173" w:name="_Toc39468354"/>
      <w:bookmarkStart w:id="174" w:name="_Toc303321942"/>
      <w:bookmarkStart w:id="175" w:name="_Toc281485693"/>
      <w:r>
        <w:rPr>
          <w:rStyle w:val="CharSectno"/>
        </w:rPr>
        <w:t>27</w:t>
      </w:r>
      <w:r>
        <w:rPr>
          <w:snapToGrid w:val="0"/>
        </w:rPr>
        <w:t>.</w:t>
      </w:r>
      <w:r>
        <w:rPr>
          <w:snapToGrid w:val="0"/>
        </w:rPr>
        <w:tab/>
        <w:t>General penalty provisions</w:t>
      </w:r>
      <w:bookmarkEnd w:id="172"/>
      <w:bookmarkEnd w:id="173"/>
      <w:bookmarkEnd w:id="174"/>
      <w:bookmarkEnd w:id="175"/>
    </w:p>
    <w:p>
      <w:pPr>
        <w:pStyle w:val="Subsection"/>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does that which by or under this Act he is forbidden to do;</w:t>
      </w:r>
      <w:ins w:id="176" w:author="svcMRProcess" w:date="2015-12-09T00:09:00Z">
        <w:r>
          <w:rPr>
            <w:snapToGrid w:val="0"/>
          </w:rPr>
          <w:t xml:space="preserve"> or</w:t>
        </w:r>
      </w:ins>
    </w:p>
    <w:p>
      <w:pPr>
        <w:pStyle w:val="Indenta"/>
        <w:spacing w:before="60"/>
        <w:rPr>
          <w:snapToGrid w:val="0"/>
        </w:rPr>
      </w:pPr>
      <w:r>
        <w:rPr>
          <w:snapToGrid w:val="0"/>
        </w:rPr>
        <w:tab/>
        <w:t>(b)</w:t>
      </w:r>
      <w:r>
        <w:rPr>
          <w:snapToGrid w:val="0"/>
        </w:rPr>
        <w:tab/>
        <w:t>does not do that which by or under this Act he is required or directed to do; or</w:t>
      </w:r>
    </w:p>
    <w:p>
      <w:pPr>
        <w:pStyle w:val="Indenta"/>
        <w:spacing w:before="60"/>
        <w:rPr>
          <w:snapToGrid w:val="0"/>
        </w:rPr>
      </w:pPr>
      <w:r>
        <w:rPr>
          <w:snapToGrid w:val="0"/>
        </w:rPr>
        <w:tab/>
        <w:t>(c)</w:t>
      </w:r>
      <w:r>
        <w:rPr>
          <w:snapToGrid w:val="0"/>
        </w:rPr>
        <w:tab/>
        <w:t>otherwise contravenes or fails to comply with any provision of this Act,</w:t>
      </w:r>
    </w:p>
    <w:p>
      <w:pPr>
        <w:pStyle w:val="Subsection"/>
        <w:spacing w:before="120"/>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177" w:name="_Toc455635893"/>
      <w:bookmarkStart w:id="178" w:name="_Toc39468355"/>
      <w:bookmarkStart w:id="179" w:name="_Toc303321943"/>
      <w:bookmarkStart w:id="180" w:name="_Toc281485694"/>
      <w:r>
        <w:rPr>
          <w:rStyle w:val="CharSectno"/>
        </w:rPr>
        <w:t>28</w:t>
      </w:r>
      <w:r>
        <w:rPr>
          <w:snapToGrid w:val="0"/>
        </w:rPr>
        <w:t>.</w:t>
      </w:r>
      <w:r>
        <w:rPr>
          <w:snapToGrid w:val="0"/>
        </w:rPr>
        <w:tab/>
        <w:t>Default penalty</w:t>
      </w:r>
      <w:bookmarkEnd w:id="177"/>
      <w:bookmarkEnd w:id="178"/>
      <w:bookmarkEnd w:id="179"/>
      <w:bookmarkEnd w:id="180"/>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181" w:name="_Toc455635894"/>
      <w:bookmarkStart w:id="182" w:name="_Toc39468356"/>
      <w:bookmarkStart w:id="183" w:name="_Toc303321944"/>
      <w:bookmarkStart w:id="184" w:name="_Toc281485695"/>
      <w:r>
        <w:rPr>
          <w:rStyle w:val="CharSectno"/>
        </w:rPr>
        <w:t>29</w:t>
      </w:r>
      <w:r>
        <w:rPr>
          <w:snapToGrid w:val="0"/>
        </w:rPr>
        <w:t>.</w:t>
      </w:r>
      <w:r>
        <w:rPr>
          <w:snapToGrid w:val="0"/>
        </w:rPr>
        <w:tab/>
        <w:t>Offences committed by corporations</w:t>
      </w:r>
      <w:bookmarkEnd w:id="181"/>
      <w:bookmarkEnd w:id="182"/>
      <w:bookmarkEnd w:id="183"/>
      <w:bookmarkEnd w:id="184"/>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185" w:name="_Toc455635895"/>
      <w:bookmarkStart w:id="186" w:name="_Toc39468357"/>
      <w:bookmarkStart w:id="187" w:name="_Toc303321945"/>
      <w:bookmarkStart w:id="188" w:name="_Toc281485696"/>
      <w:r>
        <w:rPr>
          <w:rStyle w:val="CharSectno"/>
        </w:rPr>
        <w:t>30</w:t>
      </w:r>
      <w:r>
        <w:rPr>
          <w:snapToGrid w:val="0"/>
        </w:rPr>
        <w:t>.</w:t>
      </w:r>
      <w:r>
        <w:rPr>
          <w:snapToGrid w:val="0"/>
        </w:rPr>
        <w:tab/>
        <w:t>Evidentiary provisions</w:t>
      </w:r>
      <w:bookmarkEnd w:id="185"/>
      <w:bookmarkEnd w:id="186"/>
      <w:bookmarkEnd w:id="187"/>
      <w:bookmarkEnd w:id="188"/>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189" w:name="_Toc455635896"/>
      <w:bookmarkStart w:id="190" w:name="_Toc39468358"/>
      <w:bookmarkStart w:id="191" w:name="_Toc281485697"/>
      <w:bookmarkStart w:id="192" w:name="_Toc303321946"/>
      <w:r>
        <w:rPr>
          <w:rStyle w:val="CharSectno"/>
        </w:rPr>
        <w:t>31</w:t>
      </w:r>
      <w:r>
        <w:rPr>
          <w:snapToGrid w:val="0"/>
        </w:rPr>
        <w:t>.</w:t>
      </w:r>
      <w:r>
        <w:rPr>
          <w:snapToGrid w:val="0"/>
        </w:rPr>
        <w:tab/>
      </w:r>
      <w:del w:id="193" w:author="svcMRProcess" w:date="2015-12-09T00:09:00Z">
        <w:r>
          <w:rPr>
            <w:snapToGrid w:val="0"/>
          </w:rPr>
          <w:delText>As to service</w:delText>
        </w:r>
      </w:del>
      <w:ins w:id="194" w:author="svcMRProcess" w:date="2015-12-09T00:09:00Z">
        <w:r>
          <w:rPr>
            <w:snapToGrid w:val="0"/>
          </w:rPr>
          <w:t>Service</w:t>
        </w:r>
      </w:ins>
      <w:r>
        <w:rPr>
          <w:snapToGrid w:val="0"/>
        </w:rPr>
        <w:t xml:space="preserve"> of notices</w:t>
      </w:r>
      <w:bookmarkEnd w:id="189"/>
      <w:bookmarkEnd w:id="190"/>
      <w:bookmarkEnd w:id="191"/>
      <w:ins w:id="195" w:author="svcMRProcess" w:date="2015-12-09T00:09:00Z">
        <w:r>
          <w:rPr>
            <w:snapToGrid w:val="0"/>
          </w:rPr>
          <w:t xml:space="preserve"> by Commissioner</w:t>
        </w:r>
      </w:ins>
      <w:bookmarkEnd w:id="192"/>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ins w:id="196" w:author="svcMRProcess" w:date="2015-12-09T00:09:00Z">
        <w:r>
          <w:t xml:space="preserve"> or</w:t>
        </w:r>
      </w:ins>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97" w:name="_Toc138750724"/>
      <w:bookmarkStart w:id="198" w:name="_Toc139166465"/>
      <w:bookmarkStart w:id="199" w:name="_Toc139266185"/>
      <w:bookmarkStart w:id="200" w:name="_Toc303321947"/>
      <w:bookmarkStart w:id="201" w:name="_Toc281485698"/>
      <w:bookmarkStart w:id="202" w:name="_Toc455635897"/>
      <w:bookmarkStart w:id="203" w:name="_Toc39468359"/>
      <w:r>
        <w:rPr>
          <w:rStyle w:val="CharSectno"/>
        </w:rPr>
        <w:t>31A</w:t>
      </w:r>
      <w:r>
        <w:t>.</w:t>
      </w:r>
      <w:r>
        <w:tab/>
        <w:t>Delegation by Commissioner</w:t>
      </w:r>
      <w:bookmarkEnd w:id="197"/>
      <w:bookmarkEnd w:id="198"/>
      <w:bookmarkEnd w:id="199"/>
      <w:bookmarkEnd w:id="200"/>
      <w:bookmarkEnd w:id="20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04" w:name="_Toc138750725"/>
      <w:bookmarkStart w:id="205" w:name="_Toc139166466"/>
      <w:bookmarkStart w:id="206" w:name="_Toc139266186"/>
      <w:r>
        <w:tab/>
        <w:t>[Section 31A inserted by No. 28 of 2006 s. 57.]</w:t>
      </w:r>
    </w:p>
    <w:p>
      <w:pPr>
        <w:pStyle w:val="Heading5"/>
      </w:pPr>
      <w:bookmarkStart w:id="207" w:name="_Toc303321948"/>
      <w:bookmarkStart w:id="208" w:name="_Toc281485699"/>
      <w:r>
        <w:rPr>
          <w:rStyle w:val="CharSectno"/>
        </w:rPr>
        <w:t>31B</w:t>
      </w:r>
      <w:r>
        <w:t>.</w:t>
      </w:r>
      <w:r>
        <w:tab/>
        <w:t>Information officially obtained to be confidential</w:t>
      </w:r>
      <w:bookmarkEnd w:id="204"/>
      <w:bookmarkEnd w:id="205"/>
      <w:bookmarkEnd w:id="206"/>
      <w:bookmarkEnd w:id="207"/>
      <w:bookmarkEnd w:id="20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209" w:author="svcMRProcess" w:date="2015-12-09T00:09:00Z">
        <w:r>
          <w:t xml:space="preserve"> or</w:t>
        </w:r>
      </w:ins>
    </w:p>
    <w:p>
      <w:pPr>
        <w:pStyle w:val="Indenta"/>
      </w:pPr>
      <w:r>
        <w:tab/>
        <w:t>(b)</w:t>
      </w:r>
      <w:r>
        <w:tab/>
        <w:t>under this Act;</w:t>
      </w:r>
      <w:ins w:id="210" w:author="svcMRProcess" w:date="2015-12-09T00:09:00Z">
        <w:r>
          <w:t xml:space="preserve"> or</w:t>
        </w:r>
      </w:ins>
    </w:p>
    <w:p>
      <w:pPr>
        <w:pStyle w:val="Indenta"/>
      </w:pPr>
      <w:r>
        <w:tab/>
        <w:t>(c)</w:t>
      </w:r>
      <w:r>
        <w:tab/>
        <w:t>for the purposes of the investigation of any suspected offence or the conduct of proceedings against any person for an offence;</w:t>
      </w:r>
      <w:ins w:id="211" w:author="svcMRProcess" w:date="2015-12-09T00:09: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12" w:name="_Toc138750726"/>
      <w:bookmarkStart w:id="213" w:name="_Toc139166467"/>
      <w:bookmarkStart w:id="214" w:name="_Toc139266187"/>
      <w:r>
        <w:tab/>
        <w:t>[Section 31B inserted by No. 28 of 2006 s. 57.]</w:t>
      </w:r>
    </w:p>
    <w:p>
      <w:pPr>
        <w:pStyle w:val="Heading5"/>
      </w:pPr>
      <w:bookmarkStart w:id="215" w:name="_Toc303321949"/>
      <w:bookmarkStart w:id="216" w:name="_Toc281485700"/>
      <w:r>
        <w:rPr>
          <w:rStyle w:val="CharSectno"/>
        </w:rPr>
        <w:t>31C</w:t>
      </w:r>
      <w:r>
        <w:t>.</w:t>
      </w:r>
      <w:r>
        <w:tab/>
        <w:t>Protection from liability for wrongdoing</w:t>
      </w:r>
      <w:bookmarkEnd w:id="212"/>
      <w:bookmarkEnd w:id="213"/>
      <w:bookmarkEnd w:id="214"/>
      <w:bookmarkEnd w:id="215"/>
      <w:bookmarkEnd w:id="21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17" w:name="_Toc138750727"/>
      <w:bookmarkStart w:id="218" w:name="_Toc139166468"/>
      <w:bookmarkStart w:id="219" w:name="_Toc139266188"/>
      <w:r>
        <w:tab/>
        <w:t>[Section 31C inserted by No. 28 of 2006 s. 57.]</w:t>
      </w:r>
    </w:p>
    <w:p>
      <w:pPr>
        <w:pStyle w:val="Heading5"/>
      </w:pPr>
      <w:bookmarkStart w:id="220" w:name="_Toc281466476"/>
      <w:bookmarkStart w:id="221" w:name="_Toc303321950"/>
      <w:bookmarkStart w:id="222" w:name="_Toc281485701"/>
      <w:bookmarkEnd w:id="217"/>
      <w:bookmarkEnd w:id="218"/>
      <w:bookmarkEnd w:id="219"/>
      <w:r>
        <w:rPr>
          <w:rStyle w:val="CharSectno"/>
        </w:rPr>
        <w:t>31D</w:t>
      </w:r>
      <w:r>
        <w:t>.</w:t>
      </w:r>
      <w:r>
        <w:tab/>
        <w:t>Powers of investigation</w:t>
      </w:r>
      <w:bookmarkEnd w:id="220"/>
      <w:bookmarkEnd w:id="221"/>
      <w:bookmarkEnd w:id="22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31D inserted by No. 58 of 2010 s. 185.]</w:t>
      </w:r>
    </w:p>
    <w:p>
      <w:pPr>
        <w:pStyle w:val="Heading5"/>
        <w:spacing w:before="180"/>
        <w:rPr>
          <w:snapToGrid w:val="0"/>
        </w:rPr>
      </w:pPr>
      <w:bookmarkStart w:id="223" w:name="_Toc303321951"/>
      <w:bookmarkStart w:id="224" w:name="_Toc281485702"/>
      <w:r>
        <w:rPr>
          <w:rStyle w:val="CharSectno"/>
        </w:rPr>
        <w:t>32</w:t>
      </w:r>
      <w:r>
        <w:rPr>
          <w:snapToGrid w:val="0"/>
        </w:rPr>
        <w:t>.</w:t>
      </w:r>
      <w:r>
        <w:rPr>
          <w:snapToGrid w:val="0"/>
        </w:rPr>
        <w:tab/>
        <w:t>Regulations</w:t>
      </w:r>
      <w:bookmarkEnd w:id="202"/>
      <w:bookmarkEnd w:id="203"/>
      <w:bookmarkEnd w:id="223"/>
      <w:bookmarkEnd w:id="224"/>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ins w:id="225" w:author="svcMRProcess" w:date="2015-12-09T00:09:00Z">
        <w:r>
          <w:rPr>
            <w:snapToGrid w:val="0"/>
          </w:rPr>
          <w:t xml:space="preserve"> and</w:t>
        </w:r>
      </w:ins>
    </w:p>
    <w:p>
      <w:pPr>
        <w:pStyle w:val="Indenta"/>
        <w:rPr>
          <w:snapToGrid w:val="0"/>
        </w:rPr>
      </w:pPr>
      <w:r>
        <w:rPr>
          <w:snapToGrid w:val="0"/>
        </w:rPr>
        <w:tab/>
        <w:t>(b)</w:t>
      </w:r>
      <w:r>
        <w:rPr>
          <w:snapToGrid w:val="0"/>
        </w:rPr>
        <w:tab/>
        <w:t>the conditions under and subject to which fees may be waived by the Commissioner or the Minister;</w:t>
      </w:r>
      <w:ins w:id="226" w:author="svcMRProcess" w:date="2015-12-09T00:09:00Z">
        <w:r>
          <w:rPr>
            <w:snapToGrid w:val="0"/>
          </w:rPr>
          <w:t xml:space="preserve"> and</w:t>
        </w:r>
      </w:ins>
    </w:p>
    <w:p>
      <w:pPr>
        <w:pStyle w:val="Indenta"/>
        <w:rPr>
          <w:snapToGrid w:val="0"/>
        </w:rPr>
      </w:pPr>
      <w:r>
        <w:rPr>
          <w:snapToGrid w:val="0"/>
        </w:rPr>
        <w:tab/>
        <w:t>(c)</w:t>
      </w:r>
      <w:r>
        <w:rPr>
          <w:snapToGrid w:val="0"/>
        </w:rPr>
        <w:tab/>
        <w:t>the imposition of additional fees on the late lodgment of documents;</w:t>
      </w:r>
      <w:ins w:id="227" w:author="svcMRProcess" w:date="2015-12-09T00:09:00Z">
        <w:r>
          <w:rPr>
            <w:snapToGrid w:val="0"/>
          </w:rPr>
          <w:t xml:space="preserve"> and</w:t>
        </w:r>
      </w:ins>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ins w:id="228" w:author="svcMRProcess" w:date="2015-12-09T00:09:00Z">
        <w:r>
          <w:rPr>
            <w:snapToGrid w:val="0"/>
          </w:rPr>
          <w:t xml:space="preserve"> and</w:t>
        </w:r>
      </w:ins>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ins w:id="229" w:author="svcMRProcess" w:date="2015-12-09T00:09:00Z">
        <w:r>
          <w:rPr>
            <w:snapToGrid w:val="0"/>
          </w:rPr>
          <w:t xml:space="preserve"> and</w:t>
        </w:r>
      </w:ins>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230" w:name="_Toc117059024"/>
      <w:bookmarkStart w:id="231" w:name="_Toc117300649"/>
      <w:bookmarkStart w:id="232" w:name="_Toc117660403"/>
      <w:bookmarkStart w:id="233" w:name="_Toc139343201"/>
      <w:bookmarkStart w:id="234" w:name="_Toc139441604"/>
      <w:bookmarkStart w:id="235" w:name="_Toc268178104"/>
      <w:bookmarkStart w:id="236" w:name="_Toc272046720"/>
      <w:bookmarkStart w:id="237" w:name="_Toc280091873"/>
      <w:bookmarkStart w:id="238" w:name="_Toc281485703"/>
      <w:bookmarkStart w:id="239" w:name="_Toc299544188"/>
      <w:bookmarkStart w:id="240" w:name="_Toc299963631"/>
      <w:bookmarkStart w:id="241" w:name="_Toc300038535"/>
      <w:bookmarkStart w:id="242" w:name="_Toc300038626"/>
      <w:bookmarkStart w:id="243" w:name="_Toc300038683"/>
      <w:bookmarkStart w:id="244" w:name="_Toc302379619"/>
      <w:bookmarkStart w:id="245" w:name="_Toc302380073"/>
      <w:bookmarkStart w:id="246" w:name="_Toc303321952"/>
      <w:r>
        <w:rPr>
          <w:rStyle w:val="CharSchNo"/>
        </w:rPr>
        <w:t>Schedule</w:t>
      </w:r>
      <w:bookmarkEnd w:id="230"/>
      <w:bookmarkEnd w:id="231"/>
      <w:bookmarkEnd w:id="232"/>
      <w:bookmarkEnd w:id="233"/>
      <w:bookmarkEnd w:id="234"/>
      <w:r>
        <w:rPr>
          <w:rStyle w:val="CharSDivNo"/>
        </w:rPr>
        <w:t> </w:t>
      </w:r>
      <w:r>
        <w:t>—</w:t>
      </w:r>
      <w:r>
        <w:rPr>
          <w:rStyle w:val="CharSDivText"/>
        </w:rPr>
        <w:t> </w:t>
      </w:r>
      <w:r>
        <w:rPr>
          <w:rStyle w:val="CharSchText"/>
        </w:rPr>
        <w:t>Acts repealed</w:t>
      </w:r>
      <w:bookmarkEnd w:id="235"/>
      <w:bookmarkEnd w:id="236"/>
      <w:bookmarkEnd w:id="237"/>
      <w:bookmarkEnd w:id="238"/>
      <w:bookmarkEnd w:id="239"/>
      <w:bookmarkEnd w:id="240"/>
      <w:bookmarkEnd w:id="241"/>
      <w:bookmarkEnd w:id="242"/>
      <w:bookmarkEnd w:id="243"/>
      <w:bookmarkEnd w:id="244"/>
      <w:bookmarkEnd w:id="245"/>
      <w:bookmarkEnd w:id="246"/>
    </w:p>
    <w:p>
      <w:pPr>
        <w:pStyle w:val="yShoulderClause"/>
      </w:pPr>
      <w:r>
        <w:t>[s. 3(1)]</w:t>
      </w:r>
    </w:p>
    <w:p>
      <w:pPr>
        <w:pStyle w:val="yFootnoteheading"/>
        <w:spacing w:after="120"/>
      </w:pPr>
      <w:r>
        <w:tab/>
        <w:t>[Heading amended by No. 19 of 2010 s. 4.]</w:t>
      </w:r>
    </w:p>
    <w:tbl>
      <w:tblPr>
        <w:tblW w:w="0" w:type="auto"/>
        <w:tblInd w:w="85" w:type="dxa"/>
        <w:tblBorders>
          <w:top w:val="single" w:sz="4" w:space="0" w:color="auto"/>
          <w:bottom w:val="single" w:sz="4" w:space="0" w:color="auto"/>
          <w:insideH w:val="single" w:sz="4" w:space="0" w:color="auto"/>
        </w:tblBorders>
        <w:tblLayout w:type="fixed"/>
        <w:tblCellMar>
          <w:left w:w="85" w:type="dxa"/>
          <w:right w:w="85" w:type="dxa"/>
        </w:tblCellMar>
        <w:tblLook w:val="0000" w:firstRow="0" w:lastRow="0" w:firstColumn="0" w:lastColumn="0" w:noHBand="0" w:noVBand="0"/>
      </w:tblPr>
      <w:tblGrid>
        <w:gridCol w:w="1539"/>
        <w:gridCol w:w="4218"/>
        <w:gridCol w:w="1311"/>
      </w:tblGrid>
      <w:tr>
        <w:tc>
          <w:tcPr>
            <w:tcW w:w="1539" w:type="dxa"/>
          </w:tcPr>
          <w:p>
            <w:pPr>
              <w:pStyle w:val="yTableNAm"/>
              <w:spacing w:before="60" w:after="60"/>
              <w:rPr>
                <w:b/>
                <w:szCs w:val="22"/>
              </w:rPr>
            </w:pPr>
            <w:r>
              <w:rPr>
                <w:b/>
                <w:szCs w:val="22"/>
              </w:rPr>
              <w:t>Number of</w:t>
            </w:r>
            <w:del w:id="247" w:author="svcMRProcess" w:date="2015-12-09T00:09:00Z">
              <w:r>
                <w:rPr>
                  <w:b/>
                  <w:sz w:val="20"/>
                </w:rPr>
                <w:delText xml:space="preserve"> </w:delText>
              </w:r>
            </w:del>
            <w:ins w:id="248" w:author="svcMRProcess" w:date="2015-12-09T00:09:00Z">
              <w:r>
                <w:rPr>
                  <w:b/>
                  <w:szCs w:val="22"/>
                </w:rPr>
                <w:t> </w:t>
              </w:r>
            </w:ins>
            <w:r>
              <w:rPr>
                <w:b/>
                <w:szCs w:val="22"/>
              </w:rPr>
              <w:t>Act</w:t>
            </w:r>
          </w:p>
        </w:tc>
        <w:tc>
          <w:tcPr>
            <w:tcW w:w="4218" w:type="dxa"/>
          </w:tcPr>
          <w:p>
            <w:pPr>
              <w:pStyle w:val="yTableNAm"/>
              <w:spacing w:before="60" w:after="60"/>
              <w:rPr>
                <w:b/>
                <w:szCs w:val="22"/>
              </w:rPr>
            </w:pPr>
            <w:r>
              <w:rPr>
                <w:b/>
                <w:szCs w:val="22"/>
              </w:rPr>
              <w:t>Title of Act</w:t>
            </w:r>
          </w:p>
        </w:tc>
        <w:tc>
          <w:tcPr>
            <w:tcW w:w="1311" w:type="dxa"/>
          </w:tcPr>
          <w:p>
            <w:pPr>
              <w:pStyle w:val="yTableNAm"/>
              <w:spacing w:before="60" w:after="60"/>
              <w:rPr>
                <w:b/>
                <w:szCs w:val="22"/>
              </w:rPr>
            </w:pPr>
            <w:r>
              <w:rPr>
                <w:b/>
                <w:szCs w:val="22"/>
              </w:rPr>
              <w:t xml:space="preserve">Extent of </w:t>
            </w:r>
            <w:del w:id="249" w:author="svcMRProcess" w:date="2015-12-09T00:09:00Z">
              <w:r>
                <w:rPr>
                  <w:b/>
                  <w:sz w:val="20"/>
                </w:rPr>
                <w:delText>Repeal</w:delText>
              </w:r>
            </w:del>
            <w:ins w:id="250" w:author="svcMRProcess" w:date="2015-12-09T00:09:00Z">
              <w:r>
                <w:rPr>
                  <w:b/>
                  <w:szCs w:val="22"/>
                </w:rPr>
                <w:t>repeal</w:t>
              </w:r>
            </w:ins>
          </w:p>
        </w:tc>
      </w:tr>
      <w:tr>
        <w:trPr>
          <w:trHeight w:val="614"/>
        </w:trPr>
        <w:tc>
          <w:tcPr>
            <w:tcW w:w="1539" w:type="dxa"/>
          </w:tcPr>
          <w:p>
            <w:pPr>
              <w:pStyle w:val="yTableNAm"/>
              <w:spacing w:before="60"/>
              <w:rPr>
                <w:szCs w:val="22"/>
              </w:rPr>
            </w:pPr>
            <w:r>
              <w:rPr>
                <w:szCs w:val="22"/>
              </w:rPr>
              <w:t>2 of 1943</w:t>
            </w:r>
          </w:p>
          <w:p>
            <w:pPr>
              <w:pStyle w:val="yTableNAm"/>
              <w:spacing w:before="60" w:after="60"/>
              <w:rPr>
                <w:szCs w:val="22"/>
              </w:rPr>
            </w:pPr>
            <w:r>
              <w:rPr>
                <w:szCs w:val="22"/>
              </w:rPr>
              <w:t>11 of 1946</w:t>
            </w:r>
          </w:p>
        </w:tc>
        <w:tc>
          <w:tcPr>
            <w:tcW w:w="4218" w:type="dxa"/>
          </w:tcPr>
          <w:p>
            <w:pPr>
              <w:pStyle w:val="yTableNAm"/>
              <w:spacing w:before="60"/>
              <w:rPr>
                <w:szCs w:val="22"/>
              </w:rPr>
            </w:pPr>
            <w:r>
              <w:rPr>
                <w:i/>
                <w:szCs w:val="22"/>
              </w:rPr>
              <w:t>Business Names Act 1942</w:t>
            </w:r>
          </w:p>
          <w:p>
            <w:pPr>
              <w:pStyle w:val="yTableNAm"/>
              <w:spacing w:before="60" w:after="60"/>
              <w:rPr>
                <w:szCs w:val="22"/>
              </w:rPr>
            </w:pPr>
            <w:r>
              <w:rPr>
                <w:i/>
                <w:szCs w:val="22"/>
              </w:rPr>
              <w:t>Business Names Act Amendment Act 1946</w:t>
            </w:r>
          </w:p>
        </w:tc>
        <w:tc>
          <w:tcPr>
            <w:tcW w:w="1311" w:type="dxa"/>
          </w:tcPr>
          <w:p>
            <w:pPr>
              <w:pStyle w:val="yTableNAm"/>
              <w:spacing w:before="60"/>
              <w:rPr>
                <w:szCs w:val="22"/>
              </w:rPr>
            </w:pPr>
            <w:r>
              <w:rPr>
                <w:szCs w:val="22"/>
              </w:rPr>
              <w:t>The whole.</w:t>
            </w:r>
          </w:p>
          <w:p>
            <w:pPr>
              <w:pStyle w:val="yTableNAm"/>
              <w:spacing w:before="60" w:after="60"/>
              <w:rPr>
                <w:szCs w:val="22"/>
              </w:rPr>
            </w:pPr>
            <w:r>
              <w:rPr>
                <w:szCs w:val="22"/>
              </w:rPr>
              <w:t>The whole.</w:t>
            </w:r>
          </w:p>
        </w:tc>
      </w:tr>
    </w:tbl>
    <w:p>
      <w:pPr>
        <w:pStyle w:val="CentredBaseLine"/>
        <w:jc w:val="center"/>
        <w:rPr>
          <w:ins w:id="251" w:author="svcMRProcess" w:date="2015-12-09T00:09:00Z"/>
        </w:rPr>
      </w:pPr>
      <w:ins w:id="252" w:author="svcMRProcess" w:date="2015-12-09T00:0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253" w:name="_Toc72570557"/>
      <w:bookmarkStart w:id="254" w:name="_Toc89236281"/>
      <w:bookmarkStart w:id="255" w:name="_Toc92443787"/>
      <w:bookmarkStart w:id="256" w:name="_Toc101930291"/>
      <w:bookmarkStart w:id="257" w:name="_Toc116795841"/>
      <w:bookmarkStart w:id="258" w:name="_Toc117059025"/>
      <w:bookmarkStart w:id="259" w:name="_Toc117300650"/>
      <w:bookmarkStart w:id="260" w:name="_Toc117660404"/>
      <w:bookmarkStart w:id="261" w:name="_Toc139343202"/>
      <w:bookmarkStart w:id="262" w:name="_Toc139441605"/>
      <w:bookmarkStart w:id="263" w:name="_Toc268178105"/>
      <w:bookmarkStart w:id="264" w:name="_Toc272046721"/>
      <w:bookmarkStart w:id="265" w:name="_Toc280091874"/>
      <w:bookmarkStart w:id="266" w:name="_Toc281485704"/>
      <w:bookmarkStart w:id="267" w:name="_Toc299544189"/>
      <w:bookmarkStart w:id="268" w:name="_Toc299963632"/>
      <w:bookmarkStart w:id="269" w:name="_Toc300038536"/>
      <w:bookmarkStart w:id="270" w:name="_Toc300038627"/>
      <w:bookmarkStart w:id="271" w:name="_Toc300038684"/>
      <w:bookmarkStart w:id="272" w:name="_Toc302379620"/>
      <w:bookmarkStart w:id="273" w:name="_Toc302380074"/>
      <w:bookmarkStart w:id="274" w:name="_Toc303321953"/>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w:t>
      </w:r>
      <w:ins w:id="275" w:author="svcMRProcess" w:date="2015-12-09T00:09:00Z">
        <w:r>
          <w:rPr>
            <w:snapToGrid w:val="0"/>
          </w:rPr>
          <w:t xml:space="preserve">reprint </w:t>
        </w:r>
      </w:ins>
      <w:r>
        <w:rPr>
          <w:snapToGrid w:val="0"/>
        </w:rPr>
        <w:t xml:space="preserve">is a compilation </w:t>
      </w:r>
      <w:ins w:id="276" w:author="svcMRProcess" w:date="2015-12-09T00:09:00Z">
        <w:r>
          <w:rPr>
            <w:snapToGrid w:val="0"/>
          </w:rPr>
          <w:t xml:space="preserve">as at 2 September 2011 </w:t>
        </w:r>
      </w:ins>
      <w:r>
        <w:rPr>
          <w:snapToGrid w:val="0"/>
        </w:rPr>
        <w:t xml:space="preserve">of the </w:t>
      </w:r>
      <w:r>
        <w:rPr>
          <w:i/>
          <w:noProof/>
          <w:snapToGrid w:val="0"/>
        </w:rPr>
        <w:t>Business Names</w:t>
      </w:r>
      <w:del w:id="277" w:author="svcMRProcess" w:date="2015-12-09T00:09:00Z">
        <w:r>
          <w:rPr>
            <w:i/>
            <w:noProof/>
            <w:snapToGrid w:val="0"/>
          </w:rPr>
          <w:delText> </w:delText>
        </w:r>
      </w:del>
      <w:ins w:id="278" w:author="svcMRProcess" w:date="2015-12-09T00:09:00Z">
        <w:r>
          <w:rPr>
            <w:i/>
            <w:noProof/>
            <w:snapToGrid w:val="0"/>
          </w:rPr>
          <w:t xml:space="preserve"> </w:t>
        </w:r>
      </w:ins>
      <w:r>
        <w:rPr>
          <w:i/>
          <w:noProof/>
          <w:snapToGrid w:val="0"/>
        </w:rPr>
        <w:t>Act 1962</w:t>
      </w:r>
      <w:r>
        <w:rPr>
          <w:snapToGrid w:val="0"/>
        </w:rPr>
        <w:t xml:space="preserve"> and includes the amendments made by the</w:t>
      </w:r>
      <w:del w:id="279" w:author="svcMRProcess" w:date="2015-12-09T00:09:00Z">
        <w:r>
          <w:rPr>
            <w:snapToGrid w:val="0"/>
          </w:rPr>
          <w:delText> </w:delText>
        </w:r>
      </w:del>
      <w:ins w:id="280" w:author="svcMRProcess" w:date="2015-12-09T00:09:00Z">
        <w:r>
          <w:rPr>
            <w:snapToGrid w:val="0"/>
          </w:rPr>
          <w:t xml:space="preserve"> </w:t>
        </w:r>
      </w:ins>
      <w:r>
        <w:rPr>
          <w:snapToGrid w:val="0"/>
        </w:rPr>
        <w:t>other written laws referred to in the following table.  The table also contains information about any reprint.</w:t>
      </w:r>
    </w:p>
    <w:p>
      <w:pPr>
        <w:pStyle w:val="nHeading3"/>
        <w:spacing w:before="180"/>
        <w:rPr>
          <w:snapToGrid w:val="0"/>
        </w:rPr>
      </w:pPr>
      <w:bookmarkStart w:id="281" w:name="UpToHere"/>
      <w:bookmarkStart w:id="282" w:name="_Toc303321954"/>
      <w:bookmarkStart w:id="283" w:name="_Toc281485705"/>
      <w:bookmarkEnd w:id="281"/>
      <w:r>
        <w:rPr>
          <w:snapToGrid w:val="0"/>
        </w:rP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Business Names Act 1962</w:t>
            </w:r>
          </w:p>
        </w:tc>
        <w:tc>
          <w:tcPr>
            <w:tcW w:w="1134" w:type="dxa"/>
            <w:tcBorders>
              <w:top w:val="single" w:sz="8" w:space="0" w:color="auto"/>
            </w:tcBorders>
          </w:tcPr>
          <w:p>
            <w:pPr>
              <w:pStyle w:val="nTable"/>
              <w:spacing w:after="40"/>
              <w:rPr>
                <w:sz w:val="19"/>
              </w:rPr>
            </w:pPr>
            <w:r>
              <w:rPr>
                <w:sz w:val="19"/>
              </w:rPr>
              <w:t>8 of 1962</w:t>
            </w:r>
            <w:ins w:id="284" w:author="svcMRProcess" w:date="2015-12-09T00:09:00Z">
              <w:r>
                <w:rPr>
                  <w:sz w:val="19"/>
                </w:rPr>
                <w:br/>
                <w:t>(11 Eliz. II No. 8)</w:t>
              </w:r>
            </w:ins>
          </w:p>
        </w:tc>
        <w:tc>
          <w:tcPr>
            <w:tcW w:w="1136" w:type="dxa"/>
            <w:tcBorders>
              <w:top w:val="single" w:sz="8" w:space="0" w:color="auto"/>
            </w:tcBorders>
          </w:tcPr>
          <w:p>
            <w:pPr>
              <w:pStyle w:val="nTable"/>
              <w:spacing w:after="40"/>
              <w:rPr>
                <w:sz w:val="19"/>
              </w:rPr>
            </w:pPr>
            <w:r>
              <w:rPr>
                <w:sz w:val="19"/>
              </w:rPr>
              <w:t>27 Sep 1962</w:t>
            </w:r>
          </w:p>
        </w:tc>
        <w:tc>
          <w:tcPr>
            <w:tcW w:w="2551"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9"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Business Names Act Amendment Act 1976</w:t>
            </w:r>
          </w:p>
        </w:tc>
        <w:tc>
          <w:tcPr>
            <w:tcW w:w="1134"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i/>
                <w:sz w:val="19"/>
              </w:rPr>
            </w:pPr>
            <w:r>
              <w:rPr>
                <w:i/>
                <w:sz w:val="19"/>
              </w:rPr>
              <w:t>Business Names Amendment Act 1983</w:t>
            </w:r>
          </w:p>
        </w:tc>
        <w:tc>
          <w:tcPr>
            <w:tcW w:w="1134"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spacing w:after="40"/>
              <w:ind w:right="113"/>
              <w:rPr>
                <w:sz w:val="19"/>
              </w:rPr>
            </w:pPr>
            <w:r>
              <w:rPr>
                <w:i/>
                <w:sz w:val="19"/>
              </w:rPr>
              <w:t>Corporations (</w:t>
            </w:r>
            <w:smartTag w:uri="urn:schemas-microsoft-com:office:smarttags" w:element="State">
              <w:smartTag w:uri="urn:schemas-microsoft-com:office:smarttags" w:element="place">
                <w:r>
                  <w:rPr>
                    <w:i/>
                    <w:sz w:val="19"/>
                  </w:rPr>
                  <w:t>Western Australia</w:t>
                </w:r>
              </w:smartTag>
            </w:smartTag>
            <w:r>
              <w:rPr>
                <w:i/>
                <w:sz w:val="19"/>
              </w:rPr>
              <w:t>) Act 1990</w:t>
            </w:r>
            <w:r>
              <w:rPr>
                <w:sz w:val="19"/>
              </w:rPr>
              <w:t xml:space="preserve"> s. 98</w:t>
            </w:r>
          </w:p>
        </w:tc>
        <w:tc>
          <w:tcPr>
            <w:tcW w:w="1134"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51" w:type="dxa"/>
          </w:tcPr>
          <w:p>
            <w:pPr>
              <w:pStyle w:val="nTable"/>
              <w:spacing w:after="40"/>
              <w:rPr>
                <w:sz w:val="19"/>
              </w:rPr>
            </w:pPr>
            <w:r>
              <w:rPr>
                <w:sz w:val="19"/>
              </w:rPr>
              <w:t>1 Jan 1991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21</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64</w:t>
            </w:r>
          </w:p>
        </w:tc>
        <w:tc>
          <w:tcPr>
            <w:tcW w:w="1134"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(No.</w:t>
            </w:r>
            <w:del w:id="285" w:author="svcMRProcess" w:date="2015-12-09T00:09:00Z">
              <w:r>
                <w:rPr>
                  <w:i/>
                  <w:sz w:val="19"/>
                </w:rPr>
                <w:delText xml:space="preserve"> </w:delText>
              </w:r>
            </w:del>
            <w:ins w:id="286" w:author="svcMRProcess" w:date="2015-12-09T00:09:00Z">
              <w:r>
                <w:rPr>
                  <w:i/>
                  <w:sz w:val="19"/>
                </w:rPr>
                <w:t> </w:t>
              </w:r>
            </w:ins>
            <w:r>
              <w:rPr>
                <w:i/>
                <w:sz w:val="19"/>
              </w:rPr>
              <w:t>2)</w:t>
            </w:r>
            <w:del w:id="287" w:author="svcMRProcess" w:date="2015-12-09T00:09:00Z">
              <w:r>
                <w:rPr>
                  <w:i/>
                  <w:sz w:val="19"/>
                </w:rPr>
                <w:delText xml:space="preserve"> </w:delText>
              </w:r>
            </w:del>
            <w:ins w:id="288" w:author="svcMRProcess" w:date="2015-12-09T00:09:00Z">
              <w:r>
                <w:rPr>
                  <w:i/>
                  <w:sz w:val="19"/>
                </w:rPr>
                <w:t> </w:t>
              </w:r>
            </w:ins>
            <w:r>
              <w:rPr>
                <w:i/>
                <w:sz w:val="19"/>
              </w:rPr>
              <w:t>2003</w:t>
            </w:r>
            <w:r>
              <w:rPr>
                <w:sz w:val="19"/>
              </w:rPr>
              <w:t xml:space="preserve"> Pt. 3</w:t>
            </w:r>
          </w:p>
        </w:tc>
        <w:tc>
          <w:tcPr>
            <w:tcW w:w="1134"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Business Names Amendment Act 2003</w:t>
            </w:r>
          </w:p>
        </w:tc>
        <w:tc>
          <w:tcPr>
            <w:tcW w:w="1134"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51" w:type="dxa"/>
          </w:tcPr>
          <w:p>
            <w:pPr>
              <w:pStyle w:val="nTable"/>
              <w:spacing w:after="40"/>
              <w:rPr>
                <w:sz w:val="19"/>
              </w:rPr>
            </w:pPr>
            <w:r>
              <w:rPr>
                <w:sz w:val="19"/>
              </w:rPr>
              <w:t>26 Nov 2003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31</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1"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Cs/>
                <w:sz w:val="19"/>
              </w:rPr>
              <w:t xml:space="preserve"> Pt. 2</w:t>
            </w:r>
            <w:del w:id="289" w:author="svcMRProcess" w:date="2015-12-09T00:09:00Z">
              <w:r>
                <w:rPr>
                  <w:iCs/>
                  <w:sz w:val="19"/>
                </w:rPr>
                <w:delText xml:space="preserve"> </w:delText>
              </w:r>
            </w:del>
            <w:ins w:id="290" w:author="svcMRProcess" w:date="2015-12-09T00:09:00Z">
              <w:r>
                <w:rPr>
                  <w:iCs/>
                  <w:sz w:val="19"/>
                </w:rPr>
                <w:t> </w:t>
              </w:r>
            </w:ins>
            <w:r>
              <w:rPr>
                <w:iCs/>
                <w:sz w:val="19"/>
              </w:rPr>
              <w:t>Div. 15</w:t>
            </w:r>
            <w:r>
              <w:rPr>
                <w:iCs/>
                <w:sz w:val="19"/>
                <w:vertAlign w:val="superscript"/>
              </w:rPr>
              <w:t> </w:t>
            </w:r>
            <w:del w:id="291" w:author="svcMRProcess" w:date="2015-12-09T00:09:00Z">
              <w:r>
                <w:rPr>
                  <w:iCs/>
                  <w:sz w:val="19"/>
                  <w:vertAlign w:val="superscript"/>
                </w:rPr>
                <w:delText>3</w:delText>
              </w:r>
            </w:del>
            <w:ins w:id="292" w:author="svcMRProcess" w:date="2015-12-09T00:09:00Z">
              <w:r>
                <w:rPr>
                  <w:iCs/>
                  <w:sz w:val="19"/>
                  <w:vertAlign w:val="superscript"/>
                </w:rPr>
                <w:t>4</w:t>
              </w:r>
            </w:ins>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9"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del w:id="293" w:author="svcMRProcess" w:date="2015-12-09T00:09:00Z">
              <w:r>
                <w:rPr>
                  <w:sz w:val="19"/>
                  <w:vertAlign w:val="superscript"/>
                </w:rPr>
                <w:delText>4</w:delText>
              </w:r>
            </w:del>
            <w:ins w:id="294" w:author="svcMRProcess" w:date="2015-12-09T00:09:00Z">
              <w:r>
                <w:rPr>
                  <w:sz w:val="19"/>
                  <w:vertAlign w:val="superscript"/>
                </w:rPr>
                <w:t>5</w:t>
              </w:r>
            </w:ins>
          </w:p>
        </w:tc>
        <w:tc>
          <w:tcPr>
            <w:tcW w:w="1134"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185</w:t>
            </w:r>
          </w:p>
        </w:tc>
        <w:tc>
          <w:tcPr>
            <w:tcW w:w="1134" w:type="dxa"/>
            <w:shd w:val="clear" w:color="auto" w:fill="auto"/>
          </w:tcPr>
          <w:p>
            <w:pPr>
              <w:pStyle w:val="nTable"/>
              <w:spacing w:after="40"/>
              <w:rPr>
                <w:snapToGrid w:val="0"/>
                <w:sz w:val="19"/>
                <w:lang w:val="en-US"/>
              </w:rPr>
            </w:pPr>
            <w:r>
              <w:rPr>
                <w:sz w:val="19"/>
              </w:rPr>
              <w:t>58 of 2010</w:t>
            </w:r>
          </w:p>
        </w:tc>
        <w:tc>
          <w:tcPr>
            <w:tcW w:w="1136" w:type="dxa"/>
            <w:shd w:val="clear" w:color="auto" w:fill="auto"/>
          </w:tcPr>
          <w:p>
            <w:pPr>
              <w:pStyle w:val="nTable"/>
              <w:spacing w:after="40"/>
              <w:rPr>
                <w:snapToGrid w:val="0"/>
                <w:sz w:val="19"/>
                <w:lang w:val="en-US"/>
              </w:rPr>
            </w:pPr>
            <w:r>
              <w:rPr>
                <w:sz w:val="19"/>
              </w:rPr>
              <w:t>8 Dec 2010</w:t>
            </w:r>
          </w:p>
        </w:tc>
        <w:tc>
          <w:tcPr>
            <w:tcW w:w="2551" w:type="dxa"/>
            <w:shd w:val="clear" w:color="auto" w:fill="auto"/>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ins w:id="295" w:author="svcMRProcess" w:date="2015-12-09T00:09:00Z"/>
        </w:trPr>
        <w:tc>
          <w:tcPr>
            <w:tcW w:w="7089" w:type="dxa"/>
            <w:gridSpan w:val="4"/>
            <w:tcBorders>
              <w:bottom w:val="single" w:sz="8" w:space="0" w:color="auto"/>
            </w:tcBorders>
            <w:shd w:val="clear" w:color="auto" w:fill="auto"/>
          </w:tcPr>
          <w:p>
            <w:pPr>
              <w:pStyle w:val="nTable"/>
              <w:spacing w:after="40"/>
              <w:rPr>
                <w:ins w:id="296" w:author="svcMRProcess" w:date="2015-12-09T00:09:00Z"/>
                <w:sz w:val="19"/>
              </w:rPr>
            </w:pPr>
            <w:ins w:id="297" w:author="svcMRProcess" w:date="2015-12-09T00:09:00Z">
              <w:r>
                <w:rPr>
                  <w:b/>
                  <w:bCs/>
                  <w:sz w:val="19"/>
                </w:rPr>
                <w:t xml:space="preserve">Reprint 4: The </w:t>
              </w:r>
              <w:r>
                <w:rPr>
                  <w:b/>
                  <w:bCs/>
                  <w:i/>
                  <w:sz w:val="19"/>
                </w:rPr>
                <w:t>Business Names Act 1962</w:t>
              </w:r>
              <w:r>
                <w:rPr>
                  <w:b/>
                  <w:bCs/>
                  <w:sz w:val="19"/>
                </w:rPr>
                <w:t xml:space="preserve"> as at 2 Sep 2011</w:t>
              </w:r>
              <w:r>
                <w:rPr>
                  <w:sz w:val="19"/>
                </w:rPr>
                <w:t xml:space="preserve"> (includes amendments listed above)</w:t>
              </w:r>
            </w:ins>
          </w:p>
        </w:tc>
      </w:tr>
    </w:tbl>
    <w:p>
      <w:pPr>
        <w:pStyle w:val="nSubsection"/>
      </w:pPr>
      <w:r>
        <w:rPr>
          <w:vertAlign w:val="superscript"/>
        </w:rPr>
        <w:t>2</w:t>
      </w:r>
      <w:r>
        <w:tab/>
        <w:t xml:space="preserve">Repealed by the </w:t>
      </w:r>
      <w:r>
        <w:rPr>
          <w:i/>
        </w:rPr>
        <w:t>Interpretation Act 1984</w:t>
      </w:r>
      <w:r>
        <w:t xml:space="preserve"> s. 77(1).</w:t>
      </w:r>
    </w:p>
    <w:p>
      <w:pPr>
        <w:pStyle w:val="nSubsection"/>
        <w:rPr>
          <w:ins w:id="298" w:author="svcMRProcess" w:date="2015-12-09T00:09:00Z"/>
        </w:rPr>
      </w:pPr>
      <w:del w:id="299" w:author="svcMRProcess" w:date="2015-12-09T00:09:00Z">
        <w:r>
          <w:rPr>
            <w:vertAlign w:val="superscript"/>
          </w:rPr>
          <w:delText>3</w:delText>
        </w:r>
      </w:del>
      <w:ins w:id="300" w:author="svcMRProcess" w:date="2015-12-09T00:09:00Z">
        <w:r>
          <w:rPr>
            <w:vertAlign w:val="superscript"/>
          </w:rPr>
          <w:t>3</w:t>
        </w:r>
        <w:r>
          <w:tab/>
          <w:t xml:space="preserve">Repealed by the </w:t>
        </w:r>
        <w:r>
          <w:rPr>
            <w:i/>
          </w:rPr>
          <w:t>Statutes (Repeals and Miscellaneous Amendments) Act 2009</w:t>
        </w:r>
        <w:r>
          <w:t xml:space="preserve"> s. 4.</w:t>
        </w:r>
      </w:ins>
    </w:p>
    <w:p>
      <w:pPr>
        <w:pStyle w:val="nSubsection"/>
        <w:rPr>
          <w:iCs/>
        </w:rPr>
      </w:pPr>
      <w:ins w:id="301" w:author="svcMRProcess" w:date="2015-12-09T00:09: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w:t>
      </w:r>
      <w:del w:id="302" w:author="svcMRProcess" w:date="2015-12-09T00:09:00Z">
        <w:r>
          <w:rPr>
            <w:iCs/>
          </w:rPr>
          <w:delText>for</w:delText>
        </w:r>
      </w:del>
      <w:ins w:id="303" w:author="svcMRProcess" w:date="2015-12-09T00:09:00Z">
        <w:r>
          <w:rPr>
            <w:iCs/>
          </w:rPr>
          <w:t>to</w:t>
        </w:r>
      </w:ins>
      <w:r>
        <w:rPr>
          <w:iCs/>
        </w:rPr>
        <w:t xml:space="preserve"> this Act.</w:t>
      </w:r>
    </w:p>
    <w:p>
      <w:pPr>
        <w:pStyle w:val="nSubsection"/>
        <w:rPr>
          <w:del w:id="304" w:author="svcMRProcess" w:date="2015-12-09T00:09:00Z"/>
        </w:rPr>
      </w:pPr>
      <w:del w:id="305" w:author="svcMRProcess" w:date="2015-12-09T00:09:00Z">
        <w:r>
          <w:rPr>
            <w:vertAlign w:val="superscript"/>
          </w:rPr>
          <w:delText>4</w:delText>
        </w:r>
      </w:del>
      <w:ins w:id="306" w:author="svcMRProcess" w:date="2015-12-09T00:09:00Z">
        <w:r>
          <w:rPr>
            <w:vertAlign w:val="superscript"/>
          </w:rPr>
          <w:t>5</w:t>
        </w:r>
      </w:ins>
      <w:r>
        <w:tab/>
        <w:t xml:space="preserve">The </w:t>
      </w:r>
      <w:r>
        <w:rPr>
          <w:i/>
          <w:iCs/>
        </w:rPr>
        <w:t>Machinery of Government (Miscellaneous Amendments) Act 2006</w:t>
      </w:r>
      <w:r>
        <w:t xml:space="preserve"> Pt. 4 Div. </w:t>
      </w:r>
      <w:del w:id="307" w:author="svcMRProcess" w:date="2015-12-09T00:09:00Z">
        <w:r>
          <w:delText xml:space="preserve">23 (other than s. 151) (as amended by </w:delText>
        </w:r>
        <w:r>
          <w:rPr>
            <w:i/>
            <w:iCs/>
          </w:rPr>
          <w:delText>Acts Amendment (Fair Trading) Act 2010</w:delText>
        </w:r>
        <w:r>
          <w:delText xml:space="preserve"> s. 184) reads as follows:</w:delText>
        </w:r>
      </w:del>
    </w:p>
    <w:p>
      <w:pPr>
        <w:pStyle w:val="MiscOpen"/>
        <w:rPr>
          <w:del w:id="308" w:author="svcMRProcess" w:date="2015-12-09T00:09:00Z"/>
        </w:rPr>
      </w:pPr>
      <w:del w:id="309" w:author="svcMRProcess" w:date="2015-12-09T00:09:00Z">
        <w:r>
          <w:delText>“</w:delText>
        </w:r>
      </w:del>
    </w:p>
    <w:p>
      <w:pPr>
        <w:pStyle w:val="nzHeading3"/>
        <w:rPr>
          <w:del w:id="310" w:author="svcMRProcess" w:date="2015-12-09T00:09:00Z"/>
        </w:rPr>
      </w:pPr>
      <w:bookmarkStart w:id="311" w:name="_Toc101066971"/>
      <w:bookmarkStart w:id="312" w:name="_Toc101067787"/>
      <w:bookmarkStart w:id="313" w:name="_Toc101068421"/>
      <w:bookmarkStart w:id="314" w:name="_Toc101068938"/>
      <w:bookmarkStart w:id="315" w:name="_Toc101070533"/>
      <w:bookmarkStart w:id="316" w:name="_Toc101073117"/>
      <w:bookmarkStart w:id="317" w:name="_Toc101080300"/>
      <w:bookmarkStart w:id="318" w:name="_Toc101080963"/>
      <w:bookmarkStart w:id="319" w:name="_Toc101173925"/>
      <w:bookmarkStart w:id="320" w:name="_Toc101256601"/>
      <w:bookmarkStart w:id="321" w:name="_Toc101260653"/>
      <w:bookmarkStart w:id="322" w:name="_Toc101329434"/>
      <w:bookmarkStart w:id="323" w:name="_Toc101350875"/>
      <w:bookmarkStart w:id="324" w:name="_Toc101578755"/>
      <w:bookmarkStart w:id="325" w:name="_Toc101599730"/>
      <w:bookmarkStart w:id="326" w:name="_Toc101666562"/>
      <w:bookmarkStart w:id="327" w:name="_Toc101672524"/>
      <w:bookmarkStart w:id="328" w:name="_Toc101675034"/>
      <w:bookmarkStart w:id="329" w:name="_Toc101682760"/>
      <w:bookmarkStart w:id="330" w:name="_Toc101690030"/>
      <w:bookmarkStart w:id="331" w:name="_Toc101769362"/>
      <w:bookmarkStart w:id="332" w:name="_Toc101770648"/>
      <w:bookmarkStart w:id="333" w:name="_Toc101774105"/>
      <w:bookmarkStart w:id="334" w:name="_Toc101845072"/>
      <w:bookmarkStart w:id="335" w:name="_Toc102981725"/>
      <w:bookmarkStart w:id="336" w:name="_Toc103569831"/>
      <w:bookmarkStart w:id="337" w:name="_Toc106089067"/>
      <w:bookmarkStart w:id="338" w:name="_Toc106097122"/>
      <w:bookmarkStart w:id="339" w:name="_Toc136050276"/>
      <w:bookmarkStart w:id="340" w:name="_Toc138660655"/>
      <w:bookmarkStart w:id="341" w:name="_Toc138661234"/>
      <w:bookmarkStart w:id="342" w:name="_Toc138750210"/>
      <w:bookmarkStart w:id="343" w:name="_Toc138750895"/>
      <w:bookmarkStart w:id="344" w:name="_Toc139166636"/>
      <w:bookmarkStart w:id="345" w:name="_Toc139266356"/>
      <w:del w:id="346" w:author="svcMRProcess" w:date="2015-12-09T00:09:00Z">
        <w:r>
          <w:rPr>
            <w:rStyle w:val="CharDivNo"/>
          </w:rPr>
          <w:delText>Division 23</w:delText>
        </w:r>
        <w:r>
          <w:delText> — </w:delText>
        </w:r>
        <w:r>
          <w:rPr>
            <w:rStyle w:val="CharDivText"/>
          </w:rPr>
          <w:delText>Transitional</w:delText>
        </w:r>
      </w:del>
      <w:ins w:id="347" w:author="svcMRProcess" w:date="2015-12-09T00:09:00Z">
        <w:r>
          <w:t>23 has transitional</w:t>
        </w:r>
      </w:ins>
      <w:r>
        <w:t xml:space="preserve">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Ednotesection"/>
        <w:tabs>
          <w:tab w:val="clear" w:pos="893"/>
          <w:tab w:val="left" w:pos="600"/>
        </w:tabs>
        <w:rPr>
          <w:del w:id="348" w:author="svcMRProcess" w:date="2015-12-09T00:09:00Z"/>
        </w:rPr>
      </w:pPr>
      <w:del w:id="349" w:author="svcMRProcess" w:date="2015-12-09T00:09:00Z">
        <w:r>
          <w:tab/>
          <w:delText>[</w:delText>
        </w:r>
        <w:r>
          <w:rPr>
            <w:b/>
            <w:bCs/>
          </w:rPr>
          <w:delText>151.</w:delText>
        </w:r>
        <w:r>
          <w:tab/>
          <w:delText>Deleted by No. 58</w:delText>
        </w:r>
      </w:del>
      <w:ins w:id="350" w:author="svcMRProcess" w:date="2015-12-09T00:09:00Z">
        <w:r>
          <w:t xml:space="preserve"> some</w:t>
        </w:r>
      </w:ins>
      <w:r>
        <w:t xml:space="preserve"> of </w:t>
      </w:r>
      <w:del w:id="351" w:author="svcMRProcess" w:date="2015-12-09T00:09:00Z">
        <w:r>
          <w:delText>2010 s. 184.]</w:delText>
        </w:r>
      </w:del>
    </w:p>
    <w:p>
      <w:pPr>
        <w:pStyle w:val="nzHeading5"/>
        <w:rPr>
          <w:del w:id="352" w:author="svcMRProcess" w:date="2015-12-09T00:09:00Z"/>
        </w:rPr>
      </w:pPr>
      <w:bookmarkStart w:id="353" w:name="_Toc45504368"/>
      <w:bookmarkStart w:id="354" w:name="_Toc46642258"/>
      <w:bookmarkStart w:id="355" w:name="_Toc100544433"/>
      <w:bookmarkStart w:id="356" w:name="_Toc138661236"/>
      <w:bookmarkStart w:id="357" w:name="_Toc138750897"/>
      <w:bookmarkStart w:id="358" w:name="_Toc139166638"/>
      <w:bookmarkStart w:id="359" w:name="_Toc139266358"/>
      <w:del w:id="360" w:author="svcMRProcess" w:date="2015-12-09T00:09:00Z">
        <w:r>
          <w:rPr>
            <w:rStyle w:val="CharSectno"/>
          </w:rPr>
          <w:delText>152</w:delText>
        </w:r>
        <w:r>
          <w:delText>.</w:delText>
        </w:r>
        <w:r>
          <w:tab/>
          <w:delText>Commissioner for Corporate Affairs and Registrar of Co</w:delText>
        </w:r>
        <w:r>
          <w:noBreakHyphen/>
          <w:delText>operative and Financial Institutions</w:delText>
        </w:r>
        <w:bookmarkEnd w:id="353"/>
        <w:bookmarkEnd w:id="354"/>
        <w:bookmarkEnd w:id="355"/>
        <w:bookmarkEnd w:id="356"/>
        <w:bookmarkEnd w:id="357"/>
        <w:bookmarkEnd w:id="358"/>
        <w:bookmarkEnd w:id="359"/>
      </w:del>
    </w:p>
    <w:p>
      <w:pPr>
        <w:pStyle w:val="nzSubsection"/>
        <w:rPr>
          <w:del w:id="361" w:author="svcMRProcess" w:date="2015-12-09T00:09:00Z"/>
        </w:rPr>
      </w:pPr>
      <w:del w:id="362" w:author="svcMRProcess" w:date="2015-12-09T00:09:00Z">
        <w:r>
          <w:tab/>
          <w:delText>(1)</w:delText>
        </w:r>
        <w:r>
          <w:tab/>
          <w:delText>A thing done or omitted</w:delText>
        </w:r>
      </w:del>
      <w:ins w:id="363" w:author="svcMRProcess" w:date="2015-12-09T00:09:00Z">
        <w:r>
          <w:t>which may be relevant</w:t>
        </w:r>
      </w:ins>
      <w:r>
        <w:t xml:space="preserve"> to </w:t>
      </w:r>
      <w:del w:id="364" w:author="svcMRProcess" w:date="2015-12-09T00:09:00Z">
        <w:r>
          <w:delText xml:space="preserve">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365" w:author="svcMRProcess" w:date="2015-12-09T00:09:00Z"/>
        </w:rPr>
      </w:pPr>
      <w:del w:id="366" w:author="svcMRProcess" w:date="2015-12-09T00:09: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367" w:author="svcMRProcess" w:date="2015-12-09T00:09:00Z"/>
        </w:rPr>
      </w:pPr>
      <w:bookmarkStart w:id="368" w:name="_Toc45504369"/>
      <w:bookmarkStart w:id="369" w:name="_Toc46642259"/>
      <w:bookmarkStart w:id="370" w:name="_Toc100544434"/>
      <w:bookmarkStart w:id="371" w:name="_Toc138661237"/>
      <w:bookmarkStart w:id="372" w:name="_Toc138750898"/>
      <w:bookmarkStart w:id="373" w:name="_Toc139166639"/>
      <w:bookmarkStart w:id="374" w:name="_Toc139266359"/>
      <w:del w:id="375" w:author="svcMRProcess" w:date="2015-12-09T00:09:00Z">
        <w:r>
          <w:rPr>
            <w:rStyle w:val="CharSectno"/>
          </w:rPr>
          <w:delText>153</w:delText>
        </w:r>
        <w:r>
          <w:delText>.</w:delText>
        </w:r>
        <w:r>
          <w:tab/>
        </w:r>
        <w:r>
          <w:rPr>
            <w:i/>
          </w:rPr>
          <w:delText>Consumer Affairs Act 1971</w:delText>
        </w:r>
        <w:bookmarkEnd w:id="368"/>
        <w:bookmarkEnd w:id="369"/>
        <w:bookmarkEnd w:id="370"/>
        <w:bookmarkEnd w:id="371"/>
        <w:bookmarkEnd w:id="372"/>
        <w:bookmarkEnd w:id="373"/>
        <w:bookmarkEnd w:id="374"/>
      </w:del>
    </w:p>
    <w:p>
      <w:pPr>
        <w:pStyle w:val="nSubsection"/>
      </w:pPr>
      <w:del w:id="376" w:author="svcMRProcess" w:date="2015-12-09T00:09: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w:delText>
        </w:r>
      </w:del>
      <w:r>
        <w:t>this Act.</w:t>
      </w:r>
    </w:p>
    <w:p>
      <w:pPr>
        <w:pStyle w:val="nzHeading5"/>
        <w:rPr>
          <w:del w:id="377" w:author="svcMRProcess" w:date="2015-12-09T00:09:00Z"/>
          <w:i/>
        </w:rPr>
      </w:pPr>
      <w:bookmarkStart w:id="378" w:name="_Hlt20546863"/>
      <w:bookmarkStart w:id="379" w:name="_Toc2055351"/>
      <w:bookmarkStart w:id="380" w:name="_Toc45504370"/>
      <w:bookmarkStart w:id="381" w:name="_Toc46642260"/>
      <w:bookmarkStart w:id="382" w:name="_Toc100544435"/>
      <w:bookmarkStart w:id="383" w:name="_Toc138661238"/>
      <w:bookmarkStart w:id="384" w:name="_Toc138750899"/>
      <w:bookmarkStart w:id="385" w:name="_Toc139166640"/>
      <w:bookmarkStart w:id="386" w:name="_Toc139266360"/>
      <w:bookmarkEnd w:id="378"/>
      <w:del w:id="387" w:author="svcMRProcess" w:date="2015-12-09T00:09:00Z">
        <w:r>
          <w:rPr>
            <w:rStyle w:val="CharSectno"/>
          </w:rPr>
          <w:delText>154</w:delText>
        </w:r>
        <w:r>
          <w:delText>.</w:delText>
        </w:r>
        <w:r>
          <w:tab/>
        </w:r>
        <w:r>
          <w:rPr>
            <w:i/>
          </w:rPr>
          <w:delText>Petroleum Products Pricing Act 1983</w:delText>
        </w:r>
        <w:bookmarkEnd w:id="379"/>
        <w:bookmarkEnd w:id="380"/>
        <w:bookmarkEnd w:id="381"/>
        <w:bookmarkEnd w:id="382"/>
        <w:bookmarkEnd w:id="383"/>
        <w:bookmarkEnd w:id="384"/>
        <w:bookmarkEnd w:id="385"/>
        <w:bookmarkEnd w:id="386"/>
      </w:del>
    </w:p>
    <w:p>
      <w:pPr>
        <w:pStyle w:val="nzSubsection"/>
        <w:rPr>
          <w:del w:id="388" w:author="svcMRProcess" w:date="2015-12-09T00:09:00Z"/>
        </w:rPr>
      </w:pPr>
      <w:del w:id="389" w:author="svcMRProcess" w:date="2015-12-09T00:09: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390" w:author="svcMRProcess" w:date="2015-12-09T00:09:00Z"/>
        </w:rPr>
      </w:pPr>
      <w:bookmarkStart w:id="391" w:name="_Toc2055353"/>
      <w:bookmarkStart w:id="392" w:name="_Toc45504371"/>
      <w:bookmarkStart w:id="393" w:name="_Toc46642261"/>
      <w:bookmarkStart w:id="394" w:name="_Toc100544436"/>
      <w:bookmarkStart w:id="395" w:name="_Toc138661239"/>
      <w:bookmarkStart w:id="396" w:name="_Toc138750900"/>
      <w:bookmarkStart w:id="397" w:name="_Toc139166641"/>
      <w:bookmarkStart w:id="398" w:name="_Toc139266361"/>
      <w:del w:id="399" w:author="svcMRProcess" w:date="2015-12-09T00:09:00Z">
        <w:r>
          <w:rPr>
            <w:rStyle w:val="CharSectno"/>
          </w:rPr>
          <w:delText>155</w:delText>
        </w:r>
        <w:r>
          <w:delText>.</w:delText>
        </w:r>
        <w:r>
          <w:tab/>
          <w:delText>Interpretation</w:delText>
        </w:r>
        <w:bookmarkEnd w:id="391"/>
        <w:bookmarkEnd w:id="392"/>
        <w:bookmarkEnd w:id="393"/>
        <w:bookmarkEnd w:id="394"/>
        <w:bookmarkEnd w:id="395"/>
        <w:bookmarkEnd w:id="396"/>
        <w:bookmarkEnd w:id="397"/>
        <w:bookmarkEnd w:id="398"/>
      </w:del>
    </w:p>
    <w:p>
      <w:pPr>
        <w:pStyle w:val="nzSubsection"/>
        <w:rPr>
          <w:del w:id="400" w:author="svcMRProcess" w:date="2015-12-09T00:09:00Z"/>
        </w:rPr>
      </w:pPr>
      <w:del w:id="401" w:author="svcMRProcess" w:date="2015-12-09T00:09:00Z">
        <w:r>
          <w:tab/>
        </w:r>
        <w:r>
          <w:tab/>
          <w:delText xml:space="preserve">In this Division — </w:delText>
        </w:r>
      </w:del>
    </w:p>
    <w:p>
      <w:pPr>
        <w:pStyle w:val="nzDefstart"/>
        <w:rPr>
          <w:del w:id="402" w:author="svcMRProcess" w:date="2015-12-09T00:09:00Z"/>
        </w:rPr>
      </w:pPr>
      <w:del w:id="403" w:author="svcMRProcess" w:date="2015-12-09T00:09:00Z">
        <w:r>
          <w:tab/>
        </w:r>
        <w:r>
          <w:rPr>
            <w:rStyle w:val="CharDefText"/>
          </w:rPr>
          <w:delText>commencement</w:delText>
        </w:r>
        <w:r>
          <w:delText xml:space="preserve"> means the time at which this Division comes into operation;</w:delText>
        </w:r>
      </w:del>
    </w:p>
    <w:p>
      <w:pPr>
        <w:pStyle w:val="nzDefstart"/>
        <w:rPr>
          <w:del w:id="404" w:author="svcMRProcess" w:date="2015-12-09T00:09:00Z"/>
        </w:rPr>
      </w:pPr>
      <w:del w:id="405" w:author="svcMRProcess" w:date="2015-12-09T00:09: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406" w:author="svcMRProcess" w:date="2015-12-09T00:09:00Z"/>
        </w:rPr>
      </w:pPr>
      <w:del w:id="407" w:author="svcMRProcess" w:date="2015-12-09T00:09: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408" w:author="svcMRProcess" w:date="2015-12-09T00:09:00Z"/>
        </w:rPr>
      </w:pPr>
      <w:del w:id="409" w:author="svcMRProcess" w:date="2015-12-09T00:09:00Z">
        <w:r>
          <w:delText>”.</w:delText>
        </w:r>
      </w:del>
    </w:p>
    <w:p>
      <w:pPr>
        <w:rPr>
          <w:del w:id="410" w:author="svcMRProcess" w:date="2015-12-09T00:09:00Z"/>
        </w:rPr>
      </w:pPr>
    </w:p>
    <w:p>
      <w:pPr>
        <w:rPr>
          <w:del w:id="411" w:author="svcMRProcess" w:date="2015-12-09T00:0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412" w:author="svcMRProcess" w:date="2015-12-09T00:09:00Z"/>
        </w:rPr>
      </w:pPr>
    </w:p>
    <w:p>
      <w:pPr>
        <w:rPr>
          <w:ins w:id="413" w:author="svcMRProcess" w:date="2015-12-09T00:09: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414" w:author="svcMRProcess" w:date="2015-12-09T00:09:00Z"/>
        </w:rPr>
      </w:pPr>
    </w:p>
    <w:p>
      <w:pPr>
        <w:pBdr>
          <w:top w:val="double" w:sz="4" w:space="0" w:color="auto"/>
        </w:pBdr>
        <w:jc w:val="center"/>
        <w:rPr>
          <w:rFonts w:ascii="Arial" w:hAnsi="Arial" w:cs="Arial"/>
          <w:sz w:val="12"/>
        </w:rPr>
      </w:pPr>
      <w:ins w:id="415" w:author="svcMRProcess" w:date="2015-12-09T00:09:00Z">
        <w:r>
          <w:rPr>
            <w:rFonts w:ascii="Arial" w:hAnsi="Arial" w:cs="Arial"/>
            <w:sz w:val="12"/>
          </w:rPr>
          <w:t>By Authority: JOHN A. STRIJK, Government Printer</w:t>
        </w:r>
      </w:ins>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Business Names Act 1962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10005</Words>
  <Characters>46126</Characters>
  <Application>Microsoft Office Word</Application>
  <DocSecurity>0</DocSecurity>
  <Lines>1213</Lines>
  <Paragraphs>550</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03-f0-02 - 04-a0-01</dc:title>
  <dc:subject/>
  <dc:creator/>
  <cp:keywords/>
  <dc:description/>
  <cp:lastModifiedBy>svcMRProcess</cp:lastModifiedBy>
  <cp:revision>2</cp:revision>
  <cp:lastPrinted>2011-09-09T00:58:00Z</cp:lastPrinted>
  <dcterms:created xsi:type="dcterms:W3CDTF">2015-12-08T16:09:00Z</dcterms:created>
  <dcterms:modified xsi:type="dcterms:W3CDTF">2015-12-08T16:09:00Z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20110902</vt:lpwstr>
  </property>
  <property fmtid="{D5CDD505-2E9C-101B-9397-08002B2CF9AE}" pid="4" name="DocumentType">
    <vt:lpwstr>Act</vt:lpwstr>
  </property>
  <property fmtid="{D5CDD505-2E9C-101B-9397-08002B2CF9AE}" pid="5" name="OwlsUID">
    <vt:i4>97</vt:i4>
  </property>
  <property fmtid="{D5CDD505-2E9C-101B-9397-08002B2CF9AE}" pid="6" name="ReprintNo">
    <vt:lpwstr>4</vt:lpwstr>
  </property>
  <property fmtid="{D5CDD505-2E9C-101B-9397-08002B2CF9AE}" pid="7" name="ReprintedAsAt">
    <vt:filetime>2011-09-01T16:00:00Z</vt:filetime>
  </property>
  <property fmtid="{D5CDD505-2E9C-101B-9397-08002B2CF9AE}" pid="8" name="FromSuffix">
    <vt:lpwstr>03-f0-02</vt:lpwstr>
  </property>
  <property fmtid="{D5CDD505-2E9C-101B-9397-08002B2CF9AE}" pid="9" name="FromAsAtDate">
    <vt:lpwstr>01 Jan 2011</vt:lpwstr>
  </property>
  <property fmtid="{D5CDD505-2E9C-101B-9397-08002B2CF9AE}" pid="10" name="ToSuffix">
    <vt:lpwstr>04-a0-01</vt:lpwstr>
  </property>
  <property fmtid="{D5CDD505-2E9C-101B-9397-08002B2CF9AE}" pid="11" name="ToAsAtDate">
    <vt:lpwstr>02 Sep 2011</vt:lpwstr>
  </property>
</Properties>
</file>