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Western Australian Aged Sailors, Soldiers and Airmen’s Relief Fund Act 1932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11 Sep 2010</w:t>
      </w:r>
      <w:r>
        <w:fldChar w:fldCharType="end"/>
      </w:r>
      <w:r>
        <w:t xml:space="preserve">, </w:t>
      </w:r>
      <w:r>
        <w:fldChar w:fldCharType="begin"/>
      </w:r>
      <w:r>
        <w:instrText xml:space="preserve"> DocProperty FromSuffix </w:instrText>
      </w:r>
      <w:r>
        <w:fldChar w:fldCharType="separate"/>
      </w:r>
      <w:r>
        <w:t>02-c0-01</w:t>
      </w:r>
      <w:r>
        <w:fldChar w:fldCharType="end"/>
      </w:r>
      <w:r>
        <w:t>] and [</w:t>
      </w:r>
      <w:r>
        <w:fldChar w:fldCharType="begin"/>
      </w:r>
      <w:r>
        <w:instrText xml:space="preserve"> DocProperty ToAsAtDate</w:instrText>
      </w:r>
      <w:r>
        <w:fldChar w:fldCharType="separate"/>
      </w:r>
      <w:r>
        <w:t>26 Oct 2011</w:t>
      </w:r>
      <w:r>
        <w:fldChar w:fldCharType="end"/>
      </w:r>
      <w:r>
        <w:t xml:space="preserve">, </w:t>
      </w:r>
      <w:r>
        <w:fldChar w:fldCharType="begin"/>
      </w:r>
      <w:r>
        <w:instrText xml:space="preserve"> DocProperty ToSuffix</w:instrText>
      </w:r>
      <w:r>
        <w:fldChar w:fldCharType="separate"/>
      </w:r>
      <w:r>
        <w:t>02-d0-05</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NameofActReg"/>
      </w:pPr>
      <w:r>
        <w:t xml:space="preserve">Western Australian Aged Sailors, Soldiers and Airmen’s Relief Fund Act 1932 </w:t>
      </w:r>
    </w:p>
    <w:p>
      <w:pPr>
        <w:pStyle w:val="LongTitle"/>
        <w:rPr>
          <w:snapToGrid w:val="0"/>
        </w:rPr>
      </w:pPr>
      <w:r>
        <w:rPr>
          <w:snapToGrid w:val="0"/>
        </w:rPr>
        <w:t>A</w:t>
      </w:r>
      <w:bookmarkStart w:id="1" w:name="_GoBack"/>
      <w:bookmarkEnd w:id="1"/>
      <w:r>
        <w:rPr>
          <w:snapToGrid w:val="0"/>
        </w:rPr>
        <w:t xml:space="preserve">n Act to establish the Western Australian Aged Sailors, Soldiers and Airmen’s Relief Fund. </w:t>
      </w:r>
    </w:p>
    <w:p>
      <w:pPr>
        <w:pStyle w:val="Footnotelongtitle"/>
      </w:pPr>
      <w:r>
        <w:tab/>
        <w:t>[Long title amended</w:t>
      </w:r>
      <w:del w:id="2" w:author="svcMRProcess" w:date="2019-01-25T13:02:00Z">
        <w:r>
          <w:delText xml:space="preserve"> by</w:delText>
        </w:r>
      </w:del>
      <w:ins w:id="3" w:author="svcMRProcess" w:date="2019-01-25T13:02:00Z">
        <w:r>
          <w:t>:</w:t>
        </w:r>
      </w:ins>
      <w:r>
        <w:t xml:space="preserve"> No. 24 of 1958 s. 2.]</w:t>
      </w:r>
    </w:p>
    <w:p>
      <w:pPr>
        <w:pStyle w:val="Heading5"/>
        <w:rPr>
          <w:snapToGrid w:val="0"/>
        </w:rPr>
      </w:pPr>
      <w:bookmarkStart w:id="4" w:name="_Toc379278016"/>
      <w:bookmarkStart w:id="5" w:name="_Toc536182852"/>
      <w:bookmarkStart w:id="6" w:name="_Toc411833278"/>
      <w:bookmarkStart w:id="7" w:name="_Toc268270896"/>
      <w:r>
        <w:rPr>
          <w:rStyle w:val="CharSectno"/>
        </w:rPr>
        <w:t>1</w:t>
      </w:r>
      <w:r>
        <w:rPr>
          <w:snapToGrid w:val="0"/>
        </w:rPr>
        <w:t>.</w:t>
      </w:r>
      <w:r>
        <w:rPr>
          <w:snapToGrid w:val="0"/>
        </w:rPr>
        <w:tab/>
        <w:t>Short title and commencement</w:t>
      </w:r>
      <w:bookmarkEnd w:id="4"/>
      <w:bookmarkEnd w:id="5"/>
      <w:bookmarkEnd w:id="6"/>
      <w:bookmarkEnd w:id="7"/>
    </w:p>
    <w:p>
      <w:pPr>
        <w:pStyle w:val="Subsection"/>
        <w:rPr>
          <w:snapToGrid w:val="0"/>
        </w:rPr>
      </w:pPr>
      <w:r>
        <w:rPr>
          <w:snapToGrid w:val="0"/>
        </w:rPr>
        <w:tab/>
      </w:r>
      <w:r>
        <w:rPr>
          <w:snapToGrid w:val="0"/>
        </w:rPr>
        <w:tab/>
        <w:t xml:space="preserve">This Act may be cited as the </w:t>
      </w:r>
      <w:r>
        <w:rPr>
          <w:i/>
          <w:snapToGrid w:val="0"/>
        </w:rPr>
        <w:t>Western Australian Aged Sailors, Soldiers and Airmen’s Relief Fund Act 1932</w:t>
      </w:r>
      <w:r>
        <w:rPr>
          <w:snapToGrid w:val="0"/>
          <w:vertAlign w:val="superscript"/>
        </w:rPr>
        <w:t> 1</w:t>
      </w:r>
      <w:r>
        <w:rPr>
          <w:snapToGrid w:val="0"/>
        </w:rPr>
        <w:t>, and shall come into operation on 1 January 1933.</w:t>
      </w:r>
    </w:p>
    <w:p>
      <w:pPr>
        <w:pStyle w:val="Footnotesection"/>
      </w:pPr>
      <w:r>
        <w:tab/>
        <w:t>[Section 1 amended</w:t>
      </w:r>
      <w:del w:id="8" w:author="svcMRProcess" w:date="2019-01-25T13:02:00Z">
        <w:r>
          <w:delText xml:space="preserve"> by</w:delText>
        </w:r>
      </w:del>
      <w:ins w:id="9" w:author="svcMRProcess" w:date="2019-01-25T13:02:00Z">
        <w:r>
          <w:t>:</w:t>
        </w:r>
      </w:ins>
      <w:r>
        <w:t xml:space="preserve"> No. 24 of 1958 s. 1.] </w:t>
      </w:r>
    </w:p>
    <w:p>
      <w:pPr>
        <w:pStyle w:val="Heading5"/>
        <w:rPr>
          <w:snapToGrid w:val="0"/>
        </w:rPr>
      </w:pPr>
      <w:bookmarkStart w:id="10" w:name="_Toc411833279"/>
      <w:bookmarkStart w:id="11" w:name="_Toc379278017"/>
      <w:bookmarkStart w:id="12" w:name="_Toc536182853"/>
      <w:bookmarkStart w:id="13" w:name="_Toc268270897"/>
      <w:r>
        <w:rPr>
          <w:rStyle w:val="CharSectno"/>
        </w:rPr>
        <w:t>2</w:t>
      </w:r>
      <w:r>
        <w:rPr>
          <w:snapToGrid w:val="0"/>
        </w:rPr>
        <w:t>.</w:t>
      </w:r>
      <w:r>
        <w:rPr>
          <w:snapToGrid w:val="0"/>
        </w:rPr>
        <w:tab/>
      </w:r>
      <w:bookmarkEnd w:id="10"/>
      <w:r>
        <w:rPr>
          <w:snapToGrid w:val="0"/>
        </w:rPr>
        <w:t>Terms used in this Act</w:t>
      </w:r>
      <w:bookmarkEnd w:id="11"/>
      <w:bookmarkEnd w:id="12"/>
      <w:bookmarkEnd w:id="13"/>
    </w:p>
    <w:p>
      <w:pPr>
        <w:pStyle w:val="Subsection"/>
        <w:rPr>
          <w:snapToGrid w:val="0"/>
        </w:rPr>
      </w:pPr>
      <w:r>
        <w:rPr>
          <w:snapToGrid w:val="0"/>
        </w:rPr>
        <w:tab/>
      </w:r>
      <w:r>
        <w:rPr>
          <w:snapToGrid w:val="0"/>
        </w:rPr>
        <w:tab/>
        <w:t>In this Act — </w:t>
      </w:r>
    </w:p>
    <w:p>
      <w:pPr>
        <w:pStyle w:val="Defstart"/>
      </w:pPr>
      <w:r>
        <w:rPr>
          <w:b/>
        </w:rPr>
        <w:tab/>
      </w:r>
      <w:r>
        <w:rPr>
          <w:rStyle w:val="CharDefText"/>
        </w:rPr>
        <w:t>the annual Poppy Day appeal</w:t>
      </w:r>
      <w:r>
        <w:t xml:space="preserve"> means an annual appeal of a kind similar to the appeal heretofore known as “the Poppy Day appeal”, and heretofore conducted annually by or under the authority of the League since the Great War, 1914</w:t>
      </w:r>
      <w:r>
        <w:noBreakHyphen/>
        <w:t>1918, on Armistice Day;</w:t>
      </w:r>
    </w:p>
    <w:p>
      <w:pPr>
        <w:pStyle w:val="Defstart"/>
      </w:pPr>
      <w:r>
        <w:rPr>
          <w:b/>
        </w:rPr>
        <w:tab/>
      </w:r>
      <w:r>
        <w:rPr>
          <w:rStyle w:val="CharDefText"/>
        </w:rPr>
        <w:t>the League</w:t>
      </w:r>
      <w:r>
        <w:t xml:space="preserve"> means </w:t>
      </w:r>
      <w:del w:id="14" w:author="svcMRProcess" w:date="2019-01-25T13:02:00Z">
        <w:r>
          <w:delText>the</w:delText>
        </w:r>
      </w:del>
      <w:ins w:id="15" w:author="svcMRProcess" w:date="2019-01-25T13:02:00Z">
        <w:r>
          <w:t>The</w:t>
        </w:r>
      </w:ins>
      <w:r>
        <w:t xml:space="preserve"> Returned </w:t>
      </w:r>
      <w:del w:id="16" w:author="svcMRProcess" w:date="2019-01-25T13:02:00Z">
        <w:r>
          <w:delText xml:space="preserve">Sailors’ Soldiers’ </w:delText>
        </w:r>
      </w:del>
      <w:r>
        <w:t xml:space="preserve">and </w:t>
      </w:r>
      <w:del w:id="17" w:author="svcMRProcess" w:date="2019-01-25T13:02:00Z">
        <w:r>
          <w:delText>Airmen’s Imperial</w:delText>
        </w:r>
      </w:del>
      <w:ins w:id="18" w:author="svcMRProcess" w:date="2019-01-25T13:02:00Z">
        <w:r>
          <w:t>Services</w:t>
        </w:r>
      </w:ins>
      <w:r>
        <w:t xml:space="preserve"> League of Australia</w:t>
      </w:r>
      <w:del w:id="19" w:author="svcMRProcess" w:date="2019-01-25T13:02:00Z">
        <w:r>
          <w:delText>, W.A.</w:delText>
        </w:r>
      </w:del>
      <w:ins w:id="20" w:author="svcMRProcess" w:date="2019-01-25T13:02:00Z">
        <w:r>
          <w:t xml:space="preserve"> WA</w:t>
        </w:r>
      </w:ins>
      <w:r>
        <w:t xml:space="preserve"> Branch</w:t>
      </w:r>
      <w:del w:id="21" w:author="svcMRProcess" w:date="2019-01-25T13:02:00Z">
        <w:r>
          <w:delText>,</w:delText>
        </w:r>
      </w:del>
      <w:r>
        <w:t xml:space="preserve"> Incorporated;</w:t>
      </w:r>
    </w:p>
    <w:p>
      <w:pPr>
        <w:pStyle w:val="Defstart"/>
        <w:keepNext/>
      </w:pPr>
      <w:r>
        <w:rPr>
          <w:b/>
        </w:rPr>
        <w:tab/>
      </w:r>
      <w:r>
        <w:rPr>
          <w:rStyle w:val="CharDefText"/>
        </w:rPr>
        <w:t>the State secretary</w:t>
      </w:r>
      <w:r>
        <w:t xml:space="preserve"> means the State secretary to the League.</w:t>
      </w:r>
    </w:p>
    <w:p>
      <w:pPr>
        <w:pStyle w:val="Footnotesection"/>
      </w:pPr>
      <w:r>
        <w:tab/>
        <w:t>[Section 2 amended</w:t>
      </w:r>
      <w:del w:id="22" w:author="svcMRProcess" w:date="2019-01-25T13:02:00Z">
        <w:r>
          <w:delText xml:space="preserve"> by</w:delText>
        </w:r>
      </w:del>
      <w:ins w:id="23" w:author="svcMRProcess" w:date="2019-01-25T13:02:00Z">
        <w:r>
          <w:t>:</w:t>
        </w:r>
      </w:ins>
      <w:r>
        <w:t xml:space="preserve"> No. 10 of 1934 s. 2; No. 24 of 1958 s. </w:t>
      </w:r>
      <w:del w:id="24" w:author="svcMRProcess" w:date="2019-01-25T13:02:00Z">
        <w:r>
          <w:delText>3</w:delText>
        </w:r>
      </w:del>
      <w:ins w:id="25" w:author="svcMRProcess" w:date="2019-01-25T13:02:00Z">
        <w:r>
          <w:t>3</w:t>
        </w:r>
        <w:r>
          <w:rPr>
            <w:spacing w:val="-4"/>
          </w:rPr>
          <w:t>; No. 47 of 2011 s.</w:t>
        </w:r>
        <w:r>
          <w:t> 17</w:t>
        </w:r>
      </w:ins>
      <w:r>
        <w:t xml:space="preserve">.] </w:t>
      </w:r>
    </w:p>
    <w:p>
      <w:pPr>
        <w:pStyle w:val="Heading5"/>
        <w:rPr>
          <w:snapToGrid w:val="0"/>
        </w:rPr>
      </w:pPr>
      <w:bookmarkStart w:id="26" w:name="_Toc379278018"/>
      <w:bookmarkStart w:id="27" w:name="_Toc536182854"/>
      <w:bookmarkStart w:id="28" w:name="_Toc411833280"/>
      <w:bookmarkStart w:id="29" w:name="_Toc268270898"/>
      <w:r>
        <w:rPr>
          <w:rStyle w:val="CharSectno"/>
        </w:rPr>
        <w:lastRenderedPageBreak/>
        <w:t>3</w:t>
      </w:r>
      <w:r>
        <w:rPr>
          <w:snapToGrid w:val="0"/>
        </w:rPr>
        <w:t>.</w:t>
      </w:r>
      <w:r>
        <w:rPr>
          <w:snapToGrid w:val="0"/>
        </w:rPr>
        <w:tab/>
        <w:t>The Fund</w:t>
      </w:r>
      <w:bookmarkEnd w:id="26"/>
      <w:bookmarkEnd w:id="27"/>
      <w:bookmarkEnd w:id="28"/>
      <w:bookmarkEnd w:id="29"/>
      <w:r>
        <w:rPr>
          <w:snapToGrid w:val="0"/>
        </w:rPr>
        <w:t xml:space="preserve"> </w:t>
      </w:r>
    </w:p>
    <w:p>
      <w:pPr>
        <w:pStyle w:val="Subsection"/>
        <w:rPr>
          <w:snapToGrid w:val="0"/>
        </w:rPr>
      </w:pPr>
      <w:r>
        <w:rPr>
          <w:snapToGrid w:val="0"/>
        </w:rPr>
        <w:tab/>
        <w:t>(1)</w:t>
      </w:r>
      <w:r>
        <w:rPr>
          <w:snapToGrid w:val="0"/>
        </w:rPr>
        <w:tab/>
        <w:t>The Fund inaugurated by the League and known as the Western Australian Aged Sailors and Soldiers’ Relief Fund is hereby established.</w:t>
      </w:r>
    </w:p>
    <w:p>
      <w:pPr>
        <w:pStyle w:val="Subsection"/>
        <w:rPr>
          <w:snapToGrid w:val="0"/>
        </w:rPr>
      </w:pPr>
      <w:r>
        <w:rPr>
          <w:snapToGrid w:val="0"/>
        </w:rPr>
        <w:tab/>
        <w:t>(2A)</w:t>
      </w:r>
      <w:r>
        <w:rPr>
          <w:snapToGrid w:val="0"/>
        </w:rPr>
        <w:tab/>
        <w:t>The League shall, on the commencement of this Act, remit to the Trust all moneys held by the League in an account known as “W.A. Aged Sailors and Soldiers’ Relief Fund”.</w:t>
      </w:r>
    </w:p>
    <w:p>
      <w:pPr>
        <w:pStyle w:val="Subsection"/>
        <w:rPr>
          <w:snapToGrid w:val="0"/>
        </w:rPr>
      </w:pPr>
      <w:r>
        <w:rPr>
          <w:snapToGrid w:val="0"/>
        </w:rPr>
        <w:tab/>
        <w:t>(2B)</w:t>
      </w:r>
      <w:r>
        <w:rPr>
          <w:snapToGrid w:val="0"/>
        </w:rPr>
        <w:tab/>
        <w:t>Each sub</w:t>
      </w:r>
      <w:r>
        <w:rPr>
          <w:snapToGrid w:val="0"/>
        </w:rPr>
        <w:noBreakHyphen/>
        <w:t>branch of the League shall, on the commencement of this Act, and on or before 1 December 1933, and in every subsequent year remit to the State secretary one</w:t>
      </w:r>
      <w:r>
        <w:rPr>
          <w:snapToGrid w:val="0"/>
        </w:rPr>
        <w:noBreakHyphen/>
        <w:t>half of the net proceeds of the annual Poppy Day appeal, and the moneys so received by the State secretary shall be paid by him to the Trust hereby established.</w:t>
      </w:r>
    </w:p>
    <w:p>
      <w:pPr>
        <w:pStyle w:val="Subsection"/>
        <w:rPr>
          <w:snapToGrid w:val="0"/>
        </w:rPr>
      </w:pPr>
      <w:r>
        <w:rPr>
          <w:snapToGrid w:val="0"/>
        </w:rPr>
        <w:tab/>
        <w:t>(2C)</w:t>
      </w:r>
      <w:r>
        <w:rPr>
          <w:snapToGrid w:val="0"/>
        </w:rPr>
        <w:tab/>
        <w:t xml:space="preserve">From the commencement of the </w:t>
      </w:r>
      <w:r>
        <w:rPr>
          <w:i/>
          <w:iCs/>
          <w:snapToGrid w:val="0"/>
        </w:rPr>
        <w:t>Western Australian Aged Sailors and Soldiers’ Relief Fund Act Amendment Act 1958</w:t>
      </w:r>
      <w:r>
        <w:rPr>
          <w:i/>
          <w:iCs/>
          <w:snapToGrid w:val="0"/>
          <w:vertAlign w:val="superscript"/>
        </w:rPr>
        <w:t> </w:t>
      </w:r>
      <w:r>
        <w:rPr>
          <w:snapToGrid w:val="0"/>
          <w:vertAlign w:val="superscript"/>
        </w:rPr>
        <w:t>1</w:t>
      </w:r>
      <w:r>
        <w:rPr>
          <w:snapToGrid w:val="0"/>
        </w:rPr>
        <w:t>, the account constituted by subsection (2A) shall be known as the “Western Australian Aged Sailors, Soldiers and Airmen’s Relief Fund”.</w:t>
      </w:r>
    </w:p>
    <w:p>
      <w:pPr>
        <w:pStyle w:val="Subsection"/>
        <w:rPr>
          <w:snapToGrid w:val="0"/>
        </w:rPr>
      </w:pPr>
      <w:r>
        <w:rPr>
          <w:snapToGrid w:val="0"/>
        </w:rPr>
        <w:tab/>
        <w:t>(3)</w:t>
      </w:r>
      <w:r>
        <w:rPr>
          <w:snapToGrid w:val="0"/>
        </w:rPr>
        <w:tab/>
        <w:t>The Fund shall consist of — </w:t>
      </w:r>
    </w:p>
    <w:p>
      <w:pPr>
        <w:pStyle w:val="Indenta"/>
        <w:rPr>
          <w:snapToGrid w:val="0"/>
        </w:rPr>
      </w:pPr>
      <w:r>
        <w:rPr>
          <w:snapToGrid w:val="0"/>
        </w:rPr>
        <w:tab/>
        <w:t>(a)</w:t>
      </w:r>
      <w:r>
        <w:rPr>
          <w:snapToGrid w:val="0"/>
        </w:rPr>
        <w:tab/>
        <w:t>one</w:t>
      </w:r>
      <w:r>
        <w:rPr>
          <w:snapToGrid w:val="0"/>
        </w:rPr>
        <w:noBreakHyphen/>
        <w:t xml:space="preserve">half of the net proceeds of the annual Poppy Day appeal received by the Trust under </w:t>
      </w:r>
      <w:r>
        <w:t>subsection (2B);</w:t>
      </w:r>
    </w:p>
    <w:p>
      <w:pPr>
        <w:pStyle w:val="Indenta"/>
        <w:rPr>
          <w:snapToGrid w:val="0"/>
        </w:rPr>
      </w:pPr>
      <w:r>
        <w:rPr>
          <w:snapToGrid w:val="0"/>
        </w:rPr>
        <w:tab/>
        <w:t>(b)</w:t>
      </w:r>
      <w:r>
        <w:rPr>
          <w:snapToGrid w:val="0"/>
        </w:rPr>
        <w:tab/>
        <w:t>such other moneys as may be set aside for the purposes of this Act by the annual State Congress of the League;</w:t>
      </w:r>
    </w:p>
    <w:p>
      <w:pPr>
        <w:pStyle w:val="Indenta"/>
        <w:rPr>
          <w:snapToGrid w:val="0"/>
        </w:rPr>
      </w:pPr>
      <w:r>
        <w:rPr>
          <w:snapToGrid w:val="0"/>
        </w:rPr>
        <w:tab/>
        <w:t>(c)</w:t>
      </w:r>
      <w:r>
        <w:rPr>
          <w:snapToGrid w:val="0"/>
        </w:rPr>
        <w:tab/>
        <w:t>donations or bequests.</w:t>
      </w:r>
    </w:p>
    <w:p>
      <w:pPr>
        <w:pStyle w:val="Footnotesection"/>
      </w:pPr>
      <w:r>
        <w:tab/>
        <w:t>[Section 3 amended</w:t>
      </w:r>
      <w:del w:id="30" w:author="svcMRProcess" w:date="2019-01-25T13:02:00Z">
        <w:r>
          <w:delText xml:space="preserve"> by</w:delText>
        </w:r>
      </w:del>
      <w:ins w:id="31" w:author="svcMRProcess" w:date="2019-01-25T13:02:00Z">
        <w:r>
          <w:t>:</w:t>
        </w:r>
      </w:ins>
      <w:r>
        <w:t xml:space="preserve"> No. 24 of 1958 s. 4; No. 19 of 2010 s. 51.] </w:t>
      </w:r>
    </w:p>
    <w:p>
      <w:pPr>
        <w:pStyle w:val="Heading5"/>
        <w:rPr>
          <w:snapToGrid w:val="0"/>
        </w:rPr>
      </w:pPr>
      <w:bookmarkStart w:id="32" w:name="_Toc379278019"/>
      <w:bookmarkStart w:id="33" w:name="_Toc536182855"/>
      <w:bookmarkStart w:id="34" w:name="_Toc411833281"/>
      <w:bookmarkStart w:id="35" w:name="_Toc268270899"/>
      <w:r>
        <w:rPr>
          <w:rStyle w:val="CharSectno"/>
        </w:rPr>
        <w:t>4</w:t>
      </w:r>
      <w:r>
        <w:rPr>
          <w:snapToGrid w:val="0"/>
        </w:rPr>
        <w:t>.</w:t>
      </w:r>
      <w:r>
        <w:rPr>
          <w:snapToGrid w:val="0"/>
        </w:rPr>
        <w:tab/>
        <w:t>The Trust</w:t>
      </w:r>
      <w:bookmarkEnd w:id="32"/>
      <w:bookmarkEnd w:id="33"/>
      <w:bookmarkEnd w:id="34"/>
      <w:bookmarkEnd w:id="35"/>
      <w:r>
        <w:rPr>
          <w:snapToGrid w:val="0"/>
        </w:rPr>
        <w:t xml:space="preserve"> </w:t>
      </w:r>
    </w:p>
    <w:p>
      <w:pPr>
        <w:pStyle w:val="Subsection"/>
        <w:rPr>
          <w:snapToGrid w:val="0"/>
        </w:rPr>
      </w:pPr>
      <w:r>
        <w:rPr>
          <w:snapToGrid w:val="0"/>
        </w:rPr>
        <w:tab/>
        <w:t>(1)</w:t>
      </w:r>
      <w:r>
        <w:rPr>
          <w:snapToGrid w:val="0"/>
        </w:rPr>
        <w:tab/>
        <w:t>The Fund is hereby vested in and shall be administered by a Trust.</w:t>
      </w:r>
    </w:p>
    <w:p>
      <w:pPr>
        <w:pStyle w:val="Subsection"/>
        <w:rPr>
          <w:snapToGrid w:val="0"/>
        </w:rPr>
      </w:pPr>
      <w:r>
        <w:rPr>
          <w:snapToGrid w:val="0"/>
        </w:rPr>
        <w:tab/>
        <w:t>(2)</w:t>
      </w:r>
      <w:r>
        <w:rPr>
          <w:snapToGrid w:val="0"/>
        </w:rPr>
        <w:tab/>
        <w:t>The Trust shall consist of 3 members, to be appointed from time to time by the Governor. One of the members shall be nominated by the State Executive of the League.</w:t>
      </w:r>
    </w:p>
    <w:p>
      <w:pPr>
        <w:pStyle w:val="Subsection"/>
        <w:rPr>
          <w:snapToGrid w:val="0"/>
        </w:rPr>
      </w:pPr>
      <w:r>
        <w:rPr>
          <w:snapToGrid w:val="0"/>
        </w:rPr>
        <w:tab/>
        <w:t>(3)</w:t>
      </w:r>
      <w:r>
        <w:rPr>
          <w:snapToGrid w:val="0"/>
        </w:rPr>
        <w:tab/>
        <w:t>The Trust, by the name of the Western Australian Aged Sailors, Soldiers and Airmen’s Relief Fund Trust, shall be a body corporate, with perpetual succession and a common seal.</w:t>
      </w:r>
    </w:p>
    <w:p>
      <w:pPr>
        <w:pStyle w:val="Footnotesection"/>
      </w:pPr>
      <w:r>
        <w:tab/>
        <w:t>[Section 4 amended</w:t>
      </w:r>
      <w:del w:id="36" w:author="svcMRProcess" w:date="2019-01-25T13:02:00Z">
        <w:r>
          <w:delText xml:space="preserve"> by</w:delText>
        </w:r>
      </w:del>
      <w:ins w:id="37" w:author="svcMRProcess" w:date="2019-01-25T13:02:00Z">
        <w:r>
          <w:t>:</w:t>
        </w:r>
      </w:ins>
      <w:r>
        <w:t xml:space="preserve"> No. 24 of 1958 s. 5.] </w:t>
      </w:r>
    </w:p>
    <w:p>
      <w:pPr>
        <w:pStyle w:val="Heading5"/>
        <w:rPr>
          <w:snapToGrid w:val="0"/>
        </w:rPr>
      </w:pPr>
      <w:bookmarkStart w:id="38" w:name="_Toc379278020"/>
      <w:bookmarkStart w:id="39" w:name="_Toc536182856"/>
      <w:bookmarkStart w:id="40" w:name="_Toc411833282"/>
      <w:bookmarkStart w:id="41" w:name="_Toc268270900"/>
      <w:r>
        <w:rPr>
          <w:rStyle w:val="CharSectno"/>
        </w:rPr>
        <w:t>5</w:t>
      </w:r>
      <w:r>
        <w:rPr>
          <w:snapToGrid w:val="0"/>
        </w:rPr>
        <w:t>.</w:t>
      </w:r>
      <w:r>
        <w:rPr>
          <w:snapToGrid w:val="0"/>
        </w:rPr>
        <w:tab/>
        <w:t>Investment and application of the Fund</w:t>
      </w:r>
      <w:bookmarkEnd w:id="38"/>
      <w:bookmarkEnd w:id="39"/>
      <w:bookmarkEnd w:id="40"/>
      <w:bookmarkEnd w:id="41"/>
      <w:r>
        <w:rPr>
          <w:snapToGrid w:val="0"/>
        </w:rPr>
        <w:t xml:space="preserve"> </w:t>
      </w:r>
    </w:p>
    <w:p>
      <w:pPr>
        <w:pStyle w:val="Subsection"/>
        <w:rPr>
          <w:snapToGrid w:val="0"/>
        </w:rPr>
      </w:pPr>
      <w:r>
        <w:rPr>
          <w:snapToGrid w:val="0"/>
        </w:rPr>
        <w:tab/>
        <w:t>(1)</w:t>
      </w:r>
      <w:r>
        <w:rPr>
          <w:snapToGrid w:val="0"/>
        </w:rPr>
        <w:tab/>
        <w:t xml:space="preserve">All moneys to the credit of the Fund shall be invested by the Trust, under and subject to the </w:t>
      </w:r>
      <w:r>
        <w:rPr>
          <w:i/>
          <w:snapToGrid w:val="0"/>
        </w:rPr>
        <w:t>Trustees Act 1900</w:t>
      </w:r>
      <w:r>
        <w:rPr>
          <w:snapToGrid w:val="0"/>
        </w:rPr>
        <w:t xml:space="preserve"> </w:t>
      </w:r>
      <w:r>
        <w:rPr>
          <w:snapToGrid w:val="0"/>
          <w:vertAlign w:val="superscript"/>
        </w:rPr>
        <w:t>2</w:t>
      </w:r>
      <w:r>
        <w:rPr>
          <w:snapToGrid w:val="0"/>
        </w:rPr>
        <w:t>, and shall accumulate with interest until 1 December 1940.</w:t>
      </w:r>
    </w:p>
    <w:p>
      <w:pPr>
        <w:pStyle w:val="Subsection"/>
        <w:rPr>
          <w:snapToGrid w:val="0"/>
        </w:rPr>
      </w:pPr>
      <w:r>
        <w:rPr>
          <w:snapToGrid w:val="0"/>
        </w:rPr>
        <w:tab/>
        <w:t>(2)</w:t>
      </w:r>
      <w:r>
        <w:rPr>
          <w:snapToGrid w:val="0"/>
        </w:rPr>
        <w:tab/>
        <w:t xml:space="preserve">Thereafter such moneys shall, subject to the regulations, be applied by the Trust in its discretion for the benefit of aged and/or invalid sailors, soldiers, airmen and nurses eligible for membership of the League, and for </w:t>
      </w:r>
      <w:r>
        <w:t>any person who, immediately before the death of any such sailor, soldier, airman or nurse, was the spouse or de facto partner of that person.</w:t>
      </w:r>
    </w:p>
    <w:p>
      <w:pPr>
        <w:pStyle w:val="Subsection"/>
        <w:rPr>
          <w:snapToGrid w:val="0"/>
        </w:rPr>
      </w:pPr>
      <w:r>
        <w:rPr>
          <w:snapToGrid w:val="0"/>
        </w:rPr>
        <w:tab/>
        <w:t>(3)</w:t>
      </w:r>
      <w:r>
        <w:rPr>
          <w:snapToGrid w:val="0"/>
        </w:rPr>
        <w:tab/>
        <w:t xml:space="preserve">A benefit under subsection (2) shall be applied only for a person who is domiciled in the State of </w:t>
      </w:r>
      <w:smartTag w:uri="urn:schemas-microsoft-com:office:smarttags" w:element="State">
        <w:smartTag w:uri="urn:schemas-microsoft-com:office:smarttags" w:element="place">
          <w:r>
            <w:rPr>
              <w:snapToGrid w:val="0"/>
            </w:rPr>
            <w:t>Western Australia</w:t>
          </w:r>
        </w:smartTag>
      </w:smartTag>
      <w:r>
        <w:rPr>
          <w:snapToGrid w:val="0"/>
        </w:rPr>
        <w:t>.</w:t>
      </w:r>
    </w:p>
    <w:p>
      <w:pPr>
        <w:pStyle w:val="Footnotesection"/>
      </w:pPr>
      <w:r>
        <w:tab/>
        <w:t>[Section 5 amended</w:t>
      </w:r>
      <w:del w:id="42" w:author="svcMRProcess" w:date="2019-01-25T13:02:00Z">
        <w:r>
          <w:delText xml:space="preserve"> by</w:delText>
        </w:r>
      </w:del>
      <w:ins w:id="43" w:author="svcMRProcess" w:date="2019-01-25T13:02:00Z">
        <w:r>
          <w:t>:</w:t>
        </w:r>
      </w:ins>
      <w:r>
        <w:t xml:space="preserve"> No. 24 of 1958 s. 6</w:t>
      </w:r>
      <w:r>
        <w:rPr>
          <w:vertAlign w:val="superscript"/>
        </w:rPr>
        <w:t xml:space="preserve"> 3</w:t>
      </w:r>
      <w:r>
        <w:t xml:space="preserve">; No. 28 of 2003 s. 206; No. 19 of 2010 s. 51.] </w:t>
      </w:r>
    </w:p>
    <w:p>
      <w:pPr>
        <w:pStyle w:val="Heading5"/>
        <w:rPr>
          <w:snapToGrid w:val="0"/>
        </w:rPr>
      </w:pPr>
      <w:bookmarkStart w:id="44" w:name="_Toc379278021"/>
      <w:bookmarkStart w:id="45" w:name="_Toc536182857"/>
      <w:bookmarkStart w:id="46" w:name="_Toc411833283"/>
      <w:bookmarkStart w:id="47" w:name="_Toc268270901"/>
      <w:r>
        <w:rPr>
          <w:rStyle w:val="CharSectno"/>
        </w:rPr>
        <w:t>6</w:t>
      </w:r>
      <w:r>
        <w:rPr>
          <w:snapToGrid w:val="0"/>
        </w:rPr>
        <w:t>.</w:t>
      </w:r>
      <w:r>
        <w:rPr>
          <w:snapToGrid w:val="0"/>
        </w:rPr>
        <w:tab/>
        <w:t>Expenses of Trust pending accumulation of the Fund</w:t>
      </w:r>
      <w:bookmarkEnd w:id="44"/>
      <w:bookmarkEnd w:id="45"/>
      <w:bookmarkEnd w:id="46"/>
      <w:bookmarkEnd w:id="47"/>
      <w:r>
        <w:rPr>
          <w:snapToGrid w:val="0"/>
        </w:rPr>
        <w:t xml:space="preserve"> </w:t>
      </w:r>
    </w:p>
    <w:p>
      <w:pPr>
        <w:pStyle w:val="Subsection"/>
        <w:rPr>
          <w:snapToGrid w:val="0"/>
        </w:rPr>
      </w:pPr>
      <w:r>
        <w:rPr>
          <w:snapToGrid w:val="0"/>
        </w:rPr>
        <w:tab/>
      </w:r>
      <w:r>
        <w:rPr>
          <w:snapToGrid w:val="0"/>
        </w:rPr>
        <w:tab/>
        <w:t>The League may defray from its general fund the expense incurred by the Trust in administering this Act, pending the accumulation of the Fund under the provisions of section 5.</w:t>
      </w:r>
    </w:p>
    <w:p>
      <w:pPr>
        <w:pStyle w:val="Heading5"/>
        <w:rPr>
          <w:snapToGrid w:val="0"/>
        </w:rPr>
      </w:pPr>
      <w:bookmarkStart w:id="48" w:name="_Toc379278022"/>
      <w:bookmarkStart w:id="49" w:name="_Toc536182858"/>
      <w:bookmarkStart w:id="50" w:name="_Toc411833284"/>
      <w:bookmarkStart w:id="51" w:name="_Toc268270902"/>
      <w:r>
        <w:rPr>
          <w:rStyle w:val="CharSectno"/>
        </w:rPr>
        <w:t>7</w:t>
      </w:r>
      <w:r>
        <w:rPr>
          <w:snapToGrid w:val="0"/>
        </w:rPr>
        <w:t>.</w:t>
      </w:r>
      <w:r>
        <w:rPr>
          <w:snapToGrid w:val="0"/>
        </w:rPr>
        <w:tab/>
        <w:t>Regulations</w:t>
      </w:r>
      <w:bookmarkEnd w:id="48"/>
      <w:bookmarkEnd w:id="49"/>
      <w:bookmarkEnd w:id="50"/>
      <w:bookmarkEnd w:id="51"/>
      <w:r>
        <w:rPr>
          <w:snapToGrid w:val="0"/>
        </w:rPr>
        <w:t xml:space="preserve"> </w:t>
      </w:r>
    </w:p>
    <w:p>
      <w:pPr>
        <w:pStyle w:val="Subsection"/>
        <w:rPr>
          <w:snapToGrid w:val="0"/>
        </w:rPr>
      </w:pPr>
      <w:r>
        <w:rPr>
          <w:snapToGrid w:val="0"/>
        </w:rPr>
        <w:tab/>
      </w:r>
      <w:r>
        <w:rPr>
          <w:snapToGrid w:val="0"/>
        </w:rPr>
        <w:tab/>
        <w:t>The Governor may make such regulations as are necessary or convenient to be made for the effective administration of this Act, or to facilitate the carrying out of the objects thereof.</w:t>
      </w:r>
    </w:p>
    <w:p>
      <w:pPr>
        <w:pStyle w:val="Heading5"/>
        <w:rPr>
          <w:snapToGrid w:val="0"/>
        </w:rPr>
      </w:pPr>
      <w:bookmarkStart w:id="52" w:name="_Toc379278023"/>
      <w:bookmarkStart w:id="53" w:name="_Toc536182859"/>
      <w:bookmarkStart w:id="54" w:name="_Toc411833285"/>
      <w:bookmarkStart w:id="55" w:name="_Toc268270903"/>
      <w:r>
        <w:rPr>
          <w:rStyle w:val="CharSectno"/>
        </w:rPr>
        <w:t>8</w:t>
      </w:r>
      <w:r>
        <w:rPr>
          <w:snapToGrid w:val="0"/>
        </w:rPr>
        <w:t>.</w:t>
      </w:r>
      <w:r>
        <w:rPr>
          <w:snapToGrid w:val="0"/>
        </w:rPr>
        <w:tab/>
        <w:t>Authority to conduct the annual Poppy Day appeal</w:t>
      </w:r>
      <w:bookmarkEnd w:id="52"/>
      <w:bookmarkEnd w:id="53"/>
      <w:bookmarkEnd w:id="54"/>
      <w:bookmarkEnd w:id="55"/>
      <w:r>
        <w:rPr>
          <w:snapToGrid w:val="0"/>
        </w:rPr>
        <w:t xml:space="preserve"> </w:t>
      </w:r>
    </w:p>
    <w:p>
      <w:pPr>
        <w:pStyle w:val="Subsection"/>
        <w:rPr>
          <w:snapToGrid w:val="0"/>
        </w:rPr>
      </w:pPr>
      <w:r>
        <w:rPr>
          <w:snapToGrid w:val="0"/>
        </w:rPr>
        <w:tab/>
        <w:t>(1)</w:t>
      </w:r>
      <w:r>
        <w:rPr>
          <w:snapToGrid w:val="0"/>
        </w:rPr>
        <w:tab/>
        <w:t>From and after the commencement of this section it shall be lawful for the League, but for no other body or person, to hold, manage, and conduct in Western Australia the annual Poppy Day appeal.</w:t>
      </w:r>
    </w:p>
    <w:p>
      <w:pPr>
        <w:pStyle w:val="Subsection"/>
        <w:rPr>
          <w:snapToGrid w:val="0"/>
        </w:rPr>
      </w:pPr>
      <w:r>
        <w:rPr>
          <w:snapToGrid w:val="0"/>
        </w:rPr>
        <w:tab/>
        <w:t>(2)</w:t>
      </w:r>
      <w:r>
        <w:rPr>
          <w:snapToGrid w:val="0"/>
        </w:rPr>
        <w:tab/>
        <w:t>The annual Poppy Day appeal shall be conducted in accordance with the regulations.</w:t>
      </w:r>
    </w:p>
    <w:p>
      <w:pPr>
        <w:pStyle w:val="Subsection"/>
        <w:rPr>
          <w:snapToGrid w:val="0"/>
        </w:rPr>
      </w:pPr>
      <w:r>
        <w:rPr>
          <w:snapToGrid w:val="0"/>
        </w:rPr>
        <w:tab/>
        <w:t>(3)</w:t>
      </w:r>
      <w:r>
        <w:rPr>
          <w:snapToGrid w:val="0"/>
        </w:rPr>
        <w:tab/>
        <w:t>Any person who, in contravention of this section, conducts, or attempts to conduct, or permits or suffers to be conducted, or who aids in, abets, takes part in, or whether with or without personal reward or remuneration as a servant or agent, or otherwise engages in the conduct of the annual Poppy Day appeal, will be guilty of an offence.</w:t>
      </w:r>
    </w:p>
    <w:p>
      <w:pPr>
        <w:pStyle w:val="Penstart"/>
        <w:rPr>
          <w:snapToGrid w:val="0"/>
        </w:rPr>
      </w:pPr>
      <w:r>
        <w:rPr>
          <w:snapToGrid w:val="0"/>
        </w:rPr>
        <w:tab/>
        <w:t>Penalty: $200.</w:t>
      </w:r>
    </w:p>
    <w:p>
      <w:pPr>
        <w:pStyle w:val="Subsection"/>
        <w:rPr>
          <w:snapToGrid w:val="0"/>
        </w:rPr>
      </w:pPr>
      <w:r>
        <w:rPr>
          <w:snapToGrid w:val="0"/>
        </w:rPr>
        <w:tab/>
        <w:t>(4)</w:t>
      </w:r>
      <w:r>
        <w:rPr>
          <w:snapToGrid w:val="0"/>
        </w:rPr>
        <w:tab/>
        <w:t>Where any annual Poppy Day appeal is conducted in contravention of this section, any moneys collected by such appeal shall be held by the person collecting or having such moneys in his possession in trust for the League, and such person, on demand, shall pay such moneys to the League, and until such moneys are so paid to the League the amount thereof shall be a debt owing to the League from the person for the time being holding the same, and shall be recoverable by the League from such person in any court of competent jurisdiction.</w:t>
      </w:r>
    </w:p>
    <w:p>
      <w:pPr>
        <w:pStyle w:val="Footnotesection"/>
      </w:pPr>
      <w:r>
        <w:tab/>
        <w:t>[Section 8 inserted</w:t>
      </w:r>
      <w:del w:id="56" w:author="svcMRProcess" w:date="2019-01-25T13:02:00Z">
        <w:r>
          <w:delText xml:space="preserve"> by</w:delText>
        </w:r>
      </w:del>
      <w:ins w:id="57" w:author="svcMRProcess" w:date="2019-01-25T13:02:00Z">
        <w:r>
          <w:t>:</w:t>
        </w:r>
      </w:ins>
      <w:r>
        <w:t xml:space="preserve"> No. 10 of 1934 s. 3; amended</w:t>
      </w:r>
      <w:del w:id="58" w:author="svcMRProcess" w:date="2019-01-25T13:02:00Z">
        <w:r>
          <w:delText xml:space="preserve"> by</w:delText>
        </w:r>
      </w:del>
      <w:ins w:id="59" w:author="svcMRProcess" w:date="2019-01-25T13:02:00Z">
        <w:r>
          <w:t>:</w:t>
        </w:r>
      </w:ins>
      <w:r>
        <w:t xml:space="preserve"> No. 113 of 1965 s. 8(1).] </w:t>
      </w:r>
    </w:p>
    <w:p>
      <w:pPr>
        <w:rPr>
          <w:rStyle w:val="CharDivText"/>
        </w:r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nHeading2"/>
      </w:pPr>
      <w:bookmarkStart w:id="60" w:name="_Toc379278024"/>
      <w:bookmarkStart w:id="61" w:name="_Toc424568187"/>
      <w:bookmarkStart w:id="62" w:name="_Toc536182860"/>
      <w:bookmarkStart w:id="63" w:name="_Toc162864199"/>
      <w:bookmarkStart w:id="64" w:name="_Toc162864279"/>
      <w:bookmarkStart w:id="65" w:name="_Toc162864393"/>
      <w:bookmarkStart w:id="66" w:name="_Toc165177114"/>
      <w:bookmarkStart w:id="67" w:name="_Toc165190862"/>
      <w:bookmarkStart w:id="68" w:name="_Toc165363518"/>
      <w:bookmarkStart w:id="69" w:name="_Toc165786279"/>
      <w:bookmarkStart w:id="70" w:name="_Toc165867686"/>
      <w:bookmarkStart w:id="71" w:name="_Toc169336140"/>
      <w:bookmarkStart w:id="72" w:name="_Toc169412560"/>
      <w:bookmarkStart w:id="73" w:name="_Toc171839163"/>
      <w:bookmarkStart w:id="74" w:name="_Toc171839312"/>
      <w:bookmarkStart w:id="75" w:name="_Toc268270904"/>
      <w:r>
        <w:t>Notes</w:t>
      </w:r>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p>
      <w:pPr>
        <w:pStyle w:val="nSubsection"/>
        <w:rPr>
          <w:snapToGrid w:val="0"/>
        </w:rPr>
      </w:pPr>
      <w:r>
        <w:rPr>
          <w:snapToGrid w:val="0"/>
          <w:vertAlign w:val="superscript"/>
        </w:rPr>
        <w:t>1</w:t>
      </w:r>
      <w:r>
        <w:rPr>
          <w:snapToGrid w:val="0"/>
        </w:rPr>
        <w:tab/>
        <w:t xml:space="preserve">This is a compilation of the </w:t>
      </w:r>
      <w:r>
        <w:rPr>
          <w:i/>
          <w:noProof/>
          <w:snapToGrid w:val="0"/>
        </w:rPr>
        <w:t>Western Australian Aged Sailors, Soldiers and Airmen’s Relief Fund Act 1932</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76" w:name="_Toc379278025"/>
      <w:bookmarkStart w:id="77" w:name="_Toc536182861"/>
      <w:bookmarkStart w:id="78" w:name="_Toc268270905"/>
      <w:r>
        <w:rPr>
          <w:snapToGrid w:val="0"/>
        </w:rPr>
        <w:t>Compilation table</w:t>
      </w:r>
      <w:bookmarkEnd w:id="76"/>
      <w:bookmarkEnd w:id="77"/>
      <w:bookmarkEnd w:id="78"/>
    </w:p>
    <w:tbl>
      <w:tblPr>
        <w:tblW w:w="7089" w:type="dxa"/>
        <w:tblInd w:w="28" w:type="dxa"/>
        <w:tblLayout w:type="fixed"/>
        <w:tblCellMar>
          <w:left w:w="56" w:type="dxa"/>
          <w:right w:w="56" w:type="dxa"/>
        </w:tblCellMar>
        <w:tblLook w:val="0000" w:firstRow="0" w:lastRow="0" w:firstColumn="0" w:lastColumn="0" w:noHBand="0" w:noVBand="0"/>
      </w:tblPr>
      <w:tblGrid>
        <w:gridCol w:w="2269"/>
        <w:gridCol w:w="1135"/>
        <w:gridCol w:w="1134"/>
        <w:gridCol w:w="2551"/>
      </w:tblGrid>
      <w:tr>
        <w:trPr>
          <w:tblHeader/>
        </w:trPr>
        <w:tc>
          <w:tcPr>
            <w:tcW w:w="2270"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5"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3" w:type="dxa"/>
            <w:tcBorders>
              <w:top w:val="single" w:sz="8" w:space="0" w:color="auto"/>
              <w:bottom w:val="single" w:sz="8" w:space="0" w:color="auto"/>
            </w:tcBorders>
            <w:shd w:val="clear" w:color="auto" w:fill="auto"/>
          </w:tcPr>
          <w:p>
            <w:pPr>
              <w:pStyle w:val="nTable"/>
              <w:spacing w:after="40"/>
              <w:rPr>
                <w:b/>
              </w:rPr>
            </w:pPr>
            <w:r>
              <w:rPr>
                <w:b/>
              </w:rPr>
              <w:t>Assent</w:t>
            </w:r>
          </w:p>
        </w:tc>
        <w:tc>
          <w:tcPr>
            <w:tcW w:w="2549"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2268" w:type="dxa"/>
            <w:tcBorders>
              <w:top w:val="single" w:sz="8" w:space="0" w:color="auto"/>
            </w:tcBorders>
          </w:tcPr>
          <w:p>
            <w:pPr>
              <w:pStyle w:val="nTable"/>
              <w:spacing w:after="40"/>
              <w:rPr>
                <w:vertAlign w:val="superscript"/>
              </w:rPr>
            </w:pPr>
            <w:r>
              <w:rPr>
                <w:i/>
              </w:rPr>
              <w:t>Western Australian Aged Sailors and Soldiers’ Relief Fund Act 1932 </w:t>
            </w:r>
            <w:r>
              <w:rPr>
                <w:iCs/>
                <w:vertAlign w:val="superscript"/>
              </w:rPr>
              <w:t>4</w:t>
            </w:r>
          </w:p>
        </w:tc>
        <w:tc>
          <w:tcPr>
            <w:tcW w:w="1134" w:type="dxa"/>
            <w:tcBorders>
              <w:top w:val="single" w:sz="8" w:space="0" w:color="auto"/>
            </w:tcBorders>
          </w:tcPr>
          <w:p>
            <w:pPr>
              <w:pStyle w:val="nTable"/>
              <w:spacing w:after="40"/>
            </w:pPr>
            <w:r>
              <w:t xml:space="preserve">39 of 1932 </w:t>
            </w:r>
            <w:r>
              <w:rPr>
                <w:color w:val="000000"/>
              </w:rPr>
              <w:t>(23 Geo. V No. 39)</w:t>
            </w:r>
          </w:p>
        </w:tc>
        <w:tc>
          <w:tcPr>
            <w:tcW w:w="1134" w:type="dxa"/>
            <w:tcBorders>
              <w:top w:val="single" w:sz="8" w:space="0" w:color="auto"/>
            </w:tcBorders>
          </w:tcPr>
          <w:p>
            <w:pPr>
              <w:pStyle w:val="nTable"/>
              <w:spacing w:after="40"/>
            </w:pPr>
            <w:r>
              <w:t>30 Dec 1932</w:t>
            </w:r>
          </w:p>
        </w:tc>
        <w:tc>
          <w:tcPr>
            <w:tcW w:w="2551" w:type="dxa"/>
            <w:tcBorders>
              <w:top w:val="single" w:sz="8" w:space="0" w:color="auto"/>
            </w:tcBorders>
          </w:tcPr>
          <w:p>
            <w:pPr>
              <w:pStyle w:val="nTable"/>
              <w:spacing w:after="40"/>
            </w:pPr>
            <w:r>
              <w:t>1 Jan 1933 (see s. 1)</w:t>
            </w:r>
          </w:p>
        </w:tc>
      </w:tr>
      <w:tr>
        <w:tc>
          <w:tcPr>
            <w:tcW w:w="2268" w:type="dxa"/>
          </w:tcPr>
          <w:p>
            <w:pPr>
              <w:pStyle w:val="nTable"/>
              <w:spacing w:after="40"/>
            </w:pPr>
            <w:r>
              <w:rPr>
                <w:i/>
              </w:rPr>
              <w:t>Western Australian Aged Sailors and Soldiers’ Relief Fund Amendment Act 1934</w:t>
            </w:r>
          </w:p>
        </w:tc>
        <w:tc>
          <w:tcPr>
            <w:tcW w:w="1134" w:type="dxa"/>
          </w:tcPr>
          <w:p>
            <w:pPr>
              <w:pStyle w:val="nTable"/>
              <w:spacing w:after="40"/>
            </w:pPr>
            <w:r>
              <w:t xml:space="preserve">10 of 1934 </w:t>
            </w:r>
            <w:r>
              <w:rPr>
                <w:color w:val="000000"/>
              </w:rPr>
              <w:t>(25 Geo. V No. 9)</w:t>
            </w:r>
          </w:p>
        </w:tc>
        <w:tc>
          <w:tcPr>
            <w:tcW w:w="1134" w:type="dxa"/>
          </w:tcPr>
          <w:p>
            <w:pPr>
              <w:pStyle w:val="nTable"/>
              <w:spacing w:after="40"/>
            </w:pPr>
            <w:r>
              <w:t>9 Nov 1934</w:t>
            </w:r>
          </w:p>
        </w:tc>
        <w:tc>
          <w:tcPr>
            <w:tcW w:w="2551" w:type="dxa"/>
          </w:tcPr>
          <w:p>
            <w:pPr>
              <w:pStyle w:val="nTable"/>
              <w:spacing w:after="40"/>
            </w:pPr>
            <w:r>
              <w:t>9 Nov 1934</w:t>
            </w:r>
          </w:p>
        </w:tc>
      </w:tr>
      <w:tr>
        <w:tc>
          <w:tcPr>
            <w:tcW w:w="2268" w:type="dxa"/>
          </w:tcPr>
          <w:p>
            <w:pPr>
              <w:pStyle w:val="nTable"/>
              <w:spacing w:after="40"/>
            </w:pPr>
            <w:r>
              <w:rPr>
                <w:i/>
              </w:rPr>
              <w:t>Western Australian Aged Sailors and Soldiers’ Relief Fund Act Amendment Act 1958</w:t>
            </w:r>
          </w:p>
        </w:tc>
        <w:tc>
          <w:tcPr>
            <w:tcW w:w="1134" w:type="dxa"/>
          </w:tcPr>
          <w:p>
            <w:pPr>
              <w:pStyle w:val="nTable"/>
              <w:spacing w:after="40"/>
            </w:pPr>
            <w:r>
              <w:t xml:space="preserve">24 of 1958 </w:t>
            </w:r>
            <w:r>
              <w:rPr>
                <w:color w:val="000000"/>
              </w:rPr>
              <w:t>(7 Eliz. II No. 24)</w:t>
            </w:r>
          </w:p>
        </w:tc>
        <w:tc>
          <w:tcPr>
            <w:tcW w:w="1134" w:type="dxa"/>
          </w:tcPr>
          <w:p>
            <w:pPr>
              <w:pStyle w:val="nTable"/>
              <w:spacing w:after="40"/>
            </w:pPr>
            <w:r>
              <w:t>11 Nov 1958</w:t>
            </w:r>
          </w:p>
        </w:tc>
        <w:tc>
          <w:tcPr>
            <w:tcW w:w="2551" w:type="dxa"/>
          </w:tcPr>
          <w:p>
            <w:pPr>
              <w:pStyle w:val="nTable"/>
              <w:spacing w:after="40"/>
            </w:pPr>
            <w:r>
              <w:t>11 Nov 1958</w:t>
            </w:r>
          </w:p>
        </w:tc>
      </w:tr>
      <w:tr>
        <w:tc>
          <w:tcPr>
            <w:tcW w:w="2268" w:type="dxa"/>
          </w:tcPr>
          <w:p>
            <w:pPr>
              <w:pStyle w:val="nTable"/>
              <w:spacing w:after="40"/>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4-9: 21 Dec 1965 (see s. 2(1));</w:t>
            </w:r>
            <w:r>
              <w:br/>
              <w:t>s. 4-9: 14 Feb 1966 (see s. 2(2))</w:t>
            </w:r>
          </w:p>
        </w:tc>
      </w:tr>
      <w:tr>
        <w:trPr>
          <w:cantSplit/>
        </w:trPr>
        <w:tc>
          <w:tcPr>
            <w:tcW w:w="7087" w:type="dxa"/>
            <w:gridSpan w:val="4"/>
          </w:tcPr>
          <w:p>
            <w:pPr>
              <w:pStyle w:val="nTable"/>
              <w:spacing w:after="40"/>
            </w:pPr>
            <w:r>
              <w:rPr>
                <w:b/>
                <w:bCs/>
              </w:rPr>
              <w:t xml:space="preserve">Reprint of the </w:t>
            </w:r>
            <w:r>
              <w:rPr>
                <w:b/>
                <w:bCs/>
                <w:i/>
              </w:rPr>
              <w:t xml:space="preserve">Western Australian Aged Sailors, Soldiers and Airmen’s Relief Fund Act 1932 </w:t>
            </w:r>
            <w:r>
              <w:rPr>
                <w:b/>
                <w:bCs/>
              </w:rPr>
              <w:t xml:space="preserve">as at </w:t>
            </w:r>
            <w:r>
              <w:rPr>
                <w:b/>
              </w:rPr>
              <w:t>7 Feb 1989</w:t>
            </w:r>
            <w:r>
              <w:t xml:space="preserve"> (includes amendments listed above)</w:t>
            </w:r>
          </w:p>
        </w:tc>
      </w:tr>
      <w:tr>
        <w:tc>
          <w:tcPr>
            <w:tcW w:w="2268" w:type="dxa"/>
          </w:tcPr>
          <w:p>
            <w:pPr>
              <w:pStyle w:val="nTable"/>
              <w:spacing w:after="40"/>
            </w:pPr>
            <w:r>
              <w:rPr>
                <w:i/>
              </w:rPr>
              <w:t>Acts Amendment (Equality of Status) Act 2003</w:t>
            </w:r>
            <w:r>
              <w:t xml:space="preserve"> Pt. 60</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7087" w:type="dxa"/>
            <w:gridSpan w:val="4"/>
          </w:tcPr>
          <w:p>
            <w:pPr>
              <w:pStyle w:val="nTable"/>
              <w:spacing w:after="40"/>
            </w:pPr>
            <w:r>
              <w:rPr>
                <w:b/>
                <w:bCs/>
              </w:rPr>
              <w:t xml:space="preserve">Reprint 2:  The </w:t>
            </w:r>
            <w:r>
              <w:rPr>
                <w:b/>
                <w:bCs/>
                <w:i/>
              </w:rPr>
              <w:t>Western Australian Aged Sailors, Soldiers and Airmen’s Relief Fund Act 1932</w:t>
            </w:r>
            <w:r>
              <w:rPr>
                <w:b/>
                <w:bCs/>
              </w:rPr>
              <w:t xml:space="preserve"> as at 1 Jun 2007</w:t>
            </w:r>
            <w:r>
              <w:t xml:space="preserve"> (includes amendments listed above)</w:t>
            </w:r>
          </w:p>
        </w:tc>
      </w:tr>
      <w:tr>
        <w:trPr>
          <w:cantSplit/>
        </w:trPr>
        <w:tc>
          <w:tcPr>
            <w:tcW w:w="2270" w:type="dxa"/>
            <w:shd w:val="clear" w:color="auto" w:fill="auto"/>
          </w:tcPr>
          <w:p>
            <w:pPr>
              <w:pStyle w:val="nTable"/>
              <w:spacing w:after="40"/>
              <w:ind w:right="113"/>
              <w:rPr>
                <w:iCs/>
                <w:snapToGrid w:val="0"/>
              </w:rPr>
            </w:pPr>
            <w:r>
              <w:rPr>
                <w:i/>
                <w:snapToGrid w:val="0"/>
              </w:rPr>
              <w:t>Standardisation of Formatting Act 2010</w:t>
            </w:r>
            <w:r>
              <w:rPr>
                <w:iCs/>
                <w:snapToGrid w:val="0"/>
              </w:rPr>
              <w:t xml:space="preserve"> s. 51</w:t>
            </w:r>
          </w:p>
        </w:tc>
        <w:tc>
          <w:tcPr>
            <w:tcW w:w="1135" w:type="dxa"/>
            <w:shd w:val="clear" w:color="auto" w:fill="auto"/>
          </w:tcPr>
          <w:p>
            <w:pPr>
              <w:pStyle w:val="nTable"/>
              <w:spacing w:after="40"/>
              <w:rPr>
                <w:snapToGrid w:val="0"/>
              </w:rPr>
            </w:pPr>
            <w:r>
              <w:rPr>
                <w:snapToGrid w:val="0"/>
              </w:rPr>
              <w:t>19 of 2010</w:t>
            </w:r>
          </w:p>
        </w:tc>
        <w:tc>
          <w:tcPr>
            <w:tcW w:w="1133" w:type="dxa"/>
            <w:shd w:val="clear" w:color="auto" w:fill="auto"/>
          </w:tcPr>
          <w:p>
            <w:pPr>
              <w:pStyle w:val="nTable"/>
              <w:spacing w:after="40"/>
              <w:rPr>
                <w:snapToGrid w:val="0"/>
              </w:rPr>
            </w:pPr>
            <w:r>
              <w:rPr>
                <w:snapToGrid w:val="0"/>
              </w:rPr>
              <w:t>28 Jun 2010</w:t>
            </w:r>
          </w:p>
        </w:tc>
        <w:tc>
          <w:tcPr>
            <w:tcW w:w="2551" w:type="dxa"/>
            <w:shd w:val="clear" w:color="auto" w:fill="auto"/>
          </w:tcPr>
          <w:p>
            <w:pPr>
              <w:pStyle w:val="nTable"/>
              <w:spacing w:after="40"/>
              <w:rPr>
                <w:snapToGrid w:val="0"/>
              </w:rPr>
            </w:pPr>
            <w:r>
              <w:rPr>
                <w:snapToGrid w:val="0"/>
              </w:rPr>
              <w:t xml:space="preserve">11 Sep 2010 (see s. 2(b) and </w:t>
            </w:r>
            <w:r>
              <w:rPr>
                <w:i/>
                <w:iCs/>
                <w:snapToGrid w:val="0"/>
              </w:rPr>
              <w:t>Gazette</w:t>
            </w:r>
            <w:r>
              <w:rPr>
                <w:snapToGrid w:val="0"/>
              </w:rPr>
              <w:t xml:space="preserve"> 10 Sep 2010 p. 4341)</w:t>
            </w:r>
          </w:p>
        </w:tc>
      </w:tr>
      <w:tr>
        <w:trPr>
          <w:cantSplit/>
          <w:ins w:id="79" w:author="svcMRProcess" w:date="2019-01-25T13:02:00Z"/>
        </w:trPr>
        <w:tc>
          <w:tcPr>
            <w:tcW w:w="2270" w:type="dxa"/>
            <w:tcBorders>
              <w:bottom w:val="single" w:sz="8" w:space="0" w:color="auto"/>
            </w:tcBorders>
            <w:shd w:val="clear" w:color="auto" w:fill="auto"/>
          </w:tcPr>
          <w:p>
            <w:pPr>
              <w:pStyle w:val="nTable"/>
              <w:spacing w:after="40"/>
              <w:ind w:right="113"/>
              <w:rPr>
                <w:ins w:id="80" w:author="svcMRProcess" w:date="2019-01-25T13:02:00Z"/>
                <w:snapToGrid w:val="0"/>
              </w:rPr>
            </w:pPr>
            <w:ins w:id="81" w:author="svcMRProcess" w:date="2019-01-25T13:02:00Z">
              <w:r>
                <w:rPr>
                  <w:i/>
                  <w:snapToGrid w:val="0"/>
                </w:rPr>
                <w:t>Statutes (Repeals and Minor Amendments) Act 2011</w:t>
              </w:r>
              <w:r>
                <w:rPr>
                  <w:snapToGrid w:val="0"/>
                </w:rPr>
                <w:t xml:space="preserve"> s. 17</w:t>
              </w:r>
            </w:ins>
          </w:p>
        </w:tc>
        <w:tc>
          <w:tcPr>
            <w:tcW w:w="1135" w:type="dxa"/>
            <w:tcBorders>
              <w:bottom w:val="single" w:sz="8" w:space="0" w:color="auto"/>
            </w:tcBorders>
            <w:shd w:val="clear" w:color="auto" w:fill="auto"/>
          </w:tcPr>
          <w:p>
            <w:pPr>
              <w:pStyle w:val="nTable"/>
              <w:spacing w:after="40"/>
              <w:rPr>
                <w:ins w:id="82" w:author="svcMRProcess" w:date="2019-01-25T13:02:00Z"/>
                <w:snapToGrid w:val="0"/>
              </w:rPr>
            </w:pPr>
            <w:ins w:id="83" w:author="svcMRProcess" w:date="2019-01-25T13:02:00Z">
              <w:r>
                <w:rPr>
                  <w:snapToGrid w:val="0"/>
                </w:rPr>
                <w:t>47 of 2011</w:t>
              </w:r>
            </w:ins>
          </w:p>
        </w:tc>
        <w:tc>
          <w:tcPr>
            <w:tcW w:w="1133" w:type="dxa"/>
            <w:tcBorders>
              <w:bottom w:val="single" w:sz="8" w:space="0" w:color="auto"/>
            </w:tcBorders>
            <w:shd w:val="clear" w:color="auto" w:fill="auto"/>
          </w:tcPr>
          <w:p>
            <w:pPr>
              <w:pStyle w:val="nTable"/>
              <w:spacing w:after="40"/>
              <w:rPr>
                <w:ins w:id="84" w:author="svcMRProcess" w:date="2019-01-25T13:02:00Z"/>
                <w:snapToGrid w:val="0"/>
              </w:rPr>
            </w:pPr>
            <w:ins w:id="85" w:author="svcMRProcess" w:date="2019-01-25T13:02:00Z">
              <w:r>
                <w:rPr>
                  <w:snapToGrid w:val="0"/>
                </w:rPr>
                <w:t>25 Oct 2011</w:t>
              </w:r>
            </w:ins>
          </w:p>
        </w:tc>
        <w:tc>
          <w:tcPr>
            <w:tcW w:w="2551" w:type="dxa"/>
            <w:tcBorders>
              <w:bottom w:val="single" w:sz="8" w:space="0" w:color="auto"/>
            </w:tcBorders>
            <w:shd w:val="clear" w:color="auto" w:fill="auto"/>
          </w:tcPr>
          <w:p>
            <w:pPr>
              <w:pStyle w:val="nTable"/>
              <w:spacing w:after="40"/>
              <w:rPr>
                <w:ins w:id="86" w:author="svcMRProcess" w:date="2019-01-25T13:02:00Z"/>
                <w:snapToGrid w:val="0"/>
              </w:rPr>
            </w:pPr>
            <w:ins w:id="87" w:author="svcMRProcess" w:date="2019-01-25T13:02:00Z">
              <w:r>
                <w:rPr>
                  <w:snapToGrid w:val="0"/>
                </w:rPr>
                <w:t>26 Oct 2011 (see s. 2(b))</w:t>
              </w:r>
            </w:ins>
          </w:p>
        </w:tc>
      </w:tr>
    </w:tbl>
    <w:p>
      <w:pPr>
        <w:pStyle w:val="nSubsection"/>
        <w:spacing w:before="160"/>
        <w:rPr>
          <w:snapToGrid w:val="0"/>
        </w:rPr>
      </w:pPr>
      <w:r>
        <w:rPr>
          <w:snapToGrid w:val="0"/>
          <w:vertAlign w:val="superscript"/>
        </w:rPr>
        <w:t>2</w:t>
      </w:r>
      <w:r>
        <w:rPr>
          <w:snapToGrid w:val="0"/>
        </w:rPr>
        <w:tab/>
        <w:t xml:space="preserve">Repealed by the </w:t>
      </w:r>
      <w:r>
        <w:rPr>
          <w:i/>
          <w:iCs/>
          <w:snapToGrid w:val="0"/>
        </w:rPr>
        <w:t>Trustees Act 1962</w:t>
      </w:r>
      <w:r>
        <w:rPr>
          <w:snapToGrid w:val="0"/>
        </w:rPr>
        <w:t>.</w:t>
      </w:r>
    </w:p>
    <w:p>
      <w:pPr>
        <w:pStyle w:val="nSubsection"/>
        <w:rPr>
          <w:snapToGrid w:val="0"/>
        </w:rPr>
      </w:pPr>
      <w:r>
        <w:rPr>
          <w:snapToGrid w:val="0"/>
          <w:vertAlign w:val="superscript"/>
        </w:rPr>
        <w:t>3</w:t>
      </w:r>
      <w:r>
        <w:rPr>
          <w:snapToGrid w:val="0"/>
        </w:rPr>
        <w:tab/>
        <w:t xml:space="preserve">An amendment was made to this section by the </w:t>
      </w:r>
      <w:r>
        <w:rPr>
          <w:i/>
        </w:rPr>
        <w:t>Western Australian Aged Sailors and Soldiers’ Relief Fund Act Amendment Act 1958</w:t>
      </w:r>
      <w:r>
        <w:rPr>
          <w:snapToGrid w:val="0"/>
        </w:rPr>
        <w:t xml:space="preserve"> s. 6(b) which reads as follows:</w:t>
      </w:r>
    </w:p>
    <w:p>
      <w:pPr>
        <w:pStyle w:val="MiscOpen"/>
        <w:rPr>
          <w:snapToGrid w:val="0"/>
        </w:rPr>
      </w:pPr>
      <w:r>
        <w:rPr>
          <w:snapToGrid w:val="0"/>
        </w:rPr>
        <w:t>“</w:t>
      </w:r>
    </w:p>
    <w:p>
      <w:pPr>
        <w:pStyle w:val="nzSubsection"/>
        <w:rPr>
          <w:snapToGrid w:val="0"/>
        </w:rPr>
      </w:pPr>
      <w:r>
        <w:rPr>
          <w:snapToGrid w:val="0"/>
        </w:rPr>
        <w:tab/>
        <w:t>(b)</w:t>
      </w:r>
      <w:r>
        <w:rPr>
          <w:snapToGrid w:val="0"/>
        </w:rPr>
        <w:tab/>
        <w:t>by substituting for the passage, “soldiers or sailors,” in lines eight and nine, the passage, “sailors, soldiers and airmen,”;</w:t>
      </w:r>
    </w:p>
    <w:p>
      <w:pPr>
        <w:pStyle w:val="MiscClose"/>
      </w:pPr>
      <w:r>
        <w:t>”,</w:t>
      </w:r>
    </w:p>
    <w:p>
      <w:pPr>
        <w:pStyle w:val="nSubsection"/>
        <w:rPr>
          <w:snapToGrid w:val="0"/>
        </w:rPr>
      </w:pPr>
      <w:r>
        <w:rPr>
          <w:snapToGrid w:val="0"/>
        </w:rPr>
        <w:tab/>
        <w:t xml:space="preserve">This amendment is inconsistent with the amendment made by the </w:t>
      </w:r>
      <w:r>
        <w:rPr>
          <w:i/>
        </w:rPr>
        <w:t>Western Australian Aged Sailors and Soldiers’ Relief Fund Act Amendment Act 1958</w:t>
      </w:r>
      <w:r>
        <w:rPr>
          <w:snapToGrid w:val="0"/>
        </w:rPr>
        <w:t xml:space="preserve"> s. 6(c) and the latter has been incorporated in this reprint.</w:t>
      </w:r>
    </w:p>
    <w:p>
      <w:pPr>
        <w:pStyle w:val="nSubsection"/>
        <w:rPr>
          <w:snapToGrid w:val="0"/>
        </w:rPr>
      </w:pPr>
      <w:r>
        <w:rPr>
          <w:snapToGrid w:val="0"/>
          <w:vertAlign w:val="superscript"/>
        </w:rPr>
        <w:t>4</w:t>
      </w:r>
      <w:r>
        <w:rPr>
          <w:snapToGrid w:val="0"/>
        </w:rPr>
        <w:tab/>
        <w:t xml:space="preserve">Now known as the </w:t>
      </w:r>
      <w:r>
        <w:rPr>
          <w:i/>
          <w:snapToGrid w:val="0"/>
        </w:rPr>
        <w:t>Western Australian Aged Sailors, Soldiers and Airmen’s Relief Fund Act 1932</w:t>
      </w:r>
      <w:r>
        <w:rPr>
          <w:iCs/>
          <w:snapToGrid w:val="0"/>
        </w:rPr>
        <w:t>; short title changed (see note under s. 1).</w:t>
      </w:r>
    </w:p>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sectPr>
      <w:headerReference w:type="even" r:id="rId24"/>
      <w:headerReference w:type="default" r:id="rId25"/>
      <w:footerReference w:type="even" r:id="rId26"/>
      <w:footerReference w:type="default" r:id="rId27"/>
      <w:headerReference w:type="first" r:id="rId28"/>
      <w:footerReference w:type="first" r:id="rId29"/>
      <w:type w:val="continuous"/>
      <w:pgSz w:w="11907" w:h="16840" w:code="9"/>
      <w:pgMar w:top="2376" w:right="2404" w:bottom="3544" w:left="2404" w:header="709"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11 Sep 2010</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02-c0-01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26 Oct 2011</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02-d0-05</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89" w:name="Coversheet"/>
    <w:bookmarkEnd w:id="8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0" w:name="TitlePage"/>
    <w:bookmarkEnd w:id="0"/>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Aged Sailors, Soldiers and Airmen’s Relief Fund Act 1932</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vAlign w:val="bottom"/>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Aged Sailors, Soldiers and Airmen’s Relief Fund Act 1932</w:t>
          </w:r>
          <w:r>
            <w:rPr>
              <w:b/>
              <w:i/>
            </w:rPr>
            <w:fldChar w:fldCharType="end"/>
          </w:r>
        </w:p>
      </w:tc>
    </w:tr>
    <w:tr>
      <w:tc>
        <w:tcPr>
          <w:tcW w:w="5715" w:type="dxa"/>
          <w:vAlign w:val="bottom"/>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 xml:space="preserve"> Styleref "Name of Act/Reg" </w:instrText>
          </w:r>
          <w:r>
            <w:rPr>
              <w:b/>
              <w:i/>
            </w:rPr>
            <w:fldChar w:fldCharType="separate"/>
          </w:r>
          <w:r>
            <w:rPr>
              <w:b/>
              <w:i/>
            </w:rPr>
            <w:t>Western Australian Aged Sailors, Soldiers and Airmen’s Relief Fund Act 1932</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Western Australian Aged Sailors, Soldiers and Airmen’s Relief Fund Act 1932</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88" w:name="Compilation"/>
    <w:bookmarkEnd w:id="88"/>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51AF93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96F22CF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7F5A26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D5965E78"/>
    <w:lvl w:ilvl="0">
      <w:start w:val="1"/>
      <w:numFmt w:val="decimal"/>
      <w:pStyle w:val="ListNumber2"/>
      <w:lvlText w:val="%1."/>
      <w:lvlJc w:val="left"/>
      <w:pPr>
        <w:tabs>
          <w:tab w:val="num" w:pos="720"/>
        </w:tabs>
        <w:ind w:left="720" w:hanging="360"/>
      </w:pPr>
    </w:lvl>
  </w:abstractNum>
  <w:abstractNum w:abstractNumId="4">
    <w:nsid w:val="FFFFFF80"/>
    <w:multiLevelType w:val="singleLevel"/>
    <w:tmpl w:val="BC6AA33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8834C9C2"/>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334BD2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D7FC891A"/>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B56D1B0"/>
    <w:lvl w:ilvl="0">
      <w:start w:val="1"/>
      <w:numFmt w:val="decimal"/>
      <w:pStyle w:val="ListNumber"/>
      <w:lvlText w:val="%1."/>
      <w:lvlJc w:val="left"/>
      <w:pPr>
        <w:tabs>
          <w:tab w:val="num" w:pos="360"/>
        </w:tabs>
        <w:ind w:left="360" w:hanging="360"/>
      </w:pPr>
    </w:lvl>
  </w:abstractNum>
  <w:abstractNum w:abstractNumId="9">
    <w:nsid w:val="FFFFFF89"/>
    <w:multiLevelType w:val="singleLevel"/>
    <w:tmpl w:val="DCFC470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26DE9F88"/>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15953"/>
    <w:docVar w:name="WAFER_20140204112911" w:val="RemoveTocBookmarks,RemoveUnusedBookmarks,RemoveLanguageTags,UsedStyles,ResetPageSize,UpdateArrangement"/>
    <w:docVar w:name="WAFER_20140204112911_GUID" w:val="8b3f4542-07a8-4409-b216-b272536b635e"/>
    <w:docVar w:name="WAFER_20140204114555" w:val="RemoveTocBookmarks,RunningHeaders"/>
    <w:docVar w:name="WAFER_20140204114555_GUID" w:val="90c015d5-ee9e-44bb-b67d-48b904fcf0bd"/>
    <w:docVar w:name="WAFER_20150713160229" w:val="ResetPageSize,UpdateArrangement,UpdateNTable"/>
    <w:docVar w:name="WAFER_20150713160229_GUID" w:val="d499ffa9-ab98-41ce-be3a-67af97be81a2"/>
    <w:docVar w:name="WAFER_20151110115953" w:val="UpdateStyles,UsedStyles"/>
    <w:docVar w:name="WAFER_20151110115953_GUID" w:val="cb2a7eb7-e85c-4bd8-8a90-7a327fd7b87d"/>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spacing w:before="12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2"/>
      </w:numPr>
    </w:pPr>
  </w:style>
  <w:style w:type="paragraph" w:styleId="ListBullet2">
    <w:name w:val="List Bullet 2"/>
    <w:basedOn w:val="Normal"/>
    <w:autoRedefine/>
    <w:pPr>
      <w:numPr>
        <w:numId w:val="3"/>
      </w:numPr>
    </w:pPr>
  </w:style>
  <w:style w:type="paragraph" w:styleId="ListBullet3">
    <w:name w:val="List Bullet 3"/>
    <w:basedOn w:val="Normal"/>
    <w:autoRedefine/>
    <w:pPr>
      <w:numPr>
        <w:numId w:val="4"/>
      </w:numPr>
    </w:pPr>
  </w:style>
  <w:style w:type="paragraph" w:styleId="ListBullet4">
    <w:name w:val="List Bullet 4"/>
    <w:basedOn w:val="Normal"/>
    <w:autoRedefine/>
    <w:pPr>
      <w:numPr>
        <w:numId w:val="5"/>
      </w:numPr>
    </w:pPr>
  </w:style>
  <w:style w:type="paragraph" w:styleId="ListBullet5">
    <w:name w:val="List Bullet 5"/>
    <w:basedOn w:val="Normal"/>
    <w:autoRedefine/>
    <w:pPr>
      <w:numPr>
        <w:numId w:val="6"/>
      </w:numPr>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7"/>
      </w:numPr>
    </w:pPr>
  </w:style>
  <w:style w:type="paragraph" w:styleId="ListNumber2">
    <w:name w:val="List Number 2"/>
    <w:basedOn w:val="Normal"/>
    <w:pPr>
      <w:numPr>
        <w:numId w:val="8"/>
      </w:numPr>
    </w:pPr>
  </w:style>
  <w:style w:type="paragraph" w:styleId="ListNumber3">
    <w:name w:val="List Number 3"/>
    <w:basedOn w:val="Normal"/>
    <w:pPr>
      <w:numPr>
        <w:numId w:val="9"/>
      </w:numPr>
    </w:pPr>
  </w:style>
  <w:style w:type="paragraph" w:styleId="ListNumber4">
    <w:name w:val="List Number 4"/>
    <w:basedOn w:val="Normal"/>
    <w:pPr>
      <w:numPr>
        <w:numId w:val="10"/>
      </w:numPr>
    </w:pPr>
  </w:style>
  <w:style w:type="paragraph" w:styleId="ListNumber5">
    <w:name w:val="List Number 5"/>
    <w:basedOn w:val="Normal"/>
    <w:pPr>
      <w:numPr>
        <w:numId w:val="11"/>
      </w:numPr>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character" w:customStyle="1" w:styleId="DraftersNotes">
    <w:name w:val="DraftersNotes"/>
    <w:basedOn w:val="DefaultParagraphFont"/>
    <w:rPr>
      <w:b/>
      <w:i/>
      <w:sz w:val="20"/>
    </w:r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basedOn w:val="yTable"/>
    <w:pPr>
      <w:ind w:left="567" w:right="284"/>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2.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footer" Target="footer8.xm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1417</Words>
  <Characters>6480</Characters>
  <Application>Microsoft Office Word</Application>
  <DocSecurity>0</DocSecurity>
  <Lines>196</Lines>
  <Paragraphs>112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Western Australian Aged Sailors, Soldiers and Airmen's Relief Fund Act 1932 02-c0-01 - 02-d0-05</dc:title>
  <dc:subject/>
  <dc:creator/>
  <cp:keywords/>
  <dc:description/>
  <cp:lastModifiedBy>svcMRProcess</cp:lastModifiedBy>
  <cp:revision>2</cp:revision>
  <cp:lastPrinted>2007-06-27T04:00:00Z</cp:lastPrinted>
  <dcterms:created xsi:type="dcterms:W3CDTF">2019-01-25T05:02:00Z</dcterms:created>
  <dcterms:modified xsi:type="dcterms:W3CDTF">2019-01-25T05:02:00Z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39 of 1932</vt:lpwstr>
  </property>
  <property fmtid="{D5CDD505-2E9C-101B-9397-08002B2CF9AE}" pid="3" name="CommencementDate">
    <vt:lpwstr>20111026</vt:lpwstr>
  </property>
  <property fmtid="{D5CDD505-2E9C-101B-9397-08002B2CF9AE}" pid="4" name="DocumentType">
    <vt:lpwstr>Act</vt:lpwstr>
  </property>
  <property fmtid="{D5CDD505-2E9C-101B-9397-08002B2CF9AE}" pid="5" name="ReprintedAsAt">
    <vt:filetime>2007-05-31T16:00:00Z</vt:filetime>
  </property>
  <property fmtid="{D5CDD505-2E9C-101B-9397-08002B2CF9AE}" pid="6" name="ReprintNo">
    <vt:lpwstr>2</vt:lpwstr>
  </property>
  <property fmtid="{D5CDD505-2E9C-101B-9397-08002B2CF9AE}" pid="7" name="OwlsUID">
    <vt:i4>879</vt:i4>
  </property>
  <property fmtid="{D5CDD505-2E9C-101B-9397-08002B2CF9AE}" pid="8" name="FromSuffix">
    <vt:lpwstr>02-c0-01</vt:lpwstr>
  </property>
  <property fmtid="{D5CDD505-2E9C-101B-9397-08002B2CF9AE}" pid="9" name="FromAsAtDate">
    <vt:lpwstr>11 Sep 2010</vt:lpwstr>
  </property>
  <property fmtid="{D5CDD505-2E9C-101B-9397-08002B2CF9AE}" pid="10" name="ToSuffix">
    <vt:lpwstr>02-d0-05</vt:lpwstr>
  </property>
  <property fmtid="{D5CDD505-2E9C-101B-9397-08002B2CF9AE}" pid="11" name="ToAsAtDate">
    <vt:lpwstr>26 Oct 2011</vt:lpwstr>
  </property>
</Properties>
</file>