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1" w:name="_GoBack"/>
      <w:bookmarkEnd w:id="1"/>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2" w:name="_Toc378664474"/>
      <w:bookmarkStart w:id="3" w:name="_Toc419207870"/>
      <w:bookmarkStart w:id="4" w:name="_Toc107825982"/>
      <w:bookmarkStart w:id="5" w:name="_Toc107910116"/>
      <w:bookmarkStart w:id="6" w:name="_Toc123636852"/>
      <w:bookmarkStart w:id="7" w:name="_Toc123639468"/>
      <w:bookmarkStart w:id="8" w:name="_Toc124234646"/>
      <w:bookmarkStart w:id="9" w:name="_Toc125356499"/>
      <w:bookmarkStart w:id="10" w:name="_Toc125433792"/>
      <w:bookmarkStart w:id="11" w:name="_Toc125955753"/>
      <w:bookmarkStart w:id="12" w:name="_Toc126643736"/>
      <w:bookmarkStart w:id="13" w:name="_Toc126643774"/>
      <w:bookmarkStart w:id="14" w:name="_Toc126979445"/>
      <w:bookmarkStart w:id="15" w:name="_Toc127785593"/>
      <w:bookmarkStart w:id="16" w:name="_Toc127785758"/>
      <w:bookmarkStart w:id="17" w:name="_Toc157911937"/>
      <w:r>
        <w:rPr>
          <w:rStyle w:val="CharPartNo"/>
        </w:rPr>
        <w:lastRenderedPageBreak/>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78664475"/>
      <w:bookmarkStart w:id="19" w:name="_Toc419207871"/>
      <w:bookmarkStart w:id="20" w:name="_Toc486874917"/>
      <w:bookmarkStart w:id="21" w:name="_Toc123636853"/>
      <w:bookmarkStart w:id="22" w:name="_Toc157911938"/>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23" w:name="_Toc378664476"/>
      <w:bookmarkStart w:id="24" w:name="_Toc419207872"/>
      <w:bookmarkStart w:id="25" w:name="_Toc486874918"/>
      <w:bookmarkStart w:id="26" w:name="_Toc123636854"/>
      <w:bookmarkStart w:id="27" w:name="_Toc157911939"/>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28" w:name="_Toc378664477"/>
      <w:bookmarkStart w:id="29" w:name="_Toc419207873"/>
      <w:bookmarkStart w:id="30" w:name="_Toc486874919"/>
      <w:bookmarkStart w:id="31" w:name="_Toc123636855"/>
      <w:bookmarkStart w:id="32" w:name="_Toc157911940"/>
      <w:r>
        <w:rPr>
          <w:rStyle w:val="CharSectno"/>
        </w:rPr>
        <w:t>3</w:t>
      </w:r>
      <w:r>
        <w:rPr>
          <w:snapToGrid w:val="0"/>
        </w:rPr>
        <w:t>.</w:t>
      </w:r>
      <w:r>
        <w:rPr>
          <w:snapToGrid w:val="0"/>
        </w:rPr>
        <w:tab/>
        <w:t>Purposes of this Act</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33" w:name="_Toc378664478"/>
      <w:bookmarkStart w:id="34" w:name="_Toc419207874"/>
      <w:bookmarkStart w:id="35" w:name="_Toc486874920"/>
      <w:bookmarkStart w:id="36" w:name="_Toc123636856"/>
      <w:bookmarkStart w:id="37" w:name="_Toc157911941"/>
      <w:r>
        <w:rPr>
          <w:rStyle w:val="CharSectno"/>
        </w:rPr>
        <w:t>4</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lastRenderedPageBreak/>
        <w:tab/>
      </w:r>
      <w:r>
        <w:rPr>
          <w:rStyle w:val="CharDefText"/>
        </w:rPr>
        <w:t>budget year</w:t>
      </w:r>
      <w:r>
        <w:t xml:space="preserve"> means the financial year to which a budget relates;</w:t>
      </w:r>
    </w:p>
    <w:p>
      <w:pPr>
        <w:pStyle w:val="Defstart"/>
      </w:pPr>
      <w:r>
        <w:rPr>
          <w:b/>
        </w:rPr>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w:t>
      </w:r>
      <w:del w:id="38" w:author="svcMRProcess" w:date="2019-01-22T09:30:00Z">
        <w:r>
          <w:delText xml:space="preserve"> by</w:delText>
        </w:r>
      </w:del>
      <w:ins w:id="39" w:author="svcMRProcess" w:date="2019-01-22T09:30:00Z">
        <w:r>
          <w:t>:</w:t>
        </w:r>
      </w:ins>
      <w:r>
        <w:t xml:space="preserve"> No. 5 of 2005 s. 28.]</w:t>
      </w:r>
    </w:p>
    <w:p>
      <w:pPr>
        <w:pStyle w:val="Heading5"/>
        <w:rPr>
          <w:snapToGrid w:val="0"/>
        </w:rPr>
      </w:pPr>
      <w:bookmarkStart w:id="40" w:name="_Toc378664479"/>
      <w:bookmarkStart w:id="41" w:name="_Toc419207875"/>
      <w:bookmarkStart w:id="42" w:name="_Toc486874921"/>
      <w:bookmarkStart w:id="43" w:name="_Toc123636857"/>
      <w:bookmarkStart w:id="44" w:name="_Toc157911942"/>
      <w:r>
        <w:rPr>
          <w:rStyle w:val="CharSectno"/>
        </w:rPr>
        <w:t>5</w:t>
      </w:r>
      <w:r>
        <w:rPr>
          <w:snapToGrid w:val="0"/>
        </w:rPr>
        <w:t>.</w:t>
      </w:r>
      <w:r>
        <w:rPr>
          <w:snapToGrid w:val="0"/>
        </w:rPr>
        <w:tab/>
        <w:t>Obtaining information from public sector bodies</w:t>
      </w:r>
      <w:bookmarkEnd w:id="40"/>
      <w:bookmarkEnd w:id="41"/>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w:t>
      </w:r>
      <w:del w:id="45" w:author="svcMRProcess" w:date="2019-01-22T09:30:00Z">
        <w:r>
          <w:delText xml:space="preserve"> by</w:delText>
        </w:r>
      </w:del>
      <w:ins w:id="46" w:author="svcMRProcess" w:date="2019-01-22T09:30:00Z">
        <w:r>
          <w:t>:</w:t>
        </w:r>
      </w:ins>
      <w:r>
        <w:t xml:space="preserve"> No. 5 of 2005 s. 29.]</w:t>
      </w:r>
    </w:p>
    <w:p>
      <w:pPr>
        <w:pStyle w:val="Heading5"/>
        <w:rPr>
          <w:snapToGrid w:val="0"/>
        </w:rPr>
      </w:pPr>
      <w:bookmarkStart w:id="47" w:name="_Toc378664480"/>
      <w:bookmarkStart w:id="48" w:name="_Toc419207876"/>
      <w:bookmarkStart w:id="49" w:name="_Toc486874922"/>
      <w:bookmarkStart w:id="50" w:name="_Toc123636858"/>
      <w:bookmarkStart w:id="51" w:name="_Toc157911943"/>
      <w:r>
        <w:rPr>
          <w:rStyle w:val="CharSectno"/>
        </w:rPr>
        <w:t>6</w:t>
      </w:r>
      <w:r>
        <w:rPr>
          <w:snapToGrid w:val="0"/>
        </w:rPr>
        <w:t>.</w:t>
      </w:r>
      <w:r>
        <w:rPr>
          <w:snapToGrid w:val="0"/>
        </w:rPr>
        <w:tab/>
        <w:t>The financial management principles</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52" w:name="_Toc378664481"/>
      <w:bookmarkStart w:id="53" w:name="_Toc419207877"/>
      <w:bookmarkStart w:id="54" w:name="_Toc486874923"/>
      <w:bookmarkStart w:id="55" w:name="_Toc123636859"/>
      <w:bookmarkStart w:id="56" w:name="_Toc157911944"/>
      <w:r>
        <w:rPr>
          <w:rStyle w:val="CharSectno"/>
        </w:rPr>
        <w:t>7</w:t>
      </w:r>
      <w:r>
        <w:rPr>
          <w:snapToGrid w:val="0"/>
        </w:rPr>
        <w:t>.</w:t>
      </w:r>
      <w:r>
        <w:rPr>
          <w:snapToGrid w:val="0"/>
        </w:rPr>
        <w:tab/>
        <w:t>The financial elements</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57" w:name="_Toc378664482"/>
      <w:bookmarkStart w:id="58" w:name="_Toc419207878"/>
      <w:bookmarkStart w:id="59" w:name="_Toc486874924"/>
      <w:bookmarkStart w:id="60" w:name="_Toc123636860"/>
      <w:bookmarkStart w:id="61" w:name="_Toc157911945"/>
      <w:r>
        <w:rPr>
          <w:rStyle w:val="CharSectno"/>
        </w:rPr>
        <w:t>8</w:t>
      </w:r>
      <w:r>
        <w:rPr>
          <w:snapToGrid w:val="0"/>
        </w:rPr>
        <w:t>.</w:t>
      </w:r>
      <w:r>
        <w:rPr>
          <w:snapToGrid w:val="0"/>
        </w:rPr>
        <w:tab/>
        <w:t>Matters to be addressed in statements and reports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w:t>
      </w:r>
      <w:del w:id="62" w:author="svcMRProcess" w:date="2019-01-22T09:30:00Z">
        <w:r>
          <w:rPr>
            <w:snapToGrid w:val="0"/>
          </w:rPr>
          <w:delText>Standard 31 (</w:delText>
        </w:r>
      </w:del>
      <w:ins w:id="63" w:author="svcMRProcess" w:date="2019-01-22T09:30:00Z">
        <w:r>
          <w:t xml:space="preserve">Standards Board AASB 1049 Whole of Government and General Government Sector </w:t>
        </w:r>
      </w:ins>
      <w:r>
        <w:t>Financial Reporting</w:t>
      </w:r>
      <w:del w:id="64" w:author="svcMRProcess" w:date="2019-01-22T09:30:00Z">
        <w:r>
          <w:rPr>
            <w:snapToGrid w:val="0"/>
          </w:rPr>
          <w:delText xml:space="preserve"> by Governments).</w:delText>
        </w:r>
      </w:del>
      <w:ins w:id="65" w:author="svcMRProcess" w:date="2019-01-22T09:30:00Z">
        <w:r>
          <w:t>.</w:t>
        </w:r>
      </w:ins>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w:t>
      </w:r>
      <w:del w:id="66" w:author="svcMRProcess" w:date="2019-01-22T09:30:00Z">
        <w:r>
          <w:rPr>
            <w:snapToGrid w:val="0"/>
          </w:rPr>
          <w:delText>Standard 31</w:delText>
        </w:r>
      </w:del>
      <w:ins w:id="67" w:author="svcMRProcess" w:date="2019-01-22T09:30:00Z">
        <w:r>
          <w:t>Standards Board AASB 1049</w:t>
        </w:r>
      </w:ins>
      <w:r>
        <w:t xml:space="preserve">, </w:t>
      </w:r>
      <w:r>
        <w:rPr>
          <w:snapToGrid w:val="0"/>
        </w:rPr>
        <w:t>or to be calculated in such a way that the projected or reported result is the same as if it had been consolidated in accordance with the Standard.</w:t>
      </w:r>
    </w:p>
    <w:p>
      <w:pPr>
        <w:pStyle w:val="Footnotesection"/>
        <w:rPr>
          <w:ins w:id="68" w:author="svcMRProcess" w:date="2019-01-22T09:30:00Z"/>
        </w:rPr>
      </w:pPr>
      <w:ins w:id="69" w:author="svcMRProcess" w:date="2019-01-22T09:30:00Z">
        <w:r>
          <w:tab/>
          <w:t>[Section 8 amended: No. 47 of 2011 s. 27.]</w:t>
        </w:r>
      </w:ins>
    </w:p>
    <w:p>
      <w:pPr>
        <w:pStyle w:val="Heading5"/>
        <w:rPr>
          <w:snapToGrid w:val="0"/>
        </w:rPr>
      </w:pPr>
      <w:bookmarkStart w:id="70" w:name="_Toc378664483"/>
      <w:bookmarkStart w:id="71" w:name="_Toc419207879"/>
      <w:bookmarkStart w:id="72" w:name="_Toc486874925"/>
      <w:bookmarkStart w:id="73" w:name="_Toc123636861"/>
      <w:bookmarkStart w:id="74" w:name="_Toc157911946"/>
      <w:r>
        <w:rPr>
          <w:rStyle w:val="CharSectno"/>
        </w:rPr>
        <w:t>9</w:t>
      </w:r>
      <w:r>
        <w:rPr>
          <w:snapToGrid w:val="0"/>
        </w:rPr>
        <w:t>.</w:t>
      </w:r>
      <w:r>
        <w:rPr>
          <w:snapToGrid w:val="0"/>
        </w:rPr>
        <w:tab/>
        <w:t>Releasing financial statements and reports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w:t>
      </w:r>
      <w:del w:id="75" w:author="svcMRProcess" w:date="2019-01-22T09:30:00Z">
        <w:r>
          <w:delText xml:space="preserve"> by</w:delText>
        </w:r>
      </w:del>
      <w:ins w:id="76" w:author="svcMRProcess" w:date="2019-01-22T09:30:00Z">
        <w:r>
          <w:t>:</w:t>
        </w:r>
      </w:ins>
      <w:r>
        <w:t xml:space="preserve"> No. 5 of 2005 s. 30.]</w:t>
      </w:r>
    </w:p>
    <w:p>
      <w:pPr>
        <w:pStyle w:val="Heading2"/>
      </w:pPr>
      <w:bookmarkStart w:id="77" w:name="_Toc378664484"/>
      <w:bookmarkStart w:id="78" w:name="_Toc419207880"/>
      <w:bookmarkStart w:id="79" w:name="_Toc107825992"/>
      <w:bookmarkStart w:id="80" w:name="_Toc107910126"/>
      <w:bookmarkStart w:id="81" w:name="_Toc123636862"/>
      <w:bookmarkStart w:id="82" w:name="_Toc123639478"/>
      <w:bookmarkStart w:id="83" w:name="_Toc124234656"/>
      <w:bookmarkStart w:id="84" w:name="_Toc125356509"/>
      <w:bookmarkStart w:id="85" w:name="_Toc125433802"/>
      <w:bookmarkStart w:id="86" w:name="_Toc125955763"/>
      <w:bookmarkStart w:id="87" w:name="_Toc126643746"/>
      <w:bookmarkStart w:id="88" w:name="_Toc126643784"/>
      <w:bookmarkStart w:id="89" w:name="_Toc126979455"/>
      <w:bookmarkStart w:id="90" w:name="_Toc127785603"/>
      <w:bookmarkStart w:id="91" w:name="_Toc127785768"/>
      <w:bookmarkStart w:id="92" w:name="_Toc157911947"/>
      <w:r>
        <w:rPr>
          <w:rStyle w:val="CharPartNo"/>
        </w:rPr>
        <w:t>Part 2</w:t>
      </w:r>
      <w:r>
        <w:rPr>
          <w:rStyle w:val="CharDivNo"/>
        </w:rPr>
        <w:t xml:space="preserve"> </w:t>
      </w:r>
      <w:r>
        <w:t xml:space="preserve">— </w:t>
      </w:r>
      <w:r>
        <w:rPr>
          <w:rStyle w:val="CharPartText"/>
        </w:rPr>
        <w:t>Government financial planning and reporting</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378664485"/>
      <w:bookmarkStart w:id="94" w:name="_Toc419207881"/>
      <w:bookmarkStart w:id="95" w:name="_Toc486874926"/>
      <w:bookmarkStart w:id="96" w:name="_Toc123636863"/>
      <w:bookmarkStart w:id="97" w:name="_Toc157911948"/>
      <w:r>
        <w:rPr>
          <w:rStyle w:val="CharSectno"/>
        </w:rPr>
        <w:t>10</w:t>
      </w:r>
      <w:r>
        <w:rPr>
          <w:snapToGrid w:val="0"/>
        </w:rPr>
        <w:t>.</w:t>
      </w:r>
      <w:r>
        <w:rPr>
          <w:snapToGrid w:val="0"/>
        </w:rPr>
        <w:tab/>
        <w:t>Government financial planning</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98" w:name="_Toc378664486"/>
      <w:bookmarkStart w:id="99" w:name="_Toc419207882"/>
      <w:bookmarkStart w:id="100" w:name="_Toc486874927"/>
      <w:bookmarkStart w:id="101" w:name="_Toc123636864"/>
      <w:bookmarkStart w:id="102" w:name="_Toc157911949"/>
      <w:r>
        <w:rPr>
          <w:rStyle w:val="CharSectno"/>
        </w:rPr>
        <w:t>11</w:t>
      </w:r>
      <w:r>
        <w:rPr>
          <w:snapToGrid w:val="0"/>
        </w:rPr>
        <w:t>.</w:t>
      </w:r>
      <w:r>
        <w:rPr>
          <w:snapToGrid w:val="0"/>
        </w:rPr>
        <w:tab/>
        <w:t>Government Financial Strategy Statements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103" w:name="_Toc378664487"/>
      <w:bookmarkStart w:id="104" w:name="_Toc419207883"/>
      <w:bookmarkStart w:id="105" w:name="_Toc486874928"/>
      <w:bookmarkStart w:id="106" w:name="_Toc123636865"/>
      <w:bookmarkStart w:id="107" w:name="_Toc157911950"/>
      <w:r>
        <w:rPr>
          <w:rStyle w:val="CharSectno"/>
        </w:rPr>
        <w:t>12</w:t>
      </w:r>
      <w:r>
        <w:rPr>
          <w:snapToGrid w:val="0"/>
        </w:rPr>
        <w:t>.</w:t>
      </w:r>
      <w:r>
        <w:rPr>
          <w:snapToGrid w:val="0"/>
        </w:rPr>
        <w:tab/>
        <w:t>Government Financial Projections Statements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108" w:name="_Toc378664488"/>
      <w:bookmarkStart w:id="109" w:name="_Toc419207884"/>
      <w:bookmarkStart w:id="110" w:name="_Toc486874929"/>
      <w:bookmarkStart w:id="111" w:name="_Toc123636866"/>
      <w:bookmarkStart w:id="112" w:name="_Toc157911951"/>
      <w:r>
        <w:rPr>
          <w:rStyle w:val="CharSectno"/>
        </w:rPr>
        <w:t>13</w:t>
      </w:r>
      <w:r>
        <w:rPr>
          <w:snapToGrid w:val="0"/>
        </w:rPr>
        <w:t>.</w:t>
      </w:r>
      <w:r>
        <w:rPr>
          <w:snapToGrid w:val="0"/>
        </w:rPr>
        <w:tab/>
        <w:t>Government Mid</w:t>
      </w:r>
      <w:r>
        <w:rPr>
          <w:snapToGrid w:val="0"/>
        </w:rPr>
        <w:noBreakHyphen/>
        <w:t>year Financial Projections Statements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bookmarkStart w:id="113" w:name="_Toc486874931"/>
      <w:r>
        <w:t>[</w:t>
      </w:r>
      <w:r>
        <w:rPr>
          <w:b/>
          <w:bCs/>
        </w:rPr>
        <w:t>14.</w:t>
      </w:r>
      <w:r>
        <w:tab/>
        <w:t>Deleted</w:t>
      </w:r>
      <w:del w:id="114" w:author="svcMRProcess" w:date="2019-01-22T09:30:00Z">
        <w:r>
          <w:delText xml:space="preserve"> by</w:delText>
        </w:r>
      </w:del>
      <w:ins w:id="115" w:author="svcMRProcess" w:date="2019-01-22T09:30:00Z">
        <w:r>
          <w:t>:</w:t>
        </w:r>
      </w:ins>
      <w:r>
        <w:t xml:space="preserve"> No. 5 of 2005 s. 31.]</w:t>
      </w:r>
    </w:p>
    <w:p>
      <w:pPr>
        <w:pStyle w:val="Heading5"/>
      </w:pPr>
      <w:bookmarkStart w:id="116" w:name="_Toc378664489"/>
      <w:bookmarkStart w:id="117" w:name="_Toc419207885"/>
      <w:bookmarkStart w:id="118" w:name="_Toc123636867"/>
      <w:bookmarkStart w:id="119" w:name="_Toc157911952"/>
      <w:r>
        <w:rPr>
          <w:rStyle w:val="CharSectno"/>
        </w:rPr>
        <w:t>14A</w:t>
      </w:r>
      <w:r>
        <w:t>.</w:t>
      </w:r>
      <w:r>
        <w:tab/>
        <w:t>Annual Report on State Finances</w:t>
      </w:r>
      <w:bookmarkEnd w:id="116"/>
      <w:bookmarkEnd w:id="117"/>
      <w:bookmarkEnd w:id="118"/>
      <w:bookmarkEnd w:id="119"/>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w:t>
      </w:r>
      <w:del w:id="120" w:author="svcMRProcess" w:date="2019-01-22T09:30:00Z">
        <w:r>
          <w:delText xml:space="preserve"> by</w:delText>
        </w:r>
      </w:del>
      <w:ins w:id="121" w:author="svcMRProcess" w:date="2019-01-22T09:30:00Z">
        <w:r>
          <w:t>:</w:t>
        </w:r>
      </w:ins>
      <w:r>
        <w:t xml:space="preserve"> No. 5 of 2005 s. 32(1); amended</w:t>
      </w:r>
      <w:del w:id="122" w:author="svcMRProcess" w:date="2019-01-22T09:30:00Z">
        <w:r>
          <w:delText xml:space="preserve"> by</w:delText>
        </w:r>
      </w:del>
      <w:ins w:id="123" w:author="svcMRProcess" w:date="2019-01-22T09:30:00Z">
        <w:r>
          <w:t>:</w:t>
        </w:r>
      </w:ins>
      <w:r>
        <w:t xml:space="preserve"> No. 5 of 2005 s. 32(2).]</w:t>
      </w:r>
    </w:p>
    <w:p>
      <w:pPr>
        <w:pStyle w:val="Heading5"/>
      </w:pPr>
      <w:bookmarkStart w:id="124" w:name="_Toc378664490"/>
      <w:bookmarkStart w:id="125" w:name="_Toc419207886"/>
      <w:bookmarkStart w:id="126" w:name="_Toc123636868"/>
      <w:bookmarkStart w:id="127" w:name="_Toc157911953"/>
      <w:r>
        <w:rPr>
          <w:rStyle w:val="CharSectno"/>
        </w:rPr>
        <w:t>14B</w:t>
      </w:r>
      <w:r>
        <w:t>.</w:t>
      </w:r>
      <w:r>
        <w:tab/>
        <w:t>Auditor General’s opinion</w:t>
      </w:r>
      <w:bookmarkEnd w:id="124"/>
      <w:bookmarkEnd w:id="125"/>
      <w:bookmarkEnd w:id="126"/>
      <w:bookmarkEnd w:id="127"/>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w:t>
      </w:r>
      <w:del w:id="128" w:author="svcMRProcess" w:date="2019-01-22T09:30:00Z">
        <w:r>
          <w:delText xml:space="preserve"> by</w:delText>
        </w:r>
      </w:del>
      <w:ins w:id="129" w:author="svcMRProcess" w:date="2019-01-22T09:30:00Z">
        <w:r>
          <w:t>:</w:t>
        </w:r>
      </w:ins>
      <w:r>
        <w:t xml:space="preserve"> No. 5 of 2005 s. 33; amended</w:t>
      </w:r>
      <w:del w:id="130" w:author="svcMRProcess" w:date="2019-01-22T09:30:00Z">
        <w:r>
          <w:delText xml:space="preserve"> by</w:delText>
        </w:r>
      </w:del>
      <w:ins w:id="131" w:author="svcMRProcess" w:date="2019-01-22T09:30:00Z">
        <w:r>
          <w:t>:</w:t>
        </w:r>
      </w:ins>
      <w:r>
        <w:t xml:space="preserve"> No. 77 of 2006 s. 17.]</w:t>
      </w:r>
    </w:p>
    <w:p>
      <w:pPr>
        <w:pStyle w:val="Heading5"/>
        <w:rPr>
          <w:snapToGrid w:val="0"/>
        </w:rPr>
      </w:pPr>
      <w:bookmarkStart w:id="132" w:name="_Toc378664491"/>
      <w:bookmarkStart w:id="133" w:name="_Toc419207887"/>
      <w:bookmarkStart w:id="134" w:name="_Toc123636869"/>
      <w:bookmarkStart w:id="135" w:name="_Toc157911954"/>
      <w:r>
        <w:rPr>
          <w:rStyle w:val="CharSectno"/>
        </w:rPr>
        <w:t>15</w:t>
      </w:r>
      <w:r>
        <w:rPr>
          <w:snapToGrid w:val="0"/>
        </w:rPr>
        <w:t>.</w:t>
      </w:r>
      <w:r>
        <w:rPr>
          <w:snapToGrid w:val="0"/>
        </w:rPr>
        <w:tab/>
        <w:t>Pre</w:t>
      </w:r>
      <w:r>
        <w:rPr>
          <w:snapToGrid w:val="0"/>
        </w:rPr>
        <w:noBreakHyphen/>
        <w:t>election Financial Projections Statements</w:t>
      </w:r>
      <w:bookmarkEnd w:id="132"/>
      <w:bookmarkEnd w:id="133"/>
      <w:bookmarkEnd w:id="113"/>
      <w:bookmarkEnd w:id="134"/>
      <w:bookmarkEnd w:id="135"/>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w:t>
      </w:r>
      <w:del w:id="136" w:author="svcMRProcess" w:date="2019-01-22T09:30:00Z">
        <w:r>
          <w:delText xml:space="preserve"> by</w:delText>
        </w:r>
      </w:del>
      <w:ins w:id="137" w:author="svcMRProcess" w:date="2019-01-22T09:30:00Z">
        <w:r>
          <w:t>:</w:t>
        </w:r>
      </w:ins>
      <w:r>
        <w:t xml:space="preserve"> No. 77 of 2006 s. 17.]</w:t>
      </w:r>
    </w:p>
    <w:p>
      <w:pPr>
        <w:pStyle w:val="Heading5"/>
        <w:rPr>
          <w:snapToGrid w:val="0"/>
        </w:rPr>
      </w:pPr>
      <w:bookmarkStart w:id="138" w:name="_Toc378664492"/>
      <w:bookmarkStart w:id="139" w:name="_Toc419207888"/>
      <w:bookmarkStart w:id="140" w:name="_Toc486874932"/>
      <w:bookmarkStart w:id="141" w:name="_Toc123636870"/>
      <w:bookmarkStart w:id="142" w:name="_Toc157911955"/>
      <w:r>
        <w:rPr>
          <w:rStyle w:val="CharSectno"/>
        </w:rPr>
        <w:t>16</w:t>
      </w:r>
      <w:r>
        <w:rPr>
          <w:snapToGrid w:val="0"/>
        </w:rPr>
        <w:t>.</w:t>
      </w:r>
      <w:r>
        <w:rPr>
          <w:snapToGrid w:val="0"/>
        </w:rPr>
        <w:tab/>
        <w:t>Quarterly financial statements</w:t>
      </w:r>
      <w:bookmarkEnd w:id="138"/>
      <w:bookmarkEnd w:id="139"/>
      <w:bookmarkEnd w:id="140"/>
      <w:bookmarkEnd w:id="141"/>
      <w:bookmarkEnd w:id="142"/>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w:t>
      </w:r>
      <w:del w:id="143" w:author="svcMRProcess" w:date="2019-01-22T09:30:00Z">
        <w:r>
          <w:delText xml:space="preserve"> by</w:delText>
        </w:r>
      </w:del>
      <w:ins w:id="144" w:author="svcMRProcess" w:date="2019-01-22T09:30:00Z">
        <w:r>
          <w:t>:</w:t>
        </w:r>
      </w:ins>
      <w:r>
        <w:t xml:space="preserve"> No. 5 of 2005 s. 34.]</w:t>
      </w:r>
    </w:p>
    <w:p>
      <w:pPr>
        <w:pStyle w:val="Heading5"/>
      </w:pPr>
      <w:bookmarkStart w:id="145" w:name="_Toc378664493"/>
      <w:bookmarkStart w:id="146" w:name="_Toc419207889"/>
      <w:bookmarkStart w:id="147" w:name="_Toc486874933"/>
      <w:bookmarkStart w:id="148" w:name="_Toc123636871"/>
      <w:bookmarkStart w:id="149" w:name="_Toc157911956"/>
      <w:r>
        <w:rPr>
          <w:rStyle w:val="CharSectno"/>
        </w:rPr>
        <w:t>17</w:t>
      </w:r>
      <w:r>
        <w:rPr>
          <w:snapToGrid w:val="0"/>
        </w:rPr>
        <w:t>.</w:t>
      </w:r>
      <w:r>
        <w:rPr>
          <w:snapToGrid w:val="0"/>
        </w:rPr>
        <w:tab/>
        <w:t>Budget papers to include outcomes etc.</w:t>
      </w:r>
      <w:bookmarkEnd w:id="145"/>
      <w:bookmarkEnd w:id="146"/>
      <w:bookmarkEnd w:id="147"/>
      <w:bookmarkEnd w:id="148"/>
      <w:bookmarkEnd w:id="149"/>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150" w:name="_Toc378664494"/>
      <w:bookmarkStart w:id="151" w:name="_Toc419207890"/>
      <w:bookmarkStart w:id="152" w:name="_Toc123636872"/>
      <w:bookmarkStart w:id="153" w:name="_Toc123639488"/>
      <w:bookmarkStart w:id="154" w:name="_Toc124234666"/>
      <w:bookmarkStart w:id="155" w:name="_Toc125356519"/>
      <w:bookmarkStart w:id="156" w:name="_Toc125433812"/>
      <w:bookmarkStart w:id="157" w:name="_Toc125955773"/>
      <w:bookmarkStart w:id="158" w:name="_Toc126643756"/>
      <w:bookmarkStart w:id="159" w:name="_Toc126643794"/>
      <w:bookmarkStart w:id="160" w:name="_Toc126979465"/>
      <w:bookmarkStart w:id="161" w:name="_Toc127785613"/>
      <w:bookmarkStart w:id="162" w:name="_Toc127785778"/>
      <w:bookmarkStart w:id="163" w:name="_Toc157911957"/>
      <w:r>
        <w:rPr>
          <w:rStyle w:val="CharPartNo"/>
        </w:rPr>
        <w:t>Part 3</w:t>
      </w:r>
      <w:r>
        <w:rPr>
          <w:b w:val="0"/>
        </w:rPr>
        <w:t> </w:t>
      </w:r>
      <w:r>
        <w:t>—</w:t>
      </w:r>
      <w:r>
        <w:rPr>
          <w:b w:val="0"/>
        </w:rPr>
        <w:t> </w:t>
      </w:r>
      <w:r>
        <w:rPr>
          <w:rStyle w:val="CharPartText"/>
        </w:rPr>
        <w:t>Miscellaneous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w:t>
      </w:r>
      <w:del w:id="164" w:author="svcMRProcess" w:date="2019-01-22T09:30:00Z">
        <w:r>
          <w:delText xml:space="preserve"> by</w:delText>
        </w:r>
      </w:del>
      <w:ins w:id="165" w:author="svcMRProcess" w:date="2019-01-22T09:30:00Z">
        <w:r>
          <w:t>:</w:t>
        </w:r>
      </w:ins>
      <w:r>
        <w:t xml:space="preserve"> No. 5 of 2005 s. 35.]</w:t>
      </w:r>
    </w:p>
    <w:p>
      <w:pPr>
        <w:pStyle w:val="Heading5"/>
      </w:pPr>
      <w:bookmarkStart w:id="166" w:name="_Toc378664495"/>
      <w:bookmarkStart w:id="167" w:name="_Toc419207891"/>
      <w:bookmarkStart w:id="168" w:name="_Toc123636873"/>
      <w:bookmarkStart w:id="169" w:name="_Toc157911958"/>
      <w:r>
        <w:rPr>
          <w:rStyle w:val="CharSectno"/>
        </w:rPr>
        <w:t>18</w:t>
      </w:r>
      <w:r>
        <w:t>.</w:t>
      </w:r>
      <w:r>
        <w:tab/>
        <w:t>Regulations</w:t>
      </w:r>
      <w:bookmarkEnd w:id="166"/>
      <w:bookmarkEnd w:id="167"/>
      <w:bookmarkEnd w:id="168"/>
      <w:bookmarkEnd w:id="169"/>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w:t>
      </w:r>
      <w:del w:id="170" w:author="svcMRProcess" w:date="2019-01-22T09:30:00Z">
        <w:r>
          <w:delText xml:space="preserve"> by</w:delText>
        </w:r>
      </w:del>
      <w:ins w:id="171" w:author="svcMRProcess" w:date="2019-01-22T09:30:00Z">
        <w:r>
          <w:t>:</w:t>
        </w:r>
      </w:ins>
      <w:r>
        <w:t xml:space="preserve"> No. 5 of 2005 s. 35.]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2" w:name="_Toc378664496"/>
      <w:bookmarkStart w:id="173" w:name="_Toc419207892"/>
      <w:bookmarkStart w:id="174" w:name="_Toc107826001"/>
      <w:bookmarkStart w:id="175" w:name="_Toc107910135"/>
      <w:bookmarkStart w:id="176" w:name="_Toc123636874"/>
      <w:bookmarkStart w:id="177" w:name="_Toc123639490"/>
      <w:bookmarkStart w:id="178" w:name="_Toc124234668"/>
      <w:bookmarkStart w:id="179" w:name="_Toc125356521"/>
      <w:bookmarkStart w:id="180" w:name="_Toc125433814"/>
      <w:bookmarkStart w:id="181" w:name="_Toc125955775"/>
      <w:bookmarkStart w:id="182" w:name="_Toc126643758"/>
      <w:bookmarkStart w:id="183" w:name="_Toc126643796"/>
      <w:bookmarkStart w:id="184" w:name="_Toc126979467"/>
      <w:bookmarkStart w:id="185" w:name="_Toc127785615"/>
      <w:bookmarkStart w:id="186" w:name="_Toc127785780"/>
      <w:bookmarkStart w:id="187" w:name="_Toc157911959"/>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Financial Responsibility Act 2000</w:t>
      </w:r>
      <w:r>
        <w:rPr>
          <w:snapToGrid w:val="0"/>
        </w:rPr>
        <w:t xml:space="preserve"> and includes the amendment made by the other written law referred to in the following table.</w:t>
      </w:r>
      <w:bookmarkStart w:id="188" w:name="UpToHere"/>
      <w:r>
        <w:rPr>
          <w:snapToGrid w:val="0"/>
        </w:rPr>
        <w:t xml:space="preserve">  </w:t>
      </w:r>
      <w:bookmarkEnd w:id="188"/>
      <w:r>
        <w:rPr>
          <w:snapToGrid w:val="0"/>
        </w:rPr>
        <w:t>The table also contains information about any reprint.</w:t>
      </w:r>
    </w:p>
    <w:p>
      <w:pPr>
        <w:pStyle w:val="nHeading3"/>
        <w:rPr>
          <w:snapToGrid w:val="0"/>
        </w:rPr>
      </w:pPr>
      <w:bookmarkStart w:id="189" w:name="_Toc378664497"/>
      <w:bookmarkStart w:id="190" w:name="_Toc419207893"/>
      <w:bookmarkStart w:id="191" w:name="_Toc157911960"/>
      <w:r>
        <w:rPr>
          <w:snapToGrid w:val="0"/>
        </w:rPr>
        <w:t>Compilation table</w:t>
      </w:r>
      <w:bookmarkEnd w:id="189"/>
      <w:bookmarkEnd w:id="190"/>
      <w:bookmarkEnd w:id="191"/>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51"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51"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ins w:id="192" w:author="svcMRProcess" w:date="2019-01-22T09:30:00Z"/>
        </w:trPr>
        <w:tc>
          <w:tcPr>
            <w:tcW w:w="2268" w:type="dxa"/>
            <w:tcBorders>
              <w:bottom w:val="single" w:sz="8" w:space="0" w:color="auto"/>
            </w:tcBorders>
            <w:shd w:val="clear" w:color="auto" w:fill="auto"/>
          </w:tcPr>
          <w:p>
            <w:pPr>
              <w:pStyle w:val="nTable"/>
              <w:spacing w:after="40"/>
              <w:ind w:right="113"/>
              <w:rPr>
                <w:ins w:id="193" w:author="svcMRProcess" w:date="2019-01-22T09:30:00Z"/>
                <w:snapToGrid w:val="0"/>
              </w:rPr>
            </w:pPr>
            <w:ins w:id="194" w:author="svcMRProcess" w:date="2019-01-22T09:30:00Z">
              <w:r>
                <w:rPr>
                  <w:i/>
                  <w:snapToGrid w:val="0"/>
                </w:rPr>
                <w:t>Statutes (Repeals and Minor Amendments) Act 2011</w:t>
              </w:r>
              <w:r>
                <w:rPr>
                  <w:snapToGrid w:val="0"/>
                </w:rPr>
                <w:t xml:space="preserve"> s. 27</w:t>
              </w:r>
            </w:ins>
          </w:p>
        </w:tc>
        <w:tc>
          <w:tcPr>
            <w:tcW w:w="1134" w:type="dxa"/>
            <w:tcBorders>
              <w:bottom w:val="single" w:sz="8" w:space="0" w:color="auto"/>
            </w:tcBorders>
            <w:shd w:val="clear" w:color="auto" w:fill="auto"/>
          </w:tcPr>
          <w:p>
            <w:pPr>
              <w:pStyle w:val="nTable"/>
              <w:spacing w:after="40"/>
              <w:rPr>
                <w:ins w:id="195" w:author="svcMRProcess" w:date="2019-01-22T09:30:00Z"/>
                <w:snapToGrid w:val="0"/>
              </w:rPr>
            </w:pPr>
            <w:ins w:id="196" w:author="svcMRProcess" w:date="2019-01-22T09:30:00Z">
              <w:r>
                <w:rPr>
                  <w:snapToGrid w:val="0"/>
                </w:rPr>
                <w:t>47 of 2011</w:t>
              </w:r>
            </w:ins>
          </w:p>
        </w:tc>
        <w:tc>
          <w:tcPr>
            <w:tcW w:w="1134" w:type="dxa"/>
            <w:tcBorders>
              <w:bottom w:val="single" w:sz="8" w:space="0" w:color="auto"/>
            </w:tcBorders>
            <w:shd w:val="clear" w:color="auto" w:fill="auto"/>
          </w:tcPr>
          <w:p>
            <w:pPr>
              <w:pStyle w:val="nTable"/>
              <w:spacing w:after="40"/>
              <w:rPr>
                <w:ins w:id="197" w:author="svcMRProcess" w:date="2019-01-22T09:30:00Z"/>
                <w:snapToGrid w:val="0"/>
              </w:rPr>
            </w:pPr>
            <w:ins w:id="198" w:author="svcMRProcess" w:date="2019-01-22T09:30:00Z">
              <w:r>
                <w:rPr>
                  <w:snapToGrid w:val="0"/>
                </w:rPr>
                <w:t>25 Oct 2011</w:t>
              </w:r>
            </w:ins>
          </w:p>
        </w:tc>
        <w:tc>
          <w:tcPr>
            <w:tcW w:w="2551" w:type="dxa"/>
            <w:tcBorders>
              <w:bottom w:val="single" w:sz="8" w:space="0" w:color="auto"/>
            </w:tcBorders>
            <w:shd w:val="clear" w:color="auto" w:fill="auto"/>
          </w:tcPr>
          <w:p>
            <w:pPr>
              <w:pStyle w:val="nTable"/>
              <w:spacing w:after="40"/>
              <w:rPr>
                <w:ins w:id="199" w:author="svcMRProcess" w:date="2019-01-22T09:30:00Z"/>
                <w:snapToGrid w:val="0"/>
              </w:rPr>
            </w:pPr>
            <w:ins w:id="200" w:author="svcMRProcess" w:date="2019-01-22T09:30:00Z">
              <w:r>
                <w:rPr>
                  <w:snapToGrid w:val="0"/>
                </w:rPr>
                <w:t>26 Oct 2011 (see s. 2(b))</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450"/>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3827</Words>
  <Characters>20399</Characters>
  <Application>Microsoft Office Word</Application>
  <DocSecurity>0</DocSecurity>
  <Lines>536</Lines>
  <Paragraphs>281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Government Financial Responsibility Act 2000</vt:lpstr>
      <vt:lpstr>    Part 1 — Preliminary</vt:lpstr>
      <vt:lpstr>    Part 2 — Government financial planning and reporting</vt:lpstr>
      <vt:lpstr>    Part 3 — Miscellaneous</vt:lpstr>
      <vt:lpstr>    Notes</vt:lpstr>
    </vt:vector>
  </TitlesOfParts>
  <Manager/>
  <Company/>
  <LinksUpToDate>false</LinksUpToDate>
  <CharactersWithSpaces>23945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01-b0-08 - 01-c0-06</dc:title>
  <dc:subject/>
  <dc:creator/>
  <cp:keywords/>
  <dc:description/>
  <cp:lastModifiedBy>svcMRProcess</cp:lastModifiedBy>
  <cp:revision>2</cp:revision>
  <cp:lastPrinted>2006-02-06T01:09:00Z</cp:lastPrinted>
  <dcterms:created xsi:type="dcterms:W3CDTF">2019-01-22T01:30:00Z</dcterms:created>
  <dcterms:modified xsi:type="dcterms:W3CDTF">2019-01-22T01:30:00Z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2011</vt:i4>
  </property>
  <property fmtid="{D5CDD505-2E9C-101B-9397-08002B2CF9AE}" pid="6" name="FromSuffix">
    <vt:lpwstr>01-b0-08</vt:lpwstr>
  </property>
  <property fmtid="{D5CDD505-2E9C-101B-9397-08002B2CF9AE}" pid="7" name="FromAsAtDate">
    <vt:lpwstr>01 Feb 2007</vt:lpwstr>
  </property>
  <property fmtid="{D5CDD505-2E9C-101B-9397-08002B2CF9AE}" pid="8" name="ToSuffix">
    <vt:lpwstr>01-c0-06</vt:lpwstr>
  </property>
  <property fmtid="{D5CDD505-2E9C-101B-9397-08002B2CF9AE}" pid="9" name="ToAsAtDate">
    <vt:lpwstr>26 Oct 2011</vt:lpwstr>
  </property>
</Properties>
</file>