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Toodyay Cemeteries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Toodyay Cemeteries Act 1939 </w:t>
      </w:r>
    </w:p>
    <w:p>
      <w:pPr>
        <w:pStyle w:val="LongTitle"/>
        <w:rPr>
          <w:snapToGrid w:val="0"/>
        </w:rPr>
      </w:pPr>
      <w:r>
        <w:rPr>
          <w:snapToGrid w:val="0"/>
        </w:rPr>
        <w:t>A</w:t>
      </w:r>
      <w:bookmarkStart w:id="0" w:name="_GoBack"/>
      <w:bookmarkEnd w:id="0"/>
      <w:r>
        <w:rPr>
          <w:snapToGrid w:val="0"/>
        </w:rPr>
        <w:t xml:space="preserve">n Act for the closure of portion of a certain Road and to vest certain Lands in His Majesty; and for other purposes relative thereto. </w:t>
      </w:r>
    </w:p>
    <w:p>
      <w:pPr>
        <w:pStyle w:val="AssentNote"/>
      </w:pPr>
      <w:r>
        <w:t xml:space="preserve">[Assented to 28 October 1939.] </w:t>
      </w:r>
    </w:p>
    <w:p>
      <w:pPr>
        <w:pStyle w:val="Enactment"/>
        <w:rPr>
          <w:snapToGrid w:val="0"/>
        </w:rPr>
      </w:pPr>
      <w:r>
        <w:rPr>
          <w:snapToGrid w:val="0"/>
        </w:rPr>
        <w:t xml:space="preserve">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59178776"/>
      <w:bookmarkStart w:id="2" w:name="_Toc151860374"/>
      <w:bookmarkStart w:id="3" w:name="_Toc151968987"/>
      <w:bookmarkStart w:id="4" w:name="_Toc17019274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pPr>
        <w:pStyle w:val="Heading5"/>
        <w:rPr>
          <w:snapToGrid w:val="0"/>
        </w:rPr>
      </w:pPr>
      <w:bookmarkStart w:id="5" w:name="_Toc459178777"/>
      <w:bookmarkStart w:id="6" w:name="_Toc151860375"/>
      <w:bookmarkStart w:id="7" w:name="_Toc151968988"/>
      <w:bookmarkStart w:id="8" w:name="_Toc170192748"/>
      <w:r>
        <w:rPr>
          <w:rStyle w:val="CharSectno"/>
        </w:rPr>
        <w:t>2</w:t>
      </w:r>
      <w:r>
        <w:rPr>
          <w:snapToGrid w:val="0"/>
        </w:rPr>
        <w:t>.</w:t>
      </w:r>
      <w:r>
        <w:rPr>
          <w:snapToGrid w:val="0"/>
        </w:rPr>
        <w:tab/>
        <w:t>Closure of portion of Quinlan street and vesting of the land comprised therein in His Majesty.</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pPr>
        <w:pStyle w:val="Heading5"/>
        <w:rPr>
          <w:snapToGrid w:val="0"/>
        </w:rPr>
      </w:pPr>
      <w:bookmarkStart w:id="9" w:name="_Toc459178778"/>
      <w:bookmarkStart w:id="10" w:name="_Toc151860376"/>
      <w:bookmarkStart w:id="11" w:name="_Toc151968989"/>
      <w:bookmarkStart w:id="12" w:name="_Toc170192749"/>
      <w:r>
        <w:rPr>
          <w:rStyle w:val="CharSectno"/>
        </w:rPr>
        <w:t>3</w:t>
      </w:r>
      <w:r>
        <w:rPr>
          <w:snapToGrid w:val="0"/>
        </w:rPr>
        <w:t>.</w:t>
      </w:r>
      <w:r>
        <w:rPr>
          <w:snapToGrid w:val="0"/>
        </w:rPr>
        <w:tab/>
        <w:t>Lands vested in His Majesty</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pPr>
        <w:pStyle w:val="Heading5"/>
        <w:rPr>
          <w:snapToGrid w:val="0"/>
        </w:rPr>
      </w:pPr>
      <w:bookmarkStart w:id="13" w:name="_Toc459178779"/>
      <w:bookmarkStart w:id="14" w:name="_Toc151860377"/>
      <w:bookmarkStart w:id="15" w:name="_Toc151968990"/>
      <w:bookmarkStart w:id="16" w:name="_Toc170192750"/>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pPr>
        <w:pStyle w:val="Footnotesection"/>
      </w:pPr>
      <w:r>
        <w:tab/>
        <w:t xml:space="preserve">[Section 4 amended by No. 14 of 1996 s.4.] </w:t>
      </w:r>
    </w:p>
    <w:p>
      <w:pPr>
        <w:pStyle w:val="Heading5"/>
        <w:rPr>
          <w:snapToGrid w:val="0"/>
        </w:rPr>
      </w:pPr>
      <w:bookmarkStart w:id="17" w:name="_Toc459178780"/>
      <w:bookmarkStart w:id="18" w:name="_Toc151860378"/>
      <w:bookmarkStart w:id="19" w:name="_Toc151968991"/>
      <w:bookmarkStart w:id="20" w:name="_Toc170192751"/>
      <w:r>
        <w:rPr>
          <w:rStyle w:val="CharSectno"/>
        </w:rPr>
        <w:t>5</w:t>
      </w:r>
      <w:r>
        <w:rPr>
          <w:snapToGrid w:val="0"/>
        </w:rPr>
        <w:t>.</w:t>
      </w:r>
      <w:r>
        <w:rPr>
          <w:snapToGrid w:val="0"/>
        </w:rPr>
        <w:tab/>
        <w:t>Entries and amendments to be made by the Registrar of Titles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Registrar of Titles shall make such entries in and amendments of the records in the Office of Land Titles relating to the lands mentioned in the First and Second Schedules to this Act as may in his opinion be necessary or expedient in consequence of the passing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 w:name="_Toc151860347"/>
      <w:bookmarkStart w:id="22" w:name="_Toc151860379"/>
      <w:bookmarkStart w:id="23" w:name="_Toc151860404"/>
      <w:bookmarkStart w:id="24" w:name="_Toc151860442"/>
      <w:bookmarkStart w:id="25" w:name="_Toc151861055"/>
      <w:bookmarkStart w:id="26" w:name="_Toc151861112"/>
      <w:bookmarkStart w:id="27" w:name="_Toc151968992"/>
      <w:bookmarkStart w:id="28" w:name="_Toc170192752"/>
      <w:r>
        <w:rPr>
          <w:rStyle w:val="CharSchNo"/>
        </w:rPr>
        <w:t>First Schedule</w:t>
      </w:r>
      <w:bookmarkEnd w:id="21"/>
      <w:bookmarkEnd w:id="22"/>
      <w:bookmarkEnd w:id="23"/>
      <w:bookmarkEnd w:id="24"/>
      <w:bookmarkEnd w:id="25"/>
      <w:bookmarkEnd w:id="26"/>
      <w:bookmarkEnd w:id="27"/>
      <w:bookmarkEnd w:id="28"/>
    </w:p>
    <w:p>
      <w:pPr>
        <w:pStyle w:val="MiscellaneousBody"/>
        <w:rPr>
          <w:sz w:val="22"/>
        </w:rPr>
      </w:pPr>
      <w:r>
        <w:rPr>
          <w:sz w:val="22"/>
        </w:rPr>
        <w:t>All that portion of land bounded by lines starting from the south</w:t>
      </w:r>
      <w:r>
        <w:rPr>
          <w:sz w:val="22"/>
        </w:rPr>
        <w:noBreakHyphen/>
        <w:t>eastern corner of lot 76 of Avon location U3 (as shown on L.T.O. Deposited plan 3649) and extending southerly along the western alignment of the Toodyay</w:t>
      </w:r>
      <w:r>
        <w:rPr>
          <w:sz w:val="22"/>
        </w:rPr>
        <w:noBreakHyphen/>
        <w:t>Bolgart road to the north</w:t>
      </w:r>
      <w:r>
        <w:rPr>
          <w:sz w:val="22"/>
        </w:rPr>
        <w:noBreakHyphen/>
        <w:t>eastern corner of lot 143 on plan 3649 aforesaid; thence westerly along the northern boundary of said lot 143 to its north</w:t>
      </w:r>
      <w:r>
        <w:rPr>
          <w:sz w:val="22"/>
        </w:rPr>
        <w:noBreakHyphen/>
        <w:t>western corner; thence northerly to the south</w:t>
      </w:r>
      <w:r>
        <w:rPr>
          <w:sz w:val="22"/>
        </w:rPr>
        <w:noBreakHyphen/>
        <w:t>western corner of lot 76 aforesaid, and thence easterly along its southern boundary to the starting point.</w:t>
      </w:r>
    </w:p>
    <w:p>
      <w:pPr>
        <w:pStyle w:val="yScheduleHeading"/>
      </w:pPr>
      <w:bookmarkStart w:id="29" w:name="_Toc151860348"/>
      <w:bookmarkStart w:id="30" w:name="_Toc151860380"/>
      <w:bookmarkStart w:id="31" w:name="_Toc151860405"/>
      <w:bookmarkStart w:id="32" w:name="_Toc151860443"/>
      <w:bookmarkStart w:id="33" w:name="_Toc151861056"/>
      <w:bookmarkStart w:id="34" w:name="_Toc151861113"/>
      <w:bookmarkStart w:id="35" w:name="_Toc151968993"/>
      <w:bookmarkStart w:id="36" w:name="_Toc170192753"/>
      <w:r>
        <w:rPr>
          <w:rStyle w:val="CharSchNo"/>
        </w:rPr>
        <w:t>Second Schedule</w:t>
      </w:r>
      <w:bookmarkEnd w:id="29"/>
      <w:bookmarkEnd w:id="30"/>
      <w:bookmarkEnd w:id="31"/>
      <w:bookmarkEnd w:id="32"/>
      <w:bookmarkEnd w:id="33"/>
      <w:bookmarkEnd w:id="34"/>
      <w:bookmarkEnd w:id="35"/>
      <w:bookmarkEnd w:id="36"/>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trPr>
          <w:tblHeader/>
        </w:trPr>
        <w:tc>
          <w:tcPr>
            <w:tcW w:w="2977" w:type="dxa"/>
            <w:tcBorders>
              <w:top w:val="single" w:sz="4" w:space="0" w:color="auto"/>
              <w:bottom w:val="single" w:sz="4" w:space="0" w:color="auto"/>
            </w:tcBorders>
          </w:tcPr>
          <w:p>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pPr>
              <w:pStyle w:val="yTable"/>
              <w:suppressAutoHyphens/>
              <w:jc w:val="center"/>
              <w:rPr>
                <w:spacing w:val="-2"/>
              </w:rPr>
            </w:pPr>
            <w:r>
              <w:rPr>
                <w:spacing w:val="-2"/>
              </w:rPr>
              <w:t>Proprietors</w:t>
            </w:r>
          </w:p>
        </w:tc>
      </w:tr>
      <w:tr>
        <w:tc>
          <w:tcPr>
            <w:tcW w:w="2977" w:type="dxa"/>
          </w:tcPr>
          <w:p>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pPr>
              <w:pStyle w:val="yTable"/>
              <w:tabs>
                <w:tab w:val="left" w:pos="143"/>
              </w:tabs>
              <w:suppressAutoHyphens/>
              <w:ind w:left="143" w:hanging="143"/>
              <w:rPr>
                <w:spacing w:val="-2"/>
              </w:rPr>
            </w:pPr>
            <w:r>
              <w:rPr>
                <w:spacing w:val="-2"/>
              </w:rPr>
              <w:t>Volume 1060, folio 622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81 on plan 330</w:t>
            </w:r>
          </w:p>
        </w:tc>
        <w:tc>
          <w:tcPr>
            <w:tcW w:w="1843" w:type="dxa"/>
          </w:tcPr>
          <w:p>
            <w:pPr>
              <w:pStyle w:val="yTable"/>
              <w:tabs>
                <w:tab w:val="left" w:pos="143"/>
              </w:tabs>
              <w:suppressAutoHyphens/>
              <w:ind w:left="143" w:hanging="143"/>
              <w:rPr>
                <w:spacing w:val="-2"/>
              </w:rPr>
            </w:pPr>
            <w:r>
              <w:rPr>
                <w:spacing w:val="-2"/>
              </w:rPr>
              <w:t>Volume 333, folio 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76 on plan 3649</w:t>
            </w:r>
          </w:p>
        </w:tc>
        <w:tc>
          <w:tcPr>
            <w:tcW w:w="1843" w:type="dxa"/>
          </w:tcPr>
          <w:p>
            <w:pPr>
              <w:pStyle w:val="yTable"/>
              <w:tabs>
                <w:tab w:val="left" w:pos="143"/>
              </w:tabs>
              <w:suppressAutoHyphens/>
              <w:ind w:left="143" w:hanging="143"/>
              <w:rPr>
                <w:spacing w:val="-2"/>
              </w:rPr>
            </w:pPr>
            <w:r>
              <w:rPr>
                <w:spacing w:val="-2"/>
              </w:rPr>
              <w:t>Volume 839, folio 54</w:t>
            </w:r>
          </w:p>
        </w:tc>
        <w:tc>
          <w:tcPr>
            <w:tcW w:w="2268" w:type="dxa"/>
          </w:tcPr>
          <w:p>
            <w:pPr>
              <w:pStyle w:val="yTable"/>
              <w:tabs>
                <w:tab w:val="left" w:pos="142"/>
              </w:tabs>
              <w:suppressAutoHyphens/>
              <w:ind w:left="143" w:hanging="143"/>
              <w:rPr>
                <w:spacing w:val="-2"/>
              </w:rPr>
            </w:pPr>
            <w:r>
              <w:rPr>
                <w:spacing w:val="-2"/>
              </w:rPr>
              <w:t>The Perth Diocesan Trustees, Cathedral avenue, Perth.</w:t>
            </w:r>
          </w:p>
        </w:tc>
      </w:tr>
      <w:tr>
        <w:tc>
          <w:tcPr>
            <w:tcW w:w="2977" w:type="dxa"/>
          </w:tcPr>
          <w:p>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pPr>
              <w:pStyle w:val="yTable"/>
              <w:tabs>
                <w:tab w:val="left" w:pos="143"/>
              </w:tabs>
              <w:suppressAutoHyphens/>
              <w:ind w:left="143" w:hanging="143"/>
              <w:rPr>
                <w:spacing w:val="-2"/>
              </w:rPr>
            </w:pPr>
            <w:r>
              <w:rPr>
                <w:spacing w:val="-2"/>
              </w:rPr>
              <w:t>Volume 601, folio 71</w:t>
            </w:r>
          </w:p>
        </w:tc>
        <w:tc>
          <w:tcPr>
            <w:tcW w:w="2268" w:type="dxa"/>
          </w:tcPr>
          <w:p>
            <w:pPr>
              <w:pStyle w:val="yTable"/>
              <w:tabs>
                <w:tab w:val="left" w:pos="142"/>
              </w:tabs>
              <w:suppressAutoHyphens/>
              <w:ind w:left="143" w:hanging="143"/>
              <w:rPr>
                <w:spacing w:val="-2"/>
              </w:rPr>
            </w:pPr>
            <w:r>
              <w:rPr>
                <w:spacing w:val="-2"/>
              </w:rPr>
              <w:t>The Roman Catholic Bishop of Perth, Victoria square, Perth.</w:t>
            </w:r>
          </w:p>
        </w:tc>
      </w:tr>
      <w:tr>
        <w:tc>
          <w:tcPr>
            <w:tcW w:w="2977" w:type="dxa"/>
            <w:tcBorders>
              <w:bottom w:val="single" w:sz="4" w:space="0" w:color="auto"/>
            </w:tcBorders>
          </w:tcPr>
          <w:p>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pPr>
              <w:pStyle w:val="yTable"/>
              <w:tabs>
                <w:tab w:val="left" w:pos="143"/>
              </w:tabs>
              <w:suppressAutoHyphens/>
              <w:ind w:left="143" w:hanging="143"/>
              <w:rPr>
                <w:spacing w:val="-2"/>
              </w:rPr>
            </w:pPr>
            <w:r>
              <w:rPr>
                <w:spacing w:val="-2"/>
              </w:rPr>
              <w:t>Volume 86, folio 121</w:t>
            </w:r>
          </w:p>
        </w:tc>
        <w:tc>
          <w:tcPr>
            <w:tcW w:w="2268" w:type="dxa"/>
            <w:tcBorders>
              <w:bottom w:val="single" w:sz="4" w:space="0" w:color="auto"/>
            </w:tcBorders>
          </w:tcPr>
          <w:p>
            <w:pPr>
              <w:pStyle w:val="yTable"/>
              <w:tabs>
                <w:tab w:val="left" w:pos="142"/>
              </w:tabs>
              <w:suppressAutoHyphens/>
              <w:ind w:left="143" w:hanging="143"/>
              <w:rPr>
                <w:spacing w:val="-2"/>
              </w:rPr>
            </w:pPr>
            <w:r>
              <w:rPr>
                <w:spacing w:val="-2"/>
              </w:rPr>
              <w:t>The Diocesan Trustees of England in Western Australia.</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 w:name="_Toc151860349"/>
      <w:bookmarkStart w:id="38" w:name="_Toc151860381"/>
      <w:bookmarkStart w:id="39" w:name="_Toc151860406"/>
      <w:bookmarkStart w:id="40" w:name="_Toc151860444"/>
      <w:bookmarkStart w:id="41" w:name="_Toc151861057"/>
      <w:bookmarkStart w:id="42" w:name="_Toc151861114"/>
      <w:bookmarkStart w:id="43" w:name="_Toc151968994"/>
      <w:bookmarkStart w:id="44" w:name="_Toc170192754"/>
      <w:r>
        <w:t>Notes</w:t>
      </w:r>
      <w:bookmarkEnd w:id="37"/>
      <w:bookmarkEnd w:id="38"/>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Toodyay Cemeteries Act 1939</w:t>
      </w:r>
      <w:r>
        <w:rPr>
          <w:snapToGrid w:val="0"/>
        </w:rPr>
        <w:t xml:space="preserve"> and includes </w:t>
      </w:r>
      <w:del w:id="45" w:author="svcMRProcess" w:date="2015-11-11T22:17:00Z">
        <w:r>
          <w:rPr>
            <w:snapToGrid w:val="0"/>
          </w:rPr>
          <w:delText>all</w:delText>
        </w:r>
      </w:del>
      <w:ins w:id="46" w:author="svcMRProcess" w:date="2015-11-11T22:17:00Z">
        <w:r>
          <w:rPr>
            <w:snapToGrid w:val="0"/>
          </w:rPr>
          <w:t>the</w:t>
        </w:r>
      </w:ins>
      <w:r>
        <w:rPr>
          <w:snapToGrid w:val="0"/>
        </w:rPr>
        <w:t xml:space="preserve"> amendments </w:t>
      </w:r>
      <w:del w:id="47" w:author="svcMRProcess" w:date="2015-11-11T22:17:00Z">
        <w:r>
          <w:rPr>
            <w:snapToGrid w:val="0"/>
          </w:rPr>
          <w:delText>effected</w:delText>
        </w:r>
      </w:del>
      <w:ins w:id="48" w:author="svcMRProcess" w:date="2015-11-11T22:17:00Z">
        <w:r>
          <w:rPr>
            <w:snapToGrid w:val="0"/>
          </w:rPr>
          <w:t>made</w:t>
        </w:r>
      </w:ins>
      <w:r>
        <w:rPr>
          <w:snapToGrid w:val="0"/>
        </w:rPr>
        <w:t xml:space="preserve"> by the other </w:t>
      </w:r>
      <w:del w:id="49" w:author="svcMRProcess" w:date="2015-11-11T22:17:00Z">
        <w:r>
          <w:rPr>
            <w:snapToGrid w:val="0"/>
          </w:rPr>
          <w:delText>Acts</w:delText>
        </w:r>
      </w:del>
      <w:ins w:id="50" w:author="svcMRProcess" w:date="2015-11-11T22:17:00Z">
        <w:r>
          <w:rPr>
            <w:snapToGrid w:val="0"/>
          </w:rPr>
          <w:t>written laws</w:t>
        </w:r>
      </w:ins>
      <w:r>
        <w:rPr>
          <w:snapToGrid w:val="0"/>
        </w:rPr>
        <w:t xml:space="preserve"> referred to in the following </w:t>
      </w:r>
      <w:del w:id="51" w:author="svcMRProcess" w:date="2015-11-11T22:17:00Z">
        <w:r>
          <w:rPr>
            <w:snapToGrid w:val="0"/>
          </w:rPr>
          <w:delText>Table.</w:delText>
        </w:r>
      </w:del>
      <w:ins w:id="52" w:author="svcMRProcess" w:date="2015-11-11T22:17:00Z">
        <w:r>
          <w:rPr>
            <w:snapToGrid w:val="0"/>
          </w:rPr>
          <w:t>table </w:t>
        </w:r>
        <w:r>
          <w:rPr>
            <w:snapToGrid w:val="0"/>
            <w:vertAlign w:val="superscript"/>
          </w:rPr>
          <w:t>1a</w:t>
        </w:r>
        <w:r>
          <w:rPr>
            <w:snapToGrid w:val="0"/>
          </w:rPr>
          <w:t xml:space="preserve">.  </w:t>
        </w:r>
      </w:ins>
    </w:p>
    <w:p>
      <w:pPr>
        <w:pStyle w:val="MiscellaneousHeading"/>
        <w:spacing w:after="80"/>
        <w:rPr>
          <w:del w:id="53" w:author="svcMRProcess" w:date="2015-11-11T22:17:00Z"/>
          <w:b/>
          <w:snapToGrid w:val="0"/>
        </w:rPr>
      </w:pPr>
      <w:bookmarkStart w:id="54" w:name="UpToHere"/>
      <w:bookmarkStart w:id="55" w:name="_Toc151968995"/>
      <w:bookmarkStart w:id="56" w:name="_Toc170192755"/>
      <w:del w:id="57" w:author="svcMRProcess" w:date="2015-11-11T22:17:00Z">
        <w:r>
          <w:rPr>
            <w:b/>
            <w:snapToGrid w:val="0"/>
          </w:rPr>
          <w:delText>Table of Acts</w:delText>
        </w:r>
      </w:del>
    </w:p>
    <w:p>
      <w:pPr>
        <w:pStyle w:val="nHeading3"/>
        <w:rPr>
          <w:ins w:id="58" w:author="svcMRProcess" w:date="2015-11-11T22:17:00Z"/>
          <w:snapToGrid w:val="0"/>
        </w:rPr>
      </w:pPr>
      <w:ins w:id="59" w:author="svcMRProcess" w:date="2015-11-11T22:17:00Z">
        <w:r>
          <w:t>Compilation table</w:t>
        </w:r>
        <w:bookmarkEnd w:id="54"/>
        <w:bookmarkEnd w:id="55"/>
        <w:bookmarkEnd w:id="5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bCs/>
                <w:sz w:val="19"/>
              </w:rPr>
            </w:pPr>
            <w:del w:id="60" w:author="svcMRProcess" w:date="2015-11-11T22:17:00Z">
              <w:r>
                <w:delText>Act</w:delText>
              </w:r>
            </w:del>
            <w:ins w:id="61" w:author="svcMRProcess" w:date="2015-11-11T22:17:00Z">
              <w:r>
                <w:rPr>
                  <w:b/>
                  <w:bCs/>
                  <w:sz w:val="19"/>
                </w:rPr>
                <w:t>Short title</w:t>
              </w:r>
            </w:ins>
          </w:p>
        </w:tc>
        <w:tc>
          <w:tcPr>
            <w:tcW w:w="1134" w:type="dxa"/>
            <w:tcBorders>
              <w:top w:val="single" w:sz="8" w:space="0" w:color="auto"/>
              <w:bottom w:val="single" w:sz="8" w:space="0" w:color="auto"/>
            </w:tcBorders>
          </w:tcPr>
          <w:p>
            <w:pPr>
              <w:pStyle w:val="nTable"/>
              <w:spacing w:after="40"/>
              <w:rPr>
                <w:b/>
                <w:bCs/>
                <w:sz w:val="19"/>
              </w:rPr>
            </w:pPr>
            <w:r>
              <w:rPr>
                <w:b/>
                <w:bCs/>
                <w:sz w:val="19"/>
              </w:rPr>
              <w:t xml:space="preserve">Number and </w:t>
            </w:r>
            <w:del w:id="62" w:author="svcMRProcess" w:date="2015-11-11T22:17:00Z">
              <w:r>
                <w:delText>Year</w:delText>
              </w:r>
            </w:del>
            <w:ins w:id="63" w:author="svcMRProcess" w:date="2015-11-11T22:17:00Z">
              <w:r>
                <w:rPr>
                  <w:b/>
                  <w:bCs/>
                  <w:sz w:val="19"/>
                </w:rPr>
                <w:t>year</w:t>
              </w:r>
            </w:ins>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1" w:type="dxa"/>
            <w:tcBorders>
              <w:top w:val="single" w:sz="8" w:space="0" w:color="auto"/>
              <w:bottom w:val="single" w:sz="8" w:space="0" w:color="auto"/>
            </w:tcBorders>
          </w:tcPr>
          <w:p>
            <w:pPr>
              <w:pStyle w:val="nTable"/>
              <w:spacing w:after="40"/>
              <w:rPr>
                <w:b/>
                <w:bCs/>
                <w:sz w:val="19"/>
              </w:rPr>
            </w:pPr>
            <w:r>
              <w:rPr>
                <w:b/>
                <w:bCs/>
                <w:sz w:val="19"/>
              </w:rPr>
              <w:t>Commencement</w:t>
            </w:r>
          </w:p>
        </w:tc>
        <w:tc>
          <w:tcPr>
            <w:tcW w:w="1417" w:type="dxa"/>
            <w:tcBorders>
              <w:top w:val="single" w:sz="4" w:space="0" w:color="auto"/>
              <w:bottom w:val="single" w:sz="4" w:space="0" w:color="auto"/>
            </w:tcBorders>
            <w:cellDel w:id="64" w:author="svcMRProcess" w:date="2015-11-11T22:17:00Z"/>
          </w:tcPr>
          <w:p>
            <w:pPr>
              <w:pStyle w:val="nTable"/>
              <w:spacing w:before="60" w:line="240" w:lineRule="atLeast"/>
            </w:pPr>
            <w:del w:id="65" w:author="svcMRProcess" w:date="2015-11-11T22:17:00Z">
              <w:r>
                <w:delText>Miscellaneous</w:delText>
              </w:r>
            </w:del>
          </w:p>
        </w:tc>
      </w:tr>
      <w:tr>
        <w:tc>
          <w:tcPr>
            <w:tcW w:w="2268" w:type="dxa"/>
          </w:tcPr>
          <w:p>
            <w:pPr>
              <w:pStyle w:val="nTable"/>
              <w:spacing w:after="40"/>
              <w:rPr>
                <w:sz w:val="19"/>
              </w:rPr>
            </w:pPr>
            <w:r>
              <w:rPr>
                <w:i/>
                <w:sz w:val="19"/>
              </w:rPr>
              <w:t>Toodyay Cemeteries Act 1939</w:t>
            </w:r>
          </w:p>
        </w:tc>
        <w:tc>
          <w:tcPr>
            <w:tcW w:w="1134" w:type="dxa"/>
          </w:tcPr>
          <w:p>
            <w:pPr>
              <w:pStyle w:val="nTable"/>
              <w:spacing w:after="40"/>
              <w:rPr>
                <w:sz w:val="19"/>
              </w:rPr>
            </w:pPr>
            <w:r>
              <w:rPr>
                <w:sz w:val="19"/>
              </w:rPr>
              <w:t>8 of 1939</w:t>
            </w:r>
          </w:p>
        </w:tc>
        <w:tc>
          <w:tcPr>
            <w:tcW w:w="1134" w:type="dxa"/>
          </w:tcPr>
          <w:p>
            <w:pPr>
              <w:pStyle w:val="nTable"/>
              <w:spacing w:after="40"/>
              <w:rPr>
                <w:sz w:val="19"/>
              </w:rPr>
            </w:pPr>
            <w:r>
              <w:rPr>
                <w:sz w:val="19"/>
              </w:rPr>
              <w:t>28 </w:t>
            </w:r>
            <w:del w:id="66" w:author="svcMRProcess" w:date="2015-11-11T22:17:00Z">
              <w:r>
                <w:delText>October</w:delText>
              </w:r>
            </w:del>
            <w:ins w:id="67" w:author="svcMRProcess" w:date="2015-11-11T22:17:00Z">
              <w:r>
                <w:rPr>
                  <w:sz w:val="19"/>
                </w:rPr>
                <w:t>Oct</w:t>
              </w:r>
            </w:ins>
            <w:r>
              <w:rPr>
                <w:sz w:val="19"/>
              </w:rPr>
              <w:t xml:space="preserve"> 1939</w:t>
            </w:r>
          </w:p>
        </w:tc>
        <w:tc>
          <w:tcPr>
            <w:tcW w:w="2551" w:type="dxa"/>
          </w:tcPr>
          <w:p>
            <w:pPr>
              <w:pStyle w:val="nTable"/>
              <w:spacing w:after="40"/>
              <w:rPr>
                <w:sz w:val="19"/>
              </w:rPr>
            </w:pPr>
            <w:r>
              <w:rPr>
                <w:sz w:val="19"/>
              </w:rPr>
              <w:t>28 </w:t>
            </w:r>
            <w:del w:id="68" w:author="svcMRProcess" w:date="2015-11-11T22:17:00Z">
              <w:r>
                <w:delText>October</w:delText>
              </w:r>
            </w:del>
            <w:ins w:id="69" w:author="svcMRProcess" w:date="2015-11-11T22:17:00Z">
              <w:r>
                <w:rPr>
                  <w:sz w:val="19"/>
                </w:rPr>
                <w:t>Oct</w:t>
              </w:r>
            </w:ins>
            <w:r>
              <w:rPr>
                <w:sz w:val="19"/>
              </w:rPr>
              <w:t xml:space="preserve"> 1939</w:t>
            </w:r>
          </w:p>
        </w:tc>
        <w:tc>
          <w:tcPr>
            <w:tcW w:w="1417" w:type="dxa"/>
            <w:cellDel w:id="70" w:author="svcMRProcess" w:date="2015-11-11T22:17:00Z"/>
          </w:tcPr>
          <w:p>
            <w:pPr>
              <w:pStyle w:val="nTable"/>
              <w:spacing w:before="60" w:line="240" w:lineRule="atLeast"/>
            </w:pPr>
          </w:p>
        </w:tc>
      </w:tr>
      <w:tr>
        <w:tc>
          <w:tcPr>
            <w:tcW w:w="2268" w:type="dxa"/>
            <w:tcBorders>
              <w:bottom w:val="single" w:sz="8" w:space="0" w:color="auto"/>
            </w:tcBorders>
          </w:tcPr>
          <w:p>
            <w:pPr>
              <w:pStyle w:val="nTable"/>
              <w:spacing w:after="40"/>
              <w:rPr>
                <w:sz w:val="19"/>
              </w:rPr>
            </w:pPr>
            <w:r>
              <w:rPr>
                <w:i/>
                <w:sz w:val="19"/>
              </w:rPr>
              <w:t>Local Government (Consequential Amendments) Act 1996</w:t>
            </w:r>
            <w:r>
              <w:rPr>
                <w:sz w:val="19"/>
              </w:rPr>
              <w:t>,</w:t>
            </w:r>
            <w:r>
              <w:rPr>
                <w:sz w:val="19"/>
              </w:rPr>
              <w:br/>
              <w:t>section 4</w:t>
            </w:r>
          </w:p>
        </w:tc>
        <w:tc>
          <w:tcPr>
            <w:tcW w:w="1134" w:type="dxa"/>
            <w:tcBorders>
              <w:bottom w:val="single" w:sz="8" w:space="0" w:color="auto"/>
            </w:tcBorders>
          </w:tcPr>
          <w:p>
            <w:pPr>
              <w:pStyle w:val="nTable"/>
              <w:spacing w:after="40"/>
              <w:rPr>
                <w:sz w:val="19"/>
              </w:rPr>
            </w:pPr>
            <w:r>
              <w:rPr>
                <w:sz w:val="19"/>
              </w:rPr>
              <w:t>14 of 1996</w:t>
            </w:r>
          </w:p>
        </w:tc>
        <w:tc>
          <w:tcPr>
            <w:tcW w:w="1134" w:type="dxa"/>
            <w:tcBorders>
              <w:bottom w:val="single" w:sz="8" w:space="0" w:color="auto"/>
            </w:tcBorders>
          </w:tcPr>
          <w:p>
            <w:pPr>
              <w:pStyle w:val="nTable"/>
              <w:spacing w:after="40"/>
              <w:rPr>
                <w:sz w:val="19"/>
              </w:rPr>
            </w:pPr>
            <w:r>
              <w:rPr>
                <w:sz w:val="19"/>
              </w:rPr>
              <w:t>28 </w:t>
            </w:r>
            <w:del w:id="71" w:author="svcMRProcess" w:date="2015-11-11T22:17:00Z">
              <w:r>
                <w:delText>June</w:delText>
              </w:r>
            </w:del>
            <w:ins w:id="72" w:author="svcMRProcess" w:date="2015-11-11T22:17:00Z">
              <w:r>
                <w:rPr>
                  <w:sz w:val="19"/>
                </w:rPr>
                <w:t>Jun</w:t>
              </w:r>
            </w:ins>
            <w:r>
              <w:rPr>
                <w:sz w:val="19"/>
              </w:rPr>
              <w:t xml:space="preserve"> 1996</w:t>
            </w:r>
          </w:p>
        </w:tc>
        <w:tc>
          <w:tcPr>
            <w:tcW w:w="2551" w:type="dxa"/>
            <w:tcBorders>
              <w:bottom w:val="single" w:sz="8" w:space="0" w:color="auto"/>
            </w:tcBorders>
          </w:tcPr>
          <w:p>
            <w:pPr>
              <w:pStyle w:val="nTable"/>
              <w:spacing w:after="40"/>
              <w:rPr>
                <w:sz w:val="19"/>
              </w:rPr>
            </w:pPr>
            <w:r>
              <w:rPr>
                <w:sz w:val="19"/>
              </w:rPr>
              <w:t>1 </w:t>
            </w:r>
            <w:del w:id="73" w:author="svcMRProcess" w:date="2015-11-11T22:17:00Z">
              <w:r>
                <w:delText>July</w:delText>
              </w:r>
            </w:del>
            <w:ins w:id="74" w:author="svcMRProcess" w:date="2015-11-11T22:17:00Z">
              <w:r>
                <w:rPr>
                  <w:sz w:val="19"/>
                </w:rPr>
                <w:t>Jul</w:t>
              </w:r>
            </w:ins>
            <w:r>
              <w:rPr>
                <w:sz w:val="19"/>
              </w:rPr>
              <w:t xml:space="preserve"> 1996 (see section 2)</w:t>
            </w:r>
          </w:p>
        </w:tc>
        <w:tc>
          <w:tcPr>
            <w:tcW w:w="1417" w:type="dxa"/>
            <w:tcBorders>
              <w:bottom w:val="single" w:sz="4" w:space="0" w:color="auto"/>
            </w:tcBorders>
            <w:cellDel w:id="75" w:author="svcMRProcess" w:date="2015-11-11T22:17:00Z"/>
          </w:tcPr>
          <w:p>
            <w:pPr>
              <w:pStyle w:val="nTable"/>
              <w:spacing w:before="60" w:line="240" w:lineRule="atLeast"/>
            </w:pPr>
          </w:p>
        </w:tc>
      </w:tr>
    </w:tbl>
    <w:p>
      <w:pPr>
        <w:pStyle w:val="nSubsection"/>
        <w:rPr>
          <w:ins w:id="76" w:author="svcMRProcess" w:date="2015-11-11T22:17:00Z"/>
          <w:snapToGrid w:val="0"/>
        </w:rPr>
      </w:pPr>
      <w:ins w:id="77" w:author="svcMRProcess" w:date="2015-11-11T22: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 w:author="svcMRProcess" w:date="2015-11-11T22:17:00Z"/>
          <w:snapToGrid w:val="0"/>
        </w:rPr>
      </w:pPr>
      <w:bookmarkStart w:id="79" w:name="_Toc534778309"/>
      <w:bookmarkStart w:id="80" w:name="_Toc7405063"/>
      <w:bookmarkStart w:id="81" w:name="_Toc151968996"/>
      <w:bookmarkStart w:id="82" w:name="_Toc170192756"/>
      <w:ins w:id="83" w:author="svcMRProcess" w:date="2015-11-11T22:17:00Z">
        <w:r>
          <w:rPr>
            <w:snapToGrid w:val="0"/>
          </w:rPr>
          <w:t>Provisions that have not come into operation</w:t>
        </w:r>
        <w:bookmarkEnd w:id="79"/>
        <w:bookmarkEnd w:id="80"/>
        <w:bookmarkEnd w:id="81"/>
        <w:bookmarkEnd w:id="8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4" w:author="svcMRProcess" w:date="2015-11-11T22:17:00Z"/>
        </w:trPr>
        <w:tc>
          <w:tcPr>
            <w:tcW w:w="2268" w:type="dxa"/>
          </w:tcPr>
          <w:p>
            <w:pPr>
              <w:pStyle w:val="nTable"/>
              <w:spacing w:after="40"/>
              <w:rPr>
                <w:ins w:id="85" w:author="svcMRProcess" w:date="2015-11-11T22:17:00Z"/>
                <w:b/>
                <w:snapToGrid w:val="0"/>
                <w:sz w:val="19"/>
                <w:lang w:val="en-US"/>
              </w:rPr>
            </w:pPr>
            <w:ins w:id="86" w:author="svcMRProcess" w:date="2015-11-11T22:17:00Z">
              <w:r>
                <w:rPr>
                  <w:b/>
                  <w:snapToGrid w:val="0"/>
                  <w:sz w:val="19"/>
                  <w:lang w:val="en-US"/>
                </w:rPr>
                <w:t>Short title</w:t>
              </w:r>
            </w:ins>
          </w:p>
        </w:tc>
        <w:tc>
          <w:tcPr>
            <w:tcW w:w="1118" w:type="dxa"/>
          </w:tcPr>
          <w:p>
            <w:pPr>
              <w:pStyle w:val="nTable"/>
              <w:spacing w:after="40"/>
              <w:rPr>
                <w:ins w:id="87" w:author="svcMRProcess" w:date="2015-11-11T22:17:00Z"/>
                <w:b/>
                <w:snapToGrid w:val="0"/>
                <w:sz w:val="19"/>
                <w:lang w:val="en-US"/>
              </w:rPr>
            </w:pPr>
            <w:ins w:id="88" w:author="svcMRProcess" w:date="2015-11-11T22:17:00Z">
              <w:r>
                <w:rPr>
                  <w:b/>
                  <w:snapToGrid w:val="0"/>
                  <w:sz w:val="19"/>
                  <w:lang w:val="en-US"/>
                </w:rPr>
                <w:t>Number and year</w:t>
              </w:r>
            </w:ins>
          </w:p>
        </w:tc>
        <w:tc>
          <w:tcPr>
            <w:tcW w:w="1134" w:type="dxa"/>
          </w:tcPr>
          <w:p>
            <w:pPr>
              <w:pStyle w:val="nTable"/>
              <w:spacing w:after="40"/>
              <w:rPr>
                <w:ins w:id="89" w:author="svcMRProcess" w:date="2015-11-11T22:17:00Z"/>
                <w:b/>
                <w:snapToGrid w:val="0"/>
                <w:sz w:val="19"/>
                <w:lang w:val="en-US"/>
              </w:rPr>
            </w:pPr>
            <w:ins w:id="90" w:author="svcMRProcess" w:date="2015-11-11T22:17:00Z">
              <w:r>
                <w:rPr>
                  <w:b/>
                  <w:snapToGrid w:val="0"/>
                  <w:sz w:val="19"/>
                  <w:lang w:val="en-US"/>
                </w:rPr>
                <w:t>Assent</w:t>
              </w:r>
            </w:ins>
          </w:p>
        </w:tc>
        <w:tc>
          <w:tcPr>
            <w:tcW w:w="2552" w:type="dxa"/>
          </w:tcPr>
          <w:p>
            <w:pPr>
              <w:pStyle w:val="nTable"/>
              <w:spacing w:after="40"/>
              <w:rPr>
                <w:ins w:id="91" w:author="svcMRProcess" w:date="2015-11-11T22:17:00Z"/>
                <w:b/>
                <w:snapToGrid w:val="0"/>
                <w:sz w:val="19"/>
                <w:lang w:val="en-US"/>
              </w:rPr>
            </w:pPr>
            <w:ins w:id="92" w:author="svcMRProcess" w:date="2015-11-11T22:17:00Z">
              <w:r>
                <w:rPr>
                  <w:b/>
                  <w:snapToGrid w:val="0"/>
                  <w:sz w:val="19"/>
                  <w:lang w:val="en-US"/>
                </w:rPr>
                <w:t>Commencement</w:t>
              </w:r>
            </w:ins>
          </w:p>
        </w:tc>
      </w:tr>
      <w:tr>
        <w:trPr>
          <w:ins w:id="93" w:author="svcMRProcess" w:date="2015-11-11T22:17:00Z"/>
        </w:trPr>
        <w:tc>
          <w:tcPr>
            <w:tcW w:w="2268" w:type="dxa"/>
          </w:tcPr>
          <w:p>
            <w:pPr>
              <w:pStyle w:val="nTable"/>
              <w:spacing w:after="40"/>
              <w:rPr>
                <w:ins w:id="94" w:author="svcMRProcess" w:date="2015-11-11T22:17:00Z"/>
                <w:iCs/>
                <w:snapToGrid w:val="0"/>
                <w:sz w:val="19"/>
                <w:vertAlign w:val="superscript"/>
                <w:lang w:val="en-US"/>
              </w:rPr>
            </w:pPr>
            <w:ins w:id="95" w:author="svcMRProcess" w:date="2015-11-11T22:17:00Z">
              <w:r>
                <w:rPr>
                  <w:i/>
                  <w:snapToGrid w:val="0"/>
                  <w:sz w:val="19"/>
                  <w:lang w:val="en-US"/>
                </w:rPr>
                <w:t>Land Information Authority Act 2006</w:t>
              </w:r>
              <w:r>
                <w:rPr>
                  <w:iCs/>
                  <w:snapToGrid w:val="0"/>
                  <w:sz w:val="19"/>
                  <w:lang w:val="en-US"/>
                </w:rPr>
                <w:t xml:space="preserve"> s. 163</w:t>
              </w:r>
              <w:r>
                <w:rPr>
                  <w:iCs/>
                  <w:snapToGrid w:val="0"/>
                  <w:sz w:val="19"/>
                  <w:vertAlign w:val="superscript"/>
                  <w:lang w:val="en-US"/>
                </w:rPr>
                <w:t> 2</w:t>
              </w:r>
            </w:ins>
          </w:p>
        </w:tc>
        <w:tc>
          <w:tcPr>
            <w:tcW w:w="1118" w:type="dxa"/>
          </w:tcPr>
          <w:p>
            <w:pPr>
              <w:pStyle w:val="nTable"/>
              <w:spacing w:after="40"/>
              <w:rPr>
                <w:ins w:id="96" w:author="svcMRProcess" w:date="2015-11-11T22:17:00Z"/>
                <w:snapToGrid w:val="0"/>
                <w:sz w:val="19"/>
                <w:lang w:val="en-US"/>
              </w:rPr>
            </w:pPr>
            <w:ins w:id="97" w:author="svcMRProcess" w:date="2015-11-11T22:17:00Z">
              <w:r>
                <w:rPr>
                  <w:snapToGrid w:val="0"/>
                  <w:sz w:val="19"/>
                  <w:lang w:val="en-US"/>
                </w:rPr>
                <w:t>60 of 2006</w:t>
              </w:r>
            </w:ins>
          </w:p>
        </w:tc>
        <w:tc>
          <w:tcPr>
            <w:tcW w:w="1134" w:type="dxa"/>
          </w:tcPr>
          <w:p>
            <w:pPr>
              <w:pStyle w:val="nTable"/>
              <w:spacing w:after="40"/>
              <w:rPr>
                <w:ins w:id="98" w:author="svcMRProcess" w:date="2015-11-11T22:17:00Z"/>
                <w:snapToGrid w:val="0"/>
                <w:sz w:val="19"/>
                <w:lang w:val="en-US"/>
              </w:rPr>
            </w:pPr>
            <w:ins w:id="99" w:author="svcMRProcess" w:date="2015-11-11T22:17:00Z">
              <w:r>
                <w:rPr>
                  <w:snapToGrid w:val="0"/>
                  <w:sz w:val="19"/>
                  <w:lang w:val="en-US"/>
                </w:rPr>
                <w:t>16 Nov 2006</w:t>
              </w:r>
            </w:ins>
          </w:p>
        </w:tc>
        <w:tc>
          <w:tcPr>
            <w:tcW w:w="2552" w:type="dxa"/>
          </w:tcPr>
          <w:p>
            <w:pPr>
              <w:pStyle w:val="nTable"/>
              <w:spacing w:after="40"/>
              <w:rPr>
                <w:ins w:id="100" w:author="svcMRProcess" w:date="2015-11-11T22:17:00Z"/>
                <w:snapToGrid w:val="0"/>
                <w:sz w:val="19"/>
                <w:lang w:val="en-US"/>
              </w:rPr>
            </w:pPr>
            <w:ins w:id="101" w:author="svcMRProcess" w:date="2015-11-11T22:17:00Z">
              <w:r>
                <w:rPr>
                  <w:snapToGrid w:val="0"/>
                  <w:sz w:val="19"/>
                  <w:lang w:val="en-US"/>
                </w:rPr>
                <w:t>To be proclaimed (see s. 2(1))</w:t>
              </w:r>
            </w:ins>
          </w:p>
        </w:tc>
      </w:tr>
    </w:tbl>
    <w:p>
      <w:pPr>
        <w:pStyle w:val="nSubsection"/>
        <w:rPr>
          <w:ins w:id="102" w:author="svcMRProcess" w:date="2015-11-11T22:17:00Z"/>
          <w:snapToGrid w:val="0"/>
        </w:rPr>
      </w:pPr>
      <w:ins w:id="103" w:author="svcMRProcess" w:date="2015-11-11T22:17:00Z">
        <w:r>
          <w:rPr>
            <w:snapToGrid w:val="0"/>
            <w:vertAlign w:val="superscript"/>
          </w:rPr>
          <w:t>2</w:t>
        </w:r>
        <w:r>
          <w:rPr>
            <w:snapToGrid w:val="0"/>
          </w:rPr>
          <w:tab/>
          <w:t xml:space="preserve">On the date as at which this compilation was prepared, the </w:t>
        </w:r>
        <w:r>
          <w:rPr>
            <w:i/>
            <w:snapToGrid w:val="0"/>
          </w:rPr>
          <w:t xml:space="preserve">Land Information Authority Act 2006 </w:t>
        </w:r>
        <w:r>
          <w:rPr>
            <w:iCs/>
            <w:snapToGrid w:val="0"/>
          </w:rPr>
          <w:t xml:space="preserve">s. 163 </w:t>
        </w:r>
        <w:r>
          <w:rPr>
            <w:snapToGrid w:val="0"/>
          </w:rPr>
          <w:t>had not come into operation.  It reads as follows:</w:t>
        </w:r>
      </w:ins>
    </w:p>
    <w:p>
      <w:pPr>
        <w:pStyle w:val="MiscOpen"/>
        <w:rPr>
          <w:ins w:id="104" w:author="svcMRProcess" w:date="2015-11-11T22:17:00Z"/>
          <w:snapToGrid w:val="0"/>
        </w:rPr>
      </w:pPr>
      <w:ins w:id="105" w:author="svcMRProcess" w:date="2015-11-11T22:17:00Z">
        <w:r>
          <w:rPr>
            <w:snapToGrid w:val="0"/>
          </w:rPr>
          <w:t>“</w:t>
        </w:r>
      </w:ins>
    </w:p>
    <w:p>
      <w:pPr>
        <w:pStyle w:val="nzHeading5"/>
        <w:rPr>
          <w:ins w:id="106" w:author="svcMRProcess" w:date="2015-11-11T22:17:00Z"/>
        </w:rPr>
      </w:pPr>
      <w:bookmarkStart w:id="107" w:name="_Toc134253668"/>
      <w:bookmarkStart w:id="108" w:name="_Toc149720378"/>
      <w:bookmarkStart w:id="109" w:name="_Toc151783448"/>
      <w:ins w:id="110" w:author="svcMRProcess" w:date="2015-11-11T22:17:00Z">
        <w:r>
          <w:rPr>
            <w:rStyle w:val="CharSectno"/>
          </w:rPr>
          <w:t>163</w:t>
        </w:r>
        <w:r>
          <w:t>.</w:t>
        </w:r>
        <w:r>
          <w:tab/>
        </w:r>
        <w:r>
          <w:rPr>
            <w:i/>
            <w:iCs/>
          </w:rPr>
          <w:t>Toodyay Cemeteries Act 1939</w:t>
        </w:r>
        <w:bookmarkEnd w:id="107"/>
        <w:r>
          <w:t xml:space="preserve"> amended</w:t>
        </w:r>
        <w:bookmarkEnd w:id="108"/>
        <w:bookmarkEnd w:id="109"/>
      </w:ins>
    </w:p>
    <w:p>
      <w:pPr>
        <w:pStyle w:val="nzSubsection"/>
        <w:rPr>
          <w:ins w:id="111" w:author="svcMRProcess" w:date="2015-11-11T22:17:00Z"/>
        </w:rPr>
      </w:pPr>
      <w:ins w:id="112" w:author="svcMRProcess" w:date="2015-11-11T22:17:00Z">
        <w:r>
          <w:tab/>
          <w:t>(1)</w:t>
        </w:r>
        <w:r>
          <w:tab/>
          <w:t xml:space="preserve">The amendments in this section are to the </w:t>
        </w:r>
        <w:r>
          <w:rPr>
            <w:i/>
            <w:iCs/>
          </w:rPr>
          <w:t>Toodyay Cemeteries Act 1939</w:t>
        </w:r>
        <w:r>
          <w:t>.</w:t>
        </w:r>
      </w:ins>
    </w:p>
    <w:p>
      <w:pPr>
        <w:pStyle w:val="nzSubsection"/>
        <w:rPr>
          <w:ins w:id="113" w:author="svcMRProcess" w:date="2015-11-11T22:17:00Z"/>
        </w:rPr>
      </w:pPr>
      <w:ins w:id="114" w:author="svcMRProcess" w:date="2015-11-11T22:17:00Z">
        <w:r>
          <w:tab/>
          <w:t>(2)</w:t>
        </w:r>
        <w:r>
          <w:tab/>
          <w:t xml:space="preserve">Section 5 is amended by deleting “in the Office of Land Titles” and inserting instead — </w:t>
        </w:r>
      </w:ins>
    </w:p>
    <w:p>
      <w:pPr>
        <w:pStyle w:val="MiscOpen"/>
        <w:spacing w:before="80"/>
        <w:ind w:left="879"/>
        <w:rPr>
          <w:ins w:id="115" w:author="svcMRProcess" w:date="2015-11-11T22:17:00Z"/>
        </w:rPr>
      </w:pPr>
      <w:ins w:id="116" w:author="svcMRProcess" w:date="2015-11-11T22:17:00Z">
        <w:r>
          <w:t xml:space="preserve">“    </w:t>
        </w:r>
      </w:ins>
    </w:p>
    <w:p>
      <w:pPr>
        <w:pStyle w:val="nzSubsection"/>
        <w:rPr>
          <w:ins w:id="117" w:author="svcMRProcess" w:date="2015-11-11T22:17:00Z"/>
        </w:rPr>
      </w:pPr>
      <w:ins w:id="118" w:author="svcMRProcess" w:date="2015-11-11T22:17:00Z">
        <w:r>
          <w:tab/>
        </w:r>
        <w:r>
          <w:tab/>
          <w:t xml:space="preserve">of the Western Australian Land Information Authority established by the </w:t>
        </w:r>
        <w:r>
          <w:rPr>
            <w:i/>
            <w:iCs/>
          </w:rPr>
          <w:t>Land Information Authority Act 2006</w:t>
        </w:r>
        <w:r>
          <w:t xml:space="preserve"> section 5</w:t>
        </w:r>
      </w:ins>
    </w:p>
    <w:p>
      <w:pPr>
        <w:pStyle w:val="MiscClose"/>
        <w:rPr>
          <w:ins w:id="119" w:author="svcMRProcess" w:date="2015-11-11T22:17:00Z"/>
        </w:rPr>
      </w:pPr>
      <w:ins w:id="120" w:author="svcMRProcess" w:date="2015-11-11T22:17:00Z">
        <w:r>
          <w:t xml:space="preserve">    ”.</w:t>
        </w:r>
      </w:ins>
    </w:p>
    <w:p>
      <w:pPr>
        <w:pStyle w:val="MiscClose"/>
        <w:rPr>
          <w:ins w:id="121" w:author="svcMRProcess" w:date="2015-11-11T22:17:00Z"/>
          <w:snapToGrid w:val="0"/>
        </w:rPr>
      </w:pPr>
      <w:ins w:id="122" w:author="svcMRProcess" w:date="2015-11-11T22:17:00Z">
        <w:r>
          <w:rPr>
            <w:snapToGrid w:val="0"/>
          </w:rPr>
          <w:t>”.</w:t>
        </w:r>
      </w:ins>
    </w:p>
    <w:p>
      <w:pPr>
        <w:rPr>
          <w:ins w:id="123" w:author="svcMRProcess" w:date="2015-11-11T22:17: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Toodyay Cemeteries Act 1939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Toodyay Cemeteries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Toodyay Cemeteries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Toodyay Cemeteries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Toodyay Cemeteries Act 1939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Toodyay Cemeteries Act 1939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09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A8F4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F2C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7853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B615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B60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E851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324C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1623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3AD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5BE84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5442</Characters>
  <Application>Microsoft Office Word</Application>
  <DocSecurity>0</DocSecurity>
  <Lines>187</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00-a0-05 - 00-b0-02</dc:title>
  <dc:subject/>
  <dc:creator/>
  <cp:keywords/>
  <dc:description/>
  <cp:lastModifiedBy>svcMRProcess</cp:lastModifiedBy>
  <cp:revision>2</cp:revision>
  <cp:lastPrinted>1998-01-12T09:36:00Z</cp:lastPrinted>
  <dcterms:created xsi:type="dcterms:W3CDTF">2015-11-11T14:17:00Z</dcterms:created>
  <dcterms:modified xsi:type="dcterms:W3CDTF">2015-11-11T14:17:00Z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818</vt:i4>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00-b0-02</vt:lpwstr>
  </property>
  <property fmtid="{D5CDD505-2E9C-101B-9397-08002B2CF9AE}" pid="9" name="ToAsAtDate">
    <vt:lpwstr>16 Nov 2006</vt:lpwstr>
  </property>
</Properties>
</file>