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0" w:name="_Toc229464985"/>
      <w:bookmarkStart w:id="1" w:name="_Toc229465026"/>
      <w:bookmarkStart w:id="2" w:name="_Toc229465554"/>
      <w:bookmarkStart w:id="3" w:name="_Toc229465677"/>
      <w:bookmarkStart w:id="4" w:name="_Toc229466357"/>
      <w:bookmarkStart w:id="5" w:name="_Toc229467274"/>
      <w:bookmarkStart w:id="6" w:name="_Toc229467463"/>
      <w:bookmarkStart w:id="7" w:name="_Toc229471568"/>
      <w:bookmarkStart w:id="8" w:name="_Toc229472292"/>
      <w:bookmarkStart w:id="9" w:name="_Toc231116500"/>
      <w:bookmarkStart w:id="10" w:name="_Toc231120736"/>
      <w:bookmarkStart w:id="11" w:name="_Toc231121779"/>
      <w:bookmarkStart w:id="12" w:name="_Toc231178929"/>
      <w:bookmarkStart w:id="13" w:name="_Toc232395100"/>
      <w:bookmarkStart w:id="14" w:name="_Toc232396085"/>
      <w:bookmarkStart w:id="15" w:name="_Toc307322557"/>
      <w:bookmarkStart w:id="16" w:name="_Toc312913866"/>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23332722"/>
      <w:bookmarkStart w:id="19" w:name="_Toc425219441"/>
      <w:bookmarkStart w:id="20" w:name="_Toc426249308"/>
      <w:bookmarkStart w:id="21" w:name="_Toc449924704"/>
      <w:bookmarkStart w:id="22" w:name="_Toc449947722"/>
      <w:bookmarkStart w:id="23" w:name="_Toc454185713"/>
      <w:bookmarkStart w:id="24" w:name="_Toc515958686"/>
      <w:bookmarkStart w:id="25" w:name="_Toc229472293"/>
      <w:bookmarkStart w:id="26" w:name="_Toc231116501"/>
      <w:bookmarkStart w:id="27" w:name="_Toc312913867"/>
      <w:bookmarkStart w:id="28" w:name="_Toc307322558"/>
      <w:r>
        <w:rPr>
          <w:rStyle w:val="CharSectno"/>
        </w:rPr>
        <w:t>1</w:t>
      </w:r>
      <w:r>
        <w:t>.</w:t>
      </w:r>
      <w:r>
        <w:tab/>
        <w:t>Citation</w:t>
      </w:r>
      <w:bookmarkEnd w:id="18"/>
      <w:bookmarkEnd w:id="19"/>
      <w:bookmarkEnd w:id="20"/>
      <w:bookmarkEnd w:id="21"/>
      <w:bookmarkEnd w:id="22"/>
      <w:bookmarkEnd w:id="23"/>
      <w:bookmarkEnd w:id="24"/>
      <w:bookmarkEnd w:id="25"/>
      <w:bookmarkEnd w:id="26"/>
      <w:bookmarkEnd w:id="27"/>
      <w:bookmarkEnd w:id="28"/>
    </w:p>
    <w:p>
      <w:pPr>
        <w:pStyle w:val="Subsection"/>
        <w:rPr>
          <w:i/>
        </w:rPr>
      </w:pPr>
      <w:r>
        <w:tab/>
      </w:r>
      <w:r>
        <w:tab/>
      </w:r>
      <w:bookmarkStart w:id="29" w:name="Start_Cursor"/>
      <w:bookmarkEnd w:id="29"/>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515958687"/>
      <w:bookmarkStart w:id="37" w:name="_Toc229472294"/>
      <w:bookmarkStart w:id="38" w:name="_Toc231116502"/>
      <w:bookmarkStart w:id="39" w:name="_Toc312913868"/>
      <w:bookmarkStart w:id="40" w:name="_Toc307322559"/>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bookmarkEnd w:id="39"/>
      <w:bookmarkEnd w:id="4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41" w:name="_Toc232329270"/>
      <w:bookmarkStart w:id="42" w:name="_Toc312913869"/>
      <w:bookmarkStart w:id="43" w:name="_Toc307322560"/>
      <w:bookmarkStart w:id="44" w:name="_Toc113695922"/>
      <w:bookmarkStart w:id="45" w:name="_Toc231120739"/>
      <w:bookmarkStart w:id="46" w:name="_Toc231121782"/>
      <w:bookmarkStart w:id="47" w:name="_Toc229304362"/>
      <w:bookmarkStart w:id="48" w:name="_Toc229472295"/>
      <w:r>
        <w:rPr>
          <w:rStyle w:val="CharSectno"/>
        </w:rPr>
        <w:t>3</w:t>
      </w:r>
      <w:r>
        <w:t>.</w:t>
      </w:r>
      <w:r>
        <w:tab/>
        <w:t>Terms used</w:t>
      </w:r>
      <w:bookmarkEnd w:id="41"/>
      <w:bookmarkEnd w:id="42"/>
      <w:bookmarkEnd w:id="43"/>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49" w:name="_Toc232329271"/>
      <w:bookmarkStart w:id="50" w:name="_Toc232395104"/>
      <w:bookmarkStart w:id="51" w:name="_Toc232396089"/>
      <w:bookmarkStart w:id="52" w:name="_Toc307322561"/>
      <w:bookmarkStart w:id="53" w:name="_Toc312913870"/>
      <w:r>
        <w:rPr>
          <w:rStyle w:val="CharPartNo"/>
        </w:rPr>
        <w:t>Part 2</w:t>
      </w:r>
      <w:r>
        <w:rPr>
          <w:rStyle w:val="CharDivNo"/>
        </w:rPr>
        <w:t> </w:t>
      </w:r>
      <w:r>
        <w:t>—</w:t>
      </w:r>
      <w:r>
        <w:rPr>
          <w:rStyle w:val="CharDivText"/>
        </w:rPr>
        <w:t> </w:t>
      </w:r>
      <w:r>
        <w:rPr>
          <w:rStyle w:val="CharPartText"/>
        </w:rPr>
        <w:t>General matters</w:t>
      </w:r>
      <w:bookmarkEnd w:id="49"/>
      <w:bookmarkEnd w:id="50"/>
      <w:bookmarkEnd w:id="51"/>
      <w:bookmarkEnd w:id="52"/>
      <w:bookmarkEnd w:id="53"/>
    </w:p>
    <w:p>
      <w:pPr>
        <w:pStyle w:val="Heading5"/>
      </w:pPr>
      <w:bookmarkStart w:id="54" w:name="_Toc232329272"/>
      <w:bookmarkStart w:id="55" w:name="_Toc312913871"/>
      <w:bookmarkStart w:id="56" w:name="_Toc307322562"/>
      <w:r>
        <w:rPr>
          <w:rStyle w:val="CharSectno"/>
        </w:rPr>
        <w:t>4</w:t>
      </w:r>
      <w:r>
        <w:t>.</w:t>
      </w:r>
      <w:r>
        <w:tab/>
        <w:t>Approved VET courses (Act s. 5)</w:t>
      </w:r>
      <w:bookmarkEnd w:id="54"/>
      <w:bookmarkEnd w:id="55"/>
      <w:bookmarkEnd w:id="56"/>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57" w:name="_Toc232329273"/>
      <w:bookmarkStart w:id="58" w:name="_Toc312913872"/>
      <w:bookmarkStart w:id="59" w:name="_Toc307322563"/>
      <w:r>
        <w:rPr>
          <w:rStyle w:val="CharSectno"/>
        </w:rPr>
        <w:t>5</w:t>
      </w:r>
      <w:r>
        <w:t>.</w:t>
      </w:r>
      <w:r>
        <w:tab/>
        <w:t>Corresponding laws (Act s. 5)</w:t>
      </w:r>
      <w:bookmarkEnd w:id="57"/>
      <w:bookmarkEnd w:id="58"/>
      <w:bookmarkEnd w:id="59"/>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60" w:name="_Toc232329274"/>
      <w:bookmarkStart w:id="61" w:name="_Toc312913873"/>
      <w:bookmarkStart w:id="62" w:name="_Toc307322564"/>
      <w:r>
        <w:rPr>
          <w:rStyle w:val="CharSectno"/>
        </w:rPr>
        <w:t>6</w:t>
      </w:r>
      <w:r>
        <w:t>.</w:t>
      </w:r>
      <w:r>
        <w:tab/>
        <w:t>Prescribed VET qualifications (Act s. 5)</w:t>
      </w:r>
      <w:bookmarkEnd w:id="60"/>
      <w:bookmarkEnd w:id="61"/>
      <w:bookmarkEnd w:id="62"/>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63" w:name="_Toc232329275"/>
      <w:bookmarkStart w:id="64" w:name="_Toc232395108"/>
      <w:bookmarkStart w:id="65" w:name="_Toc232396093"/>
      <w:bookmarkStart w:id="66" w:name="_Toc307322565"/>
      <w:bookmarkStart w:id="67" w:name="_Toc312913874"/>
      <w:r>
        <w:rPr>
          <w:rStyle w:val="CharPartNo"/>
        </w:rPr>
        <w:t>Part 3</w:t>
      </w:r>
      <w:r>
        <w:t> — </w:t>
      </w:r>
      <w:r>
        <w:rPr>
          <w:rStyle w:val="CharPartText"/>
        </w:rPr>
        <w:t>Regulations for Part 7A of the Act</w:t>
      </w:r>
      <w:bookmarkEnd w:id="63"/>
      <w:bookmarkEnd w:id="64"/>
      <w:bookmarkEnd w:id="65"/>
      <w:bookmarkEnd w:id="66"/>
      <w:bookmarkEnd w:id="67"/>
    </w:p>
    <w:p>
      <w:pPr>
        <w:pStyle w:val="Heading3"/>
      </w:pPr>
      <w:bookmarkStart w:id="68" w:name="_Toc232329276"/>
      <w:bookmarkStart w:id="69" w:name="_Toc232395109"/>
      <w:bookmarkStart w:id="70" w:name="_Toc232396094"/>
      <w:bookmarkStart w:id="71" w:name="_Toc307322566"/>
      <w:bookmarkStart w:id="72" w:name="_Toc312913875"/>
      <w:r>
        <w:rPr>
          <w:rStyle w:val="CharDivNo"/>
        </w:rPr>
        <w:t>Division 1</w:t>
      </w:r>
      <w:r>
        <w:t> — </w:t>
      </w:r>
      <w:r>
        <w:rPr>
          <w:rStyle w:val="CharDivText"/>
        </w:rPr>
        <w:t>General matters</w:t>
      </w:r>
      <w:bookmarkEnd w:id="68"/>
      <w:bookmarkEnd w:id="69"/>
      <w:bookmarkEnd w:id="70"/>
      <w:bookmarkEnd w:id="71"/>
      <w:bookmarkEnd w:id="72"/>
    </w:p>
    <w:p>
      <w:pPr>
        <w:pStyle w:val="Heading5"/>
      </w:pPr>
      <w:bookmarkStart w:id="73" w:name="_Toc232329277"/>
      <w:bookmarkStart w:id="74" w:name="_Toc312913876"/>
      <w:bookmarkStart w:id="75" w:name="_Toc307322567"/>
      <w:r>
        <w:rPr>
          <w:rStyle w:val="CharSectno"/>
        </w:rPr>
        <w:t>7</w:t>
      </w:r>
      <w:r>
        <w:t>.</w:t>
      </w:r>
      <w:r>
        <w:tab/>
        <w:t>Terms used</w:t>
      </w:r>
      <w:bookmarkEnd w:id="73"/>
      <w:bookmarkEnd w:id="74"/>
      <w:bookmarkEnd w:id="75"/>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pPr>
      <w:r>
        <w:tab/>
        <w:t>[Regulation 7 amended in Gazette 25 Oct 2011 p. 4509.]</w:t>
      </w:r>
    </w:p>
    <w:p>
      <w:pPr>
        <w:pStyle w:val="Heading5"/>
      </w:pPr>
      <w:bookmarkStart w:id="76" w:name="_Toc232329278"/>
      <w:bookmarkStart w:id="77" w:name="_Toc312913877"/>
      <w:bookmarkStart w:id="78" w:name="_Toc307322568"/>
      <w:r>
        <w:rPr>
          <w:rStyle w:val="CharSectno"/>
        </w:rPr>
        <w:t>8</w:t>
      </w:r>
      <w:r>
        <w:t>.</w:t>
      </w:r>
      <w:r>
        <w:tab/>
        <w:t>AQTF standards, use of by Council</w:t>
      </w:r>
      <w:bookmarkEnd w:id="76"/>
      <w:bookmarkEnd w:id="77"/>
      <w:bookmarkEnd w:id="78"/>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bookmarkStart w:id="79" w:name="_Toc232329279"/>
      <w:r>
        <w:tab/>
        <w:t>[Regulation 8 amended in Gazette 25 Oct 2011 p. 4509.]</w:t>
      </w:r>
    </w:p>
    <w:p>
      <w:pPr>
        <w:pStyle w:val="Heading5"/>
      </w:pPr>
      <w:bookmarkStart w:id="80" w:name="_Toc312913878"/>
      <w:bookmarkStart w:id="81" w:name="_Toc307322569"/>
      <w:r>
        <w:rPr>
          <w:rStyle w:val="CharSectno"/>
        </w:rPr>
        <w:t>9</w:t>
      </w:r>
      <w:r>
        <w:t>.</w:t>
      </w:r>
      <w:r>
        <w:tab/>
        <w:t>Register</w:t>
      </w:r>
      <w:bookmarkEnd w:id="79"/>
      <w:bookmarkEnd w:id="80"/>
      <w:bookmarkEnd w:id="81"/>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82" w:name="_Toc232329280"/>
      <w:bookmarkStart w:id="83" w:name="_Toc232395113"/>
      <w:bookmarkStart w:id="84" w:name="_Toc232396098"/>
      <w:bookmarkStart w:id="85" w:name="_Toc307322570"/>
      <w:bookmarkStart w:id="86" w:name="_Toc312913879"/>
      <w:r>
        <w:rPr>
          <w:rStyle w:val="CharDivNo"/>
        </w:rPr>
        <w:t>Division 2</w:t>
      </w:r>
      <w:r>
        <w:t> — </w:t>
      </w:r>
      <w:r>
        <w:rPr>
          <w:rStyle w:val="CharDivText"/>
        </w:rPr>
        <w:t>Registration of training providers</w:t>
      </w:r>
      <w:bookmarkEnd w:id="82"/>
      <w:bookmarkEnd w:id="83"/>
      <w:bookmarkEnd w:id="84"/>
      <w:bookmarkEnd w:id="85"/>
      <w:bookmarkEnd w:id="86"/>
    </w:p>
    <w:p>
      <w:pPr>
        <w:pStyle w:val="Heading5"/>
      </w:pPr>
      <w:bookmarkStart w:id="87" w:name="_Toc232329281"/>
      <w:bookmarkStart w:id="88" w:name="_Toc312913880"/>
      <w:bookmarkStart w:id="89" w:name="_Toc307322571"/>
      <w:r>
        <w:rPr>
          <w:rStyle w:val="CharSectno"/>
        </w:rPr>
        <w:t>10</w:t>
      </w:r>
      <w:r>
        <w:t>.</w:t>
      </w:r>
      <w:r>
        <w:tab/>
        <w:t>Applying to be a registered training provider</w:t>
      </w:r>
      <w:bookmarkEnd w:id="87"/>
      <w:bookmarkEnd w:id="88"/>
      <w:bookmarkEnd w:id="89"/>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90" w:name="_Toc232329282"/>
      <w:bookmarkStart w:id="91" w:name="_Toc312913881"/>
      <w:bookmarkStart w:id="92" w:name="_Toc307322572"/>
      <w:r>
        <w:rPr>
          <w:rStyle w:val="CharSectno"/>
        </w:rPr>
        <w:t>11</w:t>
      </w:r>
      <w:r>
        <w:t>.</w:t>
      </w:r>
      <w:r>
        <w:tab/>
        <w:t>Dealing with applications</w:t>
      </w:r>
      <w:bookmarkEnd w:id="90"/>
      <w:bookmarkEnd w:id="91"/>
      <w:bookmarkEnd w:id="92"/>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93" w:name="_Toc232329283"/>
      <w:bookmarkStart w:id="94" w:name="_Toc312913882"/>
      <w:bookmarkStart w:id="95" w:name="_Toc307322573"/>
      <w:r>
        <w:rPr>
          <w:rStyle w:val="CharSectno"/>
        </w:rPr>
        <w:t>12</w:t>
      </w:r>
      <w:r>
        <w:t>.</w:t>
      </w:r>
      <w:r>
        <w:tab/>
        <w:t>Registering training providers</w:t>
      </w:r>
      <w:bookmarkEnd w:id="93"/>
      <w:bookmarkEnd w:id="94"/>
      <w:bookmarkEnd w:id="95"/>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bookmarkStart w:id="96" w:name="_Toc232329284"/>
      <w:r>
        <w:tab/>
        <w:t>[Regulation 12 amended in Gazette 25 Oct 2011 p. 4509.]</w:t>
      </w:r>
    </w:p>
    <w:p>
      <w:pPr>
        <w:pStyle w:val="Heading5"/>
      </w:pPr>
      <w:bookmarkStart w:id="97" w:name="_Toc312913883"/>
      <w:bookmarkStart w:id="98" w:name="_Toc307322574"/>
      <w:r>
        <w:rPr>
          <w:rStyle w:val="CharSectno"/>
        </w:rPr>
        <w:t>13</w:t>
      </w:r>
      <w:r>
        <w:t>.</w:t>
      </w:r>
      <w:r>
        <w:tab/>
        <w:t>Conditions of registration</w:t>
      </w:r>
      <w:bookmarkEnd w:id="96"/>
      <w:bookmarkEnd w:id="97"/>
      <w:bookmarkEnd w:id="98"/>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shows the provider does meet those 3 standards, take all steps necessary to meet them;</w:t>
      </w:r>
    </w:p>
    <w:p>
      <w:pPr>
        <w:pStyle w:val="Ednotepara"/>
      </w:pPr>
      <w:r>
        <w:tab/>
        <w:t>[(c)</w:t>
      </w:r>
      <w:r>
        <w:tab/>
        <w:t>deleted]</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bookmarkStart w:id="99" w:name="_Toc232329285"/>
      <w:r>
        <w:tab/>
        <w:t>(4)</w:t>
      </w:r>
      <w:r>
        <w:tab/>
        <w:t>Any condition imposed under subregulation (3) must be consistent with the continuing registration requirements.</w:t>
      </w:r>
    </w:p>
    <w:p>
      <w:pPr>
        <w:pStyle w:val="Footnotesection"/>
      </w:pPr>
      <w:r>
        <w:tab/>
        <w:t>[Regulation 13 amended in Gazette 25 Oct 2011 p. 4510.]</w:t>
      </w:r>
    </w:p>
    <w:p>
      <w:pPr>
        <w:pStyle w:val="Heading5"/>
      </w:pPr>
      <w:bookmarkStart w:id="100" w:name="_Toc312913884"/>
      <w:bookmarkStart w:id="101" w:name="_Toc307322575"/>
      <w:r>
        <w:rPr>
          <w:rStyle w:val="CharSectno"/>
        </w:rPr>
        <w:t>14</w:t>
      </w:r>
      <w:r>
        <w:t>.</w:t>
      </w:r>
      <w:r>
        <w:tab/>
        <w:t>Period of registration</w:t>
      </w:r>
      <w:bookmarkEnd w:id="99"/>
      <w:bookmarkEnd w:id="100"/>
      <w:bookmarkEnd w:id="101"/>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102" w:name="_Toc232329286"/>
      <w:bookmarkStart w:id="103" w:name="_Toc312913885"/>
      <w:bookmarkStart w:id="104" w:name="_Toc307322576"/>
      <w:r>
        <w:rPr>
          <w:rStyle w:val="CharSectno"/>
        </w:rPr>
        <w:t>15</w:t>
      </w:r>
      <w:r>
        <w:t>.</w:t>
      </w:r>
      <w:r>
        <w:tab/>
        <w:t>Annual fees payable by registered training providers</w:t>
      </w:r>
      <w:bookmarkEnd w:id="102"/>
      <w:bookmarkEnd w:id="103"/>
      <w:bookmarkEnd w:id="104"/>
    </w:p>
    <w:p>
      <w:pPr>
        <w:pStyle w:val="Subsection"/>
      </w:pPr>
      <w:r>
        <w:tab/>
      </w:r>
      <w:r>
        <w:tab/>
        <w:t>A WA registered provider must pay an annual fee set under regulation 23 on or before each anniversary of the provider’s registration or its renewal.</w:t>
      </w:r>
    </w:p>
    <w:p>
      <w:pPr>
        <w:pStyle w:val="Heading5"/>
      </w:pPr>
      <w:bookmarkStart w:id="105" w:name="_Toc232329287"/>
      <w:bookmarkStart w:id="106" w:name="_Toc312913886"/>
      <w:bookmarkStart w:id="107" w:name="_Toc307322577"/>
      <w:r>
        <w:rPr>
          <w:rStyle w:val="CharSectno"/>
        </w:rPr>
        <w:t>16</w:t>
      </w:r>
      <w:r>
        <w:t>.</w:t>
      </w:r>
      <w:r>
        <w:tab/>
        <w:t>Renewal of registration</w:t>
      </w:r>
      <w:bookmarkEnd w:id="105"/>
      <w:bookmarkEnd w:id="106"/>
      <w:bookmarkEnd w:id="107"/>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bookmarkStart w:id="108" w:name="_Toc232329288"/>
      <w:r>
        <w:tab/>
        <w:t>[Regulation 16 amended in Gazette 25 Oct 2011 p. 4510.]</w:t>
      </w:r>
    </w:p>
    <w:p>
      <w:pPr>
        <w:pStyle w:val="Heading5"/>
      </w:pPr>
      <w:bookmarkStart w:id="109" w:name="_Toc312913887"/>
      <w:bookmarkStart w:id="110" w:name="_Toc307322578"/>
      <w:r>
        <w:rPr>
          <w:rStyle w:val="CharSectno"/>
        </w:rPr>
        <w:t>17</w:t>
      </w:r>
      <w:r>
        <w:t>.</w:t>
      </w:r>
      <w:r>
        <w:tab/>
        <w:t>Varying registrations</w:t>
      </w:r>
      <w:bookmarkEnd w:id="108"/>
      <w:bookmarkEnd w:id="109"/>
      <w:bookmarkEnd w:id="110"/>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standards in the continuing registration requirements; or</w:t>
      </w:r>
    </w:p>
    <w:p>
      <w:pPr>
        <w:pStyle w:val="Indenta"/>
      </w:pPr>
      <w:r>
        <w:tab/>
        <w:t>(b)</w:t>
      </w:r>
      <w:r>
        <w:tab/>
        <w:t>a compliance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bookmarkStart w:id="111" w:name="_Toc232329289"/>
      <w:r>
        <w:tab/>
        <w:t>[Regulation 17 amended in Gazette 25 Oct 2011 p. 4510.]</w:t>
      </w:r>
    </w:p>
    <w:p>
      <w:pPr>
        <w:pStyle w:val="Heading5"/>
      </w:pPr>
      <w:bookmarkStart w:id="112" w:name="_Toc312913888"/>
      <w:bookmarkStart w:id="113" w:name="_Toc307322579"/>
      <w:r>
        <w:rPr>
          <w:rStyle w:val="CharSectno"/>
        </w:rPr>
        <w:t>18</w:t>
      </w:r>
      <w:r>
        <w:t>.</w:t>
      </w:r>
      <w:r>
        <w:tab/>
        <w:t>Cancelling registration if provider’s operations change</w:t>
      </w:r>
      <w:bookmarkEnd w:id="111"/>
      <w:bookmarkEnd w:id="112"/>
      <w:bookmarkEnd w:id="113"/>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114" w:name="_Toc232329290"/>
      <w:bookmarkStart w:id="115" w:name="_Toc312913889"/>
      <w:bookmarkStart w:id="116" w:name="_Toc307322580"/>
      <w:r>
        <w:rPr>
          <w:rStyle w:val="CharSectno"/>
        </w:rPr>
        <w:t>19</w:t>
      </w:r>
      <w:r>
        <w:t>.</w:t>
      </w:r>
      <w:r>
        <w:tab/>
        <w:t>Suspending or cancelling registration</w:t>
      </w:r>
      <w:bookmarkEnd w:id="114"/>
      <w:bookmarkEnd w:id="115"/>
      <w:bookmarkEnd w:id="116"/>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bookmarkStart w:id="117" w:name="_Toc232329291"/>
      <w:r>
        <w:tab/>
        <w:t>[Regulation 19 amended in Gazette 25 Oct 2011 p. 4510.]</w:t>
      </w:r>
    </w:p>
    <w:p>
      <w:pPr>
        <w:pStyle w:val="Heading5"/>
      </w:pPr>
      <w:bookmarkStart w:id="118" w:name="_Toc312913890"/>
      <w:bookmarkStart w:id="119" w:name="_Toc307322581"/>
      <w:r>
        <w:rPr>
          <w:rStyle w:val="CharSectno"/>
        </w:rPr>
        <w:t>20</w:t>
      </w:r>
      <w:r>
        <w:t>.</w:t>
      </w:r>
      <w:r>
        <w:tab/>
        <w:t>Suspension of WA registered provider may be on terms</w:t>
      </w:r>
      <w:bookmarkEnd w:id="117"/>
      <w:bookmarkEnd w:id="118"/>
      <w:bookmarkEnd w:id="119"/>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20" w:name="_Toc232329292"/>
      <w:bookmarkStart w:id="121" w:name="_Toc312913891"/>
      <w:bookmarkStart w:id="122" w:name="_Toc307322582"/>
      <w:r>
        <w:rPr>
          <w:rStyle w:val="CharSectno"/>
        </w:rPr>
        <w:t>21</w:t>
      </w:r>
      <w:r>
        <w:t>.</w:t>
      </w:r>
      <w:r>
        <w:tab/>
        <w:t>Effect of suspension of WA registered provider</w:t>
      </w:r>
      <w:bookmarkEnd w:id="120"/>
      <w:bookmarkEnd w:id="121"/>
      <w:bookmarkEnd w:id="122"/>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123" w:name="_Toc232329293"/>
      <w:bookmarkStart w:id="124" w:name="_Toc312913892"/>
      <w:bookmarkStart w:id="125" w:name="_Toc307322583"/>
      <w:r>
        <w:rPr>
          <w:rStyle w:val="CharSectno"/>
        </w:rPr>
        <w:t>22</w:t>
      </w:r>
      <w:r>
        <w:t>.</w:t>
      </w:r>
      <w:r>
        <w:tab/>
        <w:t>Orders against providers registered outside WA</w:t>
      </w:r>
      <w:bookmarkEnd w:id="123"/>
      <w:bookmarkEnd w:id="124"/>
      <w:bookmarkEnd w:id="125"/>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standards in the continuing registration requirements;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continuing registration requirements; and</w:t>
      </w:r>
    </w:p>
    <w:p>
      <w:pPr>
        <w:pStyle w:val="Indenta"/>
      </w:pPr>
      <w:r>
        <w:tab/>
        <w:t>(b)</w:t>
      </w:r>
      <w:r>
        <w:tab/>
        <w:t>must be in writing and be given to the provider.</w:t>
      </w:r>
    </w:p>
    <w:p>
      <w:pPr>
        <w:pStyle w:val="Footnotesection"/>
      </w:pPr>
      <w:bookmarkStart w:id="126" w:name="_Toc232329294"/>
      <w:r>
        <w:tab/>
        <w:t>[Regulation 22 amended in Gazette 25 Oct 2011 p. 4511.]</w:t>
      </w:r>
    </w:p>
    <w:p>
      <w:pPr>
        <w:pStyle w:val="Heading5"/>
      </w:pPr>
      <w:bookmarkStart w:id="127" w:name="_Toc312913893"/>
      <w:bookmarkStart w:id="128" w:name="_Toc307322584"/>
      <w:r>
        <w:rPr>
          <w:rStyle w:val="CharSectno"/>
        </w:rPr>
        <w:t>23</w:t>
      </w:r>
      <w:r>
        <w:t>.</w:t>
      </w:r>
      <w:r>
        <w:tab/>
        <w:t>Fees</w:t>
      </w:r>
      <w:bookmarkEnd w:id="126"/>
      <w:bookmarkEnd w:id="127"/>
      <w:bookmarkEnd w:id="128"/>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129" w:name="_Toc232329295"/>
      <w:bookmarkStart w:id="130" w:name="_Toc232395128"/>
      <w:bookmarkStart w:id="131" w:name="_Toc232396113"/>
      <w:bookmarkStart w:id="132" w:name="_Toc307322585"/>
      <w:bookmarkStart w:id="133" w:name="_Toc312913894"/>
      <w:r>
        <w:rPr>
          <w:rStyle w:val="CharDivNo"/>
        </w:rPr>
        <w:t>Division 3</w:t>
      </w:r>
      <w:r>
        <w:t> — </w:t>
      </w:r>
      <w:r>
        <w:rPr>
          <w:rStyle w:val="CharDivText"/>
        </w:rPr>
        <w:t>Audits of training providers</w:t>
      </w:r>
      <w:bookmarkEnd w:id="129"/>
      <w:bookmarkEnd w:id="130"/>
      <w:bookmarkEnd w:id="131"/>
      <w:bookmarkEnd w:id="132"/>
      <w:bookmarkEnd w:id="133"/>
    </w:p>
    <w:p>
      <w:pPr>
        <w:pStyle w:val="Heading5"/>
      </w:pPr>
      <w:bookmarkStart w:id="134" w:name="_Toc232329296"/>
      <w:bookmarkStart w:id="135" w:name="_Toc312913895"/>
      <w:bookmarkStart w:id="136" w:name="_Toc307322586"/>
      <w:r>
        <w:rPr>
          <w:rStyle w:val="CharSectno"/>
        </w:rPr>
        <w:t>24</w:t>
      </w:r>
      <w:r>
        <w:t>.</w:t>
      </w:r>
      <w:r>
        <w:tab/>
        <w:t>Term used: compliance audit</w:t>
      </w:r>
      <w:bookmarkEnd w:id="134"/>
      <w:bookmarkEnd w:id="135"/>
      <w:bookmarkEnd w:id="136"/>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relevant registration requirements.</w:t>
      </w:r>
    </w:p>
    <w:p>
      <w:pPr>
        <w:pStyle w:val="Footnotesection"/>
      </w:pPr>
      <w:bookmarkStart w:id="137" w:name="_Toc232329297"/>
      <w:r>
        <w:tab/>
        <w:t>[Regulation 24 amended in Gazette 25 Oct 2011 p. 4511.]</w:t>
      </w:r>
    </w:p>
    <w:p>
      <w:pPr>
        <w:pStyle w:val="Heading5"/>
      </w:pPr>
      <w:bookmarkStart w:id="138" w:name="_Toc312913896"/>
      <w:bookmarkStart w:id="139" w:name="_Toc307322587"/>
      <w:r>
        <w:rPr>
          <w:rStyle w:val="CharSectno"/>
        </w:rPr>
        <w:t>25</w:t>
      </w:r>
      <w:r>
        <w:t>.</w:t>
      </w:r>
      <w:r>
        <w:tab/>
        <w:t>Audits</w:t>
      </w:r>
      <w:bookmarkEnd w:id="137"/>
      <w:bookmarkEnd w:id="138"/>
      <w:bookmarkEnd w:id="139"/>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40" w:name="_Toc232329298"/>
      <w:bookmarkStart w:id="141" w:name="_Toc232395131"/>
      <w:bookmarkStart w:id="142" w:name="_Toc232396116"/>
      <w:bookmarkStart w:id="143" w:name="_Toc307322588"/>
      <w:bookmarkStart w:id="144" w:name="_Toc312913897"/>
      <w:r>
        <w:rPr>
          <w:rStyle w:val="CharDivNo"/>
        </w:rPr>
        <w:t>Division 4</w:t>
      </w:r>
      <w:r>
        <w:t> — </w:t>
      </w:r>
      <w:r>
        <w:rPr>
          <w:rStyle w:val="CharDivText"/>
        </w:rPr>
        <w:t>Obligations of registered training providers</w:t>
      </w:r>
      <w:bookmarkEnd w:id="140"/>
      <w:bookmarkEnd w:id="141"/>
      <w:bookmarkEnd w:id="142"/>
      <w:bookmarkEnd w:id="143"/>
      <w:bookmarkEnd w:id="144"/>
    </w:p>
    <w:p>
      <w:pPr>
        <w:pStyle w:val="Heading5"/>
      </w:pPr>
      <w:bookmarkStart w:id="145" w:name="_Toc232329299"/>
      <w:bookmarkStart w:id="146" w:name="_Toc312913898"/>
      <w:bookmarkStart w:id="147" w:name="_Toc307322589"/>
      <w:r>
        <w:rPr>
          <w:rStyle w:val="CharSectno"/>
        </w:rPr>
        <w:t>26</w:t>
      </w:r>
      <w:r>
        <w:t>.</w:t>
      </w:r>
      <w:r>
        <w:tab/>
        <w:t>Reporting to the Council</w:t>
      </w:r>
      <w:bookmarkEnd w:id="145"/>
      <w:bookmarkEnd w:id="146"/>
      <w:bookmarkEnd w:id="147"/>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personal details of the persons to whom the courses were provided;</w:t>
      </w:r>
    </w:p>
    <w:p>
      <w:pPr>
        <w:pStyle w:val="Indenta"/>
      </w:pPr>
      <w:r>
        <w:tab/>
        <w:t>(c)</w:t>
      </w:r>
      <w:r>
        <w:tab/>
        <w:t>the approved VET qualifications and prescribed VET qualifications the provider conferred;</w:t>
      </w:r>
    </w:p>
    <w:p>
      <w:pPr>
        <w:pStyle w:val="Indenta"/>
      </w:pPr>
      <w:r>
        <w:tab/>
        <w:t>(d)</w:t>
      </w:r>
      <w:r>
        <w:tab/>
        <w:t>the personal details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Heading5"/>
      </w:pPr>
      <w:bookmarkStart w:id="148" w:name="_Toc232329300"/>
      <w:bookmarkStart w:id="149" w:name="_Toc312913899"/>
      <w:bookmarkStart w:id="150" w:name="_Toc307322590"/>
      <w:r>
        <w:rPr>
          <w:rStyle w:val="CharSectno"/>
        </w:rPr>
        <w:t>27</w:t>
      </w:r>
      <w:r>
        <w:t>.</w:t>
      </w:r>
      <w:r>
        <w:tab/>
        <w:t>Giving Council information on ceasing operations</w:t>
      </w:r>
      <w:bookmarkEnd w:id="148"/>
      <w:bookmarkEnd w:id="149"/>
      <w:bookmarkEnd w:id="150"/>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bookmarkStart w:id="151" w:name="_Toc232329301"/>
      <w:bookmarkStart w:id="152" w:name="_Toc232395134"/>
      <w:bookmarkStart w:id="153" w:name="_Toc232396119"/>
      <w:r>
        <w:tab/>
        <w:t>[Regulation 27 amended in Gazette 25 Oct 2011 p. 4511.]</w:t>
      </w:r>
    </w:p>
    <w:p>
      <w:pPr>
        <w:pStyle w:val="Heading3"/>
      </w:pPr>
      <w:bookmarkStart w:id="154" w:name="_Toc307322591"/>
      <w:bookmarkStart w:id="155" w:name="_Toc312913900"/>
      <w:r>
        <w:rPr>
          <w:rStyle w:val="CharDivNo"/>
        </w:rPr>
        <w:t>Division 5</w:t>
      </w:r>
      <w:r>
        <w:t> — </w:t>
      </w:r>
      <w:r>
        <w:rPr>
          <w:rStyle w:val="CharDivText"/>
        </w:rPr>
        <w:t>Accreditation of VET courses</w:t>
      </w:r>
      <w:bookmarkEnd w:id="151"/>
      <w:bookmarkEnd w:id="152"/>
      <w:bookmarkEnd w:id="153"/>
      <w:bookmarkEnd w:id="154"/>
      <w:bookmarkEnd w:id="155"/>
    </w:p>
    <w:p>
      <w:pPr>
        <w:pStyle w:val="Heading5"/>
      </w:pPr>
      <w:bookmarkStart w:id="156" w:name="_Toc232329302"/>
      <w:bookmarkStart w:id="157" w:name="_Toc312913901"/>
      <w:bookmarkStart w:id="158" w:name="_Toc307322592"/>
      <w:r>
        <w:rPr>
          <w:rStyle w:val="CharSectno"/>
        </w:rPr>
        <w:t>28</w:t>
      </w:r>
      <w:r>
        <w:t>.</w:t>
      </w:r>
      <w:r>
        <w:tab/>
        <w:t>Applying to have a VET course accredited</w:t>
      </w:r>
      <w:bookmarkEnd w:id="156"/>
      <w:bookmarkEnd w:id="157"/>
      <w:bookmarkEnd w:id="158"/>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w:t>
      </w:r>
      <w:del w:id="159" w:author="Master Repository Process" w:date="2021-09-18T20:05:00Z">
        <w:r>
          <w:delText>080</w:delText>
        </w:r>
      </w:del>
      <w:ins w:id="160" w:author="Master Repository Process" w:date="2021-09-18T20:05:00Z">
        <w:r>
          <w:t>240</w:t>
        </w:r>
      </w:ins>
      <w:r>
        <w:t>;</w:t>
      </w:r>
    </w:p>
    <w:p>
      <w:pPr>
        <w:pStyle w:val="Indenti"/>
      </w:pPr>
      <w:r>
        <w:tab/>
        <w:t>(ii)</w:t>
      </w:r>
      <w:r>
        <w:tab/>
        <w:t>for any other VET course — $</w:t>
      </w:r>
      <w:del w:id="161" w:author="Master Repository Process" w:date="2021-09-18T20:05:00Z">
        <w:r>
          <w:delText>540</w:delText>
        </w:r>
      </w:del>
      <w:ins w:id="162" w:author="Master Repository Process" w:date="2021-09-18T20:05:00Z">
        <w:r>
          <w:t>620</w:t>
        </w:r>
      </w:ins>
      <w:r>
        <w:t>.</w:t>
      </w:r>
    </w:p>
    <w:p>
      <w:pPr>
        <w:pStyle w:val="Footnotesection"/>
        <w:rPr>
          <w:ins w:id="163" w:author="Master Repository Process" w:date="2021-09-18T20:05:00Z"/>
        </w:rPr>
      </w:pPr>
      <w:ins w:id="164" w:author="Master Repository Process" w:date="2021-09-18T20:05:00Z">
        <w:r>
          <w:tab/>
          <w:t>[Regulation 28 amended in Gazette 25 Oct 2011 p. 4512.]</w:t>
        </w:r>
      </w:ins>
    </w:p>
    <w:p>
      <w:pPr>
        <w:pStyle w:val="Heading5"/>
      </w:pPr>
      <w:bookmarkStart w:id="165" w:name="_Toc232329303"/>
      <w:bookmarkStart w:id="166" w:name="_Toc312913902"/>
      <w:bookmarkStart w:id="167" w:name="_Toc307322593"/>
      <w:r>
        <w:rPr>
          <w:rStyle w:val="CharSectno"/>
        </w:rPr>
        <w:t>29</w:t>
      </w:r>
      <w:r>
        <w:t>.</w:t>
      </w:r>
      <w:r>
        <w:tab/>
        <w:t>Dealing with applications</w:t>
      </w:r>
      <w:bookmarkEnd w:id="165"/>
      <w:bookmarkEnd w:id="166"/>
      <w:bookmarkEnd w:id="167"/>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68" w:name="_Toc232329304"/>
      <w:bookmarkStart w:id="169" w:name="_Toc312913903"/>
      <w:bookmarkStart w:id="170" w:name="_Toc307322594"/>
      <w:r>
        <w:rPr>
          <w:rStyle w:val="CharSectno"/>
        </w:rPr>
        <w:t>30</w:t>
      </w:r>
      <w:r>
        <w:t>.</w:t>
      </w:r>
      <w:r>
        <w:tab/>
        <w:t>Accrediting VET courses</w:t>
      </w:r>
      <w:bookmarkEnd w:id="168"/>
      <w:bookmarkEnd w:id="169"/>
      <w:bookmarkEnd w:id="170"/>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171" w:name="_Toc232329305"/>
      <w:bookmarkStart w:id="172" w:name="_Toc312913904"/>
      <w:bookmarkStart w:id="173" w:name="_Toc307322595"/>
      <w:r>
        <w:rPr>
          <w:rStyle w:val="CharSectno"/>
        </w:rPr>
        <w:t>31</w:t>
      </w:r>
      <w:r>
        <w:t>.</w:t>
      </w:r>
      <w:r>
        <w:tab/>
        <w:t>Period of accreditation</w:t>
      </w:r>
      <w:bookmarkEnd w:id="171"/>
      <w:bookmarkEnd w:id="172"/>
      <w:bookmarkEnd w:id="173"/>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74" w:name="_Toc232329306"/>
      <w:bookmarkStart w:id="175" w:name="_Toc312913905"/>
      <w:bookmarkStart w:id="176" w:name="_Toc307322596"/>
      <w:r>
        <w:rPr>
          <w:rStyle w:val="CharSectno"/>
        </w:rPr>
        <w:t>32</w:t>
      </w:r>
      <w:r>
        <w:t>.</w:t>
      </w:r>
      <w:r>
        <w:tab/>
        <w:t>Renewing accreditation</w:t>
      </w:r>
      <w:bookmarkEnd w:id="174"/>
      <w:bookmarkEnd w:id="175"/>
      <w:bookmarkEnd w:id="17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77" w:name="_Toc232329307"/>
      <w:bookmarkStart w:id="178" w:name="_Toc312913906"/>
      <w:bookmarkStart w:id="179" w:name="_Toc307322597"/>
      <w:r>
        <w:rPr>
          <w:rStyle w:val="CharSectno"/>
        </w:rPr>
        <w:t>33</w:t>
      </w:r>
      <w:r>
        <w:t>.</w:t>
      </w:r>
      <w:r>
        <w:tab/>
        <w:t>Cancelling accreditation</w:t>
      </w:r>
      <w:bookmarkEnd w:id="177"/>
      <w:bookmarkEnd w:id="178"/>
      <w:bookmarkEnd w:id="179"/>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80" w:name="_Toc232329308"/>
      <w:bookmarkStart w:id="181" w:name="_Toc232395141"/>
      <w:bookmarkStart w:id="182" w:name="_Toc232396126"/>
      <w:bookmarkStart w:id="183" w:name="_Toc307322598"/>
      <w:bookmarkStart w:id="184" w:name="_Toc312913907"/>
      <w:r>
        <w:rPr>
          <w:rStyle w:val="CharPartNo"/>
        </w:rPr>
        <w:t>Part 4</w:t>
      </w:r>
      <w:r>
        <w:t> — </w:t>
      </w:r>
      <w:r>
        <w:rPr>
          <w:rStyle w:val="CharPartText"/>
        </w:rPr>
        <w:t>Regulations for Part 7 of the Act</w:t>
      </w:r>
      <w:bookmarkEnd w:id="180"/>
      <w:bookmarkEnd w:id="181"/>
      <w:bookmarkEnd w:id="182"/>
      <w:bookmarkEnd w:id="183"/>
      <w:bookmarkEnd w:id="184"/>
    </w:p>
    <w:p>
      <w:pPr>
        <w:pStyle w:val="Heading3"/>
      </w:pPr>
      <w:bookmarkStart w:id="185" w:name="_Toc232329309"/>
      <w:bookmarkStart w:id="186" w:name="_Toc232395142"/>
      <w:bookmarkStart w:id="187" w:name="_Toc232396127"/>
      <w:bookmarkStart w:id="188" w:name="_Toc307322599"/>
      <w:bookmarkStart w:id="189" w:name="_Toc312913908"/>
      <w:r>
        <w:rPr>
          <w:rStyle w:val="CharDivNo"/>
        </w:rPr>
        <w:t>Division 1</w:t>
      </w:r>
      <w:r>
        <w:t> — </w:t>
      </w:r>
      <w:r>
        <w:rPr>
          <w:rStyle w:val="CharDivText"/>
        </w:rPr>
        <w:t>General matters</w:t>
      </w:r>
      <w:bookmarkEnd w:id="185"/>
      <w:bookmarkEnd w:id="186"/>
      <w:bookmarkEnd w:id="187"/>
      <w:bookmarkEnd w:id="188"/>
      <w:bookmarkEnd w:id="189"/>
    </w:p>
    <w:p>
      <w:pPr>
        <w:pStyle w:val="Heading5"/>
      </w:pPr>
      <w:bookmarkStart w:id="190" w:name="_Toc232329310"/>
      <w:bookmarkStart w:id="191" w:name="_Toc312913909"/>
      <w:bookmarkStart w:id="192" w:name="_Toc307322600"/>
      <w:r>
        <w:rPr>
          <w:rStyle w:val="CharSectno"/>
        </w:rPr>
        <w:t>34</w:t>
      </w:r>
      <w:r>
        <w:t>.</w:t>
      </w:r>
      <w:r>
        <w:tab/>
        <w:t>Term used: nominated training provider</w:t>
      </w:r>
      <w:bookmarkEnd w:id="190"/>
      <w:bookmarkEnd w:id="191"/>
      <w:bookmarkEnd w:id="192"/>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93" w:name="_Toc232329311"/>
      <w:bookmarkStart w:id="194" w:name="_Toc312913910"/>
      <w:bookmarkStart w:id="195" w:name="_Toc307322601"/>
      <w:r>
        <w:rPr>
          <w:rStyle w:val="CharSectno"/>
        </w:rPr>
        <w:t>35</w:t>
      </w:r>
      <w:r>
        <w:t>.</w:t>
      </w:r>
      <w:r>
        <w:tab/>
        <w:t>Chief executive may delegate</w:t>
      </w:r>
      <w:bookmarkEnd w:id="193"/>
      <w:bookmarkEnd w:id="194"/>
      <w:bookmarkEnd w:id="195"/>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96" w:name="_Toc232329312"/>
      <w:bookmarkStart w:id="197" w:name="_Toc232395145"/>
      <w:bookmarkStart w:id="198" w:name="_Toc232396130"/>
      <w:bookmarkStart w:id="199" w:name="_Toc307322602"/>
      <w:bookmarkStart w:id="200" w:name="_Toc312913911"/>
      <w:r>
        <w:rPr>
          <w:rStyle w:val="CharDivNo"/>
        </w:rPr>
        <w:t>Division 2</w:t>
      </w:r>
      <w:r>
        <w:t> — </w:t>
      </w:r>
      <w:r>
        <w:rPr>
          <w:rStyle w:val="CharDivText"/>
        </w:rPr>
        <w:t>Classifying prescribed VET qualifications</w:t>
      </w:r>
      <w:bookmarkEnd w:id="196"/>
      <w:bookmarkEnd w:id="197"/>
      <w:bookmarkEnd w:id="198"/>
      <w:bookmarkEnd w:id="199"/>
      <w:bookmarkEnd w:id="200"/>
    </w:p>
    <w:p>
      <w:pPr>
        <w:pStyle w:val="Heading5"/>
      </w:pPr>
      <w:bookmarkStart w:id="201" w:name="_Toc232329313"/>
      <w:bookmarkStart w:id="202" w:name="_Toc312913912"/>
      <w:bookmarkStart w:id="203" w:name="_Toc307322603"/>
      <w:r>
        <w:rPr>
          <w:rStyle w:val="CharSectno"/>
        </w:rPr>
        <w:t>36</w:t>
      </w:r>
      <w:r>
        <w:t>.</w:t>
      </w:r>
      <w:r>
        <w:tab/>
        <w:t>Who Board must consult (Act s. 60C)</w:t>
      </w:r>
      <w:bookmarkEnd w:id="201"/>
      <w:bookmarkEnd w:id="202"/>
      <w:bookmarkEnd w:id="203"/>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04" w:name="_Toc232329314"/>
      <w:bookmarkStart w:id="205" w:name="_Toc312913913"/>
      <w:bookmarkStart w:id="206" w:name="_Toc307322604"/>
      <w:r>
        <w:rPr>
          <w:rStyle w:val="CharSectno"/>
        </w:rPr>
        <w:t>37</w:t>
      </w:r>
      <w:r>
        <w:t>.</w:t>
      </w:r>
      <w:r>
        <w:tab/>
        <w:t>Board’s advice and recommendations to Minister (Act s. 60C)</w:t>
      </w:r>
      <w:bookmarkEnd w:id="204"/>
      <w:bookmarkEnd w:id="205"/>
      <w:bookmarkEnd w:id="206"/>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207" w:name="_Toc232329315"/>
      <w:bookmarkStart w:id="208" w:name="_Toc232395148"/>
      <w:bookmarkStart w:id="209" w:name="_Toc232396133"/>
      <w:bookmarkStart w:id="210" w:name="_Toc307322605"/>
      <w:bookmarkStart w:id="211" w:name="_Toc312913914"/>
      <w:r>
        <w:rPr>
          <w:rStyle w:val="CharDivNo"/>
        </w:rPr>
        <w:t>Division 3</w:t>
      </w:r>
      <w:r>
        <w:t> — </w:t>
      </w:r>
      <w:r>
        <w:rPr>
          <w:rStyle w:val="CharDivText"/>
        </w:rPr>
        <w:t>Training contracts</w:t>
      </w:r>
      <w:bookmarkEnd w:id="207"/>
      <w:bookmarkEnd w:id="208"/>
      <w:bookmarkEnd w:id="209"/>
      <w:bookmarkEnd w:id="210"/>
      <w:bookmarkEnd w:id="211"/>
    </w:p>
    <w:p>
      <w:pPr>
        <w:pStyle w:val="Heading5"/>
      </w:pPr>
      <w:bookmarkStart w:id="212" w:name="_Toc232329316"/>
      <w:bookmarkStart w:id="213" w:name="_Toc312913915"/>
      <w:bookmarkStart w:id="214" w:name="_Toc307322606"/>
      <w:r>
        <w:rPr>
          <w:rStyle w:val="CharSectno"/>
        </w:rPr>
        <w:t>38</w:t>
      </w:r>
      <w:r>
        <w:t>.</w:t>
      </w:r>
      <w:r>
        <w:tab/>
        <w:t>Form and content of training contracts</w:t>
      </w:r>
      <w:bookmarkEnd w:id="212"/>
      <w:bookmarkEnd w:id="213"/>
      <w:bookmarkEnd w:id="214"/>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215" w:name="_Toc232329317"/>
      <w:bookmarkStart w:id="216" w:name="_Toc312913916"/>
      <w:bookmarkStart w:id="217" w:name="_Toc307322607"/>
      <w:r>
        <w:rPr>
          <w:rStyle w:val="CharSectno"/>
        </w:rPr>
        <w:t>39</w:t>
      </w:r>
      <w:r>
        <w:t>.</w:t>
      </w:r>
      <w:r>
        <w:tab/>
        <w:t>Probation periods of training contracts</w:t>
      </w:r>
      <w:bookmarkEnd w:id="215"/>
      <w:bookmarkEnd w:id="216"/>
      <w:bookmarkEnd w:id="217"/>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218" w:name="_Toc232329318"/>
      <w:bookmarkStart w:id="219" w:name="_Toc312913917"/>
      <w:bookmarkStart w:id="220" w:name="_Toc307322608"/>
      <w:r>
        <w:rPr>
          <w:rStyle w:val="CharSectno"/>
        </w:rPr>
        <w:t>40</w:t>
      </w:r>
      <w:r>
        <w:t>.</w:t>
      </w:r>
      <w:r>
        <w:tab/>
        <w:t>Children’s capacity to enter into training contracts</w:t>
      </w:r>
      <w:bookmarkEnd w:id="218"/>
      <w:bookmarkEnd w:id="219"/>
      <w:bookmarkEnd w:id="220"/>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21" w:name="_Toc232329319"/>
      <w:bookmarkStart w:id="222" w:name="_Toc312913918"/>
      <w:bookmarkStart w:id="223" w:name="_Toc307322609"/>
      <w:r>
        <w:rPr>
          <w:rStyle w:val="CharSectno"/>
        </w:rPr>
        <w:t>41</w:t>
      </w:r>
      <w:r>
        <w:t>.</w:t>
      </w:r>
      <w:r>
        <w:tab/>
        <w:t>Lodging training contracts for registration (Act s. 60F)</w:t>
      </w:r>
      <w:bookmarkEnd w:id="221"/>
      <w:bookmarkEnd w:id="222"/>
      <w:bookmarkEnd w:id="223"/>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24" w:name="_Toc232329320"/>
      <w:bookmarkStart w:id="225" w:name="_Toc312913919"/>
      <w:bookmarkStart w:id="226" w:name="_Toc307322610"/>
      <w:r>
        <w:rPr>
          <w:rStyle w:val="CharSectno"/>
        </w:rPr>
        <w:t>42</w:t>
      </w:r>
      <w:r>
        <w:t>.</w:t>
      </w:r>
      <w:r>
        <w:tab/>
        <w:t>Registering training contracts (Act s. 60F)</w:t>
      </w:r>
      <w:bookmarkEnd w:id="224"/>
      <w:bookmarkEnd w:id="225"/>
      <w:bookmarkEnd w:id="226"/>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227" w:name="_Toc232329321"/>
      <w:bookmarkStart w:id="228" w:name="_Toc312913920"/>
      <w:bookmarkStart w:id="229" w:name="_Toc307322611"/>
      <w:r>
        <w:rPr>
          <w:rStyle w:val="CharSectno"/>
        </w:rPr>
        <w:t>43</w:t>
      </w:r>
      <w:r>
        <w:t>.</w:t>
      </w:r>
      <w:r>
        <w:tab/>
        <w:t>Training plans for training contracts</w:t>
      </w:r>
      <w:bookmarkEnd w:id="227"/>
      <w:bookmarkEnd w:id="228"/>
      <w:bookmarkEnd w:id="229"/>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30" w:name="_Toc232329322"/>
      <w:bookmarkStart w:id="231" w:name="_Toc312913921"/>
      <w:bookmarkStart w:id="232" w:name="_Toc307322612"/>
      <w:r>
        <w:rPr>
          <w:rStyle w:val="CharSectno"/>
        </w:rPr>
        <w:t>44</w:t>
      </w:r>
      <w:r>
        <w:t>.</w:t>
      </w:r>
      <w:r>
        <w:tab/>
        <w:t>Cancellation of registration by chief executive (Act s. 60F)</w:t>
      </w:r>
      <w:bookmarkEnd w:id="230"/>
      <w:bookmarkEnd w:id="231"/>
      <w:bookmarkEnd w:id="232"/>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233" w:name="_Toc232329323"/>
      <w:bookmarkStart w:id="234" w:name="_Toc312913922"/>
      <w:bookmarkStart w:id="235" w:name="_Toc307322613"/>
      <w:r>
        <w:rPr>
          <w:rStyle w:val="CharSectno"/>
        </w:rPr>
        <w:t>45</w:t>
      </w:r>
      <w:r>
        <w:t>.</w:t>
      </w:r>
      <w:r>
        <w:tab/>
        <w:t>Chief executive may require persons involved in training contracts to provide information</w:t>
      </w:r>
      <w:bookmarkEnd w:id="233"/>
      <w:bookmarkEnd w:id="234"/>
      <w:bookmarkEnd w:id="235"/>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36" w:name="_Toc232329324"/>
      <w:bookmarkStart w:id="237" w:name="_Toc312913923"/>
      <w:bookmarkStart w:id="238" w:name="_Toc307322614"/>
      <w:r>
        <w:rPr>
          <w:rStyle w:val="CharSectno"/>
        </w:rPr>
        <w:t>46</w:t>
      </w:r>
      <w:r>
        <w:t>.</w:t>
      </w:r>
      <w:r>
        <w:tab/>
        <w:t>Variation of training contract by parties (Act s. 60E)</w:t>
      </w:r>
      <w:bookmarkEnd w:id="236"/>
      <w:bookmarkEnd w:id="237"/>
      <w:bookmarkEnd w:id="238"/>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39" w:name="_Toc232329325"/>
      <w:bookmarkStart w:id="240" w:name="_Toc312913924"/>
      <w:bookmarkStart w:id="241" w:name="_Toc307322615"/>
      <w:r>
        <w:rPr>
          <w:rStyle w:val="CharSectno"/>
        </w:rPr>
        <w:t>47</w:t>
      </w:r>
      <w:r>
        <w:t>.</w:t>
      </w:r>
      <w:r>
        <w:tab/>
        <w:t>Assignment of training contract to another employer (Act s. 60E)</w:t>
      </w:r>
      <w:bookmarkEnd w:id="239"/>
      <w:bookmarkEnd w:id="240"/>
      <w:bookmarkEnd w:id="241"/>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42" w:name="_Toc232329326"/>
      <w:bookmarkStart w:id="243" w:name="_Toc312913925"/>
      <w:bookmarkStart w:id="244" w:name="_Toc307322616"/>
      <w:r>
        <w:rPr>
          <w:rStyle w:val="CharSectno"/>
        </w:rPr>
        <w:t>48</w:t>
      </w:r>
      <w:r>
        <w:t>.</w:t>
      </w:r>
      <w:r>
        <w:tab/>
        <w:t>Suspension of training contract by parties (Act s. 60E)</w:t>
      </w:r>
      <w:bookmarkEnd w:id="242"/>
      <w:bookmarkEnd w:id="243"/>
      <w:bookmarkEnd w:id="244"/>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45" w:name="_Toc232329327"/>
      <w:bookmarkStart w:id="246" w:name="_Toc312913926"/>
      <w:bookmarkStart w:id="247" w:name="_Toc307322617"/>
      <w:r>
        <w:rPr>
          <w:rStyle w:val="CharSectno"/>
        </w:rPr>
        <w:t>49</w:t>
      </w:r>
      <w:r>
        <w:t>.</w:t>
      </w:r>
      <w:r>
        <w:tab/>
        <w:t>Suspension by employer (Act s. 60E)</w:t>
      </w:r>
      <w:bookmarkEnd w:id="245"/>
      <w:bookmarkEnd w:id="246"/>
      <w:bookmarkEnd w:id="247"/>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248" w:name="_Toc232329328"/>
      <w:bookmarkStart w:id="249" w:name="_Toc312913927"/>
      <w:bookmarkStart w:id="250" w:name="_Toc307322618"/>
      <w:r>
        <w:rPr>
          <w:rStyle w:val="CharSectno"/>
        </w:rPr>
        <w:t>50</w:t>
      </w:r>
      <w:r>
        <w:t>.</w:t>
      </w:r>
      <w:r>
        <w:tab/>
        <w:t>Termination of training contract by parties (Act s. 60G)</w:t>
      </w:r>
      <w:bookmarkEnd w:id="248"/>
      <w:bookmarkEnd w:id="249"/>
      <w:bookmarkEnd w:id="250"/>
    </w:p>
    <w:p>
      <w:pPr>
        <w:pStyle w:val="Subsection"/>
      </w:pPr>
      <w:r>
        <w:tab/>
      </w:r>
      <w:r>
        <w:tab/>
        <w:t>A party to a training contract may terminate the contract during the contract’s probation period without the approval of the chief executive.</w:t>
      </w:r>
    </w:p>
    <w:p>
      <w:pPr>
        <w:pStyle w:val="Heading5"/>
      </w:pPr>
      <w:bookmarkStart w:id="251" w:name="_Toc232329329"/>
      <w:bookmarkStart w:id="252" w:name="_Toc312913928"/>
      <w:bookmarkStart w:id="253" w:name="_Toc307322619"/>
      <w:r>
        <w:rPr>
          <w:rStyle w:val="CharSectno"/>
        </w:rPr>
        <w:t>51</w:t>
      </w:r>
      <w:r>
        <w:t>.</w:t>
      </w:r>
      <w:r>
        <w:tab/>
        <w:t>Approval of termination of training contract by chief executive (Act s. 60G)</w:t>
      </w:r>
      <w:bookmarkEnd w:id="251"/>
      <w:bookmarkEnd w:id="252"/>
      <w:bookmarkEnd w:id="253"/>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254" w:name="_Toc232329330"/>
      <w:bookmarkStart w:id="255" w:name="_Toc312913929"/>
      <w:bookmarkStart w:id="256" w:name="_Toc307322620"/>
      <w:r>
        <w:rPr>
          <w:rStyle w:val="CharSectno"/>
        </w:rPr>
        <w:t>52</w:t>
      </w:r>
      <w:r>
        <w:t>.</w:t>
      </w:r>
      <w:r>
        <w:tab/>
        <w:t>Completion of training contract</w:t>
      </w:r>
      <w:bookmarkEnd w:id="254"/>
      <w:bookmarkEnd w:id="255"/>
      <w:bookmarkEnd w:id="256"/>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257" w:name="_Toc232329331"/>
      <w:bookmarkStart w:id="258" w:name="_Toc232395164"/>
      <w:bookmarkStart w:id="259" w:name="_Toc232396149"/>
      <w:bookmarkStart w:id="260" w:name="_Toc307322621"/>
      <w:bookmarkStart w:id="261" w:name="_Toc312913930"/>
      <w:r>
        <w:rPr>
          <w:rStyle w:val="CharDivNo"/>
        </w:rPr>
        <w:t>Division 4</w:t>
      </w:r>
      <w:r>
        <w:t> — </w:t>
      </w:r>
      <w:r>
        <w:rPr>
          <w:rStyle w:val="CharDivText"/>
        </w:rPr>
        <w:t>Procedure and appeals</w:t>
      </w:r>
      <w:bookmarkEnd w:id="257"/>
      <w:bookmarkEnd w:id="258"/>
      <w:bookmarkEnd w:id="259"/>
      <w:bookmarkEnd w:id="260"/>
      <w:bookmarkEnd w:id="261"/>
    </w:p>
    <w:p>
      <w:pPr>
        <w:pStyle w:val="Heading5"/>
      </w:pPr>
      <w:bookmarkStart w:id="262" w:name="_Toc232329332"/>
      <w:bookmarkStart w:id="263" w:name="_Toc312913931"/>
      <w:bookmarkStart w:id="264" w:name="_Toc307322622"/>
      <w:r>
        <w:rPr>
          <w:rStyle w:val="CharSectno"/>
        </w:rPr>
        <w:t>53</w:t>
      </w:r>
      <w:r>
        <w:t>.</w:t>
      </w:r>
      <w:r>
        <w:tab/>
        <w:t>Procedure on applications</w:t>
      </w:r>
      <w:bookmarkEnd w:id="262"/>
      <w:bookmarkEnd w:id="263"/>
      <w:bookmarkEnd w:id="264"/>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265" w:name="_Toc232329333"/>
      <w:bookmarkStart w:id="266" w:name="_Toc312913932"/>
      <w:bookmarkStart w:id="267" w:name="_Toc307322623"/>
      <w:r>
        <w:rPr>
          <w:rStyle w:val="CharSectno"/>
        </w:rPr>
        <w:t>54</w:t>
      </w:r>
      <w:r>
        <w:t>.</w:t>
      </w:r>
      <w:r>
        <w:tab/>
        <w:t>Appeals</w:t>
      </w:r>
      <w:bookmarkEnd w:id="265"/>
      <w:bookmarkEnd w:id="266"/>
      <w:bookmarkEnd w:id="267"/>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268" w:name="_Toc232329334"/>
      <w:bookmarkStart w:id="269" w:name="_Toc232395167"/>
      <w:bookmarkStart w:id="270" w:name="_Toc232396152"/>
      <w:bookmarkStart w:id="271" w:name="_Toc307322624"/>
      <w:bookmarkStart w:id="272" w:name="_Toc312913933"/>
      <w:r>
        <w:rPr>
          <w:rStyle w:val="CharPartNo"/>
        </w:rPr>
        <w:t>Part 5</w:t>
      </w:r>
      <w:r>
        <w:rPr>
          <w:rStyle w:val="CharDivNo"/>
        </w:rPr>
        <w:t> </w:t>
      </w:r>
      <w:r>
        <w:t>—</w:t>
      </w:r>
      <w:r>
        <w:rPr>
          <w:rStyle w:val="CharDivText"/>
        </w:rPr>
        <w:t> </w:t>
      </w:r>
      <w:r>
        <w:rPr>
          <w:rStyle w:val="CharPartText"/>
        </w:rPr>
        <w:t>Repeals and transitional matters</w:t>
      </w:r>
      <w:bookmarkEnd w:id="268"/>
      <w:bookmarkEnd w:id="269"/>
      <w:bookmarkEnd w:id="270"/>
      <w:bookmarkEnd w:id="271"/>
      <w:bookmarkEnd w:id="272"/>
    </w:p>
    <w:p>
      <w:pPr>
        <w:pStyle w:val="Heading5"/>
      </w:pPr>
      <w:bookmarkStart w:id="273" w:name="_Toc232329335"/>
      <w:bookmarkStart w:id="274" w:name="_Toc312913934"/>
      <w:bookmarkStart w:id="275" w:name="_Toc307322625"/>
      <w:r>
        <w:rPr>
          <w:rStyle w:val="CharSectno"/>
        </w:rPr>
        <w:t>55</w:t>
      </w:r>
      <w:r>
        <w:t>.</w:t>
      </w:r>
      <w:r>
        <w:tab/>
        <w:t>Term used: commencement</w:t>
      </w:r>
      <w:bookmarkEnd w:id="273"/>
      <w:bookmarkEnd w:id="274"/>
      <w:bookmarkEnd w:id="275"/>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276" w:name="_Toc232329336"/>
      <w:bookmarkStart w:id="277" w:name="_Toc312913935"/>
      <w:bookmarkStart w:id="278" w:name="_Toc307322626"/>
      <w:r>
        <w:rPr>
          <w:rStyle w:val="CharSectno"/>
        </w:rPr>
        <w:t>56</w:t>
      </w:r>
      <w:r>
        <w:t>.</w:t>
      </w:r>
      <w:r>
        <w:tab/>
        <w:t>Repeals</w:t>
      </w:r>
      <w:bookmarkEnd w:id="276"/>
      <w:bookmarkEnd w:id="277"/>
      <w:bookmarkEnd w:id="278"/>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279" w:name="_Toc232329337"/>
      <w:bookmarkStart w:id="280" w:name="_Toc312913936"/>
      <w:bookmarkStart w:id="281" w:name="_Toc307322627"/>
      <w:r>
        <w:rPr>
          <w:rStyle w:val="CharSectno"/>
        </w:rPr>
        <w:t>57</w:t>
      </w:r>
      <w:r>
        <w:t>.</w:t>
      </w:r>
      <w:r>
        <w:tab/>
        <w:t>Registered training providers</w:t>
      </w:r>
      <w:bookmarkEnd w:id="279"/>
      <w:bookmarkEnd w:id="280"/>
      <w:bookmarkEnd w:id="281"/>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82" w:name="_Toc232329338"/>
      <w:bookmarkStart w:id="283" w:name="_Toc312913937"/>
      <w:bookmarkStart w:id="284" w:name="_Toc307322628"/>
      <w:r>
        <w:rPr>
          <w:rStyle w:val="CharSectno"/>
        </w:rPr>
        <w:t>58</w:t>
      </w:r>
      <w:r>
        <w:t>.</w:t>
      </w:r>
      <w:r>
        <w:tab/>
        <w:t>Accredited courses</w:t>
      </w:r>
      <w:bookmarkEnd w:id="282"/>
      <w:bookmarkEnd w:id="283"/>
      <w:bookmarkEnd w:id="284"/>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85" w:name="_Toc232329339"/>
      <w:bookmarkStart w:id="286" w:name="_Toc312913938"/>
      <w:bookmarkStart w:id="287" w:name="_Toc307322629"/>
      <w:r>
        <w:rPr>
          <w:rStyle w:val="CharSectno"/>
        </w:rPr>
        <w:t>59</w:t>
      </w:r>
      <w:r>
        <w:t>.</w:t>
      </w:r>
      <w:r>
        <w:tab/>
        <w:t>Traineeship contracts</w:t>
      </w:r>
      <w:bookmarkEnd w:id="285"/>
      <w:bookmarkEnd w:id="286"/>
      <w:bookmarkEnd w:id="287"/>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88" w:name="_Toc232329340"/>
      <w:bookmarkStart w:id="289" w:name="_Toc312913939"/>
      <w:bookmarkStart w:id="290" w:name="_Toc307322630"/>
      <w:r>
        <w:rPr>
          <w:rStyle w:val="CharSectno"/>
        </w:rPr>
        <w:t>60</w:t>
      </w:r>
      <w:r>
        <w:t>.</w:t>
      </w:r>
      <w:r>
        <w:tab/>
        <w:t>Apprentices learning trades, transitional provisions for</w:t>
      </w:r>
      <w:bookmarkEnd w:id="288"/>
      <w:bookmarkEnd w:id="289"/>
      <w:bookmarkEnd w:id="290"/>
    </w:p>
    <w:p>
      <w:pPr>
        <w:pStyle w:val="Subsection"/>
      </w:pPr>
      <w:r>
        <w:tab/>
      </w:r>
      <w:r>
        <w:tab/>
        <w:t>Schedule 1 sets out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1" w:name="_Toc232329341"/>
      <w:bookmarkStart w:id="292" w:name="_Toc232395174"/>
      <w:bookmarkStart w:id="293" w:name="_Toc232396159"/>
      <w:bookmarkStart w:id="294" w:name="_Toc307322631"/>
      <w:bookmarkStart w:id="295" w:name="_Toc312913940"/>
      <w:bookmarkStart w:id="296" w:name="_Toc70311421"/>
      <w:bookmarkStart w:id="297" w:name="_Toc113695913"/>
      <w:bookmarkStart w:id="298" w:name="_Toc231178932"/>
      <w:r>
        <w:rPr>
          <w:rStyle w:val="CharSchNo"/>
        </w:rPr>
        <w:t>Schedule 1</w:t>
      </w:r>
      <w:r>
        <w:rPr>
          <w:rStyle w:val="CharSDivNo"/>
        </w:rPr>
        <w:t> </w:t>
      </w:r>
      <w:r>
        <w:t>—</w:t>
      </w:r>
      <w:r>
        <w:rPr>
          <w:rStyle w:val="CharSDivText"/>
        </w:rPr>
        <w:t> </w:t>
      </w:r>
      <w:r>
        <w:rPr>
          <w:rStyle w:val="CharSchText"/>
        </w:rPr>
        <w:t>Training contract</w:t>
      </w:r>
      <w:bookmarkEnd w:id="291"/>
      <w:bookmarkEnd w:id="292"/>
      <w:bookmarkEnd w:id="293"/>
      <w:bookmarkEnd w:id="294"/>
      <w:bookmarkEnd w:id="295"/>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99" w:name="_Toc232329342"/>
    </w:p>
    <w:p>
      <w:pPr>
        <w:pStyle w:val="yScheduleHeading"/>
        <w:pageBreakBefore w:val="0"/>
      </w:pPr>
      <w:bookmarkStart w:id="300" w:name="_Toc232395175"/>
      <w:bookmarkStart w:id="301" w:name="_Toc232396160"/>
      <w:bookmarkStart w:id="302" w:name="_Toc307322632"/>
      <w:bookmarkStart w:id="303" w:name="_Toc312913941"/>
      <w:r>
        <w:rPr>
          <w:rStyle w:val="CharSchNo"/>
        </w:rPr>
        <w:t>Schedule 2</w:t>
      </w:r>
      <w:r>
        <w:rPr>
          <w:rStyle w:val="CharSDivNo"/>
        </w:rPr>
        <w:t> </w:t>
      </w:r>
      <w:r>
        <w:t>—</w:t>
      </w:r>
      <w:r>
        <w:rPr>
          <w:rStyle w:val="CharSDivText"/>
        </w:rPr>
        <w:t> </w:t>
      </w:r>
      <w:r>
        <w:rPr>
          <w:rStyle w:val="CharSchText"/>
        </w:rPr>
        <w:t>Provisions about old agreements and old training contracts</w:t>
      </w:r>
      <w:bookmarkEnd w:id="299"/>
      <w:bookmarkEnd w:id="300"/>
      <w:bookmarkEnd w:id="301"/>
      <w:bookmarkEnd w:id="302"/>
      <w:bookmarkEnd w:id="303"/>
    </w:p>
    <w:p>
      <w:pPr>
        <w:pStyle w:val="yShoulderClause"/>
      </w:pPr>
      <w:r>
        <w:t>[r. 60]</w:t>
      </w:r>
    </w:p>
    <w:p>
      <w:pPr>
        <w:pStyle w:val="yHeading5"/>
      </w:pPr>
      <w:bookmarkStart w:id="304" w:name="_Toc232329343"/>
      <w:bookmarkStart w:id="305" w:name="_Toc312913942"/>
      <w:bookmarkStart w:id="306" w:name="_Toc307322633"/>
      <w:r>
        <w:rPr>
          <w:rStyle w:val="CharSClsNo"/>
        </w:rPr>
        <w:t>1</w:t>
      </w:r>
      <w:r>
        <w:t>.</w:t>
      </w:r>
      <w:r>
        <w:tab/>
        <w:t>Terms used</w:t>
      </w:r>
      <w:bookmarkEnd w:id="304"/>
      <w:bookmarkEnd w:id="305"/>
      <w:bookmarkEnd w:id="306"/>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307" w:name="_Toc232329344"/>
      <w:bookmarkStart w:id="308" w:name="_Toc312913943"/>
      <w:bookmarkStart w:id="309" w:name="_Toc307322634"/>
      <w:r>
        <w:rPr>
          <w:rStyle w:val="CharSClsNo"/>
        </w:rPr>
        <w:t>2</w:t>
      </w:r>
      <w:r>
        <w:t>.</w:t>
      </w:r>
      <w:r>
        <w:tab/>
        <w:t>Old agreements to be read with modifications</w:t>
      </w:r>
      <w:bookmarkEnd w:id="307"/>
      <w:bookmarkEnd w:id="308"/>
      <w:bookmarkEnd w:id="309"/>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310" w:name="_Toc232329345"/>
      <w:bookmarkStart w:id="311" w:name="_Toc312913944"/>
      <w:bookmarkStart w:id="312" w:name="_Toc307322635"/>
      <w:r>
        <w:rPr>
          <w:rStyle w:val="CharSClsNo"/>
        </w:rPr>
        <w:t>3</w:t>
      </w:r>
      <w:r>
        <w:t>.</w:t>
      </w:r>
      <w:r>
        <w:tab/>
        <w:t>Old agreements and contracts not terminated by sale of business</w:t>
      </w:r>
      <w:bookmarkEnd w:id="310"/>
      <w:bookmarkEnd w:id="311"/>
      <w:bookmarkEnd w:id="312"/>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313" w:name="_Toc232329346"/>
      <w:bookmarkStart w:id="314" w:name="_Toc312913945"/>
      <w:bookmarkStart w:id="315" w:name="_Toc307322636"/>
      <w:r>
        <w:rPr>
          <w:rStyle w:val="CharSClsNo"/>
        </w:rPr>
        <w:t>4</w:t>
      </w:r>
      <w:r>
        <w:t>.</w:t>
      </w:r>
      <w:r>
        <w:tab/>
        <w:t>Technical instruction requirements for trade apprentices</w:t>
      </w:r>
      <w:bookmarkEnd w:id="313"/>
      <w:bookmarkEnd w:id="314"/>
      <w:bookmarkEnd w:id="315"/>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316" w:name="_Toc232329347"/>
      <w:bookmarkStart w:id="317" w:name="_Toc312913946"/>
      <w:bookmarkStart w:id="318" w:name="_Toc307322637"/>
      <w:r>
        <w:rPr>
          <w:rStyle w:val="CharSClsNo"/>
        </w:rPr>
        <w:t>5</w:t>
      </w:r>
      <w:r>
        <w:t>.</w:t>
      </w:r>
      <w:r>
        <w:tab/>
        <w:t>Final certificates for trade apprentices</w:t>
      </w:r>
      <w:bookmarkEnd w:id="316"/>
      <w:bookmarkEnd w:id="317"/>
      <w:bookmarkEnd w:id="318"/>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296"/>
    <w:bookmarkEnd w:id="297"/>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bookmarkEnd w:id="44"/>
    <w:bookmarkEnd w:id="45"/>
    <w:bookmarkEnd w:id="46"/>
    <w:bookmarkEnd w:id="47"/>
    <w:bookmarkEnd w:id="48"/>
    <w:bookmarkEnd w:id="298"/>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501"/>
    <w:docVar w:name="WAFER_20151209165501" w:val="RemoveTrackChanges"/>
    <w:docVar w:name="WAFER_20151209165501_GUID" w:val="4a55ad1d-eb86-4594-be95-16304333a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B4E9F75-FD3A-4EA2-ACAF-2CE0A113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14139</Words>
  <Characters>75082</Characters>
  <Application>Microsoft Office Word</Application>
  <DocSecurity>0</DocSecurity>
  <Lines>2029</Lines>
  <Paragraphs>1222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87999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00-c0-02 - 00-d0-02</dc:title>
  <dc:subject/>
  <dc:creator/>
  <cp:keywords/>
  <dc:description/>
  <cp:lastModifiedBy>Master Repository Process</cp:lastModifiedBy>
  <cp:revision>2</cp:revision>
  <cp:lastPrinted>2009-06-10T03:07:00Z</cp:lastPrinted>
  <dcterms:created xsi:type="dcterms:W3CDTF">2021-09-18T12:05:00Z</dcterms:created>
  <dcterms:modified xsi:type="dcterms:W3CDTF">2021-09-18T12:05:00Z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20120101</vt:lpwstr>
  </property>
  <property fmtid="{D5CDD505-2E9C-101B-9397-08002B2CF9AE}" pid="4" name="OwlsUID">
    <vt:i4>41125</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26 Oct 2011</vt:lpwstr>
  </property>
  <property fmtid="{D5CDD505-2E9C-101B-9397-08002B2CF9AE}" pid="8" name="ToSuffix">
    <vt:lpwstr>00-d0-02</vt:lpwstr>
  </property>
  <property fmtid="{D5CDD505-2E9C-101B-9397-08002B2CF9AE}" pid="9" name="ToAsAtDate">
    <vt:lpwstr>01 Jan 2012</vt:lpwstr>
  </property>
</Properties>
</file>