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Inspector of Custodial Services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18 Jan 2012</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w:t>
      </w:r>
      <w:bookmarkStart w:id="0" w:name="_GoBack"/>
      <w:bookmarkEnd w:id="0"/>
      <w:r>
        <w:rPr>
          <w:snapToGrid w:val="0"/>
        </w:rPr>
        <w:t>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w:t>
      </w:r>
      <w:r>
        <w:rPr>
          <w:snapToGrid w:val="0"/>
          <w:vertAlign w:val="superscript"/>
        </w:rPr>
        <w:t> 2</w:t>
      </w:r>
      <w:r>
        <w:rPr>
          <w:snapToGrid w:val="0"/>
        </w:rPr>
        <w:t>, and for related purposes.</w:t>
      </w:r>
    </w:p>
    <w:p>
      <w:pPr>
        <w:rPr>
          <w:snapToGrid w:val="0"/>
        </w:rPr>
      </w:pPr>
    </w:p>
    <w:p>
      <w:pPr>
        <w:pStyle w:val="Heading2"/>
      </w:pPr>
      <w:bookmarkStart w:id="1" w:name="_Toc378839167"/>
      <w:bookmarkStart w:id="2" w:name="_Toc107884355"/>
      <w:bookmarkStart w:id="3" w:name="_Toc107910218"/>
      <w:bookmarkStart w:id="4" w:name="_Toc123555457"/>
      <w:bookmarkStart w:id="5" w:name="_Toc123639265"/>
      <w:bookmarkStart w:id="6" w:name="_Toc123639358"/>
      <w:bookmarkStart w:id="7" w:name="_Toc157918567"/>
      <w:bookmarkStart w:id="8" w:name="_Toc159230888"/>
      <w:bookmarkStart w:id="9" w:name="_Toc159230990"/>
      <w:bookmarkStart w:id="10" w:name="_Toc162676802"/>
      <w:bookmarkStart w:id="11" w:name="_Toc163964537"/>
      <w:bookmarkStart w:id="12" w:name="_Toc164483634"/>
      <w:bookmarkStart w:id="13" w:name="_Toc164569811"/>
      <w:bookmarkStart w:id="14" w:name="_Toc166897010"/>
      <w:bookmarkStart w:id="15" w:name="_Toc231028969"/>
      <w:bookmarkStart w:id="16" w:name="_Toc2410505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378839168"/>
      <w:bookmarkStart w:id="18" w:name="_Toc471793481"/>
      <w:bookmarkStart w:id="19" w:name="_Toc512746194"/>
      <w:bookmarkStart w:id="20" w:name="_Toc515958175"/>
      <w:bookmarkStart w:id="21" w:name="_Toc50262440"/>
      <w:bookmarkStart w:id="22" w:name="_Toc157918568"/>
      <w:bookmarkStart w:id="23" w:name="_Toc241050527"/>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ind w:right="283"/>
      </w:pPr>
      <w:r>
        <w:rPr>
          <w:snapToGrid w:val="0"/>
        </w:rPr>
        <w:tab/>
      </w:r>
      <w:r>
        <w:rPr>
          <w:snapToGrid w:val="0"/>
        </w:rPr>
        <w:tab/>
        <w:t xml:space="preserve">This Act may be cited as the </w:t>
      </w:r>
      <w:r>
        <w:rPr>
          <w:i/>
          <w:snapToGrid w:val="0"/>
        </w:rPr>
        <w:t>Inspector of Custodial Services Act 2003</w:t>
      </w:r>
      <w:r>
        <w:rPr>
          <w:iCs/>
          <w:snapToGrid w:val="0"/>
          <w:vertAlign w:val="superscript"/>
        </w:rPr>
        <w:t> 1</w:t>
      </w:r>
      <w:r>
        <w:rPr>
          <w:snapToGrid w:val="0"/>
        </w:rPr>
        <w:t>.</w:t>
      </w:r>
    </w:p>
    <w:p>
      <w:pPr>
        <w:pStyle w:val="Heading5"/>
        <w:rPr>
          <w:snapToGrid w:val="0"/>
        </w:rPr>
      </w:pPr>
      <w:bookmarkStart w:id="24" w:name="_Toc378839169"/>
      <w:bookmarkStart w:id="25" w:name="_Toc471793482"/>
      <w:bookmarkStart w:id="26" w:name="_Toc512746195"/>
      <w:bookmarkStart w:id="27" w:name="_Toc515958176"/>
      <w:bookmarkStart w:id="28" w:name="_Toc50262441"/>
      <w:bookmarkStart w:id="29" w:name="_Toc157918569"/>
      <w:bookmarkStart w:id="30" w:name="_Toc241050528"/>
      <w:r>
        <w:rPr>
          <w:rStyle w:val="CharSectno"/>
        </w:rPr>
        <w:t>2</w:t>
      </w:r>
      <w:r>
        <w:rPr>
          <w:snapToGrid w:val="0"/>
        </w:rPr>
        <w:t>.</w:t>
      </w:r>
      <w:r>
        <w:rPr>
          <w:snapToGrid w:val="0"/>
        </w:rPr>
        <w:tab/>
        <w:t>Commencement</w:t>
      </w:r>
      <w:bookmarkEnd w:id="24"/>
      <w:bookmarkEnd w:id="25"/>
      <w:bookmarkEnd w:id="26"/>
      <w:bookmarkEnd w:id="27"/>
      <w:bookmarkEnd w:id="28"/>
      <w:bookmarkEnd w:id="29"/>
      <w:bookmarkEnd w:id="30"/>
    </w:p>
    <w:p>
      <w:pPr>
        <w:pStyle w:val="Subsection"/>
        <w:rPr>
          <w:b/>
          <w:i/>
        </w:rPr>
      </w:pPr>
      <w:r>
        <w:tab/>
      </w:r>
      <w:r>
        <w:tab/>
        <w:t>This Act comes into operation on the day on which it receives the Royal Assent</w:t>
      </w:r>
      <w:r>
        <w:rPr>
          <w:iCs/>
          <w:snapToGrid w:val="0"/>
          <w:vertAlign w:val="superscript"/>
        </w:rPr>
        <w:t> 1</w:t>
      </w:r>
      <w:r>
        <w:t>.</w:t>
      </w:r>
    </w:p>
    <w:p>
      <w:pPr>
        <w:pStyle w:val="Heading5"/>
      </w:pPr>
      <w:bookmarkStart w:id="31" w:name="_Toc50262442"/>
      <w:bookmarkStart w:id="32" w:name="_Toc157918570"/>
      <w:bookmarkStart w:id="33" w:name="_Toc378839170"/>
      <w:bookmarkStart w:id="34" w:name="_Toc241050529"/>
      <w:r>
        <w:rPr>
          <w:rStyle w:val="CharSectno"/>
        </w:rPr>
        <w:t>3</w:t>
      </w:r>
      <w:r>
        <w:t>.</w:t>
      </w:r>
      <w:r>
        <w:tab/>
      </w:r>
      <w:bookmarkEnd w:id="31"/>
      <w:bookmarkEnd w:id="32"/>
      <w:r>
        <w:t>Terms used in this Act</w:t>
      </w:r>
      <w:bookmarkEnd w:id="33"/>
      <w:bookmarkEnd w:id="34"/>
    </w:p>
    <w:p>
      <w:pPr>
        <w:pStyle w:val="Subsection"/>
      </w:pPr>
      <w:r>
        <w:tab/>
      </w:r>
      <w:r>
        <w:tab/>
        <w:t xml:space="preserve">In this Act, unless the contrary intention appears — </w:t>
      </w:r>
    </w:p>
    <w:p>
      <w:pPr>
        <w:pStyle w:val="Defstart"/>
      </w:pPr>
      <w:r>
        <w:rPr>
          <w:b/>
        </w:rPr>
        <w:tab/>
      </w:r>
      <w:r>
        <w:rPr>
          <w:rStyle w:val="CharDefText"/>
        </w:rPr>
        <w:t>CEO</w:t>
      </w:r>
      <w:r>
        <w:t xml:space="preserve"> has the meaning giving to that term in the </w:t>
      </w:r>
      <w:r>
        <w:rPr>
          <w:i/>
        </w:rPr>
        <w:t xml:space="preserve">Court Security and Custodial Services Act 1999 </w:t>
      </w:r>
      <w:r>
        <w:t>section 3;</w:t>
      </w:r>
    </w:p>
    <w:p>
      <w:pPr>
        <w:pStyle w:val="Defstart"/>
      </w:pPr>
      <w:r>
        <w:rPr>
          <w:b/>
        </w:rPr>
        <w:tab/>
      </w:r>
      <w:r>
        <w:rPr>
          <w:rStyle w:val="CharDefText"/>
        </w:rPr>
        <w:t>chief judicial officer of a court</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custodial services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custody centre</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court premises</w:t>
      </w:r>
      <w:r>
        <w:t xml:space="preserve"> has the meaning given to that term in the </w:t>
      </w:r>
      <w:r>
        <w:rPr>
          <w:i/>
        </w:rPr>
        <w:t>Court Security and Custodial Services Act 1999</w:t>
      </w:r>
      <w:r>
        <w:t xml:space="preserve"> section 3;</w:t>
      </w:r>
    </w:p>
    <w:p>
      <w:pPr>
        <w:pStyle w:val="Defstart"/>
      </w:pPr>
      <w:r>
        <w:rPr>
          <w:b/>
        </w:rPr>
        <w:tab/>
      </w:r>
      <w:r>
        <w:rPr>
          <w:rStyle w:val="CharDefText"/>
        </w:rPr>
        <w:t>custodial service</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t>and includes an administrative arrangement in relation to a matter mentioned in paragraph (a) or (b);</w:t>
      </w:r>
    </w:p>
    <w:p>
      <w:pPr>
        <w:pStyle w:val="Defstart"/>
      </w:pPr>
      <w:r>
        <w:rPr>
          <w:b/>
        </w:rPr>
        <w:tab/>
      </w:r>
      <w:r>
        <w:rPr>
          <w:rStyle w:val="CharDefText"/>
        </w:rPr>
        <w:t>custodial service</w:t>
      </w:r>
      <w:r>
        <w:t xml:space="preserve">, in relation to a prison, means — </w:t>
      </w:r>
    </w:p>
    <w:p>
      <w:pPr>
        <w:pStyle w:val="Defpara"/>
      </w:pPr>
      <w:r>
        <w:tab/>
        <w:t>(a)</w:t>
      </w:r>
      <w:r>
        <w:tab/>
        <w:t>the management, control or security of the prison; or</w:t>
      </w:r>
    </w:p>
    <w:p>
      <w:pPr>
        <w:pStyle w:val="Defpara"/>
      </w:pPr>
      <w:r>
        <w:lastRenderedPageBreak/>
        <w:tab/>
        <w:t>(b)</w:t>
      </w:r>
      <w:r>
        <w:tab/>
        <w:t>the security, control, safety, care or welfare of prisoners committed to the prison,</w:t>
      </w:r>
    </w:p>
    <w:p>
      <w:pPr>
        <w:pStyle w:val="Defstart"/>
      </w:pPr>
      <w:r>
        <w:tab/>
        <w:t>and includes an administrative arrangement in relation to a matter mentioned in paragraph (a) or (b);</w:t>
      </w:r>
    </w:p>
    <w:p>
      <w:pPr>
        <w:pStyle w:val="Defstart"/>
      </w:pPr>
      <w:r>
        <w:rPr>
          <w:b/>
        </w:rPr>
        <w:tab/>
      </w:r>
      <w:r>
        <w:rPr>
          <w:rStyle w:val="CharDefText"/>
        </w:rPr>
        <w:t>custodial service (CSCS Act)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 centre</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r>
      <w:r>
        <w:rPr>
          <w:rStyle w:val="CharDefText"/>
        </w:rPr>
        <w:t>independent detention centre visitor</w:t>
      </w:r>
      <w:r>
        <w:t xml:space="preserve"> means a person appointed under section 41 to be an independent detention centre visitor;</w:t>
      </w:r>
    </w:p>
    <w:p>
      <w:pPr>
        <w:pStyle w:val="Defstart"/>
      </w:pPr>
      <w:r>
        <w:rPr>
          <w:b/>
        </w:rPr>
        <w:tab/>
      </w:r>
      <w:r>
        <w:rPr>
          <w:rStyle w:val="CharDefText"/>
        </w:rPr>
        <w:t>independent prison visitor</w:t>
      </w:r>
      <w:r>
        <w:t xml:space="preserve"> means a person appointed under section </w:t>
      </w:r>
      <w:bookmarkStart w:id="35" w:name="_Hlt37038069"/>
      <w:r>
        <w:t>39</w:t>
      </w:r>
      <w:bookmarkEnd w:id="35"/>
      <w:r>
        <w:t xml:space="preserve"> to be an independent prison visitor;</w:t>
      </w:r>
    </w:p>
    <w:p>
      <w:pPr>
        <w:pStyle w:val="Defstart"/>
      </w:pPr>
      <w:r>
        <w:rPr>
          <w:b/>
        </w:rPr>
        <w:tab/>
      </w:r>
      <w:r>
        <w:rPr>
          <w:rStyle w:val="CharDefText"/>
        </w:rPr>
        <w:t>inspection report</w:t>
      </w:r>
      <w:r>
        <w:t xml:space="preserve"> means a report under section </w:t>
      </w:r>
      <w:bookmarkStart w:id="36" w:name="_Hlt37038591"/>
      <w:r>
        <w:t>20</w:t>
      </w:r>
      <w:bookmarkEnd w:id="36"/>
      <w:r>
        <w:t>;</w:t>
      </w:r>
    </w:p>
    <w:p>
      <w:pPr>
        <w:pStyle w:val="Defstart"/>
      </w:pPr>
      <w:r>
        <w:rPr>
          <w:b/>
        </w:rPr>
        <w:tab/>
      </w:r>
      <w:r>
        <w:rPr>
          <w:rStyle w:val="CharDefText"/>
        </w:rPr>
        <w:t>Inspector</w:t>
      </w:r>
      <w:r>
        <w:t xml:space="preserve"> means the holder of the office of Inspector of Custodial Services continued by section </w:t>
      </w:r>
      <w:bookmarkStart w:id="37" w:name="_Hlt37038605"/>
      <w:r>
        <w:t>5</w:t>
      </w:r>
      <w:bookmarkEnd w:id="37"/>
      <w:r>
        <w:t>;</w:t>
      </w:r>
    </w:p>
    <w:p>
      <w:pPr>
        <w:pStyle w:val="Defstart"/>
      </w:pPr>
      <w:r>
        <w:rPr>
          <w:b/>
        </w:rPr>
        <w:tab/>
      </w:r>
      <w:r>
        <w:rPr>
          <w:rStyle w:val="CharDefText"/>
        </w:rPr>
        <w:t>lock</w:t>
      </w:r>
      <w:r>
        <w:rPr>
          <w:rStyle w:val="CharDefText"/>
        </w:rPr>
        <w:noBreakHyphen/>
        <w:t>up</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r>
      <w:r>
        <w:rPr>
          <w:rStyle w:val="CharDefText"/>
        </w:rPr>
        <w:t>person in custody</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r>
      <w:r>
        <w:rPr>
          <w:rStyle w:val="CharDefText"/>
        </w:rPr>
        <w:t>prison</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r>
      <w:r>
        <w:rPr>
          <w:rStyle w:val="CharDefText"/>
        </w:rPr>
        <w:t>prisoner</w:t>
      </w:r>
      <w:r>
        <w:t xml:space="preserve"> has the meaning given to that term in the </w:t>
      </w:r>
      <w:r>
        <w:rPr>
          <w:i/>
        </w:rPr>
        <w:t>Prisons Act 1981</w:t>
      </w:r>
      <w:r>
        <w:t xml:space="preserve"> section 3(1);</w:t>
      </w:r>
    </w:p>
    <w:p>
      <w:pPr>
        <w:pStyle w:val="Defstart"/>
      </w:pPr>
      <w:r>
        <w:rPr>
          <w:b/>
        </w:rPr>
        <w:tab/>
      </w:r>
      <w:r>
        <w:rPr>
          <w:rStyle w:val="CharDefText"/>
        </w:rPr>
        <w:t>public service officer</w:t>
      </w:r>
      <w:r>
        <w:t xml:space="preserve"> has the meaning given to that term in the </w:t>
      </w:r>
      <w:r>
        <w:rPr>
          <w:i/>
        </w:rPr>
        <w:t>Public Sector Management Act 1994</w:t>
      </w:r>
      <w:r>
        <w:t xml:space="preserve"> section 3(1);</w:t>
      </w:r>
    </w:p>
    <w:p>
      <w:pPr>
        <w:pStyle w:val="Defstart"/>
      </w:pPr>
      <w:r>
        <w:rPr>
          <w:b/>
        </w:rPr>
        <w:tab/>
      </w:r>
      <w:r>
        <w:rPr>
          <w:rStyle w:val="CharDefText"/>
        </w:rPr>
        <w:t>staf</w:t>
      </w:r>
      <w:r>
        <w:rPr>
          <w:rStyle w:val="CharDefText"/>
          <w:spacing w:val="40"/>
        </w:rPr>
        <w:t>f</w:t>
      </w:r>
      <w:r>
        <w:t>, in relation to the Inspector, means a person referred to in section 16(1), (2) or (3).</w:t>
      </w:r>
    </w:p>
    <w:p>
      <w:pPr>
        <w:pStyle w:val="Heading5"/>
      </w:pPr>
      <w:bookmarkStart w:id="38" w:name="_Toc378839171"/>
      <w:bookmarkStart w:id="39" w:name="_Toc50262443"/>
      <w:bookmarkStart w:id="40" w:name="_Toc157918571"/>
      <w:bookmarkStart w:id="41" w:name="_Toc241050530"/>
      <w:r>
        <w:rPr>
          <w:rStyle w:val="CharSectno"/>
        </w:rPr>
        <w:t>4</w:t>
      </w:r>
      <w:r>
        <w:t>.</w:t>
      </w:r>
      <w:r>
        <w:tab/>
        <w:t>Notes not part of the law</w:t>
      </w:r>
      <w:bookmarkEnd w:id="38"/>
      <w:bookmarkEnd w:id="39"/>
      <w:bookmarkEnd w:id="40"/>
      <w:bookmarkEnd w:id="41"/>
    </w:p>
    <w:p>
      <w:pPr>
        <w:pStyle w:val="Subsection"/>
      </w:pPr>
      <w:r>
        <w:tab/>
      </w:r>
      <w:r>
        <w:tab/>
        <w:t>Notes in this Act are provided to assist understanding and do not form part of the Act.</w:t>
      </w:r>
    </w:p>
    <w:p>
      <w:pPr>
        <w:pStyle w:val="Heading2"/>
      </w:pPr>
      <w:bookmarkStart w:id="42" w:name="_Toc378839172"/>
      <w:bookmarkStart w:id="43" w:name="_Toc107884360"/>
      <w:bookmarkStart w:id="44" w:name="_Toc107910223"/>
      <w:bookmarkStart w:id="45" w:name="_Toc123555462"/>
      <w:bookmarkStart w:id="46" w:name="_Toc123639270"/>
      <w:bookmarkStart w:id="47" w:name="_Toc123639363"/>
      <w:bookmarkStart w:id="48" w:name="_Toc157918572"/>
      <w:bookmarkStart w:id="49" w:name="_Toc159230893"/>
      <w:bookmarkStart w:id="50" w:name="_Toc159230995"/>
      <w:bookmarkStart w:id="51" w:name="_Toc162676807"/>
      <w:bookmarkStart w:id="52" w:name="_Toc163964542"/>
      <w:bookmarkStart w:id="53" w:name="_Toc164483639"/>
      <w:bookmarkStart w:id="54" w:name="_Toc164569816"/>
      <w:bookmarkStart w:id="55" w:name="_Toc166897015"/>
      <w:bookmarkStart w:id="56" w:name="_Toc231028974"/>
      <w:bookmarkStart w:id="57" w:name="_Toc241050531"/>
      <w:r>
        <w:rPr>
          <w:rStyle w:val="CharPartNo"/>
        </w:rPr>
        <w:t>Part 2</w:t>
      </w:r>
      <w:r>
        <w:t> — </w:t>
      </w:r>
      <w:r>
        <w:rPr>
          <w:rStyle w:val="CharPartText"/>
        </w:rPr>
        <w:t>Office of Inspector</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378839173"/>
      <w:bookmarkStart w:id="59" w:name="_Toc107884361"/>
      <w:bookmarkStart w:id="60" w:name="_Toc107910224"/>
      <w:bookmarkStart w:id="61" w:name="_Toc123555463"/>
      <w:bookmarkStart w:id="62" w:name="_Toc123639271"/>
      <w:bookmarkStart w:id="63" w:name="_Toc123639364"/>
      <w:bookmarkStart w:id="64" w:name="_Toc157918573"/>
      <w:bookmarkStart w:id="65" w:name="_Toc159230894"/>
      <w:bookmarkStart w:id="66" w:name="_Toc159230996"/>
      <w:bookmarkStart w:id="67" w:name="_Toc162676808"/>
      <w:bookmarkStart w:id="68" w:name="_Toc163964543"/>
      <w:bookmarkStart w:id="69" w:name="_Toc164483640"/>
      <w:bookmarkStart w:id="70" w:name="_Toc164569817"/>
      <w:bookmarkStart w:id="71" w:name="_Toc166897016"/>
      <w:bookmarkStart w:id="72" w:name="_Toc231028975"/>
      <w:bookmarkStart w:id="73" w:name="_Toc241050532"/>
      <w:r>
        <w:rPr>
          <w:rStyle w:val="CharDivNo"/>
        </w:rPr>
        <w:t>Division 1</w:t>
      </w:r>
      <w:r>
        <w:t> — </w:t>
      </w:r>
      <w:r>
        <w:rPr>
          <w:rStyle w:val="CharDivText"/>
        </w:rPr>
        <w:t>Inspector</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Hlt37038608"/>
      <w:bookmarkStart w:id="75" w:name="_Toc378839174"/>
      <w:bookmarkStart w:id="76" w:name="_Toc50262444"/>
      <w:bookmarkStart w:id="77" w:name="_Toc157918574"/>
      <w:bookmarkStart w:id="78" w:name="_Toc241050533"/>
      <w:bookmarkEnd w:id="74"/>
      <w:r>
        <w:rPr>
          <w:rStyle w:val="CharSectno"/>
        </w:rPr>
        <w:t>5</w:t>
      </w:r>
      <w:r>
        <w:t>.</w:t>
      </w:r>
      <w:r>
        <w:tab/>
        <w:t>Office of Inspector continued</w:t>
      </w:r>
      <w:bookmarkEnd w:id="75"/>
      <w:bookmarkEnd w:id="76"/>
      <w:bookmarkEnd w:id="77"/>
      <w:bookmarkEnd w:id="78"/>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79" w:name="_Toc378839175"/>
      <w:bookmarkStart w:id="80" w:name="_Toc50262445"/>
      <w:bookmarkStart w:id="81" w:name="_Toc157918575"/>
      <w:bookmarkStart w:id="82" w:name="_Toc241050534"/>
      <w:r>
        <w:rPr>
          <w:rStyle w:val="CharSectno"/>
        </w:rPr>
        <w:t>6</w:t>
      </w:r>
      <w:r>
        <w:t>.</w:t>
      </w:r>
      <w:r>
        <w:tab/>
        <w:t>Appointment of Inspector</w:t>
      </w:r>
      <w:bookmarkEnd w:id="79"/>
      <w:bookmarkEnd w:id="80"/>
      <w:bookmarkEnd w:id="81"/>
      <w:bookmarkEnd w:id="82"/>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83" w:name="_Toc378839176"/>
      <w:bookmarkStart w:id="84" w:name="_Toc50262446"/>
      <w:bookmarkStart w:id="85" w:name="_Toc157918576"/>
      <w:bookmarkStart w:id="86" w:name="_Toc241050535"/>
      <w:r>
        <w:rPr>
          <w:rStyle w:val="CharSectno"/>
        </w:rPr>
        <w:t>7</w:t>
      </w:r>
      <w:r>
        <w:t>.</w:t>
      </w:r>
      <w:r>
        <w:tab/>
        <w:t>Conditions of appointment</w:t>
      </w:r>
      <w:bookmarkEnd w:id="83"/>
      <w:bookmarkEnd w:id="84"/>
      <w:bookmarkEnd w:id="85"/>
      <w:bookmarkEnd w:id="86"/>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 xml:space="preserve">The salary and allowances payable to the Inspector are to be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7 amended by No. 77 of 2006 s. 4.]</w:t>
      </w:r>
    </w:p>
    <w:p>
      <w:pPr>
        <w:pStyle w:val="Heading5"/>
      </w:pPr>
      <w:bookmarkStart w:id="87" w:name="_Toc378839177"/>
      <w:bookmarkStart w:id="88" w:name="_Toc50262447"/>
      <w:bookmarkStart w:id="89" w:name="_Toc157918577"/>
      <w:bookmarkStart w:id="90" w:name="_Toc241050536"/>
      <w:r>
        <w:rPr>
          <w:rStyle w:val="CharSectno"/>
        </w:rPr>
        <w:t>8</w:t>
      </w:r>
      <w:r>
        <w:t>.</w:t>
      </w:r>
      <w:r>
        <w:tab/>
        <w:t>Oath or affirmation</w:t>
      </w:r>
      <w:bookmarkEnd w:id="87"/>
      <w:bookmarkEnd w:id="88"/>
      <w:bookmarkEnd w:id="89"/>
      <w:bookmarkEnd w:id="90"/>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91" w:name="_Toc378839178"/>
      <w:bookmarkStart w:id="92" w:name="_Toc50262448"/>
      <w:bookmarkStart w:id="93" w:name="_Toc157918578"/>
      <w:bookmarkStart w:id="94" w:name="_Toc241050537"/>
      <w:r>
        <w:rPr>
          <w:rStyle w:val="CharSectno"/>
        </w:rPr>
        <w:t>9</w:t>
      </w:r>
      <w:r>
        <w:t>.</w:t>
      </w:r>
      <w:r>
        <w:tab/>
        <w:t>Removal of Inspector from office</w:t>
      </w:r>
      <w:bookmarkEnd w:id="91"/>
      <w:bookmarkEnd w:id="92"/>
      <w:bookmarkEnd w:id="93"/>
      <w:bookmarkEnd w:id="94"/>
    </w:p>
    <w:p>
      <w:pPr>
        <w:pStyle w:val="Subsection"/>
      </w:pPr>
      <w:r>
        <w:tab/>
      </w:r>
      <w:bookmarkStart w:id="95" w:name="_Hlt25744054"/>
      <w:bookmarkEnd w:id="95"/>
      <w:r>
        <w:t>(1)</w:t>
      </w:r>
      <w:r>
        <w:tab/>
        <w:t>The Governor may remove the Inspector from office —</w:t>
      </w:r>
    </w:p>
    <w:p>
      <w:pPr>
        <w:pStyle w:val="Indenta"/>
      </w:pPr>
      <w:r>
        <w:tab/>
        <w:t>(a)</w:t>
      </w:r>
      <w:r>
        <w:tab/>
        <w:t>for —</w:t>
      </w:r>
    </w:p>
    <w:p>
      <w:pPr>
        <w:pStyle w:val="Indenti"/>
      </w:pPr>
      <w:r>
        <w:tab/>
      </w:r>
      <w:bookmarkStart w:id="96" w:name="_Hlt25744134"/>
      <w:bookmarkEnd w:id="96"/>
      <w:r>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 xml:space="preserve">if the Inspector is, according to the </w:t>
      </w:r>
      <w:r>
        <w:rPr>
          <w:i/>
        </w:rPr>
        <w:t>Interpretation Act 1984</w:t>
      </w:r>
      <w:r>
        <w:t xml:space="preserve"> section 13D, a bankrupt or a person whose affairs are under insolvency laws.</w:t>
      </w:r>
    </w:p>
    <w:p>
      <w:pPr>
        <w:pStyle w:val="Subsection"/>
      </w:pPr>
      <w:r>
        <w:tab/>
        <w:t>(2)</w:t>
      </w:r>
      <w:r>
        <w:tab/>
        <w:t>In subsection (1)(a)</w:t>
      </w:r>
      <w:bookmarkStart w:id="97" w:name="_Hlt25744120"/>
      <w:r>
        <w:t>(i)</w:t>
      </w:r>
      <w:bookmarkEnd w:id="97"/>
      <w:r>
        <w:t xml:space="preserve"> — </w:t>
      </w:r>
    </w:p>
    <w:p>
      <w:pPr>
        <w:pStyle w:val="Defstart"/>
      </w:pPr>
      <w:r>
        <w:rPr>
          <w:b/>
        </w:rPr>
        <w:tab/>
      </w:r>
      <w:r>
        <w:rPr>
          <w:rStyle w:val="CharDefText"/>
        </w:rPr>
        <w:t>misbehaviour</w:t>
      </w:r>
      <w:r>
        <w:t xml:space="preserve"> includes conduct that renders the Inspector unfit to hold office as Inspector even though the conduct does not relate to any function of the office.</w:t>
      </w:r>
    </w:p>
    <w:p>
      <w:pPr>
        <w:pStyle w:val="Footnotesection"/>
      </w:pPr>
      <w:r>
        <w:tab/>
        <w:t>[Section 9 amended by No. 18 of 2009 s. 46.]</w:t>
      </w:r>
    </w:p>
    <w:p>
      <w:pPr>
        <w:pStyle w:val="Heading5"/>
      </w:pPr>
      <w:bookmarkStart w:id="98" w:name="_Toc378839179"/>
      <w:bookmarkStart w:id="99" w:name="_Toc50262449"/>
      <w:bookmarkStart w:id="100" w:name="_Toc157918579"/>
      <w:bookmarkStart w:id="101" w:name="_Toc241050538"/>
      <w:r>
        <w:rPr>
          <w:rStyle w:val="CharSectno"/>
        </w:rPr>
        <w:t>10</w:t>
      </w:r>
      <w:r>
        <w:t>.</w:t>
      </w:r>
      <w:r>
        <w:tab/>
        <w:t>Portability of superannuation and other entitlements</w:t>
      </w:r>
      <w:bookmarkEnd w:id="98"/>
      <w:bookmarkEnd w:id="99"/>
      <w:bookmarkEnd w:id="100"/>
      <w:bookmarkEnd w:id="101"/>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102" w:name="_Toc378839180"/>
      <w:bookmarkStart w:id="103" w:name="_Toc107884368"/>
      <w:bookmarkStart w:id="104" w:name="_Toc107910231"/>
      <w:bookmarkStart w:id="105" w:name="_Toc123555470"/>
      <w:bookmarkStart w:id="106" w:name="_Toc123639278"/>
      <w:bookmarkStart w:id="107" w:name="_Toc123639371"/>
      <w:bookmarkStart w:id="108" w:name="_Toc157918580"/>
      <w:bookmarkStart w:id="109" w:name="_Toc159230901"/>
      <w:bookmarkStart w:id="110" w:name="_Toc159231003"/>
      <w:bookmarkStart w:id="111" w:name="_Toc162676815"/>
      <w:bookmarkStart w:id="112" w:name="_Toc163964550"/>
      <w:bookmarkStart w:id="113" w:name="_Toc164483647"/>
      <w:bookmarkStart w:id="114" w:name="_Toc164569824"/>
      <w:bookmarkStart w:id="115" w:name="_Toc166897023"/>
      <w:bookmarkStart w:id="116" w:name="_Toc231028982"/>
      <w:bookmarkStart w:id="117" w:name="_Toc241050539"/>
      <w:r>
        <w:rPr>
          <w:rStyle w:val="CharDivNo"/>
        </w:rPr>
        <w:t>Division 2</w:t>
      </w:r>
      <w:r>
        <w:t> — </w:t>
      </w:r>
      <w:r>
        <w:rPr>
          <w:rStyle w:val="CharDivText"/>
        </w:rPr>
        <w:t>Acting appointments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Hlt25744563"/>
      <w:bookmarkStart w:id="119" w:name="_Toc378839181"/>
      <w:bookmarkStart w:id="120" w:name="_Toc50262450"/>
      <w:bookmarkStart w:id="121" w:name="_Toc157918581"/>
      <w:bookmarkStart w:id="122" w:name="_Toc241050540"/>
      <w:bookmarkEnd w:id="118"/>
      <w:r>
        <w:rPr>
          <w:rStyle w:val="CharSectno"/>
        </w:rPr>
        <w:t>11</w:t>
      </w:r>
      <w:r>
        <w:t>.</w:t>
      </w:r>
      <w:r>
        <w:tab/>
        <w:t>Acting appointments made by Governor</w:t>
      </w:r>
      <w:bookmarkEnd w:id="119"/>
      <w:bookmarkEnd w:id="120"/>
      <w:bookmarkEnd w:id="121"/>
      <w:bookmarkEnd w:id="122"/>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123" w:name="_Hlt25744568"/>
      <w:bookmarkStart w:id="124" w:name="_Toc378839182"/>
      <w:bookmarkStart w:id="125" w:name="_Toc50262451"/>
      <w:bookmarkStart w:id="126" w:name="_Toc157918582"/>
      <w:bookmarkStart w:id="127" w:name="_Toc241050541"/>
      <w:bookmarkEnd w:id="123"/>
      <w:r>
        <w:rPr>
          <w:rStyle w:val="CharSectno"/>
        </w:rPr>
        <w:t>12</w:t>
      </w:r>
      <w:r>
        <w:t>.</w:t>
      </w:r>
      <w:r>
        <w:tab/>
        <w:t>Acting appointments made by Inspector</w:t>
      </w:r>
      <w:bookmarkEnd w:id="124"/>
      <w:bookmarkEnd w:id="125"/>
      <w:bookmarkEnd w:id="126"/>
      <w:bookmarkEnd w:id="127"/>
    </w:p>
    <w:p>
      <w:pPr>
        <w:pStyle w:val="Subsection"/>
        <w:keepNext/>
      </w:pPr>
      <w:r>
        <w:tab/>
      </w:r>
      <w:bookmarkStart w:id="128" w:name="_Hlt25744285"/>
      <w:bookmarkEnd w:id="128"/>
      <w:r>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129" w:name="_Toc378839183"/>
      <w:bookmarkStart w:id="130" w:name="_Toc50262452"/>
      <w:bookmarkStart w:id="131" w:name="_Toc157918583"/>
      <w:bookmarkStart w:id="132" w:name="_Toc241050542"/>
      <w:r>
        <w:rPr>
          <w:rStyle w:val="CharSectno"/>
        </w:rPr>
        <w:t>13</w:t>
      </w:r>
      <w:r>
        <w:t>.</w:t>
      </w:r>
      <w:r>
        <w:tab/>
        <w:t>Matters relevant to all acting appointments</w:t>
      </w:r>
      <w:bookmarkEnd w:id="129"/>
      <w:bookmarkEnd w:id="130"/>
      <w:bookmarkEnd w:id="131"/>
      <w:bookmarkEnd w:id="132"/>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w:t>
      </w:r>
      <w:bookmarkStart w:id="133" w:name="_Hlt25744565"/>
      <w:r>
        <w:t>12</w:t>
      </w:r>
      <w:bookmarkEnd w:id="133"/>
      <w:r>
        <w:t xml:space="preserve"> may be made at any time and may be expressed to have effect only in the circumstances specified in the instrument of appointment.</w:t>
      </w:r>
    </w:p>
    <w:p>
      <w:pPr>
        <w:pStyle w:val="Heading5"/>
      </w:pPr>
      <w:bookmarkStart w:id="134" w:name="_Hlt37047972"/>
      <w:bookmarkStart w:id="135" w:name="_Toc378839184"/>
      <w:bookmarkStart w:id="136" w:name="_Toc50262453"/>
      <w:bookmarkStart w:id="137" w:name="_Toc157918584"/>
      <w:bookmarkStart w:id="138" w:name="_Toc241050543"/>
      <w:bookmarkEnd w:id="134"/>
      <w:r>
        <w:rPr>
          <w:rStyle w:val="CharSectno"/>
        </w:rPr>
        <w:t>14</w:t>
      </w:r>
      <w:r>
        <w:t>.</w:t>
      </w:r>
      <w:r>
        <w:tab/>
        <w:t>Acting Inspector: functions etc.</w:t>
      </w:r>
      <w:bookmarkEnd w:id="135"/>
      <w:bookmarkEnd w:id="136"/>
      <w:bookmarkEnd w:id="137"/>
      <w:bookmarkEnd w:id="138"/>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139" w:name="_Toc378839185"/>
      <w:bookmarkStart w:id="140" w:name="_Toc50262454"/>
      <w:bookmarkStart w:id="141" w:name="_Toc157918585"/>
      <w:bookmarkStart w:id="142" w:name="_Toc241050544"/>
      <w:r>
        <w:rPr>
          <w:rStyle w:val="CharSectno"/>
        </w:rPr>
        <w:t>15</w:t>
      </w:r>
      <w:r>
        <w:t>.</w:t>
      </w:r>
      <w:r>
        <w:tab/>
        <w:t>Savings</w:t>
      </w:r>
      <w:bookmarkEnd w:id="139"/>
      <w:bookmarkEnd w:id="140"/>
      <w:bookmarkEnd w:id="141"/>
      <w:bookmarkEnd w:id="142"/>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143" w:name="_Toc378839186"/>
      <w:bookmarkStart w:id="144" w:name="_Toc107884374"/>
      <w:bookmarkStart w:id="145" w:name="_Toc107910237"/>
      <w:bookmarkStart w:id="146" w:name="_Toc123555476"/>
      <w:bookmarkStart w:id="147" w:name="_Toc123639284"/>
      <w:bookmarkStart w:id="148" w:name="_Toc123639377"/>
      <w:bookmarkStart w:id="149" w:name="_Toc157918586"/>
      <w:bookmarkStart w:id="150" w:name="_Toc159230907"/>
      <w:bookmarkStart w:id="151" w:name="_Toc159231009"/>
      <w:bookmarkStart w:id="152" w:name="_Toc162676821"/>
      <w:bookmarkStart w:id="153" w:name="_Toc163964556"/>
      <w:bookmarkStart w:id="154" w:name="_Toc164483653"/>
      <w:bookmarkStart w:id="155" w:name="_Toc164569830"/>
      <w:bookmarkStart w:id="156" w:name="_Toc166897029"/>
      <w:bookmarkStart w:id="157" w:name="_Toc231028988"/>
      <w:bookmarkStart w:id="158" w:name="_Toc241050545"/>
      <w:r>
        <w:rPr>
          <w:rStyle w:val="CharDivNo"/>
        </w:rPr>
        <w:t>Division 3</w:t>
      </w:r>
      <w:r>
        <w:t> — </w:t>
      </w:r>
      <w:r>
        <w:rPr>
          <w:rStyle w:val="CharDivText"/>
        </w:rPr>
        <w:t>Staff</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59" w:name="_Toc378839187"/>
      <w:bookmarkStart w:id="160" w:name="_Toc50262455"/>
      <w:bookmarkStart w:id="161" w:name="_Toc157918587"/>
      <w:bookmarkStart w:id="162" w:name="_Toc241050546"/>
      <w:r>
        <w:rPr>
          <w:rStyle w:val="CharSectno"/>
        </w:rPr>
        <w:t>16</w:t>
      </w:r>
      <w:r>
        <w:t>.</w:t>
      </w:r>
      <w:r>
        <w:tab/>
        <w:t>Staff</w:t>
      </w:r>
      <w:bookmarkEnd w:id="159"/>
      <w:bookmarkEnd w:id="160"/>
      <w:bookmarkEnd w:id="161"/>
      <w:bookmarkEnd w:id="162"/>
    </w:p>
    <w:p>
      <w:pPr>
        <w:pStyle w:val="Subsection"/>
      </w:pPr>
      <w:r>
        <w:tab/>
      </w:r>
      <w:bookmarkStart w:id="163" w:name="_Hlt37039354"/>
      <w:bookmarkEnd w:id="163"/>
      <w:r>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r>
      <w:bookmarkStart w:id="164" w:name="_Hlt25743939"/>
      <w:bookmarkEnd w:id="164"/>
      <w:r>
        <w:t>(2)</w:t>
      </w:r>
      <w:r>
        <w:tab/>
        <w:t>A person may be appointed or engaged for the purpose of giving expert advice or other assistance in relation to the performance of the Inspector’s functions.</w:t>
      </w:r>
    </w:p>
    <w:p>
      <w:pPr>
        <w:pStyle w:val="Subsection"/>
      </w:pPr>
      <w:r>
        <w:tab/>
      </w:r>
      <w:bookmarkStart w:id="165" w:name="_Hlt25743960"/>
      <w:bookmarkEnd w:id="165"/>
      <w:r>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bookmarkStart w:id="166" w:name="_Hlt25744830"/>
      <w:bookmarkEnd w:id="166"/>
      <w:r>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167" w:name="_Toc378839188"/>
      <w:bookmarkStart w:id="168" w:name="_Toc107884376"/>
      <w:bookmarkStart w:id="169" w:name="_Toc107910239"/>
      <w:bookmarkStart w:id="170" w:name="_Toc123555478"/>
      <w:bookmarkStart w:id="171" w:name="_Toc123639286"/>
      <w:bookmarkStart w:id="172" w:name="_Toc123639379"/>
      <w:bookmarkStart w:id="173" w:name="_Toc157918588"/>
      <w:bookmarkStart w:id="174" w:name="_Toc159230909"/>
      <w:bookmarkStart w:id="175" w:name="_Toc159231011"/>
      <w:bookmarkStart w:id="176" w:name="_Toc162676823"/>
      <w:bookmarkStart w:id="177" w:name="_Toc163964558"/>
      <w:bookmarkStart w:id="178" w:name="_Toc164483655"/>
      <w:bookmarkStart w:id="179" w:name="_Toc164569832"/>
      <w:bookmarkStart w:id="180" w:name="_Toc166897031"/>
      <w:bookmarkStart w:id="181" w:name="_Toc231028990"/>
      <w:bookmarkStart w:id="182" w:name="_Toc241050547"/>
      <w:r>
        <w:rPr>
          <w:rStyle w:val="CharPartNo"/>
        </w:rPr>
        <w:t>Part 3</w:t>
      </w:r>
      <w:r>
        <w:rPr>
          <w:rStyle w:val="CharDivNo"/>
        </w:rPr>
        <w:t> </w:t>
      </w:r>
      <w:r>
        <w:t>—</w:t>
      </w:r>
      <w:r>
        <w:rPr>
          <w:rStyle w:val="CharDivText"/>
        </w:rPr>
        <w:t> </w:t>
      </w:r>
      <w:r>
        <w:rPr>
          <w:rStyle w:val="CharPartText"/>
        </w:rPr>
        <w:t>Relationship with Minister</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Hlt25746827"/>
      <w:bookmarkStart w:id="184" w:name="_Toc378839189"/>
      <w:bookmarkStart w:id="185" w:name="_Toc50262456"/>
      <w:bookmarkStart w:id="186" w:name="_Toc157918589"/>
      <w:bookmarkStart w:id="187" w:name="_Toc241050548"/>
      <w:bookmarkEnd w:id="183"/>
      <w:r>
        <w:rPr>
          <w:rStyle w:val="CharSectno"/>
        </w:rPr>
        <w:t>17</w:t>
      </w:r>
      <w:r>
        <w:t>.</w:t>
      </w:r>
      <w:r>
        <w:tab/>
        <w:t>Directions of Minister</w:t>
      </w:r>
      <w:bookmarkEnd w:id="184"/>
      <w:bookmarkEnd w:id="185"/>
      <w:bookmarkEnd w:id="186"/>
      <w:bookmarkEnd w:id="187"/>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r>
      <w:bookmarkStart w:id="188" w:name="_Hlt25744901"/>
      <w:bookmarkEnd w:id="188"/>
      <w:r>
        <w:t>(2)</w:t>
      </w:r>
      <w:r>
        <w:tab/>
        <w:t xml:space="preserve">The Minister may, in writing, direct the Inspector to — </w:t>
      </w:r>
    </w:p>
    <w:p>
      <w:pPr>
        <w:pStyle w:val="Indenta"/>
      </w:pPr>
      <w:r>
        <w:tab/>
        <w:t>(a)</w:t>
      </w:r>
      <w:r>
        <w:tab/>
        <w:t>inspect a prison, detention centre, court custody centre or lock</w:t>
      </w:r>
      <w:r>
        <w:noBreakHyphen/>
        <w:t>up;</w:t>
      </w:r>
    </w:p>
    <w:p>
      <w:pPr>
        <w:pStyle w:val="Indenta"/>
      </w:pPr>
      <w:r>
        <w:tab/>
        <w:t>(b)</w:t>
      </w:r>
      <w:r>
        <w:tab/>
        <w:t>to review a custodial service in relation to a prison or detention centre or a custodial service (CSCS Act) or an aspect of that service,</w:t>
      </w:r>
    </w:p>
    <w:p>
      <w:pPr>
        <w:pStyle w:val="Subsection"/>
      </w:pPr>
      <w:r>
        <w:tab/>
      </w:r>
      <w:r>
        <w:tab/>
        <w:t>and report on a specified matter of significance.</w:t>
      </w:r>
    </w:p>
    <w:p>
      <w:pPr>
        <w:pStyle w:val="Subsection"/>
      </w:pPr>
      <w:r>
        <w:tab/>
      </w:r>
      <w:bookmarkStart w:id="189" w:name="_Hlt25744923"/>
      <w:bookmarkEnd w:id="189"/>
      <w:r>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r>
      <w:bookmarkStart w:id="190" w:name="_Hlt24276329"/>
      <w:bookmarkEnd w:id="190"/>
      <w:r>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191" w:name="_Toc378839190"/>
      <w:bookmarkStart w:id="192" w:name="_Toc50262457"/>
      <w:bookmarkStart w:id="193" w:name="_Toc157918590"/>
      <w:bookmarkStart w:id="194" w:name="_Toc241050549"/>
      <w:r>
        <w:rPr>
          <w:rStyle w:val="CharSectno"/>
        </w:rPr>
        <w:t>18</w:t>
      </w:r>
      <w:r>
        <w:t>.</w:t>
      </w:r>
      <w:r>
        <w:tab/>
        <w:t>Minister to have access to information</w:t>
      </w:r>
      <w:bookmarkEnd w:id="191"/>
      <w:bookmarkEnd w:id="192"/>
      <w:bookmarkEnd w:id="193"/>
      <w:bookmarkEnd w:id="194"/>
    </w:p>
    <w:p>
      <w:pPr>
        <w:pStyle w:val="Subsection"/>
      </w:pPr>
      <w:r>
        <w:tab/>
      </w:r>
      <w:bookmarkStart w:id="195" w:name="_Hlt25745390"/>
      <w:bookmarkEnd w:id="195"/>
      <w:r>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r>
      <w:bookmarkStart w:id="196" w:name="_Hlt25745440"/>
      <w:bookmarkEnd w:id="196"/>
      <w:r>
        <w:t>(b)</w:t>
      </w:r>
      <w:r>
        <w:tab/>
        <w:t>request the Inspector to give the Minister access to information;</w:t>
      </w:r>
    </w:p>
    <w:p>
      <w:pPr>
        <w:pStyle w:val="Indenta"/>
      </w:pPr>
      <w:r>
        <w:tab/>
      </w:r>
      <w:bookmarkStart w:id="197" w:name="_Hlt25745580"/>
      <w:bookmarkEnd w:id="197"/>
      <w:r>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w:t>
      </w:r>
      <w:bookmarkStart w:id="198" w:name="_Hlt25745576"/>
      <w:r>
        <w:t>(c)</w:t>
      </w:r>
      <w:bookmarkEnd w:id="198"/>
      <w:r>
        <w:t xml:space="preserve"> unless, in the Inspector’s opinion, it would not be in the public interest to provide the information.</w:t>
      </w:r>
    </w:p>
    <w:p>
      <w:pPr>
        <w:pStyle w:val="Subsection"/>
      </w:pPr>
      <w:r>
        <w:tab/>
      </w:r>
      <w:bookmarkStart w:id="199" w:name="_Hlt24276349"/>
      <w:bookmarkEnd w:id="199"/>
      <w:r>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rPr>
          <w:snapToGrid/>
        </w:rPr>
      </w:pPr>
      <w:r>
        <w:rPr>
          <w:b/>
          <w:snapToGrid/>
        </w:rPr>
        <w:tab/>
      </w:r>
      <w:r>
        <w:rPr>
          <w:rStyle w:val="CharDefText"/>
        </w:rPr>
        <w:t>information</w:t>
      </w:r>
      <w:r>
        <w:t xml:space="preserve"> </w:t>
      </w:r>
      <w:r>
        <w:rPr>
          <w:snapToGrid/>
        </w:rPr>
        <w:t>means information specified, or of a description specified, by the Minister that relates to the Inspector’s functions.</w:t>
      </w:r>
    </w:p>
    <w:p>
      <w:pPr>
        <w:pStyle w:val="Heading2"/>
      </w:pPr>
      <w:bookmarkStart w:id="200" w:name="_Toc378839191"/>
      <w:bookmarkStart w:id="201" w:name="_Toc107884379"/>
      <w:bookmarkStart w:id="202" w:name="_Toc107910242"/>
      <w:bookmarkStart w:id="203" w:name="_Toc123555481"/>
      <w:bookmarkStart w:id="204" w:name="_Toc123639289"/>
      <w:bookmarkStart w:id="205" w:name="_Toc123639382"/>
      <w:bookmarkStart w:id="206" w:name="_Toc157918591"/>
      <w:bookmarkStart w:id="207" w:name="_Toc159230912"/>
      <w:bookmarkStart w:id="208" w:name="_Toc159231014"/>
      <w:bookmarkStart w:id="209" w:name="_Toc162676826"/>
      <w:bookmarkStart w:id="210" w:name="_Toc163964561"/>
      <w:bookmarkStart w:id="211" w:name="_Toc164483658"/>
      <w:bookmarkStart w:id="212" w:name="_Toc164569835"/>
      <w:bookmarkStart w:id="213" w:name="_Toc166897034"/>
      <w:bookmarkStart w:id="214" w:name="_Toc231028993"/>
      <w:bookmarkStart w:id="215" w:name="_Toc241050550"/>
      <w:r>
        <w:rPr>
          <w:rStyle w:val="CharPartNo"/>
        </w:rPr>
        <w:t>Part 4</w:t>
      </w:r>
      <w:r>
        <w:t> — </w:t>
      </w:r>
      <w:r>
        <w:rPr>
          <w:rStyle w:val="CharPartText"/>
        </w:rPr>
        <w:t>Functions and powers of Inspector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3"/>
      </w:pPr>
      <w:bookmarkStart w:id="216" w:name="_Toc378839192"/>
      <w:bookmarkStart w:id="217" w:name="_Toc107884380"/>
      <w:bookmarkStart w:id="218" w:name="_Toc107910243"/>
      <w:bookmarkStart w:id="219" w:name="_Toc123555482"/>
      <w:bookmarkStart w:id="220" w:name="_Toc123639290"/>
      <w:bookmarkStart w:id="221" w:name="_Toc123639383"/>
      <w:bookmarkStart w:id="222" w:name="_Toc157918592"/>
      <w:bookmarkStart w:id="223" w:name="_Toc159230913"/>
      <w:bookmarkStart w:id="224" w:name="_Toc159231015"/>
      <w:bookmarkStart w:id="225" w:name="_Toc162676827"/>
      <w:bookmarkStart w:id="226" w:name="_Toc163964562"/>
      <w:bookmarkStart w:id="227" w:name="_Toc164483659"/>
      <w:bookmarkStart w:id="228" w:name="_Toc164569836"/>
      <w:bookmarkStart w:id="229" w:name="_Toc166897035"/>
      <w:bookmarkStart w:id="230" w:name="_Toc231028994"/>
      <w:bookmarkStart w:id="231" w:name="_Toc241050551"/>
      <w:r>
        <w:rPr>
          <w:rStyle w:val="CharDivNo"/>
        </w:rPr>
        <w:t>Division 1</w:t>
      </w:r>
      <w:r>
        <w:t> — </w:t>
      </w:r>
      <w:r>
        <w:rPr>
          <w:rStyle w:val="CharDivText"/>
        </w:rPr>
        <w:t>Functions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Hlt25050572"/>
      <w:bookmarkStart w:id="233" w:name="_Toc378839193"/>
      <w:bookmarkStart w:id="234" w:name="_Toc50262458"/>
      <w:bookmarkStart w:id="235" w:name="_Toc157918593"/>
      <w:bookmarkStart w:id="236" w:name="_Toc241050552"/>
      <w:bookmarkEnd w:id="232"/>
      <w:r>
        <w:rPr>
          <w:rStyle w:val="CharSectno"/>
        </w:rPr>
        <w:t>19</w:t>
      </w:r>
      <w:r>
        <w:t>.</w:t>
      </w:r>
      <w:r>
        <w:tab/>
        <w:t>Inspection of places: mandatory</w:t>
      </w:r>
      <w:bookmarkEnd w:id="233"/>
      <w:bookmarkEnd w:id="234"/>
      <w:bookmarkEnd w:id="235"/>
      <w:bookmarkEnd w:id="236"/>
    </w:p>
    <w:p>
      <w:pPr>
        <w:pStyle w:val="Subsection"/>
      </w:pPr>
      <w:r>
        <w:tab/>
      </w:r>
      <w:r>
        <w:tab/>
        <w:t xml:space="preserve">At least once every 3 years the Inspector is to inspect each — </w:t>
      </w:r>
    </w:p>
    <w:p>
      <w:pPr>
        <w:pStyle w:val="Indenta"/>
      </w:pPr>
      <w:r>
        <w:tab/>
      </w:r>
      <w:bookmarkStart w:id="237" w:name="_Hlt25746099"/>
      <w:bookmarkEnd w:id="237"/>
      <w:r>
        <w:t>(a)</w:t>
      </w:r>
      <w:r>
        <w:tab/>
        <w:t xml:space="preserve">prison; </w:t>
      </w:r>
    </w:p>
    <w:p>
      <w:pPr>
        <w:pStyle w:val="Indenta"/>
      </w:pPr>
      <w:r>
        <w:tab/>
      </w:r>
      <w:bookmarkStart w:id="238" w:name="_Hlt25746171"/>
      <w:bookmarkEnd w:id="238"/>
      <w:r>
        <w:t>(b)</w:t>
      </w:r>
      <w:r>
        <w:tab/>
        <w:t xml:space="preserve">detention centre; </w:t>
      </w:r>
    </w:p>
    <w:p>
      <w:pPr>
        <w:pStyle w:val="Indenta"/>
      </w:pPr>
      <w:r>
        <w:tab/>
      </w:r>
      <w:bookmarkStart w:id="239" w:name="_Hlt25746230"/>
      <w:bookmarkEnd w:id="239"/>
      <w:r>
        <w:t>(c)</w:t>
      </w:r>
      <w:r>
        <w:tab/>
        <w:t>court custody centre; and</w:t>
      </w:r>
    </w:p>
    <w:p>
      <w:pPr>
        <w:pStyle w:val="Indenta"/>
      </w:pPr>
      <w:r>
        <w:tab/>
      </w:r>
      <w:bookmarkStart w:id="240" w:name="_Hlt25746255"/>
      <w:bookmarkEnd w:id="240"/>
      <w:r>
        <w:t>(d)</w:t>
      </w:r>
      <w:r>
        <w:tab/>
        <w:t>lock</w:t>
      </w:r>
      <w:r>
        <w:noBreakHyphen/>
        <w:t>up.</w:t>
      </w:r>
    </w:p>
    <w:p>
      <w:pPr>
        <w:pStyle w:val="Heading5"/>
      </w:pPr>
      <w:bookmarkStart w:id="241" w:name="_Hlt37038593"/>
      <w:bookmarkStart w:id="242" w:name="_Toc378839194"/>
      <w:bookmarkStart w:id="243" w:name="_Toc50262459"/>
      <w:bookmarkStart w:id="244" w:name="_Toc157918594"/>
      <w:bookmarkStart w:id="245" w:name="_Toc241050553"/>
      <w:bookmarkEnd w:id="241"/>
      <w:r>
        <w:rPr>
          <w:rStyle w:val="CharSectno"/>
        </w:rPr>
        <w:t>20</w:t>
      </w:r>
      <w:r>
        <w:t>.</w:t>
      </w:r>
      <w:r>
        <w:tab/>
        <w:t>Inspection report</w:t>
      </w:r>
      <w:bookmarkEnd w:id="242"/>
      <w:bookmarkEnd w:id="243"/>
      <w:bookmarkEnd w:id="244"/>
      <w:bookmarkEnd w:id="245"/>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246" w:name="_Hlt25050467"/>
      <w:bookmarkStart w:id="247" w:name="_Toc378839195"/>
      <w:bookmarkStart w:id="248" w:name="_Toc50262460"/>
      <w:bookmarkStart w:id="249" w:name="_Toc157918595"/>
      <w:bookmarkStart w:id="250" w:name="_Toc241050554"/>
      <w:bookmarkEnd w:id="246"/>
      <w:r>
        <w:rPr>
          <w:rStyle w:val="CharSectno"/>
        </w:rPr>
        <w:t>21</w:t>
      </w:r>
      <w:r>
        <w:t>.</w:t>
      </w:r>
      <w:r>
        <w:tab/>
        <w:t>Inspection of places: occasional</w:t>
      </w:r>
      <w:bookmarkEnd w:id="247"/>
      <w:bookmarkEnd w:id="248"/>
      <w:bookmarkEnd w:id="249"/>
      <w:bookmarkEnd w:id="250"/>
    </w:p>
    <w:p>
      <w:pPr>
        <w:pStyle w:val="Subsection"/>
      </w:pPr>
      <w:r>
        <w:tab/>
      </w:r>
      <w:bookmarkStart w:id="251" w:name="_Hlt24261051"/>
      <w:bookmarkEnd w:id="251"/>
      <w:r>
        <w:tab/>
        <w:t>In addition to the requirement to inspect a place under section 19, the Inspector may inspect the place at any other time and on any number of occasions.</w:t>
      </w:r>
    </w:p>
    <w:p>
      <w:pPr>
        <w:pStyle w:val="Heading5"/>
      </w:pPr>
      <w:bookmarkStart w:id="252" w:name="_Hlt25745659"/>
      <w:bookmarkStart w:id="253" w:name="_Toc378839196"/>
      <w:bookmarkStart w:id="254" w:name="_Toc50262461"/>
      <w:bookmarkStart w:id="255" w:name="_Toc157918596"/>
      <w:bookmarkStart w:id="256" w:name="_Toc241050555"/>
      <w:bookmarkEnd w:id="252"/>
      <w:r>
        <w:rPr>
          <w:rStyle w:val="CharSectno"/>
        </w:rPr>
        <w:t>22</w:t>
      </w:r>
      <w:r>
        <w:t>.</w:t>
      </w:r>
      <w:r>
        <w:tab/>
        <w:t>Review of custodial services: occasional</w:t>
      </w:r>
      <w:bookmarkEnd w:id="253"/>
      <w:bookmarkEnd w:id="254"/>
      <w:bookmarkEnd w:id="255"/>
      <w:bookmarkEnd w:id="256"/>
    </w:p>
    <w:p>
      <w:pPr>
        <w:pStyle w:val="Subsection"/>
      </w:pPr>
      <w:r>
        <w:tab/>
      </w:r>
      <w:ins w:id="257" w:author="svcMRProcess" w:date="2018-09-03T14:04:00Z">
        <w:r>
          <w:t>(1)</w:t>
        </w:r>
      </w:ins>
      <w:r>
        <w:tab/>
        <w:t xml:space="preserve">The Inspector may, at any time, review any of the following or any aspect of the following — </w:t>
      </w:r>
    </w:p>
    <w:p>
      <w:pPr>
        <w:pStyle w:val="Indenta"/>
      </w:pPr>
      <w:r>
        <w:tab/>
      </w:r>
      <w:bookmarkStart w:id="258" w:name="_Hlt37041693"/>
      <w:bookmarkEnd w:id="258"/>
      <w:r>
        <w:t>(a)</w:t>
      </w:r>
      <w:r>
        <w:tab/>
        <w:t>a custodial service in relation to a prison;</w:t>
      </w:r>
    </w:p>
    <w:p>
      <w:pPr>
        <w:pStyle w:val="Indenta"/>
      </w:pPr>
      <w:r>
        <w:tab/>
        <w:t>(b)</w:t>
      </w:r>
      <w:r>
        <w:tab/>
        <w:t>a custodial service in relation to a detention centre;</w:t>
      </w:r>
    </w:p>
    <w:p>
      <w:pPr>
        <w:pStyle w:val="Indenta"/>
      </w:pPr>
      <w:r>
        <w:tab/>
      </w:r>
      <w:bookmarkStart w:id="259" w:name="_Hlt32729699"/>
      <w:bookmarkEnd w:id="259"/>
      <w:r>
        <w:t>(c)</w:t>
      </w:r>
      <w:r>
        <w:tab/>
        <w:t>a custodial service (CSCS Act).</w:t>
      </w:r>
    </w:p>
    <w:p>
      <w:pPr>
        <w:pStyle w:val="Subsection"/>
        <w:keepNext/>
        <w:rPr>
          <w:ins w:id="260" w:author="svcMRProcess" w:date="2018-09-03T14:04:00Z"/>
        </w:rPr>
      </w:pPr>
      <w:ins w:id="261" w:author="svcMRProcess" w:date="2018-09-03T14:04:00Z">
        <w:r>
          <w:tab/>
          <w:t>(2)</w:t>
        </w:r>
        <w:r>
          <w:tab/>
          <w:t xml:space="preserve">Without limiting subsection (1), a review may be carried out under that subsection of the following or any aspect of the following — </w:t>
        </w:r>
      </w:ins>
    </w:p>
    <w:p>
      <w:pPr>
        <w:pStyle w:val="Indenta"/>
        <w:rPr>
          <w:ins w:id="262" w:author="svcMRProcess" w:date="2018-09-03T14:04:00Z"/>
        </w:rPr>
      </w:pPr>
      <w:ins w:id="263" w:author="svcMRProcess" w:date="2018-09-03T14:04:00Z">
        <w:r>
          <w:tab/>
          <w:t>(a)</w:t>
        </w:r>
        <w:r>
          <w:tab/>
          <w:t>a custodial service in relation to one or more particular prisoners;</w:t>
        </w:r>
      </w:ins>
    </w:p>
    <w:p>
      <w:pPr>
        <w:pStyle w:val="Indenta"/>
        <w:rPr>
          <w:ins w:id="264" w:author="svcMRProcess" w:date="2018-09-03T14:04:00Z"/>
        </w:rPr>
      </w:pPr>
      <w:ins w:id="265" w:author="svcMRProcess" w:date="2018-09-03T14:04:00Z">
        <w:r>
          <w:tab/>
          <w:t>(b)</w:t>
        </w:r>
        <w:r>
          <w:tab/>
          <w:t>a custodial service in relation to one or more particular detainees;</w:t>
        </w:r>
      </w:ins>
    </w:p>
    <w:p>
      <w:pPr>
        <w:pStyle w:val="Indenta"/>
        <w:rPr>
          <w:ins w:id="266" w:author="svcMRProcess" w:date="2018-09-03T14:04:00Z"/>
        </w:rPr>
      </w:pPr>
      <w:ins w:id="267" w:author="svcMRProcess" w:date="2018-09-03T14:04:00Z">
        <w:r>
          <w:tab/>
          <w:t>(c)</w:t>
        </w:r>
        <w:r>
          <w:tab/>
          <w:t>a custodial service (CSCS Act) in relation to one or more particular persons in custody.</w:t>
        </w:r>
      </w:ins>
    </w:p>
    <w:p>
      <w:pPr>
        <w:pStyle w:val="Footnotesection"/>
        <w:rPr>
          <w:ins w:id="268" w:author="svcMRProcess" w:date="2018-09-03T14:04:00Z"/>
        </w:rPr>
      </w:pPr>
      <w:ins w:id="269" w:author="svcMRProcess" w:date="2018-09-03T14:04:00Z">
        <w:r>
          <w:tab/>
          <w:t>[Section 22 amended by No. 52 of 2011 s. 4.]</w:t>
        </w:r>
      </w:ins>
    </w:p>
    <w:p>
      <w:pPr>
        <w:pStyle w:val="Heading5"/>
      </w:pPr>
      <w:bookmarkStart w:id="270" w:name="_Toc378839197"/>
      <w:bookmarkStart w:id="271" w:name="_Toc50262462"/>
      <w:bookmarkStart w:id="272" w:name="_Toc157918597"/>
      <w:bookmarkStart w:id="273" w:name="_Toc241050556"/>
      <w:r>
        <w:rPr>
          <w:rStyle w:val="CharSectno"/>
        </w:rPr>
        <w:t>23</w:t>
      </w:r>
      <w:r>
        <w:t>.</w:t>
      </w:r>
      <w:r>
        <w:tab/>
        <w:t>Reporting on occasional inspections and reviews</w:t>
      </w:r>
      <w:bookmarkEnd w:id="270"/>
      <w:bookmarkEnd w:id="271"/>
      <w:bookmarkEnd w:id="272"/>
      <w:bookmarkEnd w:id="273"/>
    </w:p>
    <w:p>
      <w:pPr>
        <w:pStyle w:val="Subsection"/>
      </w:pPr>
      <w:r>
        <w:tab/>
      </w:r>
      <w:r>
        <w:tab/>
        <w:t>The Inspector may, at any time, report to the Minister on any matter relating to an inspection under section </w:t>
      </w:r>
      <w:bookmarkStart w:id="274" w:name="_Hlt26179864"/>
      <w:r>
        <w:t>21</w:t>
      </w:r>
      <w:bookmarkEnd w:id="274"/>
      <w:r>
        <w:t xml:space="preserve"> or a review under section </w:t>
      </w:r>
      <w:bookmarkStart w:id="275" w:name="_Hlt25745656"/>
      <w:r>
        <w:t>22</w:t>
      </w:r>
      <w:bookmarkEnd w:id="275"/>
      <w:r>
        <w:t xml:space="preserve"> and give advice or make recommendations as the Inspector considers appropriate in relation to the matter.</w:t>
      </w:r>
    </w:p>
    <w:p>
      <w:pPr>
        <w:pStyle w:val="Heading5"/>
      </w:pPr>
      <w:bookmarkStart w:id="276" w:name="_Toc378839198"/>
      <w:bookmarkStart w:id="277" w:name="_Toc50262463"/>
      <w:bookmarkStart w:id="278" w:name="_Toc157918598"/>
      <w:bookmarkStart w:id="279" w:name="_Toc241050557"/>
      <w:r>
        <w:rPr>
          <w:rStyle w:val="CharSectno"/>
        </w:rPr>
        <w:t>24</w:t>
      </w:r>
      <w:r>
        <w:t>.</w:t>
      </w:r>
      <w:r>
        <w:tab/>
        <w:t>Providing reports, draft inspection reports to interested persons</w:t>
      </w:r>
      <w:bookmarkEnd w:id="276"/>
      <w:bookmarkEnd w:id="277"/>
      <w:bookmarkEnd w:id="278"/>
      <w:bookmarkEnd w:id="279"/>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w:t>
      </w:r>
      <w:bookmarkStart w:id="280" w:name="_Hlt25745675"/>
      <w:r>
        <w:t>21</w:t>
      </w:r>
      <w:bookmarkEnd w:id="280"/>
      <w:r>
        <w:t xml:space="preserve"> or a review under section </w:t>
      </w:r>
      <w:bookmarkStart w:id="281" w:name="_Hlt25745679"/>
      <w:r>
        <w:t>22</w:t>
      </w:r>
      <w:bookmarkEnd w:id="281"/>
      <w:r>
        <w:t>.</w:t>
      </w:r>
    </w:p>
    <w:p>
      <w:pPr>
        <w:pStyle w:val="Heading5"/>
      </w:pPr>
      <w:bookmarkStart w:id="282" w:name="_Toc378839199"/>
      <w:bookmarkStart w:id="283" w:name="_Toc50262464"/>
      <w:bookmarkStart w:id="284" w:name="_Toc157918599"/>
      <w:bookmarkStart w:id="285" w:name="_Toc241050558"/>
      <w:r>
        <w:rPr>
          <w:rStyle w:val="CharSectno"/>
        </w:rPr>
        <w:t>25</w:t>
      </w:r>
      <w:r>
        <w:t>.</w:t>
      </w:r>
      <w:r>
        <w:tab/>
        <w:t>Notifications</w:t>
      </w:r>
      <w:bookmarkEnd w:id="282"/>
      <w:bookmarkEnd w:id="283"/>
      <w:bookmarkEnd w:id="284"/>
      <w:bookmarkEnd w:id="285"/>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286" w:name="_Toc378839200"/>
      <w:bookmarkStart w:id="287" w:name="_Toc50262465"/>
      <w:bookmarkStart w:id="288" w:name="_Toc157918600"/>
      <w:bookmarkStart w:id="289" w:name="_Toc241050559"/>
      <w:r>
        <w:rPr>
          <w:rStyle w:val="CharSectno"/>
        </w:rPr>
        <w:t>26</w:t>
      </w:r>
      <w:r>
        <w:t>.</w:t>
      </w:r>
      <w:r>
        <w:tab/>
        <w:t>Relationship of Inspector’s functions to other laws</w:t>
      </w:r>
      <w:bookmarkEnd w:id="286"/>
      <w:bookmarkEnd w:id="287"/>
      <w:bookmarkEnd w:id="288"/>
      <w:bookmarkEnd w:id="289"/>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 or</w:t>
      </w:r>
    </w:p>
    <w:p>
      <w:pPr>
        <w:pStyle w:val="Indenta"/>
        <w:rPr>
          <w:b/>
        </w:rPr>
      </w:pPr>
      <w:r>
        <w:tab/>
        <w:t>(b)</w:t>
      </w:r>
      <w:r>
        <w:tab/>
        <w:t xml:space="preserve">an inquiry under the </w:t>
      </w:r>
      <w:r>
        <w:rPr>
          <w:i/>
        </w:rPr>
        <w:t>Court Security and Custodial Services Act 1999</w:t>
      </w:r>
      <w:r>
        <w:t xml:space="preserve"> section 44; or</w:t>
      </w:r>
    </w:p>
    <w:p>
      <w:pPr>
        <w:pStyle w:val="Indenta"/>
      </w:pPr>
      <w:r>
        <w:tab/>
        <w:t>(c)</w:t>
      </w:r>
      <w:r>
        <w:tab/>
        <w:t xml:space="preserve">an investigation or other action taken by the Corruption and Crime Commission under the </w:t>
      </w:r>
      <w:r>
        <w:rPr>
          <w:i/>
        </w:rPr>
        <w:t>Corruption and Crime Commission Act </w:t>
      </w:r>
      <w:r>
        <w:rPr>
          <w:i/>
          <w:iCs/>
        </w:rPr>
        <w:t>2003</w:t>
      </w:r>
      <w:r>
        <w: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Footnotesection"/>
      </w:pPr>
      <w:r>
        <w:tab/>
        <w:t>[Section 26 amended by No. 8 of 2009 s. 78(2).]</w:t>
      </w:r>
    </w:p>
    <w:p>
      <w:pPr>
        <w:pStyle w:val="Heading3"/>
      </w:pPr>
      <w:bookmarkStart w:id="290" w:name="_Toc378839201"/>
      <w:bookmarkStart w:id="291" w:name="_Toc107884389"/>
      <w:bookmarkStart w:id="292" w:name="_Toc107910252"/>
      <w:bookmarkStart w:id="293" w:name="_Toc123555491"/>
      <w:bookmarkStart w:id="294" w:name="_Toc123639299"/>
      <w:bookmarkStart w:id="295" w:name="_Toc123639392"/>
      <w:bookmarkStart w:id="296" w:name="_Toc157918601"/>
      <w:bookmarkStart w:id="297" w:name="_Toc159230922"/>
      <w:bookmarkStart w:id="298" w:name="_Toc159231024"/>
      <w:bookmarkStart w:id="299" w:name="_Toc162676836"/>
      <w:bookmarkStart w:id="300" w:name="_Toc163964571"/>
      <w:bookmarkStart w:id="301" w:name="_Toc164483668"/>
      <w:bookmarkStart w:id="302" w:name="_Toc164569845"/>
      <w:bookmarkStart w:id="303" w:name="_Toc166897044"/>
      <w:bookmarkStart w:id="304" w:name="_Toc231029003"/>
      <w:bookmarkStart w:id="305" w:name="_Toc241050560"/>
      <w:r>
        <w:rPr>
          <w:rStyle w:val="CharDivNo"/>
        </w:rPr>
        <w:t>Division 2</w:t>
      </w:r>
      <w:r>
        <w:t> — </w:t>
      </w:r>
      <w:r>
        <w:rPr>
          <w:rStyle w:val="CharDivText"/>
        </w:rPr>
        <w:t>Powers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378839202"/>
      <w:bookmarkStart w:id="307" w:name="_Toc50262466"/>
      <w:bookmarkStart w:id="308" w:name="_Toc157918602"/>
      <w:bookmarkStart w:id="309" w:name="_Toc241050561"/>
      <w:r>
        <w:rPr>
          <w:rStyle w:val="CharSectno"/>
        </w:rPr>
        <w:t>27</w:t>
      </w:r>
      <w:r>
        <w:t>.</w:t>
      </w:r>
      <w:r>
        <w:tab/>
        <w:t>Powers of Inspector</w:t>
      </w:r>
      <w:bookmarkEnd w:id="306"/>
      <w:bookmarkEnd w:id="307"/>
      <w:bookmarkEnd w:id="308"/>
      <w:bookmarkEnd w:id="309"/>
    </w:p>
    <w:p>
      <w:pPr>
        <w:pStyle w:val="Subsection"/>
      </w:pPr>
      <w:r>
        <w:tab/>
      </w:r>
      <w:r>
        <w:tab/>
        <w:t>The Inspector has power to do all things necessary or convenient to be done for or in connection with the performance of the Inspector’s functions.</w:t>
      </w:r>
    </w:p>
    <w:p>
      <w:pPr>
        <w:pStyle w:val="Heading5"/>
      </w:pPr>
      <w:bookmarkStart w:id="310" w:name="_Hlt25746357"/>
      <w:bookmarkStart w:id="311" w:name="_Toc378839203"/>
      <w:bookmarkStart w:id="312" w:name="_Toc50262467"/>
      <w:bookmarkStart w:id="313" w:name="_Toc157918603"/>
      <w:bookmarkStart w:id="314" w:name="_Toc241050562"/>
      <w:bookmarkEnd w:id="310"/>
      <w:r>
        <w:rPr>
          <w:rStyle w:val="CharSectno"/>
        </w:rPr>
        <w:t>28</w:t>
      </w:r>
      <w:r>
        <w:t>.</w:t>
      </w:r>
      <w:r>
        <w:tab/>
        <w:t>Access to prisons etc.</w:t>
      </w:r>
      <w:bookmarkEnd w:id="311"/>
      <w:bookmarkEnd w:id="312"/>
      <w:bookmarkEnd w:id="313"/>
      <w:bookmarkEnd w:id="314"/>
    </w:p>
    <w:p>
      <w:pPr>
        <w:pStyle w:val="Subsection"/>
      </w:pPr>
      <w:r>
        <w:tab/>
      </w:r>
      <w:bookmarkStart w:id="315" w:name="_Hlt25746142"/>
      <w:bookmarkEnd w:id="315"/>
      <w:r>
        <w:t>(1)</w:t>
      </w:r>
      <w:r>
        <w:tab/>
        <w:t>For the purpose of performing the Inspector’s functions under section 19(a), section </w:t>
      </w:r>
      <w:bookmarkStart w:id="316" w:name="_Hlt32726347"/>
      <w:r>
        <w:t>21</w:t>
      </w:r>
      <w:bookmarkEnd w:id="316"/>
      <w:r>
        <w:t xml:space="preserve"> in relation to a prison, or section 22(</w:t>
      </w:r>
      <w:ins w:id="317" w:author="svcMRProcess" w:date="2018-09-03T14:04:00Z">
        <w:r>
          <w:t>1)(a) or (2)(</w:t>
        </w:r>
      </w:ins>
      <w:r>
        <w:t xml:space="preserve">a),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prison or any part of a prison; </w:t>
      </w:r>
      <w:ins w:id="318" w:author="svcMRProcess" w:date="2018-09-03T14:04:00Z">
        <w:r>
          <w:t>and</w:t>
        </w:r>
      </w:ins>
    </w:p>
    <w:p>
      <w:pPr>
        <w:pStyle w:val="Indenta"/>
      </w:pPr>
      <w:r>
        <w:tab/>
        <w:t>(b)</w:t>
      </w:r>
      <w:r>
        <w:tab/>
        <w:t>a prisoner in a prison;</w:t>
      </w:r>
      <w:ins w:id="319" w:author="svcMRProcess" w:date="2018-09-03T14:04:00Z">
        <w:r>
          <w:t xml:space="preserve"> and</w:t>
        </w:r>
      </w:ins>
    </w:p>
    <w:p>
      <w:pPr>
        <w:pStyle w:val="Indenta"/>
      </w:pPr>
      <w:r>
        <w:tab/>
        <w:t>(c)</w:t>
      </w:r>
      <w:r>
        <w:tab/>
        <w:t>a person whose work is concerned with a prison;</w:t>
      </w:r>
      <w:ins w:id="320" w:author="svcMRProcess" w:date="2018-09-03T14:04:00Z">
        <w:r>
          <w:t xml:space="preserve"> and</w:t>
        </w:r>
      </w:ins>
    </w:p>
    <w:p>
      <w:pPr>
        <w:pStyle w:val="Indenta"/>
      </w:pPr>
      <w:r>
        <w:tab/>
        <w:t>(d)</w:t>
      </w:r>
      <w:r>
        <w:tab/>
        <w:t>a vehicle used to transport prisoners;</w:t>
      </w:r>
      <w:ins w:id="321" w:author="svcMRProcess" w:date="2018-09-03T14:04:00Z">
        <w:r>
          <w:t xml:space="preserve"> and</w:t>
        </w:r>
      </w:ins>
    </w:p>
    <w:p>
      <w:pPr>
        <w:pStyle w:val="Indenta"/>
      </w:pPr>
      <w:r>
        <w:tab/>
        <w:t>(e)</w:t>
      </w:r>
      <w:r>
        <w:tab/>
        <w:t>a prisoner in such a vehicle;</w:t>
      </w:r>
      <w:ins w:id="322" w:author="svcMRProcess" w:date="2018-09-03T14:04:00Z">
        <w:r>
          <w:t xml:space="preserve"> and</w:t>
        </w:r>
      </w:ins>
    </w:p>
    <w:p>
      <w:pPr>
        <w:pStyle w:val="Indenta"/>
      </w:pPr>
      <w:r>
        <w:tab/>
        <w:t>(f)</w:t>
      </w:r>
      <w:r>
        <w:tab/>
        <w:t>a person whose work is concerned with such a vehicle;</w:t>
      </w:r>
      <w:ins w:id="323" w:author="svcMRProcess" w:date="2018-09-03T14:04:00Z">
        <w:r>
          <w:t xml:space="preserve"> and</w:t>
        </w:r>
      </w:ins>
    </w:p>
    <w:p>
      <w:pPr>
        <w:pStyle w:val="Indenta"/>
      </w:pPr>
      <w:r>
        <w:tab/>
        <w:t>(g)</w:t>
      </w:r>
      <w:r>
        <w:tab/>
        <w:t>all documents in the possession of the Department in relation to a prison or to a custodial service in relation to a prison</w:t>
      </w:r>
      <w:ins w:id="324" w:author="svcMRProcess" w:date="2018-09-03T14:04:00Z">
        <w:r>
          <w:t xml:space="preserve"> or to a person who is, or has been, a prisoner</w:t>
        </w:r>
      </w:ins>
      <w:r>
        <w:t>;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w:t>
      </w:r>
      <w:del w:id="325" w:author="svcMRProcess" w:date="2018-09-03T14:04:00Z">
        <w:r>
          <w:delText>.</w:delText>
        </w:r>
      </w:del>
      <w:ins w:id="326" w:author="svcMRProcess" w:date="2018-09-03T14:04:00Z">
        <w:r>
          <w:t>; or</w:t>
        </w:r>
      </w:ins>
    </w:p>
    <w:p>
      <w:pPr>
        <w:pStyle w:val="Indenti"/>
        <w:rPr>
          <w:ins w:id="327" w:author="svcMRProcess" w:date="2018-09-03T14:04:00Z"/>
        </w:rPr>
      </w:pPr>
      <w:ins w:id="328" w:author="svcMRProcess" w:date="2018-09-03T14:04:00Z">
        <w:r>
          <w:tab/>
          <w:t>(iii)</w:t>
        </w:r>
        <w:r>
          <w:tab/>
          <w:t>a person who is, or has been, a prisoner in a prison that is a subject of a contract.</w:t>
        </w:r>
      </w:ins>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Prisons Act 1981</w:t>
      </w:r>
      <w:r>
        <w:t xml:space="preserve"> section 3(1).</w:t>
      </w:r>
    </w:p>
    <w:p>
      <w:pPr>
        <w:pStyle w:val="Footnotesection"/>
        <w:rPr>
          <w:ins w:id="329" w:author="svcMRProcess" w:date="2018-09-03T14:04:00Z"/>
        </w:rPr>
      </w:pPr>
      <w:ins w:id="330" w:author="svcMRProcess" w:date="2018-09-03T14:04:00Z">
        <w:r>
          <w:tab/>
          <w:t>[Section 28 amended by No. 52 of 2011 s. 5.]</w:t>
        </w:r>
      </w:ins>
    </w:p>
    <w:p>
      <w:pPr>
        <w:pStyle w:val="Heading5"/>
      </w:pPr>
      <w:bookmarkStart w:id="331" w:name="_Hlt25746360"/>
      <w:bookmarkStart w:id="332" w:name="_Toc378839204"/>
      <w:bookmarkStart w:id="333" w:name="_Toc50262468"/>
      <w:bookmarkStart w:id="334" w:name="_Toc157918604"/>
      <w:bookmarkStart w:id="335" w:name="_Toc241050563"/>
      <w:bookmarkEnd w:id="331"/>
      <w:r>
        <w:rPr>
          <w:rStyle w:val="CharSectno"/>
        </w:rPr>
        <w:t>29</w:t>
      </w:r>
      <w:r>
        <w:t>.</w:t>
      </w:r>
      <w:r>
        <w:tab/>
        <w:t>Access to detention centres etc.</w:t>
      </w:r>
      <w:bookmarkEnd w:id="332"/>
      <w:bookmarkEnd w:id="333"/>
      <w:bookmarkEnd w:id="334"/>
      <w:bookmarkEnd w:id="335"/>
    </w:p>
    <w:p>
      <w:pPr>
        <w:pStyle w:val="Subsection"/>
      </w:pPr>
      <w:r>
        <w:tab/>
      </w:r>
      <w:bookmarkStart w:id="336" w:name="_Hlt25746217"/>
      <w:bookmarkEnd w:id="336"/>
      <w:r>
        <w:t>(1)</w:t>
      </w:r>
      <w:r>
        <w:tab/>
        <w:t>For the purpose of performing the Inspector’s functions under section 19(b), section </w:t>
      </w:r>
      <w:bookmarkStart w:id="337" w:name="_Hlt25746179"/>
      <w:r>
        <w:t>21</w:t>
      </w:r>
      <w:bookmarkEnd w:id="337"/>
      <w:r>
        <w:t xml:space="preserve"> in relation to a detention centre, or section 22(</w:t>
      </w:r>
      <w:ins w:id="338" w:author="svcMRProcess" w:date="2018-09-03T14:04:00Z">
        <w:r>
          <w:t>1)(b) or (2)(</w:t>
        </w:r>
      </w:ins>
      <w:r>
        <w:t xml:space="preserve">b),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detention centre or any part of a detention centre; </w:t>
      </w:r>
      <w:ins w:id="339" w:author="svcMRProcess" w:date="2018-09-03T14:04:00Z">
        <w:r>
          <w:t>and</w:t>
        </w:r>
      </w:ins>
    </w:p>
    <w:p>
      <w:pPr>
        <w:pStyle w:val="Indenta"/>
      </w:pPr>
      <w:r>
        <w:tab/>
        <w:t>(b)</w:t>
      </w:r>
      <w:r>
        <w:tab/>
        <w:t>a detainee in a detention centre;</w:t>
      </w:r>
      <w:ins w:id="340" w:author="svcMRProcess" w:date="2018-09-03T14:04:00Z">
        <w:r>
          <w:t xml:space="preserve"> and</w:t>
        </w:r>
      </w:ins>
    </w:p>
    <w:p>
      <w:pPr>
        <w:pStyle w:val="Indenta"/>
      </w:pPr>
      <w:r>
        <w:tab/>
        <w:t>(c)</w:t>
      </w:r>
      <w:r>
        <w:tab/>
        <w:t>a person whose work is concerned with a detention centre;</w:t>
      </w:r>
      <w:ins w:id="341" w:author="svcMRProcess" w:date="2018-09-03T14:04:00Z">
        <w:r>
          <w:t xml:space="preserve"> and</w:t>
        </w:r>
      </w:ins>
    </w:p>
    <w:p>
      <w:pPr>
        <w:pStyle w:val="Indenta"/>
      </w:pPr>
      <w:r>
        <w:tab/>
        <w:t>(d)</w:t>
      </w:r>
      <w:r>
        <w:tab/>
        <w:t>a vehicle used to transport detainees;</w:t>
      </w:r>
      <w:ins w:id="342" w:author="svcMRProcess" w:date="2018-09-03T14:04:00Z">
        <w:r>
          <w:t xml:space="preserve"> and</w:t>
        </w:r>
      </w:ins>
    </w:p>
    <w:p>
      <w:pPr>
        <w:pStyle w:val="Indenta"/>
      </w:pPr>
      <w:r>
        <w:tab/>
        <w:t>(e)</w:t>
      </w:r>
      <w:r>
        <w:tab/>
        <w:t>a detainee in such a vehicle;</w:t>
      </w:r>
      <w:ins w:id="343" w:author="svcMRProcess" w:date="2018-09-03T14:04:00Z">
        <w:r>
          <w:t xml:space="preserve"> and</w:t>
        </w:r>
      </w:ins>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w:t>
      </w:r>
      <w:ins w:id="344" w:author="svcMRProcess" w:date="2018-09-03T14:04:00Z">
        <w:r>
          <w:t xml:space="preserve"> or to a person who is, or has been, a detainee</w:t>
        </w:r>
      </w:ins>
      <w:r>
        <w:t>.</w:t>
      </w:r>
    </w:p>
    <w:p>
      <w:pPr>
        <w:pStyle w:val="Subsection"/>
      </w:pPr>
      <w:r>
        <w:tab/>
        <w:t>(2)</w:t>
      </w:r>
      <w:r>
        <w:tab/>
        <w:t xml:space="preserve">In subsection (1) — </w:t>
      </w:r>
    </w:p>
    <w:p>
      <w:pPr>
        <w:pStyle w:val="Defstart"/>
      </w:pPr>
      <w:r>
        <w:rPr>
          <w:b/>
        </w:rPr>
        <w:tab/>
      </w:r>
      <w:r>
        <w:rPr>
          <w:rStyle w:val="CharDefText"/>
        </w:rPr>
        <w:t>Department</w:t>
      </w:r>
      <w:r>
        <w:t xml:space="preserve"> has the meaning given to that term in the </w:t>
      </w:r>
      <w:r>
        <w:rPr>
          <w:i/>
        </w:rPr>
        <w:t>Young Offenders Act 1994</w:t>
      </w:r>
      <w:r>
        <w:t xml:space="preserve"> section 3.</w:t>
      </w:r>
    </w:p>
    <w:p>
      <w:pPr>
        <w:pStyle w:val="Footnotesection"/>
        <w:rPr>
          <w:ins w:id="345" w:author="svcMRProcess" w:date="2018-09-03T14:04:00Z"/>
        </w:rPr>
      </w:pPr>
      <w:ins w:id="346" w:author="svcMRProcess" w:date="2018-09-03T14:04:00Z">
        <w:r>
          <w:tab/>
          <w:t>[Section 29 amended by No. 52 of 2011 s. 6.]</w:t>
        </w:r>
      </w:ins>
    </w:p>
    <w:p>
      <w:pPr>
        <w:pStyle w:val="Heading5"/>
      </w:pPr>
      <w:bookmarkStart w:id="347" w:name="_Hlt25746363"/>
      <w:bookmarkStart w:id="348" w:name="_Toc378839205"/>
      <w:bookmarkStart w:id="349" w:name="_Toc50262469"/>
      <w:bookmarkStart w:id="350" w:name="_Toc157918605"/>
      <w:bookmarkStart w:id="351" w:name="_Toc241050564"/>
      <w:bookmarkEnd w:id="347"/>
      <w:r>
        <w:rPr>
          <w:rStyle w:val="CharSectno"/>
        </w:rPr>
        <w:t>30</w:t>
      </w:r>
      <w:r>
        <w:t>.</w:t>
      </w:r>
      <w:r>
        <w:tab/>
        <w:t>Access to court custody centres, lock</w:t>
      </w:r>
      <w:r>
        <w:noBreakHyphen/>
        <w:t>ups etc.</w:t>
      </w:r>
      <w:bookmarkEnd w:id="348"/>
      <w:bookmarkEnd w:id="349"/>
      <w:bookmarkEnd w:id="350"/>
      <w:bookmarkEnd w:id="351"/>
    </w:p>
    <w:p>
      <w:pPr>
        <w:pStyle w:val="Subsection"/>
      </w:pPr>
      <w:r>
        <w:tab/>
      </w:r>
      <w:bookmarkStart w:id="352" w:name="_Hlt25746339"/>
      <w:bookmarkEnd w:id="352"/>
      <w:r>
        <w:t>(1)</w:t>
      </w:r>
      <w:r>
        <w:tab/>
        <w:t>For the purpose of performing the Inspector’s functions under section 19(c) or (d), section </w:t>
      </w:r>
      <w:bookmarkStart w:id="353" w:name="_Hlt32729704"/>
      <w:r>
        <w:t>21</w:t>
      </w:r>
      <w:bookmarkEnd w:id="353"/>
      <w:r>
        <w:t xml:space="preserve"> in relation to a court custody centre or lock</w:t>
      </w:r>
      <w:r>
        <w:noBreakHyphen/>
        <w:t xml:space="preserve">up, or </w:t>
      </w:r>
      <w:bookmarkStart w:id="354" w:name="_Hlt32729696"/>
      <w:r>
        <w:t>section 22(</w:t>
      </w:r>
      <w:ins w:id="355" w:author="svcMRProcess" w:date="2018-09-03T14:04:00Z">
        <w:r>
          <w:t>1)(c) or (2)(</w:t>
        </w:r>
      </w:ins>
      <w:r>
        <w:t>c)</w:t>
      </w:r>
      <w:bookmarkEnd w:id="354"/>
      <w:r>
        <w:t xml:space="preserve">,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w:t>
      </w:r>
      <w:ins w:id="356" w:author="svcMRProcess" w:date="2018-09-03T14:04:00Z">
        <w:r>
          <w:t xml:space="preserve"> and</w:t>
        </w:r>
      </w:ins>
    </w:p>
    <w:p>
      <w:pPr>
        <w:pStyle w:val="Indenta"/>
      </w:pPr>
      <w:r>
        <w:tab/>
        <w:t>(b)</w:t>
      </w:r>
      <w:r>
        <w:tab/>
        <w:t>a person in custody in a court custody centre or lock</w:t>
      </w:r>
      <w:r>
        <w:noBreakHyphen/>
        <w:t>up;</w:t>
      </w:r>
      <w:ins w:id="357" w:author="svcMRProcess" w:date="2018-09-03T14:04:00Z">
        <w:r>
          <w:t xml:space="preserve"> and</w:t>
        </w:r>
      </w:ins>
    </w:p>
    <w:p>
      <w:pPr>
        <w:pStyle w:val="Indenta"/>
      </w:pPr>
      <w:r>
        <w:tab/>
        <w:t>(c)</w:t>
      </w:r>
      <w:r>
        <w:tab/>
        <w:t>a person whose work is concerned with a court custody centre or lock</w:t>
      </w:r>
      <w:r>
        <w:noBreakHyphen/>
        <w:t>up;</w:t>
      </w:r>
      <w:ins w:id="358" w:author="svcMRProcess" w:date="2018-09-03T14:04:00Z">
        <w:r>
          <w:t xml:space="preserve"> and</w:t>
        </w:r>
      </w:ins>
    </w:p>
    <w:p>
      <w:pPr>
        <w:pStyle w:val="Indenta"/>
      </w:pPr>
      <w:r>
        <w:tab/>
        <w:t>(d)</w:t>
      </w:r>
      <w:r>
        <w:tab/>
        <w:t xml:space="preserve">a vehicle used for moving persons for whom the CEO is responsible under the </w:t>
      </w:r>
      <w:r>
        <w:rPr>
          <w:i/>
        </w:rPr>
        <w:t>Court Security and Custodial Services Act 1999</w:t>
      </w:r>
      <w:r>
        <w:t xml:space="preserve"> section 16;</w:t>
      </w:r>
      <w:ins w:id="359" w:author="svcMRProcess" w:date="2018-09-03T14:04:00Z">
        <w:r>
          <w:t xml:space="preserve"> and</w:t>
        </w:r>
      </w:ins>
    </w:p>
    <w:p>
      <w:pPr>
        <w:pStyle w:val="Indenta"/>
      </w:pPr>
      <w:r>
        <w:tab/>
        <w:t>(e)</w:t>
      </w:r>
      <w:r>
        <w:tab/>
        <w:t>a person in custody in such a vehicle;</w:t>
      </w:r>
      <w:ins w:id="360" w:author="svcMRProcess" w:date="2018-09-03T14:04:00Z">
        <w:r>
          <w:t xml:space="preserve"> and</w:t>
        </w:r>
      </w:ins>
    </w:p>
    <w:p>
      <w:pPr>
        <w:pStyle w:val="Indenta"/>
      </w:pPr>
      <w:r>
        <w:tab/>
        <w:t>(f)</w:t>
      </w:r>
      <w:r>
        <w:tab/>
        <w:t>a person whose work is concerned with such a vehicle;</w:t>
      </w:r>
      <w:ins w:id="361" w:author="svcMRProcess" w:date="2018-09-03T14:04:00Z">
        <w:r>
          <w:t xml:space="preserve"> and</w:t>
        </w:r>
      </w:ins>
    </w:p>
    <w:p>
      <w:pPr>
        <w:pStyle w:val="Indenta"/>
      </w:pPr>
      <w:r>
        <w:tab/>
        <w:t>(g)</w:t>
      </w:r>
      <w:r>
        <w:tab/>
        <w:t>all documents in the possession of the Department in relation to a court custody centre or lock</w:t>
      </w:r>
      <w:r>
        <w:noBreakHyphen/>
        <w:t>up or a custodial service (CSCS Act</w:t>
      </w:r>
      <w:del w:id="362" w:author="svcMRProcess" w:date="2018-09-03T14:04:00Z">
        <w:r>
          <w:delText>); and</w:delText>
        </w:r>
      </w:del>
      <w:ins w:id="363" w:author="svcMRProcess" w:date="2018-09-03T14:04:00Z">
        <w:r>
          <w:t xml:space="preserve">) or to a person who is, or has been, a person in custody — </w:t>
        </w:r>
      </w:ins>
    </w:p>
    <w:p>
      <w:pPr>
        <w:pStyle w:val="Indenti"/>
        <w:rPr>
          <w:ins w:id="364" w:author="svcMRProcess" w:date="2018-09-03T14:04:00Z"/>
        </w:rPr>
      </w:pPr>
      <w:ins w:id="365" w:author="svcMRProcess" w:date="2018-09-03T14:04:00Z">
        <w:r>
          <w:tab/>
          <w:t>(i)</w:t>
        </w:r>
        <w:r>
          <w:tab/>
          <w:t>in a court custody centre or lock</w:t>
        </w:r>
        <w:r>
          <w:noBreakHyphen/>
          <w:t>up; or</w:t>
        </w:r>
      </w:ins>
    </w:p>
    <w:p>
      <w:pPr>
        <w:pStyle w:val="Indenti"/>
        <w:rPr>
          <w:ins w:id="366" w:author="svcMRProcess" w:date="2018-09-03T14:04:00Z"/>
        </w:rPr>
      </w:pPr>
      <w:ins w:id="367" w:author="svcMRProcess" w:date="2018-09-03T14:04:00Z">
        <w:r>
          <w:tab/>
          <w:t>(ii)</w:t>
        </w:r>
        <w:r>
          <w:tab/>
          <w:t>in a vehicle described in paragraph (d); or</w:t>
        </w:r>
      </w:ins>
    </w:p>
    <w:p>
      <w:pPr>
        <w:pStyle w:val="Indenti"/>
        <w:rPr>
          <w:ins w:id="368" w:author="svcMRProcess" w:date="2018-09-03T14:04:00Z"/>
        </w:rPr>
      </w:pPr>
      <w:ins w:id="369" w:author="svcMRProcess" w:date="2018-09-03T14:04:00Z">
        <w:r>
          <w:tab/>
          <w:t>(iii)</w:t>
        </w:r>
        <w:r>
          <w:tab/>
          <w:t>in relation to whom a custodial service (CSCS Act) is, or has been, provided;</w:t>
        </w:r>
      </w:ins>
    </w:p>
    <w:p>
      <w:pPr>
        <w:pStyle w:val="Indenta"/>
        <w:rPr>
          <w:ins w:id="370" w:author="svcMRProcess" w:date="2018-09-03T14:04:00Z"/>
        </w:rPr>
      </w:pPr>
      <w:ins w:id="371" w:author="svcMRProcess" w:date="2018-09-03T14:04:00Z">
        <w:r>
          <w:tab/>
        </w:r>
        <w:r>
          <w:tab/>
          <w:t>and</w:t>
        </w:r>
      </w:ins>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w:t>
      </w:r>
      <w:del w:id="372" w:author="svcMRProcess" w:date="2018-09-03T14:04:00Z">
        <w:r>
          <w:delText>.</w:delText>
        </w:r>
      </w:del>
      <w:ins w:id="373" w:author="svcMRProcess" w:date="2018-09-03T14:04:00Z">
        <w:r>
          <w:t>; or</w:t>
        </w:r>
      </w:ins>
    </w:p>
    <w:p>
      <w:pPr>
        <w:pStyle w:val="Indenti"/>
        <w:rPr>
          <w:ins w:id="374" w:author="svcMRProcess" w:date="2018-09-03T14:04:00Z"/>
        </w:rPr>
      </w:pPr>
      <w:ins w:id="375" w:author="svcMRProcess" w:date="2018-09-03T14:04:00Z">
        <w:r>
          <w:tab/>
          <w:t>(iii)</w:t>
        </w:r>
        <w:r>
          <w:tab/>
          <w:t xml:space="preserve">a person who is, or has been, a person in custody — </w:t>
        </w:r>
      </w:ins>
    </w:p>
    <w:p>
      <w:pPr>
        <w:pStyle w:val="IndentI0"/>
        <w:rPr>
          <w:ins w:id="376" w:author="svcMRProcess" w:date="2018-09-03T14:04:00Z"/>
        </w:rPr>
      </w:pPr>
      <w:ins w:id="377" w:author="svcMRProcess" w:date="2018-09-03T14:04:00Z">
        <w:r>
          <w:tab/>
          <w:t>(I)</w:t>
        </w:r>
        <w:r>
          <w:tab/>
          <w:t>in a court custody centre or lock</w:t>
        </w:r>
        <w:r>
          <w:noBreakHyphen/>
          <w:t>up that is a subject of a contract; or</w:t>
        </w:r>
      </w:ins>
    </w:p>
    <w:p>
      <w:pPr>
        <w:pStyle w:val="IndentI0"/>
        <w:rPr>
          <w:ins w:id="378" w:author="svcMRProcess" w:date="2018-09-03T14:04:00Z"/>
        </w:rPr>
      </w:pPr>
      <w:ins w:id="379" w:author="svcMRProcess" w:date="2018-09-03T14:04:00Z">
        <w:r>
          <w:tab/>
          <w:t>(II)</w:t>
        </w:r>
        <w:r>
          <w:tab/>
          <w:t>in a vehicle described in paragraph (d); or</w:t>
        </w:r>
      </w:ins>
    </w:p>
    <w:p>
      <w:pPr>
        <w:pStyle w:val="IndentI0"/>
        <w:rPr>
          <w:ins w:id="380" w:author="svcMRProcess" w:date="2018-09-03T14:04:00Z"/>
        </w:rPr>
      </w:pPr>
      <w:ins w:id="381" w:author="svcMRProcess" w:date="2018-09-03T14:04:00Z">
        <w:r>
          <w:tab/>
          <w:t>(III)</w:t>
        </w:r>
        <w:r>
          <w:tab/>
          <w:t>in relation to whom a custodial service (CSCS Act) that is a subject of a contract is, or has been, provided.</w:t>
        </w:r>
      </w:ins>
    </w:p>
    <w:p>
      <w:pPr>
        <w:pStyle w:val="Subsection"/>
      </w:pPr>
      <w:r>
        <w:tab/>
        <w:t>(2)</w:t>
      </w:r>
      <w:r>
        <w:tab/>
        <w:t xml:space="preserve">In subsection (1)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Department</w:t>
      </w:r>
      <w:r>
        <w:t xml:space="preserve"> and </w:t>
      </w:r>
      <w:r>
        <w:rPr>
          <w:rStyle w:val="CharDefText"/>
        </w:rPr>
        <w:t>subcontractor</w:t>
      </w:r>
      <w:r>
        <w:t xml:space="preserve"> each has the meaning given to that term in the </w:t>
      </w:r>
      <w:r>
        <w:rPr>
          <w:i/>
        </w:rPr>
        <w:t>Court Security and Custodial Services Act 1999</w:t>
      </w:r>
      <w:r>
        <w:t xml:space="preserve"> section 3.</w:t>
      </w:r>
    </w:p>
    <w:p>
      <w:pPr>
        <w:pStyle w:val="Footnotesection"/>
        <w:rPr>
          <w:ins w:id="382" w:author="svcMRProcess" w:date="2018-09-03T14:04:00Z"/>
        </w:rPr>
      </w:pPr>
      <w:ins w:id="383" w:author="svcMRProcess" w:date="2018-09-03T14:04:00Z">
        <w:r>
          <w:tab/>
          <w:t>[Section 30 amended by No. 52 of 2011 s. 7.]</w:t>
        </w:r>
      </w:ins>
    </w:p>
    <w:p>
      <w:pPr>
        <w:pStyle w:val="Heading5"/>
      </w:pPr>
      <w:bookmarkStart w:id="384" w:name="_Toc378839206"/>
      <w:bookmarkStart w:id="385" w:name="_Toc50262470"/>
      <w:bookmarkStart w:id="386" w:name="_Toc157918606"/>
      <w:bookmarkStart w:id="387" w:name="_Toc241050565"/>
      <w:r>
        <w:rPr>
          <w:rStyle w:val="CharSectno"/>
        </w:rPr>
        <w:t>31</w:t>
      </w:r>
      <w:r>
        <w:t>.</w:t>
      </w:r>
      <w:r>
        <w:tab/>
        <w:t>Matters relevant to access powers</w:t>
      </w:r>
      <w:bookmarkEnd w:id="384"/>
      <w:bookmarkEnd w:id="385"/>
      <w:bookmarkEnd w:id="386"/>
      <w:bookmarkEnd w:id="387"/>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w:t>
      </w:r>
      <w:bookmarkStart w:id="388" w:name="_Hlt25746362"/>
      <w:r>
        <w:t>30</w:t>
      </w:r>
      <w:bookmarkEnd w:id="388"/>
      <w:r>
        <w:t xml:space="preserve">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389" w:name="_Toc378839207"/>
      <w:bookmarkStart w:id="390" w:name="_Toc50262471"/>
      <w:bookmarkStart w:id="391" w:name="_Toc157918607"/>
      <w:bookmarkStart w:id="392" w:name="_Toc241050566"/>
      <w:r>
        <w:rPr>
          <w:rStyle w:val="CharSectno"/>
        </w:rPr>
        <w:t>32</w:t>
      </w:r>
      <w:r>
        <w:t>.</w:t>
      </w:r>
      <w:r>
        <w:tab/>
        <w:t>Offence to hinder etc. persons exercising access powers</w:t>
      </w:r>
      <w:bookmarkEnd w:id="389"/>
      <w:bookmarkEnd w:id="390"/>
      <w:bookmarkEnd w:id="391"/>
      <w:bookmarkEnd w:id="392"/>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5"/>
        <w:rPr>
          <w:ins w:id="393" w:author="svcMRProcess" w:date="2018-09-03T14:04:00Z"/>
        </w:rPr>
      </w:pPr>
      <w:bookmarkStart w:id="394" w:name="_Toc378839208"/>
      <w:ins w:id="395" w:author="svcMRProcess" w:date="2018-09-03T14:04:00Z">
        <w:r>
          <w:rPr>
            <w:rStyle w:val="CharSectno"/>
          </w:rPr>
          <w:t>33A</w:t>
        </w:r>
        <w:r>
          <w:t>.</w:t>
        </w:r>
        <w:r>
          <w:tab/>
          <w:t>Inspector may give chief executive officer or CEO show cause notice</w:t>
        </w:r>
        <w:bookmarkEnd w:id="394"/>
      </w:ins>
    </w:p>
    <w:p>
      <w:pPr>
        <w:pStyle w:val="Subsection"/>
        <w:rPr>
          <w:ins w:id="396" w:author="svcMRProcess" w:date="2018-09-03T14:04:00Z"/>
        </w:rPr>
      </w:pPr>
      <w:ins w:id="397" w:author="svcMRProcess" w:date="2018-09-03T14:04:00Z">
        <w:r>
          <w:tab/>
          <w:t>(1)</w:t>
        </w:r>
        <w:r>
          <w:tab/>
          <w:t xml:space="preserve">In this section — </w:t>
        </w:r>
      </w:ins>
    </w:p>
    <w:p>
      <w:pPr>
        <w:pStyle w:val="Defstart"/>
        <w:rPr>
          <w:ins w:id="398" w:author="svcMRProcess" w:date="2018-09-03T14:04:00Z"/>
        </w:rPr>
      </w:pPr>
      <w:ins w:id="399" w:author="svcMRProcess" w:date="2018-09-03T14:04:00Z">
        <w:r>
          <w:tab/>
        </w:r>
        <w:r>
          <w:rPr>
            <w:rStyle w:val="CharDefText"/>
          </w:rPr>
          <w:t>responsible officer</w:t>
        </w:r>
        <w:r>
          <w:t xml:space="preserve"> means — </w:t>
        </w:r>
      </w:ins>
    </w:p>
    <w:p>
      <w:pPr>
        <w:pStyle w:val="Defpara"/>
        <w:rPr>
          <w:ins w:id="400" w:author="svcMRProcess" w:date="2018-09-03T14:04:00Z"/>
        </w:rPr>
      </w:pPr>
      <w:ins w:id="401" w:author="svcMRProcess" w:date="2018-09-03T14:04:00Z">
        <w:r>
          <w:tab/>
          <w:t>(a)</w:t>
        </w:r>
        <w:r>
          <w:tab/>
          <w:t xml:space="preserve">in relation to a prisoner — the chief executive officer as defined in the </w:t>
        </w:r>
        <w:r>
          <w:rPr>
            <w:i/>
          </w:rPr>
          <w:t>Prisons Act 1981</w:t>
        </w:r>
        <w:r>
          <w:t xml:space="preserve"> section 3(1); or</w:t>
        </w:r>
      </w:ins>
    </w:p>
    <w:p>
      <w:pPr>
        <w:pStyle w:val="Defpara"/>
        <w:rPr>
          <w:ins w:id="402" w:author="svcMRProcess" w:date="2018-09-03T14:04:00Z"/>
        </w:rPr>
      </w:pPr>
      <w:ins w:id="403" w:author="svcMRProcess" w:date="2018-09-03T14:04:00Z">
        <w:r>
          <w:tab/>
          <w:t>(b)</w:t>
        </w:r>
        <w:r>
          <w:tab/>
          <w:t xml:space="preserve">in relation to a detainee — the chief executive officer as defined in the </w:t>
        </w:r>
        <w:r>
          <w:rPr>
            <w:i/>
          </w:rPr>
          <w:t>Young Offenders Act 1994</w:t>
        </w:r>
        <w:r>
          <w:t xml:space="preserve"> section 3; or</w:t>
        </w:r>
      </w:ins>
    </w:p>
    <w:p>
      <w:pPr>
        <w:pStyle w:val="Defpara"/>
        <w:rPr>
          <w:ins w:id="404" w:author="svcMRProcess" w:date="2018-09-03T14:04:00Z"/>
        </w:rPr>
      </w:pPr>
      <w:ins w:id="405" w:author="svcMRProcess" w:date="2018-09-03T14:04:00Z">
        <w:r>
          <w:tab/>
          <w:t>(c)</w:t>
        </w:r>
        <w:r>
          <w:tab/>
          <w:t>in relation to a person in custody — the CEO.</w:t>
        </w:r>
      </w:ins>
    </w:p>
    <w:p>
      <w:pPr>
        <w:pStyle w:val="Subsection"/>
        <w:rPr>
          <w:ins w:id="406" w:author="svcMRProcess" w:date="2018-09-03T14:04:00Z"/>
        </w:rPr>
      </w:pPr>
      <w:ins w:id="407" w:author="svcMRProcess" w:date="2018-09-03T14:04:00Z">
        <w:r>
          <w:tab/>
          <w:t>(2)</w:t>
        </w:r>
        <w:r>
          <w:tab/>
          <w:t xml:space="preserve">Subsection (3) applies if the Inspector suspects on reasonable grounds — </w:t>
        </w:r>
      </w:ins>
    </w:p>
    <w:p>
      <w:pPr>
        <w:pStyle w:val="Indenta"/>
        <w:rPr>
          <w:ins w:id="408" w:author="svcMRProcess" w:date="2018-09-03T14:04:00Z"/>
        </w:rPr>
      </w:pPr>
      <w:ins w:id="409" w:author="svcMRProcess" w:date="2018-09-03T14:04:00Z">
        <w:r>
          <w:tab/>
          <w:t>(a)</w:t>
        </w:r>
        <w:r>
          <w:tab/>
          <w:t>that there is, or has been, a serious risk to the security, control, safety, care or welfare of a prisoner, detainee or person in custody; or</w:t>
        </w:r>
      </w:ins>
    </w:p>
    <w:p>
      <w:pPr>
        <w:pStyle w:val="Indenta"/>
        <w:rPr>
          <w:ins w:id="410" w:author="svcMRProcess" w:date="2018-09-03T14:04:00Z"/>
        </w:rPr>
      </w:pPr>
      <w:ins w:id="411" w:author="svcMRProcess" w:date="2018-09-03T14:04:00Z">
        <w:r>
          <w:tab/>
          <w:t>(b)</w:t>
        </w:r>
        <w:r>
          <w:tab/>
          <w:t>that a prisoner, detainee or person in custody is being, or has been, subjected to cruel, inhuman or degrading treatment.</w:t>
        </w:r>
      </w:ins>
    </w:p>
    <w:p>
      <w:pPr>
        <w:pStyle w:val="Subsection"/>
        <w:rPr>
          <w:ins w:id="412" w:author="svcMRProcess" w:date="2018-09-03T14:04:00Z"/>
        </w:rPr>
      </w:pPr>
      <w:ins w:id="413" w:author="svcMRProcess" w:date="2018-09-03T14:04:00Z">
        <w:r>
          <w:tab/>
          <w:t>(3)</w:t>
        </w:r>
        <w:r>
          <w:tab/>
          <w:t xml:space="preserve">The Inspector may give the responsible officer a written notice (a </w:t>
        </w:r>
        <w:r>
          <w:rPr>
            <w:rStyle w:val="CharDefText"/>
          </w:rPr>
          <w:t>show cause notice</w:t>
        </w:r>
        <w:r>
          <w:t xml:space="preserve">) — </w:t>
        </w:r>
      </w:ins>
    </w:p>
    <w:p>
      <w:pPr>
        <w:pStyle w:val="Indenta"/>
        <w:rPr>
          <w:ins w:id="414" w:author="svcMRProcess" w:date="2018-09-03T14:04:00Z"/>
        </w:rPr>
      </w:pPr>
      <w:ins w:id="415" w:author="svcMRProcess" w:date="2018-09-03T14:04:00Z">
        <w:r>
          <w:tab/>
          <w:t>(a)</w:t>
        </w:r>
        <w:r>
          <w:tab/>
          <w:t>specifying the matters in relation to which subsection (2)(a) or (b) applies; and</w:t>
        </w:r>
      </w:ins>
    </w:p>
    <w:p>
      <w:pPr>
        <w:pStyle w:val="Indenta"/>
        <w:rPr>
          <w:ins w:id="416" w:author="svcMRProcess" w:date="2018-09-03T14:04:00Z"/>
        </w:rPr>
      </w:pPr>
      <w:ins w:id="417" w:author="svcMRProcess" w:date="2018-09-03T14:04:00Z">
        <w:r>
          <w:tab/>
          <w:t>(b)</w:t>
        </w:r>
        <w:r>
          <w:tab/>
          <w:t>requiring the responsible officer to show cause why the Inspector should not refer those matters to the Minister.</w:t>
        </w:r>
      </w:ins>
    </w:p>
    <w:p>
      <w:pPr>
        <w:pStyle w:val="Subsection"/>
        <w:rPr>
          <w:ins w:id="418" w:author="svcMRProcess" w:date="2018-09-03T14:04:00Z"/>
        </w:rPr>
      </w:pPr>
      <w:ins w:id="419" w:author="svcMRProcess" w:date="2018-09-03T14:04:00Z">
        <w:r>
          <w:tab/>
          <w:t>(4)</w:t>
        </w:r>
        <w:r>
          <w:tab/>
          <w:t>The show cause notice must specify a period of at least 3 days within which the notice must be complied with.</w:t>
        </w:r>
      </w:ins>
    </w:p>
    <w:p>
      <w:pPr>
        <w:pStyle w:val="Subsection"/>
        <w:rPr>
          <w:ins w:id="420" w:author="svcMRProcess" w:date="2018-09-03T14:04:00Z"/>
        </w:rPr>
      </w:pPr>
      <w:ins w:id="421" w:author="svcMRProcess" w:date="2018-09-03T14:04:00Z">
        <w:r>
          <w:tab/>
          <w:t>(5)</w:t>
        </w:r>
        <w:r>
          <w:tab/>
          <w:t>The responsible officer may, within the period specified in the show cause notice, make submissions, either orally or in writing, or provide evidence to the Inspector with respect to the matters specified in the notice.</w:t>
        </w:r>
      </w:ins>
    </w:p>
    <w:p>
      <w:pPr>
        <w:pStyle w:val="Subsection"/>
        <w:rPr>
          <w:ins w:id="422" w:author="svcMRProcess" w:date="2018-09-03T14:04:00Z"/>
        </w:rPr>
      </w:pPr>
      <w:ins w:id="423" w:author="svcMRProcess" w:date="2018-09-03T14:04:00Z">
        <w:r>
          <w:tab/>
          <w:t>(6)</w:t>
        </w:r>
        <w:r>
          <w:tab/>
          <w:t xml:space="preserve">Having considered any submissions made or evidence provided under subsection (5), the Inspector — </w:t>
        </w:r>
      </w:ins>
    </w:p>
    <w:p>
      <w:pPr>
        <w:pStyle w:val="Indenta"/>
        <w:rPr>
          <w:ins w:id="424" w:author="svcMRProcess" w:date="2018-09-03T14:04:00Z"/>
        </w:rPr>
      </w:pPr>
      <w:ins w:id="425" w:author="svcMRProcess" w:date="2018-09-03T14:04:00Z">
        <w:r>
          <w:tab/>
          <w:t>(a)</w:t>
        </w:r>
        <w:r>
          <w:tab/>
          <w:t>may refer any matter specified in the show cause notice to the Minister; or</w:t>
        </w:r>
      </w:ins>
    </w:p>
    <w:p>
      <w:pPr>
        <w:pStyle w:val="Indenta"/>
        <w:rPr>
          <w:ins w:id="426" w:author="svcMRProcess" w:date="2018-09-03T14:04:00Z"/>
        </w:rPr>
      </w:pPr>
      <w:ins w:id="427" w:author="svcMRProcess" w:date="2018-09-03T14:04:00Z">
        <w:r>
          <w:tab/>
          <w:t>(b)</w:t>
        </w:r>
        <w:r>
          <w:tab/>
          <w:t>may decide to take no further action with respect to the matter.</w:t>
        </w:r>
      </w:ins>
    </w:p>
    <w:p>
      <w:pPr>
        <w:pStyle w:val="Subsection"/>
        <w:rPr>
          <w:ins w:id="428" w:author="svcMRProcess" w:date="2018-09-03T14:04:00Z"/>
        </w:rPr>
      </w:pPr>
      <w:ins w:id="429" w:author="svcMRProcess" w:date="2018-09-03T14:04:00Z">
        <w:r>
          <w:tab/>
          <w:t>(7)</w:t>
        </w:r>
        <w:r>
          <w:tab/>
          <w:t>If the Inspector refers a matter to the Minister under subsection (6)(a), the Inspector must give advice or make recommendations to the Minister as the Inspector considers appropriate in relation to the matter.</w:t>
        </w:r>
      </w:ins>
    </w:p>
    <w:p>
      <w:pPr>
        <w:pStyle w:val="Subsection"/>
        <w:keepNext/>
        <w:rPr>
          <w:ins w:id="430" w:author="svcMRProcess" w:date="2018-09-03T14:04:00Z"/>
        </w:rPr>
      </w:pPr>
      <w:ins w:id="431" w:author="svcMRProcess" w:date="2018-09-03T14:04:00Z">
        <w:r>
          <w:tab/>
          <w:t>(8)</w:t>
        </w:r>
        <w:r>
          <w:tab/>
          <w:t>The Inspector may, by written notice given to the responsible officer, withdraw a show cause notice.</w:t>
        </w:r>
      </w:ins>
    </w:p>
    <w:p>
      <w:pPr>
        <w:pStyle w:val="Footnotesection"/>
        <w:rPr>
          <w:ins w:id="432" w:author="svcMRProcess" w:date="2018-09-03T14:04:00Z"/>
        </w:rPr>
      </w:pPr>
      <w:ins w:id="433" w:author="svcMRProcess" w:date="2018-09-03T14:04:00Z">
        <w:r>
          <w:tab/>
          <w:t>[Section 33A inserted by No. 52 of 2011 s. 8.]</w:t>
        </w:r>
      </w:ins>
    </w:p>
    <w:p>
      <w:pPr>
        <w:pStyle w:val="Heading2"/>
      </w:pPr>
      <w:bookmarkStart w:id="434" w:name="_Toc378839209"/>
      <w:bookmarkStart w:id="435" w:name="_Toc107884396"/>
      <w:bookmarkStart w:id="436" w:name="_Toc107910259"/>
      <w:bookmarkStart w:id="437" w:name="_Toc123555498"/>
      <w:bookmarkStart w:id="438" w:name="_Toc123639306"/>
      <w:bookmarkStart w:id="439" w:name="_Toc123639399"/>
      <w:bookmarkStart w:id="440" w:name="_Toc157918608"/>
      <w:bookmarkStart w:id="441" w:name="_Toc159230929"/>
      <w:bookmarkStart w:id="442" w:name="_Toc159231031"/>
      <w:bookmarkStart w:id="443" w:name="_Toc162676843"/>
      <w:bookmarkStart w:id="444" w:name="_Toc163964578"/>
      <w:bookmarkStart w:id="445" w:name="_Toc164483675"/>
      <w:bookmarkStart w:id="446" w:name="_Toc164569852"/>
      <w:bookmarkStart w:id="447" w:name="_Toc166897051"/>
      <w:bookmarkStart w:id="448" w:name="_Toc231029010"/>
      <w:bookmarkStart w:id="449" w:name="_Toc241050567"/>
      <w:r>
        <w:rPr>
          <w:rStyle w:val="CharPartNo"/>
        </w:rPr>
        <w:t>Part 5</w:t>
      </w:r>
      <w:r>
        <w:rPr>
          <w:rStyle w:val="CharDivNo"/>
        </w:rPr>
        <w:t> </w:t>
      </w:r>
      <w:r>
        <w:t>—</w:t>
      </w:r>
      <w:r>
        <w:rPr>
          <w:rStyle w:val="CharDivText"/>
        </w:rPr>
        <w:t> </w:t>
      </w:r>
      <w:r>
        <w:rPr>
          <w:rStyle w:val="CharPartText"/>
        </w:rPr>
        <w:t>Reporting</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Hlt25746818"/>
      <w:bookmarkStart w:id="451" w:name="_Toc378839210"/>
      <w:bookmarkStart w:id="452" w:name="_Toc50262472"/>
      <w:bookmarkStart w:id="453" w:name="_Toc157918609"/>
      <w:bookmarkStart w:id="454" w:name="_Toc241050568"/>
      <w:bookmarkEnd w:id="450"/>
      <w:r>
        <w:rPr>
          <w:rStyle w:val="CharSectno"/>
        </w:rPr>
        <w:t>33</w:t>
      </w:r>
      <w:r>
        <w:t>.</w:t>
      </w:r>
      <w:r>
        <w:tab/>
        <w:t>Annual reporting</w:t>
      </w:r>
      <w:bookmarkEnd w:id="451"/>
      <w:bookmarkEnd w:id="452"/>
      <w:bookmarkEnd w:id="453"/>
      <w:bookmarkEnd w:id="454"/>
    </w:p>
    <w:p>
      <w:pPr>
        <w:pStyle w:val="Subsection"/>
      </w:pPr>
      <w:r>
        <w:tab/>
      </w:r>
      <w:bookmarkStart w:id="455" w:name="_Hlt25746799"/>
      <w:bookmarkEnd w:id="455"/>
      <w:r>
        <w:t>(1)</w:t>
      </w:r>
      <w:r>
        <w:tab/>
        <w:t>The Inspector, as soon as is practicable in each year but not later than 30 September, is to deliver a copy of the report referred to in subsection (2) to each of —</w:t>
      </w:r>
    </w:p>
    <w:p>
      <w:pPr>
        <w:pStyle w:val="Indenta"/>
      </w:pPr>
      <w:r>
        <w:tab/>
      </w:r>
      <w:bookmarkStart w:id="456" w:name="_Hlt25746915"/>
      <w:bookmarkEnd w:id="456"/>
      <w:r>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iCs/>
        </w:rPr>
        <w:t>Financial Management Act 2006</w:t>
      </w:r>
      <w:r>
        <w:t xml:space="preserve"> and the </w:t>
      </w:r>
      <w:r>
        <w:rPr>
          <w:i/>
          <w:iCs/>
        </w:rPr>
        <w:t>Auditor General Act 2006</w:t>
      </w:r>
      <w:r>
        <w:t xml:space="preserve"> apply at the particular time to the office of the Inspector — </w:t>
      </w:r>
    </w:p>
    <w:p>
      <w:pPr>
        <w:pStyle w:val="Indenti"/>
      </w:pPr>
      <w:r>
        <w:tab/>
      </w:r>
      <w:bookmarkStart w:id="457" w:name="_Hlt34815653"/>
      <w:bookmarkEnd w:id="457"/>
      <w:r>
        <w:t>(i)</w:t>
      </w:r>
      <w:r>
        <w:tab/>
        <w:t xml:space="preserve">the annual report required under Part 5 Division 2 of the </w:t>
      </w:r>
      <w:r>
        <w:rPr>
          <w:i/>
          <w:iCs/>
        </w:rPr>
        <w:t>Financial Management Act 2006</w:t>
      </w:r>
      <w:r>
        <w:t xml:space="preserve"> as that Division applies in respect of the office under section </w:t>
      </w:r>
      <w:bookmarkStart w:id="458" w:name="_Hlt37053551"/>
      <w:r>
        <w:t>38</w:t>
      </w:r>
      <w:bookmarkEnd w:id="458"/>
      <w:r>
        <w:t xml:space="preserve"> of this Act; and</w:t>
      </w:r>
    </w:p>
    <w:p>
      <w:pPr>
        <w:pStyle w:val="Indenti"/>
      </w:pPr>
      <w:r>
        <w:tab/>
        <w:t>(ii)</w:t>
      </w:r>
      <w:r>
        <w:tab/>
        <w:t xml:space="preserve">the opinion prepared and signed by the Auditor General under the </w:t>
      </w:r>
      <w:r>
        <w:rPr>
          <w:i/>
          <w:iCs/>
        </w:rPr>
        <w:t>Auditor General Act 2006</w:t>
      </w:r>
      <w:r>
        <w:t xml:space="preserve"> section 15 (if applicable) on the financial statements and other information submitted for that period under the </w:t>
      </w:r>
      <w:r>
        <w:rPr>
          <w:i/>
          <w:iCs/>
        </w:rPr>
        <w:t>Financial Management Act 2006</w:t>
      </w:r>
      <w:r>
        <w:t xml:space="preserve"> section 63 as that section applies in respect of the office under section 38 of this Act;</w:t>
      </w:r>
      <w:ins w:id="459" w:author="svcMRProcess" w:date="2018-09-03T14:04:00Z">
        <w:r>
          <w:t xml:space="preserve"> </w:t>
        </w:r>
      </w:ins>
    </w:p>
    <w:p>
      <w:pPr>
        <w:pStyle w:val="Indenta"/>
        <w:rPr>
          <w:ins w:id="460" w:author="svcMRProcess" w:date="2018-09-03T14:04:00Z"/>
        </w:rPr>
      </w:pPr>
      <w:ins w:id="461" w:author="svcMRProcess" w:date="2018-09-03T14:04:00Z">
        <w:r>
          <w:tab/>
        </w:r>
        <w:r>
          <w:tab/>
          <w:t>and</w:t>
        </w:r>
      </w:ins>
    </w:p>
    <w:p>
      <w:pPr>
        <w:pStyle w:val="Indenta"/>
      </w:pPr>
      <w:r>
        <w:tab/>
        <w:t>(b)</w:t>
      </w:r>
      <w:r>
        <w:tab/>
        <w:t>the text of the directions given under section </w:t>
      </w:r>
      <w:bookmarkStart w:id="462" w:name="_Hlt25035388"/>
      <w:r>
        <w:t>17</w:t>
      </w:r>
      <w:bookmarkEnd w:id="462"/>
      <w:r>
        <w:t xml:space="preserve">(2) and (3) in that period; </w:t>
      </w:r>
      <w:ins w:id="463" w:author="svcMRProcess" w:date="2018-09-03T14:04:00Z">
        <w:r>
          <w:t>and</w:t>
        </w:r>
      </w:ins>
    </w:p>
    <w:p>
      <w:pPr>
        <w:pStyle w:val="Indenta"/>
      </w:pPr>
      <w:r>
        <w:tab/>
        <w:t>(c)</w:t>
      </w:r>
      <w:r>
        <w:tab/>
        <w:t>the text of the reasons prepared under section 17(6) or 18(4);</w:t>
      </w:r>
      <w:ins w:id="464" w:author="svcMRProcess" w:date="2018-09-03T14:04:00Z">
        <w:r>
          <w:t xml:space="preserve"> and</w:t>
        </w:r>
      </w:ins>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w:t>
      </w:r>
      <w:del w:id="465" w:author="svcMRProcess" w:date="2018-09-03T14:04:00Z">
        <w:r>
          <w:delText>.</w:delText>
        </w:r>
      </w:del>
      <w:ins w:id="466" w:author="svcMRProcess" w:date="2018-09-03T14:04:00Z">
        <w:r>
          <w:t>; and</w:t>
        </w:r>
      </w:ins>
    </w:p>
    <w:p>
      <w:pPr>
        <w:pStyle w:val="Indenta"/>
        <w:rPr>
          <w:ins w:id="467" w:author="svcMRProcess" w:date="2018-09-03T14:04:00Z"/>
        </w:rPr>
      </w:pPr>
      <w:ins w:id="468" w:author="svcMRProcess" w:date="2018-09-03T14:04:00Z">
        <w:r>
          <w:tab/>
          <w:t>(f)</w:t>
        </w:r>
        <w:r>
          <w:tab/>
          <w:t>if the Inspector considers it appropriate to include those details in the report — details of any show cause notice given under section 33A(3) in the period of 12 months ending on the preceding 30 June.</w:t>
        </w:r>
      </w:ins>
    </w:p>
    <w:p>
      <w:pPr>
        <w:pStyle w:val="Subsection"/>
        <w:rPr>
          <w:ins w:id="469" w:author="svcMRProcess" w:date="2018-09-03T14:04:00Z"/>
        </w:rPr>
      </w:pPr>
      <w:ins w:id="470" w:author="svcMRProcess" w:date="2018-09-03T14:04:00Z">
        <w:r>
          <w:tab/>
          <w:t>(3A)</w:t>
        </w:r>
        <w:r>
          <w:tab/>
          <w:t>If, under subsection (2)(f), the Inspector includes in the report details of a show cause notice, the Inspector must also include details of any submissions made or evidence provided to the Inspector under section 33A(5) with respect to the matters specified in the notice.</w:t>
        </w:r>
      </w:ins>
    </w:p>
    <w:p>
      <w:pPr>
        <w:pStyle w:val="Subsection"/>
        <w:rPr>
          <w:ins w:id="471" w:author="svcMRProcess" w:date="2018-09-03T14:04:00Z"/>
        </w:rPr>
      </w:pPr>
      <w:ins w:id="472" w:author="svcMRProcess" w:date="2018-09-03T14:04:00Z">
        <w:r>
          <w:tab/>
          <w:t>(3B)</w:t>
        </w:r>
        <w:r>
          <w:tab/>
          <w:t>If the Inspector considers it appropriate to do so because of the extent of the submissions made or evidence provided to the Inspector under section 33A(5), the Inspector may comply with subsection (3A) by including in the report a summary of those submissions or that evidence.</w:t>
        </w:r>
      </w:ins>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 No. 77 of 2006 s. </w:t>
      </w:r>
      <w:del w:id="473" w:author="svcMRProcess" w:date="2018-09-03T14:04:00Z">
        <w:r>
          <w:delText>17</w:delText>
        </w:r>
      </w:del>
      <w:ins w:id="474" w:author="svcMRProcess" w:date="2018-09-03T14:04:00Z">
        <w:r>
          <w:t>17; No. 52 of 2011 s. 9</w:t>
        </w:r>
      </w:ins>
      <w:r>
        <w:t>.]</w:t>
      </w:r>
    </w:p>
    <w:p>
      <w:pPr>
        <w:pStyle w:val="Heading5"/>
      </w:pPr>
      <w:bookmarkStart w:id="475" w:name="_Hlt37056372"/>
      <w:bookmarkStart w:id="476" w:name="_Toc378839211"/>
      <w:bookmarkStart w:id="477" w:name="_Toc50262473"/>
      <w:bookmarkStart w:id="478" w:name="_Toc157918610"/>
      <w:bookmarkStart w:id="479" w:name="_Toc241050569"/>
      <w:bookmarkEnd w:id="475"/>
      <w:r>
        <w:rPr>
          <w:rStyle w:val="CharSectno"/>
        </w:rPr>
        <w:t>34</w:t>
      </w:r>
      <w:r>
        <w:t>.</w:t>
      </w:r>
      <w:r>
        <w:tab/>
        <w:t>Inspection reports and reports of occasional inspections and reviews</w:t>
      </w:r>
      <w:bookmarkEnd w:id="476"/>
      <w:bookmarkEnd w:id="477"/>
      <w:bookmarkEnd w:id="478"/>
      <w:bookmarkEnd w:id="479"/>
    </w:p>
    <w:p>
      <w:pPr>
        <w:pStyle w:val="Subsection"/>
      </w:pPr>
      <w:r>
        <w:tab/>
      </w:r>
      <w:bookmarkStart w:id="480" w:name="_Hlt37054973"/>
      <w:bookmarkEnd w:id="480"/>
      <w:r>
        <w:t>(1)</w:t>
      </w:r>
      <w:r>
        <w:tab/>
        <w:t>As soon as is practicable after the completion of an inspection report, but not before the expiry of a reasonable period for submissions to be made under section </w:t>
      </w:r>
      <w:bookmarkStart w:id="481" w:name="_Hlt37054820"/>
      <w:r>
        <w:t>37</w:t>
      </w:r>
      <w:bookmarkEnd w:id="481"/>
      <w:r>
        <w:t xml:space="preserve">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w:t>
      </w:r>
      <w:bookmarkStart w:id="482" w:name="_Hlt25050458"/>
      <w:r>
        <w:t>21</w:t>
      </w:r>
      <w:bookmarkEnd w:id="482"/>
      <w:r>
        <w:t xml:space="preserve"> or a review under section </w:t>
      </w:r>
      <w:bookmarkStart w:id="483" w:name="_Hlt37054869"/>
      <w:r>
        <w:t>22</w:t>
      </w:r>
      <w:bookmarkEnd w:id="483"/>
      <w:r>
        <w:t>; and</w:t>
      </w:r>
    </w:p>
    <w:p>
      <w:pPr>
        <w:pStyle w:val="Indenta"/>
      </w:pPr>
      <w:r>
        <w:tab/>
        <w:t>(b)</w:t>
      </w:r>
      <w:r>
        <w:tab/>
        <w:t xml:space="preserve">that, in the Inspector’s opinion, should be laid before the Houses of Parliament. </w:t>
      </w:r>
      <w:bookmarkStart w:id="484" w:name="_Hlt25123384"/>
      <w:bookmarkEnd w:id="484"/>
    </w:p>
    <w:p>
      <w:pPr>
        <w:pStyle w:val="Heading5"/>
      </w:pPr>
      <w:bookmarkStart w:id="485" w:name="_Hlt25746372"/>
      <w:bookmarkStart w:id="486" w:name="_Toc378839212"/>
      <w:bookmarkStart w:id="487" w:name="_Toc50262474"/>
      <w:bookmarkStart w:id="488" w:name="_Toc157918611"/>
      <w:bookmarkStart w:id="489" w:name="_Toc241050570"/>
      <w:bookmarkEnd w:id="485"/>
      <w:r>
        <w:rPr>
          <w:rStyle w:val="CharSectno"/>
        </w:rPr>
        <w:t>35</w:t>
      </w:r>
      <w:r>
        <w:t>.</w:t>
      </w:r>
      <w:r>
        <w:tab/>
        <w:t>Laying before Parliament annual reports, inspection reports and reports of occasional inspections and reviews</w:t>
      </w:r>
      <w:bookmarkEnd w:id="486"/>
      <w:bookmarkEnd w:id="487"/>
      <w:bookmarkEnd w:id="488"/>
      <w:bookmarkEnd w:id="489"/>
    </w:p>
    <w:p>
      <w:pPr>
        <w:pStyle w:val="Subsection"/>
        <w:spacing w:before="120"/>
      </w:pPr>
      <w:r>
        <w:tab/>
      </w:r>
      <w:bookmarkStart w:id="490" w:name="_Hlt25747082"/>
      <w:bookmarkEnd w:id="490"/>
      <w:r>
        <w:t>(1)</w:t>
      </w:r>
      <w:r>
        <w:tab/>
        <w:t xml:space="preserve">The Speaker and the President are to lay each document delivered under section 33 or 34 before their respective Houses of Parliament — </w:t>
      </w:r>
    </w:p>
    <w:p>
      <w:pPr>
        <w:pStyle w:val="Indenta"/>
        <w:spacing w:before="60"/>
      </w:pPr>
      <w:r>
        <w:tab/>
        <w:t>(a)</w:t>
      </w:r>
      <w:r>
        <w:tab/>
        <w:t>not before 30 days after the document is delivered; and</w:t>
      </w:r>
    </w:p>
    <w:p>
      <w:pPr>
        <w:pStyle w:val="Indenta"/>
        <w:spacing w:before="60"/>
      </w:pPr>
      <w:r>
        <w:tab/>
        <w:t>(b)</w:t>
      </w:r>
      <w:r>
        <w:tab/>
        <w:t>as soon as practicable after the expiration of that 30 day period.</w:t>
      </w:r>
    </w:p>
    <w:p>
      <w:pPr>
        <w:pStyle w:val="Subsection"/>
        <w:spacing w:before="120"/>
      </w:pPr>
      <w:r>
        <w:tab/>
        <w:t>(2)</w:t>
      </w:r>
      <w:r>
        <w:tab/>
        <w:t xml:space="preserve">If, in relation to a document required by subsection (1) to be laid before a House of Parliament — </w:t>
      </w:r>
    </w:p>
    <w:p>
      <w:pPr>
        <w:pStyle w:val="Indenta"/>
        <w:spacing w:before="60"/>
      </w:pPr>
      <w:r>
        <w:tab/>
        <w:t>(a)</w:t>
      </w:r>
      <w:r>
        <w:tab/>
        <w:t xml:space="preserve">a House is not sitting on the day when the 30 day period referred to in subsection (1) expires in relation to the document; </w:t>
      </w:r>
    </w:p>
    <w:p>
      <w:pPr>
        <w:pStyle w:val="Indenta"/>
        <w:spacing w:before="60"/>
      </w:pPr>
      <w:r>
        <w:tab/>
        <w:t>(b)</w:t>
      </w:r>
      <w:r>
        <w:tab/>
        <w:t>the document has not been laid before that House; and</w:t>
      </w:r>
    </w:p>
    <w:p>
      <w:pPr>
        <w:pStyle w:val="Indenta"/>
        <w:spacing w:before="60"/>
      </w:pPr>
      <w:r>
        <w:tab/>
        <w:t>(c)</w:t>
      </w:r>
      <w:r>
        <w:tab/>
        <w:t>the Inspector is of the opinion that that House will not sit during a period after that day that is reasonable having regard to the contents of the document,</w:t>
      </w:r>
    </w:p>
    <w:p>
      <w:pPr>
        <w:pStyle w:val="Subsection"/>
        <w:spacing w:before="120"/>
      </w:pPr>
      <w:r>
        <w:tab/>
      </w:r>
      <w:r>
        <w:tab/>
        <w:t>the Inspector is to transmit a copy of the document to the Clerk of that House.</w:t>
      </w:r>
    </w:p>
    <w:p>
      <w:pPr>
        <w:pStyle w:val="Subsection"/>
        <w:spacing w:before="120"/>
      </w:pPr>
      <w:r>
        <w:tab/>
        <w:t>(3)</w:t>
      </w:r>
      <w:r>
        <w:tab/>
        <w:t>A copy of a document transmitted to the Clerk of a House is to be regarded as having been laid before that House.</w:t>
      </w:r>
    </w:p>
    <w:p>
      <w:pPr>
        <w:pStyle w:val="Subsection"/>
        <w:spacing w:before="120"/>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spacing w:before="180"/>
      </w:pPr>
      <w:bookmarkStart w:id="491" w:name="_Toc378839213"/>
      <w:bookmarkStart w:id="492" w:name="_Toc50262475"/>
      <w:bookmarkStart w:id="493" w:name="_Toc157918612"/>
      <w:bookmarkStart w:id="494" w:name="_Toc241050571"/>
      <w:r>
        <w:rPr>
          <w:rStyle w:val="CharSectno"/>
        </w:rPr>
        <w:t>36</w:t>
      </w:r>
      <w:r>
        <w:t>.</w:t>
      </w:r>
      <w:r>
        <w:tab/>
        <w:t>Chief judicial officers to receive copy of inspection reports, reports of occasional inspections and reviews affecting the court</w:t>
      </w:r>
      <w:bookmarkEnd w:id="491"/>
      <w:bookmarkEnd w:id="492"/>
      <w:bookmarkEnd w:id="493"/>
      <w:bookmarkEnd w:id="494"/>
    </w:p>
    <w:p>
      <w:pPr>
        <w:pStyle w:val="Subsection"/>
        <w:spacing w:before="120"/>
      </w:pPr>
      <w:r>
        <w:tab/>
      </w:r>
      <w:bookmarkStart w:id="495" w:name="_Hlt25747132"/>
      <w:bookmarkEnd w:id="495"/>
      <w:r>
        <w:t>(1)</w:t>
      </w:r>
      <w:r>
        <w:tab/>
        <w:t>If, under section </w:t>
      </w:r>
      <w:bookmarkStart w:id="496" w:name="_Hlt37056367"/>
      <w:r>
        <w:t>34</w:t>
      </w:r>
      <w:bookmarkEnd w:id="496"/>
      <w:r>
        <w:t>,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w:t>
      </w:r>
      <w:bookmarkStart w:id="497" w:name="_Hlt37056381"/>
      <w:r>
        <w:t>21</w:t>
      </w:r>
      <w:bookmarkEnd w:id="497"/>
      <w:r>
        <w:t xml:space="preserve"> or a review of any court custodial services under section 22(</w:t>
      </w:r>
      <w:ins w:id="498" w:author="svcMRProcess" w:date="2018-09-03T14:04:00Z">
        <w:r>
          <w:t>1)(c) or (2)(</w:t>
        </w:r>
      </w:ins>
      <w:r>
        <w:t>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Footnotesection"/>
        <w:rPr>
          <w:ins w:id="499" w:author="svcMRProcess" w:date="2018-09-03T14:04:00Z"/>
        </w:rPr>
      </w:pPr>
      <w:ins w:id="500" w:author="svcMRProcess" w:date="2018-09-03T14:04:00Z">
        <w:r>
          <w:tab/>
          <w:t>[Section 36 amended by No. 52 of 2011 s. 10.]</w:t>
        </w:r>
      </w:ins>
    </w:p>
    <w:p>
      <w:pPr>
        <w:pStyle w:val="Heading5"/>
      </w:pPr>
      <w:bookmarkStart w:id="501" w:name="_Hlt37054823"/>
      <w:bookmarkStart w:id="502" w:name="_Toc378839214"/>
      <w:bookmarkStart w:id="503" w:name="_Toc50262476"/>
      <w:bookmarkStart w:id="504" w:name="_Toc157918613"/>
      <w:bookmarkStart w:id="505" w:name="_Toc241050572"/>
      <w:bookmarkEnd w:id="501"/>
      <w:r>
        <w:rPr>
          <w:rStyle w:val="CharSectno"/>
        </w:rPr>
        <w:t>37</w:t>
      </w:r>
      <w:r>
        <w:t>.</w:t>
      </w:r>
      <w:r>
        <w:tab/>
        <w:t>Submissions in certain cases before completion of reports</w:t>
      </w:r>
      <w:bookmarkEnd w:id="502"/>
      <w:bookmarkEnd w:id="503"/>
      <w:bookmarkEnd w:id="504"/>
      <w:bookmarkEnd w:id="505"/>
    </w:p>
    <w:p>
      <w:pPr>
        <w:pStyle w:val="Subsection"/>
      </w:pPr>
      <w:r>
        <w:tab/>
        <w:t>(1)</w:t>
      </w:r>
      <w:r>
        <w:tab/>
        <w:t>The Inspector must not, in a document referred to in section 33 or </w:t>
      </w:r>
      <w:bookmarkStart w:id="506" w:name="_Hlt37057630"/>
      <w:r>
        <w:t>34</w:t>
      </w:r>
      <w:bookmarkEnd w:id="506"/>
      <w:r>
        <w:t>,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r>
      <w:bookmarkStart w:id="507" w:name="_Hlt25747280"/>
      <w:bookmarkEnd w:id="507"/>
      <w:r>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r>
      <w:r>
        <w:rPr>
          <w:rStyle w:val="CharDefText"/>
        </w:rPr>
        <w:t>chief executive officer</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r>
      <w:r>
        <w:rPr>
          <w:rStyle w:val="CharDefText"/>
        </w:rPr>
        <w:t>contractor</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r>
      <w:r>
        <w:rPr>
          <w:rStyle w:val="CharDefText"/>
        </w:rPr>
        <w:t>Department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508" w:name="_Hlt33332250"/>
      <w:bookmarkStart w:id="509" w:name="_Toc50262477"/>
      <w:bookmarkStart w:id="510" w:name="_Toc378839215"/>
      <w:bookmarkStart w:id="511" w:name="_Toc157918614"/>
      <w:bookmarkStart w:id="512" w:name="_Toc241050573"/>
      <w:bookmarkEnd w:id="508"/>
      <w:r>
        <w:rPr>
          <w:rStyle w:val="CharSectno"/>
        </w:rPr>
        <w:t>38</w:t>
      </w:r>
      <w:r>
        <w:t>.</w:t>
      </w:r>
      <w:r>
        <w:tab/>
        <w:t xml:space="preserve">Reporting requirements under </w:t>
      </w:r>
      <w:bookmarkEnd w:id="509"/>
      <w:r>
        <w:rPr>
          <w:i/>
          <w:iCs/>
        </w:rPr>
        <w:t>Financial Management Act 2006</w:t>
      </w:r>
      <w:bookmarkEnd w:id="510"/>
      <w:bookmarkEnd w:id="511"/>
      <w:bookmarkEnd w:id="512"/>
    </w:p>
    <w:p>
      <w:pPr>
        <w:pStyle w:val="Subsection"/>
      </w:pPr>
      <w:r>
        <w:tab/>
      </w:r>
      <w:r>
        <w:tab/>
        <w:t xml:space="preserve">If the </w:t>
      </w:r>
      <w:r>
        <w:rPr>
          <w:i/>
          <w:iCs/>
        </w:rPr>
        <w:t>Financial Management Act 2006</w:t>
      </w:r>
      <w:r>
        <w:t xml:space="preserve"> applies at a particular time to the office of the Inspector then Part 5 Division 2 of that Act is to be read as if the provisions that are set out in Schedule </w:t>
      </w:r>
      <w:bookmarkStart w:id="513" w:name="_Hlt33332142"/>
      <w:r>
        <w:t>1</w:t>
      </w:r>
      <w:bookmarkEnd w:id="513"/>
      <w:r>
        <w:t xml:space="preserve"> of this Act are the provisions of that Division that apply in respect of the office.</w:t>
      </w:r>
    </w:p>
    <w:p>
      <w:pPr>
        <w:pStyle w:val="Footnotesection"/>
      </w:pPr>
      <w:r>
        <w:tab/>
        <w:t>[Section 38 amended by No. 5 of 2005 s. 41(3); No. 77 of 2006 s. 17.]</w:t>
      </w:r>
    </w:p>
    <w:p>
      <w:pPr>
        <w:pStyle w:val="Heading2"/>
      </w:pPr>
      <w:bookmarkStart w:id="514" w:name="_Toc378839216"/>
      <w:bookmarkStart w:id="515" w:name="_Toc107884403"/>
      <w:bookmarkStart w:id="516" w:name="_Toc107910266"/>
      <w:bookmarkStart w:id="517" w:name="_Toc123555505"/>
      <w:bookmarkStart w:id="518" w:name="_Toc123639313"/>
      <w:bookmarkStart w:id="519" w:name="_Toc123639406"/>
      <w:bookmarkStart w:id="520" w:name="_Toc157918615"/>
      <w:bookmarkStart w:id="521" w:name="_Toc159230936"/>
      <w:bookmarkStart w:id="522" w:name="_Toc159231038"/>
      <w:bookmarkStart w:id="523" w:name="_Toc162676850"/>
      <w:bookmarkStart w:id="524" w:name="_Toc163964585"/>
      <w:bookmarkStart w:id="525" w:name="_Toc164483682"/>
      <w:bookmarkStart w:id="526" w:name="_Toc164569859"/>
      <w:bookmarkStart w:id="527" w:name="_Toc166897058"/>
      <w:bookmarkStart w:id="528" w:name="_Toc231029017"/>
      <w:bookmarkStart w:id="529" w:name="_Toc241050574"/>
      <w:r>
        <w:rPr>
          <w:rStyle w:val="CharPartNo"/>
        </w:rPr>
        <w:t>Part 6</w:t>
      </w:r>
      <w:r>
        <w:rPr>
          <w:rStyle w:val="CharDivNo"/>
        </w:rPr>
        <w:t> </w:t>
      </w:r>
      <w:r>
        <w:t>—</w:t>
      </w:r>
      <w:r>
        <w:rPr>
          <w:rStyle w:val="CharDivText"/>
        </w:rPr>
        <w:t> </w:t>
      </w:r>
      <w:r>
        <w:rPr>
          <w:rStyle w:val="CharPartText"/>
        </w:rPr>
        <w:t>Independent visitor service</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Hlt37038081"/>
      <w:bookmarkStart w:id="531" w:name="_Toc378839217"/>
      <w:bookmarkStart w:id="532" w:name="_Toc50262478"/>
      <w:bookmarkStart w:id="533" w:name="_Toc157918616"/>
      <w:bookmarkStart w:id="534" w:name="_Toc241050575"/>
      <w:bookmarkEnd w:id="530"/>
      <w:r>
        <w:rPr>
          <w:rStyle w:val="CharSectno"/>
        </w:rPr>
        <w:t>39</w:t>
      </w:r>
      <w:r>
        <w:t>.</w:t>
      </w:r>
      <w:r>
        <w:tab/>
        <w:t>Appointment of independent prison visitors</w:t>
      </w:r>
      <w:bookmarkEnd w:id="531"/>
      <w:bookmarkEnd w:id="532"/>
      <w:bookmarkEnd w:id="533"/>
      <w:bookmarkEnd w:id="534"/>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r>
      <w:r>
        <w:rPr>
          <w:rStyle w:val="CharDefText"/>
        </w:rPr>
        <w:t>contract</w:t>
      </w:r>
      <w:r>
        <w:t>,</w:t>
      </w:r>
      <w:r>
        <w:rPr>
          <w:b/>
        </w:rPr>
        <w:t xml:space="preserve"> </w:t>
      </w:r>
      <w:r>
        <w:rPr>
          <w:rStyle w:val="CharDefText"/>
        </w:rPr>
        <w:t>contractor</w:t>
      </w:r>
      <w:r>
        <w:t>,</w:t>
      </w:r>
      <w:r>
        <w:rPr>
          <w:b/>
        </w:rPr>
        <w:t xml:space="preserve"> </w:t>
      </w:r>
      <w:r>
        <w:rPr>
          <w:rStyle w:val="CharDefText"/>
        </w:rPr>
        <w:t>prison services</w:t>
      </w:r>
      <w:r>
        <w:t xml:space="preserve">, </w:t>
      </w:r>
      <w:r>
        <w:rPr>
          <w:rStyle w:val="CharDefText"/>
        </w:rPr>
        <w:t>subcontractor</w:t>
      </w:r>
      <w:r>
        <w:t xml:space="preserve"> and </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535" w:name="_Toc378839218"/>
      <w:bookmarkStart w:id="536" w:name="_Toc50262479"/>
      <w:bookmarkStart w:id="537" w:name="_Toc157918617"/>
      <w:bookmarkStart w:id="538" w:name="_Toc241050576"/>
      <w:r>
        <w:rPr>
          <w:rStyle w:val="CharSectno"/>
        </w:rPr>
        <w:t>40</w:t>
      </w:r>
      <w:r>
        <w:t>.</w:t>
      </w:r>
      <w:r>
        <w:tab/>
        <w:t>Duties of independent prison visitors</w:t>
      </w:r>
      <w:bookmarkEnd w:id="535"/>
      <w:bookmarkEnd w:id="536"/>
      <w:bookmarkEnd w:id="537"/>
      <w:bookmarkEnd w:id="538"/>
    </w:p>
    <w:p>
      <w:pPr>
        <w:pStyle w:val="Subsection"/>
      </w:pPr>
      <w:r>
        <w:tab/>
      </w:r>
      <w:bookmarkStart w:id="539" w:name="_Hlt37058253"/>
      <w:bookmarkEnd w:id="539"/>
      <w:r>
        <w:t>(1)</w:t>
      </w:r>
      <w:r>
        <w:tab/>
        <w:t xml:space="preserve">An independent prison visitor is to — </w:t>
      </w:r>
    </w:p>
    <w:p>
      <w:pPr>
        <w:pStyle w:val="Indenta"/>
      </w:pPr>
      <w:r>
        <w:tab/>
      </w:r>
      <w:bookmarkStart w:id="540" w:name="_Hlt37058256"/>
      <w:bookmarkEnd w:id="540"/>
      <w:r>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An independent prison visitor may, after a visit and inspection made under subsection (1)</w:t>
      </w:r>
      <w:bookmarkStart w:id="541" w:name="_Hlt37058442"/>
      <w:r>
        <w:t>(a)</w:t>
      </w:r>
      <w:bookmarkEnd w:id="541"/>
      <w:r>
        <w:t xml:space="preserve">,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542" w:name="_Hlt37038060"/>
      <w:bookmarkStart w:id="543" w:name="_Toc378839219"/>
      <w:bookmarkStart w:id="544" w:name="_Toc50262480"/>
      <w:bookmarkStart w:id="545" w:name="_Toc157918618"/>
      <w:bookmarkStart w:id="546" w:name="_Toc241050577"/>
      <w:bookmarkEnd w:id="542"/>
      <w:r>
        <w:rPr>
          <w:rStyle w:val="CharSectno"/>
        </w:rPr>
        <w:t>41</w:t>
      </w:r>
      <w:r>
        <w:t>.</w:t>
      </w:r>
      <w:r>
        <w:tab/>
        <w:t>Appointment of independent detention centre visitors</w:t>
      </w:r>
      <w:bookmarkEnd w:id="543"/>
      <w:bookmarkEnd w:id="544"/>
      <w:bookmarkEnd w:id="545"/>
      <w:bookmarkEnd w:id="546"/>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547" w:name="_Toc378839220"/>
      <w:bookmarkStart w:id="548" w:name="_Toc50262481"/>
      <w:bookmarkStart w:id="549" w:name="_Toc157918619"/>
      <w:bookmarkStart w:id="550" w:name="_Toc241050578"/>
      <w:r>
        <w:rPr>
          <w:rStyle w:val="CharSectno"/>
        </w:rPr>
        <w:t>42</w:t>
      </w:r>
      <w:r>
        <w:t>.</w:t>
      </w:r>
      <w:r>
        <w:tab/>
        <w:t>Duties of independent detention centre visitors</w:t>
      </w:r>
      <w:bookmarkEnd w:id="547"/>
      <w:bookmarkEnd w:id="548"/>
      <w:bookmarkEnd w:id="549"/>
      <w:bookmarkEnd w:id="550"/>
    </w:p>
    <w:p>
      <w:pPr>
        <w:pStyle w:val="Subsection"/>
      </w:pPr>
      <w:r>
        <w:tab/>
      </w:r>
      <w:bookmarkStart w:id="551" w:name="_Hlt37060663"/>
      <w:bookmarkEnd w:id="551"/>
      <w:r>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552" w:name="_Toc378839221"/>
      <w:bookmarkStart w:id="553" w:name="_Toc50262482"/>
      <w:bookmarkStart w:id="554" w:name="_Toc157918620"/>
      <w:bookmarkStart w:id="555" w:name="_Toc241050579"/>
      <w:r>
        <w:rPr>
          <w:rStyle w:val="CharSectno"/>
        </w:rPr>
        <w:t>43</w:t>
      </w:r>
      <w:r>
        <w:t>.</w:t>
      </w:r>
      <w:r>
        <w:tab/>
        <w:t>Inspector to deal with reports of independent prison visitors and independent detention centre visitors</w:t>
      </w:r>
      <w:bookmarkEnd w:id="552"/>
      <w:bookmarkEnd w:id="553"/>
      <w:bookmarkEnd w:id="554"/>
      <w:bookmarkEnd w:id="555"/>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r>
      <w:r>
        <w:rPr>
          <w:rStyle w:val="CharDefText"/>
        </w:rPr>
        <w:t>chief executive officer</w:t>
      </w:r>
      <w:r>
        <w:t xml:space="preserve"> and </w:t>
      </w:r>
      <w:r>
        <w:rPr>
          <w:rStyle w:val="CharDefText"/>
        </w:rPr>
        <w:t>contractor</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556" w:name="_Toc378839222"/>
      <w:bookmarkStart w:id="557" w:name="_Toc107884409"/>
      <w:bookmarkStart w:id="558" w:name="_Toc107910272"/>
      <w:bookmarkStart w:id="559" w:name="_Toc123555511"/>
      <w:bookmarkStart w:id="560" w:name="_Toc123639319"/>
      <w:bookmarkStart w:id="561" w:name="_Toc123639412"/>
      <w:bookmarkStart w:id="562" w:name="_Toc157918621"/>
      <w:bookmarkStart w:id="563" w:name="_Toc159230942"/>
      <w:bookmarkStart w:id="564" w:name="_Toc159231044"/>
      <w:bookmarkStart w:id="565" w:name="_Toc162676856"/>
      <w:bookmarkStart w:id="566" w:name="_Toc163964591"/>
      <w:bookmarkStart w:id="567" w:name="_Toc164483688"/>
      <w:bookmarkStart w:id="568" w:name="_Toc164569865"/>
      <w:bookmarkStart w:id="569" w:name="_Toc166897064"/>
      <w:bookmarkStart w:id="570" w:name="_Toc231029023"/>
      <w:bookmarkStart w:id="571" w:name="_Toc241050580"/>
      <w:r>
        <w:rPr>
          <w:rStyle w:val="CharPartNo"/>
        </w:rPr>
        <w:t>Part 7</w:t>
      </w:r>
      <w:r>
        <w:rPr>
          <w:rStyle w:val="CharDivNo"/>
        </w:rPr>
        <w:t> </w:t>
      </w:r>
      <w:r>
        <w:t>—</w:t>
      </w:r>
      <w:r>
        <w:rPr>
          <w:rStyle w:val="CharDivText"/>
        </w:rPr>
        <w:t> </w:t>
      </w:r>
      <w:r>
        <w:rPr>
          <w:rStyle w:val="CharPartText"/>
        </w:rPr>
        <w:t>Disclosure of information</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Hlt25747533"/>
      <w:bookmarkStart w:id="573" w:name="_Toc378839223"/>
      <w:bookmarkStart w:id="574" w:name="_Toc50262483"/>
      <w:bookmarkStart w:id="575" w:name="_Toc157918622"/>
      <w:bookmarkStart w:id="576" w:name="_Toc241050581"/>
      <w:bookmarkEnd w:id="572"/>
      <w:r>
        <w:rPr>
          <w:rStyle w:val="CharSectno"/>
        </w:rPr>
        <w:t>44</w:t>
      </w:r>
      <w:r>
        <w:t>.</w:t>
      </w:r>
      <w:r>
        <w:tab/>
        <w:t>Disclosure of information permitted for consultation purposes</w:t>
      </w:r>
      <w:bookmarkEnd w:id="573"/>
      <w:bookmarkEnd w:id="574"/>
      <w:bookmarkEnd w:id="575"/>
      <w:bookmarkEnd w:id="576"/>
    </w:p>
    <w:p>
      <w:pPr>
        <w:pStyle w:val="Subsection"/>
      </w:pPr>
      <w:r>
        <w:tab/>
      </w:r>
      <w:bookmarkStart w:id="577" w:name="_Hlt25747398"/>
      <w:bookmarkEnd w:id="577"/>
      <w:r>
        <w:t>(1)</w:t>
      </w:r>
      <w:r>
        <w:tab/>
        <w:t>The Inspector may consult the Corruption and Crime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Footnotesection"/>
      </w:pPr>
      <w:r>
        <w:tab/>
        <w:t>[Section 44 amended by No. 8 of 2009 s. 78(3).]</w:t>
      </w:r>
    </w:p>
    <w:p>
      <w:pPr>
        <w:pStyle w:val="Heading5"/>
      </w:pPr>
      <w:bookmarkStart w:id="578" w:name="_Toc378839224"/>
      <w:bookmarkStart w:id="579" w:name="_Toc50262484"/>
      <w:bookmarkStart w:id="580" w:name="_Toc157918623"/>
      <w:bookmarkStart w:id="581" w:name="_Toc241050582"/>
      <w:r>
        <w:rPr>
          <w:rStyle w:val="CharSectno"/>
        </w:rPr>
        <w:t>45</w:t>
      </w:r>
      <w:r>
        <w:t>.</w:t>
      </w:r>
      <w:r>
        <w:tab/>
        <w:t>Disclosure of certain other information permitted</w:t>
      </w:r>
      <w:bookmarkEnd w:id="578"/>
      <w:bookmarkEnd w:id="579"/>
      <w:bookmarkEnd w:id="580"/>
      <w:bookmarkEnd w:id="581"/>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Corruption and Crime Commission; or</w:t>
      </w:r>
    </w:p>
    <w:p>
      <w:pPr>
        <w:pStyle w:val="Indenti"/>
      </w:pPr>
      <w:r>
        <w:tab/>
        <w:t>(ii)</w:t>
      </w:r>
      <w:r>
        <w:tab/>
        <w:t>an officer or a seconded officer of the Corruption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Corruption and Crime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Footnotesection"/>
      </w:pPr>
      <w:r>
        <w:tab/>
        <w:t>[Section 45 amended by No. 8 of 2009 s. 78(4).]</w:t>
      </w:r>
    </w:p>
    <w:p>
      <w:pPr>
        <w:pStyle w:val="Heading5"/>
      </w:pPr>
      <w:bookmarkStart w:id="582" w:name="_Toc378839225"/>
      <w:bookmarkStart w:id="583" w:name="_Toc50262485"/>
      <w:bookmarkStart w:id="584" w:name="_Toc157918624"/>
      <w:bookmarkStart w:id="585" w:name="_Toc241050583"/>
      <w:r>
        <w:rPr>
          <w:rStyle w:val="CharSectno"/>
        </w:rPr>
        <w:t>46</w:t>
      </w:r>
      <w:r>
        <w:t>.</w:t>
      </w:r>
      <w:r>
        <w:tab/>
        <w:t>Disclosure of information permitted if in certain interests to do so</w:t>
      </w:r>
      <w:bookmarkEnd w:id="582"/>
      <w:bookmarkEnd w:id="583"/>
      <w:bookmarkEnd w:id="584"/>
      <w:bookmarkEnd w:id="585"/>
    </w:p>
    <w:p>
      <w:pPr>
        <w:pStyle w:val="Subsection"/>
      </w:pPr>
      <w:r>
        <w:tab/>
      </w:r>
      <w:bookmarkStart w:id="586" w:name="_Hlt25747433"/>
      <w:bookmarkEnd w:id="586"/>
      <w:r>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587" w:name="_Hlt32911124"/>
      <w:bookmarkStart w:id="588" w:name="_Toc378839226"/>
      <w:bookmarkStart w:id="589" w:name="_Toc50262486"/>
      <w:bookmarkStart w:id="590" w:name="_Toc157918625"/>
      <w:bookmarkStart w:id="591" w:name="_Toc241050584"/>
      <w:bookmarkEnd w:id="587"/>
      <w:r>
        <w:rPr>
          <w:rStyle w:val="CharSectno"/>
        </w:rPr>
        <w:t>47</w:t>
      </w:r>
      <w:r>
        <w:t>.</w:t>
      </w:r>
      <w:r>
        <w:tab/>
        <w:t>Confidentiality</w:t>
      </w:r>
      <w:bookmarkEnd w:id="588"/>
      <w:bookmarkEnd w:id="589"/>
      <w:bookmarkEnd w:id="590"/>
      <w:bookmarkEnd w:id="591"/>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w:t>
      </w:r>
      <w:bookmarkStart w:id="592" w:name="_Hlt25747530"/>
      <w:r>
        <w:t>44</w:t>
      </w:r>
      <w:bookmarkEnd w:id="592"/>
      <w:r>
        <w:t>,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593" w:name="_Hlt32911333"/>
      <w:bookmarkStart w:id="594" w:name="_Toc378839227"/>
      <w:bookmarkStart w:id="595" w:name="_Toc50262487"/>
      <w:bookmarkStart w:id="596" w:name="_Toc157918626"/>
      <w:bookmarkStart w:id="597" w:name="_Toc241050585"/>
      <w:bookmarkEnd w:id="593"/>
      <w:r>
        <w:rPr>
          <w:rStyle w:val="CharSectno"/>
        </w:rPr>
        <w:t>48</w:t>
      </w:r>
      <w:r>
        <w:t>.</w:t>
      </w:r>
      <w:r>
        <w:tab/>
        <w:t>Directions to not disclose information</w:t>
      </w:r>
      <w:bookmarkEnd w:id="594"/>
      <w:bookmarkEnd w:id="595"/>
      <w:bookmarkEnd w:id="596"/>
      <w:bookmarkEnd w:id="597"/>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598" w:name="_Toc378839228"/>
      <w:bookmarkStart w:id="599" w:name="_Toc107884415"/>
      <w:bookmarkStart w:id="600" w:name="_Toc107910278"/>
      <w:bookmarkStart w:id="601" w:name="_Toc123555517"/>
      <w:bookmarkStart w:id="602" w:name="_Toc123639325"/>
      <w:bookmarkStart w:id="603" w:name="_Toc123639418"/>
      <w:bookmarkStart w:id="604" w:name="_Toc157918627"/>
      <w:bookmarkStart w:id="605" w:name="_Toc159230948"/>
      <w:bookmarkStart w:id="606" w:name="_Toc159231050"/>
      <w:bookmarkStart w:id="607" w:name="_Toc162676862"/>
      <w:bookmarkStart w:id="608" w:name="_Toc163964597"/>
      <w:bookmarkStart w:id="609" w:name="_Toc164483694"/>
      <w:bookmarkStart w:id="610" w:name="_Toc164569871"/>
      <w:bookmarkStart w:id="611" w:name="_Toc166897070"/>
      <w:bookmarkStart w:id="612" w:name="_Toc231029029"/>
      <w:bookmarkStart w:id="613" w:name="_Toc241050586"/>
      <w:r>
        <w:rPr>
          <w:rStyle w:val="CharPartNo"/>
        </w:rPr>
        <w:t>Part 8</w:t>
      </w:r>
      <w:r>
        <w:rPr>
          <w:rStyle w:val="CharDivNo"/>
        </w:rPr>
        <w:t> </w:t>
      </w:r>
      <w:r>
        <w:t>—</w:t>
      </w:r>
      <w:r>
        <w:rPr>
          <w:rStyle w:val="CharDivText"/>
        </w:rPr>
        <w:t> </w:t>
      </w:r>
      <w:r>
        <w:rPr>
          <w:rStyle w:val="CharPartText"/>
        </w:rPr>
        <w:t>Other offences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spacing w:before="160"/>
      </w:pPr>
      <w:bookmarkStart w:id="614" w:name="_Toc378839229"/>
      <w:bookmarkStart w:id="615" w:name="_Toc50262488"/>
      <w:bookmarkStart w:id="616" w:name="_Toc157918628"/>
      <w:bookmarkStart w:id="617" w:name="_Toc241050587"/>
      <w:r>
        <w:rPr>
          <w:rStyle w:val="CharSectno"/>
        </w:rPr>
        <w:t>49</w:t>
      </w:r>
      <w:r>
        <w:t>.</w:t>
      </w:r>
      <w:r>
        <w:tab/>
        <w:t>Hindering and other offences</w:t>
      </w:r>
      <w:bookmarkEnd w:id="614"/>
      <w:bookmarkEnd w:id="615"/>
      <w:bookmarkEnd w:id="616"/>
      <w:bookmarkEnd w:id="617"/>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618" w:name="_Toc378839230"/>
      <w:bookmarkStart w:id="619" w:name="_Toc50262489"/>
      <w:bookmarkStart w:id="620" w:name="_Toc157918629"/>
      <w:bookmarkStart w:id="621" w:name="_Toc241050588"/>
      <w:r>
        <w:rPr>
          <w:rStyle w:val="CharSectno"/>
        </w:rPr>
        <w:t>50</w:t>
      </w:r>
      <w:r>
        <w:t>.</w:t>
      </w:r>
      <w:r>
        <w:tab/>
        <w:t>Victimisation</w:t>
      </w:r>
      <w:bookmarkEnd w:id="618"/>
      <w:bookmarkEnd w:id="619"/>
      <w:bookmarkEnd w:id="620"/>
      <w:bookmarkEnd w:id="621"/>
    </w:p>
    <w:p>
      <w:pPr>
        <w:pStyle w:val="Subsection"/>
      </w:pPr>
      <w:r>
        <w:tab/>
      </w:r>
      <w:bookmarkStart w:id="622" w:name="_Hlt25747718"/>
      <w:bookmarkEnd w:id="622"/>
      <w:r>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623" w:name="_Toc378839231"/>
      <w:bookmarkStart w:id="624" w:name="_Toc107884418"/>
      <w:bookmarkStart w:id="625" w:name="_Toc107910281"/>
      <w:bookmarkStart w:id="626" w:name="_Toc123555520"/>
      <w:bookmarkStart w:id="627" w:name="_Toc123639328"/>
      <w:bookmarkStart w:id="628" w:name="_Toc123639421"/>
      <w:bookmarkStart w:id="629" w:name="_Toc157918630"/>
      <w:bookmarkStart w:id="630" w:name="_Toc159230951"/>
      <w:bookmarkStart w:id="631" w:name="_Toc159231053"/>
      <w:bookmarkStart w:id="632" w:name="_Toc162676865"/>
      <w:bookmarkStart w:id="633" w:name="_Toc163964600"/>
      <w:bookmarkStart w:id="634" w:name="_Toc164483697"/>
      <w:bookmarkStart w:id="635" w:name="_Toc164569874"/>
      <w:bookmarkStart w:id="636" w:name="_Toc166897073"/>
      <w:bookmarkStart w:id="637" w:name="_Toc231029032"/>
      <w:bookmarkStart w:id="638" w:name="_Toc241050589"/>
      <w:r>
        <w:rPr>
          <w:rStyle w:val="CharPartNo"/>
        </w:rPr>
        <w:t>Part 9</w:t>
      </w:r>
      <w:r>
        <w:rPr>
          <w:rStyle w:val="CharDivNo"/>
        </w:rPr>
        <w:t> </w:t>
      </w:r>
      <w:r>
        <w:t>—</w:t>
      </w:r>
      <w:r>
        <w:rPr>
          <w:rStyle w:val="CharDivText"/>
        </w:rPr>
        <w:t> </w:t>
      </w:r>
      <w:r>
        <w:rPr>
          <w:rStyle w:val="CharPartText"/>
        </w:rPr>
        <w:t>Miscellaneous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378839232"/>
      <w:bookmarkStart w:id="640" w:name="_Toc50262490"/>
      <w:bookmarkStart w:id="641" w:name="_Toc157918631"/>
      <w:bookmarkStart w:id="642" w:name="_Toc241050590"/>
      <w:r>
        <w:rPr>
          <w:rStyle w:val="CharSectno"/>
        </w:rPr>
        <w:t>51</w:t>
      </w:r>
      <w:r>
        <w:t>.</w:t>
      </w:r>
      <w:r>
        <w:tab/>
        <w:t>Security and safety considerations</w:t>
      </w:r>
      <w:bookmarkEnd w:id="639"/>
      <w:bookmarkEnd w:id="640"/>
      <w:bookmarkEnd w:id="641"/>
      <w:bookmarkEnd w:id="642"/>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643" w:name="_Toc378839233"/>
      <w:bookmarkStart w:id="644" w:name="_Toc50262491"/>
      <w:bookmarkStart w:id="645" w:name="_Toc157918632"/>
      <w:bookmarkStart w:id="646" w:name="_Toc241050591"/>
      <w:r>
        <w:rPr>
          <w:rStyle w:val="CharSectno"/>
        </w:rPr>
        <w:t>52</w:t>
      </w:r>
      <w:r>
        <w:t>.</w:t>
      </w:r>
      <w:r>
        <w:tab/>
        <w:t>Protection from liability</w:t>
      </w:r>
      <w:bookmarkEnd w:id="643"/>
      <w:bookmarkEnd w:id="644"/>
      <w:bookmarkEnd w:id="645"/>
      <w:bookmarkEnd w:id="646"/>
    </w:p>
    <w:p>
      <w:pPr>
        <w:pStyle w:val="Subsection"/>
      </w:pPr>
      <w:r>
        <w:tab/>
      </w:r>
      <w:bookmarkStart w:id="647" w:name="_Hlt25747828"/>
      <w:bookmarkEnd w:id="647"/>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648" w:name="_Toc378839234"/>
      <w:bookmarkStart w:id="649" w:name="_Toc50262492"/>
      <w:bookmarkStart w:id="650" w:name="_Toc157918633"/>
      <w:bookmarkStart w:id="651" w:name="_Toc241050592"/>
      <w:r>
        <w:rPr>
          <w:rStyle w:val="CharSectno"/>
        </w:rPr>
        <w:t>53</w:t>
      </w:r>
      <w:r>
        <w:t>.</w:t>
      </w:r>
      <w:r>
        <w:tab/>
        <w:t>Documents sent to or by the Inspector not admissible</w:t>
      </w:r>
      <w:bookmarkEnd w:id="648"/>
      <w:bookmarkEnd w:id="649"/>
      <w:bookmarkEnd w:id="650"/>
      <w:bookmarkEnd w:id="651"/>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652" w:name="_Toc378839235"/>
      <w:bookmarkStart w:id="653" w:name="_Toc50262493"/>
      <w:bookmarkStart w:id="654" w:name="_Toc157918634"/>
      <w:bookmarkStart w:id="655" w:name="_Toc241050593"/>
      <w:r>
        <w:rPr>
          <w:rStyle w:val="CharSectno"/>
        </w:rPr>
        <w:t>54</w:t>
      </w:r>
      <w:r>
        <w:t>.</w:t>
      </w:r>
      <w:r>
        <w:tab/>
        <w:t>Protection for proceedings in Cabinet</w:t>
      </w:r>
      <w:bookmarkEnd w:id="652"/>
      <w:bookmarkEnd w:id="653"/>
      <w:bookmarkEnd w:id="654"/>
      <w:bookmarkEnd w:id="655"/>
    </w:p>
    <w:p>
      <w:pPr>
        <w:pStyle w:val="Subsection"/>
      </w:pPr>
      <w:r>
        <w:tab/>
      </w:r>
      <w:bookmarkStart w:id="656" w:name="_Hlt25747903"/>
      <w:bookmarkEnd w:id="656"/>
      <w:r>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657" w:name="_Hlt25745612"/>
      <w:bookmarkStart w:id="658" w:name="_Toc378839236"/>
      <w:bookmarkStart w:id="659" w:name="_Toc50262494"/>
      <w:bookmarkStart w:id="660" w:name="_Toc157918635"/>
      <w:bookmarkStart w:id="661" w:name="_Toc241050594"/>
      <w:bookmarkEnd w:id="657"/>
      <w:r>
        <w:rPr>
          <w:rStyle w:val="CharSectno"/>
        </w:rPr>
        <w:t>55</w:t>
      </w:r>
      <w:r>
        <w:t>.</w:t>
      </w:r>
      <w:r>
        <w:tab/>
        <w:t>Regulations</w:t>
      </w:r>
      <w:bookmarkEnd w:id="658"/>
      <w:bookmarkEnd w:id="659"/>
      <w:bookmarkEnd w:id="660"/>
      <w:bookmarkEnd w:id="661"/>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662" w:name="_Hlt24967518"/>
      <w:bookmarkStart w:id="663" w:name="_Toc50262495"/>
      <w:bookmarkStart w:id="664" w:name="_Toc157918636"/>
      <w:bookmarkStart w:id="665" w:name="_Toc378839237"/>
      <w:bookmarkStart w:id="666" w:name="_Toc241050595"/>
      <w:bookmarkEnd w:id="662"/>
      <w:r>
        <w:rPr>
          <w:rStyle w:val="CharSectno"/>
        </w:rPr>
        <w:t>56</w:t>
      </w:r>
      <w:r>
        <w:t>.</w:t>
      </w:r>
      <w:r>
        <w:tab/>
      </w:r>
      <w:bookmarkEnd w:id="663"/>
      <w:bookmarkEnd w:id="664"/>
      <w:r>
        <w:t xml:space="preserve">Amendment of the </w:t>
      </w:r>
      <w:r>
        <w:rPr>
          <w:i/>
          <w:iCs/>
        </w:rPr>
        <w:t>Prisons Regulations 1982</w:t>
      </w:r>
      <w:bookmarkEnd w:id="665"/>
      <w:bookmarkEnd w:id="666"/>
    </w:p>
    <w:p>
      <w:pPr>
        <w:pStyle w:val="Ednotesubsection"/>
      </w:pPr>
      <w:r>
        <w:tab/>
      </w:r>
      <w:bookmarkStart w:id="667" w:name="_Hlt25748070"/>
      <w:bookmarkEnd w:id="667"/>
      <w:r>
        <w:t>[(1)</w:t>
      </w:r>
      <w:r>
        <w:tab/>
        <w:t>Omitted under the Reprints Act 1984 s. 7(4)(e).]</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668" w:name="_Hlt33332334"/>
      <w:bookmarkStart w:id="669" w:name="_Toc378839238"/>
      <w:bookmarkStart w:id="670" w:name="_Toc50262496"/>
      <w:bookmarkStart w:id="671" w:name="_Toc157918637"/>
      <w:bookmarkStart w:id="672" w:name="_Toc241050596"/>
      <w:bookmarkEnd w:id="668"/>
      <w:r>
        <w:rPr>
          <w:rStyle w:val="CharSectno"/>
        </w:rPr>
        <w:t>57</w:t>
      </w:r>
      <w:r>
        <w:t>.</w:t>
      </w:r>
      <w:r>
        <w:tab/>
        <w:t>Savings and transitional provisions</w:t>
      </w:r>
      <w:bookmarkEnd w:id="669"/>
      <w:bookmarkEnd w:id="670"/>
      <w:bookmarkEnd w:id="671"/>
      <w:bookmarkEnd w:id="672"/>
    </w:p>
    <w:p>
      <w:pPr>
        <w:pStyle w:val="Subsection"/>
      </w:pPr>
      <w:r>
        <w:tab/>
      </w:r>
      <w:r>
        <w:tab/>
        <w:t>Schedule </w:t>
      </w:r>
      <w:bookmarkStart w:id="673" w:name="_Hlt33331463"/>
      <w:r>
        <w:t>3</w:t>
      </w:r>
      <w:bookmarkEnd w:id="673"/>
      <w:r>
        <w:t xml:space="preserve"> has effect in relation to the repeal, by section 56</w:t>
      </w:r>
      <w:r>
        <w:rPr>
          <w:vertAlign w:val="superscript"/>
        </w:rPr>
        <w:t> 5</w:t>
      </w:r>
      <w:r>
        <w:t xml:space="preserve">,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74" w:name="_Toc50262497"/>
    </w:p>
    <w:p>
      <w:pPr>
        <w:pStyle w:val="yScheduleHeading"/>
      </w:pPr>
      <w:bookmarkStart w:id="675" w:name="_Toc378839239"/>
      <w:bookmarkStart w:id="676" w:name="_Toc134437665"/>
      <w:bookmarkStart w:id="677" w:name="_Toc134440779"/>
      <w:bookmarkStart w:id="678" w:name="_Toc134503284"/>
      <w:bookmarkStart w:id="679" w:name="_Toc135116061"/>
      <w:bookmarkStart w:id="680" w:name="_Toc135132984"/>
      <w:bookmarkStart w:id="681" w:name="_Toc135133233"/>
      <w:bookmarkStart w:id="682" w:name="_Toc135190149"/>
      <w:bookmarkStart w:id="683" w:name="_Toc135190607"/>
      <w:bookmarkStart w:id="684" w:name="_Toc135634366"/>
      <w:bookmarkStart w:id="685" w:name="_Toc135642148"/>
      <w:bookmarkStart w:id="686" w:name="_Toc135643016"/>
      <w:bookmarkStart w:id="687" w:name="_Toc135716044"/>
      <w:bookmarkStart w:id="688" w:name="_Toc135814107"/>
      <w:bookmarkStart w:id="689" w:name="_Toc135814906"/>
      <w:bookmarkStart w:id="690" w:name="_Toc135815685"/>
      <w:bookmarkStart w:id="691" w:name="_Toc135816457"/>
      <w:bookmarkStart w:id="692" w:name="_Toc138497269"/>
      <w:bookmarkStart w:id="693" w:name="_Toc138497519"/>
      <w:bookmarkStart w:id="694" w:name="_Toc138497914"/>
      <w:bookmarkStart w:id="695" w:name="_Toc138657021"/>
      <w:bookmarkStart w:id="696" w:name="_Toc138833943"/>
      <w:bookmarkStart w:id="697" w:name="_Toc139083807"/>
      <w:bookmarkStart w:id="698" w:name="_Toc153783711"/>
      <w:bookmarkStart w:id="699" w:name="_Toc153783960"/>
      <w:bookmarkStart w:id="700" w:name="_Toc154312935"/>
      <w:bookmarkStart w:id="701" w:name="_Toc154313375"/>
      <w:bookmarkStart w:id="702" w:name="_Toc154556288"/>
      <w:bookmarkStart w:id="703" w:name="_Toc156192944"/>
      <w:bookmarkStart w:id="704" w:name="_Toc157918638"/>
      <w:bookmarkStart w:id="705" w:name="_Toc159230959"/>
      <w:bookmarkStart w:id="706" w:name="_Toc159231061"/>
      <w:bookmarkStart w:id="707" w:name="_Toc162676873"/>
      <w:bookmarkStart w:id="708" w:name="_Toc163964608"/>
      <w:bookmarkStart w:id="709" w:name="_Toc164483705"/>
      <w:bookmarkStart w:id="710" w:name="_Toc164569882"/>
      <w:bookmarkStart w:id="711" w:name="_Toc166897081"/>
      <w:bookmarkStart w:id="712" w:name="_Toc231029040"/>
      <w:bookmarkStart w:id="713" w:name="_Toc241050597"/>
      <w:bookmarkStart w:id="714" w:name="_Toc50262498"/>
      <w:bookmarkStart w:id="715" w:name="_Toc123639430"/>
      <w:bookmarkEnd w:id="674"/>
      <w:r>
        <w:rPr>
          <w:rStyle w:val="CharSchNo"/>
        </w:rPr>
        <w:t>Schedule 1</w:t>
      </w:r>
      <w:r>
        <w:t> — </w:t>
      </w:r>
      <w:r>
        <w:rPr>
          <w:rStyle w:val="CharSchText"/>
        </w:rPr>
        <w:t xml:space="preserve">Application of </w:t>
      </w:r>
      <w:r>
        <w:rPr>
          <w:rStyle w:val="CharSchText"/>
          <w:i/>
          <w:iCs/>
        </w:rPr>
        <w:t>Financial Management Act 2006</w:t>
      </w:r>
      <w:r>
        <w:rPr>
          <w:rStyle w:val="CharSchText"/>
        </w:rPr>
        <w:t xml:space="preserve"> to office of the Inspector</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ShoulderClause"/>
      </w:pPr>
      <w:r>
        <w:t>[s. 38]</w:t>
      </w:r>
    </w:p>
    <w:p>
      <w:pPr>
        <w:pStyle w:val="yFootnoteheading"/>
      </w:pPr>
      <w:r>
        <w:tab/>
        <w:t>[Heading inserted by No. 77 of 2006 s. 17.]</w:t>
      </w:r>
    </w:p>
    <w:p>
      <w:pPr>
        <w:pStyle w:val="ySubsection"/>
      </w:pPr>
      <w:r>
        <w:tab/>
      </w:r>
      <w:r>
        <w:tab/>
        <w:t xml:space="preserve">For the purposes of section 38 of this Act, the </w:t>
      </w:r>
      <w:r>
        <w:rPr>
          <w:i/>
          <w:iCs/>
        </w:rPr>
        <w:t>Financial Management Act 2006</w:t>
      </w:r>
      <w:r>
        <w:t xml:space="preserve"> Part 5 Division 2 is to be read as follows — </w:t>
      </w:r>
    </w:p>
    <w:p>
      <w:pPr>
        <w:pStyle w:val="MiscOpen"/>
        <w:spacing w:before="80"/>
        <w:ind w:left="425"/>
      </w:pPr>
      <w:r>
        <w:t xml:space="preserve">“    </w:t>
      </w:r>
    </w:p>
    <w:p>
      <w:pPr>
        <w:pStyle w:val="zHeading3"/>
        <w:spacing w:before="0"/>
      </w:pPr>
      <w:bookmarkStart w:id="716" w:name="_Toc378839240"/>
      <w:bookmarkStart w:id="717" w:name="_Toc134437666"/>
      <w:bookmarkStart w:id="718" w:name="_Toc134440780"/>
      <w:bookmarkStart w:id="719" w:name="_Toc134503285"/>
      <w:bookmarkStart w:id="720" w:name="_Toc135116062"/>
      <w:bookmarkStart w:id="721" w:name="_Toc135132985"/>
      <w:bookmarkStart w:id="722" w:name="_Toc135133234"/>
      <w:bookmarkStart w:id="723" w:name="_Toc135190150"/>
      <w:bookmarkStart w:id="724" w:name="_Toc135190608"/>
      <w:bookmarkStart w:id="725" w:name="_Toc135634367"/>
      <w:bookmarkStart w:id="726" w:name="_Toc135642149"/>
      <w:bookmarkStart w:id="727" w:name="_Toc135643017"/>
      <w:bookmarkStart w:id="728" w:name="_Toc135716045"/>
      <w:bookmarkStart w:id="729" w:name="_Toc135814108"/>
      <w:bookmarkStart w:id="730" w:name="_Toc135814907"/>
      <w:bookmarkStart w:id="731" w:name="_Toc135815686"/>
      <w:bookmarkStart w:id="732" w:name="_Toc135816458"/>
      <w:bookmarkStart w:id="733" w:name="_Toc138497270"/>
      <w:bookmarkStart w:id="734" w:name="_Toc138497520"/>
      <w:bookmarkStart w:id="735" w:name="_Toc138497915"/>
      <w:bookmarkStart w:id="736" w:name="_Toc138657022"/>
      <w:bookmarkStart w:id="737" w:name="_Toc138833944"/>
      <w:bookmarkStart w:id="738" w:name="_Toc139083808"/>
      <w:bookmarkStart w:id="739" w:name="_Toc153783712"/>
      <w:bookmarkStart w:id="740" w:name="_Toc153783961"/>
      <w:bookmarkStart w:id="741" w:name="_Toc154312936"/>
      <w:bookmarkStart w:id="742" w:name="_Toc154313376"/>
      <w:bookmarkStart w:id="743" w:name="_Toc154556289"/>
      <w:bookmarkStart w:id="744" w:name="_Toc156192945"/>
      <w:bookmarkStart w:id="745" w:name="_Toc159230960"/>
      <w:bookmarkStart w:id="746" w:name="_Toc159231062"/>
      <w:bookmarkStart w:id="747" w:name="_Toc162676874"/>
      <w:bookmarkStart w:id="748" w:name="_Toc163964609"/>
      <w:bookmarkStart w:id="749" w:name="_Toc164483706"/>
      <w:bookmarkStart w:id="750" w:name="_Toc164569883"/>
      <w:bookmarkStart w:id="751" w:name="_Toc166897082"/>
      <w:bookmarkStart w:id="752" w:name="_Toc231029041"/>
      <w:bookmarkStart w:id="753" w:name="_Toc241050598"/>
      <w:r>
        <w:t>Division 2 — Reports by accountable authority of office of Inspector of Custodial Services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zHeading5"/>
      </w:pPr>
      <w:bookmarkStart w:id="754" w:name="_Toc154313377"/>
      <w:bookmarkStart w:id="755" w:name="_Toc154556290"/>
      <w:bookmarkStart w:id="756" w:name="_Toc156192946"/>
      <w:r>
        <w:t>61.</w:t>
      </w:r>
      <w:r>
        <w:rPr>
          <w:b w:val="0"/>
        </w:rPr>
        <w:tab/>
      </w:r>
      <w:r>
        <w:t>Reports by accountable authority of office of Inspector of Custodial Services</w:t>
      </w:r>
      <w:bookmarkEnd w:id="754"/>
      <w:bookmarkEnd w:id="755"/>
      <w:bookmarkEnd w:id="756"/>
    </w:p>
    <w:p>
      <w:pPr>
        <w:pStyle w:val="zSubsection"/>
      </w:pPr>
      <w:r>
        <w:tab/>
        <w:t>(1)</w:t>
      </w:r>
      <w:r>
        <w:tab/>
        <w:t xml:space="preserve">The accountable authority of the office of the Inspector of Custodial Services is to prepare, as part of the report referred to in the </w:t>
      </w:r>
      <w:r>
        <w:rPr>
          <w:i/>
        </w:rPr>
        <w:t>Inspector of Custodial Services Act 2003</w:t>
      </w:r>
      <w:r>
        <w:t xml:space="preserve"> section 33(2), an annual report that contains — </w:t>
      </w:r>
    </w:p>
    <w:p>
      <w:pPr>
        <w:pStyle w:val="zIndenta"/>
      </w:pPr>
      <w:r>
        <w:tab/>
        <w:t>(a)</w:t>
      </w:r>
      <w:r>
        <w:tab/>
        <w:t>financial statements for the relevant financial year; and</w:t>
      </w:r>
    </w:p>
    <w:p>
      <w:pPr>
        <w:pStyle w:val="zIndenta"/>
      </w:pPr>
      <w:r>
        <w:tab/>
        <w:t>(b)</w:t>
      </w:r>
      <w:r>
        <w:tab/>
        <w:t>key performance indicators; and</w:t>
      </w:r>
    </w:p>
    <w:p>
      <w:pPr>
        <w:pStyle w:val="zIndenta"/>
      </w:pPr>
      <w:r>
        <w:tab/>
        <w:t>(c)</w:t>
      </w:r>
      <w:r>
        <w:tab/>
        <w:t>a report on the operations of the office during the relevant financial year; and</w:t>
      </w:r>
    </w:p>
    <w:p>
      <w:pPr>
        <w:pStyle w:val="zIndenta"/>
      </w:pPr>
      <w:r>
        <w:tab/>
        <w:t>(d)</w:t>
      </w:r>
      <w:r>
        <w:tab/>
        <w:t>any information prescribed by the Treasurer’s instructions; and</w:t>
      </w:r>
    </w:p>
    <w:p>
      <w:pPr>
        <w:pStyle w:val="zIndenta"/>
      </w:pPr>
      <w:r>
        <w:tab/>
        <w:t>(e)</w:t>
      </w:r>
      <w:r>
        <w:tab/>
        <w:t>if applicable, the report referred to in subsection (2).</w:t>
      </w:r>
    </w:p>
    <w:p>
      <w:pPr>
        <w:pStyle w:val="zSubsection"/>
      </w:pPr>
      <w:r>
        <w:tab/>
        <w:t>(2)</w:t>
      </w:r>
      <w:r>
        <w:tab/>
        <w:t>If the relevant financial year is covered by a resource agreement, the accountable authority of the office of the Inspector of Custodial Services is to include in the annual report a report on the extent to which the office achieved any objectives described in the resource agreement.</w:t>
      </w:r>
    </w:p>
    <w:p>
      <w:pPr>
        <w:pStyle w:val="zHeading5"/>
      </w:pPr>
      <w:bookmarkStart w:id="757" w:name="_Toc154313378"/>
      <w:bookmarkStart w:id="758" w:name="_Toc154556291"/>
      <w:bookmarkStart w:id="759" w:name="_Toc156192947"/>
      <w:r>
        <w:t>62.</w:t>
      </w:r>
      <w:r>
        <w:tab/>
        <w:t>Financial statements</w:t>
      </w:r>
      <w:bookmarkEnd w:id="757"/>
      <w:bookmarkEnd w:id="758"/>
      <w:bookmarkEnd w:id="759"/>
    </w:p>
    <w:p>
      <w:pPr>
        <w:pStyle w:val="zSubsection"/>
        <w:spacing w:before="120"/>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zSubsection"/>
        <w:spacing w:before="120"/>
      </w:pPr>
      <w:r>
        <w:tab/>
        <w:t>(2)</w:t>
      </w:r>
      <w:r>
        <w:tab/>
        <w:t xml:space="preserve">Without limiting subsection (1), the financial statements referred to in section 61(1)(a) — </w:t>
      </w:r>
    </w:p>
    <w:p>
      <w:pPr>
        <w:pStyle w:val="zIndenta"/>
      </w:pPr>
      <w:r>
        <w:tab/>
        <w:t>(a)</w:t>
      </w:r>
      <w:r>
        <w:tab/>
        <w:t>are to include any financial statements and information prescribed by the Treasurer’s instructions; and</w:t>
      </w:r>
    </w:p>
    <w:p>
      <w:pPr>
        <w:pStyle w:val="zIndenta"/>
      </w:pPr>
      <w:r>
        <w:tab/>
        <w:t>(b)</w:t>
      </w:r>
      <w:r>
        <w:tab/>
        <w:t>are to be certified in the manner prescribed by the Treasurer’s instructions.</w:t>
      </w:r>
    </w:p>
    <w:p>
      <w:pPr>
        <w:pStyle w:val="zSubsection"/>
        <w:spacing w:before="120"/>
      </w:pPr>
      <w:r>
        <w:tab/>
        <w:t>(3)</w:t>
      </w:r>
      <w:r>
        <w:tab/>
        <w:t xml:space="preserve">In subsection (1) — </w:t>
      </w:r>
    </w:p>
    <w:p>
      <w:pPr>
        <w:pStyle w:val="zDefstart"/>
      </w:pPr>
      <w:r>
        <w:tab/>
      </w:r>
      <w:r>
        <w:rPr>
          <w:rStyle w:val="CharDefText"/>
        </w:rPr>
        <w:t>Australian Accounting Standards Board</w:t>
      </w:r>
      <w:r>
        <w:t xml:space="preserve"> means the body of that name continued in existence under the Commonwealth </w:t>
      </w:r>
      <w:r>
        <w:rPr>
          <w:i/>
          <w:iCs/>
        </w:rPr>
        <w:t>Australian Securities and Investments Commission Act 2001</w:t>
      </w:r>
      <w:r>
        <w:t>.</w:t>
      </w:r>
    </w:p>
    <w:p>
      <w:pPr>
        <w:pStyle w:val="zHeading5"/>
      </w:pPr>
      <w:bookmarkStart w:id="760" w:name="_Toc154313379"/>
      <w:bookmarkStart w:id="761" w:name="_Toc154556292"/>
      <w:bookmarkStart w:id="762" w:name="_Toc156192948"/>
      <w:r>
        <w:t>63.</w:t>
      </w:r>
      <w:r>
        <w:rPr>
          <w:b w:val="0"/>
        </w:rPr>
        <w:tab/>
      </w:r>
      <w:r>
        <w:t>Accountable authority to submit financial reports and other information</w:t>
      </w:r>
      <w:bookmarkEnd w:id="760"/>
      <w:bookmarkEnd w:id="761"/>
      <w:bookmarkEnd w:id="762"/>
    </w:p>
    <w:p>
      <w:pPr>
        <w:pStyle w:val="zSubsection"/>
        <w:spacing w:before="120"/>
      </w:pPr>
      <w:r>
        <w:tab/>
      </w:r>
      <w:r>
        <w:tab/>
        <w:t xml:space="preserve">The accountable authority of the office of the Inspector of Custodial Services is to submit to the Auditor General — </w:t>
      </w:r>
    </w:p>
    <w:p>
      <w:pPr>
        <w:pStyle w:val="zIndenta"/>
      </w:pPr>
      <w:r>
        <w:tab/>
        <w:t>(a)</w:t>
      </w:r>
      <w:r>
        <w:tab/>
        <w:t>the financial statements and key performance indicators referred to in section 61(1)(a) and (b); and</w:t>
      </w:r>
    </w:p>
    <w:p>
      <w:pPr>
        <w:pStyle w:val="zIndenta"/>
      </w:pPr>
      <w:r>
        <w:tab/>
        <w:t>(b)</w:t>
      </w:r>
      <w:r>
        <w:tab/>
        <w:t>any other information referred to in section 61(1)(d) that is required by the Treasurer’s instructions to be submitted to the Auditor General under this section.</w:t>
      </w:r>
    </w:p>
    <w:p>
      <w:pPr>
        <w:pStyle w:val="MiscClose"/>
        <w:ind w:right="141"/>
      </w:pPr>
      <w:r>
        <w:t xml:space="preserve">    ”.</w:t>
      </w:r>
    </w:p>
    <w:p>
      <w:pPr>
        <w:pStyle w:val="yFootnotesection"/>
        <w:spacing w:before="80"/>
      </w:pPr>
      <w:r>
        <w:tab/>
        <w:t>[Schedule 1 inserted by No. 77 of 2006 s. 17.]</w:t>
      </w:r>
    </w:p>
    <w:p>
      <w:pPr>
        <w:pStyle w:val="yEdnoteschedule"/>
        <w:spacing w:before="120"/>
      </w:pPr>
      <w:r>
        <w:t>[Schedule 2 omitted under the Reprints Act 1984 s. 7(4)(e).]</w:t>
      </w:r>
    </w:p>
    <w:p>
      <w:pPr>
        <w:pStyle w:val="yFootnotesection"/>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763" w:name="_Toc378839241"/>
      <w:bookmarkStart w:id="764" w:name="_Toc50262510"/>
      <w:bookmarkStart w:id="765" w:name="_Toc123639442"/>
      <w:bookmarkStart w:id="766" w:name="_Toc157918651"/>
      <w:bookmarkStart w:id="767" w:name="_Toc159230981"/>
      <w:bookmarkStart w:id="768" w:name="_Toc159231083"/>
      <w:bookmarkStart w:id="769" w:name="_Toc162676888"/>
      <w:bookmarkStart w:id="770" w:name="_Toc163964623"/>
      <w:bookmarkStart w:id="771" w:name="_Toc164483707"/>
      <w:bookmarkStart w:id="772" w:name="_Toc164569884"/>
      <w:bookmarkStart w:id="773" w:name="_Toc166897083"/>
      <w:bookmarkStart w:id="774" w:name="_Toc231029042"/>
      <w:bookmarkStart w:id="775" w:name="_Toc241050599"/>
      <w:bookmarkEnd w:id="714"/>
      <w:bookmarkEnd w:id="715"/>
      <w:r>
        <w:rPr>
          <w:rStyle w:val="CharSchNo"/>
        </w:rPr>
        <w:t xml:space="preserve">Schedule </w:t>
      </w:r>
      <w:bookmarkStart w:id="776" w:name="_Hlt33331469"/>
      <w:bookmarkEnd w:id="776"/>
      <w:r>
        <w:rPr>
          <w:rStyle w:val="CharSchNo"/>
        </w:rPr>
        <w:t>3</w:t>
      </w:r>
      <w:r>
        <w:t> — </w:t>
      </w:r>
      <w:r>
        <w:rPr>
          <w:rStyle w:val="CharSchText"/>
        </w:rPr>
        <w:t>Savings and transitional</w:t>
      </w:r>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ShoulderClause"/>
      </w:pPr>
      <w:r>
        <w:t>[s. 57]</w:t>
      </w:r>
    </w:p>
    <w:p>
      <w:pPr>
        <w:pStyle w:val="yHeading5"/>
      </w:pPr>
      <w:bookmarkStart w:id="777" w:name="_Toc50262511"/>
      <w:bookmarkStart w:id="778" w:name="_Toc157918652"/>
      <w:bookmarkStart w:id="779" w:name="_Toc378839242"/>
      <w:bookmarkStart w:id="780" w:name="_Toc241050600"/>
      <w:r>
        <w:rPr>
          <w:rStyle w:val="CharSClsNo"/>
        </w:rPr>
        <w:t>1</w:t>
      </w:r>
      <w:r>
        <w:t>.</w:t>
      </w:r>
      <w:r>
        <w:tab/>
      </w:r>
      <w:bookmarkEnd w:id="777"/>
      <w:bookmarkEnd w:id="778"/>
      <w:r>
        <w:t>Terms used in this Schedule</w:t>
      </w:r>
      <w:bookmarkEnd w:id="779"/>
      <w:bookmarkEnd w:id="780"/>
    </w:p>
    <w:p>
      <w:pPr>
        <w:pStyle w:val="ySubsection"/>
      </w:pPr>
      <w:r>
        <w:tab/>
      </w:r>
      <w:r>
        <w:tab/>
        <w:t xml:space="preserve">In this Schedule — </w:t>
      </w:r>
    </w:p>
    <w:p>
      <w:pPr>
        <w:pStyle w:val="yDefstart"/>
      </w:pPr>
      <w:r>
        <w:rPr>
          <w:b/>
        </w:rPr>
        <w:tab/>
      </w:r>
      <w:r>
        <w:rPr>
          <w:rStyle w:val="CharDefText"/>
        </w:rPr>
        <w:t>commencement</w:t>
      </w:r>
      <w:r>
        <w:t xml:space="preserve"> means the day on which this Act comes into operation;</w:t>
      </w:r>
    </w:p>
    <w:p>
      <w:pPr>
        <w:pStyle w:val="yDefstart"/>
      </w:pPr>
      <w:r>
        <w:rPr>
          <w:b/>
        </w:rPr>
        <w:tab/>
      </w:r>
      <w:r>
        <w:rPr>
          <w:rStyle w:val="CharDefText"/>
        </w:rPr>
        <w:t>repealed provisions</w:t>
      </w:r>
      <w:r>
        <w:t xml:space="preserve"> means Part XA of the </w:t>
      </w:r>
      <w:r>
        <w:rPr>
          <w:i/>
        </w:rPr>
        <w:t>Prisons Act 1981</w:t>
      </w:r>
      <w:r>
        <w:t xml:space="preserve"> repealed by section </w:t>
      </w:r>
      <w:bookmarkStart w:id="781" w:name="_Hlt37063128"/>
      <w:r>
        <w:t>56</w:t>
      </w:r>
      <w:bookmarkEnd w:id="781"/>
      <w:r>
        <w:rPr>
          <w:vertAlign w:val="superscript"/>
        </w:rPr>
        <w:t> 5</w:t>
      </w:r>
      <w:r>
        <w:t>.</w:t>
      </w:r>
    </w:p>
    <w:p>
      <w:pPr>
        <w:pStyle w:val="yHeading5"/>
      </w:pPr>
      <w:bookmarkStart w:id="782" w:name="_Toc378839243"/>
      <w:bookmarkStart w:id="783" w:name="_Toc50262512"/>
      <w:bookmarkStart w:id="784" w:name="_Toc157918653"/>
      <w:bookmarkStart w:id="785" w:name="_Toc241050601"/>
      <w:r>
        <w:rPr>
          <w:rStyle w:val="CharSClsNo"/>
        </w:rPr>
        <w:t>2</w:t>
      </w:r>
      <w:r>
        <w:t>.</w:t>
      </w:r>
      <w:r>
        <w:tab/>
      </w:r>
      <w:r>
        <w:rPr>
          <w:i/>
        </w:rPr>
        <w:t>Interpretation Act 1984</w:t>
      </w:r>
      <w:r>
        <w:t xml:space="preserve"> applies</w:t>
      </w:r>
      <w:bookmarkEnd w:id="782"/>
      <w:bookmarkEnd w:id="783"/>
      <w:bookmarkEnd w:id="784"/>
      <w:bookmarkEnd w:id="785"/>
    </w:p>
    <w:p>
      <w:pPr>
        <w:pStyle w:val="ySubsection"/>
      </w:pPr>
      <w:r>
        <w:tab/>
      </w:r>
      <w:r>
        <w:tab/>
        <w:t xml:space="preserve">This Schedule does not limit the operation of the </w:t>
      </w:r>
      <w:r>
        <w:rPr>
          <w:i/>
        </w:rPr>
        <w:t>Interpretation Act 1984</w:t>
      </w:r>
      <w:r>
        <w:t>.</w:t>
      </w:r>
    </w:p>
    <w:p>
      <w:pPr>
        <w:pStyle w:val="yHeading5"/>
      </w:pPr>
      <w:bookmarkStart w:id="786" w:name="_Toc378839244"/>
      <w:bookmarkStart w:id="787" w:name="_Toc50262513"/>
      <w:bookmarkStart w:id="788" w:name="_Toc157918654"/>
      <w:bookmarkStart w:id="789" w:name="_Toc241050602"/>
      <w:r>
        <w:rPr>
          <w:rStyle w:val="CharSClsNo"/>
        </w:rPr>
        <w:t>3</w:t>
      </w:r>
      <w:r>
        <w:t>.</w:t>
      </w:r>
      <w:r>
        <w:tab/>
        <w:t>Persons holding offices under, or employed etc. for purposes of repealed provisions</w:t>
      </w:r>
      <w:bookmarkEnd w:id="786"/>
      <w:bookmarkEnd w:id="787"/>
      <w:bookmarkEnd w:id="788"/>
      <w:bookmarkEnd w:id="789"/>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790" w:name="_Toc378839245"/>
      <w:bookmarkStart w:id="791" w:name="_Toc50262514"/>
      <w:bookmarkStart w:id="792" w:name="_Toc157918655"/>
      <w:bookmarkStart w:id="793" w:name="_Toc241050603"/>
      <w:r>
        <w:rPr>
          <w:rStyle w:val="CharSClsNo"/>
        </w:rPr>
        <w:t>4</w:t>
      </w:r>
      <w:r>
        <w:t>.</w:t>
      </w:r>
      <w:r>
        <w:tab/>
        <w:t>Reporting</w:t>
      </w:r>
      <w:bookmarkEnd w:id="790"/>
      <w:bookmarkEnd w:id="791"/>
      <w:bookmarkEnd w:id="792"/>
      <w:bookmarkEnd w:id="793"/>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794" w:name="_Toc378839246"/>
      <w:bookmarkStart w:id="795" w:name="_Toc50262515"/>
      <w:bookmarkStart w:id="796" w:name="_Toc157918656"/>
      <w:bookmarkStart w:id="797" w:name="_Toc241050604"/>
      <w:r>
        <w:rPr>
          <w:rStyle w:val="CharSClsNo"/>
        </w:rPr>
        <w:t>5</w:t>
      </w:r>
      <w:r>
        <w:t>.</w:t>
      </w:r>
      <w:r>
        <w:tab/>
        <w:t>Calculating maximum period between inspections for first inspection of a place under this Act</w:t>
      </w:r>
      <w:bookmarkEnd w:id="794"/>
      <w:bookmarkEnd w:id="795"/>
      <w:bookmarkEnd w:id="796"/>
      <w:bookmarkEnd w:id="797"/>
    </w:p>
    <w:p>
      <w:pPr>
        <w:pStyle w:val="ySubsection"/>
      </w:pPr>
      <w:r>
        <w:tab/>
        <w:t>(1)</w:t>
      </w:r>
      <w:r>
        <w:tab/>
        <w:t>The 3 year period referred to in section </w:t>
      </w:r>
      <w:bookmarkStart w:id="798" w:name="_Hlt37063503"/>
      <w:r>
        <w:t>19</w:t>
      </w:r>
      <w:bookmarkEnd w:id="798"/>
      <w:r>
        <w:t xml:space="preserve"> in relation to an inspection of a prison is to be calculated in the first instance from the time of the last inspection of that prison under the repealed provisions.</w:t>
      </w:r>
    </w:p>
    <w:p>
      <w:pPr>
        <w:pStyle w:val="ySubsection"/>
      </w:pPr>
      <w:r>
        <w:tab/>
        <w:t>(2)</w:t>
      </w:r>
      <w:r>
        <w:tab/>
        <w:t>The 3 year period referred to in section </w:t>
      </w:r>
      <w:bookmarkStart w:id="799" w:name="_Hlt25125593"/>
      <w:r>
        <w:t>19</w:t>
      </w:r>
      <w:bookmarkEnd w:id="799"/>
      <w:r>
        <w:t xml:space="preserve">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r>
        <w:rPr>
          <w:vertAlign w:val="superscript"/>
        </w:rPr>
        <w:t> 2</w:t>
      </w:r>
      <w:r>
        <w:t>.</w:t>
      </w:r>
    </w:p>
    <w:p>
      <w:pPr>
        <w:pStyle w:val="yHeading5"/>
      </w:pPr>
      <w:bookmarkStart w:id="800" w:name="_Toc378839247"/>
      <w:bookmarkStart w:id="801" w:name="_Toc50262516"/>
      <w:bookmarkStart w:id="802" w:name="_Toc157918657"/>
      <w:bookmarkStart w:id="803" w:name="_Toc241050605"/>
      <w:r>
        <w:rPr>
          <w:rStyle w:val="CharSClsNo"/>
        </w:rPr>
        <w:t>6</w:t>
      </w:r>
      <w:r>
        <w:t>.</w:t>
      </w:r>
      <w:r>
        <w:tab/>
        <w:t>Independent prison visitors and independent detention centre visitors</w:t>
      </w:r>
      <w:bookmarkEnd w:id="800"/>
      <w:bookmarkEnd w:id="801"/>
      <w:bookmarkEnd w:id="802"/>
      <w:bookmarkEnd w:id="803"/>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w:t>
      </w:r>
      <w:bookmarkStart w:id="804" w:name="_Hlt37063480"/>
      <w:r>
        <w:t>39</w:t>
      </w:r>
      <w:bookmarkEnd w:id="804"/>
      <w:r>
        <w:t xml:space="preserve">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w:t>
      </w:r>
      <w:bookmarkStart w:id="805" w:name="_Hlt37063437"/>
      <w:r>
        <w:t>41</w:t>
      </w:r>
      <w:bookmarkEnd w:id="805"/>
      <w:r>
        <w:t xml:space="preserve"> of this Act on the same terms and conditions as applied to the person’s appointment under the </w:t>
      </w:r>
      <w:r>
        <w:rPr>
          <w:i/>
        </w:rPr>
        <w:t>Young Offenders Act 1994</w:t>
      </w:r>
      <w:r>
        <w:t xml:space="preserve"> section 166.</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806" w:name="_Toc378839248"/>
      <w:bookmarkStart w:id="807" w:name="_Toc107884446"/>
      <w:bookmarkStart w:id="808" w:name="_Toc107910309"/>
      <w:bookmarkStart w:id="809" w:name="_Toc123555548"/>
      <w:bookmarkStart w:id="810" w:name="_Toc123639356"/>
      <w:bookmarkStart w:id="811" w:name="_Toc123639449"/>
      <w:bookmarkStart w:id="812" w:name="_Toc157918658"/>
      <w:bookmarkStart w:id="813" w:name="_Toc159230988"/>
      <w:bookmarkStart w:id="814" w:name="_Toc159231090"/>
      <w:bookmarkStart w:id="815" w:name="_Toc162676895"/>
      <w:bookmarkStart w:id="816" w:name="_Toc163964630"/>
      <w:bookmarkStart w:id="817" w:name="_Toc164483714"/>
      <w:bookmarkStart w:id="818" w:name="_Toc164569891"/>
      <w:bookmarkStart w:id="819" w:name="_Toc166897090"/>
      <w:bookmarkStart w:id="820" w:name="_Toc231029049"/>
      <w:bookmarkStart w:id="821" w:name="_Toc241050606"/>
      <w:r>
        <w:t>Notes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snapToGrid w:val="0"/>
        </w:rPr>
        <w:t xml:space="preserve"> and includes the amendments made by the other written laws referred to in the following table</w:t>
      </w:r>
      <w:del w:id="822" w:author="svcMRProcess" w:date="2018-09-03T14:0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23" w:name="_Toc378839249"/>
      <w:bookmarkStart w:id="824" w:name="_Toc241050607"/>
      <w:r>
        <w:rPr>
          <w:snapToGrid w:val="0"/>
        </w:rPr>
        <w:t>Compilation table</w:t>
      </w:r>
      <w:bookmarkEnd w:id="823"/>
      <w:bookmarkEnd w:id="824"/>
    </w:p>
    <w:tbl>
      <w:tblPr>
        <w:tblW w:w="0" w:type="auto"/>
        <w:tblInd w:w="28" w:type="dxa"/>
        <w:tblLayout w:type="fixed"/>
        <w:tblCellMar>
          <w:left w:w="56" w:type="dxa"/>
          <w:right w:w="56" w:type="dxa"/>
        </w:tblCellMar>
        <w:tblLook w:val="0000" w:firstRow="0" w:lastRow="0" w:firstColumn="0" w:lastColumn="0" w:noHBand="0" w:noVBand="0"/>
      </w:tblPr>
      <w:tblGrid>
        <w:gridCol w:w="2269"/>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Inspector of Custodial Services Act 2003</w:t>
            </w:r>
          </w:p>
        </w:tc>
        <w:tc>
          <w:tcPr>
            <w:tcW w:w="1135" w:type="dxa"/>
            <w:tcBorders>
              <w:top w:val="single" w:sz="8" w:space="0" w:color="auto"/>
            </w:tcBorders>
          </w:tcPr>
          <w:p>
            <w:pPr>
              <w:pStyle w:val="nTable"/>
              <w:spacing w:after="40"/>
              <w:rPr>
                <w:sz w:val="19"/>
              </w:rPr>
            </w:pPr>
            <w:r>
              <w:rPr>
                <w:sz w:val="19"/>
              </w:rPr>
              <w:t>75 of 2003</w:t>
            </w:r>
          </w:p>
        </w:tc>
        <w:tc>
          <w:tcPr>
            <w:tcW w:w="1134" w:type="dxa"/>
            <w:tcBorders>
              <w:top w:val="single" w:sz="8" w:space="0" w:color="auto"/>
            </w:tcBorders>
          </w:tcPr>
          <w:p>
            <w:pPr>
              <w:pStyle w:val="nTable"/>
              <w:spacing w:after="40"/>
              <w:rPr>
                <w:sz w:val="19"/>
              </w:rPr>
            </w:pPr>
            <w:r>
              <w:rPr>
                <w:sz w:val="19"/>
              </w:rPr>
              <w:t>15 Dec 2003</w:t>
            </w:r>
          </w:p>
        </w:tc>
        <w:tc>
          <w:tcPr>
            <w:tcW w:w="2554" w:type="dxa"/>
            <w:tcBorders>
              <w:top w:val="single" w:sz="8" w:space="0" w:color="auto"/>
            </w:tcBorders>
          </w:tcPr>
          <w:p>
            <w:pPr>
              <w:pStyle w:val="nTable"/>
              <w:spacing w:after="40"/>
              <w:rPr>
                <w:sz w:val="19"/>
              </w:rPr>
            </w:pPr>
            <w:r>
              <w:rPr>
                <w:sz w:val="19"/>
              </w:rP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rPr>
            </w:pPr>
            <w:r>
              <w:rPr>
                <w:i/>
                <w:iCs/>
                <w:snapToGrid w:val="0"/>
                <w:sz w:val="19"/>
              </w:rPr>
              <w:t>Financial Administration Legislation Amendment Act 2005</w:t>
            </w:r>
            <w:r>
              <w:rPr>
                <w:snapToGrid w:val="0"/>
                <w:sz w:val="19"/>
              </w:rPr>
              <w:t xml:space="preserve"> s. </w:t>
            </w:r>
            <w:r>
              <w:rPr>
                <w:snapToGrid w:val="0"/>
                <w:sz w:val="19"/>
                <w:vertAlign w:val="superscript"/>
              </w:rPr>
              <w:t> </w:t>
            </w:r>
            <w:r>
              <w:rPr>
                <w:snapToGrid w:val="0"/>
                <w:sz w:val="19"/>
              </w:rPr>
              <w:t>41</w:t>
            </w:r>
          </w:p>
        </w:tc>
        <w:tc>
          <w:tcPr>
            <w:tcW w:w="1135"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ind w:left="12"/>
              <w:rPr>
                <w:snapToGrid w:val="0"/>
                <w:sz w:val="19"/>
              </w:rPr>
            </w:pPr>
            <w:r>
              <w:rPr>
                <w:sz w:val="19"/>
              </w:rPr>
              <w:t>27 Jun 2005</w:t>
            </w:r>
          </w:p>
        </w:tc>
        <w:tc>
          <w:tcPr>
            <w:tcW w:w="2554"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s. 4 and 17</w:t>
            </w:r>
          </w:p>
        </w:tc>
        <w:tc>
          <w:tcPr>
            <w:tcW w:w="1135"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ind w:left="12"/>
              <w:rPr>
                <w:sz w:val="19"/>
              </w:rPr>
            </w:pPr>
            <w:r>
              <w:rPr>
                <w:snapToGrid w:val="0"/>
                <w:sz w:val="19"/>
              </w:rPr>
              <w:t>21 Dec 2006</w:t>
            </w:r>
          </w:p>
        </w:tc>
        <w:tc>
          <w:tcPr>
            <w:tcW w:w="2554"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sz w:val="19"/>
              </w:rPr>
            </w:pPr>
            <w:r>
              <w:rPr>
                <w:b/>
                <w:bCs/>
                <w:snapToGrid w:val="0"/>
                <w:sz w:val="19"/>
              </w:rPr>
              <w:t xml:space="preserve">Reprint 1: The </w:t>
            </w:r>
            <w:r>
              <w:rPr>
                <w:b/>
                <w:bCs/>
                <w:i/>
                <w:noProof/>
                <w:snapToGrid w:val="0"/>
                <w:sz w:val="19"/>
              </w:rPr>
              <w:t>Inspector of Custodial Services Act 2003</w:t>
            </w:r>
            <w:r>
              <w:rPr>
                <w:b/>
                <w:bCs/>
                <w:snapToGrid w:val="0"/>
                <w:sz w:val="19"/>
              </w:rPr>
              <w:t xml:space="preserve"> as at 20 Apr 2007</w:t>
            </w:r>
            <w:r>
              <w:rPr>
                <w:snapToGrid w:val="0"/>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bl>
    <w:p>
      <w:pPr>
        <w:pStyle w:val="nSubsection"/>
        <w:rPr>
          <w:del w:id="825" w:author="svcMRProcess" w:date="2018-09-03T14:04:00Z"/>
          <w:snapToGrid w:val="0"/>
        </w:rPr>
      </w:pPr>
      <w:del w:id="826" w:author="svcMRProcess" w:date="2018-09-03T14: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7" w:author="svcMRProcess" w:date="2018-09-03T14:04:00Z"/>
          <w:snapToGrid w:val="0"/>
        </w:rPr>
      </w:pPr>
      <w:bookmarkStart w:id="828" w:name="_Toc534778309"/>
      <w:bookmarkStart w:id="829" w:name="_Toc7405063"/>
      <w:bookmarkStart w:id="830" w:name="_Toc296601212"/>
      <w:del w:id="831" w:author="svcMRProcess" w:date="2018-09-03T14:04:00Z">
        <w:r>
          <w:rPr>
            <w:snapToGrid w:val="0"/>
          </w:rPr>
          <w:delText>Provisions that have not come into operation</w:delText>
        </w:r>
        <w:bookmarkEnd w:id="828"/>
        <w:bookmarkEnd w:id="829"/>
        <w:bookmarkEnd w:id="83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832" w:author="svcMRProcess" w:date="2018-09-03T14:04:00Z"/>
        </w:trPr>
        <w:tc>
          <w:tcPr>
            <w:tcW w:w="2268" w:type="dxa"/>
          </w:tcPr>
          <w:p>
            <w:pPr>
              <w:pStyle w:val="nTable"/>
              <w:spacing w:after="40"/>
              <w:rPr>
                <w:del w:id="833" w:author="svcMRProcess" w:date="2018-09-03T14:04:00Z"/>
                <w:b/>
                <w:snapToGrid w:val="0"/>
                <w:sz w:val="19"/>
                <w:lang w:val="en-US"/>
              </w:rPr>
            </w:pPr>
            <w:del w:id="834" w:author="svcMRProcess" w:date="2018-09-03T14:04:00Z">
              <w:r>
                <w:rPr>
                  <w:b/>
                  <w:snapToGrid w:val="0"/>
                  <w:sz w:val="19"/>
                  <w:lang w:val="en-US"/>
                </w:rPr>
                <w:delText>Short title</w:delText>
              </w:r>
            </w:del>
          </w:p>
        </w:tc>
        <w:tc>
          <w:tcPr>
            <w:tcW w:w="1118" w:type="dxa"/>
          </w:tcPr>
          <w:p>
            <w:pPr>
              <w:pStyle w:val="nTable"/>
              <w:spacing w:after="40"/>
              <w:rPr>
                <w:del w:id="835" w:author="svcMRProcess" w:date="2018-09-03T14:04:00Z"/>
                <w:b/>
                <w:snapToGrid w:val="0"/>
                <w:sz w:val="19"/>
                <w:lang w:val="en-US"/>
              </w:rPr>
            </w:pPr>
            <w:del w:id="836" w:author="svcMRProcess" w:date="2018-09-03T14:04:00Z">
              <w:r>
                <w:rPr>
                  <w:b/>
                  <w:snapToGrid w:val="0"/>
                  <w:sz w:val="19"/>
                  <w:lang w:val="en-US"/>
                </w:rPr>
                <w:delText>Number and year</w:delText>
              </w:r>
            </w:del>
          </w:p>
        </w:tc>
        <w:tc>
          <w:tcPr>
            <w:tcW w:w="1134" w:type="dxa"/>
          </w:tcPr>
          <w:p>
            <w:pPr>
              <w:pStyle w:val="nTable"/>
              <w:spacing w:after="40"/>
              <w:rPr>
                <w:del w:id="837" w:author="svcMRProcess" w:date="2018-09-03T14:04:00Z"/>
                <w:b/>
                <w:snapToGrid w:val="0"/>
                <w:sz w:val="19"/>
                <w:lang w:val="en-US"/>
              </w:rPr>
            </w:pPr>
            <w:del w:id="838" w:author="svcMRProcess" w:date="2018-09-03T14:04:00Z">
              <w:r>
                <w:rPr>
                  <w:b/>
                  <w:snapToGrid w:val="0"/>
                  <w:sz w:val="19"/>
                  <w:lang w:val="en-US"/>
                </w:rPr>
                <w:delText>Assent</w:delText>
              </w:r>
            </w:del>
          </w:p>
        </w:tc>
        <w:tc>
          <w:tcPr>
            <w:tcW w:w="2552" w:type="dxa"/>
          </w:tcPr>
          <w:p>
            <w:pPr>
              <w:pStyle w:val="nTable"/>
              <w:spacing w:after="40"/>
              <w:rPr>
                <w:del w:id="839" w:author="svcMRProcess" w:date="2018-09-03T14:04:00Z"/>
                <w:b/>
                <w:snapToGrid w:val="0"/>
                <w:sz w:val="19"/>
                <w:lang w:val="en-US"/>
              </w:rPr>
            </w:pPr>
            <w:del w:id="840" w:author="svcMRProcess" w:date="2018-09-03T14:0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
                <w:snapToGrid w:val="0"/>
                <w:sz w:val="19"/>
              </w:rPr>
            </w:pPr>
            <w:r>
              <w:rPr>
                <w:i/>
                <w:noProof/>
                <w:snapToGrid w:val="0"/>
                <w:sz w:val="19"/>
              </w:rPr>
              <w:t>Inspector of Custodial Services Amendment Act 2011</w:t>
            </w:r>
            <w:del w:id="841" w:author="svcMRProcess" w:date="2018-09-03T14:04:00Z">
              <w:r>
                <w:rPr>
                  <w:snapToGrid w:val="0"/>
                </w:rPr>
                <w:delText xml:space="preserve"> s. 3</w:delText>
              </w:r>
              <w:r>
                <w:rPr>
                  <w:snapToGrid w:val="0"/>
                </w:rPr>
                <w:noBreakHyphen/>
                <w:delText>10 </w:delText>
              </w:r>
              <w:r>
                <w:rPr>
                  <w:snapToGrid w:val="0"/>
                  <w:vertAlign w:val="superscript"/>
                </w:rPr>
                <w:delText>4</w:delText>
              </w:r>
            </w:del>
          </w:p>
        </w:tc>
        <w:tc>
          <w:tcPr>
            <w:tcW w:w="1134" w:type="dxa"/>
            <w:tcBorders>
              <w:bottom w:val="single" w:sz="4" w:space="0" w:color="auto"/>
            </w:tcBorders>
          </w:tcPr>
          <w:p>
            <w:pPr>
              <w:pStyle w:val="nTable"/>
              <w:spacing w:after="40"/>
              <w:rPr>
                <w:sz w:val="19"/>
              </w:rPr>
            </w:pPr>
            <w:r>
              <w:rPr>
                <w:sz w:val="19"/>
              </w:rPr>
              <w:t>52 of 2011</w:t>
            </w:r>
          </w:p>
        </w:tc>
        <w:tc>
          <w:tcPr>
            <w:tcW w:w="1134" w:type="dxa"/>
            <w:tcBorders>
              <w:bottom w:val="single" w:sz="4" w:space="0" w:color="auto"/>
            </w:tcBorders>
          </w:tcPr>
          <w:p>
            <w:pPr>
              <w:pStyle w:val="nTable"/>
              <w:spacing w:after="40"/>
              <w:rPr>
                <w:sz w:val="19"/>
              </w:rPr>
            </w:pPr>
            <w:r>
              <w:rPr>
                <w:sz w:val="19"/>
              </w:rPr>
              <w:t>11 Nov 2011</w:t>
            </w:r>
          </w:p>
        </w:tc>
        <w:tc>
          <w:tcPr>
            <w:tcW w:w="2552" w:type="dxa"/>
            <w:tcBorders>
              <w:bottom w:val="single" w:sz="4" w:space="0" w:color="auto"/>
            </w:tcBorders>
          </w:tcPr>
          <w:p>
            <w:pPr>
              <w:pStyle w:val="nTable"/>
              <w:spacing w:after="40"/>
              <w:rPr>
                <w:sz w:val="19"/>
              </w:rPr>
            </w:pPr>
            <w:del w:id="842" w:author="svcMRProcess" w:date="2018-09-03T14:04:00Z">
              <w:r>
                <w:rPr>
                  <w:snapToGrid w:val="0"/>
                  <w:sz w:val="19"/>
                  <w:lang w:val="en-US"/>
                </w:rPr>
                <w:delText>To be proclaimed (see s. 2(b))</w:delText>
              </w:r>
            </w:del>
            <w:ins w:id="843" w:author="svcMRProcess" w:date="2018-09-03T14:04:00Z">
              <w:r>
                <w:rPr>
                  <w:sz w:val="19"/>
                </w:rPr>
                <w:t>s. 1 and 2: 11 Nov 2011 (see s. 2(a));</w:t>
              </w:r>
              <w:r>
                <w:rPr>
                  <w:sz w:val="19"/>
                </w:rPr>
                <w:br/>
                <w:t xml:space="preserve">Act other than s. 1 and 2: 18 Jan 2012 (see s. 2(b) and </w:t>
              </w:r>
              <w:r>
                <w:rPr>
                  <w:i/>
                  <w:sz w:val="19"/>
                </w:rPr>
                <w:t>Gazette</w:t>
              </w:r>
              <w:r>
                <w:rPr>
                  <w:sz w:val="19"/>
                </w:rPr>
                <w:t xml:space="preserve"> 17 Jan 2012 p. 463)</w:t>
              </w:r>
            </w:ins>
          </w:p>
        </w:tc>
      </w:tr>
    </w:tbl>
    <w:p>
      <w:pPr>
        <w:pStyle w:val="nSubsection"/>
      </w:pPr>
      <w:r>
        <w:rPr>
          <w:vertAlign w:val="superscript"/>
        </w:rPr>
        <w:t>2</w:t>
      </w:r>
      <w:r>
        <w:tab/>
        <w:t xml:space="preserve">The provision in this Act amending these Acts and regulations has been omitted under the </w:t>
      </w:r>
      <w:r>
        <w:rPr>
          <w:i/>
          <w:iCs/>
        </w:rPr>
        <w:t>Reprints Act 1984</w:t>
      </w:r>
      <w:r>
        <w:t xml:space="preserve"> s. 7(4)(e).</w:t>
      </w:r>
    </w:p>
    <w:p>
      <w:pPr>
        <w:pStyle w:val="nSubsection"/>
        <w:rPr>
          <w:i/>
          <w:noProof/>
          <w:snapToGrid w:val="0"/>
        </w:rPr>
      </w:pPr>
      <w:r>
        <w:rPr>
          <w:vertAlign w:val="superscript"/>
        </w:rPr>
        <w:t>3</w:t>
      </w:r>
      <w:r>
        <w:tab/>
        <w:t xml:space="preserve">Repealed by the </w:t>
      </w:r>
      <w:r>
        <w:rPr>
          <w:i/>
          <w:noProof/>
          <w:snapToGrid w:val="0"/>
        </w:rPr>
        <w:t>Corruption and Crime Commission Amendment and Repeal Act 2003.</w:t>
      </w:r>
    </w:p>
    <w:p>
      <w:pPr>
        <w:pStyle w:val="nSubsection"/>
      </w:pPr>
      <w:r>
        <w:tab/>
        <w:t xml:space="preserve">Under the </w:t>
      </w:r>
      <w:r>
        <w:rPr>
          <w:i/>
          <w:iCs/>
        </w:rPr>
        <w:t>Corruption and Crime Commission Amendment and Repeal Act 2003</w:t>
      </w:r>
      <w:r>
        <w:t xml:space="preserve"> Pt. 3 Div. 3 Subdiv. 2 s. 55, in any written law or document, a reference to the </w:t>
      </w:r>
      <w:bookmarkStart w:id="844" w:name="UpToHere"/>
      <w:bookmarkEnd w:id="844"/>
      <w:r>
        <w:rPr>
          <w:i/>
          <w:iCs/>
        </w:rPr>
        <w:t>Anti-Corruption Commission Act 1988</w:t>
      </w:r>
      <w:r>
        <w:t xml:space="preserve"> may, if the context permits, be taken as a reference to the </w:t>
      </w:r>
      <w:r>
        <w:rPr>
          <w:i/>
          <w:iCs/>
        </w:rPr>
        <w:t>Corruption and Crime Commission Act 2003</w:t>
      </w:r>
      <w:r>
        <w:t>.</w:t>
      </w:r>
    </w:p>
    <w:p>
      <w:pPr>
        <w:pStyle w:val="nSubsection"/>
        <w:rPr>
          <w:del w:id="845" w:author="svcMRProcess" w:date="2018-09-03T14:04:00Z"/>
          <w:snapToGrid w:val="0"/>
        </w:rPr>
      </w:pPr>
      <w:del w:id="846" w:author="svcMRProcess" w:date="2018-09-03T14:04:00Z">
        <w:r>
          <w:rPr>
            <w:snapToGrid w:val="0"/>
            <w:vertAlign w:val="superscript"/>
          </w:rPr>
          <w:delText>4</w:delText>
        </w:r>
        <w:r>
          <w:rPr>
            <w:snapToGrid w:val="0"/>
          </w:rPr>
          <w:tab/>
        </w:r>
        <w:r>
          <w:rPr>
            <w:iCs/>
            <w:noProof/>
            <w:snapToGrid w:val="0"/>
          </w:rPr>
          <w:delText>On</w:delText>
        </w:r>
        <w:r>
          <w:delText xml:space="preserve"> the date as at which this compilation was prepared, </w:delText>
        </w:r>
        <w:r>
          <w:rPr>
            <w:snapToGrid w:val="0"/>
          </w:rPr>
          <w:delText xml:space="preserve">the </w:delText>
        </w:r>
        <w:r>
          <w:rPr>
            <w:i/>
            <w:snapToGrid w:val="0"/>
          </w:rPr>
          <w:delText>Inspector of Custodial Services Amendment Act 2011</w:delText>
        </w:r>
        <w:r>
          <w:rPr>
            <w:snapToGrid w:val="0"/>
          </w:rPr>
          <w:delText xml:space="preserve"> s. 3</w:delText>
        </w:r>
        <w:r>
          <w:rPr>
            <w:snapToGrid w:val="0"/>
          </w:rPr>
          <w:noBreakHyphen/>
          <w:delText>10 had not come into operation.  They read as follows:</w:delText>
        </w:r>
      </w:del>
    </w:p>
    <w:p>
      <w:pPr>
        <w:pStyle w:val="BlankOpen"/>
        <w:rPr>
          <w:del w:id="847" w:author="svcMRProcess" w:date="2018-09-03T14:04:00Z"/>
        </w:rPr>
      </w:pPr>
    </w:p>
    <w:p>
      <w:pPr>
        <w:pStyle w:val="nzHeading5"/>
        <w:rPr>
          <w:del w:id="848" w:author="svcMRProcess" w:date="2018-09-03T14:04:00Z"/>
          <w:snapToGrid w:val="0"/>
        </w:rPr>
      </w:pPr>
      <w:bookmarkStart w:id="849" w:name="_Toc309034782"/>
      <w:bookmarkStart w:id="850" w:name="_Toc309034810"/>
      <w:del w:id="851" w:author="svcMRProcess" w:date="2018-09-03T14:04:00Z">
        <w:r>
          <w:rPr>
            <w:rStyle w:val="CharSectno"/>
          </w:rPr>
          <w:delText>3</w:delText>
        </w:r>
        <w:r>
          <w:rPr>
            <w:snapToGrid w:val="0"/>
          </w:rPr>
          <w:delText>.</w:delText>
        </w:r>
        <w:r>
          <w:rPr>
            <w:snapToGrid w:val="0"/>
          </w:rPr>
          <w:tab/>
          <w:delText>Act amended</w:delText>
        </w:r>
        <w:bookmarkEnd w:id="849"/>
        <w:bookmarkEnd w:id="850"/>
      </w:del>
    </w:p>
    <w:p>
      <w:pPr>
        <w:pStyle w:val="nzSubsection"/>
        <w:rPr>
          <w:del w:id="852" w:author="svcMRProcess" w:date="2018-09-03T14:04:00Z"/>
        </w:rPr>
      </w:pPr>
      <w:del w:id="853" w:author="svcMRProcess" w:date="2018-09-03T14:04:00Z">
        <w:r>
          <w:tab/>
        </w:r>
        <w:r>
          <w:tab/>
          <w:delText xml:space="preserve">This Act amends the </w:delText>
        </w:r>
        <w:r>
          <w:rPr>
            <w:i/>
          </w:rPr>
          <w:delText>Inspector of Custodial Services Act 2003</w:delText>
        </w:r>
        <w:r>
          <w:delText>.</w:delText>
        </w:r>
      </w:del>
    </w:p>
    <w:p>
      <w:pPr>
        <w:pStyle w:val="nzHeading5"/>
        <w:rPr>
          <w:del w:id="854" w:author="svcMRProcess" w:date="2018-09-03T14:04:00Z"/>
        </w:rPr>
      </w:pPr>
      <w:bookmarkStart w:id="855" w:name="_Toc309034783"/>
      <w:bookmarkStart w:id="856" w:name="_Toc309034811"/>
      <w:del w:id="857" w:author="svcMRProcess" w:date="2018-09-03T14:04:00Z">
        <w:r>
          <w:rPr>
            <w:rStyle w:val="CharSectno"/>
          </w:rPr>
          <w:delText>4</w:delText>
        </w:r>
        <w:r>
          <w:delText>.</w:delText>
        </w:r>
        <w:r>
          <w:tab/>
          <w:delText>Section 22 amended</w:delText>
        </w:r>
        <w:bookmarkEnd w:id="855"/>
        <w:bookmarkEnd w:id="856"/>
      </w:del>
    </w:p>
    <w:p>
      <w:pPr>
        <w:pStyle w:val="nzSubsection"/>
        <w:rPr>
          <w:del w:id="858" w:author="svcMRProcess" w:date="2018-09-03T14:04:00Z"/>
        </w:rPr>
      </w:pPr>
      <w:del w:id="859" w:author="svcMRProcess" w:date="2018-09-03T14:04:00Z">
        <w:r>
          <w:tab/>
          <w:delText>(1)</w:delText>
        </w:r>
        <w:r>
          <w:tab/>
          <w:delText>In section 22 delete “The” and insert:</w:delText>
        </w:r>
      </w:del>
    </w:p>
    <w:p>
      <w:pPr>
        <w:pStyle w:val="BlankOpen"/>
        <w:rPr>
          <w:del w:id="860" w:author="svcMRProcess" w:date="2018-09-03T14:04:00Z"/>
        </w:rPr>
      </w:pPr>
    </w:p>
    <w:p>
      <w:pPr>
        <w:pStyle w:val="nzSubsection"/>
        <w:rPr>
          <w:del w:id="861" w:author="svcMRProcess" w:date="2018-09-03T14:04:00Z"/>
        </w:rPr>
      </w:pPr>
      <w:del w:id="862" w:author="svcMRProcess" w:date="2018-09-03T14:04:00Z">
        <w:r>
          <w:tab/>
          <w:delText>(1)</w:delText>
        </w:r>
        <w:r>
          <w:tab/>
          <w:delText>The</w:delText>
        </w:r>
      </w:del>
    </w:p>
    <w:p>
      <w:pPr>
        <w:pStyle w:val="BlankClose"/>
        <w:rPr>
          <w:del w:id="863" w:author="svcMRProcess" w:date="2018-09-03T14:04:00Z"/>
        </w:rPr>
      </w:pPr>
    </w:p>
    <w:p>
      <w:pPr>
        <w:pStyle w:val="nzSubsection"/>
        <w:rPr>
          <w:del w:id="864" w:author="svcMRProcess" w:date="2018-09-03T14:04:00Z"/>
        </w:rPr>
      </w:pPr>
      <w:del w:id="865" w:author="svcMRProcess" w:date="2018-09-03T14:04:00Z">
        <w:r>
          <w:tab/>
          <w:delText>(2)</w:delText>
        </w:r>
        <w:r>
          <w:tab/>
          <w:delText>At the end of section 22 insert:</w:delText>
        </w:r>
      </w:del>
    </w:p>
    <w:p>
      <w:pPr>
        <w:pStyle w:val="BlankOpen"/>
        <w:rPr>
          <w:del w:id="866" w:author="svcMRProcess" w:date="2018-09-03T14:04:00Z"/>
        </w:rPr>
      </w:pPr>
    </w:p>
    <w:p>
      <w:pPr>
        <w:pStyle w:val="nzSubsection"/>
        <w:rPr>
          <w:del w:id="867" w:author="svcMRProcess" w:date="2018-09-03T14:04:00Z"/>
        </w:rPr>
      </w:pPr>
      <w:del w:id="868" w:author="svcMRProcess" w:date="2018-09-03T14:04:00Z">
        <w:r>
          <w:tab/>
          <w:delText>(2)</w:delText>
        </w:r>
        <w:r>
          <w:tab/>
          <w:delText xml:space="preserve">Without limiting subsection (1), a review may be carried out under that subsection of the following or any aspect of the following — </w:delText>
        </w:r>
      </w:del>
    </w:p>
    <w:p>
      <w:pPr>
        <w:pStyle w:val="nzIndenta"/>
        <w:rPr>
          <w:del w:id="869" w:author="svcMRProcess" w:date="2018-09-03T14:04:00Z"/>
        </w:rPr>
      </w:pPr>
      <w:del w:id="870" w:author="svcMRProcess" w:date="2018-09-03T14:04:00Z">
        <w:r>
          <w:tab/>
          <w:delText>(a)</w:delText>
        </w:r>
        <w:r>
          <w:tab/>
          <w:delText>a custodial service in relation to one or more particular prisoners;</w:delText>
        </w:r>
      </w:del>
    </w:p>
    <w:p>
      <w:pPr>
        <w:pStyle w:val="nzIndenta"/>
        <w:rPr>
          <w:del w:id="871" w:author="svcMRProcess" w:date="2018-09-03T14:04:00Z"/>
        </w:rPr>
      </w:pPr>
      <w:del w:id="872" w:author="svcMRProcess" w:date="2018-09-03T14:04:00Z">
        <w:r>
          <w:tab/>
          <w:delText>(b)</w:delText>
        </w:r>
        <w:r>
          <w:tab/>
          <w:delText>a custodial service in relation to one or more particular detainees;</w:delText>
        </w:r>
      </w:del>
    </w:p>
    <w:p>
      <w:pPr>
        <w:pStyle w:val="nzIndenta"/>
        <w:rPr>
          <w:del w:id="873" w:author="svcMRProcess" w:date="2018-09-03T14:04:00Z"/>
        </w:rPr>
      </w:pPr>
      <w:del w:id="874" w:author="svcMRProcess" w:date="2018-09-03T14:04:00Z">
        <w:r>
          <w:tab/>
          <w:delText>(c)</w:delText>
        </w:r>
        <w:r>
          <w:tab/>
          <w:delText>a custodial service (CSCS Act) in relation to one or more particular persons in custody.</w:delText>
        </w:r>
      </w:del>
    </w:p>
    <w:p>
      <w:pPr>
        <w:pStyle w:val="BlankClose"/>
        <w:rPr>
          <w:del w:id="875" w:author="svcMRProcess" w:date="2018-09-03T14:04:00Z"/>
        </w:rPr>
      </w:pPr>
    </w:p>
    <w:p>
      <w:pPr>
        <w:pStyle w:val="nzHeading5"/>
        <w:rPr>
          <w:del w:id="876" w:author="svcMRProcess" w:date="2018-09-03T14:04:00Z"/>
        </w:rPr>
      </w:pPr>
      <w:bookmarkStart w:id="877" w:name="_Toc309034784"/>
      <w:bookmarkStart w:id="878" w:name="_Toc309034812"/>
      <w:del w:id="879" w:author="svcMRProcess" w:date="2018-09-03T14:04:00Z">
        <w:r>
          <w:rPr>
            <w:rStyle w:val="CharSectno"/>
          </w:rPr>
          <w:delText>5</w:delText>
        </w:r>
        <w:r>
          <w:delText>.</w:delText>
        </w:r>
        <w:r>
          <w:tab/>
          <w:delText>Section 28 amended</w:delText>
        </w:r>
        <w:bookmarkEnd w:id="877"/>
        <w:bookmarkEnd w:id="878"/>
      </w:del>
    </w:p>
    <w:p>
      <w:pPr>
        <w:pStyle w:val="nzSubsection"/>
        <w:rPr>
          <w:del w:id="880" w:author="svcMRProcess" w:date="2018-09-03T14:04:00Z"/>
        </w:rPr>
      </w:pPr>
      <w:del w:id="881" w:author="svcMRProcess" w:date="2018-09-03T14:04:00Z">
        <w:r>
          <w:tab/>
        </w:r>
        <w:r>
          <w:tab/>
          <w:delText>In section 28(1):</w:delText>
        </w:r>
      </w:del>
    </w:p>
    <w:p>
      <w:pPr>
        <w:pStyle w:val="nzIndenta"/>
        <w:rPr>
          <w:del w:id="882" w:author="svcMRProcess" w:date="2018-09-03T14:04:00Z"/>
        </w:rPr>
      </w:pPr>
      <w:del w:id="883" w:author="svcMRProcess" w:date="2018-09-03T14:04:00Z">
        <w:r>
          <w:tab/>
          <w:delText>(a)</w:delText>
        </w:r>
        <w:r>
          <w:tab/>
          <w:delText>delete “section 22(a),” and insert:</w:delText>
        </w:r>
      </w:del>
    </w:p>
    <w:p>
      <w:pPr>
        <w:pStyle w:val="BlankOpen"/>
        <w:rPr>
          <w:del w:id="884" w:author="svcMRProcess" w:date="2018-09-03T14:04:00Z"/>
        </w:rPr>
      </w:pPr>
    </w:p>
    <w:p>
      <w:pPr>
        <w:pStyle w:val="nzIndenta"/>
        <w:rPr>
          <w:del w:id="885" w:author="svcMRProcess" w:date="2018-09-03T14:04:00Z"/>
        </w:rPr>
      </w:pPr>
      <w:del w:id="886" w:author="svcMRProcess" w:date="2018-09-03T14:04:00Z">
        <w:r>
          <w:tab/>
        </w:r>
        <w:r>
          <w:tab/>
          <w:delText>section 22(1)(a) or (2)(a),</w:delText>
        </w:r>
      </w:del>
    </w:p>
    <w:p>
      <w:pPr>
        <w:pStyle w:val="BlankClose"/>
        <w:rPr>
          <w:del w:id="887" w:author="svcMRProcess" w:date="2018-09-03T14:04:00Z"/>
        </w:rPr>
      </w:pPr>
    </w:p>
    <w:p>
      <w:pPr>
        <w:pStyle w:val="nzIndenta"/>
        <w:rPr>
          <w:del w:id="888" w:author="svcMRProcess" w:date="2018-09-03T14:04:00Z"/>
        </w:rPr>
      </w:pPr>
      <w:del w:id="889" w:author="svcMRProcess" w:date="2018-09-03T14:04:00Z">
        <w:r>
          <w:tab/>
          <w:delText>(b)</w:delText>
        </w:r>
        <w:r>
          <w:tab/>
          <w:delText>in paragraph (g) delete “prison; and” and insert:</w:delText>
        </w:r>
      </w:del>
    </w:p>
    <w:p>
      <w:pPr>
        <w:pStyle w:val="BlankOpen"/>
        <w:rPr>
          <w:del w:id="890" w:author="svcMRProcess" w:date="2018-09-03T14:04:00Z"/>
        </w:rPr>
      </w:pPr>
    </w:p>
    <w:p>
      <w:pPr>
        <w:pStyle w:val="nzIndenta"/>
        <w:rPr>
          <w:del w:id="891" w:author="svcMRProcess" w:date="2018-09-03T14:04:00Z"/>
        </w:rPr>
      </w:pPr>
      <w:del w:id="892" w:author="svcMRProcess" w:date="2018-09-03T14:04:00Z">
        <w:r>
          <w:tab/>
        </w:r>
        <w:r>
          <w:tab/>
          <w:delText>prison or to a person who is, or has been, a prisoner; and</w:delText>
        </w:r>
      </w:del>
    </w:p>
    <w:p>
      <w:pPr>
        <w:pStyle w:val="BlankClose"/>
        <w:rPr>
          <w:del w:id="893" w:author="svcMRProcess" w:date="2018-09-03T14:04:00Z"/>
        </w:rPr>
      </w:pPr>
    </w:p>
    <w:p>
      <w:pPr>
        <w:pStyle w:val="nzIndenta"/>
        <w:rPr>
          <w:del w:id="894" w:author="svcMRProcess" w:date="2018-09-03T14:04:00Z"/>
        </w:rPr>
      </w:pPr>
      <w:del w:id="895" w:author="svcMRProcess" w:date="2018-09-03T14:04:00Z">
        <w:r>
          <w:tab/>
          <w:delText>(c)</w:delText>
        </w:r>
        <w:r>
          <w:tab/>
          <w:delText>in paragraph (h)(ii) delete “contract.” and insert:</w:delText>
        </w:r>
      </w:del>
    </w:p>
    <w:p>
      <w:pPr>
        <w:pStyle w:val="BlankOpen"/>
        <w:rPr>
          <w:del w:id="896" w:author="svcMRProcess" w:date="2018-09-03T14:04:00Z"/>
        </w:rPr>
      </w:pPr>
    </w:p>
    <w:p>
      <w:pPr>
        <w:pStyle w:val="nzIndenta"/>
        <w:rPr>
          <w:del w:id="897" w:author="svcMRProcess" w:date="2018-09-03T14:04:00Z"/>
        </w:rPr>
      </w:pPr>
      <w:del w:id="898" w:author="svcMRProcess" w:date="2018-09-03T14:04:00Z">
        <w:r>
          <w:tab/>
        </w:r>
        <w:r>
          <w:tab/>
          <w:delText>contract; or</w:delText>
        </w:r>
      </w:del>
    </w:p>
    <w:p>
      <w:pPr>
        <w:pStyle w:val="BlankClose"/>
        <w:rPr>
          <w:del w:id="899" w:author="svcMRProcess" w:date="2018-09-03T14:04:00Z"/>
        </w:rPr>
      </w:pPr>
    </w:p>
    <w:p>
      <w:pPr>
        <w:pStyle w:val="nzIndenta"/>
        <w:rPr>
          <w:del w:id="900" w:author="svcMRProcess" w:date="2018-09-03T14:04:00Z"/>
        </w:rPr>
      </w:pPr>
      <w:del w:id="901" w:author="svcMRProcess" w:date="2018-09-03T14:04:00Z">
        <w:r>
          <w:tab/>
          <w:delText>(d)</w:delText>
        </w:r>
        <w:r>
          <w:tab/>
          <w:delText>after paragraph (h)(ii) insert:</w:delText>
        </w:r>
      </w:del>
    </w:p>
    <w:p>
      <w:pPr>
        <w:pStyle w:val="BlankOpen"/>
        <w:rPr>
          <w:del w:id="902" w:author="svcMRProcess" w:date="2018-09-03T14:04:00Z"/>
        </w:rPr>
      </w:pPr>
    </w:p>
    <w:p>
      <w:pPr>
        <w:pStyle w:val="nzIndenti"/>
        <w:rPr>
          <w:del w:id="903" w:author="svcMRProcess" w:date="2018-09-03T14:04:00Z"/>
        </w:rPr>
      </w:pPr>
      <w:del w:id="904" w:author="svcMRProcess" w:date="2018-09-03T14:04:00Z">
        <w:r>
          <w:tab/>
          <w:delText>(iii)</w:delText>
        </w:r>
        <w:r>
          <w:tab/>
          <w:delText>a person who is, or has been, a prisoner in a prison that is a subject of a contract.</w:delText>
        </w:r>
      </w:del>
    </w:p>
    <w:p>
      <w:pPr>
        <w:pStyle w:val="BlankClose"/>
        <w:rPr>
          <w:del w:id="905" w:author="svcMRProcess" w:date="2018-09-03T14:04:00Z"/>
        </w:rPr>
      </w:pPr>
    </w:p>
    <w:p>
      <w:pPr>
        <w:pStyle w:val="nzIndenta"/>
        <w:rPr>
          <w:del w:id="906" w:author="svcMRProcess" w:date="2018-09-03T14:04:00Z"/>
        </w:rPr>
      </w:pPr>
      <w:del w:id="907" w:author="svcMRProcess" w:date="2018-09-03T14:04:00Z">
        <w:r>
          <w:tab/>
          <w:delText>(e)</w:delText>
        </w:r>
        <w:r>
          <w:tab/>
          <w:delText>after each of paragraphs (a) to (f) insert:</w:delText>
        </w:r>
      </w:del>
    </w:p>
    <w:p>
      <w:pPr>
        <w:pStyle w:val="BlankOpen"/>
        <w:rPr>
          <w:del w:id="908" w:author="svcMRProcess" w:date="2018-09-03T14:04:00Z"/>
        </w:rPr>
      </w:pPr>
    </w:p>
    <w:p>
      <w:pPr>
        <w:pStyle w:val="nzIndenta"/>
        <w:rPr>
          <w:del w:id="909" w:author="svcMRProcess" w:date="2018-09-03T14:04:00Z"/>
        </w:rPr>
      </w:pPr>
      <w:del w:id="910" w:author="svcMRProcess" w:date="2018-09-03T14:04:00Z">
        <w:r>
          <w:tab/>
        </w:r>
        <w:r>
          <w:tab/>
          <w:delText>and</w:delText>
        </w:r>
      </w:del>
    </w:p>
    <w:p>
      <w:pPr>
        <w:pStyle w:val="BlankClose"/>
        <w:rPr>
          <w:del w:id="911" w:author="svcMRProcess" w:date="2018-09-03T14:04:00Z"/>
        </w:rPr>
      </w:pPr>
    </w:p>
    <w:p>
      <w:pPr>
        <w:pStyle w:val="nzHeading5"/>
        <w:rPr>
          <w:del w:id="912" w:author="svcMRProcess" w:date="2018-09-03T14:04:00Z"/>
        </w:rPr>
      </w:pPr>
      <w:bookmarkStart w:id="913" w:name="_Toc309034785"/>
      <w:bookmarkStart w:id="914" w:name="_Toc309034813"/>
      <w:del w:id="915" w:author="svcMRProcess" w:date="2018-09-03T14:04:00Z">
        <w:r>
          <w:rPr>
            <w:rStyle w:val="CharSectno"/>
          </w:rPr>
          <w:delText>6</w:delText>
        </w:r>
        <w:r>
          <w:delText>.</w:delText>
        </w:r>
        <w:r>
          <w:tab/>
          <w:delText>Section 29 amended</w:delText>
        </w:r>
        <w:bookmarkEnd w:id="913"/>
        <w:bookmarkEnd w:id="914"/>
      </w:del>
    </w:p>
    <w:p>
      <w:pPr>
        <w:pStyle w:val="nzSubsection"/>
        <w:rPr>
          <w:del w:id="916" w:author="svcMRProcess" w:date="2018-09-03T14:04:00Z"/>
        </w:rPr>
      </w:pPr>
      <w:del w:id="917" w:author="svcMRProcess" w:date="2018-09-03T14:04:00Z">
        <w:r>
          <w:tab/>
        </w:r>
        <w:r>
          <w:tab/>
          <w:delText>In section 29(1):</w:delText>
        </w:r>
      </w:del>
    </w:p>
    <w:p>
      <w:pPr>
        <w:pStyle w:val="nzIndenta"/>
        <w:rPr>
          <w:del w:id="918" w:author="svcMRProcess" w:date="2018-09-03T14:04:00Z"/>
        </w:rPr>
      </w:pPr>
      <w:del w:id="919" w:author="svcMRProcess" w:date="2018-09-03T14:04:00Z">
        <w:r>
          <w:tab/>
          <w:delText>(a)</w:delText>
        </w:r>
        <w:r>
          <w:tab/>
          <w:delText>delete “section 22(b),” and insert:</w:delText>
        </w:r>
      </w:del>
    </w:p>
    <w:p>
      <w:pPr>
        <w:pStyle w:val="BlankOpen"/>
        <w:rPr>
          <w:del w:id="920" w:author="svcMRProcess" w:date="2018-09-03T14:04:00Z"/>
        </w:rPr>
      </w:pPr>
    </w:p>
    <w:p>
      <w:pPr>
        <w:pStyle w:val="nzIndenta"/>
        <w:rPr>
          <w:del w:id="921" w:author="svcMRProcess" w:date="2018-09-03T14:04:00Z"/>
        </w:rPr>
      </w:pPr>
      <w:del w:id="922" w:author="svcMRProcess" w:date="2018-09-03T14:04:00Z">
        <w:r>
          <w:tab/>
        </w:r>
        <w:r>
          <w:tab/>
          <w:delText>section 22(1)(b) or (2)(b),</w:delText>
        </w:r>
      </w:del>
    </w:p>
    <w:p>
      <w:pPr>
        <w:pStyle w:val="BlankClose"/>
        <w:rPr>
          <w:del w:id="923" w:author="svcMRProcess" w:date="2018-09-03T14:04:00Z"/>
        </w:rPr>
      </w:pPr>
    </w:p>
    <w:p>
      <w:pPr>
        <w:pStyle w:val="nzIndenta"/>
        <w:rPr>
          <w:del w:id="924" w:author="svcMRProcess" w:date="2018-09-03T14:04:00Z"/>
        </w:rPr>
      </w:pPr>
      <w:del w:id="925" w:author="svcMRProcess" w:date="2018-09-03T14:04:00Z">
        <w:r>
          <w:tab/>
          <w:delText>(b)</w:delText>
        </w:r>
        <w:r>
          <w:tab/>
          <w:delText>in paragraph (g) delete “centre.” and insert:</w:delText>
        </w:r>
      </w:del>
    </w:p>
    <w:p>
      <w:pPr>
        <w:pStyle w:val="BlankOpen"/>
        <w:rPr>
          <w:del w:id="926" w:author="svcMRProcess" w:date="2018-09-03T14:04:00Z"/>
        </w:rPr>
      </w:pPr>
    </w:p>
    <w:p>
      <w:pPr>
        <w:pStyle w:val="nzIndenta"/>
        <w:rPr>
          <w:del w:id="927" w:author="svcMRProcess" w:date="2018-09-03T14:04:00Z"/>
        </w:rPr>
      </w:pPr>
      <w:del w:id="928" w:author="svcMRProcess" w:date="2018-09-03T14:04:00Z">
        <w:r>
          <w:tab/>
        </w:r>
        <w:r>
          <w:tab/>
          <w:delText>centre or to a person who is, or has been, a detainee.</w:delText>
        </w:r>
      </w:del>
    </w:p>
    <w:p>
      <w:pPr>
        <w:pStyle w:val="BlankClose"/>
        <w:rPr>
          <w:del w:id="929" w:author="svcMRProcess" w:date="2018-09-03T14:04:00Z"/>
        </w:rPr>
      </w:pPr>
    </w:p>
    <w:p>
      <w:pPr>
        <w:pStyle w:val="nzIndenta"/>
        <w:rPr>
          <w:del w:id="930" w:author="svcMRProcess" w:date="2018-09-03T14:04:00Z"/>
        </w:rPr>
      </w:pPr>
      <w:del w:id="931" w:author="svcMRProcess" w:date="2018-09-03T14:04:00Z">
        <w:r>
          <w:tab/>
          <w:delText>(c)</w:delText>
        </w:r>
        <w:r>
          <w:tab/>
          <w:delText>after each of paragraphs (a) to (e) insert:</w:delText>
        </w:r>
      </w:del>
    </w:p>
    <w:p>
      <w:pPr>
        <w:pStyle w:val="BlankOpen"/>
        <w:rPr>
          <w:del w:id="932" w:author="svcMRProcess" w:date="2018-09-03T14:04:00Z"/>
        </w:rPr>
      </w:pPr>
    </w:p>
    <w:p>
      <w:pPr>
        <w:pStyle w:val="nzIndenta"/>
        <w:rPr>
          <w:del w:id="933" w:author="svcMRProcess" w:date="2018-09-03T14:04:00Z"/>
        </w:rPr>
      </w:pPr>
      <w:del w:id="934" w:author="svcMRProcess" w:date="2018-09-03T14:04:00Z">
        <w:r>
          <w:tab/>
        </w:r>
        <w:r>
          <w:tab/>
          <w:delText>and</w:delText>
        </w:r>
      </w:del>
    </w:p>
    <w:p>
      <w:pPr>
        <w:pStyle w:val="BlankClose"/>
        <w:rPr>
          <w:del w:id="935" w:author="svcMRProcess" w:date="2018-09-03T14:04:00Z"/>
        </w:rPr>
      </w:pPr>
    </w:p>
    <w:p>
      <w:pPr>
        <w:pStyle w:val="nzHeading5"/>
        <w:rPr>
          <w:del w:id="936" w:author="svcMRProcess" w:date="2018-09-03T14:04:00Z"/>
        </w:rPr>
      </w:pPr>
      <w:bookmarkStart w:id="937" w:name="_Toc309034786"/>
      <w:bookmarkStart w:id="938" w:name="_Toc309034814"/>
      <w:del w:id="939" w:author="svcMRProcess" w:date="2018-09-03T14:04:00Z">
        <w:r>
          <w:rPr>
            <w:rStyle w:val="CharSectno"/>
          </w:rPr>
          <w:delText>7</w:delText>
        </w:r>
        <w:r>
          <w:delText>.</w:delText>
        </w:r>
        <w:r>
          <w:tab/>
          <w:delText>Section 30 amended</w:delText>
        </w:r>
        <w:bookmarkEnd w:id="937"/>
        <w:bookmarkEnd w:id="938"/>
      </w:del>
    </w:p>
    <w:p>
      <w:pPr>
        <w:pStyle w:val="nzSubsection"/>
        <w:rPr>
          <w:del w:id="940" w:author="svcMRProcess" w:date="2018-09-03T14:04:00Z"/>
        </w:rPr>
      </w:pPr>
      <w:del w:id="941" w:author="svcMRProcess" w:date="2018-09-03T14:04:00Z">
        <w:r>
          <w:tab/>
        </w:r>
        <w:r>
          <w:tab/>
          <w:delText>In section 30(1):</w:delText>
        </w:r>
      </w:del>
    </w:p>
    <w:p>
      <w:pPr>
        <w:pStyle w:val="nzIndenta"/>
        <w:rPr>
          <w:del w:id="942" w:author="svcMRProcess" w:date="2018-09-03T14:04:00Z"/>
        </w:rPr>
      </w:pPr>
      <w:del w:id="943" w:author="svcMRProcess" w:date="2018-09-03T14:04:00Z">
        <w:r>
          <w:tab/>
          <w:delText>(a)</w:delText>
        </w:r>
        <w:r>
          <w:tab/>
          <w:delText>delete “section 22(c),” and insert:</w:delText>
        </w:r>
      </w:del>
    </w:p>
    <w:p>
      <w:pPr>
        <w:pStyle w:val="BlankOpen"/>
        <w:rPr>
          <w:del w:id="944" w:author="svcMRProcess" w:date="2018-09-03T14:04:00Z"/>
        </w:rPr>
      </w:pPr>
    </w:p>
    <w:p>
      <w:pPr>
        <w:pStyle w:val="nzIndenta"/>
        <w:rPr>
          <w:del w:id="945" w:author="svcMRProcess" w:date="2018-09-03T14:04:00Z"/>
        </w:rPr>
      </w:pPr>
      <w:del w:id="946" w:author="svcMRProcess" w:date="2018-09-03T14:04:00Z">
        <w:r>
          <w:tab/>
        </w:r>
        <w:r>
          <w:tab/>
          <w:delText>section 22(1)(c) or (2)(c),</w:delText>
        </w:r>
      </w:del>
    </w:p>
    <w:p>
      <w:pPr>
        <w:pStyle w:val="BlankClose"/>
        <w:rPr>
          <w:del w:id="947" w:author="svcMRProcess" w:date="2018-09-03T14:04:00Z"/>
        </w:rPr>
      </w:pPr>
    </w:p>
    <w:p>
      <w:pPr>
        <w:pStyle w:val="nzIndenta"/>
        <w:rPr>
          <w:del w:id="948" w:author="svcMRProcess" w:date="2018-09-03T14:04:00Z"/>
        </w:rPr>
      </w:pPr>
      <w:del w:id="949" w:author="svcMRProcess" w:date="2018-09-03T14:04:00Z">
        <w:r>
          <w:tab/>
          <w:delText>(b)</w:delText>
        </w:r>
        <w:r>
          <w:tab/>
          <w:delText>delete paragraph (g) and insert:</w:delText>
        </w:r>
      </w:del>
    </w:p>
    <w:p>
      <w:pPr>
        <w:pStyle w:val="BlankOpen"/>
        <w:rPr>
          <w:del w:id="950" w:author="svcMRProcess" w:date="2018-09-03T14:04:00Z"/>
        </w:rPr>
      </w:pPr>
    </w:p>
    <w:p>
      <w:pPr>
        <w:pStyle w:val="nzIndenta"/>
        <w:rPr>
          <w:del w:id="951" w:author="svcMRProcess" w:date="2018-09-03T14:04:00Z"/>
        </w:rPr>
      </w:pPr>
      <w:del w:id="952" w:author="svcMRProcess" w:date="2018-09-03T14:04:00Z">
        <w:r>
          <w:tab/>
          <w:delText>(g)</w:delText>
        </w:r>
        <w:r>
          <w:tab/>
          <w:delText>all documents in the possession of the Department in relation to a court custody centre or lock</w:delText>
        </w:r>
        <w:r>
          <w:noBreakHyphen/>
          <w:delText xml:space="preserve">up or a custodial service (CSCS Act) or to a person who is, or has been, a person in custody — </w:delText>
        </w:r>
      </w:del>
    </w:p>
    <w:p>
      <w:pPr>
        <w:pStyle w:val="nzIndenti"/>
        <w:rPr>
          <w:del w:id="953" w:author="svcMRProcess" w:date="2018-09-03T14:04:00Z"/>
        </w:rPr>
      </w:pPr>
      <w:del w:id="954" w:author="svcMRProcess" w:date="2018-09-03T14:04:00Z">
        <w:r>
          <w:tab/>
          <w:delText>(i)</w:delText>
        </w:r>
        <w:r>
          <w:tab/>
          <w:delText>in a court custody centre or lock</w:delText>
        </w:r>
        <w:r>
          <w:noBreakHyphen/>
          <w:delText>up; or</w:delText>
        </w:r>
      </w:del>
    </w:p>
    <w:p>
      <w:pPr>
        <w:pStyle w:val="nzIndenti"/>
        <w:rPr>
          <w:del w:id="955" w:author="svcMRProcess" w:date="2018-09-03T14:04:00Z"/>
        </w:rPr>
      </w:pPr>
      <w:del w:id="956" w:author="svcMRProcess" w:date="2018-09-03T14:04:00Z">
        <w:r>
          <w:tab/>
          <w:delText>(ii)</w:delText>
        </w:r>
        <w:r>
          <w:tab/>
          <w:delText>in a vehicle described in paragraph (d); or</w:delText>
        </w:r>
      </w:del>
    </w:p>
    <w:p>
      <w:pPr>
        <w:pStyle w:val="nzIndenti"/>
        <w:rPr>
          <w:del w:id="957" w:author="svcMRProcess" w:date="2018-09-03T14:04:00Z"/>
        </w:rPr>
      </w:pPr>
      <w:del w:id="958" w:author="svcMRProcess" w:date="2018-09-03T14:04:00Z">
        <w:r>
          <w:tab/>
          <w:delText>(iii)</w:delText>
        </w:r>
        <w:r>
          <w:tab/>
          <w:delText>in relation to whom a custodial service (CSCS Act) is, or has been, provided;</w:delText>
        </w:r>
      </w:del>
    </w:p>
    <w:p>
      <w:pPr>
        <w:pStyle w:val="nzIndenta"/>
        <w:rPr>
          <w:del w:id="959" w:author="svcMRProcess" w:date="2018-09-03T14:04:00Z"/>
        </w:rPr>
      </w:pPr>
      <w:del w:id="960" w:author="svcMRProcess" w:date="2018-09-03T14:04:00Z">
        <w:r>
          <w:tab/>
        </w:r>
        <w:r>
          <w:tab/>
          <w:delText>and</w:delText>
        </w:r>
      </w:del>
    </w:p>
    <w:p>
      <w:pPr>
        <w:pStyle w:val="BlankClose"/>
        <w:rPr>
          <w:del w:id="961" w:author="svcMRProcess" w:date="2018-09-03T14:04:00Z"/>
        </w:rPr>
      </w:pPr>
    </w:p>
    <w:p>
      <w:pPr>
        <w:pStyle w:val="nzIndenta"/>
        <w:rPr>
          <w:del w:id="962" w:author="svcMRProcess" w:date="2018-09-03T14:04:00Z"/>
        </w:rPr>
      </w:pPr>
      <w:del w:id="963" w:author="svcMRProcess" w:date="2018-09-03T14:04:00Z">
        <w:r>
          <w:tab/>
          <w:delText>(c)</w:delText>
        </w:r>
        <w:r>
          <w:tab/>
          <w:delText>in paragraph (h)(ii) delete “contract.” and insert:</w:delText>
        </w:r>
      </w:del>
    </w:p>
    <w:p>
      <w:pPr>
        <w:pStyle w:val="BlankOpen"/>
        <w:rPr>
          <w:del w:id="964" w:author="svcMRProcess" w:date="2018-09-03T14:04:00Z"/>
        </w:rPr>
      </w:pPr>
    </w:p>
    <w:p>
      <w:pPr>
        <w:pStyle w:val="nzIndenta"/>
        <w:rPr>
          <w:del w:id="965" w:author="svcMRProcess" w:date="2018-09-03T14:04:00Z"/>
        </w:rPr>
      </w:pPr>
      <w:del w:id="966" w:author="svcMRProcess" w:date="2018-09-03T14:04:00Z">
        <w:r>
          <w:tab/>
        </w:r>
        <w:r>
          <w:tab/>
          <w:delText>contract; or</w:delText>
        </w:r>
      </w:del>
    </w:p>
    <w:p>
      <w:pPr>
        <w:pStyle w:val="BlankClose"/>
        <w:rPr>
          <w:del w:id="967" w:author="svcMRProcess" w:date="2018-09-03T14:04:00Z"/>
        </w:rPr>
      </w:pPr>
    </w:p>
    <w:p>
      <w:pPr>
        <w:pStyle w:val="nzIndenta"/>
        <w:rPr>
          <w:del w:id="968" w:author="svcMRProcess" w:date="2018-09-03T14:04:00Z"/>
        </w:rPr>
      </w:pPr>
      <w:del w:id="969" w:author="svcMRProcess" w:date="2018-09-03T14:04:00Z">
        <w:r>
          <w:tab/>
          <w:delText>(d)</w:delText>
        </w:r>
        <w:r>
          <w:tab/>
          <w:delText>after paragraph (h)(ii) insert:</w:delText>
        </w:r>
      </w:del>
    </w:p>
    <w:p>
      <w:pPr>
        <w:pStyle w:val="BlankOpen"/>
        <w:rPr>
          <w:del w:id="970" w:author="svcMRProcess" w:date="2018-09-03T14:04:00Z"/>
        </w:rPr>
      </w:pPr>
    </w:p>
    <w:p>
      <w:pPr>
        <w:pStyle w:val="nzIndenti"/>
        <w:rPr>
          <w:del w:id="971" w:author="svcMRProcess" w:date="2018-09-03T14:04:00Z"/>
        </w:rPr>
      </w:pPr>
      <w:del w:id="972" w:author="svcMRProcess" w:date="2018-09-03T14:04:00Z">
        <w:r>
          <w:tab/>
          <w:delText>(iii)</w:delText>
        </w:r>
        <w:r>
          <w:tab/>
          <w:delText xml:space="preserve">a person who is, or has been, a person in custody — </w:delText>
        </w:r>
      </w:del>
    </w:p>
    <w:p>
      <w:pPr>
        <w:pStyle w:val="nzIndentI0"/>
        <w:rPr>
          <w:del w:id="973" w:author="svcMRProcess" w:date="2018-09-03T14:04:00Z"/>
        </w:rPr>
      </w:pPr>
      <w:del w:id="974" w:author="svcMRProcess" w:date="2018-09-03T14:04:00Z">
        <w:r>
          <w:tab/>
          <w:delText>(I)</w:delText>
        </w:r>
        <w:r>
          <w:tab/>
          <w:delText>in a court custody centre or lock</w:delText>
        </w:r>
        <w:r>
          <w:noBreakHyphen/>
          <w:delText>up that is a subject of a contract; or</w:delText>
        </w:r>
      </w:del>
    </w:p>
    <w:p>
      <w:pPr>
        <w:pStyle w:val="nzIndentI0"/>
        <w:rPr>
          <w:del w:id="975" w:author="svcMRProcess" w:date="2018-09-03T14:04:00Z"/>
        </w:rPr>
      </w:pPr>
      <w:del w:id="976" w:author="svcMRProcess" w:date="2018-09-03T14:04:00Z">
        <w:r>
          <w:tab/>
          <w:delText>(II)</w:delText>
        </w:r>
        <w:r>
          <w:tab/>
          <w:delText>in a vehicle described in paragraph (d); or</w:delText>
        </w:r>
      </w:del>
    </w:p>
    <w:p>
      <w:pPr>
        <w:pStyle w:val="nzIndentI0"/>
        <w:rPr>
          <w:del w:id="977" w:author="svcMRProcess" w:date="2018-09-03T14:04:00Z"/>
        </w:rPr>
      </w:pPr>
      <w:del w:id="978" w:author="svcMRProcess" w:date="2018-09-03T14:04:00Z">
        <w:r>
          <w:tab/>
          <w:delText>(III)</w:delText>
        </w:r>
        <w:r>
          <w:tab/>
          <w:delText>in relation to whom a custodial service (CSCS Act) that is a subject of a contract is, or has been, provided.</w:delText>
        </w:r>
      </w:del>
    </w:p>
    <w:p>
      <w:pPr>
        <w:pStyle w:val="BlankClose"/>
        <w:keepNext/>
        <w:rPr>
          <w:del w:id="979" w:author="svcMRProcess" w:date="2018-09-03T14:04:00Z"/>
        </w:rPr>
      </w:pPr>
    </w:p>
    <w:p>
      <w:pPr>
        <w:pStyle w:val="nzIndenta"/>
        <w:rPr>
          <w:del w:id="980" w:author="svcMRProcess" w:date="2018-09-03T14:04:00Z"/>
        </w:rPr>
      </w:pPr>
      <w:del w:id="981" w:author="svcMRProcess" w:date="2018-09-03T14:04:00Z">
        <w:r>
          <w:tab/>
          <w:delText>(e)</w:delText>
        </w:r>
        <w:r>
          <w:tab/>
          <w:delText>after each of paragraphs (a) to (f) insert:</w:delText>
        </w:r>
      </w:del>
    </w:p>
    <w:p>
      <w:pPr>
        <w:pStyle w:val="BlankOpen"/>
        <w:rPr>
          <w:del w:id="982" w:author="svcMRProcess" w:date="2018-09-03T14:04:00Z"/>
        </w:rPr>
      </w:pPr>
    </w:p>
    <w:p>
      <w:pPr>
        <w:pStyle w:val="nzIndenta"/>
        <w:rPr>
          <w:del w:id="983" w:author="svcMRProcess" w:date="2018-09-03T14:04:00Z"/>
        </w:rPr>
      </w:pPr>
      <w:del w:id="984" w:author="svcMRProcess" w:date="2018-09-03T14:04:00Z">
        <w:r>
          <w:tab/>
        </w:r>
        <w:r>
          <w:tab/>
          <w:delText>and</w:delText>
        </w:r>
      </w:del>
    </w:p>
    <w:p>
      <w:pPr>
        <w:pStyle w:val="BlankClose"/>
        <w:rPr>
          <w:del w:id="985" w:author="svcMRProcess" w:date="2018-09-03T14:04:00Z"/>
        </w:rPr>
      </w:pPr>
    </w:p>
    <w:p>
      <w:pPr>
        <w:pStyle w:val="nzHeading5"/>
        <w:rPr>
          <w:del w:id="986" w:author="svcMRProcess" w:date="2018-09-03T14:04:00Z"/>
        </w:rPr>
      </w:pPr>
      <w:bookmarkStart w:id="987" w:name="_Toc309034787"/>
      <w:bookmarkStart w:id="988" w:name="_Toc309034815"/>
      <w:del w:id="989" w:author="svcMRProcess" w:date="2018-09-03T14:04:00Z">
        <w:r>
          <w:rPr>
            <w:rStyle w:val="CharSectno"/>
          </w:rPr>
          <w:delText>8</w:delText>
        </w:r>
        <w:r>
          <w:delText>.</w:delText>
        </w:r>
        <w:r>
          <w:tab/>
          <w:delText>Section 33A inserted</w:delText>
        </w:r>
        <w:bookmarkEnd w:id="987"/>
        <w:bookmarkEnd w:id="988"/>
      </w:del>
    </w:p>
    <w:p>
      <w:pPr>
        <w:pStyle w:val="nzSubsection"/>
        <w:rPr>
          <w:del w:id="990" w:author="svcMRProcess" w:date="2018-09-03T14:04:00Z"/>
        </w:rPr>
      </w:pPr>
      <w:del w:id="991" w:author="svcMRProcess" w:date="2018-09-03T14:04:00Z">
        <w:r>
          <w:tab/>
        </w:r>
        <w:r>
          <w:tab/>
          <w:delText>At the end of Part 4 Division 2 insert:</w:delText>
        </w:r>
      </w:del>
    </w:p>
    <w:p>
      <w:pPr>
        <w:pStyle w:val="BlankOpen"/>
        <w:rPr>
          <w:del w:id="992" w:author="svcMRProcess" w:date="2018-09-03T14:04:00Z"/>
        </w:rPr>
      </w:pPr>
    </w:p>
    <w:p>
      <w:pPr>
        <w:pStyle w:val="nzHeading5"/>
        <w:rPr>
          <w:del w:id="993" w:author="svcMRProcess" w:date="2018-09-03T14:04:00Z"/>
        </w:rPr>
      </w:pPr>
      <w:bookmarkStart w:id="994" w:name="_Toc309034788"/>
      <w:bookmarkStart w:id="995" w:name="_Toc309034816"/>
      <w:del w:id="996" w:author="svcMRProcess" w:date="2018-09-03T14:04:00Z">
        <w:r>
          <w:delText>33A.</w:delText>
        </w:r>
        <w:r>
          <w:tab/>
          <w:delText>Inspector may give chief executive officer or CEO show cause notice</w:delText>
        </w:r>
        <w:bookmarkEnd w:id="994"/>
        <w:bookmarkEnd w:id="995"/>
      </w:del>
    </w:p>
    <w:p>
      <w:pPr>
        <w:pStyle w:val="nzSubsection"/>
        <w:rPr>
          <w:del w:id="997" w:author="svcMRProcess" w:date="2018-09-03T14:04:00Z"/>
        </w:rPr>
      </w:pPr>
      <w:del w:id="998" w:author="svcMRProcess" w:date="2018-09-03T14:04:00Z">
        <w:r>
          <w:tab/>
          <w:delText>(1)</w:delText>
        </w:r>
        <w:r>
          <w:tab/>
          <w:delText xml:space="preserve">In this section — </w:delText>
        </w:r>
      </w:del>
    </w:p>
    <w:p>
      <w:pPr>
        <w:pStyle w:val="nzDefstart"/>
        <w:rPr>
          <w:del w:id="999" w:author="svcMRProcess" w:date="2018-09-03T14:04:00Z"/>
        </w:rPr>
      </w:pPr>
      <w:del w:id="1000" w:author="svcMRProcess" w:date="2018-09-03T14:04:00Z">
        <w:r>
          <w:tab/>
        </w:r>
        <w:r>
          <w:rPr>
            <w:rStyle w:val="CharDefText"/>
          </w:rPr>
          <w:delText>responsible officer</w:delText>
        </w:r>
        <w:r>
          <w:delText xml:space="preserve"> means — </w:delText>
        </w:r>
      </w:del>
    </w:p>
    <w:p>
      <w:pPr>
        <w:pStyle w:val="nzDefpara"/>
        <w:rPr>
          <w:del w:id="1001" w:author="svcMRProcess" w:date="2018-09-03T14:04:00Z"/>
        </w:rPr>
      </w:pPr>
      <w:del w:id="1002" w:author="svcMRProcess" w:date="2018-09-03T14:04:00Z">
        <w:r>
          <w:tab/>
          <w:delText>(a)</w:delText>
        </w:r>
        <w:r>
          <w:tab/>
          <w:delText xml:space="preserve">in relation to a prisoner — the chief executive officer as defined in the </w:delText>
        </w:r>
        <w:r>
          <w:rPr>
            <w:i/>
          </w:rPr>
          <w:delText>Prisons Act 1981</w:delText>
        </w:r>
        <w:r>
          <w:delText xml:space="preserve"> section 3(1); or</w:delText>
        </w:r>
      </w:del>
    </w:p>
    <w:p>
      <w:pPr>
        <w:pStyle w:val="nzDefpara"/>
        <w:rPr>
          <w:del w:id="1003" w:author="svcMRProcess" w:date="2018-09-03T14:04:00Z"/>
        </w:rPr>
      </w:pPr>
      <w:del w:id="1004" w:author="svcMRProcess" w:date="2018-09-03T14:04:00Z">
        <w:r>
          <w:tab/>
          <w:delText>(b)</w:delText>
        </w:r>
        <w:r>
          <w:tab/>
          <w:delText xml:space="preserve">in relation to a detainee — the chief executive officer as defined in the </w:delText>
        </w:r>
        <w:r>
          <w:rPr>
            <w:i/>
          </w:rPr>
          <w:delText>Young Offenders Act 1994</w:delText>
        </w:r>
        <w:r>
          <w:delText xml:space="preserve"> section 3; or</w:delText>
        </w:r>
      </w:del>
    </w:p>
    <w:p>
      <w:pPr>
        <w:pStyle w:val="nzDefpara"/>
        <w:rPr>
          <w:del w:id="1005" w:author="svcMRProcess" w:date="2018-09-03T14:04:00Z"/>
        </w:rPr>
      </w:pPr>
      <w:del w:id="1006" w:author="svcMRProcess" w:date="2018-09-03T14:04:00Z">
        <w:r>
          <w:tab/>
          <w:delText>(c)</w:delText>
        </w:r>
        <w:r>
          <w:tab/>
          <w:delText>in relation to a person in custody — the CEO.</w:delText>
        </w:r>
      </w:del>
    </w:p>
    <w:p>
      <w:pPr>
        <w:pStyle w:val="nzSubsection"/>
        <w:rPr>
          <w:del w:id="1007" w:author="svcMRProcess" w:date="2018-09-03T14:04:00Z"/>
        </w:rPr>
      </w:pPr>
      <w:del w:id="1008" w:author="svcMRProcess" w:date="2018-09-03T14:04:00Z">
        <w:r>
          <w:tab/>
          <w:delText>(2)</w:delText>
        </w:r>
        <w:r>
          <w:tab/>
          <w:delText xml:space="preserve">Subsection (3) applies if the Inspector suspects on reasonable grounds — </w:delText>
        </w:r>
      </w:del>
    </w:p>
    <w:p>
      <w:pPr>
        <w:pStyle w:val="nzIndenta"/>
        <w:rPr>
          <w:del w:id="1009" w:author="svcMRProcess" w:date="2018-09-03T14:04:00Z"/>
        </w:rPr>
      </w:pPr>
      <w:del w:id="1010" w:author="svcMRProcess" w:date="2018-09-03T14:04:00Z">
        <w:r>
          <w:tab/>
          <w:delText>(a)</w:delText>
        </w:r>
        <w:r>
          <w:tab/>
          <w:delText>that there is, or has been, a serious risk to the security, control, safety, care or welfare of a prisoner, detainee or person in custody; or</w:delText>
        </w:r>
      </w:del>
    </w:p>
    <w:p>
      <w:pPr>
        <w:pStyle w:val="nzIndenta"/>
        <w:rPr>
          <w:del w:id="1011" w:author="svcMRProcess" w:date="2018-09-03T14:04:00Z"/>
        </w:rPr>
      </w:pPr>
      <w:del w:id="1012" w:author="svcMRProcess" w:date="2018-09-03T14:04:00Z">
        <w:r>
          <w:tab/>
          <w:delText>(b)</w:delText>
        </w:r>
        <w:r>
          <w:tab/>
          <w:delText>that a prisoner, detainee or person in custody is being, or has been, subjected to cruel, inhuman or degrading treatment.</w:delText>
        </w:r>
      </w:del>
    </w:p>
    <w:p>
      <w:pPr>
        <w:pStyle w:val="nzSubsection"/>
        <w:rPr>
          <w:del w:id="1013" w:author="svcMRProcess" w:date="2018-09-03T14:04:00Z"/>
        </w:rPr>
      </w:pPr>
      <w:del w:id="1014" w:author="svcMRProcess" w:date="2018-09-03T14:04:00Z">
        <w:r>
          <w:tab/>
          <w:delText>(3)</w:delText>
        </w:r>
        <w:r>
          <w:tab/>
          <w:delText xml:space="preserve">The Inspector may give the responsible officer a written notice (a </w:delText>
        </w:r>
        <w:r>
          <w:rPr>
            <w:rStyle w:val="CharDefText"/>
          </w:rPr>
          <w:delText>show cause notice</w:delText>
        </w:r>
        <w:r>
          <w:delText xml:space="preserve">) — </w:delText>
        </w:r>
      </w:del>
    </w:p>
    <w:p>
      <w:pPr>
        <w:pStyle w:val="nzIndenta"/>
        <w:rPr>
          <w:del w:id="1015" w:author="svcMRProcess" w:date="2018-09-03T14:04:00Z"/>
        </w:rPr>
      </w:pPr>
      <w:del w:id="1016" w:author="svcMRProcess" w:date="2018-09-03T14:04:00Z">
        <w:r>
          <w:tab/>
          <w:delText>(a)</w:delText>
        </w:r>
        <w:r>
          <w:tab/>
          <w:delText>specifying the matters in relation to which subsection (2)(a) or (b) applies; and</w:delText>
        </w:r>
      </w:del>
    </w:p>
    <w:p>
      <w:pPr>
        <w:pStyle w:val="nzIndenta"/>
        <w:rPr>
          <w:del w:id="1017" w:author="svcMRProcess" w:date="2018-09-03T14:04:00Z"/>
        </w:rPr>
      </w:pPr>
      <w:del w:id="1018" w:author="svcMRProcess" w:date="2018-09-03T14:04:00Z">
        <w:r>
          <w:tab/>
          <w:delText>(b)</w:delText>
        </w:r>
        <w:r>
          <w:tab/>
          <w:delText>requiring the responsible officer to show cause why the Inspector should not refer those matters to the Minister.</w:delText>
        </w:r>
      </w:del>
    </w:p>
    <w:p>
      <w:pPr>
        <w:pStyle w:val="nzSubsection"/>
        <w:rPr>
          <w:del w:id="1019" w:author="svcMRProcess" w:date="2018-09-03T14:04:00Z"/>
        </w:rPr>
      </w:pPr>
      <w:del w:id="1020" w:author="svcMRProcess" w:date="2018-09-03T14:04:00Z">
        <w:r>
          <w:tab/>
          <w:delText>(4)</w:delText>
        </w:r>
        <w:r>
          <w:tab/>
          <w:delText>The show cause notice must specify a period of at least 3 days within which the notice must be complied with.</w:delText>
        </w:r>
      </w:del>
    </w:p>
    <w:p>
      <w:pPr>
        <w:pStyle w:val="nzSubsection"/>
        <w:rPr>
          <w:del w:id="1021" w:author="svcMRProcess" w:date="2018-09-03T14:04:00Z"/>
        </w:rPr>
      </w:pPr>
      <w:del w:id="1022" w:author="svcMRProcess" w:date="2018-09-03T14:04:00Z">
        <w:r>
          <w:tab/>
          <w:delText>(5)</w:delText>
        </w:r>
        <w:r>
          <w:tab/>
          <w:delText>The responsible officer may, within the period specified in the show cause notice, make submissions, either orally or in writing, or provide evidence to the Inspector with respect to the matters specified in the notice.</w:delText>
        </w:r>
      </w:del>
    </w:p>
    <w:p>
      <w:pPr>
        <w:pStyle w:val="nzSubsection"/>
        <w:rPr>
          <w:del w:id="1023" w:author="svcMRProcess" w:date="2018-09-03T14:04:00Z"/>
        </w:rPr>
      </w:pPr>
      <w:del w:id="1024" w:author="svcMRProcess" w:date="2018-09-03T14:04:00Z">
        <w:r>
          <w:tab/>
          <w:delText>(6)</w:delText>
        </w:r>
        <w:r>
          <w:tab/>
          <w:delText xml:space="preserve">Having considered any submissions made or evidence provided under subsection (5), the Inspector — </w:delText>
        </w:r>
      </w:del>
    </w:p>
    <w:p>
      <w:pPr>
        <w:pStyle w:val="nzIndenta"/>
        <w:rPr>
          <w:del w:id="1025" w:author="svcMRProcess" w:date="2018-09-03T14:04:00Z"/>
        </w:rPr>
      </w:pPr>
      <w:del w:id="1026" w:author="svcMRProcess" w:date="2018-09-03T14:04:00Z">
        <w:r>
          <w:tab/>
          <w:delText>(a)</w:delText>
        </w:r>
        <w:r>
          <w:tab/>
          <w:delText>may refer any matter specified in the show cause notice to the Minister; or</w:delText>
        </w:r>
      </w:del>
    </w:p>
    <w:p>
      <w:pPr>
        <w:pStyle w:val="nzIndenta"/>
        <w:rPr>
          <w:del w:id="1027" w:author="svcMRProcess" w:date="2018-09-03T14:04:00Z"/>
        </w:rPr>
      </w:pPr>
      <w:del w:id="1028" w:author="svcMRProcess" w:date="2018-09-03T14:04:00Z">
        <w:r>
          <w:tab/>
          <w:delText>(b)</w:delText>
        </w:r>
        <w:r>
          <w:tab/>
          <w:delText>may decide to take no further action with respect to the matter.</w:delText>
        </w:r>
      </w:del>
    </w:p>
    <w:p>
      <w:pPr>
        <w:pStyle w:val="nzSubsection"/>
        <w:rPr>
          <w:del w:id="1029" w:author="svcMRProcess" w:date="2018-09-03T14:04:00Z"/>
        </w:rPr>
      </w:pPr>
      <w:del w:id="1030" w:author="svcMRProcess" w:date="2018-09-03T14:04:00Z">
        <w:r>
          <w:tab/>
          <w:delText>(7)</w:delText>
        </w:r>
        <w:r>
          <w:tab/>
          <w:delText>If the Inspector refers a matter to the Minister under subsection (6)(a), the Inspector must give advice or make recommendations to the Minister as the Inspector considers appropriate in relation to the matter.</w:delText>
        </w:r>
      </w:del>
    </w:p>
    <w:p>
      <w:pPr>
        <w:pStyle w:val="nzSubsection"/>
        <w:rPr>
          <w:del w:id="1031" w:author="svcMRProcess" w:date="2018-09-03T14:04:00Z"/>
        </w:rPr>
      </w:pPr>
      <w:del w:id="1032" w:author="svcMRProcess" w:date="2018-09-03T14:04:00Z">
        <w:r>
          <w:tab/>
          <w:delText>(8)</w:delText>
        </w:r>
        <w:r>
          <w:tab/>
          <w:delText>The Inspector may, by written notice given to the responsible officer, withdraw a show cause notice.</w:delText>
        </w:r>
      </w:del>
    </w:p>
    <w:p>
      <w:pPr>
        <w:pStyle w:val="BlankClose"/>
        <w:rPr>
          <w:del w:id="1033" w:author="svcMRProcess" w:date="2018-09-03T14:04:00Z"/>
        </w:rPr>
      </w:pPr>
    </w:p>
    <w:p>
      <w:pPr>
        <w:pStyle w:val="nzHeading5"/>
        <w:rPr>
          <w:del w:id="1034" w:author="svcMRProcess" w:date="2018-09-03T14:04:00Z"/>
        </w:rPr>
      </w:pPr>
      <w:bookmarkStart w:id="1035" w:name="_Toc309034789"/>
      <w:bookmarkStart w:id="1036" w:name="_Toc309034817"/>
      <w:del w:id="1037" w:author="svcMRProcess" w:date="2018-09-03T14:04:00Z">
        <w:r>
          <w:rPr>
            <w:rStyle w:val="CharSectno"/>
          </w:rPr>
          <w:delText>9</w:delText>
        </w:r>
        <w:r>
          <w:delText>.</w:delText>
        </w:r>
        <w:r>
          <w:tab/>
          <w:delText>Section 33 amended</w:delText>
        </w:r>
        <w:bookmarkEnd w:id="1035"/>
        <w:bookmarkEnd w:id="1036"/>
      </w:del>
    </w:p>
    <w:p>
      <w:pPr>
        <w:pStyle w:val="nzSubsection"/>
        <w:rPr>
          <w:del w:id="1038" w:author="svcMRProcess" w:date="2018-09-03T14:04:00Z"/>
        </w:rPr>
      </w:pPr>
      <w:del w:id="1039" w:author="svcMRProcess" w:date="2018-09-03T14:04:00Z">
        <w:r>
          <w:tab/>
          <w:delText>(1)</w:delText>
        </w:r>
        <w:r>
          <w:tab/>
          <w:delText>In section 33(2):</w:delText>
        </w:r>
      </w:del>
    </w:p>
    <w:p>
      <w:pPr>
        <w:pStyle w:val="nzIndenta"/>
        <w:rPr>
          <w:del w:id="1040" w:author="svcMRProcess" w:date="2018-09-03T14:04:00Z"/>
        </w:rPr>
      </w:pPr>
      <w:del w:id="1041" w:author="svcMRProcess" w:date="2018-09-03T14:04:00Z">
        <w:r>
          <w:tab/>
          <w:delText>(a)</w:delText>
        </w:r>
        <w:r>
          <w:tab/>
          <w:delText>in paragraph (e) delete “June.” and insert:</w:delText>
        </w:r>
      </w:del>
    </w:p>
    <w:p>
      <w:pPr>
        <w:pStyle w:val="BlankOpen"/>
        <w:rPr>
          <w:del w:id="1042" w:author="svcMRProcess" w:date="2018-09-03T14:04:00Z"/>
        </w:rPr>
      </w:pPr>
    </w:p>
    <w:p>
      <w:pPr>
        <w:pStyle w:val="nzIndenta"/>
        <w:rPr>
          <w:del w:id="1043" w:author="svcMRProcess" w:date="2018-09-03T14:04:00Z"/>
        </w:rPr>
      </w:pPr>
      <w:del w:id="1044" w:author="svcMRProcess" w:date="2018-09-03T14:04:00Z">
        <w:r>
          <w:tab/>
        </w:r>
        <w:r>
          <w:tab/>
          <w:delText>June; and</w:delText>
        </w:r>
      </w:del>
    </w:p>
    <w:p>
      <w:pPr>
        <w:pStyle w:val="BlankClose"/>
        <w:rPr>
          <w:del w:id="1045" w:author="svcMRProcess" w:date="2018-09-03T14:04:00Z"/>
        </w:rPr>
      </w:pPr>
    </w:p>
    <w:p>
      <w:pPr>
        <w:pStyle w:val="nzIndenta"/>
        <w:rPr>
          <w:del w:id="1046" w:author="svcMRProcess" w:date="2018-09-03T14:04:00Z"/>
        </w:rPr>
      </w:pPr>
      <w:del w:id="1047" w:author="svcMRProcess" w:date="2018-09-03T14:04:00Z">
        <w:r>
          <w:tab/>
          <w:delText>(b)</w:delText>
        </w:r>
        <w:r>
          <w:tab/>
          <w:delText>after paragraph (e) insert:</w:delText>
        </w:r>
      </w:del>
    </w:p>
    <w:p>
      <w:pPr>
        <w:pStyle w:val="BlankOpen"/>
        <w:rPr>
          <w:del w:id="1048" w:author="svcMRProcess" w:date="2018-09-03T14:04:00Z"/>
        </w:rPr>
      </w:pPr>
    </w:p>
    <w:p>
      <w:pPr>
        <w:pStyle w:val="nzIndenta"/>
        <w:rPr>
          <w:del w:id="1049" w:author="svcMRProcess" w:date="2018-09-03T14:04:00Z"/>
        </w:rPr>
      </w:pPr>
      <w:del w:id="1050" w:author="svcMRProcess" w:date="2018-09-03T14:04:00Z">
        <w:r>
          <w:tab/>
          <w:delText>(f)</w:delText>
        </w:r>
        <w:r>
          <w:tab/>
          <w:delText>if the Inspector considers it appropriate to include those details in the report — details of any show cause notice given under section 33A(3) in the period of 12 months ending on the preceding 30 June.</w:delText>
        </w:r>
      </w:del>
    </w:p>
    <w:p>
      <w:pPr>
        <w:pStyle w:val="BlankClose"/>
        <w:rPr>
          <w:del w:id="1051" w:author="svcMRProcess" w:date="2018-09-03T14:04:00Z"/>
        </w:rPr>
      </w:pPr>
    </w:p>
    <w:p>
      <w:pPr>
        <w:pStyle w:val="nzIndenta"/>
        <w:rPr>
          <w:del w:id="1052" w:author="svcMRProcess" w:date="2018-09-03T14:04:00Z"/>
        </w:rPr>
      </w:pPr>
      <w:del w:id="1053" w:author="svcMRProcess" w:date="2018-09-03T14:04:00Z">
        <w:r>
          <w:tab/>
          <w:delText>(c)</w:delText>
        </w:r>
        <w:r>
          <w:tab/>
          <w:delText>after each of paragraphs (a) to (c) insert:</w:delText>
        </w:r>
      </w:del>
    </w:p>
    <w:p>
      <w:pPr>
        <w:pStyle w:val="BlankOpen"/>
        <w:rPr>
          <w:del w:id="1054" w:author="svcMRProcess" w:date="2018-09-03T14:04:00Z"/>
        </w:rPr>
      </w:pPr>
    </w:p>
    <w:p>
      <w:pPr>
        <w:pStyle w:val="nzIndenta"/>
        <w:rPr>
          <w:del w:id="1055" w:author="svcMRProcess" w:date="2018-09-03T14:04:00Z"/>
        </w:rPr>
      </w:pPr>
      <w:del w:id="1056" w:author="svcMRProcess" w:date="2018-09-03T14:04:00Z">
        <w:r>
          <w:tab/>
        </w:r>
        <w:r>
          <w:tab/>
          <w:delText>and</w:delText>
        </w:r>
      </w:del>
    </w:p>
    <w:p>
      <w:pPr>
        <w:pStyle w:val="BlankClose"/>
        <w:rPr>
          <w:del w:id="1057" w:author="svcMRProcess" w:date="2018-09-03T14:04:00Z"/>
        </w:rPr>
      </w:pPr>
    </w:p>
    <w:p>
      <w:pPr>
        <w:pStyle w:val="nzSubsection"/>
        <w:rPr>
          <w:del w:id="1058" w:author="svcMRProcess" w:date="2018-09-03T14:04:00Z"/>
        </w:rPr>
      </w:pPr>
      <w:del w:id="1059" w:author="svcMRProcess" w:date="2018-09-03T14:04:00Z">
        <w:r>
          <w:tab/>
          <w:delText>(2)</w:delText>
        </w:r>
        <w:r>
          <w:tab/>
          <w:delText>After section 33(2) insert:</w:delText>
        </w:r>
      </w:del>
    </w:p>
    <w:p>
      <w:pPr>
        <w:pStyle w:val="BlankOpen"/>
        <w:rPr>
          <w:del w:id="1060" w:author="svcMRProcess" w:date="2018-09-03T14:04:00Z"/>
        </w:rPr>
      </w:pPr>
    </w:p>
    <w:p>
      <w:pPr>
        <w:pStyle w:val="nzSubsection"/>
        <w:rPr>
          <w:del w:id="1061" w:author="svcMRProcess" w:date="2018-09-03T14:04:00Z"/>
        </w:rPr>
      </w:pPr>
      <w:del w:id="1062" w:author="svcMRProcess" w:date="2018-09-03T14:04:00Z">
        <w:r>
          <w:tab/>
          <w:delText>(3A)</w:delText>
        </w:r>
        <w:r>
          <w:tab/>
          <w:delText>If, under subsection (2)(f), the Inspector includes in the report details of a show cause notice, the Inspector must also include details of any submissions made or evidence provided to the Inspector under section 33A(5) with respect to the matters specified in the notice.</w:delText>
        </w:r>
      </w:del>
    </w:p>
    <w:p>
      <w:pPr>
        <w:pStyle w:val="nzSubsection"/>
        <w:rPr>
          <w:del w:id="1063" w:author="svcMRProcess" w:date="2018-09-03T14:04:00Z"/>
        </w:rPr>
      </w:pPr>
      <w:del w:id="1064" w:author="svcMRProcess" w:date="2018-09-03T14:04:00Z">
        <w:r>
          <w:tab/>
          <w:delText>(3B)</w:delText>
        </w:r>
        <w:r>
          <w:tab/>
          <w:delText>If the Inspector considers it appropriate to do so because of the extent of the submissions made or evidence provided to the Inspector under section 33A(5), the Inspector may comply with subsection (3A) by including in the report a summary of those submissions or that evidence.</w:delText>
        </w:r>
      </w:del>
    </w:p>
    <w:p>
      <w:pPr>
        <w:pStyle w:val="BlankClose"/>
        <w:rPr>
          <w:del w:id="1065" w:author="svcMRProcess" w:date="2018-09-03T14:04:00Z"/>
        </w:rPr>
      </w:pPr>
    </w:p>
    <w:p>
      <w:pPr>
        <w:pStyle w:val="nzHeading5"/>
        <w:rPr>
          <w:del w:id="1066" w:author="svcMRProcess" w:date="2018-09-03T14:04:00Z"/>
        </w:rPr>
      </w:pPr>
      <w:bookmarkStart w:id="1067" w:name="_Toc309034790"/>
      <w:bookmarkStart w:id="1068" w:name="_Toc309034818"/>
      <w:del w:id="1069" w:author="svcMRProcess" w:date="2018-09-03T14:04:00Z">
        <w:r>
          <w:rPr>
            <w:rStyle w:val="CharSectno"/>
          </w:rPr>
          <w:delText>10</w:delText>
        </w:r>
        <w:r>
          <w:delText>.</w:delText>
        </w:r>
        <w:r>
          <w:tab/>
          <w:delText>Section 36 amended</w:delText>
        </w:r>
        <w:bookmarkEnd w:id="1067"/>
        <w:bookmarkEnd w:id="1068"/>
      </w:del>
    </w:p>
    <w:p>
      <w:pPr>
        <w:pStyle w:val="nzSubsection"/>
        <w:rPr>
          <w:del w:id="1070" w:author="svcMRProcess" w:date="2018-09-03T14:04:00Z"/>
        </w:rPr>
      </w:pPr>
      <w:del w:id="1071" w:author="svcMRProcess" w:date="2018-09-03T14:04:00Z">
        <w:r>
          <w:tab/>
        </w:r>
        <w:r>
          <w:tab/>
          <w:delText>In section 36(1)(b) delete “section 22(c),” and insert:</w:delText>
        </w:r>
      </w:del>
    </w:p>
    <w:p>
      <w:pPr>
        <w:pStyle w:val="BlankOpen"/>
        <w:rPr>
          <w:del w:id="1072" w:author="svcMRProcess" w:date="2018-09-03T14:04:00Z"/>
        </w:rPr>
      </w:pPr>
    </w:p>
    <w:p>
      <w:pPr>
        <w:pStyle w:val="nzSubsection"/>
        <w:rPr>
          <w:del w:id="1073" w:author="svcMRProcess" w:date="2018-09-03T14:04:00Z"/>
        </w:rPr>
      </w:pPr>
      <w:del w:id="1074" w:author="svcMRProcess" w:date="2018-09-03T14:04:00Z">
        <w:r>
          <w:tab/>
        </w:r>
        <w:r>
          <w:tab/>
          <w:delText>section 22(1)(c) or (2)(c),</w:delText>
        </w:r>
      </w:del>
    </w:p>
    <w:p>
      <w:pPr>
        <w:pStyle w:val="BlankClose"/>
        <w:rPr>
          <w:del w:id="1075" w:author="svcMRProcess" w:date="2018-09-03T14:04:00Z"/>
        </w:rPr>
      </w:pPr>
    </w:p>
    <w:p>
      <w:pPr>
        <w:pStyle w:val="BlankClose"/>
        <w:rPr>
          <w:del w:id="1076" w:author="svcMRProcess" w:date="2018-09-03T14:04:00Z"/>
        </w:rPr>
      </w:pPr>
    </w:p>
    <w:p>
      <w:pPr>
        <w:pStyle w:val="nSubsection"/>
        <w:rPr>
          <w:ins w:id="1077" w:author="svcMRProcess" w:date="2018-09-03T14:04:00Z"/>
          <w:i/>
          <w:noProof/>
          <w:snapToGrid w:val="0"/>
        </w:rPr>
      </w:pPr>
      <w:ins w:id="1078" w:author="svcMRProcess" w:date="2018-09-03T14:04:00Z">
        <w:r>
          <w:rPr>
            <w:vertAlign w:val="superscript"/>
          </w:rPr>
          <w:t>4</w:t>
        </w:r>
        <w:r>
          <w:tab/>
          <w:t>Footnote no longer applicable</w:t>
        </w:r>
        <w:r>
          <w:rPr>
            <w:i/>
            <w:noProof/>
            <w:snapToGrid w:val="0"/>
          </w:rPr>
          <w:t>.</w:t>
        </w:r>
      </w:ins>
    </w:p>
    <w:p>
      <w:pPr>
        <w:pStyle w:val="nSubsection"/>
      </w:pPr>
      <w:r>
        <w:rPr>
          <w:vertAlign w:val="superscript"/>
        </w:rPr>
        <w:t>5</w:t>
      </w:r>
      <w:r>
        <w:rPr>
          <w:vertAlign w:val="superscript"/>
        </w:rPr>
        <w:tab/>
      </w:r>
      <w:r>
        <w:t xml:space="preserve">The provision in this Act repealing the </w:t>
      </w:r>
      <w:r>
        <w:rPr>
          <w:i/>
          <w:iCs/>
        </w:rPr>
        <w:t>Prisons Act 1981</w:t>
      </w:r>
      <w:r>
        <w:t xml:space="preserve"> Part XA was omitted under the </w:t>
      </w:r>
      <w:r>
        <w:rPr>
          <w:i/>
          <w:iCs/>
        </w:rPr>
        <w:t>Reprints Act 1984</w:t>
      </w:r>
      <w:r>
        <w:t xml:space="preserve"> s. 7(4)(e).</w:t>
      </w:r>
    </w:p>
    <w:p>
      <w:pPr>
        <w:rPr>
          <w:del w:id="1079" w:author="svcMRProcess" w:date="2018-09-03T14:04:00Z"/>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Application of Financial Management Act 2006 to office of the Inspector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fldSimple w:instr=" styleref CharSchText ">
            <w:r>
              <w:rPr>
                <w:noProof/>
              </w:rPr>
              <w:t>Application of Financial Management Act 2006 to office of the Inspector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Inspector of Custodial Services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Inspector of Custodial Services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A42C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9664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0540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FA0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3EEF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BE23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B84E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DAB4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8E7C9C"/>
    <w:lvl w:ilvl="0">
      <w:start w:val="1"/>
      <w:numFmt w:val="decimal"/>
      <w:pStyle w:val="ListNumber"/>
      <w:lvlText w:val="%1."/>
      <w:lvlJc w:val="left"/>
      <w:pPr>
        <w:tabs>
          <w:tab w:val="num" w:pos="360"/>
        </w:tabs>
        <w:ind w:left="360" w:hanging="360"/>
      </w:pPr>
    </w:lvl>
  </w:abstractNum>
  <w:abstractNum w:abstractNumId="9">
    <w:nsid w:val="FFFFFF89"/>
    <w:multiLevelType w:val="singleLevel"/>
    <w:tmpl w:val="BEC66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1B4AD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36496D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094717"/>
    <w:docVar w:name="WAFER_20140130094710" w:val="RemoveTocBookmarks,RemoveUnusedBookmarks,RemoveLanguageTags,UsedStyles,ResetPageSize,UpdateArrangement"/>
    <w:docVar w:name="WAFER_20140130094710_GUID" w:val="ecafe8ea-2bdf-4b24-a1bc-31e7b7cf6c95"/>
    <w:docVar w:name="WAFER_20140130094717" w:val="RemoveTocBookmarks,RunningHeaders"/>
    <w:docVar w:name="WAFER_20140130094717_GUID" w:val="7b516758-8807-41e3-a284-3969cf5b42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10843</Words>
  <Characters>52051</Characters>
  <Application>Microsoft Office Word</Application>
  <DocSecurity>0</DocSecurity>
  <Lines>1369</Lines>
  <Paragraphs>739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01-d0-01 - 01-e0-03</dc:title>
  <dc:subject/>
  <dc:creator/>
  <cp:keywords/>
  <dc:description/>
  <cp:lastModifiedBy>svcMRProcess</cp:lastModifiedBy>
  <cp:revision>2</cp:revision>
  <cp:lastPrinted>2007-04-17T02:44:00Z</cp:lastPrinted>
  <dcterms:created xsi:type="dcterms:W3CDTF">2018-09-03T06:04:00Z</dcterms:created>
  <dcterms:modified xsi:type="dcterms:W3CDTF">2018-09-03T06:04:00Z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20120118</vt:lpwstr>
  </property>
  <property fmtid="{D5CDD505-2E9C-101B-9397-08002B2CF9AE}" pid="4" name="DocumentType">
    <vt:lpwstr>Act</vt:lpwstr>
  </property>
  <property fmtid="{D5CDD505-2E9C-101B-9397-08002B2CF9AE}" pid="5" name="OwlsUID">
    <vt:i4>6999</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11 Nov 2011</vt:lpwstr>
  </property>
  <property fmtid="{D5CDD505-2E9C-101B-9397-08002B2CF9AE}" pid="9" name="ToSuffix">
    <vt:lpwstr>01-e0-03</vt:lpwstr>
  </property>
  <property fmtid="{D5CDD505-2E9C-101B-9397-08002B2CF9AE}" pid="10" name="ToAsAtDate">
    <vt:lpwstr>18 Jan 2012</vt:lpwstr>
  </property>
</Properties>
</file>