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2011</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4T21:53:00Z"/>
        </w:trPr>
        <w:tc>
          <w:tcPr>
            <w:tcW w:w="2434" w:type="dxa"/>
            <w:vMerge w:val="restart"/>
          </w:tcPr>
          <w:p>
            <w:pPr>
              <w:rPr>
                <w:ins w:id="1" w:author="svcMRProcess" w:date="2015-12-14T21:53:00Z"/>
              </w:rPr>
            </w:pPr>
          </w:p>
        </w:tc>
        <w:tc>
          <w:tcPr>
            <w:tcW w:w="2434" w:type="dxa"/>
            <w:vMerge w:val="restart"/>
          </w:tcPr>
          <w:p>
            <w:pPr>
              <w:jc w:val="center"/>
              <w:rPr>
                <w:ins w:id="2" w:author="svcMRProcess" w:date="2015-12-14T21:53:00Z"/>
              </w:rPr>
            </w:pPr>
            <w:ins w:id="3" w:author="svcMRProcess" w:date="2015-12-14T21:5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4T21:53:00Z"/>
              </w:rPr>
            </w:pPr>
            <w:ins w:id="5" w:author="svcMRProcess" w:date="2015-12-14T21:53:00Z">
              <w:r>
                <w:rPr>
                  <w:b/>
                  <w:sz w:val="22"/>
                </w:rPr>
                <w:t xml:space="preserve">Reprinted under the </w:t>
              </w:r>
              <w:r>
                <w:rPr>
                  <w:b/>
                  <w:i/>
                  <w:sz w:val="22"/>
                </w:rPr>
                <w:t>Reprints Act 1984</w:t>
              </w:r>
              <w:r>
                <w:rPr>
                  <w:b/>
                  <w:sz w:val="22"/>
                </w:rPr>
                <w:t xml:space="preserve"> as</w:t>
              </w:r>
            </w:ins>
          </w:p>
        </w:tc>
      </w:tr>
      <w:tr>
        <w:trPr>
          <w:cantSplit/>
          <w:ins w:id="6" w:author="svcMRProcess" w:date="2015-12-14T21:53:00Z"/>
        </w:trPr>
        <w:tc>
          <w:tcPr>
            <w:tcW w:w="2434" w:type="dxa"/>
            <w:vMerge/>
          </w:tcPr>
          <w:p>
            <w:pPr>
              <w:rPr>
                <w:ins w:id="7" w:author="svcMRProcess" w:date="2015-12-14T21:53:00Z"/>
              </w:rPr>
            </w:pPr>
          </w:p>
        </w:tc>
        <w:tc>
          <w:tcPr>
            <w:tcW w:w="2434" w:type="dxa"/>
            <w:vMerge/>
          </w:tcPr>
          <w:p>
            <w:pPr>
              <w:jc w:val="center"/>
              <w:rPr>
                <w:ins w:id="8" w:author="svcMRProcess" w:date="2015-12-14T21:53:00Z"/>
              </w:rPr>
            </w:pPr>
          </w:p>
        </w:tc>
        <w:tc>
          <w:tcPr>
            <w:tcW w:w="2434" w:type="dxa"/>
          </w:tcPr>
          <w:p>
            <w:pPr>
              <w:keepNext/>
              <w:rPr>
                <w:ins w:id="9" w:author="svcMRProcess" w:date="2015-12-14T21:53:00Z"/>
                <w:b/>
                <w:sz w:val="22"/>
              </w:rPr>
            </w:pPr>
            <w:ins w:id="10" w:author="svcMRProcess" w:date="2015-12-14T21:53:00Z">
              <w:r>
                <w:rPr>
                  <w:b/>
                  <w:sz w:val="22"/>
                </w:rPr>
                <w:t>at 6</w:t>
              </w:r>
              <w:r>
                <w:rPr>
                  <w:b/>
                  <w:snapToGrid w:val="0"/>
                  <w:sz w:val="22"/>
                </w:rPr>
                <w:t xml:space="preserve"> January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Telecommunications (Interception and Access) </w:t>
      </w:r>
      <w:smartTag w:uri="urn:schemas-microsoft-com:office:smarttags" w:element="place">
        <w:smartTag w:uri="urn:schemas-microsoft-com:office:smarttags" w:element="State">
          <w:r>
            <w:t>Western Australia</w:t>
          </w:r>
        </w:smartTag>
      </w:smartTag>
      <w:r>
        <w:t xml:space="preserve"> Act 1996</w:t>
      </w:r>
    </w:p>
    <w:p>
      <w:pPr>
        <w:pStyle w:val="LongTitle"/>
        <w:rPr>
          <w:snapToGrid w:val="0"/>
        </w:rPr>
      </w:pPr>
      <w:r>
        <w:rPr>
          <w:snapToGrid w:val="0"/>
        </w:rPr>
        <w:t>A</w:t>
      </w:r>
      <w:bookmarkStart w:id="11" w:name="_GoBack"/>
      <w:bookmarkEnd w:id="11"/>
      <w:r>
        <w:rPr>
          <w:snapToGrid w:val="0"/>
        </w:rPr>
        <w:t>n Act to enable the Corruption and Crime Commission</w:t>
      </w:r>
      <w:r>
        <w:t xml:space="preserve"> and the Police Force to be declared agencies</w:t>
      </w:r>
      <w:r>
        <w:rPr>
          <w:snapToGrid w:val="0"/>
        </w:rPr>
        <w:t xml:space="preserve"> for the purposes of the </w:t>
      </w:r>
      <w:r>
        <w:rPr>
          <w:i/>
          <w:snapToGrid w:val="0"/>
        </w:rPr>
        <w:t>Telecommunications</w:t>
      </w:r>
      <w:r>
        <w:rPr>
          <w:i/>
        </w:rPr>
        <w:t xml:space="preserve"> </w:t>
      </w:r>
      <w:r>
        <w:rPr>
          <w:i/>
          <w:snapToGrid w:val="0"/>
        </w:rPr>
        <w:t>(Interception and Access) Act 1979</w:t>
      </w:r>
      <w:r>
        <w:rPr>
          <w:snapToGrid w:val="0"/>
        </w:rPr>
        <w:t xml:space="preserve"> of the Commonwealth and for related purposes.</w:t>
      </w:r>
      <w:del w:id="12" w:author="svcMRProcess" w:date="2015-12-14T21:53:00Z">
        <w:r>
          <w:rPr>
            <w:snapToGrid w:val="0"/>
          </w:rPr>
          <w:delText xml:space="preserve"> </w:delText>
        </w:r>
      </w:del>
    </w:p>
    <w:p>
      <w:pPr>
        <w:pStyle w:val="Footnotelongtitle"/>
      </w:pPr>
      <w:r>
        <w:tab/>
        <w:t>[Long title amended by No. 1 of 2000 s. 4; No. 78 of 2003 s. 74; No. 2 of 2011 s. 4.]</w:t>
      </w:r>
    </w:p>
    <w:p>
      <w:pPr>
        <w:pStyle w:val="Heading2"/>
      </w:pPr>
      <w:bookmarkStart w:id="13" w:name="_Toc90718862"/>
      <w:bookmarkStart w:id="14" w:name="_Toc94588546"/>
      <w:bookmarkStart w:id="15" w:name="_Toc286829803"/>
      <w:bookmarkStart w:id="16" w:name="_Toc286829834"/>
      <w:bookmarkStart w:id="17" w:name="_Toc297554818"/>
      <w:bookmarkStart w:id="18" w:name="_Toc297554969"/>
      <w:bookmarkStart w:id="19" w:name="_Toc297623633"/>
      <w:bookmarkStart w:id="20" w:name="_Toc308774875"/>
      <w:bookmarkStart w:id="21" w:name="_Toc308777760"/>
      <w:bookmarkStart w:id="22" w:name="_Toc308777803"/>
      <w:bookmarkStart w:id="23" w:name="_Toc311545950"/>
      <w:bookmarkStart w:id="24" w:name="_Toc311546086"/>
      <w:bookmarkStart w:id="25" w:name="_Toc311547291"/>
      <w:bookmarkStart w:id="26" w:name="_Toc312222400"/>
      <w:bookmarkStart w:id="27" w:name="_Toc313871604"/>
      <w:bookmarkStart w:id="28" w:name="_Toc314559981"/>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del w:id="29" w:author="svcMRProcess" w:date="2015-12-14T21:53:00Z">
        <w:r>
          <w:rPr>
            <w:rStyle w:val="CharPartText"/>
          </w:rPr>
          <w:delText xml:space="preserve"> </w:delText>
        </w:r>
      </w:del>
    </w:p>
    <w:p>
      <w:pPr>
        <w:pStyle w:val="Heading5"/>
        <w:rPr>
          <w:snapToGrid w:val="0"/>
        </w:rPr>
      </w:pPr>
      <w:bookmarkStart w:id="30" w:name="_Toc13112980"/>
      <w:bookmarkStart w:id="31" w:name="_Toc13119218"/>
      <w:bookmarkStart w:id="32" w:name="_Toc94588547"/>
      <w:bookmarkStart w:id="33" w:name="_Toc314559982"/>
      <w:bookmarkStart w:id="34" w:name="_Toc297623634"/>
      <w:r>
        <w:rPr>
          <w:rStyle w:val="CharSectno"/>
        </w:rPr>
        <w:t>1</w:t>
      </w:r>
      <w:r>
        <w:rPr>
          <w:snapToGrid w:val="0"/>
        </w:rPr>
        <w:t>.</w:t>
      </w:r>
      <w:r>
        <w:rPr>
          <w:snapToGrid w:val="0"/>
        </w:rPr>
        <w:tab/>
        <w:t>Short title</w:t>
      </w:r>
      <w:bookmarkEnd w:id="30"/>
      <w:bookmarkEnd w:id="31"/>
      <w:bookmarkEnd w:id="32"/>
      <w:bookmarkEnd w:id="33"/>
      <w:bookmarkEnd w:id="34"/>
      <w:del w:id="35" w:author="svcMRProcess" w:date="2015-12-14T21:53: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 xml:space="preserve">Telecommunications </w:t>
      </w:r>
      <w:r>
        <w:rPr>
          <w:i/>
          <w:iCs/>
        </w:rPr>
        <w:t xml:space="preserve">(Interception and Access)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vertAlign w:val="superscript"/>
        </w:rPr>
        <w:t> 1</w:t>
      </w:r>
      <w:r>
        <w:rPr>
          <w:snapToGrid w:val="0"/>
        </w:rPr>
        <w:t>.</w:t>
      </w:r>
    </w:p>
    <w:p>
      <w:pPr>
        <w:pStyle w:val="Footnotesection"/>
      </w:pPr>
      <w:r>
        <w:tab/>
        <w:t>[Section 1 amended by No. 2 of 2011 s. 5.]</w:t>
      </w:r>
    </w:p>
    <w:p>
      <w:pPr>
        <w:pStyle w:val="Heading5"/>
        <w:rPr>
          <w:snapToGrid w:val="0"/>
        </w:rPr>
      </w:pPr>
      <w:bookmarkStart w:id="36" w:name="_Toc13112981"/>
      <w:bookmarkStart w:id="37" w:name="_Toc13119219"/>
      <w:bookmarkStart w:id="38" w:name="_Toc94588548"/>
      <w:bookmarkStart w:id="39" w:name="_Toc314559983"/>
      <w:bookmarkStart w:id="40" w:name="_Toc297623635"/>
      <w:r>
        <w:rPr>
          <w:rStyle w:val="CharSectno"/>
        </w:rPr>
        <w:t>2</w:t>
      </w:r>
      <w:r>
        <w:rPr>
          <w:snapToGrid w:val="0"/>
        </w:rPr>
        <w:t>.</w:t>
      </w:r>
      <w:r>
        <w:rPr>
          <w:snapToGrid w:val="0"/>
        </w:rPr>
        <w:tab/>
        <w:t>Commencement</w:t>
      </w:r>
      <w:bookmarkEnd w:id="36"/>
      <w:bookmarkEnd w:id="37"/>
      <w:bookmarkEnd w:id="38"/>
      <w:bookmarkEnd w:id="39"/>
      <w:bookmarkEnd w:id="40"/>
      <w:del w:id="41" w:author="svcMRProcess" w:date="2015-12-14T21:53:00Z">
        <w:r>
          <w:rPr>
            <w:snapToGrid w:val="0"/>
          </w:rPr>
          <w:delText xml:space="preserve"> </w:delText>
        </w:r>
      </w:del>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2" w:name="_Toc13112982"/>
      <w:bookmarkStart w:id="43" w:name="_Toc13119220"/>
      <w:bookmarkStart w:id="44" w:name="_Toc94588549"/>
      <w:bookmarkStart w:id="45" w:name="_Toc297623636"/>
      <w:bookmarkStart w:id="46" w:name="_Toc314559984"/>
      <w:r>
        <w:rPr>
          <w:rStyle w:val="CharSectno"/>
        </w:rPr>
        <w:t>3</w:t>
      </w:r>
      <w:r>
        <w:rPr>
          <w:snapToGrid w:val="0"/>
        </w:rPr>
        <w:t>.</w:t>
      </w:r>
      <w:r>
        <w:rPr>
          <w:snapToGrid w:val="0"/>
        </w:rPr>
        <w:tab/>
      </w:r>
      <w:bookmarkEnd w:id="42"/>
      <w:bookmarkEnd w:id="43"/>
      <w:bookmarkEnd w:id="44"/>
      <w:del w:id="47" w:author="svcMRProcess" w:date="2015-12-14T21:53:00Z">
        <w:r>
          <w:rPr>
            <w:snapToGrid w:val="0"/>
          </w:rPr>
          <w:delText>Interpretation</w:delText>
        </w:r>
        <w:bookmarkEnd w:id="45"/>
        <w:r>
          <w:rPr>
            <w:snapToGrid w:val="0"/>
          </w:rPr>
          <w:delText xml:space="preserve"> </w:delText>
        </w:r>
      </w:del>
      <w:ins w:id="48" w:author="svcMRProcess" w:date="2015-12-14T21:53:00Z">
        <w:r>
          <w:rPr>
            <w:snapToGrid w:val="0"/>
          </w:rPr>
          <w:t>Terms used</w:t>
        </w:r>
      </w:ins>
      <w:bookmarkEnd w:id="46"/>
    </w:p>
    <w:p>
      <w:pPr>
        <w:pStyle w:val="Subsection"/>
        <w:rPr>
          <w:snapToGrid w:val="0"/>
        </w:rPr>
      </w:pPr>
      <w:r>
        <w:rPr>
          <w:snapToGrid w:val="0"/>
        </w:rPr>
        <w:tab/>
        <w:t>(1)</w:t>
      </w:r>
      <w:r>
        <w:rPr>
          <w:snapToGrid w:val="0"/>
        </w:rPr>
        <w:tab/>
        <w:t>In this Act, unless the contrary intention appears —</w:t>
      </w:r>
      <w:del w:id="49" w:author="svcMRProcess" w:date="2015-12-14T21:53:00Z">
        <w:r>
          <w:rPr>
            <w:snapToGrid w:val="0"/>
          </w:rPr>
          <w:delText> </w:delText>
        </w:r>
      </w:del>
    </w:p>
    <w:p>
      <w:pPr>
        <w:pStyle w:val="Defstart"/>
      </w:pPr>
      <w:r>
        <w:rPr>
          <w:b/>
        </w:rPr>
        <w:tab/>
      </w:r>
      <w:r>
        <w:rPr>
          <w:rStyle w:val="CharDefText"/>
        </w:rPr>
        <w:t>agency</w:t>
      </w:r>
      <w:r>
        <w:t xml:space="preserve"> means —</w:t>
      </w:r>
      <w:del w:id="50" w:author="svcMRProcess" w:date="2015-12-14T21:53:00Z">
        <w:r>
          <w:delText> </w:delText>
        </w:r>
      </w:del>
    </w:p>
    <w:p>
      <w:pPr>
        <w:pStyle w:val="Defpara"/>
      </w:pPr>
      <w:r>
        <w:tab/>
        <w:t>(a)</w:t>
      </w:r>
      <w:r>
        <w:tab/>
        <w:t>the Australian Federal Police;</w:t>
      </w:r>
      <w:ins w:id="51" w:author="svcMRProcess" w:date="2015-12-14T21:53:00Z">
        <w:r>
          <w:t xml:space="preserve"> or</w:t>
        </w:r>
      </w:ins>
    </w:p>
    <w:p>
      <w:pPr>
        <w:pStyle w:val="Defpara"/>
      </w:pPr>
      <w:r>
        <w:tab/>
        <w:t>(aa)</w:t>
      </w:r>
      <w:r>
        <w:tab/>
        <w:t>the Corruption and Crime Commission;</w:t>
      </w:r>
      <w:ins w:id="52" w:author="svcMRProcess" w:date="2015-12-14T21:53:00Z">
        <w:r>
          <w:t xml:space="preserve"> or</w:t>
        </w:r>
      </w:ins>
    </w:p>
    <w:p>
      <w:pPr>
        <w:pStyle w:val="Defpara"/>
      </w:pPr>
      <w:r>
        <w:tab/>
        <w:t>(b)</w:t>
      </w:r>
      <w:r>
        <w:tab/>
        <w:t>the Australian Crime Commission;</w:t>
      </w:r>
      <w:ins w:id="53" w:author="svcMRProcess" w:date="2015-12-14T21:53:00Z">
        <w:r>
          <w:t xml:space="preserve"> or</w:t>
        </w:r>
      </w:ins>
    </w:p>
    <w:p>
      <w:pPr>
        <w:pStyle w:val="Ednotedefpara"/>
        <w:rPr>
          <w:del w:id="54" w:author="svcMRProcess" w:date="2015-12-14T21:53:00Z"/>
          <w:i w:val="0"/>
        </w:rPr>
      </w:pPr>
      <w:del w:id="55" w:author="svcMRProcess" w:date="2015-12-14T21:53:00Z">
        <w:r>
          <w:tab/>
          <w:delText>[(ba)</w:delText>
        </w:r>
        <w:r>
          <w:tab/>
          <w:delText>deleted]</w:delText>
        </w:r>
      </w:del>
    </w:p>
    <w:p>
      <w:pPr>
        <w:pStyle w:val="Defpara"/>
      </w:pPr>
      <w:r>
        <w:tab/>
        <w:t>(c)</w:t>
      </w:r>
      <w:r>
        <w:tab/>
        <w:t>the Police Force;</w:t>
      </w:r>
      <w:ins w:id="56" w:author="svcMRProcess" w:date="2015-12-14T21:53:00Z">
        <w:r>
          <w:t xml:space="preserve"> or</w:t>
        </w:r>
      </w:ins>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w:t>
      </w:r>
      <w:r>
        <w:rPr>
          <w:i/>
          <w:iCs/>
        </w:rPr>
        <w:t>2003</w:t>
      </w:r>
      <w:r>
        <w:t xml:space="preserve"> or an officer of the Commission authorised to be a certifying officer under section 5AC(9) of the Commonwealth Act; or</w:t>
      </w:r>
    </w:p>
    <w:p>
      <w:pPr>
        <w:pStyle w:val="Ednotepara"/>
        <w:spacing w:before="80"/>
        <w:ind w:left="1610" w:hanging="1610"/>
      </w:pPr>
      <w:r>
        <w:tab/>
        <w:t>[(a)</w:t>
      </w:r>
      <w:r>
        <w:tab/>
        <w:t>deleted]</w:t>
      </w:r>
    </w:p>
    <w:p>
      <w:pPr>
        <w:pStyle w:val="Defpara"/>
      </w:pPr>
      <w:r>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2003</w:t>
      </w:r>
      <w:r>
        <w:t>; or</w:t>
      </w:r>
    </w:p>
    <w:p>
      <w:pPr>
        <w:pStyle w:val="Ednotepara"/>
        <w:spacing w:before="80"/>
        <w:ind w:left="1610" w:hanging="1610"/>
      </w:pPr>
      <w:r>
        <w:tab/>
        <w:t>[(a)</w:t>
      </w:r>
      <w: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 xml:space="preserve">Telecommunications </w:t>
      </w:r>
      <w:r>
        <w:rPr>
          <w:i/>
          <w:iCs/>
        </w:rPr>
        <w:t xml:space="preserve">(Interception and Access) </w:t>
      </w:r>
      <w:r>
        <w:rPr>
          <w:i/>
        </w:rPr>
        <w:t>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w:t>
      </w:r>
      <w:del w:id="57" w:author="svcMRProcess" w:date="2015-12-14T21:53:00Z">
        <w:r>
          <w:delText>“</w:delText>
        </w:r>
      </w:del>
      <w:r>
        <w:rPr>
          <w:b/>
          <w:i/>
        </w:rPr>
        <w:t>Commission</w:t>
      </w:r>
      <w:del w:id="58" w:author="svcMRProcess" w:date="2015-12-14T21:53:00Z">
        <w:r>
          <w:delText>”</w:delText>
        </w:r>
      </w:del>
      <w:r>
        <w:t xml:space="preserve"> in section 3 of the </w:t>
      </w:r>
      <w:r>
        <w:rPr>
          <w:i/>
        </w:rPr>
        <w:t>Corruption and Crime Commission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 and Crime Commission Act 2003</w:t>
      </w:r>
      <w:r>
        <w:t>; or</w:t>
      </w:r>
    </w:p>
    <w:p>
      <w:pPr>
        <w:pStyle w:val="Ednotepara"/>
        <w:spacing w:before="80"/>
        <w:ind w:left="1610" w:hanging="1610"/>
      </w:pPr>
      <w:r>
        <w:tab/>
        <w:t>[(a)</w:t>
      </w:r>
      <w:r>
        <w:tab/>
        <w:t>deleted]</w:t>
      </w:r>
    </w:p>
    <w:p>
      <w:pPr>
        <w:pStyle w:val="Defpara"/>
      </w:pPr>
      <w:r>
        <w:tab/>
        <w:t>(b)</w:t>
      </w:r>
      <w:r>
        <w:tab/>
        <w:t>in relation to the Police Force, a member of the Police Force;</w:t>
      </w:r>
    </w:p>
    <w:p>
      <w:pPr>
        <w:pStyle w:val="Defstart"/>
      </w:pPr>
      <w:r>
        <w:tab/>
      </w:r>
      <w:r>
        <w:rPr>
          <w:rStyle w:val="CharDefText"/>
        </w:rPr>
        <w:t>Part 2</w:t>
      </w:r>
      <w:r>
        <w:rPr>
          <w:rStyle w:val="CharDefText"/>
        </w:rPr>
        <w:noBreakHyphen/>
        <w:t>5 warrant</w:t>
      </w:r>
      <w:r>
        <w:t xml:space="preserve"> means a warrant issued or to be issued under Part 2</w:t>
      </w:r>
      <w:r>
        <w:noBreakHyphen/>
        <w:t>5 of the Commonwealth Act;</w:t>
      </w:r>
    </w:p>
    <w:p>
      <w:pPr>
        <w:pStyle w:val="Defstart"/>
      </w:pPr>
      <w:r>
        <w:rPr>
          <w:b/>
        </w:rPr>
        <w:tab/>
      </w:r>
      <w:r>
        <w:rPr>
          <w:rStyle w:val="CharDefText"/>
        </w:rPr>
        <w:t>Police Force</w:t>
      </w:r>
      <w:r>
        <w:t xml:space="preserve"> means the Police Force of this State;</w:t>
      </w:r>
    </w:p>
    <w:p>
      <w:pPr>
        <w:pStyle w:val="Defstart"/>
      </w:pPr>
      <w:r>
        <w:rPr>
          <w:b/>
        </w:rPr>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w:t>
      </w:r>
      <w:del w:id="59" w:author="svcMRProcess" w:date="2015-12-14T21:53:00Z">
        <w:r>
          <w:delText xml:space="preserve"> </w:delText>
        </w:r>
      </w:del>
    </w:p>
    <w:p>
      <w:pPr>
        <w:pStyle w:val="Defpara"/>
      </w:pPr>
      <w:r>
        <w:tab/>
        <w:t>(aa)</w:t>
      </w:r>
      <w:r>
        <w:tab/>
        <w:t>in relation to the Corruption and Crime Commission, the Attorney General; or</w:t>
      </w:r>
    </w:p>
    <w:p>
      <w:pPr>
        <w:pStyle w:val="Ednotepara"/>
        <w:spacing w:before="80"/>
        <w:ind w:left="1610" w:hanging="1610"/>
      </w:pPr>
      <w:r>
        <w:tab/>
        <w:t>[(a)</w:t>
      </w:r>
      <w: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 by No. 1 of 2000 s. 5; No. 78 of 2003 s. 74; No. 74 of 2004 s. 74; No. 2 of 2011 s. 6.]</w:t>
      </w:r>
    </w:p>
    <w:p>
      <w:pPr>
        <w:pStyle w:val="Ednotesection"/>
      </w:pPr>
      <w:r>
        <w:t>[</w:t>
      </w:r>
      <w:r>
        <w:rPr>
          <w:b/>
        </w:rPr>
        <w:t>3A.</w:t>
      </w:r>
      <w:r>
        <w:tab/>
        <w:t xml:space="preserve">Expired 16 Apr 2004 </w:t>
      </w:r>
      <w:del w:id="60" w:author="svcMRProcess" w:date="2015-12-14T21:53:00Z">
        <w:r>
          <w:rPr>
            <w:vertAlign w:val="superscript"/>
          </w:rPr>
          <w:delText>3</w:delText>
        </w:r>
      </w:del>
      <w:ins w:id="61" w:author="svcMRProcess" w:date="2015-12-14T21:53:00Z">
        <w:r>
          <w:rPr>
            <w:vertAlign w:val="superscript"/>
          </w:rPr>
          <w:t>2</w:t>
        </w:r>
      </w:ins>
      <w:r>
        <w:t>.]</w:t>
      </w:r>
    </w:p>
    <w:p>
      <w:pPr>
        <w:pStyle w:val="Heading2"/>
      </w:pPr>
      <w:bookmarkStart w:id="62" w:name="_Toc90718866"/>
      <w:bookmarkStart w:id="63" w:name="_Toc94588550"/>
      <w:bookmarkStart w:id="64" w:name="_Toc286829807"/>
      <w:bookmarkStart w:id="65" w:name="_Toc286829838"/>
      <w:bookmarkStart w:id="66" w:name="_Toc297554822"/>
      <w:bookmarkStart w:id="67" w:name="_Toc297554973"/>
      <w:bookmarkStart w:id="68" w:name="_Toc297623637"/>
      <w:bookmarkStart w:id="69" w:name="_Toc308774879"/>
      <w:bookmarkStart w:id="70" w:name="_Toc308777764"/>
      <w:bookmarkStart w:id="71" w:name="_Toc308777807"/>
      <w:bookmarkStart w:id="72" w:name="_Toc311545954"/>
      <w:bookmarkStart w:id="73" w:name="_Toc311546090"/>
      <w:bookmarkStart w:id="74" w:name="_Toc311547295"/>
      <w:bookmarkStart w:id="75" w:name="_Toc312222404"/>
      <w:bookmarkStart w:id="76" w:name="_Toc313871608"/>
      <w:bookmarkStart w:id="77" w:name="_Toc314559985"/>
      <w:r>
        <w:rPr>
          <w:rStyle w:val="CharPartNo"/>
        </w:rPr>
        <w:t>Part 2</w:t>
      </w:r>
      <w:r>
        <w:rPr>
          <w:rStyle w:val="CharDivNo"/>
        </w:rPr>
        <w:t> </w:t>
      </w:r>
      <w:r>
        <w:t>—</w:t>
      </w:r>
      <w:r>
        <w:rPr>
          <w:rStyle w:val="CharDivText"/>
        </w:rPr>
        <w:t> </w:t>
      </w:r>
      <w:r>
        <w:rPr>
          <w:rStyle w:val="CharPartText"/>
        </w:rPr>
        <w:t>Functions of eligible authority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del w:id="78" w:author="svcMRProcess" w:date="2015-12-14T21:53:00Z">
        <w:r>
          <w:rPr>
            <w:rStyle w:val="CharPartText"/>
          </w:rPr>
          <w:delText xml:space="preserve"> </w:delText>
        </w:r>
      </w:del>
    </w:p>
    <w:p>
      <w:pPr>
        <w:pStyle w:val="Heading5"/>
        <w:rPr>
          <w:snapToGrid w:val="0"/>
        </w:rPr>
      </w:pPr>
      <w:bookmarkStart w:id="79" w:name="_Toc13112984"/>
      <w:bookmarkStart w:id="80" w:name="_Toc13119222"/>
      <w:bookmarkStart w:id="81" w:name="_Toc94588551"/>
      <w:bookmarkStart w:id="82" w:name="_Toc314559986"/>
      <w:bookmarkStart w:id="83" w:name="_Toc297623638"/>
      <w:r>
        <w:rPr>
          <w:rStyle w:val="CharSectno"/>
        </w:rPr>
        <w:t>4</w:t>
      </w:r>
      <w:r>
        <w:rPr>
          <w:snapToGrid w:val="0"/>
        </w:rPr>
        <w:t>.</w:t>
      </w:r>
      <w:r>
        <w:rPr>
          <w:snapToGrid w:val="0"/>
        </w:rPr>
        <w:tab/>
        <w:t xml:space="preserve">Eligible authority to keep </w:t>
      </w:r>
      <w:ins w:id="84" w:author="svcMRProcess" w:date="2015-12-14T21:53:00Z">
        <w:r>
          <w:rPr>
            <w:snapToGrid w:val="0"/>
          </w:rPr>
          <w:t>warrants</w:t>
        </w:r>
        <w:bookmarkEnd w:id="79"/>
        <w:bookmarkEnd w:id="80"/>
        <w:bookmarkEnd w:id="81"/>
        <w:r>
          <w:rPr>
            <w:snapToGrid w:val="0"/>
          </w:rPr>
          <w:t xml:space="preserve"> and related </w:t>
        </w:r>
      </w:ins>
      <w:r>
        <w:rPr>
          <w:snapToGrid w:val="0"/>
        </w:rPr>
        <w:t>documents</w:t>
      </w:r>
      <w:bookmarkEnd w:id="82"/>
      <w:del w:id="85" w:author="svcMRProcess" w:date="2015-12-14T21:53:00Z">
        <w:r>
          <w:rPr>
            <w:snapToGrid w:val="0"/>
          </w:rPr>
          <w:delText xml:space="preserve"> connected with issue of warrants</w:delText>
        </w:r>
        <w:bookmarkEnd w:id="83"/>
        <w:r>
          <w:rPr>
            <w:snapToGrid w:val="0"/>
          </w:rPr>
          <w:delText xml:space="preserve"> </w:delText>
        </w:r>
      </w:del>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w:t>
      </w:r>
      <w:del w:id="86" w:author="svcMRProcess" w:date="2015-12-14T21:53:00Z">
        <w:r>
          <w:rPr>
            <w:snapToGrid w:val="0"/>
          </w:rPr>
          <w:delText> </w:delText>
        </w:r>
      </w:del>
    </w:p>
    <w:p>
      <w:pPr>
        <w:pStyle w:val="Indenta"/>
        <w:rPr>
          <w:snapToGrid w:val="0"/>
        </w:rPr>
      </w:pPr>
      <w:r>
        <w:rPr>
          <w:snapToGrid w:val="0"/>
        </w:rPr>
        <w:tab/>
        <w:t>(a)</w:t>
      </w:r>
      <w:r>
        <w:rPr>
          <w:snapToGrid w:val="0"/>
        </w:rPr>
        <w:tab/>
        <w:t>each warrant issued to the authority; and</w:t>
      </w:r>
    </w:p>
    <w:p>
      <w:pPr>
        <w:pStyle w:val="Indenta"/>
      </w:pPr>
      <w:r>
        <w:tab/>
        <w:t>(b)</w:t>
      </w:r>
      <w:r>
        <w:tab/>
        <w:t>a copy of any description in writing given by the chief officer under section 59A(2) of the Commonwealth Act; and</w:t>
      </w:r>
    </w:p>
    <w:p>
      <w:pPr>
        <w:pStyle w:val="Indenta"/>
        <w:rPr>
          <w:snapToGrid w:val="0"/>
        </w:rPr>
      </w:pPr>
      <w:r>
        <w:rPr>
          <w:snapToGrid w:val="0"/>
        </w:rPr>
        <w:tab/>
        <w:t>(c)</w:t>
      </w:r>
      <w:r>
        <w:rPr>
          <w:snapToGrid w:val="0"/>
        </w:rPr>
        <w:tab/>
        <w:t>each instrument revoking such a warrant; and</w:t>
      </w:r>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 by No. 1 of 2000 s. 9(1); No. 2 of 2011 s. 7.]</w:t>
      </w:r>
    </w:p>
    <w:p>
      <w:pPr>
        <w:pStyle w:val="Heading5"/>
        <w:rPr>
          <w:snapToGrid w:val="0"/>
        </w:rPr>
      </w:pPr>
      <w:bookmarkStart w:id="87" w:name="_Toc13112985"/>
      <w:bookmarkStart w:id="88" w:name="_Toc13119223"/>
      <w:bookmarkStart w:id="89" w:name="_Toc94588552"/>
      <w:bookmarkStart w:id="90" w:name="_Toc314559987"/>
      <w:bookmarkStart w:id="91" w:name="_Toc297623639"/>
      <w:r>
        <w:rPr>
          <w:rStyle w:val="CharSectno"/>
        </w:rPr>
        <w:t>5</w:t>
      </w:r>
      <w:r>
        <w:rPr>
          <w:snapToGrid w:val="0"/>
        </w:rPr>
        <w:t>.</w:t>
      </w:r>
      <w:r>
        <w:rPr>
          <w:snapToGrid w:val="0"/>
        </w:rPr>
        <w:tab/>
        <w:t xml:space="preserve">Other records </w:t>
      </w:r>
      <w:ins w:id="92" w:author="svcMRProcess" w:date="2015-12-14T21:53:00Z">
        <w:r>
          <w:rPr>
            <w:snapToGrid w:val="0"/>
          </w:rPr>
          <w:t xml:space="preserve">relating to interceptions </w:t>
        </w:r>
      </w:ins>
      <w:r>
        <w:rPr>
          <w:snapToGrid w:val="0"/>
        </w:rPr>
        <w:t xml:space="preserve">to be kept by </w:t>
      </w:r>
      <w:r>
        <w:t>an eligible authority</w:t>
      </w:r>
      <w:bookmarkEnd w:id="87"/>
      <w:bookmarkEnd w:id="88"/>
      <w:bookmarkEnd w:id="89"/>
      <w:bookmarkEnd w:id="90"/>
      <w:del w:id="93" w:author="svcMRProcess" w:date="2015-12-14T21:53:00Z">
        <w:r>
          <w:rPr>
            <w:snapToGrid w:val="0"/>
          </w:rPr>
          <w:delText xml:space="preserve"> in connection with interceptions</w:delText>
        </w:r>
        <w:bookmarkEnd w:id="91"/>
        <w:r>
          <w:rPr>
            <w:snapToGrid w:val="0"/>
          </w:rPr>
          <w:delText xml:space="preserve"> </w:delText>
        </w:r>
      </w:del>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w:t>
      </w:r>
      <w:del w:id="94" w:author="svcMRProcess" w:date="2015-12-14T21:53:00Z">
        <w:r>
          <w:rPr>
            <w:snapToGrid w:val="0"/>
          </w:rPr>
          <w:delText> </w:delText>
        </w:r>
      </w:del>
    </w:p>
    <w:p>
      <w:pPr>
        <w:pStyle w:val="Indenta"/>
        <w:rPr>
          <w:snapToGrid w:val="0"/>
        </w:rPr>
      </w:pPr>
      <w:r>
        <w:rPr>
          <w:snapToGrid w:val="0"/>
        </w:rPr>
        <w:tab/>
        <w:t>(a)</w:t>
      </w:r>
      <w:r>
        <w:rPr>
          <w:snapToGrid w:val="0"/>
        </w:rPr>
        <w:tab/>
        <w:t xml:space="preserve">particulars of each telephone application for a </w:t>
      </w:r>
      <w:r>
        <w:t>Part 2</w:t>
      </w:r>
      <w:r>
        <w:noBreakHyphen/>
        <w:t xml:space="preserve">5 </w:t>
      </w:r>
      <w:r>
        <w:rPr>
          <w:snapToGrid w:val="0"/>
        </w:rPr>
        <w:t>warrant made by the authority;</w:t>
      </w:r>
      <w:ins w:id="95" w:author="svcMRProcess" w:date="2015-12-14T21:53:00Z">
        <w:r>
          <w:rPr>
            <w:snapToGrid w:val="0"/>
          </w:rPr>
          <w:t xml:space="preserve"> and</w:t>
        </w:r>
      </w:ins>
    </w:p>
    <w:p>
      <w:pPr>
        <w:pStyle w:val="Indenta"/>
        <w:rPr>
          <w:snapToGrid w:val="0"/>
        </w:rPr>
      </w:pPr>
      <w:r>
        <w:rPr>
          <w:snapToGrid w:val="0"/>
        </w:rPr>
        <w:tab/>
        <w:t>(b)</w:t>
      </w:r>
      <w:r>
        <w:rPr>
          <w:snapToGrid w:val="0"/>
        </w:rPr>
        <w:tab/>
        <w:t xml:space="preserve">in relation to each application by the authority for a </w:t>
      </w:r>
      <w:r>
        <w:t>Part 2</w:t>
      </w:r>
      <w:r>
        <w:noBreakHyphen/>
        <w:t xml:space="preserve">5 </w:t>
      </w:r>
      <w:r>
        <w:rPr>
          <w:snapToGrid w:val="0"/>
        </w:rPr>
        <w:t>warrant, a statement as to whether —</w:t>
      </w:r>
      <w:del w:id="96" w:author="svcMRProcess" w:date="2015-12-14T21:53:00Z">
        <w:r>
          <w:rPr>
            <w:snapToGrid w:val="0"/>
          </w:rPr>
          <w:delText> </w:delText>
        </w:r>
      </w:del>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rPr>
          <w:ins w:id="97" w:author="svcMRProcess" w:date="2015-12-14T21:53:00Z"/>
        </w:rPr>
      </w:pPr>
      <w:ins w:id="98" w:author="svcMRProcess" w:date="2015-12-14T21:53:00Z">
        <w:r>
          <w:tab/>
        </w:r>
        <w:r>
          <w:tab/>
          <w:t>and</w:t>
        </w:r>
      </w:ins>
    </w:p>
    <w:p>
      <w:pPr>
        <w:pStyle w:val="Indenta"/>
      </w:pPr>
      <w:r>
        <w:tab/>
        <w:t>(ba)</w:t>
      </w:r>
      <w:r>
        <w:tab/>
        <w:t>in relation to each Part 2</w:t>
      </w:r>
      <w:r>
        <w:noBreakHyphen/>
        <w:t>5 warrant whose authority is exercised by the authority, particulars of —</w:t>
      </w:r>
    </w:p>
    <w:p>
      <w:pPr>
        <w:pStyle w:val="Indenti"/>
      </w:pPr>
      <w:r>
        <w:tab/>
        <w:t>(i)</w:t>
      </w:r>
      <w:r>
        <w:tab/>
        <w:t>the warrant;</w:t>
      </w:r>
      <w:ins w:id="99" w:author="svcMRProcess" w:date="2015-12-14T21:53:00Z">
        <w:r>
          <w:t xml:space="preserve"> and</w:t>
        </w:r>
      </w:ins>
    </w:p>
    <w:p>
      <w:pPr>
        <w:pStyle w:val="Indenti"/>
      </w:pPr>
      <w:r>
        <w:tab/>
        <w:t>(ii)</w:t>
      </w:r>
      <w:r>
        <w:tab/>
        <w:t>the day on which, and the time at which, each interception under the warrant began;</w:t>
      </w:r>
      <w:ins w:id="100" w:author="svcMRProcess" w:date="2015-12-14T21:53:00Z">
        <w:r>
          <w:t xml:space="preserve"> and</w:t>
        </w:r>
      </w:ins>
    </w:p>
    <w:p>
      <w:pPr>
        <w:pStyle w:val="Indenti"/>
      </w:pPr>
      <w:r>
        <w:tab/>
        <w:t>(iii)</w:t>
      </w:r>
      <w:r>
        <w:tab/>
        <w:t>the duration of each such interception;</w:t>
      </w:r>
      <w:ins w:id="101" w:author="svcMRProcess" w:date="2015-12-14T21:53:00Z">
        <w:r>
          <w:t xml:space="preserve"> and</w:t>
        </w:r>
      </w:ins>
    </w:p>
    <w:p>
      <w:pPr>
        <w:pStyle w:val="Indenti"/>
      </w:pPr>
      <w:r>
        <w:tab/>
        <w:t>(iv)</w:t>
      </w:r>
      <w:r>
        <w:tab/>
        <w:t>the name of the person who carried out each such interception; and</w:t>
      </w:r>
    </w:p>
    <w:p>
      <w:pPr>
        <w:pStyle w:val="Indenti"/>
      </w:pPr>
      <w:r>
        <w:tab/>
        <w:t>(v)</w:t>
      </w:r>
      <w:r>
        <w:tab/>
        <w:t>in relation to a named person warrant —</w:t>
      </w:r>
      <w:ins w:id="102" w:author="svcMRProcess" w:date="2015-12-14T21:53:00Z">
        <w:r>
          <w:t> </w:t>
        </w:r>
      </w:ins>
      <w:r>
        <w:t>each service to or from which communications have been intercepted under the warrant;</w:t>
      </w:r>
    </w:p>
    <w:p>
      <w:pPr>
        <w:pStyle w:val="Indenta"/>
        <w:keepNext/>
        <w:rPr>
          <w:ins w:id="103" w:author="svcMRProcess" w:date="2015-12-14T21:53:00Z"/>
          <w:snapToGrid w:val="0"/>
        </w:rPr>
      </w:pPr>
      <w:ins w:id="104" w:author="svcMRProcess" w:date="2015-12-14T21:53:00Z">
        <w:r>
          <w:rPr>
            <w:snapToGrid w:val="0"/>
          </w:rPr>
          <w:tab/>
        </w:r>
        <w:r>
          <w:rPr>
            <w:snapToGrid w:val="0"/>
          </w:rPr>
          <w:tab/>
          <w:t>and</w:t>
        </w:r>
      </w:ins>
    </w:p>
    <w:p>
      <w:pPr>
        <w:pStyle w:val="Indenta"/>
        <w:keepNext/>
        <w:rPr>
          <w:snapToGrid w:val="0"/>
        </w:rPr>
      </w:pPr>
      <w:r>
        <w:rPr>
          <w:snapToGrid w:val="0"/>
        </w:rPr>
        <w:tab/>
        <w:t>(c)</w:t>
      </w:r>
      <w:r>
        <w:rPr>
          <w:snapToGrid w:val="0"/>
        </w:rPr>
        <w:tab/>
        <w:t>in relation to each restricted record that has at any time been in the possession of the authority, particulars of —</w:t>
      </w:r>
      <w:del w:id="105" w:author="svcMRProcess" w:date="2015-12-14T21:53:00Z">
        <w:r>
          <w:rPr>
            <w:snapToGrid w:val="0"/>
          </w:rPr>
          <w:delText> </w:delText>
        </w:r>
      </w:del>
    </w:p>
    <w:p>
      <w:pPr>
        <w:pStyle w:val="Indenti"/>
        <w:rPr>
          <w:snapToGrid w:val="0"/>
        </w:rPr>
      </w:pPr>
      <w:r>
        <w:rPr>
          <w:snapToGrid w:val="0"/>
        </w:rPr>
        <w:tab/>
        <w:t>(i)</w:t>
      </w:r>
      <w:r>
        <w:rPr>
          <w:snapToGrid w:val="0"/>
        </w:rPr>
        <w:tab/>
        <w:t>if the restricted record is a record obtained by an interception under a warrant issued to the authority, that warrant;</w:t>
      </w:r>
      <w:ins w:id="106" w:author="svcMRProcess" w:date="2015-12-14T21:53:00Z">
        <w:r>
          <w:rPr>
            <w:snapToGrid w:val="0"/>
          </w:rPr>
          <w:t xml:space="preserve"> and</w:t>
        </w:r>
      </w:ins>
    </w:p>
    <w:p>
      <w:pPr>
        <w:pStyle w:val="Indenti"/>
        <w:rPr>
          <w:snapToGrid w:val="0"/>
        </w:rPr>
      </w:pPr>
      <w:r>
        <w:rPr>
          <w:snapToGrid w:val="0"/>
        </w:rPr>
        <w:tab/>
        <w:t>(ii)</w:t>
      </w:r>
      <w:r>
        <w:rPr>
          <w:snapToGrid w:val="0"/>
        </w:rPr>
        <w:tab/>
        <w:t>each occasion when the restricted record came (whether by its making or otherwise) to be in the possession of the authority;</w:t>
      </w:r>
      <w:ins w:id="107" w:author="svcMRProcess" w:date="2015-12-14T21:53:00Z">
        <w:r>
          <w:rPr>
            <w:snapToGrid w:val="0"/>
          </w:rPr>
          <w:t xml:space="preserve"> and</w:t>
        </w:r>
      </w:ins>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ins w:id="108" w:author="svcMRProcess" w:date="2015-12-14T21:53:00Z"/>
          <w:snapToGrid w:val="0"/>
        </w:rPr>
      </w:pPr>
      <w:ins w:id="109" w:author="svcMRProcess" w:date="2015-12-14T21:53:00Z">
        <w:r>
          <w:rPr>
            <w:snapToGrid w:val="0"/>
          </w:rPr>
          <w:tab/>
        </w:r>
        <w:r>
          <w:rPr>
            <w:snapToGrid w:val="0"/>
          </w:rPr>
          <w:tab/>
          <w:t>and</w:t>
        </w:r>
      </w:ins>
    </w:p>
    <w:p>
      <w:pPr>
        <w:pStyle w:val="Indenta"/>
        <w:rPr>
          <w:snapToGrid w:val="0"/>
        </w:rPr>
      </w:pPr>
      <w:r>
        <w:rPr>
          <w:snapToGrid w:val="0"/>
        </w:rPr>
        <w:tab/>
        <w:t>(d)</w:t>
      </w:r>
      <w:r>
        <w:rPr>
          <w:snapToGrid w:val="0"/>
        </w:rPr>
        <w:tab/>
        <w:t>particulars of each use made by the authority of lawfully obtained information;</w:t>
      </w:r>
      <w:ins w:id="110" w:author="svcMRProcess" w:date="2015-12-14T21:53:00Z">
        <w:r>
          <w:rPr>
            <w:snapToGrid w:val="0"/>
          </w:rPr>
          <w:t xml:space="preserve"> and</w:t>
        </w:r>
      </w:ins>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 2</w:t>
      </w:r>
      <w:r>
        <w:noBreakHyphen/>
        <w:t>5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 by No. 1 of 2000 s. 9(1); No. 78 of 2003 s. 74(1); No. 2 of 2011 s. 8.]</w:t>
      </w:r>
    </w:p>
    <w:p>
      <w:pPr>
        <w:pStyle w:val="Heading5"/>
        <w:rPr>
          <w:snapToGrid w:val="0"/>
        </w:rPr>
      </w:pPr>
      <w:bookmarkStart w:id="111" w:name="_Toc13112986"/>
      <w:bookmarkStart w:id="112" w:name="_Toc13119224"/>
      <w:bookmarkStart w:id="113" w:name="_Toc94588553"/>
      <w:bookmarkStart w:id="114" w:name="_Toc314559988"/>
      <w:bookmarkStart w:id="115" w:name="_Toc297623640"/>
      <w:r>
        <w:rPr>
          <w:rStyle w:val="CharSectno"/>
        </w:rPr>
        <w:t>6</w:t>
      </w:r>
      <w:r>
        <w:rPr>
          <w:snapToGrid w:val="0"/>
        </w:rPr>
        <w:t>.</w:t>
      </w:r>
      <w:r>
        <w:rPr>
          <w:snapToGrid w:val="0"/>
        </w:rPr>
        <w:tab/>
      </w:r>
      <w:del w:id="116" w:author="svcMRProcess" w:date="2015-12-14T21:53:00Z">
        <w:r>
          <w:rPr>
            <w:snapToGrid w:val="0"/>
          </w:rPr>
          <w:delText xml:space="preserve">Documents to be given by </w:delText>
        </w:r>
        <w:r>
          <w:delText>an eligible</w:delText>
        </w:r>
      </w:del>
      <w:ins w:id="117" w:author="svcMRProcess" w:date="2015-12-14T21:53:00Z">
        <w:r>
          <w:rPr>
            <w:snapToGrid w:val="0"/>
          </w:rPr>
          <w:t>E</w:t>
        </w:r>
        <w:r>
          <w:t>ligible</w:t>
        </w:r>
      </w:ins>
      <w:r>
        <w:t xml:space="preserve"> authority</w:t>
      </w:r>
      <w:r>
        <w:rPr>
          <w:snapToGrid w:val="0"/>
        </w:rPr>
        <w:t xml:space="preserve"> to </w:t>
      </w:r>
      <w:del w:id="118" w:author="svcMRProcess" w:date="2015-12-14T21:53:00Z">
        <w:r>
          <w:rPr>
            <w:snapToGrid w:val="0"/>
          </w:rPr>
          <w:delText>the</w:delText>
        </w:r>
      </w:del>
      <w:ins w:id="119" w:author="svcMRProcess" w:date="2015-12-14T21:53:00Z">
        <w:r>
          <w:rPr>
            <w:snapToGrid w:val="0"/>
          </w:rPr>
          <w:t>give certain documents to</w:t>
        </w:r>
      </w:ins>
      <w:r>
        <w:rPr>
          <w:snapToGrid w:val="0"/>
        </w:rPr>
        <w:t xml:space="preserve"> </w:t>
      </w:r>
      <w:r>
        <w:t>responsible Minister</w:t>
      </w:r>
      <w:bookmarkEnd w:id="111"/>
      <w:bookmarkEnd w:id="112"/>
      <w:bookmarkEnd w:id="113"/>
      <w:bookmarkEnd w:id="114"/>
      <w:bookmarkEnd w:id="115"/>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w:t>
      </w:r>
      <w:del w:id="120" w:author="svcMRProcess" w:date="2015-12-14T21:53:00Z">
        <w:r>
          <w:rPr>
            <w:snapToGrid w:val="0"/>
          </w:rPr>
          <w:delText> </w:delText>
        </w:r>
      </w:del>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w:t>
      </w:r>
      <w:ins w:id="121" w:author="svcMRProcess" w:date="2015-12-14T21:53:00Z">
        <w:r>
          <w:rPr>
            <w:snapToGrid w:val="0"/>
          </w:rPr>
          <w:t xml:space="preserve"> and</w:t>
        </w:r>
      </w:ins>
    </w:p>
    <w:p>
      <w:pPr>
        <w:pStyle w:val="Indenta"/>
        <w:rPr>
          <w:snapToGrid w:val="0"/>
        </w:rPr>
      </w:pPr>
      <w:r>
        <w:rPr>
          <w:snapToGrid w:val="0"/>
        </w:rPr>
        <w:tab/>
        <w:t>(b)</w:t>
      </w:r>
      <w:r>
        <w:rPr>
          <w:snapToGrid w:val="0"/>
        </w:rPr>
        <w:tab/>
        <w:t>within 3 months after a warrant issued to the authority ceases to be in force, a written report about —</w:t>
      </w:r>
      <w:del w:id="122" w:author="svcMRProcess" w:date="2015-12-14T21:53:00Z">
        <w:r>
          <w:rPr>
            <w:snapToGrid w:val="0"/>
          </w:rPr>
          <w:delText> </w:delText>
        </w:r>
      </w:del>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as soon as practicable, and in any event within 3 months, after each 30 June, a written report that sets out the information that —</w:t>
      </w:r>
      <w:del w:id="123" w:author="svcMRProcess" w:date="2015-12-14T21:53:00Z">
        <w:r>
          <w:rPr>
            <w:snapToGrid w:val="0"/>
          </w:rPr>
          <w:delText> </w:delText>
        </w:r>
      </w:del>
    </w:p>
    <w:p>
      <w:pPr>
        <w:pStyle w:val="Indenti"/>
        <w:rPr>
          <w:snapToGrid w:val="0"/>
        </w:rPr>
      </w:pPr>
      <w:r>
        <w:rPr>
          <w:snapToGrid w:val="0"/>
        </w:rPr>
        <w:tab/>
        <w:t>(i)</w:t>
      </w:r>
      <w:r>
        <w:rPr>
          <w:snapToGrid w:val="0"/>
        </w:rPr>
        <w:tab/>
        <w:t xml:space="preserve">Division 2 of </w:t>
      </w:r>
      <w:r>
        <w:t>Part 2</w:t>
      </w:r>
      <w:r>
        <w:noBreakHyphen/>
        <w:t xml:space="preserve">8 </w:t>
      </w:r>
      <w:r>
        <w:rPr>
          <w:snapToGrid w:val="0"/>
        </w:rPr>
        <w:t>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 by No. 1 of 2000 s. 6, 9(1) and 10; No. 2 of 2011 s. 9.]</w:t>
      </w:r>
    </w:p>
    <w:p>
      <w:pPr>
        <w:pStyle w:val="Heading5"/>
      </w:pPr>
      <w:bookmarkStart w:id="124" w:name="_Toc286757239"/>
      <w:bookmarkStart w:id="125" w:name="_Toc297553876"/>
      <w:bookmarkStart w:id="126" w:name="_Toc314559989"/>
      <w:bookmarkStart w:id="127" w:name="_Toc297623641"/>
      <w:bookmarkStart w:id="128" w:name="_Toc13112988"/>
      <w:bookmarkStart w:id="129" w:name="_Toc13119226"/>
      <w:bookmarkStart w:id="130" w:name="_Toc94588555"/>
      <w:r>
        <w:rPr>
          <w:rStyle w:val="CharSectno"/>
        </w:rPr>
        <w:t>7</w:t>
      </w:r>
      <w:r>
        <w:t>.</w:t>
      </w:r>
      <w:r>
        <w:tab/>
      </w:r>
      <w:del w:id="131" w:author="svcMRProcess" w:date="2015-12-14T21:53:00Z">
        <w:r>
          <w:delText>Report to be given by State</w:delText>
        </w:r>
      </w:del>
      <w:ins w:id="132" w:author="svcMRProcess" w:date="2015-12-14T21:53:00Z">
        <w:r>
          <w:t>Responsible</w:t>
        </w:r>
      </w:ins>
      <w:r>
        <w:t xml:space="preserve"> Minister</w:t>
      </w:r>
      <w:ins w:id="133" w:author="svcMRProcess" w:date="2015-12-14T21:53:00Z">
        <w:r>
          <w:t xml:space="preserve"> to give certain reports</w:t>
        </w:r>
      </w:ins>
      <w:r>
        <w:t xml:space="preserve"> to Commonwealth Minister</w:t>
      </w:r>
      <w:bookmarkEnd w:id="124"/>
      <w:bookmarkEnd w:id="125"/>
      <w:bookmarkEnd w:id="126"/>
      <w:bookmarkEnd w:id="127"/>
    </w:p>
    <w:p>
      <w:pPr>
        <w:pStyle w:val="Subsection"/>
      </w:pPr>
      <w:r>
        <w:tab/>
      </w:r>
      <w:r>
        <w:tab/>
        <w:t>As soon as practicable after a report of a kind referred to in section 6(1)(b) or (c) is given to the responsible Minister, the responsible Minister is to give to the Commonwealth Minister a copy of the report.</w:t>
      </w:r>
    </w:p>
    <w:p>
      <w:pPr>
        <w:pStyle w:val="Footnotesection"/>
      </w:pPr>
      <w:r>
        <w:tab/>
        <w:t>[Section 7 inserted by No. 2 of 2011 s. 10.]</w:t>
      </w:r>
    </w:p>
    <w:p>
      <w:pPr>
        <w:pStyle w:val="Heading5"/>
        <w:rPr>
          <w:snapToGrid w:val="0"/>
        </w:rPr>
      </w:pPr>
      <w:bookmarkStart w:id="134" w:name="_Toc314559990"/>
      <w:bookmarkStart w:id="135" w:name="_Toc297623642"/>
      <w:r>
        <w:rPr>
          <w:rStyle w:val="CharSectno"/>
        </w:rPr>
        <w:t>8</w:t>
      </w:r>
      <w:r>
        <w:rPr>
          <w:snapToGrid w:val="0"/>
        </w:rPr>
        <w:t>.</w:t>
      </w:r>
      <w:r>
        <w:rPr>
          <w:snapToGrid w:val="0"/>
        </w:rPr>
        <w:tab/>
      </w:r>
      <w:del w:id="136" w:author="svcMRProcess" w:date="2015-12-14T21:53:00Z">
        <w:r>
          <w:rPr>
            <w:snapToGrid w:val="0"/>
          </w:rPr>
          <w:delText>Keeping</w:delText>
        </w:r>
      </w:del>
      <w:ins w:id="137" w:author="svcMRProcess" w:date="2015-12-14T21:53:00Z">
        <w:r>
          <w:rPr>
            <w:snapToGrid w:val="0"/>
          </w:rPr>
          <w:t>Restricted records</w:t>
        </w:r>
        <w:bookmarkEnd w:id="128"/>
        <w:bookmarkEnd w:id="129"/>
        <w:bookmarkEnd w:id="130"/>
        <w:r>
          <w:rPr>
            <w:snapToGrid w:val="0"/>
          </w:rPr>
          <w:t>, keeping</w:t>
        </w:r>
      </w:ins>
      <w:r>
        <w:rPr>
          <w:snapToGrid w:val="0"/>
        </w:rPr>
        <w:t xml:space="preserve"> and destruction of</w:t>
      </w:r>
      <w:bookmarkEnd w:id="134"/>
      <w:del w:id="138" w:author="svcMRProcess" w:date="2015-12-14T21:53:00Z">
        <w:r>
          <w:rPr>
            <w:snapToGrid w:val="0"/>
          </w:rPr>
          <w:delText xml:space="preserve"> restricted records</w:delText>
        </w:r>
        <w:bookmarkEnd w:id="135"/>
        <w:r>
          <w:rPr>
            <w:snapToGrid w:val="0"/>
          </w:rPr>
          <w:delText xml:space="preserve"> </w:delText>
        </w:r>
      </w:del>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 by No. 1 of 2000 s. 9(1).]</w:t>
      </w:r>
    </w:p>
    <w:p>
      <w:pPr>
        <w:pStyle w:val="Heading2"/>
      </w:pPr>
      <w:bookmarkStart w:id="139" w:name="_Toc90718872"/>
      <w:bookmarkStart w:id="140" w:name="_Toc94588556"/>
      <w:bookmarkStart w:id="141" w:name="_Toc286829813"/>
      <w:bookmarkStart w:id="142" w:name="_Toc286829844"/>
      <w:bookmarkStart w:id="143" w:name="_Toc297554828"/>
      <w:bookmarkStart w:id="144" w:name="_Toc297554979"/>
      <w:bookmarkStart w:id="145" w:name="_Toc297623643"/>
      <w:bookmarkStart w:id="146" w:name="_Toc308774885"/>
      <w:bookmarkStart w:id="147" w:name="_Toc308777770"/>
      <w:bookmarkStart w:id="148" w:name="_Toc308777813"/>
      <w:bookmarkStart w:id="149" w:name="_Toc311545960"/>
      <w:bookmarkStart w:id="150" w:name="_Toc311546096"/>
      <w:bookmarkStart w:id="151" w:name="_Toc311547301"/>
      <w:bookmarkStart w:id="152" w:name="_Toc312222410"/>
      <w:bookmarkStart w:id="153" w:name="_Toc313871614"/>
      <w:bookmarkStart w:id="154" w:name="_Toc314559991"/>
      <w:r>
        <w:rPr>
          <w:rStyle w:val="CharPartNo"/>
        </w:rPr>
        <w:t>Part 3</w:t>
      </w:r>
      <w:r>
        <w:rPr>
          <w:rStyle w:val="CharDivNo"/>
        </w:rPr>
        <w:t> </w:t>
      </w:r>
      <w:r>
        <w:t>—</w:t>
      </w:r>
      <w:r>
        <w:rPr>
          <w:rStyle w:val="CharDivText"/>
        </w:rPr>
        <w:t> </w:t>
      </w:r>
      <w:r>
        <w:rPr>
          <w:rStyle w:val="CharPartText"/>
        </w:rPr>
        <w:t>Functions of principal inspector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del w:id="155" w:author="svcMRProcess" w:date="2015-12-14T21:53:00Z">
        <w:r>
          <w:rPr>
            <w:rStyle w:val="CharPartText"/>
          </w:rPr>
          <w:delText xml:space="preserve"> </w:delText>
        </w:r>
      </w:del>
    </w:p>
    <w:p>
      <w:pPr>
        <w:pStyle w:val="Heading5"/>
        <w:rPr>
          <w:snapToGrid w:val="0"/>
        </w:rPr>
      </w:pPr>
      <w:bookmarkStart w:id="156" w:name="_Toc13112989"/>
      <w:bookmarkStart w:id="157" w:name="_Toc13119227"/>
      <w:bookmarkStart w:id="158" w:name="_Toc94588557"/>
      <w:bookmarkStart w:id="159" w:name="_Toc314559992"/>
      <w:bookmarkStart w:id="160" w:name="_Toc297623644"/>
      <w:r>
        <w:rPr>
          <w:rStyle w:val="CharSectno"/>
        </w:rPr>
        <w:t>9</w:t>
      </w:r>
      <w:r>
        <w:rPr>
          <w:snapToGrid w:val="0"/>
        </w:rPr>
        <w:t>.</w:t>
      </w:r>
      <w:r>
        <w:rPr>
          <w:snapToGrid w:val="0"/>
        </w:rPr>
        <w:tab/>
        <w:t>Functions, generally</w:t>
      </w:r>
      <w:bookmarkEnd w:id="156"/>
      <w:bookmarkEnd w:id="157"/>
      <w:bookmarkEnd w:id="158"/>
      <w:bookmarkEnd w:id="159"/>
      <w:bookmarkEnd w:id="160"/>
      <w:del w:id="161" w:author="svcMRProcess" w:date="2015-12-14T21:53:00Z">
        <w:r>
          <w:rPr>
            <w:snapToGrid w:val="0"/>
          </w:rPr>
          <w:delText xml:space="preserve"> </w:delText>
        </w:r>
      </w:del>
    </w:p>
    <w:p>
      <w:pPr>
        <w:pStyle w:val="Subsection"/>
        <w:rPr>
          <w:snapToGrid w:val="0"/>
        </w:rPr>
      </w:pPr>
      <w:r>
        <w:rPr>
          <w:snapToGrid w:val="0"/>
        </w:rPr>
        <w:tab/>
      </w:r>
      <w:r>
        <w:rPr>
          <w:snapToGrid w:val="0"/>
        </w:rPr>
        <w:tab/>
        <w:t>The principal inspector may —</w:t>
      </w:r>
      <w:del w:id="162" w:author="svcMRProcess" w:date="2015-12-14T21:53:00Z">
        <w:r>
          <w:rPr>
            <w:snapToGrid w:val="0"/>
          </w:rPr>
          <w:delText> </w:delText>
        </w:r>
      </w:del>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w:t>
      </w:r>
      <w:ins w:id="163" w:author="svcMRProcess" w:date="2015-12-14T21:53:00Z">
        <w:r>
          <w:rPr>
            <w:snapToGrid w:val="0"/>
          </w:rPr>
          <w:t xml:space="preserve"> and</w:t>
        </w:r>
      </w:ins>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 by No. 1 of 2000 s. 9(2) and 10.]</w:t>
      </w:r>
    </w:p>
    <w:p>
      <w:pPr>
        <w:pStyle w:val="Heading5"/>
        <w:rPr>
          <w:snapToGrid w:val="0"/>
        </w:rPr>
      </w:pPr>
      <w:bookmarkStart w:id="164" w:name="_Toc13112990"/>
      <w:bookmarkStart w:id="165" w:name="_Toc13119228"/>
      <w:bookmarkStart w:id="166" w:name="_Toc94588558"/>
      <w:bookmarkStart w:id="167" w:name="_Toc297623645"/>
      <w:bookmarkStart w:id="168" w:name="_Toc314559993"/>
      <w:r>
        <w:rPr>
          <w:rStyle w:val="CharSectno"/>
        </w:rPr>
        <w:t>10</w:t>
      </w:r>
      <w:r>
        <w:rPr>
          <w:snapToGrid w:val="0"/>
        </w:rPr>
        <w:t>.</w:t>
      </w:r>
      <w:r>
        <w:rPr>
          <w:snapToGrid w:val="0"/>
        </w:rPr>
        <w:tab/>
      </w:r>
      <w:del w:id="169" w:author="svcMRProcess" w:date="2015-12-14T21:53:00Z">
        <w:r>
          <w:rPr>
            <w:snapToGrid w:val="0"/>
          </w:rPr>
          <w:delText xml:space="preserve">Regular inspections of </w:delText>
        </w:r>
        <w:r>
          <w:delText>an eligible</w:delText>
        </w:r>
      </w:del>
      <w:ins w:id="170" w:author="svcMRProcess" w:date="2015-12-14T21:53:00Z">
        <w:r>
          <w:rPr>
            <w:snapToGrid w:val="0"/>
          </w:rPr>
          <w:t>E</w:t>
        </w:r>
        <w:r>
          <w:t>ligible</w:t>
        </w:r>
      </w:ins>
      <w:r>
        <w:t xml:space="preserve"> authority’s</w:t>
      </w:r>
      <w:r>
        <w:rPr>
          <w:snapToGrid w:val="0"/>
        </w:rPr>
        <w:t xml:space="preserve"> records</w:t>
      </w:r>
      <w:bookmarkEnd w:id="164"/>
      <w:bookmarkEnd w:id="165"/>
      <w:bookmarkEnd w:id="166"/>
      <w:bookmarkEnd w:id="167"/>
      <w:r>
        <w:rPr>
          <w:snapToGrid w:val="0"/>
        </w:rPr>
        <w:t xml:space="preserve"> </w:t>
      </w:r>
      <w:ins w:id="171" w:author="svcMRProcess" w:date="2015-12-14T21:53:00Z">
        <w:r>
          <w:rPr>
            <w:snapToGrid w:val="0"/>
          </w:rPr>
          <w:t>to be inspected regularly</w:t>
        </w:r>
      </w:ins>
      <w:bookmarkEnd w:id="168"/>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 by No. 1 of 2000 s. 7 and 9(2).]</w:t>
      </w:r>
    </w:p>
    <w:p>
      <w:pPr>
        <w:pStyle w:val="Heading5"/>
        <w:rPr>
          <w:snapToGrid w:val="0"/>
        </w:rPr>
      </w:pPr>
      <w:bookmarkStart w:id="172" w:name="_Toc13112991"/>
      <w:bookmarkStart w:id="173" w:name="_Toc13119229"/>
      <w:bookmarkStart w:id="174" w:name="_Toc94588559"/>
      <w:bookmarkStart w:id="175" w:name="_Toc297623646"/>
      <w:bookmarkStart w:id="176" w:name="_Toc314559994"/>
      <w:r>
        <w:rPr>
          <w:rStyle w:val="CharSectno"/>
        </w:rPr>
        <w:t>11</w:t>
      </w:r>
      <w:r>
        <w:rPr>
          <w:snapToGrid w:val="0"/>
        </w:rPr>
        <w:t>.</w:t>
      </w:r>
      <w:r>
        <w:rPr>
          <w:snapToGrid w:val="0"/>
        </w:rPr>
        <w:tab/>
        <w:t>Reports</w:t>
      </w:r>
      <w:bookmarkEnd w:id="172"/>
      <w:bookmarkEnd w:id="173"/>
      <w:bookmarkEnd w:id="174"/>
      <w:bookmarkEnd w:id="175"/>
      <w:r>
        <w:rPr>
          <w:snapToGrid w:val="0"/>
        </w:rPr>
        <w:t xml:space="preserve"> </w:t>
      </w:r>
      <w:ins w:id="177" w:author="svcMRProcess" w:date="2015-12-14T21:53:00Z">
        <w:r>
          <w:rPr>
            <w:snapToGrid w:val="0"/>
          </w:rPr>
          <w:t>about inspections, duties as to</w:t>
        </w:r>
      </w:ins>
      <w:bookmarkEnd w:id="176"/>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w:t>
      </w:r>
      <w:del w:id="178" w:author="svcMRProcess" w:date="2015-12-14T21:53:00Z">
        <w:r>
          <w:rPr>
            <w:snapToGrid w:val="0"/>
          </w:rPr>
          <w:delText> </w:delText>
        </w:r>
      </w:del>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 by No. 1 of 2000 s. 8, 9(1) and 10.]</w:t>
      </w:r>
    </w:p>
    <w:p>
      <w:pPr>
        <w:pStyle w:val="Heading5"/>
        <w:rPr>
          <w:snapToGrid w:val="0"/>
        </w:rPr>
      </w:pPr>
      <w:bookmarkStart w:id="179" w:name="_Toc13112992"/>
      <w:bookmarkStart w:id="180" w:name="_Toc13119230"/>
      <w:bookmarkStart w:id="181" w:name="_Toc94588560"/>
      <w:bookmarkStart w:id="182" w:name="_Toc297623647"/>
      <w:bookmarkStart w:id="183" w:name="_Toc314559995"/>
      <w:r>
        <w:rPr>
          <w:rStyle w:val="CharSectno"/>
        </w:rPr>
        <w:t>12</w:t>
      </w:r>
      <w:r>
        <w:rPr>
          <w:snapToGrid w:val="0"/>
        </w:rPr>
        <w:t>.</w:t>
      </w:r>
      <w:r>
        <w:rPr>
          <w:snapToGrid w:val="0"/>
        </w:rPr>
        <w:tab/>
        <w:t>Principal inspector may report on breaches</w:t>
      </w:r>
      <w:bookmarkEnd w:id="179"/>
      <w:bookmarkEnd w:id="180"/>
      <w:bookmarkEnd w:id="181"/>
      <w:bookmarkEnd w:id="182"/>
      <w:r>
        <w:rPr>
          <w:snapToGrid w:val="0"/>
        </w:rPr>
        <w:t xml:space="preserve"> </w:t>
      </w:r>
      <w:ins w:id="184" w:author="svcMRProcess" w:date="2015-12-14T21:53:00Z">
        <w:r>
          <w:rPr>
            <w:snapToGrid w:val="0"/>
          </w:rPr>
          <w:t>of Acts</w:t>
        </w:r>
      </w:ins>
      <w:bookmarkEnd w:id="183"/>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w:t>
      </w:r>
      <w:del w:id="185" w:author="svcMRProcess" w:date="2015-12-14T21:53:00Z">
        <w:r>
          <w:rPr>
            <w:snapToGrid w:val="0"/>
          </w:rPr>
          <w:delText> </w:delText>
        </w:r>
      </w:del>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 by No. 1 of 2000 s. 9(2).]</w:t>
      </w:r>
    </w:p>
    <w:p>
      <w:pPr>
        <w:pStyle w:val="Heading5"/>
        <w:rPr>
          <w:snapToGrid w:val="0"/>
        </w:rPr>
      </w:pPr>
      <w:bookmarkStart w:id="186" w:name="_Toc13112993"/>
      <w:bookmarkStart w:id="187" w:name="_Toc13119231"/>
      <w:bookmarkStart w:id="188" w:name="_Toc94588561"/>
      <w:bookmarkStart w:id="189" w:name="_Toc297623648"/>
      <w:bookmarkStart w:id="190" w:name="_Toc314559996"/>
      <w:r>
        <w:rPr>
          <w:rStyle w:val="CharSectno"/>
        </w:rPr>
        <w:t>13</w:t>
      </w:r>
      <w:r>
        <w:rPr>
          <w:snapToGrid w:val="0"/>
        </w:rPr>
        <w:t>.</w:t>
      </w:r>
      <w:r>
        <w:rPr>
          <w:snapToGrid w:val="0"/>
        </w:rPr>
        <w:tab/>
      </w:r>
      <w:bookmarkEnd w:id="186"/>
      <w:bookmarkEnd w:id="187"/>
      <w:bookmarkEnd w:id="188"/>
      <w:del w:id="191" w:author="svcMRProcess" w:date="2015-12-14T21:53:00Z">
        <w:r>
          <w:rPr>
            <w:snapToGrid w:val="0"/>
          </w:rPr>
          <w:delText>Principal inspector’s general</w:delText>
        </w:r>
      </w:del>
      <w:ins w:id="192" w:author="svcMRProcess" w:date="2015-12-14T21:53:00Z">
        <w:r>
          <w:rPr>
            <w:snapToGrid w:val="0"/>
          </w:rPr>
          <w:t>Inspections of records,</w:t>
        </w:r>
      </w:ins>
      <w:r>
        <w:rPr>
          <w:snapToGrid w:val="0"/>
        </w:rPr>
        <w:t xml:space="preserve"> powers</w:t>
      </w:r>
      <w:bookmarkEnd w:id="189"/>
      <w:r>
        <w:rPr>
          <w:snapToGrid w:val="0"/>
        </w:rPr>
        <w:t xml:space="preserve"> </w:t>
      </w:r>
      <w:ins w:id="193" w:author="svcMRProcess" w:date="2015-12-14T21:53:00Z">
        <w:r>
          <w:rPr>
            <w:snapToGrid w:val="0"/>
          </w:rPr>
          <w:t>for</w:t>
        </w:r>
      </w:ins>
      <w:bookmarkEnd w:id="190"/>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w:t>
      </w:r>
      <w:del w:id="194" w:author="svcMRProcess" w:date="2015-12-14T21:53:00Z">
        <w:r>
          <w:rPr>
            <w:snapToGrid w:val="0"/>
          </w:rPr>
          <w:delText> </w:delText>
        </w:r>
      </w:del>
    </w:p>
    <w:p>
      <w:pPr>
        <w:pStyle w:val="Indenta"/>
        <w:rPr>
          <w:snapToGrid w:val="0"/>
        </w:rPr>
      </w:pPr>
      <w:r>
        <w:rPr>
          <w:snapToGrid w:val="0"/>
        </w:rPr>
        <w:tab/>
        <w:t>(a)</w:t>
      </w:r>
      <w:r>
        <w:rPr>
          <w:snapToGrid w:val="0"/>
        </w:rPr>
        <w:tab/>
        <w:t>may, after notifying the chief officer of the authority, enter at any reasonable time premises occupied by the authority;</w:t>
      </w:r>
      <w:ins w:id="195" w:author="svcMRProcess" w:date="2015-12-14T21:53:00Z">
        <w:r>
          <w:rPr>
            <w:snapToGrid w:val="0"/>
          </w:rPr>
          <w:t xml:space="preserve"> and</w:t>
        </w:r>
      </w:ins>
    </w:p>
    <w:p>
      <w:pPr>
        <w:pStyle w:val="Indenta"/>
        <w:rPr>
          <w:snapToGrid w:val="0"/>
        </w:rPr>
      </w:pPr>
      <w:r>
        <w:rPr>
          <w:snapToGrid w:val="0"/>
        </w:rPr>
        <w:tab/>
        <w:t>(b)</w:t>
      </w:r>
      <w:r>
        <w:rPr>
          <w:snapToGrid w:val="0"/>
        </w:rPr>
        <w:tab/>
        <w:t>is entitled to have full and free access at all reasonable times to all records of the authority;</w:t>
      </w:r>
      <w:ins w:id="196" w:author="svcMRProcess" w:date="2015-12-14T21:53:00Z">
        <w:r>
          <w:rPr>
            <w:snapToGrid w:val="0"/>
          </w:rPr>
          <w:t xml:space="preserve"> and</w:t>
        </w:r>
      </w:ins>
    </w:p>
    <w:p>
      <w:pPr>
        <w:pStyle w:val="Indenta"/>
        <w:rPr>
          <w:snapToGrid w:val="0"/>
        </w:rPr>
      </w:pPr>
      <w:r>
        <w:rPr>
          <w:snapToGrid w:val="0"/>
        </w:rPr>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 by No. 1 of 2000 s. 9(1) and (2).]</w:t>
      </w:r>
    </w:p>
    <w:p>
      <w:pPr>
        <w:pStyle w:val="Heading5"/>
        <w:rPr>
          <w:snapToGrid w:val="0"/>
        </w:rPr>
      </w:pPr>
      <w:bookmarkStart w:id="197" w:name="_Toc13112994"/>
      <w:bookmarkStart w:id="198" w:name="_Toc13119232"/>
      <w:bookmarkStart w:id="199" w:name="_Toc94588562"/>
      <w:bookmarkStart w:id="200" w:name="_Toc314559997"/>
      <w:bookmarkStart w:id="201" w:name="_Toc297623649"/>
      <w:r>
        <w:rPr>
          <w:rStyle w:val="CharSectno"/>
        </w:rPr>
        <w:t>14</w:t>
      </w:r>
      <w:r>
        <w:rPr>
          <w:snapToGrid w:val="0"/>
        </w:rPr>
        <w:t>.</w:t>
      </w:r>
      <w:r>
        <w:rPr>
          <w:snapToGrid w:val="0"/>
        </w:rPr>
        <w:tab/>
      </w:r>
      <w:del w:id="202" w:author="svcMRProcess" w:date="2015-12-14T21:53:00Z">
        <w:r>
          <w:rPr>
            <w:snapToGrid w:val="0"/>
          </w:rPr>
          <w:delText>Power</w:delText>
        </w:r>
      </w:del>
      <w:ins w:id="203" w:author="svcMRProcess" w:date="2015-12-14T21:53:00Z">
        <w:r>
          <w:rPr>
            <w:snapToGrid w:val="0"/>
          </w:rPr>
          <w:t>Information</w:t>
        </w:r>
        <w:bookmarkEnd w:id="197"/>
        <w:bookmarkEnd w:id="198"/>
        <w:bookmarkEnd w:id="199"/>
        <w:r>
          <w:rPr>
            <w:snapToGrid w:val="0"/>
          </w:rPr>
          <w:t xml:space="preserve"> relevant to inspections, power</w:t>
        </w:r>
      </w:ins>
      <w:r>
        <w:rPr>
          <w:snapToGrid w:val="0"/>
        </w:rPr>
        <w:t xml:space="preserve"> to obtain</w:t>
      </w:r>
      <w:bookmarkEnd w:id="200"/>
      <w:del w:id="204" w:author="svcMRProcess" w:date="2015-12-14T21:53:00Z">
        <w:r>
          <w:rPr>
            <w:snapToGrid w:val="0"/>
          </w:rPr>
          <w:delText xml:space="preserve"> relevant information</w:delText>
        </w:r>
        <w:bookmarkEnd w:id="201"/>
        <w:r>
          <w:rPr>
            <w:snapToGrid w:val="0"/>
          </w:rPr>
          <w:delText xml:space="preserve"> </w:delText>
        </w:r>
      </w:del>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w:t>
      </w:r>
      <w:del w:id="205" w:author="svcMRProcess" w:date="2015-12-14T21:53:00Z">
        <w:r>
          <w:rPr>
            <w:snapToGrid w:val="0"/>
          </w:rPr>
          <w:delText> </w:delText>
        </w:r>
      </w:del>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w:t>
      </w:r>
      <w:del w:id="206" w:author="svcMRProcess" w:date="2015-12-14T21:53:00Z">
        <w:r>
          <w:rPr>
            <w:snapToGrid w:val="0"/>
          </w:rPr>
          <w:delText> </w:delText>
        </w:r>
      </w:del>
    </w:p>
    <w:p>
      <w:pPr>
        <w:pStyle w:val="Indenta"/>
        <w:rPr>
          <w:snapToGrid w:val="0"/>
        </w:rPr>
      </w:pPr>
      <w:r>
        <w:rPr>
          <w:snapToGrid w:val="0"/>
        </w:rPr>
        <w:tab/>
        <w:t>(a)</w:t>
      </w:r>
      <w:r>
        <w:rPr>
          <w:snapToGrid w:val="0"/>
        </w:rPr>
        <w:tab/>
        <w:t>before a specified inspecting officer;</w:t>
      </w:r>
      <w:ins w:id="207" w:author="svcMRProcess" w:date="2015-12-14T21:53:00Z">
        <w:r>
          <w:rPr>
            <w:snapToGrid w:val="0"/>
          </w:rPr>
          <w:t xml:space="preserve"> and</w:t>
        </w:r>
      </w:ins>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tab/>
        <w:t>(4)</w:t>
      </w:r>
      <w:r>
        <w:rPr>
          <w:snapToGrid w:val="0"/>
        </w:rPr>
        <w:tab/>
        <w:t>If the principal inspector —</w:t>
      </w:r>
      <w:del w:id="208" w:author="svcMRProcess" w:date="2015-12-14T21:53:00Z">
        <w:r>
          <w:rPr>
            <w:snapToGrid w:val="0"/>
          </w:rPr>
          <w:delText> </w:delText>
        </w:r>
      </w:del>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w:t>
      </w:r>
      <w:del w:id="209" w:author="svcMRProcess" w:date="2015-12-14T21:53:00Z">
        <w:r>
          <w:rPr>
            <w:snapToGrid w:val="0"/>
          </w:rPr>
          <w:delText> </w:delText>
        </w:r>
      </w:del>
    </w:p>
    <w:p>
      <w:pPr>
        <w:pStyle w:val="Indenta"/>
        <w:rPr>
          <w:snapToGrid w:val="0"/>
        </w:rPr>
      </w:pPr>
      <w:r>
        <w:rPr>
          <w:snapToGrid w:val="0"/>
        </w:rPr>
        <w:tab/>
        <w:t>(aa)</w:t>
      </w:r>
      <w:r>
        <w:rPr>
          <w:snapToGrid w:val="0"/>
        </w:rPr>
        <w:tab/>
        <w:t>before a specified inspecting officer;</w:t>
      </w:r>
      <w:ins w:id="210" w:author="svcMRProcess" w:date="2015-12-14T21:53:00Z">
        <w:r>
          <w:rPr>
            <w:snapToGrid w:val="0"/>
          </w:rPr>
          <w:t xml:space="preserve"> and</w:t>
        </w:r>
      </w:ins>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 by No. 1 of 2000 s. 9(1).]</w:t>
      </w:r>
    </w:p>
    <w:p>
      <w:pPr>
        <w:pStyle w:val="Heading5"/>
        <w:rPr>
          <w:snapToGrid w:val="0"/>
        </w:rPr>
      </w:pPr>
      <w:bookmarkStart w:id="211" w:name="_Toc13112995"/>
      <w:bookmarkStart w:id="212" w:name="_Toc13119233"/>
      <w:bookmarkStart w:id="213" w:name="_Toc94588563"/>
      <w:bookmarkStart w:id="214" w:name="_Toc314559998"/>
      <w:bookmarkStart w:id="215" w:name="_Toc297623650"/>
      <w:r>
        <w:rPr>
          <w:rStyle w:val="CharSectno"/>
        </w:rPr>
        <w:t>15</w:t>
      </w:r>
      <w:r>
        <w:rPr>
          <w:snapToGrid w:val="0"/>
        </w:rPr>
        <w:t>.</w:t>
      </w:r>
      <w:r>
        <w:rPr>
          <w:snapToGrid w:val="0"/>
        </w:rPr>
        <w:tab/>
        <w:t>Principal inspector to be given information and access despite other laws</w:t>
      </w:r>
      <w:bookmarkEnd w:id="211"/>
      <w:bookmarkEnd w:id="212"/>
      <w:bookmarkEnd w:id="213"/>
      <w:bookmarkEnd w:id="214"/>
      <w:bookmarkEnd w:id="215"/>
      <w:del w:id="216" w:author="svcMRProcess" w:date="2015-12-14T21:53:00Z">
        <w:r>
          <w:rPr>
            <w:snapToGrid w:val="0"/>
          </w:rPr>
          <w:delText xml:space="preserve"> </w:delText>
        </w:r>
      </w:del>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w:t>
      </w:r>
      <w:del w:id="217" w:author="svcMRProcess" w:date="2015-12-14T21:53:00Z">
        <w:r>
          <w:rPr>
            <w:snapToGrid w:val="0"/>
          </w:rPr>
          <w:delText> </w:delText>
        </w:r>
      </w:del>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keepNext/>
        <w:keepLines/>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w:t>
      </w:r>
      <w:del w:id="218" w:author="svcMRProcess" w:date="2015-12-14T21:53:00Z">
        <w:r>
          <w:rPr>
            <w:snapToGrid w:val="0"/>
          </w:rPr>
          <w:delText> </w:delText>
        </w:r>
      </w:del>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 by No. 1 of 2000 s. 9(1).]</w:t>
      </w:r>
    </w:p>
    <w:p>
      <w:pPr>
        <w:pStyle w:val="Heading5"/>
        <w:rPr>
          <w:del w:id="219" w:author="svcMRProcess" w:date="2015-12-14T21:53:00Z"/>
          <w:snapToGrid w:val="0"/>
        </w:rPr>
      </w:pPr>
      <w:bookmarkStart w:id="220" w:name="_Toc297623651"/>
      <w:bookmarkStart w:id="221" w:name="_Toc13112996"/>
      <w:bookmarkStart w:id="222" w:name="_Toc13119234"/>
      <w:bookmarkStart w:id="223" w:name="_Toc94588564"/>
      <w:bookmarkStart w:id="224" w:name="_Toc314559999"/>
      <w:del w:id="225" w:author="svcMRProcess" w:date="2015-12-14T21:53:00Z">
        <w:r>
          <w:rPr>
            <w:rStyle w:val="CharSectno"/>
          </w:rPr>
          <w:delText>16</w:delText>
        </w:r>
        <w:r>
          <w:rPr>
            <w:snapToGrid w:val="0"/>
          </w:rPr>
          <w:delText>.</w:delText>
        </w:r>
        <w:r>
          <w:rPr>
            <w:snapToGrid w:val="0"/>
          </w:rPr>
          <w:tab/>
          <w:delText>Dealing with information for the purposes of inspection and report</w:delText>
        </w:r>
        <w:bookmarkEnd w:id="220"/>
        <w:r>
          <w:rPr>
            <w:snapToGrid w:val="0"/>
          </w:rPr>
          <w:delText xml:space="preserve"> </w:delText>
        </w:r>
      </w:del>
    </w:p>
    <w:p>
      <w:pPr>
        <w:pStyle w:val="Heading5"/>
        <w:rPr>
          <w:ins w:id="226" w:author="svcMRProcess" w:date="2015-12-14T21:53:00Z"/>
          <w:snapToGrid w:val="0"/>
        </w:rPr>
      </w:pPr>
      <w:ins w:id="227" w:author="svcMRProcess" w:date="2015-12-14T21:53:00Z">
        <w:r>
          <w:rPr>
            <w:rStyle w:val="CharSectno"/>
          </w:rPr>
          <w:t>16</w:t>
        </w:r>
        <w:r>
          <w:rPr>
            <w:snapToGrid w:val="0"/>
          </w:rPr>
          <w:t>.</w:t>
        </w:r>
        <w:r>
          <w:rPr>
            <w:snapToGrid w:val="0"/>
          </w:rPr>
          <w:tab/>
        </w:r>
        <w:bookmarkEnd w:id="221"/>
        <w:bookmarkEnd w:id="222"/>
        <w:bookmarkEnd w:id="223"/>
        <w:r>
          <w:rPr>
            <w:snapToGrid w:val="0"/>
          </w:rPr>
          <w:t>Information obtained by inspecting officer, use of etc.</w:t>
        </w:r>
        <w:bookmarkEnd w:id="224"/>
      </w:ins>
    </w:p>
    <w:p>
      <w:pPr>
        <w:pStyle w:val="Subsection"/>
        <w:rPr>
          <w:snapToGrid w:val="0"/>
        </w:rPr>
      </w:pPr>
      <w:r>
        <w:rPr>
          <w:snapToGrid w:val="0"/>
        </w:rPr>
        <w:tab/>
      </w:r>
      <w:r>
        <w:rPr>
          <w:snapToGrid w:val="0"/>
        </w:rPr>
        <w:tab/>
        <w:t>If —</w:t>
      </w:r>
      <w:del w:id="228" w:author="svcMRProcess" w:date="2015-12-14T21:53:00Z">
        <w:r>
          <w:rPr>
            <w:snapToGrid w:val="0"/>
          </w:rPr>
          <w:delText> </w:delText>
        </w:r>
      </w:del>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keepLines/>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 by No. 1 of 2000 s. 9(1) and (2).]</w:t>
      </w:r>
    </w:p>
    <w:p>
      <w:pPr>
        <w:pStyle w:val="Heading5"/>
        <w:rPr>
          <w:snapToGrid w:val="0"/>
        </w:rPr>
      </w:pPr>
      <w:bookmarkStart w:id="229" w:name="_Toc13112997"/>
      <w:bookmarkStart w:id="230" w:name="_Toc13119235"/>
      <w:bookmarkStart w:id="231" w:name="_Toc94588565"/>
      <w:bookmarkStart w:id="232" w:name="_Toc314560000"/>
      <w:bookmarkStart w:id="233" w:name="_Toc297623652"/>
      <w:r>
        <w:rPr>
          <w:rStyle w:val="CharSectno"/>
        </w:rPr>
        <w:t>17</w:t>
      </w:r>
      <w:r>
        <w:rPr>
          <w:snapToGrid w:val="0"/>
        </w:rPr>
        <w:t>.</w:t>
      </w:r>
      <w:r>
        <w:rPr>
          <w:snapToGrid w:val="0"/>
        </w:rPr>
        <w:tab/>
        <w:t>Inspecting officer not to be sued</w:t>
      </w:r>
      <w:bookmarkEnd w:id="229"/>
      <w:bookmarkEnd w:id="230"/>
      <w:bookmarkEnd w:id="231"/>
      <w:bookmarkEnd w:id="232"/>
      <w:bookmarkEnd w:id="233"/>
      <w:del w:id="234" w:author="svcMRProcess" w:date="2015-12-14T21:53:00Z">
        <w:r>
          <w:rPr>
            <w:snapToGrid w:val="0"/>
          </w:rPr>
          <w:delText xml:space="preserve"> </w:delText>
        </w:r>
      </w:del>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235" w:name="_Toc13112998"/>
      <w:bookmarkStart w:id="236" w:name="_Toc13119236"/>
      <w:bookmarkStart w:id="237" w:name="_Toc94588566"/>
      <w:bookmarkStart w:id="238" w:name="_Toc314560001"/>
      <w:bookmarkStart w:id="239" w:name="_Toc297623653"/>
      <w:r>
        <w:rPr>
          <w:rStyle w:val="CharSectno"/>
        </w:rPr>
        <w:t>18</w:t>
      </w:r>
      <w:r>
        <w:rPr>
          <w:snapToGrid w:val="0"/>
        </w:rPr>
        <w:t>.</w:t>
      </w:r>
      <w:r>
        <w:rPr>
          <w:snapToGrid w:val="0"/>
        </w:rPr>
        <w:tab/>
        <w:t>Delegation by principal inspector</w:t>
      </w:r>
      <w:bookmarkEnd w:id="235"/>
      <w:bookmarkEnd w:id="236"/>
      <w:bookmarkEnd w:id="237"/>
      <w:bookmarkEnd w:id="238"/>
      <w:bookmarkEnd w:id="239"/>
      <w:del w:id="240" w:author="svcMRProcess" w:date="2015-12-14T21:53:00Z">
        <w:r>
          <w:rPr>
            <w:snapToGrid w:val="0"/>
          </w:rPr>
          <w:delText xml:space="preserve"> </w:delText>
        </w:r>
      </w:del>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w:t>
      </w:r>
      <w:del w:id="241" w:author="svcMRProcess" w:date="2015-12-14T21:53:00Z">
        <w:r>
          <w:rPr>
            <w:snapToGrid w:val="0"/>
          </w:rPr>
          <w:delText> </w:delText>
        </w:r>
      </w:del>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 by No. 1 of 2000 s. 10.]</w:t>
      </w:r>
    </w:p>
    <w:p>
      <w:pPr>
        <w:pStyle w:val="Heading5"/>
        <w:rPr>
          <w:snapToGrid w:val="0"/>
        </w:rPr>
      </w:pPr>
      <w:bookmarkStart w:id="242" w:name="_Toc13112999"/>
      <w:bookmarkStart w:id="243" w:name="_Toc13119237"/>
      <w:bookmarkStart w:id="244" w:name="_Toc94588567"/>
      <w:bookmarkStart w:id="245" w:name="_Toc314560002"/>
      <w:bookmarkStart w:id="246" w:name="_Toc297623654"/>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242"/>
      <w:bookmarkEnd w:id="243"/>
      <w:bookmarkEnd w:id="244"/>
      <w:bookmarkEnd w:id="245"/>
      <w:bookmarkEnd w:id="246"/>
      <w:del w:id="247" w:author="svcMRProcess" w:date="2015-12-14T21:53:00Z">
        <w:r>
          <w:rPr>
            <w:snapToGrid w:val="0"/>
          </w:rPr>
          <w:delText xml:space="preserve"> </w:delText>
        </w:r>
      </w:del>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del w:id="248" w:author="svcMRProcess" w:date="2015-12-14T21:53:00Z">
        <w:r>
          <w:rPr>
            <w:snapToGrid w:val="0"/>
          </w:rPr>
          <w:delText xml:space="preserve"> </w:delText>
        </w:r>
      </w:del>
    </w:p>
    <w:p>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w:t>
      </w:r>
      <w:del w:id="249" w:author="svcMRProcess" w:date="2015-12-14T21:53:00Z">
        <w:r>
          <w:rPr>
            <w:snapToGrid w:val="0"/>
          </w:rPr>
          <w:delText> </w:delText>
        </w:r>
      </w:del>
    </w:p>
    <w:p>
      <w:pPr>
        <w:pStyle w:val="Indenta"/>
        <w:rPr>
          <w:snapToGrid w:val="0"/>
        </w:rPr>
      </w:pPr>
      <w:r>
        <w:rPr>
          <w:snapToGrid w:val="0"/>
        </w:rPr>
        <w:tab/>
        <w:t>(a)</w:t>
      </w:r>
      <w:r>
        <w:rPr>
          <w:snapToGrid w:val="0"/>
        </w:rPr>
        <w:tab/>
        <w:t>a reference in section 23 to information did not include a reference to lawfully obtained information;</w:t>
      </w:r>
      <w:ins w:id="250" w:author="svcMRProcess" w:date="2015-12-14T21:53:00Z">
        <w:r>
          <w:rPr>
            <w:snapToGrid w:val="0"/>
          </w:rPr>
          <w:t xml:space="preserve"> and</w:t>
        </w:r>
      </w:ins>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w:t>
      </w:r>
      <w:del w:id="251" w:author="svcMRProcess" w:date="2015-12-14T21:53:00Z">
        <w:r>
          <w:rPr>
            <w:snapToGrid w:val="0"/>
          </w:rPr>
          <w:delText> </w:delText>
        </w:r>
      </w:del>
    </w:p>
    <w:p>
      <w:pPr>
        <w:pStyle w:val="Defstart"/>
      </w:pPr>
      <w:r>
        <w:rPr>
          <w:b/>
        </w:rPr>
        <w:tab/>
      </w:r>
      <w:r>
        <w:rPr>
          <w:rStyle w:val="CharDefText"/>
        </w:rPr>
        <w:t>inspecting officer</w:t>
      </w:r>
      <w:r>
        <w:t xml:space="preserve"> means an inspecting officer who is —</w:t>
      </w:r>
      <w:del w:id="252" w:author="svcMRProcess" w:date="2015-12-14T21:53:00Z">
        <w:r>
          <w:delText> </w:delText>
        </w:r>
      </w:del>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w:t>
      </w:r>
      <w:del w:id="253" w:author="svcMRProcess" w:date="2015-12-14T21:53:00Z">
        <w:r>
          <w:delText> </w:delText>
        </w:r>
      </w:del>
    </w:p>
    <w:p>
      <w:pPr>
        <w:pStyle w:val="Defpara"/>
      </w:pPr>
      <w:r>
        <w:tab/>
        <w:t>(a)</w:t>
      </w:r>
      <w:r>
        <w:tab/>
        <w:t xml:space="preserve">the Parliamentary Commissioner for Administrative Investigations holding office under the </w:t>
      </w:r>
      <w:r>
        <w:rPr>
          <w:i/>
        </w:rPr>
        <w:t>Parliamentary Commissioner Act 1971</w:t>
      </w:r>
      <w:r>
        <w:t>;</w:t>
      </w:r>
      <w:ins w:id="254" w:author="svcMRProcess" w:date="2015-12-14T21:53:00Z">
        <w:r>
          <w:t xml:space="preserve"> or</w:t>
        </w:r>
      </w:ins>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255" w:name="_Toc13113000"/>
      <w:bookmarkStart w:id="256" w:name="_Toc13119238"/>
      <w:bookmarkStart w:id="257" w:name="_Toc94588568"/>
      <w:bookmarkStart w:id="258" w:name="_Toc314560003"/>
      <w:bookmarkStart w:id="259" w:name="_Toc297623655"/>
      <w:r>
        <w:rPr>
          <w:rStyle w:val="CharSectno"/>
        </w:rPr>
        <w:t>20</w:t>
      </w:r>
      <w:r>
        <w:rPr>
          <w:snapToGrid w:val="0"/>
        </w:rPr>
        <w:t>.</w:t>
      </w:r>
      <w:r>
        <w:rPr>
          <w:snapToGrid w:val="0"/>
        </w:rPr>
        <w:tab/>
        <w:t>Exchange of information between principal inspector and Commonwealth Ombudsman</w:t>
      </w:r>
      <w:bookmarkEnd w:id="255"/>
      <w:bookmarkEnd w:id="256"/>
      <w:bookmarkEnd w:id="257"/>
      <w:bookmarkEnd w:id="258"/>
      <w:bookmarkEnd w:id="259"/>
      <w:del w:id="260" w:author="svcMRProcess" w:date="2015-12-14T21:53:00Z">
        <w:r>
          <w:rPr>
            <w:snapToGrid w:val="0"/>
          </w:rPr>
          <w:delText xml:space="preserve"> </w:delText>
        </w:r>
      </w:del>
    </w:p>
    <w:p>
      <w:pPr>
        <w:pStyle w:val="Subsection"/>
        <w:rPr>
          <w:snapToGrid w:val="0"/>
        </w:rPr>
      </w:pPr>
      <w:r>
        <w:rPr>
          <w:snapToGrid w:val="0"/>
        </w:rPr>
        <w:tab/>
        <w:t>(1)</w:t>
      </w:r>
      <w:r>
        <w:rPr>
          <w:snapToGrid w:val="0"/>
        </w:rPr>
        <w:tab/>
        <w:t>The principal inspector may give information that —</w:t>
      </w:r>
      <w:del w:id="261" w:author="svcMRProcess" w:date="2015-12-14T21:53:00Z">
        <w:r>
          <w:rPr>
            <w:snapToGrid w:val="0"/>
          </w:rPr>
          <w:delText> </w:delText>
        </w:r>
      </w:del>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262" w:name="_Toc90718885"/>
      <w:bookmarkStart w:id="263" w:name="_Toc94588569"/>
      <w:bookmarkStart w:id="264" w:name="_Toc286829826"/>
      <w:bookmarkStart w:id="265" w:name="_Toc286829857"/>
      <w:bookmarkStart w:id="266" w:name="_Toc297554841"/>
      <w:bookmarkStart w:id="267" w:name="_Toc297554992"/>
      <w:bookmarkStart w:id="268" w:name="_Toc297623656"/>
      <w:bookmarkStart w:id="269" w:name="_Toc308774898"/>
      <w:bookmarkStart w:id="270" w:name="_Toc308777783"/>
      <w:bookmarkStart w:id="271" w:name="_Toc308777826"/>
      <w:bookmarkStart w:id="272" w:name="_Toc311545973"/>
      <w:bookmarkStart w:id="273" w:name="_Toc311546109"/>
      <w:bookmarkStart w:id="274" w:name="_Toc311547314"/>
      <w:bookmarkStart w:id="275" w:name="_Toc312222423"/>
      <w:bookmarkStart w:id="276" w:name="_Toc313871627"/>
      <w:bookmarkStart w:id="277" w:name="_Toc314560004"/>
      <w:r>
        <w:rPr>
          <w:rStyle w:val="CharPartNo"/>
        </w:rPr>
        <w:t>Part 4</w:t>
      </w:r>
      <w:r>
        <w:rPr>
          <w:rStyle w:val="CharDivNo"/>
        </w:rPr>
        <w:t> </w:t>
      </w:r>
      <w:r>
        <w:t>—</w:t>
      </w:r>
      <w:r>
        <w:rPr>
          <w:rStyle w:val="CharDivText"/>
        </w:rPr>
        <w:t> </w:t>
      </w:r>
      <w:r>
        <w:rPr>
          <w:rStyle w:val="CharPartText"/>
        </w:rPr>
        <w:t>Miscellaneous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del w:id="278" w:author="svcMRProcess" w:date="2015-12-14T21:53:00Z">
        <w:r>
          <w:rPr>
            <w:rStyle w:val="CharPartText"/>
          </w:rPr>
          <w:delText xml:space="preserve"> </w:delText>
        </w:r>
      </w:del>
    </w:p>
    <w:p>
      <w:pPr>
        <w:pStyle w:val="Heading5"/>
        <w:rPr>
          <w:snapToGrid w:val="0"/>
        </w:rPr>
      </w:pPr>
      <w:bookmarkStart w:id="279" w:name="_Toc13113001"/>
      <w:bookmarkStart w:id="280" w:name="_Toc13119239"/>
      <w:bookmarkStart w:id="281" w:name="_Toc94588570"/>
      <w:bookmarkStart w:id="282" w:name="_Toc314560005"/>
      <w:bookmarkStart w:id="283" w:name="_Toc297623657"/>
      <w:r>
        <w:rPr>
          <w:rStyle w:val="CharSectno"/>
        </w:rPr>
        <w:t>21</w:t>
      </w:r>
      <w:r>
        <w:rPr>
          <w:snapToGrid w:val="0"/>
        </w:rPr>
        <w:t>.</w:t>
      </w:r>
      <w:r>
        <w:rPr>
          <w:snapToGrid w:val="0"/>
        </w:rPr>
        <w:tab/>
      </w:r>
      <w:del w:id="284" w:author="svcMRProcess" w:date="2015-12-14T21:53:00Z">
        <w:r>
          <w:rPr>
            <w:snapToGrid w:val="0"/>
          </w:rPr>
          <w:delText>Copies of</w:delText>
        </w:r>
      </w:del>
      <w:ins w:id="285" w:author="svcMRProcess" w:date="2015-12-14T21:53:00Z">
        <w:r>
          <w:rPr>
            <w:snapToGrid w:val="0"/>
          </w:rPr>
          <w:t>Responsible Minister to give</w:t>
        </w:r>
      </w:ins>
      <w:r>
        <w:rPr>
          <w:snapToGrid w:val="0"/>
        </w:rPr>
        <w:t xml:space="preserve"> reports </w:t>
      </w:r>
      <w:del w:id="286" w:author="svcMRProcess" w:date="2015-12-14T21:53:00Z">
        <w:r>
          <w:rPr>
            <w:snapToGrid w:val="0"/>
          </w:rPr>
          <w:delText>for</w:delText>
        </w:r>
      </w:del>
      <w:ins w:id="287" w:author="svcMRProcess" w:date="2015-12-14T21:53:00Z">
        <w:r>
          <w:rPr>
            <w:snapToGrid w:val="0"/>
          </w:rPr>
          <w:t>on inspections to</w:t>
        </w:r>
      </w:ins>
      <w:r>
        <w:rPr>
          <w:snapToGrid w:val="0"/>
        </w:rPr>
        <w:t xml:space="preserve"> Commonwealth Minister</w:t>
      </w:r>
      <w:bookmarkEnd w:id="279"/>
      <w:bookmarkEnd w:id="280"/>
      <w:bookmarkEnd w:id="281"/>
      <w:bookmarkEnd w:id="282"/>
      <w:bookmarkEnd w:id="283"/>
      <w:del w:id="288" w:author="svcMRProcess" w:date="2015-12-14T21:53:00Z">
        <w:r>
          <w:rPr>
            <w:snapToGrid w:val="0"/>
          </w:rPr>
          <w:delText xml:space="preserve"> </w:delText>
        </w:r>
      </w:del>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 by No. 1 of 2000 s. 10.]</w:t>
      </w:r>
    </w:p>
    <w:p>
      <w:pPr>
        <w:pStyle w:val="Heading5"/>
        <w:rPr>
          <w:snapToGrid w:val="0"/>
        </w:rPr>
      </w:pPr>
      <w:bookmarkStart w:id="289" w:name="_Toc13113002"/>
      <w:bookmarkStart w:id="290" w:name="_Toc13119240"/>
      <w:bookmarkStart w:id="291" w:name="_Toc94588571"/>
      <w:bookmarkStart w:id="292" w:name="_Toc297623658"/>
      <w:bookmarkStart w:id="293" w:name="_Toc314560006"/>
      <w:r>
        <w:rPr>
          <w:rStyle w:val="CharSectno"/>
        </w:rPr>
        <w:t>22</w:t>
      </w:r>
      <w:r>
        <w:rPr>
          <w:snapToGrid w:val="0"/>
        </w:rPr>
        <w:t>.</w:t>
      </w:r>
      <w:r>
        <w:rPr>
          <w:snapToGrid w:val="0"/>
        </w:rPr>
        <w:tab/>
        <w:t xml:space="preserve">Disclosure </w:t>
      </w:r>
      <w:bookmarkEnd w:id="289"/>
      <w:bookmarkEnd w:id="290"/>
      <w:bookmarkEnd w:id="291"/>
      <w:del w:id="294" w:author="svcMRProcess" w:date="2015-12-14T21:53:00Z">
        <w:r>
          <w:rPr>
            <w:snapToGrid w:val="0"/>
          </w:rPr>
          <w:delText>by persons under the Minister’s administration</w:delText>
        </w:r>
        <w:bookmarkEnd w:id="292"/>
        <w:r>
          <w:rPr>
            <w:snapToGrid w:val="0"/>
          </w:rPr>
          <w:delText xml:space="preserve"> </w:delText>
        </w:r>
      </w:del>
      <w:ins w:id="295" w:author="svcMRProcess" w:date="2015-12-14T21:53:00Z">
        <w:r>
          <w:rPr>
            <w:snapToGrid w:val="0"/>
          </w:rPr>
          <w:t>of information by officials restricted</w:t>
        </w:r>
      </w:ins>
      <w:bookmarkEnd w:id="293"/>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w:t>
      </w:r>
      <w:del w:id="296" w:author="svcMRProcess" w:date="2015-12-14T21:53:00Z">
        <w:r>
          <w:rPr>
            <w:snapToGrid w:val="0"/>
          </w:rPr>
          <w:delText> </w:delText>
        </w:r>
      </w:del>
    </w:p>
    <w:p>
      <w:pPr>
        <w:pStyle w:val="Indenta"/>
        <w:spacing w:before="70"/>
        <w:rPr>
          <w:snapToGrid w:val="0"/>
        </w:rPr>
      </w:pPr>
      <w:r>
        <w:rPr>
          <w:snapToGrid w:val="0"/>
        </w:rPr>
        <w:tab/>
        <w:t>(a)</w:t>
      </w:r>
      <w:r>
        <w:rPr>
          <w:snapToGrid w:val="0"/>
        </w:rPr>
        <w:tab/>
        <w:t>in accordance with the Commonwealth Act; or</w:t>
      </w:r>
    </w:p>
    <w:p>
      <w:pPr>
        <w:pStyle w:val="Indenta"/>
        <w:spacing w:before="70"/>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w:t>
      </w:r>
      <w:del w:id="297" w:author="svcMRProcess" w:date="2015-12-14T21:53:00Z">
        <w:r>
          <w:rPr>
            <w:snapToGrid w:val="0"/>
          </w:rPr>
          <w:delText> </w:delText>
        </w:r>
      </w:del>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298" w:name="_Toc13113003"/>
      <w:bookmarkStart w:id="299" w:name="_Toc13119241"/>
      <w:bookmarkStart w:id="300" w:name="_Toc94588572"/>
      <w:bookmarkStart w:id="301" w:name="_Toc314560007"/>
      <w:bookmarkStart w:id="302" w:name="_Toc297623659"/>
      <w:r>
        <w:rPr>
          <w:rStyle w:val="CharSectno"/>
        </w:rPr>
        <w:t>23</w:t>
      </w:r>
      <w:r>
        <w:rPr>
          <w:snapToGrid w:val="0"/>
        </w:rPr>
        <w:t>.</w:t>
      </w:r>
      <w:r>
        <w:rPr>
          <w:snapToGrid w:val="0"/>
        </w:rPr>
        <w:tab/>
        <w:t>Offences relating to inspections under Part 3</w:t>
      </w:r>
      <w:bookmarkEnd w:id="298"/>
      <w:bookmarkEnd w:id="299"/>
      <w:bookmarkEnd w:id="300"/>
      <w:bookmarkEnd w:id="301"/>
      <w:bookmarkEnd w:id="302"/>
      <w:del w:id="303" w:author="svcMRProcess" w:date="2015-12-14T21:53:00Z">
        <w:r>
          <w:rPr>
            <w:snapToGrid w:val="0"/>
          </w:rPr>
          <w:delText xml:space="preserve"> </w:delText>
        </w:r>
      </w:del>
    </w:p>
    <w:p>
      <w:pPr>
        <w:pStyle w:val="Subsection"/>
        <w:rPr>
          <w:snapToGrid w:val="0"/>
        </w:rPr>
      </w:pPr>
      <w:r>
        <w:rPr>
          <w:snapToGrid w:val="0"/>
        </w:rPr>
        <w:tab/>
        <w:t>(1)</w:t>
      </w:r>
      <w:r>
        <w:rPr>
          <w:snapToGrid w:val="0"/>
        </w:rPr>
        <w:tab/>
        <w:t>A person must not, without reasonable excuse, refuse or fail —</w:t>
      </w:r>
      <w:del w:id="304" w:author="svcMRProcess" w:date="2015-12-14T21:53:00Z">
        <w:r>
          <w:rPr>
            <w:snapToGrid w:val="0"/>
          </w:rPr>
          <w:delText> </w:delText>
        </w:r>
      </w:del>
    </w:p>
    <w:p>
      <w:pPr>
        <w:pStyle w:val="Indenta"/>
        <w:spacing w:before="70"/>
        <w:rPr>
          <w:snapToGrid w:val="0"/>
        </w:rPr>
      </w:pPr>
      <w:r>
        <w:rPr>
          <w:snapToGrid w:val="0"/>
        </w:rPr>
        <w:tab/>
        <w:t>(a)</w:t>
      </w:r>
      <w:r>
        <w:rPr>
          <w:snapToGrid w:val="0"/>
        </w:rPr>
        <w:tab/>
        <w:t>to attend before a person;</w:t>
      </w:r>
      <w:ins w:id="305" w:author="svcMRProcess" w:date="2015-12-14T21:53:00Z">
        <w:r>
          <w:rPr>
            <w:snapToGrid w:val="0"/>
          </w:rPr>
          <w:t xml:space="preserve"> or</w:t>
        </w:r>
      </w:ins>
    </w:p>
    <w:p>
      <w:pPr>
        <w:pStyle w:val="Indenta"/>
        <w:spacing w:before="70"/>
        <w:rPr>
          <w:snapToGrid w:val="0"/>
        </w:rPr>
      </w:pPr>
      <w:r>
        <w:rPr>
          <w:snapToGrid w:val="0"/>
        </w:rPr>
        <w:tab/>
        <w:t>(b)</w:t>
      </w:r>
      <w:r>
        <w:rPr>
          <w:snapToGrid w:val="0"/>
        </w:rPr>
        <w:tab/>
        <w:t>to give information; or</w:t>
      </w:r>
    </w:p>
    <w:p>
      <w:pPr>
        <w:pStyle w:val="Indenta"/>
        <w:spacing w:before="70"/>
        <w:rPr>
          <w:snapToGrid w:val="0"/>
        </w:rPr>
      </w:pPr>
      <w:r>
        <w:rPr>
          <w:snapToGrid w:val="0"/>
        </w:rPr>
        <w:tab/>
        <w:t>(c)</w:t>
      </w:r>
      <w:r>
        <w:rPr>
          <w:snapToGrid w:val="0"/>
        </w:rPr>
        <w:tab/>
        <w:t>to answer a question,</w:t>
      </w:r>
    </w:p>
    <w:p>
      <w:pPr>
        <w:pStyle w:val="Subsection"/>
        <w:spacing w:before="120"/>
        <w:rPr>
          <w:snapToGrid w:val="0"/>
        </w:rPr>
      </w:pPr>
      <w:r>
        <w:rPr>
          <w:snapToGrid w:val="0"/>
        </w:rPr>
        <w:tab/>
      </w:r>
      <w:r>
        <w:rPr>
          <w:snapToGrid w:val="0"/>
        </w:rPr>
        <w:tab/>
        <w:t>when required under section 14 to do so.</w:t>
      </w:r>
    </w:p>
    <w:p>
      <w:pPr>
        <w:pStyle w:val="Subsection"/>
        <w:keepNext/>
        <w:rPr>
          <w:snapToGrid w:val="0"/>
        </w:rPr>
      </w:pPr>
      <w:r>
        <w:rPr>
          <w:snapToGrid w:val="0"/>
        </w:rPr>
        <w:tab/>
        <w:t>(2)</w:t>
      </w:r>
      <w:r>
        <w:rPr>
          <w:snapToGrid w:val="0"/>
        </w:rPr>
        <w:tab/>
        <w:t>A person must not —</w:t>
      </w:r>
      <w:del w:id="306" w:author="svcMRProcess" w:date="2015-12-14T21:53:00Z">
        <w:r>
          <w:rPr>
            <w:snapToGrid w:val="0"/>
          </w:rPr>
          <w:delText> </w:delText>
        </w:r>
      </w:del>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307" w:name="_Toc13113004"/>
      <w:bookmarkStart w:id="308" w:name="_Toc13119242"/>
      <w:bookmarkStart w:id="309" w:name="_Toc94588573"/>
      <w:bookmarkStart w:id="310" w:name="_Toc314560008"/>
      <w:bookmarkStart w:id="311" w:name="_Toc297623660"/>
      <w:r>
        <w:rPr>
          <w:rStyle w:val="CharSectno"/>
        </w:rPr>
        <w:t>24</w:t>
      </w:r>
      <w:r>
        <w:rPr>
          <w:snapToGrid w:val="0"/>
        </w:rPr>
        <w:t>.</w:t>
      </w:r>
      <w:r>
        <w:rPr>
          <w:snapToGrid w:val="0"/>
        </w:rPr>
        <w:tab/>
        <w:t>Regulations</w:t>
      </w:r>
      <w:bookmarkEnd w:id="307"/>
      <w:bookmarkEnd w:id="308"/>
      <w:bookmarkEnd w:id="309"/>
      <w:bookmarkEnd w:id="310"/>
      <w:bookmarkEnd w:id="311"/>
      <w:del w:id="312" w:author="svcMRProcess" w:date="2015-12-14T21:53:00Z">
        <w:r>
          <w:rPr>
            <w:snapToGrid w:val="0"/>
          </w:rPr>
          <w:delText xml:space="preserve"> </w:delText>
        </w:r>
      </w:del>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rPr>
          <w:ins w:id="313" w:author="svcMRProcess" w:date="2015-12-14T21:53:00Z"/>
        </w:rPr>
      </w:pPr>
      <w:ins w:id="314" w:author="svcMRProcess" w:date="2015-12-14T21:5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15" w:name="_Toc90718890"/>
      <w:bookmarkStart w:id="316" w:name="_Toc94588574"/>
      <w:bookmarkStart w:id="317" w:name="_Toc286829831"/>
      <w:bookmarkStart w:id="318" w:name="_Toc286829862"/>
      <w:bookmarkStart w:id="319" w:name="_Toc297554846"/>
      <w:bookmarkStart w:id="320" w:name="_Toc297554997"/>
      <w:bookmarkStart w:id="321" w:name="_Toc297623661"/>
      <w:bookmarkStart w:id="322" w:name="_Toc308774903"/>
      <w:bookmarkStart w:id="323" w:name="_Toc308777788"/>
      <w:bookmarkStart w:id="324" w:name="_Toc308777831"/>
      <w:bookmarkStart w:id="325" w:name="_Toc311545978"/>
      <w:bookmarkStart w:id="326" w:name="_Toc311546114"/>
      <w:bookmarkStart w:id="327" w:name="_Toc311547319"/>
      <w:bookmarkStart w:id="328" w:name="_Toc312222428"/>
      <w:bookmarkStart w:id="329" w:name="_Toc313871632"/>
      <w:bookmarkStart w:id="330" w:name="_Toc314560009"/>
      <w:r>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w:t>
      </w:r>
      <w:ins w:id="331" w:author="svcMRProcess" w:date="2015-12-14T21:53:00Z">
        <w:r>
          <w:rPr>
            <w:snapToGrid w:val="0"/>
          </w:rPr>
          <w:t xml:space="preserve">reprint </w:t>
        </w:r>
      </w:ins>
      <w:r>
        <w:rPr>
          <w:snapToGrid w:val="0"/>
        </w:rPr>
        <w:t xml:space="preserve">is a compilation </w:t>
      </w:r>
      <w:ins w:id="332" w:author="svcMRProcess" w:date="2015-12-14T21:53:00Z">
        <w:r>
          <w:rPr>
            <w:snapToGrid w:val="0"/>
          </w:rPr>
          <w:t xml:space="preserve">as at 6 January 2012 </w:t>
        </w:r>
      </w:ins>
      <w:r>
        <w:rPr>
          <w:snapToGrid w:val="0"/>
        </w:rPr>
        <w:t xml:space="preserve">of the </w:t>
      </w:r>
      <w:r>
        <w:rPr>
          <w:i/>
          <w:noProof/>
          <w:snapToGrid w:val="0"/>
        </w:rPr>
        <w:t xml:space="preserve">Telecommunications (Interception and Access)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w:t>
      </w:r>
      <w:del w:id="333" w:author="svcMRProcess" w:date="2015-12-14T21:53:00Z">
        <w:r>
          <w:rPr>
            <w:i/>
            <w:noProof/>
            <w:snapToGrid w:val="0"/>
          </w:rPr>
          <w:delText> </w:delText>
        </w:r>
      </w:del>
      <w:ins w:id="334" w:author="svcMRProcess" w:date="2015-12-14T21:53:00Z">
        <w:r>
          <w:rPr>
            <w:i/>
            <w:noProof/>
            <w:snapToGrid w:val="0"/>
          </w:rPr>
          <w:t xml:space="preserve"> </w:t>
        </w:r>
      </w:ins>
      <w:r>
        <w:rPr>
          <w:i/>
          <w:noProof/>
          <w:snapToGrid w:val="0"/>
        </w:rPr>
        <w:t>1996</w:t>
      </w:r>
      <w:r>
        <w:rPr>
          <w:snapToGrid w:val="0"/>
        </w:rPr>
        <w:t xml:space="preserve"> and includes the amendments made by the other written laws referred to in the following table</w:t>
      </w:r>
      <w:del w:id="335" w:author="svcMRProcess" w:date="2015-12-14T21:53:00Z">
        <w:r>
          <w:rPr>
            <w:snapToGrid w:val="0"/>
          </w:rPr>
          <w:delText> </w:delText>
        </w:r>
        <w:r>
          <w:rPr>
            <w:snapToGrid w:val="0"/>
            <w:vertAlign w:val="superscript"/>
          </w:rPr>
          <w:delText>3</w:delText>
        </w:r>
      </w:del>
      <w:r>
        <w:rPr>
          <w:snapToGrid w:val="0"/>
        </w:rPr>
        <w:t>.  The table also contains information about any reprint.</w:t>
      </w:r>
    </w:p>
    <w:p>
      <w:pPr>
        <w:pStyle w:val="nHeading3"/>
        <w:rPr>
          <w:snapToGrid w:val="0"/>
        </w:rPr>
      </w:pPr>
      <w:bookmarkStart w:id="336" w:name="_Toc314560010"/>
      <w:bookmarkStart w:id="337" w:name="_Toc94588575"/>
      <w:bookmarkStart w:id="338" w:name="_Toc297623662"/>
      <w:r>
        <w:t>Compilation table</w:t>
      </w:r>
      <w:bookmarkEnd w:id="336"/>
      <w:bookmarkEnd w:id="337"/>
      <w:bookmarkEnd w:id="3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Borders>
              <w:top w:val="nil"/>
              <w:bottom w:val="nil"/>
            </w:tcBorders>
          </w:tcPr>
          <w:p>
            <w:pPr>
              <w:pStyle w:val="nTable"/>
              <w:spacing w:before="60" w:after="60"/>
              <w:rPr>
                <w:sz w:val="19"/>
                <w:vertAlign w:val="superscript"/>
              </w:rPr>
            </w:pPr>
            <w:r>
              <w:rPr>
                <w:i/>
                <w:sz w:val="19"/>
              </w:rPr>
              <w:t xml:space="preserve">Telecommunications (Interception) </w:t>
            </w:r>
            <w:smartTag w:uri="urn:schemas-microsoft-com:office:smarttags" w:element="place">
              <w:smartTag w:uri="urn:schemas-microsoft-com:office:smarttags" w:element="State">
                <w:r>
                  <w:rPr>
                    <w:i/>
                    <w:sz w:val="19"/>
                  </w:rPr>
                  <w:t>Western Australia</w:t>
                </w:r>
              </w:smartTag>
            </w:smartTag>
            <w:r>
              <w:rPr>
                <w:i/>
                <w:sz w:val="19"/>
              </w:rPr>
              <w:t xml:space="preserve"> Act 1996 </w:t>
            </w:r>
            <w:del w:id="339" w:author="svcMRProcess" w:date="2015-12-14T21:53:00Z">
              <w:r>
                <w:rPr>
                  <w:sz w:val="19"/>
                  <w:vertAlign w:val="superscript"/>
                </w:rPr>
                <w:delText>2</w:delText>
              </w:r>
            </w:del>
            <w:ins w:id="340" w:author="svcMRProcess" w:date="2015-12-14T21:53:00Z">
              <w:r>
                <w:rPr>
                  <w:sz w:val="19"/>
                  <w:vertAlign w:val="superscript"/>
                </w:rPr>
                <w:t>3</w:t>
              </w:r>
            </w:ins>
          </w:p>
        </w:tc>
        <w:tc>
          <w:tcPr>
            <w:tcW w:w="1134" w:type="dxa"/>
            <w:tcBorders>
              <w:top w:val="nil"/>
              <w:bottom w:val="nil"/>
            </w:tcBorders>
          </w:tcPr>
          <w:p>
            <w:pPr>
              <w:pStyle w:val="nTable"/>
              <w:spacing w:before="60" w:after="60"/>
              <w:rPr>
                <w:sz w:val="19"/>
              </w:rPr>
            </w:pPr>
            <w:r>
              <w:rPr>
                <w:sz w:val="19"/>
              </w:rPr>
              <w:t>44 of 1996</w:t>
            </w:r>
          </w:p>
        </w:tc>
        <w:tc>
          <w:tcPr>
            <w:tcW w:w="1134" w:type="dxa"/>
            <w:tcBorders>
              <w:top w:val="nil"/>
              <w:bottom w:val="nil"/>
            </w:tcBorders>
          </w:tcPr>
          <w:p>
            <w:pPr>
              <w:pStyle w:val="nTable"/>
              <w:spacing w:before="60" w:after="60"/>
              <w:rPr>
                <w:sz w:val="19"/>
              </w:rPr>
            </w:pPr>
            <w:r>
              <w:rPr>
                <w:sz w:val="19"/>
              </w:rPr>
              <w:t>16 Oct 1996</w:t>
            </w:r>
          </w:p>
        </w:tc>
        <w:tc>
          <w:tcPr>
            <w:tcW w:w="2551" w:type="dxa"/>
            <w:tcBorders>
              <w:top w:val="nil"/>
              <w:bottom w:val="nil"/>
            </w:tcBorders>
          </w:tcPr>
          <w:p>
            <w:pPr>
              <w:pStyle w:val="nTable"/>
              <w:spacing w:before="60" w:after="60"/>
              <w:rPr>
                <w:sz w:val="19"/>
              </w:rPr>
            </w:pPr>
            <w:ins w:id="341" w:author="svcMRProcess" w:date="2015-12-14T21:53:00Z">
              <w:r>
                <w:rPr>
                  <w:sz w:val="19"/>
                </w:rPr>
                <w:t>s. 1 and 2: 16 Oct 1996;</w:t>
              </w:r>
              <w:r>
                <w:rPr>
                  <w:sz w:val="19"/>
                </w:rPr>
                <w:br/>
                <w:t xml:space="preserve">Act other than s. 1 and 2: </w:t>
              </w:r>
            </w:ins>
            <w:r>
              <w:rPr>
                <w:sz w:val="19"/>
              </w:rPr>
              <w:t xml:space="preserve">25 Dec 1996 (see s. 2 and </w:t>
            </w:r>
            <w:r>
              <w:rPr>
                <w:i/>
                <w:sz w:val="19"/>
              </w:rPr>
              <w:t>Gazette</w:t>
            </w:r>
            <w:r>
              <w:rPr>
                <w:sz w:val="19"/>
              </w:rPr>
              <w:t xml:space="preserve"> 24 Dec 1996 p. 7099)</w:t>
            </w:r>
          </w:p>
        </w:tc>
      </w:tr>
      <w:tr>
        <w:tc>
          <w:tcPr>
            <w:tcW w:w="2268" w:type="dxa"/>
            <w:tcBorders>
              <w:top w:val="nil"/>
              <w:bottom w:val="nil"/>
            </w:tcBorders>
          </w:tcPr>
          <w:p>
            <w:pPr>
              <w:pStyle w:val="nTable"/>
              <w:spacing w:before="60" w:after="60"/>
              <w:rPr>
                <w:sz w:val="19"/>
              </w:rPr>
            </w:pPr>
            <w:r>
              <w:rPr>
                <w:i/>
                <w:sz w:val="19"/>
              </w:rPr>
              <w:t xml:space="preserve">Telecommunications (Interception) </w:t>
            </w:r>
            <w:smartTag w:uri="urn:schemas-microsoft-com:office:smarttags" w:element="place">
              <w:smartTag w:uri="urn:schemas-microsoft-com:office:smarttags" w:element="State">
                <w:r>
                  <w:rPr>
                    <w:i/>
                    <w:sz w:val="19"/>
                  </w:rPr>
                  <w:t>Western Australia</w:t>
                </w:r>
              </w:smartTag>
            </w:smartTag>
            <w:r>
              <w:rPr>
                <w:i/>
                <w:sz w:val="19"/>
              </w:rPr>
              <w:t xml:space="preserve"> Amendment Act 2000</w:t>
            </w:r>
          </w:p>
        </w:tc>
        <w:tc>
          <w:tcPr>
            <w:tcW w:w="1134" w:type="dxa"/>
            <w:tcBorders>
              <w:top w:val="nil"/>
              <w:bottom w:val="nil"/>
            </w:tcBorders>
          </w:tcPr>
          <w:p>
            <w:pPr>
              <w:pStyle w:val="nTable"/>
              <w:spacing w:before="60" w:after="60"/>
              <w:rPr>
                <w:sz w:val="19"/>
              </w:rPr>
            </w:pPr>
            <w:r>
              <w:rPr>
                <w:sz w:val="19"/>
              </w:rPr>
              <w:t>1 of 2000</w:t>
            </w:r>
          </w:p>
        </w:tc>
        <w:tc>
          <w:tcPr>
            <w:tcW w:w="1134" w:type="dxa"/>
            <w:tcBorders>
              <w:top w:val="nil"/>
              <w:bottom w:val="nil"/>
            </w:tcBorders>
          </w:tcPr>
          <w:p>
            <w:pPr>
              <w:pStyle w:val="nTable"/>
              <w:spacing w:before="60" w:after="60"/>
              <w:rPr>
                <w:sz w:val="19"/>
              </w:rPr>
            </w:pPr>
            <w:r>
              <w:rPr>
                <w:sz w:val="19"/>
              </w:rPr>
              <w:t>28 Mar 2000</w:t>
            </w:r>
          </w:p>
        </w:tc>
        <w:tc>
          <w:tcPr>
            <w:tcW w:w="2551" w:type="dxa"/>
            <w:tcBorders>
              <w:top w:val="nil"/>
              <w:bottom w:val="nil"/>
            </w:tcBorders>
          </w:tcPr>
          <w:p>
            <w:pPr>
              <w:pStyle w:val="nTable"/>
              <w:spacing w:before="60" w:after="60"/>
              <w:rPr>
                <w:sz w:val="19"/>
              </w:rPr>
            </w:pPr>
            <w:ins w:id="342" w:author="svcMRProcess" w:date="2015-12-14T21:53:00Z">
              <w:r>
                <w:rPr>
                  <w:sz w:val="19"/>
                </w:rPr>
                <w:t>s. 1 and 2: 28 Mar 2000;</w:t>
              </w:r>
              <w:r>
                <w:rPr>
                  <w:sz w:val="19"/>
                </w:rPr>
                <w:br/>
                <w:t xml:space="preserve">Act other than s. 1 and 2: </w:t>
              </w:r>
            </w:ins>
            <w:r>
              <w:rPr>
                <w:sz w:val="19"/>
              </w:rPr>
              <w:t xml:space="preserve">10 May 2000 (see s. 2 and </w:t>
            </w:r>
            <w:r>
              <w:rPr>
                <w:i/>
                <w:sz w:val="19"/>
              </w:rPr>
              <w:t>Gazette</w:t>
            </w:r>
            <w:r>
              <w:rPr>
                <w:sz w:val="19"/>
              </w:rPr>
              <w:t xml:space="preserve"> 9 May 2000 p. 2235)</w:t>
            </w:r>
          </w:p>
        </w:tc>
      </w:tr>
      <w:tr>
        <w:tc>
          <w:tcPr>
            <w:tcW w:w="2268" w:type="dxa"/>
            <w:tcBorders>
              <w:top w:val="nil"/>
              <w:bottom w:val="nil"/>
            </w:tcBorders>
          </w:tcPr>
          <w:p>
            <w:pPr>
              <w:pStyle w:val="nTable"/>
              <w:spacing w:before="60" w:after="60"/>
              <w:rPr>
                <w:sz w:val="19"/>
              </w:rPr>
            </w:pPr>
            <w:r>
              <w:rPr>
                <w:i/>
                <w:sz w:val="19"/>
              </w:rPr>
              <w:t>Royal Commission (Police) Act 2002</w:t>
            </w:r>
            <w:r>
              <w:rPr>
                <w:sz w:val="19"/>
              </w:rPr>
              <w:t xml:space="preserve"> s. 3(3) </w:t>
            </w:r>
            <w:del w:id="343" w:author="svcMRProcess" w:date="2015-12-14T21:53:00Z">
              <w:r>
                <w:rPr>
                  <w:sz w:val="19"/>
                  <w:vertAlign w:val="superscript"/>
                </w:rPr>
                <w:delText>3</w:delText>
              </w:r>
              <w:r>
                <w:rPr>
                  <w:sz w:val="19"/>
                </w:rPr>
                <w:delText xml:space="preserve"> &amp;</w:delText>
              </w:r>
            </w:del>
            <w:ins w:id="344" w:author="svcMRProcess" w:date="2015-12-14T21:53:00Z">
              <w:r>
                <w:rPr>
                  <w:sz w:val="19"/>
                </w:rPr>
                <w:t>and</w:t>
              </w:r>
            </w:ins>
            <w:r>
              <w:rPr>
                <w:sz w:val="19"/>
              </w:rPr>
              <w:t xml:space="preserve"> Pt. 9</w:t>
            </w:r>
          </w:p>
        </w:tc>
        <w:tc>
          <w:tcPr>
            <w:tcW w:w="1134" w:type="dxa"/>
            <w:tcBorders>
              <w:top w:val="nil"/>
              <w:bottom w:val="nil"/>
            </w:tcBorders>
          </w:tcPr>
          <w:p>
            <w:pPr>
              <w:pStyle w:val="nTable"/>
              <w:spacing w:before="60" w:after="60"/>
              <w:rPr>
                <w:sz w:val="19"/>
              </w:rPr>
            </w:pPr>
            <w:r>
              <w:rPr>
                <w:sz w:val="19"/>
              </w:rPr>
              <w:t>10 of 2002</w:t>
            </w:r>
          </w:p>
        </w:tc>
        <w:tc>
          <w:tcPr>
            <w:tcW w:w="1134" w:type="dxa"/>
            <w:tcBorders>
              <w:top w:val="nil"/>
              <w:bottom w:val="nil"/>
            </w:tcBorders>
          </w:tcPr>
          <w:p>
            <w:pPr>
              <w:pStyle w:val="nTable"/>
              <w:spacing w:before="60" w:after="60"/>
              <w:rPr>
                <w:sz w:val="19"/>
              </w:rPr>
            </w:pPr>
            <w:r>
              <w:rPr>
                <w:sz w:val="19"/>
              </w:rPr>
              <w:t>28 Jun 2002</w:t>
            </w:r>
          </w:p>
        </w:tc>
        <w:tc>
          <w:tcPr>
            <w:tcW w:w="2551" w:type="dxa"/>
            <w:tcBorders>
              <w:top w:val="nil"/>
              <w:bottom w:val="nil"/>
            </w:tcBorders>
          </w:tcPr>
          <w:p>
            <w:pPr>
              <w:pStyle w:val="nTable"/>
              <w:spacing w:before="60" w:after="60"/>
              <w:rPr>
                <w:sz w:val="19"/>
              </w:rPr>
            </w:pPr>
            <w:r>
              <w:rPr>
                <w:sz w:val="19"/>
              </w:rPr>
              <w:t xml:space="preserve">Pt. 9: 28 Jun 2002 (see s. 2); s. 3(3): 16 Apr 2004 (see </w:t>
            </w:r>
            <w:del w:id="345" w:author="svcMRProcess" w:date="2015-12-14T21:53:00Z">
              <w:r>
                <w:rPr>
                  <w:sz w:val="19"/>
                </w:rPr>
                <w:delText xml:space="preserve">the </w:delText>
              </w:r>
            </w:del>
            <w:r>
              <w:rPr>
                <w:i/>
                <w:sz w:val="19"/>
              </w:rPr>
              <w:t>Royal Commission (Police) Order</w:t>
            </w:r>
            <w:del w:id="346" w:author="svcMRProcess" w:date="2015-12-14T21:53:00Z">
              <w:r>
                <w:rPr>
                  <w:i/>
                  <w:sz w:val="19"/>
                </w:rPr>
                <w:delText xml:space="preserve"> </w:delText>
              </w:r>
            </w:del>
            <w:ins w:id="347" w:author="svcMRProcess" w:date="2015-12-14T21:53:00Z">
              <w:r>
                <w:rPr>
                  <w:i/>
                  <w:sz w:val="19"/>
                </w:rPr>
                <w:t> </w:t>
              </w:r>
            </w:ins>
            <w:r>
              <w:rPr>
                <w:i/>
                <w:sz w:val="19"/>
              </w:rPr>
              <w:t>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before="60" w:after="60"/>
              <w:rPr>
                <w:sz w:val="19"/>
              </w:rPr>
            </w:pPr>
            <w:r>
              <w:rPr>
                <w:b/>
                <w:sz w:val="19"/>
              </w:rPr>
              <w:t xml:space="preserve">Reprint 1: The </w:t>
            </w:r>
            <w:r>
              <w:rPr>
                <w:b/>
                <w:i/>
                <w:sz w:val="19"/>
              </w:rPr>
              <w:t xml:space="preserve">Telecommunications (Interception) </w:t>
            </w:r>
            <w:smartTag w:uri="urn:schemas-microsoft-com:office:smarttags" w:element="place">
              <w:smartTag w:uri="urn:schemas-microsoft-com:office:smarttags" w:element="State">
                <w:r>
                  <w:rPr>
                    <w:b/>
                    <w:i/>
                    <w:sz w:val="19"/>
                  </w:rPr>
                  <w:t>Western Australia</w:t>
                </w:r>
              </w:smartTag>
            </w:smartTag>
            <w:r>
              <w:rPr>
                <w:b/>
                <w:i/>
                <w:sz w:val="19"/>
              </w:rPr>
              <w:t xml:space="preserve"> Act 1996</w:t>
            </w:r>
            <w:r>
              <w:rPr>
                <w:b/>
                <w:sz w:val="19"/>
              </w:rPr>
              <w:t xml:space="preserve"> as at 22 Aug 2003</w:t>
            </w:r>
            <w:r>
              <w:rPr>
                <w:sz w:val="19"/>
              </w:rPr>
              <w:t xml:space="preserve"> (includes amendments listed above </w:t>
            </w:r>
            <w:r>
              <w:rPr>
                <w:snapToGrid w:val="0"/>
                <w:sz w:val="19"/>
              </w:rPr>
              <w:t xml:space="preserve">except </w:t>
            </w:r>
            <w:del w:id="348" w:author="svcMRProcess" w:date="2015-12-14T21:53:00Z">
              <w:r>
                <w:rPr>
                  <w:snapToGrid w:val="0"/>
                  <w:sz w:val="19"/>
                </w:rPr>
                <w:delText>s. 3(3) of</w:delText>
              </w:r>
            </w:del>
            <w:ins w:id="349" w:author="svcMRProcess" w:date="2015-12-14T21:53:00Z">
              <w:r>
                <w:rPr>
                  <w:snapToGrid w:val="0"/>
                  <w:sz w:val="19"/>
                </w:rPr>
                <w:t>those in</w:t>
              </w:r>
            </w:ins>
            <w:r>
              <w:rPr>
                <w:snapToGrid w:val="0"/>
                <w:sz w:val="19"/>
              </w:rPr>
              <w:t xml:space="preserve"> the </w:t>
            </w:r>
            <w:r>
              <w:rPr>
                <w:i/>
                <w:snapToGrid w:val="0"/>
                <w:sz w:val="19"/>
              </w:rPr>
              <w:t>Royal Commission (Police) Act 2002</w:t>
            </w:r>
            <w:del w:id="350" w:author="svcMRProcess" w:date="2015-12-14T21:53:00Z">
              <w:r>
                <w:rPr>
                  <w:sz w:val="19"/>
                </w:rPr>
                <w:delText>)</w:delText>
              </w:r>
            </w:del>
            <w:ins w:id="351" w:author="svcMRProcess" w:date="2015-12-14T21:53:00Z">
              <w:r>
                <w:rPr>
                  <w:i/>
                  <w:snapToGrid w:val="0"/>
                  <w:sz w:val="19"/>
                </w:rPr>
                <w:t xml:space="preserve"> </w:t>
              </w:r>
              <w:r>
                <w:rPr>
                  <w:snapToGrid w:val="0"/>
                  <w:sz w:val="19"/>
                </w:rPr>
                <w:t>s. 3(3)</w:t>
              </w:r>
              <w:r>
                <w:rPr>
                  <w:sz w:val="19"/>
                </w:rPr>
                <w:t>)</w:t>
              </w:r>
            </w:ins>
          </w:p>
        </w:tc>
      </w:tr>
      <w:tr>
        <w:tc>
          <w:tcPr>
            <w:tcW w:w="2268" w:type="dxa"/>
            <w:tcBorders>
              <w:top w:val="nil"/>
              <w:bottom w:val="nil"/>
            </w:tcBorders>
          </w:tcPr>
          <w:p>
            <w:pPr>
              <w:pStyle w:val="nTable"/>
              <w:spacing w:before="60" w:after="60"/>
              <w:rPr>
                <w:sz w:val="19"/>
              </w:rPr>
            </w:pPr>
            <w:r>
              <w:rPr>
                <w:i/>
                <w:sz w:val="19"/>
              </w:rPr>
              <w:t xml:space="preserve">Corruption and Crime Commission Amendment and Repeal Act 2003 </w:t>
            </w:r>
            <w:r>
              <w:rPr>
                <w:sz w:val="19"/>
              </w:rPr>
              <w:t>s. 74</w:t>
            </w:r>
          </w:p>
        </w:tc>
        <w:tc>
          <w:tcPr>
            <w:tcW w:w="1134" w:type="dxa"/>
            <w:tcBorders>
              <w:top w:val="nil"/>
              <w:bottom w:val="nil"/>
            </w:tcBorders>
          </w:tcPr>
          <w:p>
            <w:pPr>
              <w:pStyle w:val="nTable"/>
              <w:spacing w:before="60" w:after="60"/>
              <w:rPr>
                <w:sz w:val="19"/>
              </w:rPr>
            </w:pPr>
            <w:r>
              <w:rPr>
                <w:sz w:val="19"/>
              </w:rPr>
              <w:t>78 of 2003</w:t>
            </w:r>
          </w:p>
        </w:tc>
        <w:tc>
          <w:tcPr>
            <w:tcW w:w="1134" w:type="dxa"/>
            <w:tcBorders>
              <w:top w:val="nil"/>
              <w:bottom w:val="nil"/>
            </w:tcBorders>
          </w:tcPr>
          <w:p>
            <w:pPr>
              <w:pStyle w:val="nTable"/>
              <w:spacing w:before="60" w:after="60"/>
              <w:rPr>
                <w:sz w:val="19"/>
              </w:rPr>
            </w:pPr>
            <w:r>
              <w:rPr>
                <w:sz w:val="19"/>
              </w:rPr>
              <w:t>22 Dec 2003</w:t>
            </w:r>
          </w:p>
        </w:tc>
        <w:tc>
          <w:tcPr>
            <w:tcW w:w="2551" w:type="dxa"/>
            <w:tcBorders>
              <w:top w:val="nil"/>
              <w:bottom w:val="nil"/>
            </w:tcBorders>
          </w:tcPr>
          <w:p>
            <w:pPr>
              <w:pStyle w:val="nTable"/>
              <w:spacing w:before="60" w:after="60"/>
              <w:rPr>
                <w:sz w:val="19"/>
              </w:rPr>
            </w:pPr>
            <w:r>
              <w:rPr>
                <w:sz w:val="19"/>
              </w:rPr>
              <w:t xml:space="preserve">s. 74(1): 1 Jan 2004 (see s. 2 and </w:t>
            </w:r>
            <w:r>
              <w:rPr>
                <w:i/>
                <w:sz w:val="19"/>
              </w:rPr>
              <w:t>Gazette</w:t>
            </w:r>
            <w:r>
              <w:rPr>
                <w:sz w:val="19"/>
              </w:rPr>
              <w:t xml:space="preserve"> 30 Dec 2003 p. 5723</w:t>
            </w:r>
            <w:del w:id="352" w:author="svcMRProcess" w:date="2015-12-14T21:53:00Z">
              <w:r>
                <w:rPr>
                  <w:sz w:val="19"/>
                </w:rPr>
                <w:delText>)</w:delText>
              </w:r>
            </w:del>
            <w:ins w:id="353" w:author="svcMRProcess" w:date="2015-12-14T21:53:00Z">
              <w:r>
                <w:rPr>
                  <w:sz w:val="19"/>
                </w:rPr>
                <w:t>);</w:t>
              </w:r>
            </w:ins>
            <w:r>
              <w:rPr>
                <w:sz w:val="19"/>
              </w:rPr>
              <w:br/>
              <w:t xml:space="preserve">s. 74(2): 7 Jul 2004 (see s. 2 and </w:t>
            </w:r>
            <w:r>
              <w:rPr>
                <w:i/>
                <w:sz w:val="19"/>
              </w:rPr>
              <w:t xml:space="preserve">Gazette </w:t>
            </w:r>
            <w:r>
              <w:rPr>
                <w:sz w:val="19"/>
              </w:rPr>
              <w:t>6 Jul 2004 p. 2697)</w:t>
            </w:r>
          </w:p>
        </w:tc>
      </w:tr>
      <w:tr>
        <w:tc>
          <w:tcPr>
            <w:tcW w:w="2268" w:type="dxa"/>
            <w:tcBorders>
              <w:top w:val="nil"/>
              <w:bottom w:val="nil"/>
            </w:tcBorders>
          </w:tcPr>
          <w:p>
            <w:pPr>
              <w:pStyle w:val="nTable"/>
              <w:spacing w:before="60" w:after="60"/>
              <w:rPr>
                <w:i/>
                <w:sz w:val="19"/>
              </w:rPr>
            </w:pPr>
            <w:r>
              <w:rPr>
                <w:i/>
                <w:iCs/>
                <w:snapToGrid w:val="0"/>
                <w:sz w:val="19"/>
                <w:lang w:val="en-US"/>
              </w:rPr>
              <w:t>Australian Crime Commission (</w:t>
            </w:r>
            <w:smartTag w:uri="urn:schemas-microsoft-com:office:smarttags" w:element="place">
              <w:smartTag w:uri="urn:schemas-microsoft-com:office:smarttags" w:element="State">
                <w:r>
                  <w:rPr>
                    <w:i/>
                    <w:iCs/>
                    <w:snapToGrid w:val="0"/>
                    <w:sz w:val="19"/>
                    <w:lang w:val="en-US"/>
                  </w:rPr>
                  <w:t>Western Australia</w:t>
                </w:r>
              </w:smartTag>
            </w:smartTag>
            <w:r>
              <w:rPr>
                <w:i/>
                <w:iCs/>
                <w:snapToGrid w:val="0"/>
                <w:sz w:val="19"/>
                <w:lang w:val="en-US"/>
              </w:rPr>
              <w:t xml:space="preserve">) Act 2004 </w:t>
            </w:r>
            <w:r>
              <w:rPr>
                <w:snapToGrid w:val="0"/>
                <w:sz w:val="19"/>
                <w:lang w:val="en-US"/>
              </w:rPr>
              <w:t>s. 74</w:t>
            </w:r>
          </w:p>
        </w:tc>
        <w:tc>
          <w:tcPr>
            <w:tcW w:w="1134" w:type="dxa"/>
            <w:tcBorders>
              <w:top w:val="nil"/>
              <w:bottom w:val="nil"/>
            </w:tcBorders>
          </w:tcPr>
          <w:p>
            <w:pPr>
              <w:pStyle w:val="nTable"/>
              <w:spacing w:before="60" w:after="60"/>
              <w:rPr>
                <w:sz w:val="19"/>
              </w:rPr>
            </w:pPr>
            <w:r>
              <w:rPr>
                <w:snapToGrid w:val="0"/>
                <w:sz w:val="19"/>
                <w:lang w:val="en-US"/>
              </w:rPr>
              <w:t>74 of 2004</w:t>
            </w:r>
          </w:p>
        </w:tc>
        <w:tc>
          <w:tcPr>
            <w:tcW w:w="1134" w:type="dxa"/>
            <w:tcBorders>
              <w:top w:val="nil"/>
              <w:bottom w:val="nil"/>
            </w:tcBorders>
          </w:tcPr>
          <w:p>
            <w:pPr>
              <w:pStyle w:val="nTable"/>
              <w:spacing w:before="60" w:after="60"/>
              <w:rPr>
                <w:sz w:val="19"/>
              </w:rPr>
            </w:pPr>
            <w:r>
              <w:rPr>
                <w:snapToGrid w:val="0"/>
                <w:sz w:val="19"/>
                <w:lang w:val="en-US"/>
              </w:rPr>
              <w:t>8 Dec 2004</w:t>
            </w:r>
          </w:p>
        </w:tc>
        <w:tc>
          <w:tcPr>
            <w:tcW w:w="2551" w:type="dxa"/>
            <w:tcBorders>
              <w:top w:val="nil"/>
              <w:bottom w:val="nil"/>
            </w:tcBorders>
          </w:tcPr>
          <w:p>
            <w:pPr>
              <w:pStyle w:val="nTable"/>
              <w:spacing w:before="60" w:after="60"/>
              <w:rPr>
                <w:sz w:val="19"/>
              </w:rPr>
            </w:pPr>
            <w:r>
              <w:rPr>
                <w:snapToGrid w:val="0"/>
                <w:sz w:val="19"/>
              </w:rPr>
              <w:t xml:space="preserve">1 Feb 2005 (see s. 2 and </w:t>
            </w:r>
            <w:r>
              <w:rPr>
                <w:i/>
                <w:iCs/>
                <w:snapToGrid w:val="0"/>
                <w:sz w:val="19"/>
              </w:rPr>
              <w:t xml:space="preserve">Gazette </w:t>
            </w:r>
            <w:r>
              <w:rPr>
                <w:snapToGrid w:val="0"/>
                <w:sz w:val="19"/>
              </w:rPr>
              <w:t>31 Dec 2004 p. 7130)</w:t>
            </w:r>
          </w:p>
        </w:tc>
      </w:tr>
      <w:tr>
        <w:tc>
          <w:tcPr>
            <w:tcW w:w="2268" w:type="dxa"/>
            <w:tcBorders>
              <w:top w:val="nil"/>
              <w:bottom w:val="nil"/>
              <w:right w:val="nil"/>
            </w:tcBorders>
            <w:shd w:val="clear" w:color="auto" w:fill="auto"/>
          </w:tcPr>
          <w:p>
            <w:pPr>
              <w:pStyle w:val="nTable"/>
              <w:spacing w:before="60" w:after="60"/>
              <w:rPr>
                <w:i/>
                <w:iCs/>
                <w:snapToGrid w:val="0"/>
                <w:sz w:val="19"/>
                <w:lang w:val="en-US"/>
              </w:rPr>
            </w:pPr>
            <w:r>
              <w:rPr>
                <w:i/>
                <w:iCs/>
                <w:snapToGrid w:val="0"/>
                <w:sz w:val="19"/>
                <w:lang w:val="en-US"/>
              </w:rPr>
              <w:t xml:space="preserve">Telecommunications (Interception) </w:t>
            </w:r>
            <w:smartTag w:uri="urn:schemas-microsoft-com:office:smarttags" w:element="place">
              <w:smartTag w:uri="urn:schemas-microsoft-com:office:smarttags" w:element="State">
                <w:r>
                  <w:rPr>
                    <w:i/>
                    <w:iCs/>
                    <w:snapToGrid w:val="0"/>
                    <w:sz w:val="19"/>
                    <w:lang w:val="en-US"/>
                  </w:rPr>
                  <w:t>Western Australia</w:t>
                </w:r>
              </w:smartTag>
            </w:smartTag>
            <w:r>
              <w:rPr>
                <w:i/>
                <w:iCs/>
                <w:snapToGrid w:val="0"/>
                <w:sz w:val="19"/>
                <w:lang w:val="en-US"/>
              </w:rPr>
              <w:t xml:space="preserve"> Amendment Act 2011 </w:t>
            </w:r>
            <w:r>
              <w:rPr>
                <w:iCs/>
                <w:snapToGrid w:val="0"/>
                <w:sz w:val="19"/>
                <w:lang w:val="en-US"/>
              </w:rPr>
              <w:t>Pt. 2</w:t>
            </w:r>
          </w:p>
        </w:tc>
        <w:tc>
          <w:tcPr>
            <w:tcW w:w="1134" w:type="dxa"/>
            <w:tcBorders>
              <w:top w:val="nil"/>
              <w:left w:val="nil"/>
              <w:bottom w:val="nil"/>
              <w:right w:val="nil"/>
            </w:tcBorders>
            <w:shd w:val="clear" w:color="auto" w:fill="auto"/>
          </w:tcPr>
          <w:p>
            <w:pPr>
              <w:pStyle w:val="nTable"/>
              <w:spacing w:before="60" w:after="60"/>
              <w:rPr>
                <w:snapToGrid w:val="0"/>
                <w:sz w:val="19"/>
                <w:lang w:val="en-US"/>
              </w:rPr>
            </w:pPr>
            <w:r>
              <w:rPr>
                <w:snapToGrid w:val="0"/>
                <w:sz w:val="19"/>
                <w:lang w:val="en-US"/>
              </w:rPr>
              <w:t>2 of 2011</w:t>
            </w:r>
          </w:p>
        </w:tc>
        <w:tc>
          <w:tcPr>
            <w:tcW w:w="1134" w:type="dxa"/>
            <w:tcBorders>
              <w:top w:val="nil"/>
              <w:left w:val="nil"/>
              <w:bottom w:val="nil"/>
              <w:right w:val="nil"/>
            </w:tcBorders>
            <w:shd w:val="clear" w:color="auto" w:fill="auto"/>
          </w:tcPr>
          <w:p>
            <w:pPr>
              <w:pStyle w:val="nTable"/>
              <w:spacing w:before="60" w:after="60"/>
              <w:rPr>
                <w:snapToGrid w:val="0"/>
                <w:sz w:val="19"/>
                <w:lang w:val="en-US"/>
              </w:rPr>
            </w:pPr>
            <w:r>
              <w:rPr>
                <w:snapToGrid w:val="0"/>
                <w:sz w:val="19"/>
                <w:lang w:val="en-US"/>
              </w:rPr>
              <w:t>1 Mar 2011</w:t>
            </w:r>
          </w:p>
        </w:tc>
        <w:tc>
          <w:tcPr>
            <w:tcW w:w="2551" w:type="dxa"/>
            <w:tcBorders>
              <w:top w:val="nil"/>
              <w:left w:val="nil"/>
              <w:bottom w:val="nil"/>
            </w:tcBorders>
            <w:shd w:val="clear" w:color="auto" w:fill="auto"/>
          </w:tcPr>
          <w:p>
            <w:pPr>
              <w:pStyle w:val="nTable"/>
              <w:spacing w:before="60" w:after="60"/>
              <w:rPr>
                <w:snapToGrid w:val="0"/>
                <w:sz w:val="19"/>
              </w:rPr>
            </w:pPr>
            <w:r>
              <w:rPr>
                <w:snapToGrid w:val="0"/>
                <w:sz w:val="19"/>
              </w:rPr>
              <w:t xml:space="preserve">2 Jul 2011 (see s. 2(b) and </w:t>
            </w:r>
            <w:r>
              <w:rPr>
                <w:i/>
                <w:snapToGrid w:val="0"/>
                <w:sz w:val="19"/>
              </w:rPr>
              <w:t>Gazette</w:t>
            </w:r>
            <w:r>
              <w:rPr>
                <w:snapToGrid w:val="0"/>
                <w:sz w:val="19"/>
              </w:rPr>
              <w:t xml:space="preserve"> 1 Jul 2011 p. 2713)</w:t>
            </w:r>
            <w:del w:id="354" w:author="svcMRProcess" w:date="2015-12-14T21:53:00Z">
              <w:r>
                <w:rPr>
                  <w:snapToGrid w:val="0"/>
                  <w:sz w:val="19"/>
                </w:rPr>
                <w:br/>
              </w:r>
            </w:del>
          </w:p>
        </w:tc>
      </w:tr>
      <w:tr>
        <w:trPr>
          <w:ins w:id="355" w:author="svcMRProcess" w:date="2015-12-14T21:53:00Z"/>
        </w:trPr>
        <w:tc>
          <w:tcPr>
            <w:tcW w:w="7087" w:type="dxa"/>
            <w:gridSpan w:val="4"/>
            <w:tcBorders>
              <w:top w:val="nil"/>
              <w:bottom w:val="single" w:sz="8" w:space="0" w:color="auto"/>
            </w:tcBorders>
            <w:shd w:val="clear" w:color="auto" w:fill="auto"/>
          </w:tcPr>
          <w:p>
            <w:pPr>
              <w:pStyle w:val="nTable"/>
              <w:spacing w:before="60" w:after="60"/>
              <w:rPr>
                <w:ins w:id="356" w:author="svcMRProcess" w:date="2015-12-14T21:53:00Z"/>
                <w:snapToGrid w:val="0"/>
                <w:sz w:val="19"/>
              </w:rPr>
            </w:pPr>
            <w:ins w:id="357" w:author="svcMRProcess" w:date="2015-12-14T21:53:00Z">
              <w:r>
                <w:rPr>
                  <w:b/>
                  <w:sz w:val="19"/>
                </w:rPr>
                <w:t xml:space="preserve">Reprint 2: The </w:t>
              </w:r>
              <w:r>
                <w:rPr>
                  <w:b/>
                  <w:i/>
                  <w:sz w:val="19"/>
                </w:rPr>
                <w:t>Telecommunications (Interception and Access) Western Australia Act 1996</w:t>
              </w:r>
              <w:r>
                <w:rPr>
                  <w:b/>
                  <w:sz w:val="19"/>
                </w:rPr>
                <w:t xml:space="preserve"> as at 6 Jan 2012</w:t>
              </w:r>
              <w:r>
                <w:rPr>
                  <w:sz w:val="19"/>
                </w:rPr>
                <w:t xml:space="preserve"> (includes amendments listed above)</w:t>
              </w:r>
            </w:ins>
          </w:p>
        </w:tc>
      </w:tr>
    </w:tbl>
    <w:p>
      <w:pPr>
        <w:pStyle w:val="nSubsection"/>
        <w:tabs>
          <w:tab w:val="clear" w:pos="454"/>
          <w:tab w:val="left" w:pos="567"/>
        </w:tabs>
        <w:spacing w:before="120"/>
        <w:ind w:left="567" w:hanging="567"/>
        <w:rPr>
          <w:ins w:id="358" w:author="svcMRProcess" w:date="2015-12-14T21:53:00Z"/>
          <w:snapToGrid w:val="0"/>
        </w:rPr>
      </w:pPr>
      <w:del w:id="359" w:author="svcMRProcess" w:date="2015-12-14T21:53:00Z">
        <w:r>
          <w:rPr>
            <w:snapToGrid w:val="0"/>
            <w:vertAlign w:val="superscript"/>
          </w:rPr>
          <w:delText>2</w:delText>
        </w:r>
      </w:del>
      <w:ins w:id="360" w:author="svcMRProcess" w:date="2015-12-14T21:53:00Z">
        <w:r>
          <w:rPr>
            <w:snapToGrid w:val="0"/>
            <w:vertAlign w:val="superscript"/>
          </w:rPr>
          <w:t>2</w:t>
        </w:r>
        <w:r>
          <w:rPr>
            <w:snapToGrid w:val="0"/>
          </w:rPr>
          <w:tab/>
          <w:t xml:space="preserve">See </w:t>
        </w:r>
        <w:r>
          <w:rPr>
            <w:i/>
            <w:snapToGrid w:val="0"/>
          </w:rPr>
          <w:t>Royal Commission (Police) Act 2002</w:t>
        </w:r>
        <w:r>
          <w:rPr>
            <w:snapToGrid w:val="0"/>
          </w:rPr>
          <w:t xml:space="preserve"> s. 3(3) and </w:t>
        </w:r>
        <w:r>
          <w:rPr>
            <w:i/>
            <w:snapToGrid w:val="0"/>
          </w:rPr>
          <w:t>Gazette</w:t>
        </w:r>
        <w:r>
          <w:rPr>
            <w:snapToGrid w:val="0"/>
          </w:rPr>
          <w:t xml:space="preserve"> 16 Apr 2004 p. 1214.</w:t>
        </w:r>
      </w:ins>
    </w:p>
    <w:p>
      <w:pPr>
        <w:pStyle w:val="nSubsection"/>
        <w:tabs>
          <w:tab w:val="clear" w:pos="454"/>
          <w:tab w:val="left" w:pos="567"/>
        </w:tabs>
        <w:spacing w:before="120"/>
        <w:ind w:left="567" w:hanging="567"/>
        <w:rPr>
          <w:snapToGrid w:val="0"/>
        </w:rPr>
      </w:pPr>
      <w:ins w:id="361" w:author="svcMRProcess" w:date="2015-12-14T21:53:00Z">
        <w:r>
          <w:rPr>
            <w:snapToGrid w:val="0"/>
            <w:vertAlign w:val="superscript"/>
          </w:rPr>
          <w:t>3</w:t>
        </w:r>
      </w:ins>
      <w:r>
        <w:rPr>
          <w:snapToGrid w:val="0"/>
        </w:rPr>
        <w:tab/>
        <w:t xml:space="preserve">Now known as the </w:t>
      </w:r>
      <w:r>
        <w:rPr>
          <w:i/>
          <w:snapToGrid w:val="0"/>
        </w:rPr>
        <w:t xml:space="preserve">Telecommunications (Interception and Access)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rPr>
        <w:t>; short title changed (see note under s. 1).</w:t>
      </w:r>
    </w:p>
    <w:p>
      <w:pPr>
        <w:rPr>
          <w:del w:id="362" w:author="svcMRProcess" w:date="2015-12-14T21:53: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Telecommunications (Interception and Access)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Telecommunications (Interception and Access)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r>
            <w:rPr>
              <w:rFonts w:ascii="Helvetica" w:hAnsi="Helvetica"/>
              <w:spacing w:val="-2"/>
            </w:rPr>
            <w:fldChar w:fldCharType="begin"/>
          </w:r>
          <w:r>
            <w:rPr>
              <w:rFonts w:ascii="Helvetica" w:hAnsi="Helvetica"/>
              <w:spacing w:val="-2"/>
            </w:rPr>
            <w:instrText xml:space="preserve"> Styleref "Name of Act/Reg" </w:instrText>
          </w:r>
          <w:r>
            <w:rPr>
              <w:rFonts w:ascii="Helvetica" w:hAnsi="Helvetica"/>
              <w:spacing w:val="-2"/>
            </w:rPr>
            <w:fldChar w:fldCharType="separate"/>
          </w:r>
          <w:r>
            <w:rPr>
              <w:rFonts w:ascii="Helvetica" w:hAnsi="Helvetica"/>
              <w:noProof/>
              <w:spacing w:val="-2"/>
            </w:rPr>
            <w:t>Telecommunications (Interception and Access) Western Australia Act 1996</w:t>
          </w:r>
          <w:r>
            <w:rPr>
              <w:rFonts w:ascii="Helvetica" w:hAnsi="Helvetica"/>
              <w:spacing w:val="-2"/>
            </w:rP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link w:val="EdnoteparaChar"/>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link w:val="EdnoteitemChar"/>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link w:val="EdnotedefparaChar"/>
    <w:pPr>
      <w:tabs>
        <w:tab w:val="clear" w:pos="1325"/>
        <w:tab w:val="right" w:pos="1613"/>
        <w:tab w:val="left" w:pos="1901"/>
      </w:tabs>
    </w:pPr>
  </w:style>
  <w:style w:type="paragraph" w:customStyle="1" w:styleId="Ednotedefitem">
    <w:name w:val="Ednote(defitem)"/>
    <w:basedOn w:val="Ednoteitem"/>
    <w:link w:val="EdnotedefitemChar"/>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character" w:customStyle="1" w:styleId="EdnoteparaChar">
    <w:name w:val="Ednote(para) Char"/>
    <w:basedOn w:val="DefaultParagraphFont"/>
    <w:link w:val="Ednotepara"/>
    <w:rPr>
      <w:i/>
      <w:sz w:val="24"/>
      <w:lang w:val="en-AU" w:eastAsia="en-US" w:bidi="ar-SA"/>
    </w:rPr>
  </w:style>
  <w:style w:type="character" w:customStyle="1" w:styleId="EdnotedefparaChar">
    <w:name w:val="Ednote(defpara) Char"/>
    <w:basedOn w:val="EdnoteparaChar"/>
    <w:link w:val="Ednotedefpara"/>
    <w:rPr>
      <w:i/>
      <w:sz w:val="24"/>
      <w:lang w:val="en-AU" w:eastAsia="en-US" w:bidi="ar-SA"/>
    </w:rPr>
  </w:style>
  <w:style w:type="character" w:customStyle="1" w:styleId="EdnoteitemChar">
    <w:name w:val="Ednote(item) Char"/>
    <w:basedOn w:val="DefaultParagraphFont"/>
    <w:link w:val="Ednoteitem"/>
    <w:rPr>
      <w:i/>
      <w:sz w:val="24"/>
      <w:lang w:val="en-AU" w:eastAsia="en-US" w:bidi="ar-SA"/>
    </w:rPr>
  </w:style>
  <w:style w:type="character" w:customStyle="1" w:styleId="EdnotedefitemChar">
    <w:name w:val="Ednote(defitem) Char"/>
    <w:basedOn w:val="EdnoteitemChar"/>
    <w:link w:val="Ednotedefitem"/>
    <w:rPr>
      <w:i/>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link w:val="EdnoteparaChar"/>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link w:val="EdnoteitemChar"/>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link w:val="EdnotedefparaChar"/>
    <w:pPr>
      <w:tabs>
        <w:tab w:val="clear" w:pos="1325"/>
        <w:tab w:val="right" w:pos="1613"/>
        <w:tab w:val="left" w:pos="1901"/>
      </w:tabs>
    </w:pPr>
  </w:style>
  <w:style w:type="paragraph" w:customStyle="1" w:styleId="Ednotedefitem">
    <w:name w:val="Ednote(defitem)"/>
    <w:basedOn w:val="Ednoteitem"/>
    <w:link w:val="EdnotedefitemChar"/>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character" w:customStyle="1" w:styleId="EdnoteparaChar">
    <w:name w:val="Ednote(para) Char"/>
    <w:basedOn w:val="DefaultParagraphFont"/>
    <w:link w:val="Ednotepara"/>
    <w:rPr>
      <w:i/>
      <w:sz w:val="24"/>
      <w:lang w:val="en-AU" w:eastAsia="en-US" w:bidi="ar-SA"/>
    </w:rPr>
  </w:style>
  <w:style w:type="character" w:customStyle="1" w:styleId="EdnotedefparaChar">
    <w:name w:val="Ednote(defpara) Char"/>
    <w:basedOn w:val="EdnoteparaChar"/>
    <w:link w:val="Ednotedefpara"/>
    <w:rPr>
      <w:i/>
      <w:sz w:val="24"/>
      <w:lang w:val="en-AU" w:eastAsia="en-US" w:bidi="ar-SA"/>
    </w:rPr>
  </w:style>
  <w:style w:type="character" w:customStyle="1" w:styleId="EdnoteitemChar">
    <w:name w:val="Ednote(item) Char"/>
    <w:basedOn w:val="DefaultParagraphFont"/>
    <w:link w:val="Ednoteitem"/>
    <w:rPr>
      <w:i/>
      <w:sz w:val="24"/>
      <w:lang w:val="en-AU" w:eastAsia="en-US" w:bidi="ar-SA"/>
    </w:rPr>
  </w:style>
  <w:style w:type="character" w:customStyle="1" w:styleId="EdnotedefitemChar">
    <w:name w:val="Ednote(defitem) Char"/>
    <w:basedOn w:val="EdnoteitemChar"/>
    <w:link w:val="Ednotedefitem"/>
    <w:rPr>
      <w:i/>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4358</Words>
  <Characters>21269</Characters>
  <Application>Microsoft Office Word</Application>
  <DocSecurity>0</DocSecurity>
  <Lines>590</Lines>
  <Paragraphs>328</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01-d0-03 - 02-a0-01</dc:title>
  <dc:subject/>
  <dc:creator/>
  <cp:keywords/>
  <dc:description/>
  <cp:lastModifiedBy>svcMRProcess</cp:lastModifiedBy>
  <cp:revision>2</cp:revision>
  <cp:lastPrinted>2012-01-09T03:25:00Z</cp:lastPrinted>
  <dcterms:created xsi:type="dcterms:W3CDTF">2015-12-14T13:53:00Z</dcterms:created>
  <dcterms:modified xsi:type="dcterms:W3CDTF">2015-12-14T13:53:00Z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813</vt:i4>
  </property>
  <property fmtid="{D5CDD505-2E9C-101B-9397-08002B2CF9AE}" pid="6" name="ReprintNo">
    <vt:lpwstr>2</vt:lpwstr>
  </property>
  <property fmtid="{D5CDD505-2E9C-101B-9397-08002B2CF9AE}" pid="7" name="ReprintedAsAt">
    <vt:filetime>2012-01-05T16:00:00Z</vt:filetime>
  </property>
  <property fmtid="{D5CDD505-2E9C-101B-9397-08002B2CF9AE}" pid="8" name="FromSuffix">
    <vt:lpwstr>01-d0-03</vt:lpwstr>
  </property>
  <property fmtid="{D5CDD505-2E9C-101B-9397-08002B2CF9AE}" pid="9" name="FromAsAtDate">
    <vt:lpwstr>02 Jul 2011</vt:lpwstr>
  </property>
  <property fmtid="{D5CDD505-2E9C-101B-9397-08002B2CF9AE}" pid="10" name="ToSuffix">
    <vt:lpwstr>02-a0-01</vt:lpwstr>
  </property>
  <property fmtid="{D5CDD505-2E9C-101B-9397-08002B2CF9AE}" pid="11" name="ToAsAtDate">
    <vt:lpwstr>06 Jan 2012</vt:lpwstr>
  </property>
</Properties>
</file>