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0" w:name="_Toc191980765"/>
      <w:bookmarkStart w:id="1" w:name="_Toc233693204"/>
      <w:bookmarkStart w:id="2" w:name="_Toc264887892"/>
      <w:bookmarkStart w:id="3" w:name="_Toc264887964"/>
      <w:bookmarkStart w:id="4" w:name="_Toc31959423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319594240"/>
      <w:bookmarkStart w:id="7" w:name="_Toc264887965"/>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9" w:name="_Toc319594241"/>
      <w:bookmarkStart w:id="10" w:name="_Toc264887966"/>
      <w:r>
        <w:rPr>
          <w:rStyle w:val="CharSectno"/>
        </w:rPr>
        <w:t>2</w:t>
      </w:r>
      <w:r>
        <w:t>.</w:t>
      </w:r>
      <w:r>
        <w:tab/>
        <w:t>Commencement</w:t>
      </w:r>
      <w:bookmarkEnd w:id="9"/>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1" w:name="_Toc319594242"/>
      <w:bookmarkStart w:id="12" w:name="_Toc264887967"/>
      <w:r>
        <w:rPr>
          <w:rStyle w:val="CharSectno"/>
        </w:rPr>
        <w:t>3</w:t>
      </w:r>
      <w:r>
        <w:t>.</w:t>
      </w:r>
      <w:r>
        <w:tab/>
        <w:t>Application</w:t>
      </w:r>
      <w:bookmarkEnd w:id="11"/>
      <w:bookmarkEnd w:id="12"/>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w:t>
      </w:r>
      <w:r>
        <w:lastRenderedPageBreak/>
        <w:t xml:space="preserve">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3" w:name="_Toc319594243"/>
      <w:bookmarkStart w:id="14" w:name="_Toc264887968"/>
      <w:r>
        <w:rPr>
          <w:rStyle w:val="CharSectno"/>
        </w:rPr>
        <w:t>4</w:t>
      </w:r>
      <w:r>
        <w:t>.</w:t>
      </w:r>
      <w:r>
        <w:tab/>
        <w:t>Terms used in these regulations</w:t>
      </w:r>
      <w:bookmarkEnd w:id="13"/>
      <w:bookmarkEnd w:id="14"/>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Ednotedefpara"/>
        <w:tabs>
          <w:tab w:val="clear" w:pos="1332"/>
          <w:tab w:val="clear" w:pos="1616"/>
          <w:tab w:val="right" w:pos="1320"/>
          <w:tab w:val="left" w:pos="1596"/>
        </w:tabs>
        <w:ind w:left="1610" w:hanging="1610"/>
      </w:pPr>
      <w:r>
        <w:tab/>
        <w:t>[(d)</w:t>
      </w:r>
      <w:r>
        <w:tab/>
        <w:t>deleted]</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involving or affecting a Schedule 1 substance,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pPr>
      <w:bookmarkStart w:id="15" w:name="_Toc319594244"/>
      <w:bookmarkStart w:id="16" w:name="_Toc264887969"/>
      <w:r>
        <w:rPr>
          <w:rStyle w:val="CharSectno"/>
        </w:rPr>
        <w:t>5</w:t>
      </w:r>
      <w:r>
        <w:t>.</w:t>
      </w:r>
      <w:r>
        <w:tab/>
        <w:t>“Major hazard facility”, meaning of</w:t>
      </w:r>
      <w:bookmarkEnd w:id="15"/>
      <w:bookmarkEnd w:id="16"/>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17" w:name="_Toc319594245"/>
      <w:bookmarkStart w:id="18" w:name="_Toc264887970"/>
      <w:r>
        <w:rPr>
          <w:rStyle w:val="CharSectno"/>
        </w:rPr>
        <w:t>6</w:t>
      </w:r>
      <w:r>
        <w:t>.</w:t>
      </w:r>
      <w:r>
        <w:tab/>
        <w:t>“Place”, meaning of</w:t>
      </w:r>
      <w:bookmarkEnd w:id="17"/>
      <w:bookmarkEnd w:id="18"/>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9" w:name="_Toc319594246"/>
      <w:bookmarkStart w:id="20" w:name="_Toc264887971"/>
      <w:r>
        <w:rPr>
          <w:rStyle w:val="CharSectno"/>
        </w:rPr>
        <w:t>7</w:t>
      </w:r>
      <w:r>
        <w:t>.</w:t>
      </w:r>
      <w:r>
        <w:tab/>
        <w:t>Circumstances in which Schedule 1 substances are likely to be at a place</w:t>
      </w:r>
      <w:bookmarkEnd w:id="19"/>
      <w:bookmarkEnd w:id="20"/>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1" w:name="_Toc319594247"/>
      <w:bookmarkStart w:id="22" w:name="_Toc264887972"/>
      <w:r>
        <w:rPr>
          <w:rStyle w:val="CharSectno"/>
        </w:rPr>
        <w:t>8</w:t>
      </w:r>
      <w:r>
        <w:t>.</w:t>
      </w:r>
      <w:r>
        <w:tab/>
        <w:t>Determining the quantity of substances at a place or likely to be at a place</w:t>
      </w:r>
      <w:bookmarkEnd w:id="21"/>
      <w:bookmarkEnd w:id="22"/>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3" w:name="_Toc319594248"/>
      <w:bookmarkStart w:id="24" w:name="_Toc264887973"/>
      <w:r>
        <w:rPr>
          <w:rStyle w:val="CharSectno"/>
        </w:rPr>
        <w:t>9</w:t>
      </w:r>
      <w:r>
        <w:t>.</w:t>
      </w:r>
      <w:r>
        <w:tab/>
        <w:t>Determining the critical quantity of Schedule 1 substances at a place or likely to be at a place</w:t>
      </w:r>
      <w:bookmarkEnd w:id="23"/>
      <w:bookmarkEnd w:id="24"/>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5" w:name="_Toc319594249"/>
      <w:bookmarkStart w:id="26" w:name="_Toc264887974"/>
      <w:r>
        <w:rPr>
          <w:rStyle w:val="CharSectno"/>
        </w:rPr>
        <w:t>10</w:t>
      </w:r>
      <w:r>
        <w:t>.</w:t>
      </w:r>
      <w:r>
        <w:tab/>
        <w:t>Determining the threshold quantity for a Schedule 1 substance</w:t>
      </w:r>
      <w:bookmarkEnd w:id="25"/>
      <w:bookmarkEnd w:id="26"/>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27" w:name="_Toc191980776"/>
      <w:bookmarkStart w:id="28" w:name="_Toc233693215"/>
      <w:bookmarkStart w:id="29" w:name="_Toc264887903"/>
      <w:bookmarkStart w:id="30" w:name="_Toc264887975"/>
      <w:bookmarkStart w:id="31" w:name="_Toc319594250"/>
      <w:r>
        <w:rPr>
          <w:rStyle w:val="CharPartNo"/>
        </w:rPr>
        <w:t>Part 2</w:t>
      </w:r>
      <w:r>
        <w:rPr>
          <w:rStyle w:val="CharDivNo"/>
        </w:rPr>
        <w:t> </w:t>
      </w:r>
      <w:r>
        <w:t>—</w:t>
      </w:r>
      <w:r>
        <w:rPr>
          <w:rStyle w:val="CharDivText"/>
        </w:rPr>
        <w:t> </w:t>
      </w:r>
      <w:r>
        <w:rPr>
          <w:rStyle w:val="CharPartText"/>
        </w:rPr>
        <w:t>Main Offences</w:t>
      </w:r>
      <w:bookmarkEnd w:id="27"/>
      <w:bookmarkEnd w:id="28"/>
      <w:bookmarkEnd w:id="29"/>
      <w:bookmarkEnd w:id="30"/>
      <w:bookmarkEnd w:id="31"/>
    </w:p>
    <w:p>
      <w:pPr>
        <w:pStyle w:val="Heading5"/>
      </w:pPr>
      <w:bookmarkStart w:id="32" w:name="_Toc319594251"/>
      <w:bookmarkStart w:id="33" w:name="_Toc264887976"/>
      <w:r>
        <w:rPr>
          <w:rStyle w:val="CharSectno"/>
        </w:rPr>
        <w:t>11</w:t>
      </w:r>
      <w:r>
        <w:t>.</w:t>
      </w:r>
      <w:r>
        <w:tab/>
        <w:t>Schedule 1 substances at a place not to exceed critical quantity without prior notification to Chief Officer</w:t>
      </w:r>
      <w:bookmarkEnd w:id="32"/>
      <w:bookmarkEnd w:id="33"/>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34" w:name="_Toc319594252"/>
      <w:bookmarkStart w:id="35" w:name="_Toc264887977"/>
      <w:r>
        <w:rPr>
          <w:rStyle w:val="CharSectno"/>
        </w:rPr>
        <w:t>12</w:t>
      </w:r>
      <w:r>
        <w:t>.</w:t>
      </w:r>
      <w:r>
        <w:tab/>
        <w:t>No significant change to certain places without prior notification to Chief Officer</w:t>
      </w:r>
      <w:bookmarkEnd w:id="34"/>
      <w:bookmarkEnd w:id="35"/>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6" w:name="_Toc319594253"/>
      <w:bookmarkStart w:id="37" w:name="_Toc264887978"/>
      <w:r>
        <w:rPr>
          <w:rStyle w:val="CharSectno"/>
        </w:rPr>
        <w:t>13</w:t>
      </w:r>
      <w:r>
        <w:t>.</w:t>
      </w:r>
      <w:r>
        <w:tab/>
        <w:t xml:space="preserve">Major hazard facility to operate in accordance with safety management system in approved </w:t>
      </w:r>
      <w:r>
        <w:rPr>
          <w:color w:val="000000"/>
        </w:rPr>
        <w:t>safety report</w:t>
      </w:r>
      <w:bookmarkEnd w:id="36"/>
      <w:bookmarkEnd w:id="37"/>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8" w:name="_Toc191980780"/>
      <w:bookmarkStart w:id="39" w:name="_Toc233693219"/>
      <w:bookmarkStart w:id="40" w:name="_Toc264887907"/>
      <w:bookmarkStart w:id="41" w:name="_Toc264887979"/>
      <w:bookmarkStart w:id="42" w:name="_Toc319594254"/>
      <w:r>
        <w:rPr>
          <w:rStyle w:val="CharPartNo"/>
        </w:rPr>
        <w:t>Part 3</w:t>
      </w:r>
      <w:r>
        <w:rPr>
          <w:rStyle w:val="CharDivNo"/>
        </w:rPr>
        <w:t> </w:t>
      </w:r>
      <w:r>
        <w:t>—</w:t>
      </w:r>
      <w:r>
        <w:rPr>
          <w:rStyle w:val="CharDivText"/>
        </w:rPr>
        <w:t> </w:t>
      </w:r>
      <w:r>
        <w:rPr>
          <w:rStyle w:val="CharPartText"/>
        </w:rPr>
        <w:t>Notification requirements</w:t>
      </w:r>
      <w:bookmarkEnd w:id="38"/>
      <w:bookmarkEnd w:id="39"/>
      <w:bookmarkEnd w:id="40"/>
      <w:bookmarkEnd w:id="41"/>
      <w:bookmarkEnd w:id="42"/>
    </w:p>
    <w:p>
      <w:pPr>
        <w:pStyle w:val="Heading5"/>
      </w:pPr>
      <w:bookmarkStart w:id="43" w:name="_Toc319594255"/>
      <w:bookmarkStart w:id="44" w:name="_Toc264887980"/>
      <w:r>
        <w:rPr>
          <w:rStyle w:val="CharSectno"/>
        </w:rPr>
        <w:t>14</w:t>
      </w:r>
      <w:r>
        <w:t>.</w:t>
      </w:r>
      <w:r>
        <w:tab/>
        <w:t>Operator to notify Chief Officer if more than critical quantity of Schedule 1 substances likely to be at the place</w:t>
      </w:r>
      <w:bookmarkEnd w:id="43"/>
      <w:bookmarkEnd w:id="44"/>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5" w:name="_Toc319594256"/>
      <w:bookmarkStart w:id="46" w:name="_Toc264887981"/>
      <w:r>
        <w:rPr>
          <w:rStyle w:val="CharSectno"/>
        </w:rPr>
        <w:t>15</w:t>
      </w:r>
      <w:r>
        <w:t>.</w:t>
      </w:r>
      <w:r>
        <w:tab/>
        <w:t>Operator of certain places to notify Chief Officer of change</w:t>
      </w:r>
      <w:bookmarkEnd w:id="45"/>
      <w:bookmarkEnd w:id="46"/>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47" w:name="_Toc319594257"/>
      <w:bookmarkStart w:id="48" w:name="_Toc264887982"/>
      <w:r>
        <w:rPr>
          <w:rStyle w:val="CharSectno"/>
        </w:rPr>
        <w:t>16</w:t>
      </w:r>
      <w:r>
        <w:t>.</w:t>
      </w:r>
      <w:r>
        <w:tab/>
        <w:t>Chief Officer may direct operator to give notification</w:t>
      </w:r>
      <w:bookmarkEnd w:id="47"/>
      <w:bookmarkEnd w:id="48"/>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9" w:name="_Toc319594258"/>
      <w:bookmarkStart w:id="50" w:name="_Toc264887983"/>
      <w:r>
        <w:rPr>
          <w:rStyle w:val="CharSectno"/>
        </w:rPr>
        <w:t>17</w:t>
      </w:r>
      <w:r>
        <w:t>.</w:t>
      </w:r>
      <w:r>
        <w:tab/>
        <w:t>Notification required</w:t>
      </w:r>
      <w:bookmarkEnd w:id="49"/>
      <w:bookmarkEnd w:id="50"/>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51" w:name="_Toc319594259"/>
      <w:bookmarkStart w:id="52" w:name="_Toc264887984"/>
      <w:r>
        <w:rPr>
          <w:rStyle w:val="CharSectno"/>
        </w:rPr>
        <w:t>18</w:t>
      </w:r>
      <w:r>
        <w:t>.</w:t>
      </w:r>
      <w:r>
        <w:tab/>
        <w:t>Chief Officer may direct operator to give further information</w:t>
      </w:r>
      <w:bookmarkEnd w:id="51"/>
      <w:bookmarkEnd w:id="52"/>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3" w:name="_Toc191980786"/>
      <w:bookmarkStart w:id="54" w:name="_Toc233693225"/>
      <w:bookmarkStart w:id="55" w:name="_Toc264887913"/>
      <w:bookmarkStart w:id="56" w:name="_Toc264887985"/>
      <w:bookmarkStart w:id="57" w:name="_Toc319594260"/>
      <w:r>
        <w:rPr>
          <w:rStyle w:val="CharPartNo"/>
        </w:rPr>
        <w:t>Part 4</w:t>
      </w:r>
      <w:r>
        <w:rPr>
          <w:rStyle w:val="CharDivNo"/>
        </w:rPr>
        <w:t> </w:t>
      </w:r>
      <w:r>
        <w:t>—</w:t>
      </w:r>
      <w:r>
        <w:rPr>
          <w:rStyle w:val="CharDivText"/>
        </w:rPr>
        <w:t> </w:t>
      </w:r>
      <w:r>
        <w:rPr>
          <w:rStyle w:val="CharPartText"/>
        </w:rPr>
        <w:t>Certain places to be major hazard facilities</w:t>
      </w:r>
      <w:bookmarkEnd w:id="53"/>
      <w:bookmarkEnd w:id="54"/>
      <w:bookmarkEnd w:id="55"/>
      <w:bookmarkEnd w:id="56"/>
      <w:bookmarkEnd w:id="57"/>
    </w:p>
    <w:p>
      <w:pPr>
        <w:pStyle w:val="Heading5"/>
      </w:pPr>
      <w:bookmarkStart w:id="58" w:name="_Toc319594261"/>
      <w:bookmarkStart w:id="59" w:name="_Toc264887986"/>
      <w:r>
        <w:rPr>
          <w:rStyle w:val="CharSectno"/>
        </w:rPr>
        <w:t>19</w:t>
      </w:r>
      <w:r>
        <w:t>.</w:t>
      </w:r>
      <w:r>
        <w:tab/>
        <w:t>Classification of certain places as major hazard facilities</w:t>
      </w:r>
      <w:bookmarkEnd w:id="58"/>
      <w:bookmarkEnd w:id="59"/>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0" w:name="_Toc319594262"/>
      <w:bookmarkStart w:id="61" w:name="_Toc264887987"/>
      <w:r>
        <w:rPr>
          <w:rStyle w:val="CharSectno"/>
        </w:rPr>
        <w:t>20</w:t>
      </w:r>
      <w:r>
        <w:t>.</w:t>
      </w:r>
      <w:r>
        <w:tab/>
        <w:t>Chief Officer to consult in relation to a decision to classify a place as a major hazard facility</w:t>
      </w:r>
      <w:bookmarkEnd w:id="60"/>
      <w:bookmarkEnd w:id="61"/>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62" w:name="_Toc319594263"/>
      <w:bookmarkStart w:id="63" w:name="_Toc264887988"/>
      <w:r>
        <w:rPr>
          <w:rStyle w:val="CharSectno"/>
        </w:rPr>
        <w:t>21</w:t>
      </w:r>
      <w:r>
        <w:t>.</w:t>
      </w:r>
      <w:r>
        <w:tab/>
        <w:t>Chief Officer to notify decision whether or not to classify a place as a major hazard facility</w:t>
      </w:r>
      <w:bookmarkEnd w:id="62"/>
      <w:bookmarkEnd w:id="63"/>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64" w:name="_Toc319594264"/>
      <w:bookmarkStart w:id="65" w:name="_Toc264887989"/>
      <w:r>
        <w:rPr>
          <w:rStyle w:val="CharSectno"/>
        </w:rPr>
        <w:t>22</w:t>
      </w:r>
      <w:r>
        <w:t>.</w:t>
      </w:r>
      <w:r>
        <w:tab/>
        <w:t>Chief Officer may revoke decision to classify a place as a major hazard facility</w:t>
      </w:r>
      <w:bookmarkEnd w:id="64"/>
      <w:bookmarkEnd w:id="65"/>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66" w:name="_Toc191980791"/>
      <w:bookmarkStart w:id="67" w:name="_Toc233693230"/>
      <w:bookmarkStart w:id="68" w:name="_Toc264887918"/>
      <w:bookmarkStart w:id="69" w:name="_Toc264887990"/>
      <w:bookmarkStart w:id="70" w:name="_Toc319594265"/>
      <w:r>
        <w:rPr>
          <w:rStyle w:val="CharPartNo"/>
        </w:rPr>
        <w:t>Part 5</w:t>
      </w:r>
      <w:r>
        <w:rPr>
          <w:rStyle w:val="CharDivNo"/>
        </w:rPr>
        <w:t> </w:t>
      </w:r>
      <w:r>
        <w:t>—</w:t>
      </w:r>
      <w:r>
        <w:rPr>
          <w:rStyle w:val="CharDivText"/>
        </w:rPr>
        <w:t> </w:t>
      </w:r>
      <w:r>
        <w:rPr>
          <w:rStyle w:val="CharPartText"/>
          <w:color w:val="000000"/>
        </w:rPr>
        <w:t>Safety reports</w:t>
      </w:r>
      <w:bookmarkEnd w:id="66"/>
      <w:bookmarkEnd w:id="67"/>
      <w:bookmarkEnd w:id="68"/>
      <w:bookmarkEnd w:id="69"/>
      <w:bookmarkEnd w:id="70"/>
    </w:p>
    <w:p>
      <w:pPr>
        <w:pStyle w:val="Heading5"/>
      </w:pPr>
      <w:bookmarkStart w:id="71" w:name="_Toc319594266"/>
      <w:bookmarkStart w:id="72" w:name="_Toc264887991"/>
      <w:r>
        <w:rPr>
          <w:rStyle w:val="CharSectno"/>
        </w:rPr>
        <w:t>23</w:t>
      </w:r>
      <w:r>
        <w:t>.</w:t>
      </w:r>
      <w:r>
        <w:tab/>
        <w:t xml:space="preserve">Duty to </w:t>
      </w:r>
      <w:r>
        <w:rPr>
          <w:color w:val="000000"/>
        </w:rPr>
        <w:t>prepare risk assessment</w:t>
      </w:r>
      <w:bookmarkEnd w:id="71"/>
      <w:bookmarkEnd w:id="72"/>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73" w:name="_Toc319594267"/>
      <w:bookmarkStart w:id="74" w:name="_Toc264887992"/>
      <w:r>
        <w:rPr>
          <w:rStyle w:val="CharSectno"/>
        </w:rPr>
        <w:t>24</w:t>
      </w:r>
      <w:r>
        <w:t>.</w:t>
      </w:r>
      <w:r>
        <w:tab/>
        <w:t xml:space="preserve">Duty to </w:t>
      </w:r>
      <w:r>
        <w:rPr>
          <w:color w:val="000000"/>
        </w:rPr>
        <w:t>prepare safety management system</w:t>
      </w:r>
      <w:bookmarkEnd w:id="73"/>
      <w:bookmarkEnd w:id="74"/>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75" w:name="_Toc319594268"/>
      <w:bookmarkStart w:id="76" w:name="_Toc264887993"/>
      <w:r>
        <w:rPr>
          <w:rStyle w:val="CharSectno"/>
        </w:rPr>
        <w:t>25</w:t>
      </w:r>
      <w:r>
        <w:t>.</w:t>
      </w:r>
      <w:r>
        <w:tab/>
        <w:t xml:space="preserve">Duty to </w:t>
      </w:r>
      <w:r>
        <w:rPr>
          <w:color w:val="000000"/>
        </w:rPr>
        <w:t>prepare safety report</w:t>
      </w:r>
      <w:bookmarkEnd w:id="75"/>
      <w:bookmarkEnd w:id="76"/>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77" w:name="_Toc319594269"/>
      <w:bookmarkStart w:id="78" w:name="_Toc264887994"/>
      <w:r>
        <w:rPr>
          <w:rStyle w:val="CharSectno"/>
        </w:rPr>
        <w:t>26</w:t>
      </w:r>
      <w:r>
        <w:t>.</w:t>
      </w:r>
      <w:r>
        <w:tab/>
        <w:t xml:space="preserve">Application for approval of </w:t>
      </w:r>
      <w:r>
        <w:rPr>
          <w:color w:val="000000"/>
        </w:rPr>
        <w:t>safety report</w:t>
      </w:r>
      <w:bookmarkEnd w:id="77"/>
      <w:bookmarkEnd w:id="78"/>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79" w:name="_Toc319594270"/>
      <w:bookmarkStart w:id="80" w:name="_Toc264887995"/>
      <w:r>
        <w:rPr>
          <w:rStyle w:val="CharSectno"/>
        </w:rPr>
        <w:t>27</w:t>
      </w:r>
      <w:r>
        <w:t>.</w:t>
      </w:r>
      <w:r>
        <w:tab/>
        <w:t xml:space="preserve">Approval of </w:t>
      </w:r>
      <w:r>
        <w:rPr>
          <w:color w:val="000000"/>
        </w:rPr>
        <w:t>safety report</w:t>
      </w:r>
      <w:r>
        <w:t xml:space="preserve"> by the Chief Officer</w:t>
      </w:r>
      <w:bookmarkEnd w:id="79"/>
      <w:bookmarkEnd w:id="80"/>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81" w:name="_Toc319594271"/>
      <w:bookmarkStart w:id="82" w:name="_Toc264887996"/>
      <w:r>
        <w:rPr>
          <w:rStyle w:val="CharSectno"/>
        </w:rPr>
        <w:t>28</w:t>
      </w:r>
      <w:r>
        <w:t>.</w:t>
      </w:r>
      <w:r>
        <w:tab/>
        <w:t xml:space="preserve">Withdrawal of approval of </w:t>
      </w:r>
      <w:r>
        <w:rPr>
          <w:color w:val="000000"/>
        </w:rPr>
        <w:t>safety report</w:t>
      </w:r>
      <w:bookmarkEnd w:id="81"/>
      <w:bookmarkEnd w:id="82"/>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83" w:name="_Toc319594272"/>
      <w:bookmarkStart w:id="84" w:name="_Toc264887997"/>
      <w:r>
        <w:rPr>
          <w:rStyle w:val="CharSectno"/>
        </w:rPr>
        <w:t>29</w:t>
      </w:r>
      <w:r>
        <w:t>.</w:t>
      </w:r>
      <w:r>
        <w:tab/>
        <w:t xml:space="preserve">Chief Officer to consult and notify in relation to approval of </w:t>
      </w:r>
      <w:r>
        <w:rPr>
          <w:color w:val="000000"/>
        </w:rPr>
        <w:t>safety report</w:t>
      </w:r>
      <w:bookmarkEnd w:id="83"/>
      <w:bookmarkEnd w:id="84"/>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85" w:name="_Toc319594273"/>
      <w:bookmarkStart w:id="86" w:name="_Toc264887998"/>
      <w:r>
        <w:rPr>
          <w:rStyle w:val="CharSectno"/>
        </w:rPr>
        <w:t>30</w:t>
      </w:r>
      <w:r>
        <w:t>.</w:t>
      </w:r>
      <w:r>
        <w:tab/>
        <w:t>Operators to review safety reports</w:t>
      </w:r>
      <w:bookmarkEnd w:id="85"/>
      <w:bookmarkEnd w:id="8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87" w:name="_Toc191980800"/>
      <w:bookmarkStart w:id="88" w:name="_Toc233693239"/>
      <w:bookmarkStart w:id="89" w:name="_Toc264887927"/>
      <w:bookmarkStart w:id="90" w:name="_Toc264887999"/>
      <w:bookmarkStart w:id="91" w:name="_Toc319594274"/>
      <w:r>
        <w:rPr>
          <w:rStyle w:val="CharPartNo"/>
        </w:rPr>
        <w:t>Part 6</w:t>
      </w:r>
      <w:r>
        <w:rPr>
          <w:rStyle w:val="CharDivNo"/>
        </w:rPr>
        <w:t> </w:t>
      </w:r>
      <w:r>
        <w:t>—</w:t>
      </w:r>
      <w:r>
        <w:rPr>
          <w:rStyle w:val="CharDivText"/>
        </w:rPr>
        <w:t> </w:t>
      </w:r>
      <w:r>
        <w:rPr>
          <w:rStyle w:val="CharPartText"/>
        </w:rPr>
        <w:t>Miscellaneous</w:t>
      </w:r>
      <w:bookmarkEnd w:id="87"/>
      <w:bookmarkEnd w:id="88"/>
      <w:bookmarkEnd w:id="89"/>
      <w:bookmarkEnd w:id="90"/>
      <w:bookmarkEnd w:id="91"/>
    </w:p>
    <w:p>
      <w:pPr>
        <w:pStyle w:val="Heading5"/>
      </w:pPr>
      <w:bookmarkStart w:id="92" w:name="_Toc319594275"/>
      <w:bookmarkStart w:id="93" w:name="_Toc264888000"/>
      <w:r>
        <w:rPr>
          <w:rStyle w:val="CharSectno"/>
        </w:rPr>
        <w:t>31</w:t>
      </w:r>
      <w:r>
        <w:t>.</w:t>
      </w:r>
      <w:r>
        <w:tab/>
        <w:t>Direction to provide information to nearby major hazard facility</w:t>
      </w:r>
      <w:bookmarkEnd w:id="92"/>
      <w:bookmarkEnd w:id="93"/>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94" w:name="_Toc319594276"/>
      <w:bookmarkStart w:id="95" w:name="_Toc264888001"/>
      <w:r>
        <w:rPr>
          <w:rStyle w:val="CharSectno"/>
        </w:rPr>
        <w:t>32</w:t>
      </w:r>
      <w:r>
        <w:t>.</w:t>
      </w:r>
      <w:r>
        <w:tab/>
        <w:t>Operator of major hazard facility to notify Chief Officer of closure</w:t>
      </w:r>
      <w:bookmarkEnd w:id="94"/>
      <w:bookmarkEnd w:id="95"/>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96" w:name="_Toc191980803"/>
      <w:bookmarkStart w:id="97" w:name="_Toc233693242"/>
      <w:bookmarkStart w:id="98" w:name="_Toc264887930"/>
      <w:bookmarkStart w:id="99" w:name="_Toc264888002"/>
      <w:bookmarkStart w:id="100" w:name="_Toc319594277"/>
      <w:r>
        <w:rPr>
          <w:rStyle w:val="CharSchNo"/>
        </w:rPr>
        <w:t>Schedule 1</w:t>
      </w:r>
      <w:r>
        <w:rPr>
          <w:rStyle w:val="CharSDivNo"/>
        </w:rPr>
        <w:t> </w:t>
      </w:r>
      <w:r>
        <w:t>—</w:t>
      </w:r>
      <w:r>
        <w:rPr>
          <w:rStyle w:val="CharSDivText"/>
        </w:rPr>
        <w:t> </w:t>
      </w:r>
      <w:r>
        <w:rPr>
          <w:rStyle w:val="CharSchText"/>
        </w:rPr>
        <w:t>Threshold quantity for Schedule 1 substances</w:t>
      </w:r>
      <w:bookmarkEnd w:id="96"/>
      <w:bookmarkEnd w:id="97"/>
      <w:bookmarkEnd w:id="98"/>
      <w:bookmarkEnd w:id="99"/>
      <w:bookmarkEnd w:id="100"/>
    </w:p>
    <w:p>
      <w:pPr>
        <w:pStyle w:val="yShoulderClause"/>
      </w:pPr>
      <w:r>
        <w:t>[r. 4 and 10]</w:t>
      </w:r>
    </w:p>
    <w:p>
      <w:pPr>
        <w:pStyle w:val="yHeading5"/>
      </w:pPr>
      <w:bookmarkStart w:id="101" w:name="_Toc319594278"/>
      <w:bookmarkStart w:id="102" w:name="_Toc264888003"/>
      <w:r>
        <w:rPr>
          <w:rStyle w:val="CharSClsNo"/>
        </w:rPr>
        <w:t>1</w:t>
      </w:r>
      <w:r>
        <w:t>.</w:t>
      </w:r>
      <w:r>
        <w:tab/>
        <w:t>Threshold quantity for substances</w:t>
      </w:r>
      <w:bookmarkEnd w:id="101"/>
      <w:bookmarkEnd w:id="102"/>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843" w:type="dxa"/>
            <w:tcBorders>
              <w:top w:val="single" w:sz="4" w:space="0" w:color="auto"/>
              <w:bottom w:val="single" w:sz="4" w:space="0" w:color="auto"/>
            </w:tcBorders>
          </w:tcPr>
          <w:p>
            <w:pPr>
              <w:pStyle w:val="yTableNAm"/>
              <w:rPr>
                <w:b/>
                <w:bCs/>
              </w:rPr>
            </w:pPr>
            <w:r>
              <w:rPr>
                <w:b/>
                <w:bCs/>
              </w:rPr>
              <w:t>UN number</w:t>
            </w:r>
          </w:p>
        </w:tc>
        <w:tc>
          <w:tcPr>
            <w:tcW w:w="1808" w:type="dxa"/>
            <w:tcBorders>
              <w:top w:val="single" w:sz="4" w:space="0" w:color="auto"/>
              <w:bottom w:val="single" w:sz="4" w:space="0" w:color="auto"/>
            </w:tcBorders>
          </w:tcPr>
          <w:p>
            <w:pPr>
              <w:pStyle w:val="yTableNAm"/>
              <w:rPr>
                <w:b/>
                <w:bCs/>
              </w:rPr>
            </w:pPr>
            <w:r>
              <w:rPr>
                <w:b/>
                <w:bCs/>
              </w:rPr>
              <w:t>Threshold quantity (in tonnes)</w:t>
            </w:r>
          </w:p>
        </w:tc>
      </w:tr>
      <w:tr>
        <w:trPr>
          <w:cantSplit/>
        </w:trPr>
        <w:tc>
          <w:tcPr>
            <w:tcW w:w="2977" w:type="dxa"/>
          </w:tcPr>
          <w:p>
            <w:pPr>
              <w:pStyle w:val="yTableNAm"/>
            </w:pPr>
            <w:r>
              <w:t>ACETONE CYANOHYDRIN</w:t>
            </w:r>
          </w:p>
        </w:tc>
        <w:tc>
          <w:tcPr>
            <w:tcW w:w="1843" w:type="dxa"/>
          </w:tcPr>
          <w:p>
            <w:pPr>
              <w:pStyle w:val="yTableNAm"/>
            </w:pPr>
            <w:r>
              <w:t>1541</w:t>
            </w:r>
          </w:p>
        </w:tc>
        <w:tc>
          <w:tcPr>
            <w:tcW w:w="1808" w:type="dxa"/>
          </w:tcPr>
          <w:p>
            <w:pPr>
              <w:pStyle w:val="yTableNAm"/>
            </w:pPr>
            <w:r>
              <w:t>20</w:t>
            </w:r>
          </w:p>
        </w:tc>
      </w:tr>
      <w:tr>
        <w:trPr>
          <w:cantSplit/>
        </w:trPr>
        <w:tc>
          <w:tcPr>
            <w:tcW w:w="2977" w:type="dxa"/>
          </w:tcPr>
          <w:p>
            <w:pPr>
              <w:pStyle w:val="yTableNAm"/>
            </w:pPr>
            <w:r>
              <w:t>ACETYLENE</w:t>
            </w:r>
          </w:p>
        </w:tc>
        <w:tc>
          <w:tcPr>
            <w:tcW w:w="1843" w:type="dxa"/>
          </w:tcPr>
          <w:p>
            <w:pPr>
              <w:pStyle w:val="yTableNAm"/>
            </w:pPr>
            <w:r>
              <w:t>1001</w:t>
            </w:r>
          </w:p>
        </w:tc>
        <w:tc>
          <w:tcPr>
            <w:tcW w:w="1808" w:type="dxa"/>
          </w:tcPr>
          <w:p>
            <w:pPr>
              <w:pStyle w:val="yTableNAm"/>
            </w:pPr>
            <w:r>
              <w:t>50</w:t>
            </w:r>
          </w:p>
        </w:tc>
      </w:tr>
      <w:tr>
        <w:trPr>
          <w:cantSplit/>
        </w:trPr>
        <w:tc>
          <w:tcPr>
            <w:tcW w:w="2977" w:type="dxa"/>
          </w:tcPr>
          <w:p>
            <w:pPr>
              <w:pStyle w:val="yTableNAm"/>
            </w:pPr>
            <w:r>
              <w:t>ACROLEIN</w:t>
            </w:r>
          </w:p>
        </w:tc>
        <w:tc>
          <w:tcPr>
            <w:tcW w:w="1843" w:type="dxa"/>
          </w:tcPr>
          <w:p>
            <w:pPr>
              <w:pStyle w:val="yTableNAm"/>
            </w:pPr>
            <w:r>
              <w:t>1092</w:t>
            </w:r>
          </w:p>
        </w:tc>
        <w:tc>
          <w:tcPr>
            <w:tcW w:w="1808" w:type="dxa"/>
          </w:tcPr>
          <w:p>
            <w:pPr>
              <w:pStyle w:val="yTableNAm"/>
            </w:pPr>
            <w:r>
              <w:t>200</w:t>
            </w:r>
          </w:p>
        </w:tc>
      </w:tr>
      <w:tr>
        <w:trPr>
          <w:cantSplit/>
        </w:trPr>
        <w:tc>
          <w:tcPr>
            <w:tcW w:w="2977" w:type="dxa"/>
          </w:tcPr>
          <w:p>
            <w:pPr>
              <w:pStyle w:val="yTableNAm"/>
            </w:pPr>
            <w:r>
              <w:t>ACRYLONITRILE</w:t>
            </w:r>
          </w:p>
        </w:tc>
        <w:tc>
          <w:tcPr>
            <w:tcW w:w="1843" w:type="dxa"/>
          </w:tcPr>
          <w:p>
            <w:pPr>
              <w:pStyle w:val="yTableNAm"/>
            </w:pPr>
            <w:r>
              <w:t>1093</w:t>
            </w:r>
          </w:p>
        </w:tc>
        <w:tc>
          <w:tcPr>
            <w:tcW w:w="1808" w:type="dxa"/>
          </w:tcPr>
          <w:p>
            <w:pPr>
              <w:pStyle w:val="yTableNAm"/>
            </w:pPr>
            <w:r>
              <w:t>200</w:t>
            </w:r>
          </w:p>
        </w:tc>
      </w:tr>
      <w:tr>
        <w:trPr>
          <w:cantSplit/>
        </w:trPr>
        <w:tc>
          <w:tcPr>
            <w:tcW w:w="2977" w:type="dxa"/>
          </w:tcPr>
          <w:p>
            <w:pPr>
              <w:pStyle w:val="yTableNAm"/>
            </w:pPr>
            <w:r>
              <w:t>ALLYL ALCOHOL</w:t>
            </w:r>
          </w:p>
        </w:tc>
        <w:tc>
          <w:tcPr>
            <w:tcW w:w="1843" w:type="dxa"/>
          </w:tcPr>
          <w:p>
            <w:pPr>
              <w:pStyle w:val="yTableNAm"/>
            </w:pPr>
            <w:r>
              <w:t>1098</w:t>
            </w:r>
          </w:p>
        </w:tc>
        <w:tc>
          <w:tcPr>
            <w:tcW w:w="1808" w:type="dxa"/>
          </w:tcPr>
          <w:p>
            <w:pPr>
              <w:pStyle w:val="yTableNAm"/>
            </w:pPr>
            <w:r>
              <w:t>20</w:t>
            </w:r>
          </w:p>
        </w:tc>
      </w:tr>
      <w:tr>
        <w:trPr>
          <w:cantSplit/>
        </w:trPr>
        <w:tc>
          <w:tcPr>
            <w:tcW w:w="2977" w:type="dxa"/>
          </w:tcPr>
          <w:p>
            <w:pPr>
              <w:pStyle w:val="yTableNAm"/>
            </w:pPr>
            <w:r>
              <w:t>ALLYLAMINE</w:t>
            </w:r>
          </w:p>
        </w:tc>
        <w:tc>
          <w:tcPr>
            <w:tcW w:w="1843" w:type="dxa"/>
          </w:tcPr>
          <w:p>
            <w:pPr>
              <w:pStyle w:val="yTableNAm"/>
            </w:pPr>
            <w:r>
              <w:t>2334</w:t>
            </w:r>
          </w:p>
        </w:tc>
        <w:tc>
          <w:tcPr>
            <w:tcW w:w="1808" w:type="dxa"/>
          </w:tcPr>
          <w:p>
            <w:pPr>
              <w:pStyle w:val="yTableNAm"/>
            </w:pPr>
            <w:r>
              <w:t>200</w:t>
            </w:r>
          </w:p>
        </w:tc>
      </w:tr>
      <w:tr>
        <w:trPr>
          <w:cantSplit/>
        </w:trPr>
        <w:tc>
          <w:tcPr>
            <w:tcW w:w="2977" w:type="dxa"/>
          </w:tcPr>
          <w:p>
            <w:pPr>
              <w:pStyle w:val="yTableNAm"/>
            </w:pPr>
            <w:r>
              <w:t>AMMONIA, ANHYDROUS</w:t>
            </w:r>
          </w:p>
        </w:tc>
        <w:tc>
          <w:tcPr>
            <w:tcW w:w="1843" w:type="dxa"/>
          </w:tcPr>
          <w:p>
            <w:pPr>
              <w:pStyle w:val="yTableNAm"/>
            </w:pPr>
            <w:r>
              <w:t>1005</w:t>
            </w:r>
          </w:p>
        </w:tc>
        <w:tc>
          <w:tcPr>
            <w:tcW w:w="1808" w:type="dxa"/>
          </w:tcPr>
          <w:p>
            <w:pPr>
              <w:pStyle w:val="yTableNAm"/>
            </w:pPr>
            <w:r>
              <w:t>200</w:t>
            </w:r>
          </w:p>
        </w:tc>
      </w:tr>
      <w:tr>
        <w:trPr>
          <w:cantSplit/>
        </w:trPr>
        <w:tc>
          <w:tcPr>
            <w:tcW w:w="2977" w:type="dxa"/>
          </w:tcPr>
          <w:p>
            <w:pPr>
              <w:pStyle w:val="yTableNAm"/>
            </w:pPr>
            <w:r>
              <w:t>AMMONIUM NITRATE FERTILIZERS</w:t>
            </w:r>
          </w:p>
        </w:tc>
        <w:tc>
          <w:tcPr>
            <w:tcW w:w="1843" w:type="dxa"/>
          </w:tcPr>
          <w:p>
            <w:pPr>
              <w:pStyle w:val="yTableNAm"/>
            </w:pPr>
            <w:r>
              <w:t>2067</w:t>
            </w:r>
          </w:p>
        </w:tc>
        <w:tc>
          <w:tcPr>
            <w:tcW w:w="1808" w:type="dxa"/>
          </w:tcPr>
          <w:p>
            <w:pPr>
              <w:pStyle w:val="yTableNAm"/>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843" w:type="dxa"/>
          </w:tcPr>
          <w:p>
            <w:pPr>
              <w:pStyle w:val="yTableNAm"/>
            </w:pPr>
            <w:r>
              <w:t>1942</w:t>
            </w:r>
          </w:p>
        </w:tc>
        <w:tc>
          <w:tcPr>
            <w:tcW w:w="1808" w:type="dxa"/>
          </w:tcPr>
          <w:p>
            <w:pPr>
              <w:pStyle w:val="yTableNAm"/>
            </w:pPr>
            <w:r>
              <w:t>2 500</w:t>
            </w:r>
          </w:p>
        </w:tc>
      </w:tr>
      <w:tr>
        <w:trPr>
          <w:cantSplit/>
        </w:trPr>
        <w:tc>
          <w:tcPr>
            <w:tcW w:w="2977" w:type="dxa"/>
          </w:tcPr>
          <w:p>
            <w:pPr>
              <w:pStyle w:val="yTableNAm"/>
            </w:pPr>
            <w:r>
              <w:t>ARSENIC PENTOXIDE, Arsenic (V) acid and other salts</w:t>
            </w:r>
          </w:p>
        </w:tc>
        <w:tc>
          <w:tcPr>
            <w:tcW w:w="1843" w:type="dxa"/>
          </w:tcPr>
          <w:p>
            <w:pPr>
              <w:pStyle w:val="yTableNAm"/>
            </w:pPr>
            <w:r>
              <w:t>1559</w:t>
            </w:r>
          </w:p>
        </w:tc>
        <w:tc>
          <w:tcPr>
            <w:tcW w:w="1808" w:type="dxa"/>
          </w:tcPr>
          <w:p>
            <w:pPr>
              <w:pStyle w:val="yTableNAm"/>
            </w:pPr>
            <w:r>
              <w:t>10</w:t>
            </w:r>
          </w:p>
        </w:tc>
      </w:tr>
      <w:tr>
        <w:trPr>
          <w:cantSplit/>
        </w:trPr>
        <w:tc>
          <w:tcPr>
            <w:tcW w:w="2977" w:type="dxa"/>
          </w:tcPr>
          <w:p>
            <w:pPr>
              <w:pStyle w:val="yTableNAm"/>
            </w:pPr>
            <w:r>
              <w:t>ARSENIC TRIOXIDE, Arsenious (III) acid and other salts</w:t>
            </w:r>
          </w:p>
        </w:tc>
        <w:tc>
          <w:tcPr>
            <w:tcW w:w="1843" w:type="dxa"/>
          </w:tcPr>
          <w:p>
            <w:pPr>
              <w:pStyle w:val="yTableNAm"/>
            </w:pPr>
            <w:r>
              <w:t>1561</w:t>
            </w:r>
          </w:p>
        </w:tc>
        <w:tc>
          <w:tcPr>
            <w:tcW w:w="1808" w:type="dxa"/>
          </w:tcPr>
          <w:p>
            <w:pPr>
              <w:pStyle w:val="yTableNAm"/>
            </w:pPr>
            <w:r>
              <w:t>0.10</w:t>
            </w:r>
          </w:p>
        </w:tc>
      </w:tr>
      <w:tr>
        <w:trPr>
          <w:cantSplit/>
        </w:trPr>
        <w:tc>
          <w:tcPr>
            <w:tcW w:w="2977" w:type="dxa"/>
          </w:tcPr>
          <w:p>
            <w:pPr>
              <w:pStyle w:val="yTableNAm"/>
            </w:pPr>
            <w:r>
              <w:t>ARSINE</w:t>
            </w:r>
          </w:p>
        </w:tc>
        <w:tc>
          <w:tcPr>
            <w:tcW w:w="1843" w:type="dxa"/>
          </w:tcPr>
          <w:p>
            <w:pPr>
              <w:pStyle w:val="yTableNAm"/>
            </w:pPr>
            <w:r>
              <w:t>2188</w:t>
            </w:r>
          </w:p>
        </w:tc>
        <w:tc>
          <w:tcPr>
            <w:tcW w:w="1808" w:type="dxa"/>
          </w:tcPr>
          <w:p>
            <w:pPr>
              <w:pStyle w:val="yTableNAm"/>
            </w:pPr>
            <w:r>
              <w:t>0.01</w:t>
            </w:r>
          </w:p>
        </w:tc>
      </w:tr>
      <w:tr>
        <w:trPr>
          <w:cantSplit/>
        </w:trPr>
        <w:tc>
          <w:tcPr>
            <w:tcW w:w="2977" w:type="dxa"/>
          </w:tcPr>
          <w:p>
            <w:pPr>
              <w:pStyle w:val="yTableNAm"/>
            </w:pPr>
            <w:r>
              <w:t>BROMINE or BROMINE SOLUTIONS</w:t>
            </w:r>
          </w:p>
        </w:tc>
        <w:tc>
          <w:tcPr>
            <w:tcW w:w="1843" w:type="dxa"/>
          </w:tcPr>
          <w:p>
            <w:pPr>
              <w:pStyle w:val="yTableNAm"/>
            </w:pPr>
            <w:r>
              <w:t>1744</w:t>
            </w:r>
          </w:p>
        </w:tc>
        <w:tc>
          <w:tcPr>
            <w:tcW w:w="1808" w:type="dxa"/>
          </w:tcPr>
          <w:p>
            <w:pPr>
              <w:pStyle w:val="yTableNAm"/>
            </w:pPr>
            <w:r>
              <w:t>100</w:t>
            </w:r>
          </w:p>
        </w:tc>
      </w:tr>
      <w:tr>
        <w:trPr>
          <w:cantSplit/>
        </w:trPr>
        <w:tc>
          <w:tcPr>
            <w:tcW w:w="2977" w:type="dxa"/>
          </w:tcPr>
          <w:p>
            <w:pPr>
              <w:pStyle w:val="yTableNAm"/>
            </w:pPr>
            <w:r>
              <w:t>CARBON DISULFIDE</w:t>
            </w:r>
          </w:p>
        </w:tc>
        <w:tc>
          <w:tcPr>
            <w:tcW w:w="1843" w:type="dxa"/>
          </w:tcPr>
          <w:p>
            <w:pPr>
              <w:pStyle w:val="yTableNAm"/>
            </w:pPr>
            <w:r>
              <w:t>1131</w:t>
            </w:r>
          </w:p>
        </w:tc>
        <w:tc>
          <w:tcPr>
            <w:tcW w:w="1808" w:type="dxa"/>
          </w:tcPr>
          <w:p>
            <w:pPr>
              <w:pStyle w:val="yTableNAm"/>
            </w:pPr>
            <w:r>
              <w:t>200</w:t>
            </w:r>
          </w:p>
        </w:tc>
      </w:tr>
      <w:tr>
        <w:trPr>
          <w:cantSplit/>
        </w:trPr>
        <w:tc>
          <w:tcPr>
            <w:tcW w:w="2977" w:type="dxa"/>
          </w:tcPr>
          <w:p>
            <w:pPr>
              <w:pStyle w:val="yTableNAm"/>
            </w:pPr>
            <w:r>
              <w:t>CHLORINE</w:t>
            </w:r>
          </w:p>
        </w:tc>
        <w:tc>
          <w:tcPr>
            <w:tcW w:w="1843" w:type="dxa"/>
          </w:tcPr>
          <w:p>
            <w:pPr>
              <w:pStyle w:val="yTableNAm"/>
            </w:pPr>
            <w:r>
              <w:t>1017</w:t>
            </w:r>
          </w:p>
        </w:tc>
        <w:tc>
          <w:tcPr>
            <w:tcW w:w="1808" w:type="dxa"/>
          </w:tcPr>
          <w:p>
            <w:pPr>
              <w:pStyle w:val="yTableNAm"/>
            </w:pPr>
            <w:r>
              <w:t>25</w:t>
            </w:r>
          </w:p>
        </w:tc>
      </w:tr>
      <w:tr>
        <w:trPr>
          <w:cantSplit/>
        </w:trPr>
        <w:tc>
          <w:tcPr>
            <w:tcW w:w="2977" w:type="dxa"/>
          </w:tcPr>
          <w:p>
            <w:pPr>
              <w:pStyle w:val="yTableNAm"/>
            </w:pPr>
            <w:r>
              <w:t>DIOXINS</w:t>
            </w:r>
          </w:p>
        </w:tc>
        <w:tc>
          <w:tcPr>
            <w:tcW w:w="1843" w:type="dxa"/>
          </w:tcPr>
          <w:p>
            <w:pPr>
              <w:pStyle w:val="yTableNAm"/>
            </w:pPr>
            <w:r>
              <w:noBreakHyphen/>
            </w:r>
            <w:r>
              <w:noBreakHyphen/>
            </w:r>
            <w:r>
              <w:noBreakHyphen/>
            </w:r>
          </w:p>
        </w:tc>
        <w:tc>
          <w:tcPr>
            <w:tcW w:w="1808" w:type="dxa"/>
          </w:tcPr>
          <w:p>
            <w:pPr>
              <w:pStyle w:val="yTableNAm"/>
            </w:pPr>
            <w:r>
              <w:t>0.10</w:t>
            </w:r>
          </w:p>
        </w:tc>
      </w:tr>
      <w:tr>
        <w:trPr>
          <w:cantSplit/>
        </w:trPr>
        <w:tc>
          <w:tcPr>
            <w:tcW w:w="2977" w:type="dxa"/>
          </w:tcPr>
          <w:p>
            <w:pPr>
              <w:pStyle w:val="yTableNAm"/>
            </w:pPr>
            <w:r>
              <w:t>ETHYL NITRATE</w:t>
            </w:r>
          </w:p>
        </w:tc>
        <w:tc>
          <w:tcPr>
            <w:tcW w:w="1843" w:type="dxa"/>
          </w:tcPr>
          <w:p>
            <w:pPr>
              <w:pStyle w:val="yTableNAm"/>
            </w:pPr>
            <w:r>
              <w:noBreakHyphen/>
            </w:r>
            <w:r>
              <w:noBreakHyphen/>
            </w:r>
            <w:r>
              <w:noBreakHyphen/>
            </w:r>
          </w:p>
        </w:tc>
        <w:tc>
          <w:tcPr>
            <w:tcW w:w="1808" w:type="dxa"/>
          </w:tcPr>
          <w:p>
            <w:pPr>
              <w:pStyle w:val="yTableNAm"/>
            </w:pPr>
            <w:r>
              <w:t>50</w:t>
            </w:r>
          </w:p>
        </w:tc>
      </w:tr>
      <w:tr>
        <w:trPr>
          <w:cantSplit/>
        </w:trPr>
        <w:tc>
          <w:tcPr>
            <w:tcW w:w="2977" w:type="dxa"/>
          </w:tcPr>
          <w:p>
            <w:pPr>
              <w:pStyle w:val="yTableNAm"/>
            </w:pPr>
            <w:r>
              <w:t>ETHYLENE DIBROMIDE</w:t>
            </w:r>
          </w:p>
        </w:tc>
        <w:tc>
          <w:tcPr>
            <w:tcW w:w="1843" w:type="dxa"/>
          </w:tcPr>
          <w:p>
            <w:pPr>
              <w:pStyle w:val="yTableNAm"/>
            </w:pPr>
            <w:r>
              <w:t>1605</w:t>
            </w:r>
          </w:p>
        </w:tc>
        <w:tc>
          <w:tcPr>
            <w:tcW w:w="1808" w:type="dxa"/>
          </w:tcPr>
          <w:p>
            <w:pPr>
              <w:pStyle w:val="yTableNAm"/>
            </w:pPr>
            <w:r>
              <w:t>50</w:t>
            </w:r>
          </w:p>
        </w:tc>
      </w:tr>
      <w:tr>
        <w:trPr>
          <w:cantSplit/>
        </w:trPr>
        <w:tc>
          <w:tcPr>
            <w:tcW w:w="2977" w:type="dxa"/>
          </w:tcPr>
          <w:p>
            <w:pPr>
              <w:pStyle w:val="yTableNAm"/>
            </w:pPr>
            <w:r>
              <w:t>ETHYLENE OXIDE</w:t>
            </w:r>
          </w:p>
        </w:tc>
        <w:tc>
          <w:tcPr>
            <w:tcW w:w="1843" w:type="dxa"/>
          </w:tcPr>
          <w:p>
            <w:pPr>
              <w:pStyle w:val="yTableNAm"/>
            </w:pPr>
            <w:r>
              <w:t>1040</w:t>
            </w:r>
          </w:p>
        </w:tc>
        <w:tc>
          <w:tcPr>
            <w:tcW w:w="1808" w:type="dxa"/>
          </w:tcPr>
          <w:p>
            <w:pPr>
              <w:pStyle w:val="yTableNAm"/>
            </w:pPr>
            <w:r>
              <w:t>50</w:t>
            </w:r>
          </w:p>
        </w:tc>
      </w:tr>
      <w:tr>
        <w:trPr>
          <w:cantSplit/>
        </w:trPr>
        <w:tc>
          <w:tcPr>
            <w:tcW w:w="2977" w:type="dxa"/>
          </w:tcPr>
          <w:p>
            <w:pPr>
              <w:pStyle w:val="yTableNAm"/>
            </w:pPr>
            <w:r>
              <w:t>ETYLENEIMINE</w:t>
            </w:r>
          </w:p>
        </w:tc>
        <w:tc>
          <w:tcPr>
            <w:tcW w:w="1843" w:type="dxa"/>
          </w:tcPr>
          <w:p>
            <w:pPr>
              <w:pStyle w:val="yTableNAm"/>
            </w:pPr>
            <w:r>
              <w:t>1185</w:t>
            </w:r>
          </w:p>
        </w:tc>
        <w:tc>
          <w:tcPr>
            <w:tcW w:w="1808" w:type="dxa"/>
          </w:tcPr>
          <w:p>
            <w:pPr>
              <w:pStyle w:val="yTableNAm"/>
            </w:pPr>
            <w:r>
              <w:t>50</w:t>
            </w:r>
          </w:p>
        </w:tc>
      </w:tr>
      <w:tr>
        <w:trPr>
          <w:cantSplit/>
        </w:trPr>
        <w:tc>
          <w:tcPr>
            <w:tcW w:w="2977" w:type="dxa"/>
          </w:tcPr>
          <w:p>
            <w:pPr>
              <w:pStyle w:val="yTableNAm"/>
            </w:pPr>
            <w:r>
              <w:t>FLUORINE</w:t>
            </w:r>
          </w:p>
        </w:tc>
        <w:tc>
          <w:tcPr>
            <w:tcW w:w="1843" w:type="dxa"/>
          </w:tcPr>
          <w:p>
            <w:pPr>
              <w:pStyle w:val="yTableNAm"/>
            </w:pPr>
            <w:r>
              <w:t>1045</w:t>
            </w:r>
          </w:p>
        </w:tc>
        <w:tc>
          <w:tcPr>
            <w:tcW w:w="1808" w:type="dxa"/>
          </w:tcPr>
          <w:p>
            <w:pPr>
              <w:pStyle w:val="yTableNAm"/>
            </w:pPr>
            <w:r>
              <w:t>25</w:t>
            </w:r>
          </w:p>
        </w:tc>
      </w:tr>
      <w:tr>
        <w:trPr>
          <w:cantSplit/>
        </w:trPr>
        <w:tc>
          <w:tcPr>
            <w:tcW w:w="2977" w:type="dxa"/>
          </w:tcPr>
          <w:p>
            <w:pPr>
              <w:pStyle w:val="yTableNAm"/>
            </w:pPr>
            <w:r>
              <w:t>FORMALDEHYDE</w:t>
            </w:r>
          </w:p>
        </w:tc>
        <w:tc>
          <w:tcPr>
            <w:tcW w:w="1843" w:type="dxa"/>
          </w:tcPr>
          <w:p>
            <w:pPr>
              <w:pStyle w:val="yTableNAm"/>
            </w:pPr>
            <w:r>
              <w:t>1198 or 2209</w:t>
            </w:r>
          </w:p>
        </w:tc>
        <w:tc>
          <w:tcPr>
            <w:tcW w:w="1808" w:type="dxa"/>
          </w:tcPr>
          <w:p>
            <w:pPr>
              <w:pStyle w:val="yTableNAm"/>
            </w:pPr>
            <w:r>
              <w:t>50</w:t>
            </w:r>
          </w:p>
        </w:tc>
      </w:tr>
      <w:tr>
        <w:trPr>
          <w:cantSplit/>
        </w:trPr>
        <w:tc>
          <w:tcPr>
            <w:tcW w:w="2977" w:type="dxa"/>
          </w:tcPr>
          <w:p>
            <w:pPr>
              <w:pStyle w:val="yTableNAm"/>
            </w:pPr>
            <w:r>
              <w:t>HYDROFLUORIC ACID SOLUTION, greater than 50%</w:t>
            </w:r>
          </w:p>
        </w:tc>
        <w:tc>
          <w:tcPr>
            <w:tcW w:w="1843" w:type="dxa"/>
          </w:tcPr>
          <w:p>
            <w:pPr>
              <w:pStyle w:val="yTableNAm"/>
            </w:pPr>
            <w:r>
              <w:t>1790</w:t>
            </w:r>
          </w:p>
        </w:tc>
        <w:tc>
          <w:tcPr>
            <w:tcW w:w="1808" w:type="dxa"/>
          </w:tcPr>
          <w:p>
            <w:pPr>
              <w:pStyle w:val="yTableNAm"/>
            </w:pPr>
            <w:r>
              <w:t>50</w:t>
            </w:r>
          </w:p>
        </w:tc>
      </w:tr>
      <w:tr>
        <w:trPr>
          <w:cantSplit/>
        </w:trPr>
        <w:tc>
          <w:tcPr>
            <w:tcW w:w="2977" w:type="dxa"/>
          </w:tcPr>
          <w:p>
            <w:pPr>
              <w:pStyle w:val="yTableNAm"/>
            </w:pPr>
            <w:r>
              <w:t>HYDROGEN</w:t>
            </w:r>
          </w:p>
        </w:tc>
        <w:tc>
          <w:tcPr>
            <w:tcW w:w="1843" w:type="dxa"/>
          </w:tcPr>
          <w:p>
            <w:pPr>
              <w:pStyle w:val="yTableNAm"/>
            </w:pPr>
            <w:r>
              <w:t>1049</w:t>
            </w:r>
          </w:p>
        </w:tc>
        <w:tc>
          <w:tcPr>
            <w:tcW w:w="1808" w:type="dxa"/>
          </w:tcPr>
          <w:p>
            <w:pPr>
              <w:pStyle w:val="yTableNAm"/>
            </w:pPr>
            <w:r>
              <w:t>50</w:t>
            </w:r>
          </w:p>
        </w:tc>
      </w:tr>
      <w:tr>
        <w:trPr>
          <w:cantSplit/>
        </w:trPr>
        <w:tc>
          <w:tcPr>
            <w:tcW w:w="2977" w:type="dxa"/>
          </w:tcPr>
          <w:p>
            <w:pPr>
              <w:pStyle w:val="yTableNAm"/>
            </w:pPr>
            <w:r>
              <w:t>HYDROGEN CHLORIDE, anhydrous</w:t>
            </w:r>
          </w:p>
        </w:tc>
        <w:tc>
          <w:tcPr>
            <w:tcW w:w="1843" w:type="dxa"/>
          </w:tcPr>
          <w:p>
            <w:pPr>
              <w:pStyle w:val="yTableNAm"/>
            </w:pPr>
            <w:r>
              <w:t>1050</w:t>
            </w:r>
          </w:p>
        </w:tc>
        <w:tc>
          <w:tcPr>
            <w:tcW w:w="1808" w:type="dxa"/>
          </w:tcPr>
          <w:p>
            <w:pPr>
              <w:pStyle w:val="yTableNAm"/>
            </w:pPr>
            <w:r>
              <w:t>250</w:t>
            </w:r>
          </w:p>
        </w:tc>
      </w:tr>
      <w:tr>
        <w:trPr>
          <w:cantSplit/>
        </w:trPr>
        <w:tc>
          <w:tcPr>
            <w:tcW w:w="2977" w:type="dxa"/>
          </w:tcPr>
          <w:p>
            <w:pPr>
              <w:pStyle w:val="yTableNAm"/>
            </w:pPr>
            <w:r>
              <w:t>HYDROGEN CHLORIDE, refrigerated liquid</w:t>
            </w:r>
          </w:p>
        </w:tc>
        <w:tc>
          <w:tcPr>
            <w:tcW w:w="1843" w:type="dxa"/>
          </w:tcPr>
          <w:p>
            <w:pPr>
              <w:pStyle w:val="yTableNAm"/>
            </w:pPr>
            <w:r>
              <w:t>2186</w:t>
            </w:r>
          </w:p>
        </w:tc>
        <w:tc>
          <w:tcPr>
            <w:tcW w:w="1808" w:type="dxa"/>
          </w:tcPr>
          <w:p>
            <w:pPr>
              <w:pStyle w:val="yTableNAm"/>
            </w:pPr>
            <w:r>
              <w:t>250</w:t>
            </w:r>
          </w:p>
        </w:tc>
      </w:tr>
      <w:tr>
        <w:trPr>
          <w:cantSplit/>
        </w:trPr>
        <w:tc>
          <w:tcPr>
            <w:tcW w:w="2977" w:type="dxa"/>
          </w:tcPr>
          <w:p>
            <w:pPr>
              <w:pStyle w:val="yTableNAm"/>
            </w:pPr>
            <w:r>
              <w:t>HYDROGEN CYANIDE</w:t>
            </w:r>
          </w:p>
        </w:tc>
        <w:tc>
          <w:tcPr>
            <w:tcW w:w="1843" w:type="dxa"/>
          </w:tcPr>
          <w:p>
            <w:pPr>
              <w:pStyle w:val="yTableNAm"/>
            </w:pPr>
            <w:r>
              <w:t>1051 or 1614</w:t>
            </w:r>
          </w:p>
        </w:tc>
        <w:tc>
          <w:tcPr>
            <w:tcW w:w="1808" w:type="dxa"/>
          </w:tcPr>
          <w:p>
            <w:pPr>
              <w:pStyle w:val="yTableNAm"/>
            </w:pPr>
            <w:r>
              <w:t>20</w:t>
            </w:r>
          </w:p>
        </w:tc>
      </w:tr>
      <w:tr>
        <w:trPr>
          <w:cantSplit/>
        </w:trPr>
        <w:tc>
          <w:tcPr>
            <w:tcW w:w="2977" w:type="dxa"/>
          </w:tcPr>
          <w:p>
            <w:pPr>
              <w:pStyle w:val="yTableNAm"/>
            </w:pPr>
            <w:r>
              <w:t>HYDROGEN FLUORIDE</w:t>
            </w:r>
          </w:p>
        </w:tc>
        <w:tc>
          <w:tcPr>
            <w:tcW w:w="1843" w:type="dxa"/>
          </w:tcPr>
          <w:p>
            <w:pPr>
              <w:pStyle w:val="yTableNAm"/>
            </w:pPr>
            <w:r>
              <w:t>1052</w:t>
            </w:r>
          </w:p>
        </w:tc>
        <w:tc>
          <w:tcPr>
            <w:tcW w:w="1808" w:type="dxa"/>
          </w:tcPr>
          <w:p>
            <w:pPr>
              <w:pStyle w:val="yTableNAm"/>
            </w:pPr>
            <w:r>
              <w:t>50</w:t>
            </w:r>
          </w:p>
        </w:tc>
      </w:tr>
      <w:tr>
        <w:trPr>
          <w:cantSplit/>
        </w:trPr>
        <w:tc>
          <w:tcPr>
            <w:tcW w:w="2977" w:type="dxa"/>
          </w:tcPr>
          <w:p>
            <w:pPr>
              <w:pStyle w:val="yTableNAm"/>
            </w:pPr>
            <w:r>
              <w:t>HYDROGEN SULFIDE</w:t>
            </w:r>
          </w:p>
        </w:tc>
        <w:tc>
          <w:tcPr>
            <w:tcW w:w="1843" w:type="dxa"/>
          </w:tcPr>
          <w:p>
            <w:pPr>
              <w:pStyle w:val="yTableNAm"/>
            </w:pPr>
            <w:r>
              <w:t>1053</w:t>
            </w:r>
          </w:p>
        </w:tc>
        <w:tc>
          <w:tcPr>
            <w:tcW w:w="1808" w:type="dxa"/>
          </w:tcPr>
          <w:p>
            <w:pPr>
              <w:pStyle w:val="yTableNAm"/>
            </w:pPr>
            <w:r>
              <w:t>50</w:t>
            </w:r>
          </w:p>
        </w:tc>
      </w:tr>
      <w:tr>
        <w:trPr>
          <w:cantSplit/>
        </w:trPr>
        <w:tc>
          <w:tcPr>
            <w:tcW w:w="2977" w:type="dxa"/>
          </w:tcPr>
          <w:p>
            <w:pPr>
              <w:pStyle w:val="yTableNAm"/>
            </w:pPr>
            <w:r>
              <w:t>LP GASES</w:t>
            </w:r>
          </w:p>
        </w:tc>
        <w:tc>
          <w:tcPr>
            <w:tcW w:w="1843" w:type="dxa"/>
          </w:tcPr>
          <w:p>
            <w:pPr>
              <w:pStyle w:val="yTableNAm"/>
            </w:pPr>
            <w:r>
              <w:t>1011, 1012, 1075, 1978 or 1077</w:t>
            </w:r>
          </w:p>
        </w:tc>
        <w:tc>
          <w:tcPr>
            <w:tcW w:w="1808" w:type="dxa"/>
          </w:tcPr>
          <w:p>
            <w:pPr>
              <w:pStyle w:val="yTableNAm"/>
            </w:pPr>
            <w:r>
              <w:t>200</w:t>
            </w:r>
          </w:p>
        </w:tc>
      </w:tr>
      <w:tr>
        <w:trPr>
          <w:cantSplit/>
        </w:trPr>
        <w:tc>
          <w:tcPr>
            <w:tcW w:w="2977" w:type="dxa"/>
          </w:tcPr>
          <w:p>
            <w:pPr>
              <w:pStyle w:val="yTableNAm"/>
            </w:pPr>
            <w:r>
              <w:t>METHYL BROMIDE</w:t>
            </w:r>
          </w:p>
        </w:tc>
        <w:tc>
          <w:tcPr>
            <w:tcW w:w="1843" w:type="dxa"/>
          </w:tcPr>
          <w:p>
            <w:pPr>
              <w:pStyle w:val="yTableNAm"/>
            </w:pPr>
            <w:r>
              <w:t>1062</w:t>
            </w:r>
          </w:p>
        </w:tc>
        <w:tc>
          <w:tcPr>
            <w:tcW w:w="1808" w:type="dxa"/>
          </w:tcPr>
          <w:p>
            <w:pPr>
              <w:pStyle w:val="yTableNAm"/>
            </w:pPr>
            <w:r>
              <w:t>200</w:t>
            </w:r>
          </w:p>
        </w:tc>
      </w:tr>
      <w:tr>
        <w:trPr>
          <w:cantSplit/>
        </w:trPr>
        <w:tc>
          <w:tcPr>
            <w:tcW w:w="2977" w:type="dxa"/>
          </w:tcPr>
          <w:p>
            <w:pPr>
              <w:pStyle w:val="yTableNAm"/>
            </w:pPr>
            <w:r>
              <w:t>METHANE or NATURAL GAS</w:t>
            </w:r>
          </w:p>
        </w:tc>
        <w:tc>
          <w:tcPr>
            <w:tcW w:w="1843" w:type="dxa"/>
          </w:tcPr>
          <w:p>
            <w:pPr>
              <w:pStyle w:val="yTableNAm"/>
            </w:pPr>
            <w:r>
              <w:t>1971 or 1972</w:t>
            </w:r>
          </w:p>
        </w:tc>
        <w:tc>
          <w:tcPr>
            <w:tcW w:w="1808" w:type="dxa"/>
          </w:tcPr>
          <w:p>
            <w:pPr>
              <w:pStyle w:val="yTableNAm"/>
            </w:pPr>
            <w:r>
              <w:t>200</w:t>
            </w:r>
          </w:p>
        </w:tc>
      </w:tr>
      <w:tr>
        <w:trPr>
          <w:cantSplit/>
        </w:trPr>
        <w:tc>
          <w:tcPr>
            <w:tcW w:w="2977" w:type="dxa"/>
          </w:tcPr>
          <w:p>
            <w:pPr>
              <w:pStyle w:val="yTableNAm"/>
            </w:pPr>
            <w:r>
              <w:t>METHYL ISOCYANATE</w:t>
            </w:r>
          </w:p>
        </w:tc>
        <w:tc>
          <w:tcPr>
            <w:tcW w:w="1843" w:type="dxa"/>
          </w:tcPr>
          <w:p>
            <w:pPr>
              <w:pStyle w:val="yTableNAm"/>
            </w:pPr>
            <w:r>
              <w:t>2480</w:t>
            </w:r>
          </w:p>
        </w:tc>
        <w:tc>
          <w:tcPr>
            <w:tcW w:w="1808" w:type="dxa"/>
          </w:tcPr>
          <w:p>
            <w:pPr>
              <w:pStyle w:val="yTableNAm"/>
            </w:pPr>
            <w:r>
              <w:t>0.15</w:t>
            </w:r>
          </w:p>
        </w:tc>
      </w:tr>
      <w:tr>
        <w:trPr>
          <w:cantSplit/>
        </w:trPr>
        <w:tc>
          <w:tcPr>
            <w:tcW w:w="2977" w:type="dxa"/>
          </w:tcPr>
          <w:p>
            <w:pPr>
              <w:pStyle w:val="yTableNAm"/>
            </w:pPr>
            <w:r>
              <w:t>OXIDES OF NITROGEN, including nitrous oxide, nitrogen dioxide and nitrogen trioxide</w:t>
            </w:r>
          </w:p>
        </w:tc>
        <w:tc>
          <w:tcPr>
            <w:tcW w:w="1843" w:type="dxa"/>
          </w:tcPr>
          <w:p>
            <w:pPr>
              <w:pStyle w:val="yTableNAm"/>
            </w:pPr>
            <w:r>
              <w:t>1067, 1070, 1660, 1975, 2201 or 2421</w:t>
            </w:r>
          </w:p>
        </w:tc>
        <w:tc>
          <w:tcPr>
            <w:tcW w:w="1808" w:type="dxa"/>
          </w:tcPr>
          <w:p>
            <w:pPr>
              <w:pStyle w:val="yTableNAm"/>
            </w:pPr>
            <w:r>
              <w:t>50</w:t>
            </w:r>
          </w:p>
        </w:tc>
      </w:tr>
      <w:tr>
        <w:trPr>
          <w:cantSplit/>
        </w:trPr>
        <w:tc>
          <w:tcPr>
            <w:tcW w:w="2977" w:type="dxa"/>
          </w:tcPr>
          <w:p>
            <w:pPr>
              <w:pStyle w:val="yTableNAm"/>
            </w:pPr>
            <w:r>
              <w:t>OXYGEN</w:t>
            </w:r>
          </w:p>
        </w:tc>
        <w:tc>
          <w:tcPr>
            <w:tcW w:w="1843" w:type="dxa"/>
          </w:tcPr>
          <w:p>
            <w:pPr>
              <w:pStyle w:val="yTableNAm"/>
            </w:pPr>
            <w:r>
              <w:t>1072 or 1073</w:t>
            </w:r>
          </w:p>
        </w:tc>
        <w:tc>
          <w:tcPr>
            <w:tcW w:w="1808" w:type="dxa"/>
          </w:tcPr>
          <w:p>
            <w:pPr>
              <w:pStyle w:val="yTableNAm"/>
            </w:pPr>
            <w:r>
              <w:t>2 000</w:t>
            </w:r>
          </w:p>
        </w:tc>
      </w:tr>
      <w:tr>
        <w:trPr>
          <w:cantSplit/>
        </w:trPr>
        <w:tc>
          <w:tcPr>
            <w:tcW w:w="2977" w:type="dxa"/>
          </w:tcPr>
          <w:p>
            <w:pPr>
              <w:pStyle w:val="yTableNAm"/>
            </w:pPr>
            <w:r>
              <w:t>PHOSGENE</w:t>
            </w:r>
          </w:p>
        </w:tc>
        <w:tc>
          <w:tcPr>
            <w:tcW w:w="1843" w:type="dxa"/>
          </w:tcPr>
          <w:p>
            <w:pPr>
              <w:pStyle w:val="yTableNAm"/>
            </w:pPr>
            <w:r>
              <w:t>1076</w:t>
            </w:r>
          </w:p>
        </w:tc>
        <w:tc>
          <w:tcPr>
            <w:tcW w:w="1808" w:type="dxa"/>
          </w:tcPr>
          <w:p>
            <w:pPr>
              <w:pStyle w:val="yTableNAm"/>
            </w:pPr>
            <w:r>
              <w:t>0.75</w:t>
            </w:r>
          </w:p>
        </w:tc>
      </w:tr>
      <w:tr>
        <w:trPr>
          <w:cantSplit/>
        </w:trPr>
        <w:tc>
          <w:tcPr>
            <w:tcW w:w="2977" w:type="dxa"/>
          </w:tcPr>
          <w:p>
            <w:pPr>
              <w:pStyle w:val="yTableNAm"/>
            </w:pPr>
            <w:r>
              <w:t>PROPYLENEIMINE</w:t>
            </w:r>
          </w:p>
        </w:tc>
        <w:tc>
          <w:tcPr>
            <w:tcW w:w="1843" w:type="dxa"/>
          </w:tcPr>
          <w:p>
            <w:pPr>
              <w:pStyle w:val="yTableNAm"/>
            </w:pPr>
            <w:r>
              <w:t>1921</w:t>
            </w:r>
          </w:p>
        </w:tc>
        <w:tc>
          <w:tcPr>
            <w:tcW w:w="1808" w:type="dxa"/>
          </w:tcPr>
          <w:p>
            <w:pPr>
              <w:pStyle w:val="yTableNAm"/>
            </w:pPr>
            <w:r>
              <w:t>200</w:t>
            </w:r>
          </w:p>
        </w:tc>
      </w:tr>
      <w:tr>
        <w:trPr>
          <w:cantSplit/>
        </w:trPr>
        <w:tc>
          <w:tcPr>
            <w:tcW w:w="2977" w:type="dxa"/>
          </w:tcPr>
          <w:p>
            <w:pPr>
              <w:pStyle w:val="yTableNAm"/>
            </w:pPr>
            <w:r>
              <w:t>PROPYLENE OXIDE</w:t>
            </w:r>
          </w:p>
        </w:tc>
        <w:tc>
          <w:tcPr>
            <w:tcW w:w="1843" w:type="dxa"/>
          </w:tcPr>
          <w:p>
            <w:pPr>
              <w:pStyle w:val="yTableNAm"/>
            </w:pPr>
            <w:r>
              <w:t>1280</w:t>
            </w:r>
          </w:p>
        </w:tc>
        <w:tc>
          <w:tcPr>
            <w:tcW w:w="1808" w:type="dxa"/>
          </w:tcPr>
          <w:p>
            <w:pPr>
              <w:pStyle w:val="yTableNAm"/>
            </w:pPr>
            <w:r>
              <w:t>50</w:t>
            </w:r>
          </w:p>
        </w:tc>
      </w:tr>
      <w:tr>
        <w:trPr>
          <w:cantSplit/>
        </w:trPr>
        <w:tc>
          <w:tcPr>
            <w:tcW w:w="2977" w:type="dxa"/>
          </w:tcPr>
          <w:p>
            <w:pPr>
              <w:pStyle w:val="yTableNAm"/>
            </w:pPr>
            <w:r>
              <w:t>SODIUM CHLORATE, solid</w:t>
            </w:r>
          </w:p>
        </w:tc>
        <w:tc>
          <w:tcPr>
            <w:tcW w:w="1843" w:type="dxa"/>
          </w:tcPr>
          <w:p>
            <w:pPr>
              <w:pStyle w:val="yTableNAm"/>
            </w:pPr>
            <w:r>
              <w:t>1495</w:t>
            </w:r>
          </w:p>
        </w:tc>
        <w:tc>
          <w:tcPr>
            <w:tcW w:w="1808" w:type="dxa"/>
          </w:tcPr>
          <w:p>
            <w:pPr>
              <w:pStyle w:val="yTableNAm"/>
            </w:pPr>
            <w:r>
              <w:t>200</w:t>
            </w:r>
          </w:p>
        </w:tc>
      </w:tr>
      <w:tr>
        <w:trPr>
          <w:cantSplit/>
        </w:trPr>
        <w:tc>
          <w:tcPr>
            <w:tcW w:w="2977" w:type="dxa"/>
          </w:tcPr>
          <w:p>
            <w:pPr>
              <w:pStyle w:val="yTableNAm"/>
            </w:pPr>
            <w:r>
              <w:t>SULFURIC ANHYDRIDE (or SULFUR TRIOXIDE)</w:t>
            </w:r>
          </w:p>
        </w:tc>
        <w:tc>
          <w:tcPr>
            <w:tcW w:w="1843" w:type="dxa"/>
          </w:tcPr>
          <w:p>
            <w:pPr>
              <w:pStyle w:val="yTableNAm"/>
            </w:pPr>
            <w:r>
              <w:t>1829</w:t>
            </w:r>
          </w:p>
        </w:tc>
        <w:tc>
          <w:tcPr>
            <w:tcW w:w="1808" w:type="dxa"/>
          </w:tcPr>
          <w:p>
            <w:pPr>
              <w:pStyle w:val="yTableNAm"/>
            </w:pPr>
            <w:r>
              <w:t>75</w:t>
            </w:r>
          </w:p>
        </w:tc>
      </w:tr>
      <w:tr>
        <w:trPr>
          <w:cantSplit/>
        </w:trPr>
        <w:tc>
          <w:tcPr>
            <w:tcW w:w="2977" w:type="dxa"/>
          </w:tcPr>
          <w:p>
            <w:pPr>
              <w:pStyle w:val="yTableNAm"/>
            </w:pPr>
            <w:r>
              <w:t>SULFUR DICHLORIDE</w:t>
            </w:r>
          </w:p>
        </w:tc>
        <w:tc>
          <w:tcPr>
            <w:tcW w:w="1843" w:type="dxa"/>
          </w:tcPr>
          <w:p>
            <w:pPr>
              <w:pStyle w:val="yTableNAm"/>
            </w:pPr>
            <w:r>
              <w:t>1828</w:t>
            </w:r>
          </w:p>
        </w:tc>
        <w:tc>
          <w:tcPr>
            <w:tcW w:w="1808" w:type="dxa"/>
          </w:tcPr>
          <w:p>
            <w:pPr>
              <w:pStyle w:val="yTableNAm"/>
            </w:pPr>
            <w:r>
              <w:t>1</w:t>
            </w:r>
          </w:p>
        </w:tc>
      </w:tr>
      <w:tr>
        <w:trPr>
          <w:cantSplit/>
        </w:trPr>
        <w:tc>
          <w:tcPr>
            <w:tcW w:w="2977" w:type="dxa"/>
          </w:tcPr>
          <w:p>
            <w:pPr>
              <w:pStyle w:val="yTableNAm"/>
            </w:pPr>
            <w:r>
              <w:t>SULFUR DIOXIDE, liquefied</w:t>
            </w:r>
          </w:p>
        </w:tc>
        <w:tc>
          <w:tcPr>
            <w:tcW w:w="1843" w:type="dxa"/>
          </w:tcPr>
          <w:p>
            <w:pPr>
              <w:pStyle w:val="yTableNAm"/>
            </w:pPr>
            <w:r>
              <w:t>1079</w:t>
            </w:r>
          </w:p>
        </w:tc>
        <w:tc>
          <w:tcPr>
            <w:tcW w:w="1808" w:type="dxa"/>
          </w:tcPr>
          <w:p>
            <w:pPr>
              <w:pStyle w:val="yTableNAm"/>
            </w:pPr>
            <w:r>
              <w:t>200</w:t>
            </w:r>
          </w:p>
        </w:tc>
      </w:tr>
      <w:tr>
        <w:trPr>
          <w:cantSplit/>
        </w:trPr>
        <w:tc>
          <w:tcPr>
            <w:tcW w:w="2977" w:type="dxa"/>
          </w:tcPr>
          <w:p>
            <w:pPr>
              <w:pStyle w:val="yTableNAm"/>
            </w:pPr>
            <w:r>
              <w:t xml:space="preserve">TITANIUM TETRACHLORIDE </w:t>
            </w:r>
          </w:p>
        </w:tc>
        <w:tc>
          <w:tcPr>
            <w:tcW w:w="1843" w:type="dxa"/>
          </w:tcPr>
          <w:p>
            <w:pPr>
              <w:pStyle w:val="yTableNAm"/>
            </w:pPr>
            <w:r>
              <w:t>1838</w:t>
            </w:r>
          </w:p>
        </w:tc>
        <w:tc>
          <w:tcPr>
            <w:tcW w:w="1808" w:type="dxa"/>
          </w:tcPr>
          <w:p>
            <w:pPr>
              <w:pStyle w:val="yTableNAm"/>
            </w:pPr>
            <w:r>
              <w:t>500</w:t>
            </w:r>
          </w:p>
        </w:tc>
      </w:tr>
      <w:tr>
        <w:trPr>
          <w:cantSplit/>
        </w:trPr>
        <w:tc>
          <w:tcPr>
            <w:tcW w:w="2977" w:type="dxa"/>
            <w:tcBorders>
              <w:bottom w:val="single" w:sz="4" w:space="0" w:color="auto"/>
            </w:tcBorders>
          </w:tcPr>
          <w:p>
            <w:pPr>
              <w:pStyle w:val="yTableNAm"/>
            </w:pPr>
            <w:r>
              <w:t>TOLUENE DIISOCYANATE</w:t>
            </w:r>
          </w:p>
        </w:tc>
        <w:tc>
          <w:tcPr>
            <w:tcW w:w="1843" w:type="dxa"/>
            <w:tcBorders>
              <w:bottom w:val="single" w:sz="4" w:space="0" w:color="auto"/>
            </w:tcBorders>
          </w:tcPr>
          <w:p>
            <w:pPr>
              <w:pStyle w:val="yTableNAm"/>
            </w:pPr>
            <w:r>
              <w:t>2078</w:t>
            </w:r>
          </w:p>
        </w:tc>
        <w:tc>
          <w:tcPr>
            <w:tcW w:w="1808" w:type="dxa"/>
            <w:tcBorders>
              <w:bottom w:val="single" w:sz="4" w:space="0" w:color="auto"/>
            </w:tcBorders>
          </w:tcPr>
          <w:p>
            <w:pPr>
              <w:pStyle w:val="yTableNAm"/>
            </w:pPr>
            <w:r>
              <w:t>200</w:t>
            </w:r>
          </w:p>
        </w:tc>
      </w:tr>
    </w:tbl>
    <w:p>
      <w:pPr>
        <w:pStyle w:val="yFootnotesection"/>
      </w:pPr>
      <w:r>
        <w:tab/>
        <w:t>[Clause 1 amended in Gazette 22 Jun 2010 p. 2783.]</w:t>
      </w:r>
    </w:p>
    <w:p>
      <w:pPr>
        <w:pStyle w:val="yHeading5"/>
      </w:pPr>
      <w:bookmarkStart w:id="103" w:name="_Toc319594279"/>
      <w:bookmarkStart w:id="104" w:name="_Toc264888004"/>
      <w:r>
        <w:rPr>
          <w:rStyle w:val="CharSClsNo"/>
        </w:rPr>
        <w:t>2</w:t>
      </w:r>
      <w:r>
        <w:t>.</w:t>
      </w:r>
      <w:r>
        <w:tab/>
        <w:t>Threshold quantity for categories of substances</w:t>
      </w:r>
      <w:bookmarkEnd w:id="103"/>
      <w:bookmarkEnd w:id="104"/>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pPr>
            <w:r>
              <w:t>Category of substances</w:t>
            </w:r>
          </w:p>
        </w:tc>
        <w:tc>
          <w:tcPr>
            <w:tcW w:w="1950" w:type="dxa"/>
            <w:tcBorders>
              <w:top w:val="single" w:sz="4" w:space="0" w:color="auto"/>
              <w:bottom w:val="single" w:sz="4" w:space="0" w:color="auto"/>
            </w:tcBorders>
          </w:tcPr>
          <w:p>
            <w:pPr>
              <w:pStyle w:val="yTableNAm"/>
            </w:pPr>
            <w: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2"/>
          <w:headerReference w:type="default" r:id="rId23"/>
          <w:footerReference w:type="even" r:id="rId24"/>
          <w:footerReference w:type="default" r:id="rId25"/>
          <w:endnotePr>
            <w:numFmt w:val="decimal"/>
          </w:endnotePr>
          <w:pgSz w:w="11907" w:h="16840" w:code="9"/>
          <w:pgMar w:top="2381" w:right="2410" w:bottom="3544" w:left="2410" w:header="720" w:footer="3544" w:gutter="0"/>
          <w:cols w:space="720"/>
        </w:sectPr>
      </w:pPr>
    </w:p>
    <w:p>
      <w:pPr>
        <w:pStyle w:val="yScheduleHeading"/>
      </w:pPr>
      <w:bookmarkStart w:id="105" w:name="_Toc191980806"/>
      <w:bookmarkStart w:id="106" w:name="_Toc233693245"/>
      <w:bookmarkStart w:id="107" w:name="_Toc264887933"/>
      <w:bookmarkStart w:id="108" w:name="_Toc264888005"/>
      <w:bookmarkStart w:id="109" w:name="_Toc319594280"/>
      <w:r>
        <w:rPr>
          <w:rStyle w:val="CharSchNo"/>
        </w:rPr>
        <w:t>Schedule 2</w:t>
      </w:r>
      <w:r>
        <w:rPr>
          <w:rStyle w:val="CharSDivNo"/>
        </w:rPr>
        <w:t> </w:t>
      </w:r>
      <w:r>
        <w:t>—</w:t>
      </w:r>
      <w:r>
        <w:rPr>
          <w:rStyle w:val="CharSDivText"/>
        </w:rPr>
        <w:t> </w:t>
      </w:r>
      <w:r>
        <w:rPr>
          <w:rStyle w:val="CharSchText"/>
        </w:rPr>
        <w:t>Notifiable information</w:t>
      </w:r>
      <w:bookmarkEnd w:id="105"/>
      <w:bookmarkEnd w:id="106"/>
      <w:bookmarkEnd w:id="107"/>
      <w:bookmarkEnd w:id="108"/>
      <w:bookmarkEnd w:id="109"/>
    </w:p>
    <w:p>
      <w:pPr>
        <w:pStyle w:val="yShoulderClause"/>
      </w:pPr>
      <w:r>
        <w:t>[r. 4]</w:t>
      </w:r>
    </w:p>
    <w:p>
      <w:pPr>
        <w:pStyle w:val="yHeading5"/>
      </w:pPr>
      <w:bookmarkStart w:id="110" w:name="_Toc319594281"/>
      <w:bookmarkStart w:id="111" w:name="_Toc264888006"/>
      <w:r>
        <w:rPr>
          <w:rStyle w:val="CharSClsNo"/>
        </w:rPr>
        <w:t>1</w:t>
      </w:r>
      <w:r>
        <w:t>.</w:t>
      </w:r>
      <w:r>
        <w:tab/>
        <w:t>“Material safety data sheet”, meaning of</w:t>
      </w:r>
      <w:bookmarkEnd w:id="110"/>
      <w:bookmarkEnd w:id="111"/>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12" w:name="_Toc319594282"/>
      <w:bookmarkStart w:id="113" w:name="_Toc264888007"/>
      <w:r>
        <w:rPr>
          <w:rStyle w:val="CharSClsNo"/>
        </w:rPr>
        <w:t>2</w:t>
      </w:r>
      <w:r>
        <w:t>.</w:t>
      </w:r>
      <w:r>
        <w:tab/>
        <w:t>Notifiable information</w:t>
      </w:r>
      <w:bookmarkEnd w:id="112"/>
      <w:bookmarkEnd w:id="113"/>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14" w:name="_Toc191980809"/>
      <w:bookmarkStart w:id="115" w:name="_Toc233693248"/>
      <w:bookmarkStart w:id="116" w:name="_Toc264887936"/>
      <w:bookmarkStart w:id="117" w:name="_Toc264888008"/>
      <w:bookmarkStart w:id="118" w:name="_Toc319594283"/>
      <w:r>
        <w:rPr>
          <w:rStyle w:val="CharSchNo"/>
        </w:rPr>
        <w:t>Schedule 3</w:t>
      </w:r>
      <w:r>
        <w:rPr>
          <w:rStyle w:val="CharSDivNo"/>
        </w:rPr>
        <w:t> </w:t>
      </w:r>
      <w:r>
        <w:t>—</w:t>
      </w:r>
      <w:r>
        <w:rPr>
          <w:rStyle w:val="CharSDivText"/>
        </w:rPr>
        <w:t> </w:t>
      </w:r>
      <w:r>
        <w:rPr>
          <w:rStyle w:val="CharSchText"/>
        </w:rPr>
        <w:t>Fees</w:t>
      </w:r>
      <w:bookmarkEnd w:id="114"/>
      <w:bookmarkEnd w:id="115"/>
      <w:bookmarkEnd w:id="116"/>
      <w:bookmarkEnd w:id="117"/>
      <w:bookmarkEnd w:id="118"/>
    </w:p>
    <w:p>
      <w:pPr>
        <w:pStyle w:val="yShoulderClause"/>
      </w:pPr>
      <w:r>
        <w:t>[r. 26]</w:t>
      </w:r>
    </w:p>
    <w:p>
      <w:pPr>
        <w:pStyle w:val="yHeading5"/>
      </w:pPr>
      <w:bookmarkStart w:id="119" w:name="_Toc319594284"/>
      <w:bookmarkStart w:id="120" w:name="_Toc264888009"/>
      <w:r>
        <w:rPr>
          <w:rStyle w:val="CharSClsNo"/>
        </w:rPr>
        <w:t>1</w:t>
      </w:r>
      <w:r>
        <w:t>.</w:t>
      </w:r>
      <w:r>
        <w:tab/>
        <w:t>Fees</w:t>
      </w:r>
      <w:bookmarkEnd w:id="119"/>
      <w:bookmarkEnd w:id="120"/>
    </w:p>
    <w:p>
      <w:pPr>
        <w:pStyle w:val="ySubsection"/>
      </w:pPr>
      <w:r>
        <w:tab/>
        <w:t>(1)</w:t>
      </w:r>
      <w:r>
        <w:tab/>
        <w:t xml:space="preserve">In this Schedule — </w:t>
      </w:r>
    </w:p>
    <w:p>
      <w:pPr>
        <w:pStyle w:val="yDefstart"/>
      </w:pPr>
      <w:r>
        <w:rPr>
          <w:b/>
        </w:rPr>
        <w:tab/>
      </w:r>
      <w:r>
        <w:rPr>
          <w:rStyle w:val="CharDefText"/>
        </w:rPr>
        <w:t>Class A facility</w:t>
      </w:r>
      <w:r>
        <w:t xml:space="preserve"> means a facility at which Schedule 1 substances are used in, or produced by means of, an industrial production process that the Chief Officer determines is a process of high complexity;</w:t>
      </w:r>
    </w:p>
    <w:p>
      <w:pPr>
        <w:pStyle w:val="yDefstart"/>
      </w:pPr>
      <w:r>
        <w:rPr>
          <w:b/>
        </w:rPr>
        <w:tab/>
      </w:r>
      <w:r>
        <w:rPr>
          <w:rStyle w:val="CharDefText"/>
        </w:rPr>
        <w:t>Class B facility</w:t>
      </w:r>
      <w:r>
        <w:t xml:space="preserve"> means a facility at which Schedule 1 substances are used in, or produced by means of, an industrial production process that the Chief Officer determines is a process of medium complexity;</w:t>
      </w:r>
    </w:p>
    <w:p>
      <w:pPr>
        <w:pStyle w:val="yDefstart"/>
      </w:pPr>
      <w:r>
        <w:rPr>
          <w:b/>
        </w:rPr>
        <w:tab/>
      </w:r>
      <w:r>
        <w:rPr>
          <w:rStyle w:val="CharDefText"/>
        </w:rPr>
        <w:t>Class C facility</w:t>
      </w:r>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r>
        <w:rPr>
          <w:rStyle w:val="CharDefText"/>
        </w:rPr>
        <w:t>Class D facility</w:t>
      </w:r>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 $58 503;</w:t>
      </w:r>
    </w:p>
    <w:p>
      <w:pPr>
        <w:pStyle w:val="yIndenta"/>
      </w:pPr>
      <w:r>
        <w:tab/>
        <w:t>(b)</w:t>
      </w:r>
      <w:r>
        <w:tab/>
        <w:t>for a Class B facility — $41 453;</w:t>
      </w:r>
    </w:p>
    <w:p>
      <w:pPr>
        <w:pStyle w:val="yIndenta"/>
      </w:pPr>
      <w:r>
        <w:tab/>
        <w:t>(c)</w:t>
      </w:r>
      <w:r>
        <w:tab/>
        <w:t>for a Class C facility — $23 381;</w:t>
      </w:r>
    </w:p>
    <w:p>
      <w:pPr>
        <w:pStyle w:val="yIndenta"/>
      </w:pPr>
      <w:r>
        <w:tab/>
        <w:t>(d)</w:t>
      </w:r>
      <w:r>
        <w:tab/>
        <w:t>for a Class D facility — $6 330.</w:t>
      </w:r>
    </w:p>
    <w:p>
      <w:pPr>
        <w:pStyle w:val="yFootnotesection"/>
      </w:pPr>
      <w:r>
        <w:tab/>
        <w:t>[Schedule 3 amended in Gazette 16 Jun 2009 p. 2195; 25 Jun 2010 p. 2875.]</w:t>
      </w:r>
    </w:p>
    <w:p>
      <w:pPr>
        <w:pStyle w:val="yScheduleHeading"/>
      </w:pPr>
      <w:bookmarkStart w:id="121" w:name="_Toc191980811"/>
      <w:bookmarkStart w:id="122" w:name="_Toc233693250"/>
      <w:bookmarkStart w:id="123" w:name="_Toc264887938"/>
      <w:bookmarkStart w:id="124" w:name="_Toc264888010"/>
      <w:bookmarkStart w:id="125" w:name="_Toc319594285"/>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21"/>
      <w:bookmarkEnd w:id="122"/>
      <w:bookmarkEnd w:id="123"/>
      <w:bookmarkEnd w:id="124"/>
      <w:bookmarkEnd w:id="125"/>
      <w:r>
        <w:rPr>
          <w:rStyle w:val="CharSchText"/>
        </w:rPr>
        <w:t xml:space="preserve"> </w:t>
      </w:r>
    </w:p>
    <w:p>
      <w:pPr>
        <w:pStyle w:val="yShoulderClause"/>
      </w:pPr>
      <w:r>
        <w:t>[r. 24]</w:t>
      </w:r>
    </w:p>
    <w:p>
      <w:pPr>
        <w:pStyle w:val="yHeading5"/>
      </w:pPr>
      <w:bookmarkStart w:id="126" w:name="_Toc319594286"/>
      <w:bookmarkStart w:id="127" w:name="_Toc264888011"/>
      <w:r>
        <w:rPr>
          <w:rStyle w:val="CharSClsNo"/>
        </w:rPr>
        <w:t>1</w:t>
      </w:r>
      <w:r>
        <w:t>.</w:t>
      </w:r>
      <w:r>
        <w:tab/>
        <w:t>Organisation and personnel</w:t>
      </w:r>
      <w:bookmarkEnd w:id="126"/>
      <w:bookmarkEnd w:id="127"/>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28" w:name="_Toc319594287"/>
      <w:bookmarkStart w:id="129" w:name="_Toc264888012"/>
      <w:r>
        <w:rPr>
          <w:rStyle w:val="CharSClsNo"/>
        </w:rPr>
        <w:t>2</w:t>
      </w:r>
      <w:r>
        <w:t>.</w:t>
      </w:r>
      <w:r>
        <w:tab/>
        <w:t>Operational controls</w:t>
      </w:r>
      <w:bookmarkEnd w:id="128"/>
      <w:bookmarkEnd w:id="129"/>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30" w:name="_Toc319594288"/>
      <w:bookmarkStart w:id="131" w:name="_Toc264888013"/>
      <w:r>
        <w:rPr>
          <w:rStyle w:val="CharSClsNo"/>
        </w:rPr>
        <w:t>3</w:t>
      </w:r>
      <w:r>
        <w:t>.</w:t>
      </w:r>
      <w:r>
        <w:tab/>
        <w:t>Security</w:t>
      </w:r>
      <w:bookmarkEnd w:id="130"/>
      <w:bookmarkEnd w:id="131"/>
    </w:p>
    <w:p>
      <w:pPr>
        <w:pStyle w:val="ySubsection"/>
      </w:pPr>
      <w:r>
        <w:tab/>
      </w:r>
      <w:r>
        <w:tab/>
        <w:t>The procedures for preventing unauthorised acts that could cause a major incident and for preventing acts intended to cause a major incident.</w:t>
      </w:r>
    </w:p>
    <w:p>
      <w:pPr>
        <w:pStyle w:val="yHeading5"/>
      </w:pPr>
      <w:bookmarkStart w:id="132" w:name="_Toc319594289"/>
      <w:bookmarkStart w:id="133" w:name="_Toc264888014"/>
      <w:r>
        <w:rPr>
          <w:rStyle w:val="CharSClsNo"/>
        </w:rPr>
        <w:t>4</w:t>
      </w:r>
      <w:r>
        <w:t>.</w:t>
      </w:r>
      <w:r>
        <w:tab/>
        <w:t>Informing employees and others</w:t>
      </w:r>
      <w:bookmarkEnd w:id="132"/>
      <w:bookmarkEnd w:id="133"/>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134" w:name="_Toc319594290"/>
      <w:bookmarkStart w:id="135" w:name="_Toc264888015"/>
      <w:r>
        <w:rPr>
          <w:rStyle w:val="CharSClsNo"/>
        </w:rPr>
        <w:t>5</w:t>
      </w:r>
      <w:r>
        <w:t>.</w:t>
      </w:r>
      <w:r>
        <w:tab/>
        <w:t>Monitoring and continual improvement</w:t>
      </w:r>
      <w:bookmarkEnd w:id="134"/>
      <w:bookmarkEnd w:id="135"/>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26"/>
          <w:headerReference w:type="default" r:id="rId27"/>
          <w:footerReference w:type="even" r:id="rId28"/>
          <w:footerReference w:type="default" r:id="rId29"/>
          <w:headerReference w:type="first" r:id="rId30"/>
          <w:endnotePr>
            <w:numFmt w:val="decimal"/>
          </w:endnotePr>
          <w:pgSz w:w="11906" w:h="16838" w:code="9"/>
          <w:pgMar w:top="2376" w:right="2405" w:bottom="3542" w:left="2405" w:header="706" w:footer="3528" w:gutter="0"/>
          <w:cols w:space="720"/>
          <w:noEndnote/>
        </w:sectPr>
      </w:pPr>
    </w:p>
    <w:p>
      <w:pPr>
        <w:pStyle w:val="nHeading2"/>
      </w:pPr>
      <w:bookmarkStart w:id="136" w:name="_Toc191980817"/>
      <w:bookmarkStart w:id="137" w:name="_Toc233693256"/>
      <w:bookmarkStart w:id="138" w:name="_Toc264887944"/>
      <w:bookmarkStart w:id="139" w:name="_Toc264888016"/>
      <w:bookmarkStart w:id="140" w:name="_Toc319594291"/>
      <w:r>
        <w:t>Notes</w:t>
      </w:r>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r>
        <w:rPr>
          <w:snapToGrid w:val="0"/>
        </w:rPr>
        <w:t xml:space="preserve"> and includes the amendments made by the other written laws referred to in the following table</w:t>
      </w:r>
      <w:ins w:id="141" w:author="Master Repository Process" w:date="2021-08-01T03:14:00Z">
        <w:r>
          <w:rPr>
            <w:snapToGrid w:val="0"/>
          </w:rPr>
          <w:t> </w:t>
        </w:r>
        <w:r>
          <w:rPr>
            <w:snapToGrid w:val="0"/>
            <w:vertAlign w:val="superscript"/>
          </w:rPr>
          <w:t>1a</w:t>
        </w:r>
      </w:ins>
      <w:r>
        <w:rPr>
          <w:snapToGrid w:val="0"/>
        </w:rPr>
        <w:t xml:space="preserve">.  </w:t>
      </w:r>
    </w:p>
    <w:p>
      <w:pPr>
        <w:pStyle w:val="nHeading3"/>
      </w:pPr>
      <w:bookmarkStart w:id="142" w:name="_Toc319594292"/>
      <w:bookmarkStart w:id="143" w:name="_Toc264888017"/>
      <w:r>
        <w:t>Compilation table</w:t>
      </w:r>
      <w:bookmarkEnd w:id="142"/>
      <w:bookmarkEnd w:id="1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bottom w:val="nil"/>
            </w:tcBorders>
          </w:tcPr>
          <w:p>
            <w:pPr>
              <w:pStyle w:val="nTable"/>
              <w:spacing w:after="40"/>
              <w:rPr>
                <w:sz w:val="19"/>
              </w:rPr>
            </w:pPr>
            <w:r>
              <w:rPr>
                <w:sz w:val="19"/>
              </w:rPr>
              <w:t>31 Dec 2007 p. 7057-100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8" w:type="dxa"/>
            <w:tcBorders>
              <w:top w:val="nil"/>
            </w:tcBorders>
          </w:tcPr>
          <w:p>
            <w:pPr>
              <w:pStyle w:val="nTable"/>
              <w:spacing w:after="40"/>
              <w:rPr>
                <w:i/>
                <w:sz w:val="19"/>
              </w:rPr>
            </w:pPr>
            <w:r>
              <w:rPr>
                <w:i/>
                <w:sz w:val="19"/>
              </w:rPr>
              <w:t>Dangerous Goods Safety (Major Hazard Facilities) Amendment Regulations (No. 2) 2010</w:t>
            </w:r>
          </w:p>
        </w:tc>
        <w:tc>
          <w:tcPr>
            <w:tcW w:w="1276" w:type="dxa"/>
            <w:tcBorders>
              <w:top w:val="nil"/>
            </w:tcBorders>
          </w:tcPr>
          <w:p>
            <w:pPr>
              <w:pStyle w:val="nTable"/>
              <w:spacing w:after="40"/>
              <w:rPr>
                <w:sz w:val="19"/>
              </w:rPr>
            </w:pPr>
            <w:r>
              <w:rPr>
                <w:sz w:val="19"/>
              </w:rPr>
              <w:t>25 Jun 2010 p. 2874</w:t>
            </w:r>
            <w:r>
              <w:rPr>
                <w:sz w:val="19"/>
              </w:rPr>
              <w:noBreakHyphen/>
              <w:t>5</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rPr>
          <w:ins w:id="144" w:author="Master Repository Process" w:date="2021-08-01T03:14:00Z"/>
          <w:snapToGrid w:val="0"/>
        </w:rPr>
      </w:pPr>
      <w:ins w:id="145" w:author="Master Repository Process" w:date="2021-08-01T03: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6" w:author="Master Repository Process" w:date="2021-08-01T03:14:00Z"/>
          <w:snapToGrid w:val="0"/>
        </w:rPr>
      </w:pPr>
      <w:bookmarkStart w:id="147" w:name="_Toc534778309"/>
      <w:bookmarkStart w:id="148" w:name="_Toc7405063"/>
      <w:bookmarkStart w:id="149" w:name="_Toc296601212"/>
      <w:bookmarkStart w:id="150" w:name="_Toc309727460"/>
      <w:bookmarkStart w:id="151" w:name="_Toc319594293"/>
      <w:ins w:id="152" w:author="Master Repository Process" w:date="2021-08-01T03:14:00Z">
        <w:r>
          <w:rPr>
            <w:snapToGrid w:val="0"/>
          </w:rPr>
          <w:t>Provisions that have not come into operation</w:t>
        </w:r>
        <w:bookmarkEnd w:id="147"/>
        <w:bookmarkEnd w:id="148"/>
        <w:bookmarkEnd w:id="149"/>
        <w:bookmarkEnd w:id="150"/>
        <w:bookmarkEnd w:id="151"/>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3" w:author="Master Repository Process" w:date="2021-08-01T03:14:00Z"/>
        </w:trPr>
        <w:tc>
          <w:tcPr>
            <w:tcW w:w="3118" w:type="dxa"/>
            <w:tcBorders>
              <w:bottom w:val="single" w:sz="4" w:space="0" w:color="auto"/>
            </w:tcBorders>
          </w:tcPr>
          <w:p>
            <w:pPr>
              <w:pStyle w:val="nTable"/>
              <w:spacing w:after="40"/>
              <w:rPr>
                <w:ins w:id="154" w:author="Master Repository Process" w:date="2021-08-01T03:14:00Z"/>
                <w:b/>
                <w:sz w:val="19"/>
              </w:rPr>
            </w:pPr>
            <w:ins w:id="155" w:author="Master Repository Process" w:date="2021-08-01T03:14:00Z">
              <w:r>
                <w:rPr>
                  <w:b/>
                  <w:sz w:val="19"/>
                </w:rPr>
                <w:t>Citation</w:t>
              </w:r>
            </w:ins>
          </w:p>
        </w:tc>
        <w:tc>
          <w:tcPr>
            <w:tcW w:w="1276" w:type="dxa"/>
            <w:tcBorders>
              <w:bottom w:val="single" w:sz="4" w:space="0" w:color="auto"/>
            </w:tcBorders>
          </w:tcPr>
          <w:p>
            <w:pPr>
              <w:pStyle w:val="nTable"/>
              <w:spacing w:after="40"/>
              <w:rPr>
                <w:ins w:id="156" w:author="Master Repository Process" w:date="2021-08-01T03:14:00Z"/>
                <w:b/>
                <w:sz w:val="19"/>
              </w:rPr>
            </w:pPr>
            <w:ins w:id="157" w:author="Master Repository Process" w:date="2021-08-01T03:14:00Z">
              <w:r>
                <w:rPr>
                  <w:b/>
                  <w:sz w:val="19"/>
                </w:rPr>
                <w:t>Gazettal</w:t>
              </w:r>
            </w:ins>
          </w:p>
        </w:tc>
        <w:tc>
          <w:tcPr>
            <w:tcW w:w="2693" w:type="dxa"/>
            <w:tcBorders>
              <w:bottom w:val="single" w:sz="4" w:space="0" w:color="auto"/>
            </w:tcBorders>
          </w:tcPr>
          <w:p>
            <w:pPr>
              <w:pStyle w:val="nTable"/>
              <w:spacing w:after="40"/>
              <w:rPr>
                <w:ins w:id="158" w:author="Master Repository Process" w:date="2021-08-01T03:14:00Z"/>
                <w:b/>
                <w:sz w:val="19"/>
              </w:rPr>
            </w:pPr>
            <w:ins w:id="159" w:author="Master Repository Process" w:date="2021-08-01T03:14:00Z">
              <w:r>
                <w:rPr>
                  <w:b/>
                  <w:sz w:val="19"/>
                </w:rPr>
                <w:t>Commencement</w:t>
              </w:r>
            </w:ins>
          </w:p>
        </w:tc>
      </w:tr>
      <w:tr>
        <w:trPr>
          <w:ins w:id="160" w:author="Master Repository Process" w:date="2021-08-01T03:14:00Z"/>
        </w:trPr>
        <w:tc>
          <w:tcPr>
            <w:tcW w:w="3118" w:type="dxa"/>
            <w:tcBorders>
              <w:bottom w:val="single" w:sz="4" w:space="0" w:color="auto"/>
            </w:tcBorders>
          </w:tcPr>
          <w:p>
            <w:pPr>
              <w:pStyle w:val="nTable"/>
              <w:spacing w:after="40"/>
              <w:rPr>
                <w:ins w:id="161" w:author="Master Repository Process" w:date="2021-08-01T03:14:00Z"/>
                <w:sz w:val="19"/>
                <w:vertAlign w:val="superscript"/>
              </w:rPr>
            </w:pPr>
            <w:ins w:id="162" w:author="Master Repository Process" w:date="2021-08-01T03:14:00Z">
              <w:r>
                <w:rPr>
                  <w:i/>
                  <w:sz w:val="19"/>
                </w:rPr>
                <w:t>Dangerous Goods Safety (Major Hazard Facilities) Amendment Regulations 2012</w:t>
              </w:r>
              <w:r>
                <w:rPr>
                  <w:sz w:val="19"/>
                </w:rPr>
                <w:t xml:space="preserve"> r. 3</w:t>
              </w:r>
              <w:r>
                <w:rPr>
                  <w:sz w:val="19"/>
                </w:rPr>
                <w:noBreakHyphen/>
                <w:t>6 </w:t>
              </w:r>
              <w:r>
                <w:rPr>
                  <w:sz w:val="19"/>
                  <w:vertAlign w:val="superscript"/>
                </w:rPr>
                <w:t>2</w:t>
              </w:r>
            </w:ins>
          </w:p>
        </w:tc>
        <w:tc>
          <w:tcPr>
            <w:tcW w:w="1276" w:type="dxa"/>
            <w:tcBorders>
              <w:bottom w:val="single" w:sz="4" w:space="0" w:color="auto"/>
            </w:tcBorders>
          </w:tcPr>
          <w:p>
            <w:pPr>
              <w:pStyle w:val="nTable"/>
              <w:spacing w:after="40"/>
              <w:rPr>
                <w:ins w:id="163" w:author="Master Repository Process" w:date="2021-08-01T03:14:00Z"/>
                <w:sz w:val="19"/>
              </w:rPr>
            </w:pPr>
            <w:ins w:id="164" w:author="Master Repository Process" w:date="2021-08-01T03:14:00Z">
              <w:r>
                <w:rPr>
                  <w:sz w:val="19"/>
                </w:rPr>
                <w:t>16 Mar 2012 p. 1270</w:t>
              </w:r>
              <w:r>
                <w:rPr>
                  <w:sz w:val="19"/>
                </w:rPr>
                <w:noBreakHyphen/>
                <w:t>3</w:t>
              </w:r>
            </w:ins>
          </w:p>
        </w:tc>
        <w:tc>
          <w:tcPr>
            <w:tcW w:w="2693" w:type="dxa"/>
            <w:tcBorders>
              <w:bottom w:val="single" w:sz="4" w:space="0" w:color="auto"/>
            </w:tcBorders>
          </w:tcPr>
          <w:p>
            <w:pPr>
              <w:pStyle w:val="nTable"/>
              <w:spacing w:after="40"/>
              <w:rPr>
                <w:ins w:id="165" w:author="Master Repository Process" w:date="2021-08-01T03:14:00Z"/>
                <w:sz w:val="19"/>
              </w:rPr>
            </w:pPr>
            <w:ins w:id="166" w:author="Master Repository Process" w:date="2021-08-01T03:14:00Z">
              <w:r>
                <w:rPr>
                  <w:sz w:val="19"/>
                </w:rPr>
                <w:t>1 Apr 2012 (see r. 2(b))</w:t>
              </w:r>
            </w:ins>
          </w:p>
        </w:tc>
      </w:tr>
    </w:tbl>
    <w:p>
      <w:pPr>
        <w:pStyle w:val="nSubsection"/>
        <w:keepLines/>
        <w:spacing w:before="60"/>
        <w:rPr>
          <w:ins w:id="167" w:author="Master Repository Process" w:date="2021-08-01T03:14:00Z"/>
        </w:rPr>
      </w:pPr>
      <w:ins w:id="168" w:author="Master Repository Process" w:date="2021-08-01T03:1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(Major Hazard Facilities) Amendment Regulations 2012 </w:t>
        </w:r>
        <w:r>
          <w:rPr>
            <w:snapToGrid w:val="0"/>
          </w:rPr>
          <w:t>r. 3</w:t>
        </w:r>
        <w:r>
          <w:rPr>
            <w:snapToGrid w:val="0"/>
          </w:rPr>
          <w:noBreakHyphen/>
          <w:t>6</w:t>
        </w:r>
        <w:r>
          <w:rPr>
            <w:i/>
            <w:snapToGrid w:val="0"/>
          </w:rPr>
          <w:t xml:space="preserve"> </w:t>
        </w:r>
        <w:r>
          <w:rPr>
            <w:snapToGrid w:val="0"/>
          </w:rPr>
          <w:t>had not come into operation.  They read as follows:</w:t>
        </w:r>
      </w:ins>
    </w:p>
    <w:p>
      <w:pPr>
        <w:pStyle w:val="BlankOpen"/>
        <w:rPr>
          <w:ins w:id="169" w:author="Master Repository Process" w:date="2021-08-01T03:14:00Z"/>
        </w:rPr>
      </w:pPr>
      <w:bookmarkStart w:id="170" w:name="AutoSch"/>
      <w:bookmarkStart w:id="171" w:name="_Toc423332724"/>
      <w:bookmarkStart w:id="172" w:name="_Toc425219443"/>
      <w:bookmarkStart w:id="173" w:name="_Toc426249310"/>
      <w:bookmarkStart w:id="174" w:name="_Toc449924706"/>
      <w:bookmarkStart w:id="175" w:name="_Toc449947724"/>
      <w:bookmarkStart w:id="176" w:name="_Toc454185715"/>
      <w:bookmarkStart w:id="177" w:name="_Toc515958688"/>
      <w:bookmarkEnd w:id="170"/>
    </w:p>
    <w:p>
      <w:pPr>
        <w:pStyle w:val="nzHeading5"/>
        <w:rPr>
          <w:ins w:id="178" w:author="Master Repository Process" w:date="2021-08-01T03:14:00Z"/>
          <w:snapToGrid w:val="0"/>
        </w:rPr>
      </w:pPr>
      <w:ins w:id="179" w:author="Master Repository Process" w:date="2021-08-01T03:14:00Z">
        <w:r>
          <w:rPr>
            <w:rStyle w:val="CharSectno"/>
          </w:rPr>
          <w:t>3</w:t>
        </w:r>
        <w:r>
          <w:rPr>
            <w:snapToGrid w:val="0"/>
          </w:rPr>
          <w:t>.</w:t>
        </w:r>
        <w:r>
          <w:rPr>
            <w:snapToGrid w:val="0"/>
          </w:rPr>
          <w:tab/>
          <w:t>Regulations amended</w:t>
        </w:r>
        <w:bookmarkEnd w:id="171"/>
        <w:bookmarkEnd w:id="172"/>
        <w:bookmarkEnd w:id="173"/>
        <w:bookmarkEnd w:id="174"/>
        <w:bookmarkEnd w:id="175"/>
        <w:bookmarkEnd w:id="176"/>
        <w:bookmarkEnd w:id="177"/>
      </w:ins>
    </w:p>
    <w:p>
      <w:pPr>
        <w:pStyle w:val="nzSubsection"/>
        <w:rPr>
          <w:ins w:id="180" w:author="Master Repository Process" w:date="2021-08-01T03:14:00Z"/>
        </w:rPr>
      </w:pPr>
      <w:ins w:id="181" w:author="Master Repository Process" w:date="2021-08-01T03:14:00Z">
        <w:r>
          <w:tab/>
        </w:r>
        <w:r>
          <w:tab/>
        </w:r>
        <w:r>
          <w:rPr>
            <w:spacing w:val="-2"/>
          </w:rPr>
          <w:t>These</w:t>
        </w:r>
        <w:r>
          <w:t xml:space="preserve"> regulations amend the </w:t>
        </w:r>
        <w:r>
          <w:rPr>
            <w:i/>
          </w:rPr>
          <w:t>Dangerous Goods Safety (Major Hazard Facilities) Regulations 2007</w:t>
        </w:r>
        <w:r>
          <w:t>.</w:t>
        </w:r>
      </w:ins>
    </w:p>
    <w:p>
      <w:pPr>
        <w:pStyle w:val="nzHeading5"/>
        <w:rPr>
          <w:ins w:id="182" w:author="Master Repository Process" w:date="2021-08-01T03:14:00Z"/>
        </w:rPr>
      </w:pPr>
      <w:ins w:id="183" w:author="Master Repository Process" w:date="2021-08-01T03:14:00Z">
        <w:r>
          <w:rPr>
            <w:rStyle w:val="CharSectno"/>
          </w:rPr>
          <w:t>4</w:t>
        </w:r>
        <w:r>
          <w:t>.</w:t>
        </w:r>
        <w:r>
          <w:tab/>
          <w:t>Regulation 26 amended</w:t>
        </w:r>
      </w:ins>
    </w:p>
    <w:p>
      <w:pPr>
        <w:pStyle w:val="nzSubsection"/>
        <w:rPr>
          <w:ins w:id="184" w:author="Master Repository Process" w:date="2021-08-01T03:14:00Z"/>
        </w:rPr>
      </w:pPr>
      <w:ins w:id="185" w:author="Master Repository Process" w:date="2021-08-01T03:14:00Z">
        <w:r>
          <w:tab/>
          <w:t>(1)</w:t>
        </w:r>
        <w:r>
          <w:tab/>
          <w:t>In regulation 26(1)(b) delete “Schedule 3.” and insert:</w:t>
        </w:r>
      </w:ins>
    </w:p>
    <w:p>
      <w:pPr>
        <w:pStyle w:val="BlankOpen"/>
        <w:rPr>
          <w:ins w:id="186" w:author="Master Repository Process" w:date="2021-08-01T03:14:00Z"/>
        </w:rPr>
      </w:pPr>
    </w:p>
    <w:p>
      <w:pPr>
        <w:pStyle w:val="nzSubsection"/>
        <w:rPr>
          <w:ins w:id="187" w:author="Master Repository Process" w:date="2021-08-01T03:14:00Z"/>
        </w:rPr>
      </w:pPr>
      <w:ins w:id="188" w:author="Master Repository Process" w:date="2021-08-01T03:14:00Z">
        <w:r>
          <w:tab/>
        </w:r>
        <w:r>
          <w:tab/>
          <w:t>Schedule 3 clause 1.</w:t>
        </w:r>
      </w:ins>
    </w:p>
    <w:p>
      <w:pPr>
        <w:pStyle w:val="BlankClose"/>
        <w:rPr>
          <w:ins w:id="189" w:author="Master Repository Process" w:date="2021-08-01T03:14:00Z"/>
        </w:rPr>
      </w:pPr>
    </w:p>
    <w:p>
      <w:pPr>
        <w:pStyle w:val="nzSubsection"/>
        <w:rPr>
          <w:ins w:id="190" w:author="Master Repository Process" w:date="2021-08-01T03:14:00Z"/>
        </w:rPr>
      </w:pPr>
      <w:ins w:id="191" w:author="Master Repository Process" w:date="2021-08-01T03:14:00Z">
        <w:r>
          <w:tab/>
          <w:t>(2)</w:t>
        </w:r>
        <w:r>
          <w:tab/>
          <w:t>Delete regulation 26(2).</w:t>
        </w:r>
      </w:ins>
    </w:p>
    <w:p>
      <w:pPr>
        <w:pStyle w:val="nzHeading5"/>
        <w:rPr>
          <w:ins w:id="192" w:author="Master Repository Process" w:date="2021-08-01T03:14:00Z"/>
        </w:rPr>
      </w:pPr>
      <w:ins w:id="193" w:author="Master Repository Process" w:date="2021-08-01T03:14:00Z">
        <w:r>
          <w:rPr>
            <w:rStyle w:val="CharSectno"/>
          </w:rPr>
          <w:t>5</w:t>
        </w:r>
        <w:r>
          <w:t>.</w:t>
        </w:r>
        <w:r>
          <w:tab/>
          <w:t>Regulations 33 and 34 inserted</w:t>
        </w:r>
      </w:ins>
    </w:p>
    <w:p>
      <w:pPr>
        <w:pStyle w:val="nzSubsection"/>
        <w:rPr>
          <w:ins w:id="194" w:author="Master Repository Process" w:date="2021-08-01T03:14:00Z"/>
        </w:rPr>
      </w:pPr>
      <w:ins w:id="195" w:author="Master Repository Process" w:date="2021-08-01T03:14:00Z">
        <w:r>
          <w:tab/>
        </w:r>
        <w:r>
          <w:tab/>
          <w:t>After regulation 32 insert:</w:t>
        </w:r>
      </w:ins>
    </w:p>
    <w:p>
      <w:pPr>
        <w:pStyle w:val="BlankOpen"/>
        <w:rPr>
          <w:ins w:id="196" w:author="Master Repository Process" w:date="2021-08-01T03:14:00Z"/>
        </w:rPr>
      </w:pPr>
    </w:p>
    <w:p>
      <w:pPr>
        <w:pStyle w:val="nzHeading5"/>
        <w:rPr>
          <w:ins w:id="197" w:author="Master Repository Process" w:date="2021-08-01T03:14:00Z"/>
        </w:rPr>
      </w:pPr>
      <w:ins w:id="198" w:author="Master Repository Process" w:date="2021-08-01T03:14:00Z">
        <w:r>
          <w:t>33.</w:t>
        </w:r>
        <w:r>
          <w:tab/>
          <w:t>Classes of major hazard facility for purposes of fees</w:t>
        </w:r>
      </w:ins>
    </w:p>
    <w:p>
      <w:pPr>
        <w:pStyle w:val="nzSubsection"/>
        <w:rPr>
          <w:ins w:id="199" w:author="Master Repository Process" w:date="2021-08-01T03:14:00Z"/>
        </w:rPr>
      </w:pPr>
      <w:ins w:id="200" w:author="Master Repository Process" w:date="2021-08-01T03:14:00Z">
        <w:r>
          <w:tab/>
          <w:t>(1)</w:t>
        </w:r>
        <w:r>
          <w:tab/>
          <w:t>For the purposes of Schedule 3, major hazard facilities are to be classified under this regulation.</w:t>
        </w:r>
      </w:ins>
    </w:p>
    <w:p>
      <w:pPr>
        <w:pStyle w:val="nzSubsection"/>
        <w:rPr>
          <w:ins w:id="201" w:author="Master Repository Process" w:date="2021-08-01T03:14:00Z"/>
        </w:rPr>
      </w:pPr>
      <w:ins w:id="202" w:author="Master Repository Process" w:date="2021-08-01T03:14:00Z">
        <w:r>
          <w:tab/>
          <w:t>(2)</w:t>
        </w:r>
        <w:r>
          <w:tab/>
          <w:t>A Class A facility is any major hazard facility at which Schedule 1 substances are used in, or produced by means of, an industrial production process that the Chief Officer determines is a process of high complexity.</w:t>
        </w:r>
      </w:ins>
    </w:p>
    <w:p>
      <w:pPr>
        <w:pStyle w:val="nzSubsection"/>
        <w:rPr>
          <w:ins w:id="203" w:author="Master Repository Process" w:date="2021-08-01T03:14:00Z"/>
        </w:rPr>
      </w:pPr>
      <w:ins w:id="204" w:author="Master Repository Process" w:date="2021-08-01T03:14:00Z">
        <w:r>
          <w:tab/>
          <w:t>(3)</w:t>
        </w:r>
        <w:r>
          <w:tab/>
          <w:t>A Class B facility is any major hazard facility at which Schedule 1 substances are used in, or produced by means of, an industrial production process that the Chief Officer determines is a process of medium complexity.</w:t>
        </w:r>
      </w:ins>
    </w:p>
    <w:p>
      <w:pPr>
        <w:pStyle w:val="nzSubsection"/>
        <w:rPr>
          <w:ins w:id="205" w:author="Master Repository Process" w:date="2021-08-01T03:14:00Z"/>
        </w:rPr>
      </w:pPr>
      <w:ins w:id="206" w:author="Master Repository Process" w:date="2021-08-01T03:14:00Z">
        <w:r>
          <w:tab/>
          <w:t>(4)</w:t>
        </w:r>
        <w:r>
          <w:tab/>
          <w:t>A Class C facility is —</w:t>
        </w:r>
      </w:ins>
    </w:p>
    <w:p>
      <w:pPr>
        <w:pStyle w:val="nzIndenta"/>
        <w:rPr>
          <w:ins w:id="207" w:author="Master Repository Process" w:date="2021-08-01T03:14:00Z"/>
        </w:rPr>
      </w:pPr>
      <w:ins w:id="208" w:author="Master Repository Process" w:date="2021-08-01T03:14:00Z">
        <w:r>
          <w:tab/>
          <w:t>(a)</w:t>
        </w:r>
        <w:r>
          <w:tab/>
          <w:t>any major hazard facility at which Schedule 1 substances are used in, or produced by means of, an industrial production process that the Chief Officer determines is a process of low complexity; or</w:t>
        </w:r>
      </w:ins>
    </w:p>
    <w:p>
      <w:pPr>
        <w:pStyle w:val="nzIndenta"/>
        <w:rPr>
          <w:ins w:id="209" w:author="Master Repository Process" w:date="2021-08-01T03:14:00Z"/>
        </w:rPr>
      </w:pPr>
      <w:ins w:id="210" w:author="Master Repository Process" w:date="2021-08-01T03:14:00Z">
        <w:r>
          <w:tab/>
          <w:t>(b)</w:t>
        </w:r>
        <w:r>
          <w:tab/>
          <w:t>any major hazard facility at which Schedule 1 substances —</w:t>
        </w:r>
      </w:ins>
    </w:p>
    <w:p>
      <w:pPr>
        <w:pStyle w:val="nzIndenti"/>
        <w:rPr>
          <w:ins w:id="211" w:author="Master Repository Process" w:date="2021-08-01T03:14:00Z"/>
        </w:rPr>
      </w:pPr>
      <w:ins w:id="212" w:author="Master Repository Process" w:date="2021-08-01T03:14:00Z">
        <w:r>
          <w:tab/>
          <w:t>(i)</w:t>
        </w:r>
        <w:r>
          <w:tab/>
          <w:t>are stored but not used in, or produced by means of, an industrial production process; and</w:t>
        </w:r>
      </w:ins>
    </w:p>
    <w:p>
      <w:pPr>
        <w:pStyle w:val="nzIndenti"/>
        <w:rPr>
          <w:ins w:id="213" w:author="Master Repository Process" w:date="2021-08-01T03:14:00Z"/>
        </w:rPr>
      </w:pPr>
      <w:ins w:id="214" w:author="Master Repository Process" w:date="2021-08-01T03:14:00Z">
        <w:r>
          <w:tab/>
          <w:t>(ii)</w:t>
        </w:r>
        <w:r>
          <w:tab/>
          <w:t>in the view of the Chief Officer, are frequently handled.</w:t>
        </w:r>
      </w:ins>
    </w:p>
    <w:p>
      <w:pPr>
        <w:pStyle w:val="nzSubsection"/>
        <w:rPr>
          <w:ins w:id="215" w:author="Master Repository Process" w:date="2021-08-01T03:14:00Z"/>
        </w:rPr>
      </w:pPr>
      <w:ins w:id="216" w:author="Master Repository Process" w:date="2021-08-01T03:14:00Z">
        <w:r>
          <w:tab/>
          <w:t>(5)</w:t>
        </w:r>
        <w:r>
          <w:tab/>
          <w:t>A Class D facility is any major hazard facility at which Schedule 1 substances —</w:t>
        </w:r>
      </w:ins>
    </w:p>
    <w:p>
      <w:pPr>
        <w:pStyle w:val="nzIndenta"/>
        <w:rPr>
          <w:ins w:id="217" w:author="Master Repository Process" w:date="2021-08-01T03:14:00Z"/>
        </w:rPr>
      </w:pPr>
      <w:ins w:id="218" w:author="Master Repository Process" w:date="2021-08-01T03:14:00Z">
        <w:r>
          <w:tab/>
          <w:t>(a)</w:t>
        </w:r>
        <w:r>
          <w:tab/>
          <w:t>are stored but not used in, or produced by means of, an industrial production process; and</w:t>
        </w:r>
      </w:ins>
    </w:p>
    <w:p>
      <w:pPr>
        <w:pStyle w:val="nzIndenta"/>
        <w:rPr>
          <w:ins w:id="219" w:author="Master Repository Process" w:date="2021-08-01T03:14:00Z"/>
        </w:rPr>
      </w:pPr>
      <w:ins w:id="220" w:author="Master Repository Process" w:date="2021-08-01T03:14:00Z">
        <w:r>
          <w:tab/>
          <w:t>(b)</w:t>
        </w:r>
        <w:r>
          <w:tab/>
          <w:t>in the view of the Chief Officer, are infrequently handled.</w:t>
        </w:r>
      </w:ins>
    </w:p>
    <w:p>
      <w:pPr>
        <w:pStyle w:val="nzHeading5"/>
        <w:rPr>
          <w:ins w:id="221" w:author="Master Repository Process" w:date="2021-08-01T03:14:00Z"/>
        </w:rPr>
      </w:pPr>
      <w:ins w:id="222" w:author="Master Repository Process" w:date="2021-08-01T03:14:00Z">
        <w:r>
          <w:t>34.</w:t>
        </w:r>
        <w:r>
          <w:tab/>
          <w:t>Annual fee for major hazard facilities</w:t>
        </w:r>
      </w:ins>
    </w:p>
    <w:p>
      <w:pPr>
        <w:pStyle w:val="nzSubsection"/>
        <w:rPr>
          <w:ins w:id="223" w:author="Master Repository Process" w:date="2021-08-01T03:14:00Z"/>
        </w:rPr>
      </w:pPr>
      <w:ins w:id="224" w:author="Master Repository Process" w:date="2021-08-01T03:14:00Z">
        <w:r>
          <w:tab/>
          <w:t>(1)</w:t>
        </w:r>
        <w:r>
          <w:tab/>
          <w:t>In this regulation —</w:t>
        </w:r>
      </w:ins>
    </w:p>
    <w:p>
      <w:pPr>
        <w:pStyle w:val="nzDefstart"/>
        <w:rPr>
          <w:ins w:id="225" w:author="Master Repository Process" w:date="2021-08-01T03:14:00Z"/>
        </w:rPr>
      </w:pPr>
      <w:ins w:id="226" w:author="Master Repository Process" w:date="2021-08-01T03:14:00Z">
        <w:r>
          <w:tab/>
        </w:r>
        <w:r>
          <w:rPr>
            <w:rStyle w:val="CharDefText"/>
          </w:rPr>
          <w:t>former regulation</w:t>
        </w:r>
        <w:r>
          <w:t xml:space="preserve"> means —</w:t>
        </w:r>
      </w:ins>
    </w:p>
    <w:p>
      <w:pPr>
        <w:pStyle w:val="nzDefpara"/>
        <w:rPr>
          <w:ins w:id="227" w:author="Master Repository Process" w:date="2021-08-01T03:14:00Z"/>
        </w:rPr>
      </w:pPr>
      <w:ins w:id="228" w:author="Master Repository Process" w:date="2021-08-01T03:14:00Z">
        <w:r>
          <w:tab/>
          <w:t>(a)</w:t>
        </w:r>
        <w:r>
          <w:tab/>
          <w:t xml:space="preserve">the </w:t>
        </w:r>
        <w:r>
          <w:rPr>
            <w:i/>
          </w:rPr>
          <w:t xml:space="preserve">Dangerous Goods Safety (Explosives) Regulations 2007 </w:t>
        </w:r>
        <w:r>
          <w:t>regulation 184; or</w:t>
        </w:r>
      </w:ins>
    </w:p>
    <w:p>
      <w:pPr>
        <w:pStyle w:val="nzDefpara"/>
        <w:rPr>
          <w:ins w:id="229" w:author="Master Repository Process" w:date="2021-08-01T03:14:00Z"/>
        </w:rPr>
      </w:pPr>
      <w:ins w:id="230" w:author="Master Repository Process" w:date="2021-08-01T03:14:00Z">
        <w:r>
          <w:tab/>
          <w:t>(b)</w:t>
        </w:r>
        <w:r>
          <w:tab/>
          <w:t xml:space="preserve">the </w:t>
        </w:r>
        <w:r>
          <w:rPr>
            <w:i/>
          </w:rPr>
          <w:t xml:space="preserve">Dangerous Goods Safety (Storage and Handling of Non-explosives) Regulations 2007 </w:t>
        </w:r>
        <w:r>
          <w:t>regulation 134,</w:t>
        </w:r>
      </w:ins>
    </w:p>
    <w:p>
      <w:pPr>
        <w:pStyle w:val="nzDefstart"/>
        <w:rPr>
          <w:ins w:id="231" w:author="Master Repository Process" w:date="2021-08-01T03:14:00Z"/>
        </w:rPr>
      </w:pPr>
      <w:ins w:id="232" w:author="Master Repository Process" w:date="2021-08-01T03:14:00Z">
        <w:r>
          <w:tab/>
          <w:t>as in force immediately before 1 April 2012;</w:t>
        </w:r>
      </w:ins>
    </w:p>
    <w:p>
      <w:pPr>
        <w:pStyle w:val="nzDefstart"/>
        <w:rPr>
          <w:ins w:id="233" w:author="Master Repository Process" w:date="2021-08-01T03:14:00Z"/>
        </w:rPr>
      </w:pPr>
      <w:ins w:id="234" w:author="Master Repository Process" w:date="2021-08-01T03:14:00Z">
        <w:r>
          <w:tab/>
        </w:r>
        <w:r>
          <w:rPr>
            <w:rStyle w:val="CharDefText"/>
          </w:rPr>
          <w:t>grace period</w:t>
        </w:r>
        <w:r>
          <w:t xml:space="preserve"> means, as the case requires —</w:t>
        </w:r>
      </w:ins>
    </w:p>
    <w:p>
      <w:pPr>
        <w:pStyle w:val="nzDefpara"/>
        <w:rPr>
          <w:ins w:id="235" w:author="Master Repository Process" w:date="2021-08-01T03:14:00Z"/>
        </w:rPr>
      </w:pPr>
      <w:ins w:id="236" w:author="Master Repository Process" w:date="2021-08-01T03:14:00Z">
        <w:r>
          <w:tab/>
          <w:t>(a)</w:t>
        </w:r>
        <w:r>
          <w:tab/>
          <w:t>the one month period referred to in subregulation (4); or</w:t>
        </w:r>
      </w:ins>
    </w:p>
    <w:p>
      <w:pPr>
        <w:pStyle w:val="nzDefpara"/>
        <w:rPr>
          <w:ins w:id="237" w:author="Master Repository Process" w:date="2021-08-01T03:14:00Z"/>
        </w:rPr>
      </w:pPr>
      <w:ins w:id="238" w:author="Master Repository Process" w:date="2021-08-01T03:14:00Z">
        <w:r>
          <w:tab/>
          <w:t>(b)</w:t>
        </w:r>
        <w:r>
          <w:tab/>
          <w:t>the 3 month period referred to in subregulation (6);</w:t>
        </w:r>
      </w:ins>
    </w:p>
    <w:p>
      <w:pPr>
        <w:pStyle w:val="nzDefstart"/>
        <w:rPr>
          <w:ins w:id="239" w:author="Master Repository Process" w:date="2021-08-01T03:14:00Z"/>
        </w:rPr>
      </w:pPr>
      <w:ins w:id="240" w:author="Master Repository Process" w:date="2021-08-01T03:14:00Z">
        <w:r>
          <w:tab/>
        </w:r>
        <w:r>
          <w:rPr>
            <w:rStyle w:val="CharDefText"/>
          </w:rPr>
          <w:t>site licence</w:t>
        </w:r>
        <w:r>
          <w:t xml:space="preserve"> means —</w:t>
        </w:r>
      </w:ins>
    </w:p>
    <w:p>
      <w:pPr>
        <w:pStyle w:val="nzDefpara"/>
        <w:rPr>
          <w:ins w:id="241" w:author="Master Repository Process" w:date="2021-08-01T03:14:00Z"/>
        </w:rPr>
      </w:pPr>
      <w:ins w:id="242" w:author="Master Repository Process" w:date="2021-08-01T03:14:00Z">
        <w:r>
          <w:tab/>
          <w:t>(a)</w:t>
        </w:r>
        <w:r>
          <w:tab/>
          <w:t xml:space="preserve">an explosives manufacture licence, or an explosives storage licence, granted under the </w:t>
        </w:r>
        <w:r>
          <w:rPr>
            <w:i/>
          </w:rPr>
          <w:t>Dangerous Goods Safety (Explosives) Regulations 2007</w:t>
        </w:r>
        <w:r>
          <w:t xml:space="preserve"> in respect of a dangerous goods site; or</w:t>
        </w:r>
      </w:ins>
    </w:p>
    <w:p>
      <w:pPr>
        <w:pStyle w:val="nzDefpara"/>
        <w:rPr>
          <w:ins w:id="243" w:author="Master Repository Process" w:date="2021-08-01T03:14:00Z"/>
        </w:rPr>
      </w:pPr>
      <w:ins w:id="244" w:author="Master Repository Process" w:date="2021-08-01T03:14:00Z">
        <w:r>
          <w:tab/>
          <w:t>(b)</w:t>
        </w:r>
        <w:r>
          <w:tab/>
          <w:t xml:space="preserve">an SRS manufacture licence, or an SRS storage licence, granted under the </w:t>
        </w:r>
        <w:r>
          <w:rPr>
            <w:i/>
          </w:rPr>
          <w:t>Dangerous Goods Safety (Security Risk Substances) Regulations 2007</w:t>
        </w:r>
        <w:r>
          <w:t xml:space="preserve"> in respect of a dangerous goods site; or</w:t>
        </w:r>
      </w:ins>
    </w:p>
    <w:p>
      <w:pPr>
        <w:pStyle w:val="nzDefpara"/>
        <w:rPr>
          <w:ins w:id="245" w:author="Master Repository Process" w:date="2021-08-01T03:14:00Z"/>
        </w:rPr>
      </w:pPr>
      <w:ins w:id="246" w:author="Master Repository Process" w:date="2021-08-01T03:14:00Z">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ins>
    </w:p>
    <w:p>
      <w:pPr>
        <w:pStyle w:val="nzSubsection"/>
        <w:rPr>
          <w:ins w:id="247" w:author="Master Repository Process" w:date="2021-08-01T03:14:00Z"/>
        </w:rPr>
      </w:pPr>
      <w:ins w:id="248" w:author="Master Repository Process" w:date="2021-08-01T03:14:00Z">
        <w:r>
          <w:tab/>
          <w:t>(2)</w:t>
        </w:r>
        <w:r>
          <w:tab/>
          <w:t>The holder of a site licence granted in respect of a dangerous goods site that is a major hazard facility must pay for each year the relevant annual fee specified in Schedule 3 clause 2.</w:t>
        </w:r>
      </w:ins>
    </w:p>
    <w:p>
      <w:pPr>
        <w:pStyle w:val="nzSubsection"/>
        <w:rPr>
          <w:ins w:id="249" w:author="Master Repository Process" w:date="2021-08-01T03:14:00Z"/>
        </w:rPr>
      </w:pPr>
      <w:ins w:id="250" w:author="Master Repository Process" w:date="2021-08-01T03:14:00Z">
        <w:r>
          <w:tab/>
          <w:t>(3)</w:t>
        </w:r>
        <w:r>
          <w:tab/>
          <w:t>An annual fee payable under subregulation (2) must be paid annually.</w:t>
        </w:r>
      </w:ins>
    </w:p>
    <w:p>
      <w:pPr>
        <w:pStyle w:val="nzSubsection"/>
        <w:rPr>
          <w:ins w:id="251" w:author="Master Repository Process" w:date="2021-08-01T03:14:00Z"/>
        </w:rPr>
      </w:pPr>
      <w:ins w:id="252" w:author="Master Repository Process" w:date="2021-08-01T03:14:00Z">
        <w:r>
          <w:tab/>
          <w:t>(4)</w:t>
        </w:r>
        <w:r>
          <w:tab/>
          <w:t>The first annual payment must be made before, on or within one month after —</w:t>
        </w:r>
      </w:ins>
    </w:p>
    <w:p>
      <w:pPr>
        <w:pStyle w:val="nzIndenta"/>
        <w:rPr>
          <w:ins w:id="253" w:author="Master Repository Process" w:date="2021-08-01T03:14:00Z"/>
        </w:rPr>
      </w:pPr>
      <w:ins w:id="254" w:author="Master Repository Process" w:date="2021-08-01T03:14:00Z">
        <w:r>
          <w:tab/>
          <w:t>(a)</w:t>
        </w:r>
        <w:r>
          <w:tab/>
          <w:t>if the site licence is in force immediately before 1 April 2012 — the date on which the first quarterly payment would have had to be made after 31 March 2012 by the holder under the relevant former regulation;</w:t>
        </w:r>
      </w:ins>
    </w:p>
    <w:p>
      <w:pPr>
        <w:pStyle w:val="nzIndenta"/>
        <w:rPr>
          <w:ins w:id="255" w:author="Master Repository Process" w:date="2021-08-01T03:14:00Z"/>
        </w:rPr>
      </w:pPr>
      <w:ins w:id="256" w:author="Master Repository Process" w:date="2021-08-01T03:14:00Z">
        <w:r>
          <w:tab/>
          <w:t>(b)</w:t>
        </w:r>
        <w:r>
          <w:tab/>
          <w:t>in any other case — 28 days after the date on which both of these conditions are satisfied —</w:t>
        </w:r>
      </w:ins>
    </w:p>
    <w:p>
      <w:pPr>
        <w:pStyle w:val="nzIndenti"/>
        <w:rPr>
          <w:ins w:id="257" w:author="Master Repository Process" w:date="2021-08-01T03:14:00Z"/>
        </w:rPr>
      </w:pPr>
      <w:ins w:id="258" w:author="Master Repository Process" w:date="2021-08-01T03:14:00Z">
        <w:r>
          <w:tab/>
          <w:t>(i)</w:t>
        </w:r>
        <w:r>
          <w:tab/>
          <w:t>the site is subject to a site licence; and</w:t>
        </w:r>
      </w:ins>
    </w:p>
    <w:p>
      <w:pPr>
        <w:pStyle w:val="nzIndenti"/>
        <w:rPr>
          <w:ins w:id="259" w:author="Master Repository Process" w:date="2021-08-01T03:14:00Z"/>
        </w:rPr>
      </w:pPr>
      <w:ins w:id="260" w:author="Master Repository Process" w:date="2021-08-01T03:14:00Z">
        <w:r>
          <w:tab/>
          <w:t>(ii)</w:t>
        </w:r>
        <w:r>
          <w:tab/>
          <w:t>a safety report for the site is approved under Part 5.</w:t>
        </w:r>
      </w:ins>
    </w:p>
    <w:p>
      <w:pPr>
        <w:pStyle w:val="nzSubsection"/>
        <w:rPr>
          <w:ins w:id="261" w:author="Master Repository Process" w:date="2021-08-01T03:14:00Z"/>
        </w:rPr>
      </w:pPr>
      <w:ins w:id="262" w:author="Master Repository Process" w:date="2021-08-01T03:14:00Z">
        <w:r>
          <w:tab/>
          <w:t>(5)</w:t>
        </w:r>
        <w:r>
          <w:tab/>
          <w:t>If the date referred to in subregulation (4)(a) or (b)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ins>
    </w:p>
    <w:p>
      <w:pPr>
        <w:pStyle w:val="nzSubsection"/>
        <w:rPr>
          <w:ins w:id="263" w:author="Master Repository Process" w:date="2021-08-01T03:14:00Z"/>
        </w:rPr>
      </w:pPr>
      <w:ins w:id="264" w:author="Master Repository Process" w:date="2021-08-01T03:14:00Z">
        <w:r>
          <w:tab/>
          <w:t>(6)</w:t>
        </w:r>
        <w:r>
          <w:tab/>
          <w:t>Each subsequent annual payment must be made before, on or within 3 months after —</w:t>
        </w:r>
      </w:ins>
    </w:p>
    <w:p>
      <w:pPr>
        <w:pStyle w:val="nzIndenta"/>
        <w:rPr>
          <w:ins w:id="265" w:author="Master Repository Process" w:date="2021-08-01T03:14:00Z"/>
        </w:rPr>
      </w:pPr>
      <w:ins w:id="266" w:author="Master Repository Process" w:date="2021-08-01T03:14:00Z">
        <w:r>
          <w:tab/>
          <w:t>(a)</w:t>
        </w:r>
        <w:r>
          <w:tab/>
          <w:t xml:space="preserve">if under the </w:t>
        </w:r>
        <w:r>
          <w:rPr>
            <w:i/>
          </w:rPr>
          <w:t>Dangerous Goods Safety (General) Regulations 2007</w:t>
        </w:r>
        <w:r>
          <w:t xml:space="preserve"> regulation 15 the Chief Officer has set a due date for the site licence — the due date in each year;</w:t>
        </w:r>
      </w:ins>
    </w:p>
    <w:p>
      <w:pPr>
        <w:pStyle w:val="nzIndenta"/>
        <w:rPr>
          <w:ins w:id="267" w:author="Master Repository Process" w:date="2021-08-01T03:14:00Z"/>
        </w:rPr>
      </w:pPr>
      <w:ins w:id="268" w:author="Master Repository Process" w:date="2021-08-01T03:14:00Z">
        <w:r>
          <w:tab/>
          <w:t>(b)</w:t>
        </w:r>
        <w:r>
          <w:tab/>
          <w:t>in any other case — the anniversary of the date on which the first annual payment has to be made under subregulation (4).</w:t>
        </w:r>
      </w:ins>
    </w:p>
    <w:p>
      <w:pPr>
        <w:pStyle w:val="nzSubsection"/>
        <w:rPr>
          <w:ins w:id="269" w:author="Master Repository Process" w:date="2021-08-01T03:14:00Z"/>
        </w:rPr>
      </w:pPr>
      <w:ins w:id="270" w:author="Master Repository Process" w:date="2021-08-01T03:14:00Z">
        <w:r>
          <w:tab/>
          <w:t>(7)</w:t>
        </w:r>
        <w:r>
          <w:tab/>
          <w:t>If under subregulation (4) or (6) a fee (including a fee reduced under subregulation (5)) is paid in the grace period, the holder must pay, with the fee, a late payment fee equal to 1% of the fee.</w:t>
        </w:r>
      </w:ins>
    </w:p>
    <w:p>
      <w:pPr>
        <w:pStyle w:val="BlankClose"/>
        <w:rPr>
          <w:ins w:id="271" w:author="Master Repository Process" w:date="2021-08-01T03:14:00Z"/>
        </w:rPr>
      </w:pPr>
    </w:p>
    <w:p>
      <w:pPr>
        <w:pStyle w:val="nzHeading5"/>
        <w:rPr>
          <w:ins w:id="272" w:author="Master Repository Process" w:date="2021-08-01T03:14:00Z"/>
        </w:rPr>
      </w:pPr>
      <w:ins w:id="273" w:author="Master Repository Process" w:date="2021-08-01T03:14:00Z">
        <w:r>
          <w:rPr>
            <w:rStyle w:val="CharSectno"/>
          </w:rPr>
          <w:t>6</w:t>
        </w:r>
        <w:r>
          <w:t>.</w:t>
        </w:r>
        <w:r>
          <w:tab/>
          <w:t>Schedule 3 replaced</w:t>
        </w:r>
      </w:ins>
    </w:p>
    <w:p>
      <w:pPr>
        <w:pStyle w:val="nzSubsection"/>
        <w:rPr>
          <w:ins w:id="274" w:author="Master Repository Process" w:date="2021-08-01T03:14:00Z"/>
        </w:rPr>
      </w:pPr>
      <w:ins w:id="275" w:author="Master Repository Process" w:date="2021-08-01T03:14:00Z">
        <w:r>
          <w:tab/>
        </w:r>
        <w:r>
          <w:tab/>
          <w:t>Delete Schedule 3 and insert:</w:t>
        </w:r>
      </w:ins>
    </w:p>
    <w:p>
      <w:pPr>
        <w:pStyle w:val="BlankOpen"/>
        <w:rPr>
          <w:ins w:id="276" w:author="Master Repository Process" w:date="2021-08-01T03:14:00Z"/>
        </w:rPr>
      </w:pPr>
    </w:p>
    <w:p>
      <w:pPr>
        <w:pStyle w:val="nzHeading2"/>
        <w:rPr>
          <w:ins w:id="277" w:author="Master Repository Process" w:date="2021-08-01T03:14:00Z"/>
        </w:rPr>
      </w:pPr>
      <w:ins w:id="278" w:author="Master Repository Process" w:date="2021-08-01T03:14:00Z">
        <w:r>
          <w:t>Schedule 3 — Fees</w:t>
        </w:r>
      </w:ins>
    </w:p>
    <w:p>
      <w:pPr>
        <w:pStyle w:val="nzMiscellaneousBody"/>
        <w:jc w:val="right"/>
        <w:rPr>
          <w:ins w:id="279" w:author="Master Repository Process" w:date="2021-08-01T03:14:00Z"/>
        </w:rPr>
      </w:pPr>
      <w:ins w:id="280" w:author="Master Repository Process" w:date="2021-08-01T03:14:00Z">
        <w:r>
          <w:t>[r. 26 and 34]</w:t>
        </w:r>
      </w:ins>
    </w:p>
    <w:p>
      <w:pPr>
        <w:pStyle w:val="nzHeading5"/>
        <w:rPr>
          <w:ins w:id="281" w:author="Master Repository Process" w:date="2021-08-01T03:14:00Z"/>
        </w:rPr>
      </w:pPr>
      <w:ins w:id="282" w:author="Master Repository Process" w:date="2021-08-01T03:14:00Z">
        <w:r>
          <w:t>1.</w:t>
        </w:r>
        <w:r>
          <w:tab/>
          <w:t>Safety reports, fees for approval of (r. 26)</w:t>
        </w:r>
      </w:ins>
    </w:p>
    <w:p>
      <w:pPr>
        <w:pStyle w:val="nzSubsection"/>
        <w:rPr>
          <w:ins w:id="283" w:author="Master Repository Process" w:date="2021-08-01T03:14:00Z"/>
        </w:rPr>
      </w:pPr>
      <w:ins w:id="284" w:author="Master Repository Process" w:date="2021-08-01T03:14:00Z">
        <w:r>
          <w:tab/>
        </w:r>
        <w:r>
          <w:tab/>
          <w:t>The relevant fee to be paid under regulation 26 for an application for approval of a safety report for a major hazard facility is the fee in the Table relevant to the class of the facility.</w:t>
        </w:r>
      </w:ins>
    </w:p>
    <w:p>
      <w:pPr>
        <w:pStyle w:val="yTHeadingNAm"/>
        <w:rPr>
          <w:ins w:id="285" w:author="Master Repository Process" w:date="2021-08-01T03:14:00Z"/>
          <w:sz w:val="20"/>
        </w:rPr>
      </w:pPr>
      <w:ins w:id="286" w:author="Master Repository Process" w:date="2021-08-01T03:14:00Z">
        <w:r>
          <w:rPr>
            <w:sz w:val="20"/>
          </w:rPr>
          <w:t>Table</w:t>
        </w:r>
      </w:ins>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ins w:id="287" w:author="Master Repository Process" w:date="2021-08-01T03:14:00Z"/>
        </w:trPr>
        <w:tc>
          <w:tcPr>
            <w:tcW w:w="4394" w:type="dxa"/>
          </w:tcPr>
          <w:p>
            <w:pPr>
              <w:pStyle w:val="yTableNAm"/>
              <w:rPr>
                <w:ins w:id="288" w:author="Master Repository Process" w:date="2021-08-01T03:14:00Z"/>
                <w:sz w:val="20"/>
              </w:rPr>
            </w:pPr>
            <w:ins w:id="289" w:author="Master Repository Process" w:date="2021-08-01T03:14:00Z">
              <w:r>
                <w:rPr>
                  <w:b/>
                  <w:bCs/>
                  <w:sz w:val="20"/>
                </w:rPr>
                <w:t>Class of facility under r. 33</w:t>
              </w:r>
            </w:ins>
          </w:p>
        </w:tc>
        <w:tc>
          <w:tcPr>
            <w:tcW w:w="1185" w:type="dxa"/>
          </w:tcPr>
          <w:p>
            <w:pPr>
              <w:pStyle w:val="yTableNAm"/>
              <w:rPr>
                <w:ins w:id="290" w:author="Master Repository Process" w:date="2021-08-01T03:14:00Z"/>
                <w:sz w:val="20"/>
              </w:rPr>
            </w:pPr>
            <w:ins w:id="291" w:author="Master Repository Process" w:date="2021-08-01T03:14:00Z">
              <w:r>
                <w:rPr>
                  <w:b/>
                  <w:bCs/>
                  <w:sz w:val="20"/>
                </w:rPr>
                <w:t>Fee ($)</w:t>
              </w:r>
            </w:ins>
          </w:p>
        </w:tc>
      </w:tr>
      <w:tr>
        <w:trPr>
          <w:ins w:id="292" w:author="Master Repository Process" w:date="2021-08-01T03:14:00Z"/>
        </w:trPr>
        <w:tc>
          <w:tcPr>
            <w:tcW w:w="4394" w:type="dxa"/>
          </w:tcPr>
          <w:p>
            <w:pPr>
              <w:pStyle w:val="yTableNAm"/>
              <w:rPr>
                <w:ins w:id="293" w:author="Master Repository Process" w:date="2021-08-01T03:14:00Z"/>
                <w:sz w:val="20"/>
              </w:rPr>
            </w:pPr>
            <w:ins w:id="294" w:author="Master Repository Process" w:date="2021-08-01T03:14:00Z">
              <w:r>
                <w:rPr>
                  <w:sz w:val="20"/>
                </w:rPr>
                <w:t>Class A</w:t>
              </w:r>
            </w:ins>
          </w:p>
        </w:tc>
        <w:tc>
          <w:tcPr>
            <w:tcW w:w="1185" w:type="dxa"/>
          </w:tcPr>
          <w:p>
            <w:pPr>
              <w:pStyle w:val="yTableNAm"/>
              <w:rPr>
                <w:ins w:id="295" w:author="Master Repository Process" w:date="2021-08-01T03:14:00Z"/>
                <w:sz w:val="20"/>
              </w:rPr>
            </w:pPr>
            <w:ins w:id="296" w:author="Master Repository Process" w:date="2021-08-01T03:14:00Z">
              <w:r>
                <w:rPr>
                  <w:sz w:val="20"/>
                </w:rPr>
                <w:t>80 000</w:t>
              </w:r>
            </w:ins>
          </w:p>
        </w:tc>
      </w:tr>
      <w:tr>
        <w:trPr>
          <w:ins w:id="297" w:author="Master Repository Process" w:date="2021-08-01T03:14:00Z"/>
        </w:trPr>
        <w:tc>
          <w:tcPr>
            <w:tcW w:w="4394" w:type="dxa"/>
          </w:tcPr>
          <w:p>
            <w:pPr>
              <w:pStyle w:val="yTableNAm"/>
              <w:rPr>
                <w:ins w:id="298" w:author="Master Repository Process" w:date="2021-08-01T03:14:00Z"/>
                <w:sz w:val="20"/>
              </w:rPr>
            </w:pPr>
            <w:ins w:id="299" w:author="Master Repository Process" w:date="2021-08-01T03:14:00Z">
              <w:r>
                <w:rPr>
                  <w:sz w:val="20"/>
                </w:rPr>
                <w:t>Class B</w:t>
              </w:r>
            </w:ins>
          </w:p>
        </w:tc>
        <w:tc>
          <w:tcPr>
            <w:tcW w:w="1185" w:type="dxa"/>
          </w:tcPr>
          <w:p>
            <w:pPr>
              <w:pStyle w:val="yTableNAm"/>
              <w:rPr>
                <w:ins w:id="300" w:author="Master Repository Process" w:date="2021-08-01T03:14:00Z"/>
                <w:sz w:val="20"/>
              </w:rPr>
            </w:pPr>
            <w:ins w:id="301" w:author="Master Repository Process" w:date="2021-08-01T03:14:00Z">
              <w:r>
                <w:rPr>
                  <w:sz w:val="20"/>
                </w:rPr>
                <w:t>40 000</w:t>
              </w:r>
            </w:ins>
          </w:p>
        </w:tc>
      </w:tr>
      <w:tr>
        <w:trPr>
          <w:ins w:id="302" w:author="Master Repository Process" w:date="2021-08-01T03:14:00Z"/>
        </w:trPr>
        <w:tc>
          <w:tcPr>
            <w:tcW w:w="4394" w:type="dxa"/>
          </w:tcPr>
          <w:p>
            <w:pPr>
              <w:pStyle w:val="yTableNAm"/>
              <w:rPr>
                <w:ins w:id="303" w:author="Master Repository Process" w:date="2021-08-01T03:14:00Z"/>
                <w:sz w:val="20"/>
              </w:rPr>
            </w:pPr>
            <w:ins w:id="304" w:author="Master Repository Process" w:date="2021-08-01T03:14:00Z">
              <w:r>
                <w:rPr>
                  <w:sz w:val="20"/>
                </w:rPr>
                <w:t>Class C</w:t>
              </w:r>
            </w:ins>
          </w:p>
        </w:tc>
        <w:tc>
          <w:tcPr>
            <w:tcW w:w="1185" w:type="dxa"/>
          </w:tcPr>
          <w:p>
            <w:pPr>
              <w:pStyle w:val="yTableNAm"/>
              <w:rPr>
                <w:ins w:id="305" w:author="Master Repository Process" w:date="2021-08-01T03:14:00Z"/>
                <w:sz w:val="20"/>
              </w:rPr>
            </w:pPr>
            <w:ins w:id="306" w:author="Master Repository Process" w:date="2021-08-01T03:14:00Z">
              <w:r>
                <w:rPr>
                  <w:sz w:val="20"/>
                </w:rPr>
                <w:t>40 000</w:t>
              </w:r>
            </w:ins>
          </w:p>
        </w:tc>
      </w:tr>
      <w:tr>
        <w:trPr>
          <w:ins w:id="307" w:author="Master Repository Process" w:date="2021-08-01T03:14:00Z"/>
        </w:trPr>
        <w:tc>
          <w:tcPr>
            <w:tcW w:w="4394" w:type="dxa"/>
          </w:tcPr>
          <w:p>
            <w:pPr>
              <w:pStyle w:val="yTableNAm"/>
              <w:rPr>
                <w:ins w:id="308" w:author="Master Repository Process" w:date="2021-08-01T03:14:00Z"/>
                <w:sz w:val="20"/>
              </w:rPr>
            </w:pPr>
            <w:ins w:id="309" w:author="Master Repository Process" w:date="2021-08-01T03:14:00Z">
              <w:r>
                <w:rPr>
                  <w:sz w:val="20"/>
                </w:rPr>
                <w:t>Class D</w:t>
              </w:r>
            </w:ins>
          </w:p>
        </w:tc>
        <w:tc>
          <w:tcPr>
            <w:tcW w:w="1185" w:type="dxa"/>
          </w:tcPr>
          <w:p>
            <w:pPr>
              <w:pStyle w:val="yTableNAm"/>
              <w:rPr>
                <w:ins w:id="310" w:author="Master Repository Process" w:date="2021-08-01T03:14:00Z"/>
                <w:sz w:val="20"/>
              </w:rPr>
            </w:pPr>
            <w:ins w:id="311" w:author="Master Repository Process" w:date="2021-08-01T03:14:00Z">
              <w:r>
                <w:rPr>
                  <w:sz w:val="20"/>
                </w:rPr>
                <w:t>20 000</w:t>
              </w:r>
            </w:ins>
          </w:p>
        </w:tc>
      </w:tr>
    </w:tbl>
    <w:p>
      <w:pPr>
        <w:pStyle w:val="nzHeading5"/>
        <w:rPr>
          <w:ins w:id="312" w:author="Master Repository Process" w:date="2021-08-01T03:14:00Z"/>
        </w:rPr>
      </w:pPr>
      <w:ins w:id="313" w:author="Master Repository Process" w:date="2021-08-01T03:14:00Z">
        <w:r>
          <w:t>2.</w:t>
        </w:r>
        <w:r>
          <w:tab/>
          <w:t>Annual fees for major hazard facilities (r. 34)</w:t>
        </w:r>
      </w:ins>
    </w:p>
    <w:p>
      <w:pPr>
        <w:pStyle w:val="nzSubsection"/>
        <w:rPr>
          <w:ins w:id="314" w:author="Master Repository Process" w:date="2021-08-01T03:14:00Z"/>
        </w:rPr>
      </w:pPr>
      <w:ins w:id="315" w:author="Master Repository Process" w:date="2021-08-01T03:14:00Z">
        <w:r>
          <w:tab/>
        </w:r>
        <w:r>
          <w:tab/>
          <w:t>The relevant annual fee to be paid under regulation 34 in respect of a major hazard facility is the fee in the Table relevant to the class of the facility.</w:t>
        </w:r>
      </w:ins>
    </w:p>
    <w:p>
      <w:pPr>
        <w:pStyle w:val="yTHeadingNAm"/>
        <w:rPr>
          <w:ins w:id="316" w:author="Master Repository Process" w:date="2021-08-01T03:14:00Z"/>
          <w:sz w:val="20"/>
        </w:rPr>
      </w:pPr>
      <w:ins w:id="317" w:author="Master Repository Process" w:date="2021-08-01T03:14:00Z">
        <w:r>
          <w:rPr>
            <w:sz w:val="20"/>
          </w:rPr>
          <w:t>Table</w:t>
        </w:r>
      </w:ins>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ins w:id="318" w:author="Master Repository Process" w:date="2021-08-01T03:14:00Z"/>
        </w:trPr>
        <w:tc>
          <w:tcPr>
            <w:tcW w:w="4394" w:type="dxa"/>
          </w:tcPr>
          <w:p>
            <w:pPr>
              <w:pStyle w:val="yTableNAm"/>
              <w:rPr>
                <w:ins w:id="319" w:author="Master Repository Process" w:date="2021-08-01T03:14:00Z"/>
                <w:sz w:val="20"/>
              </w:rPr>
            </w:pPr>
            <w:ins w:id="320" w:author="Master Repository Process" w:date="2021-08-01T03:14:00Z">
              <w:r>
                <w:rPr>
                  <w:b/>
                  <w:bCs/>
                  <w:sz w:val="20"/>
                </w:rPr>
                <w:t>Class of facility under r. 33</w:t>
              </w:r>
            </w:ins>
          </w:p>
        </w:tc>
        <w:tc>
          <w:tcPr>
            <w:tcW w:w="1185" w:type="dxa"/>
          </w:tcPr>
          <w:p>
            <w:pPr>
              <w:pStyle w:val="yTableNAm"/>
              <w:rPr>
                <w:ins w:id="321" w:author="Master Repository Process" w:date="2021-08-01T03:14:00Z"/>
                <w:sz w:val="20"/>
              </w:rPr>
            </w:pPr>
            <w:ins w:id="322" w:author="Master Repository Process" w:date="2021-08-01T03:14:00Z">
              <w:r>
                <w:rPr>
                  <w:b/>
                  <w:bCs/>
                  <w:sz w:val="20"/>
                </w:rPr>
                <w:t>Fee ($)</w:t>
              </w:r>
            </w:ins>
          </w:p>
        </w:tc>
      </w:tr>
      <w:tr>
        <w:trPr>
          <w:ins w:id="323" w:author="Master Repository Process" w:date="2021-08-01T03:14:00Z"/>
        </w:trPr>
        <w:tc>
          <w:tcPr>
            <w:tcW w:w="4394" w:type="dxa"/>
          </w:tcPr>
          <w:p>
            <w:pPr>
              <w:pStyle w:val="yTableNAm"/>
              <w:rPr>
                <w:ins w:id="324" w:author="Master Repository Process" w:date="2021-08-01T03:14:00Z"/>
                <w:sz w:val="20"/>
              </w:rPr>
            </w:pPr>
            <w:ins w:id="325" w:author="Master Repository Process" w:date="2021-08-01T03:14:00Z">
              <w:r>
                <w:rPr>
                  <w:sz w:val="20"/>
                </w:rPr>
                <w:t>Class A</w:t>
              </w:r>
            </w:ins>
          </w:p>
        </w:tc>
        <w:tc>
          <w:tcPr>
            <w:tcW w:w="1185" w:type="dxa"/>
          </w:tcPr>
          <w:p>
            <w:pPr>
              <w:pStyle w:val="yTableNAm"/>
              <w:rPr>
                <w:ins w:id="326" w:author="Master Repository Process" w:date="2021-08-01T03:14:00Z"/>
                <w:sz w:val="20"/>
              </w:rPr>
            </w:pPr>
            <w:ins w:id="327" w:author="Master Repository Process" w:date="2021-08-01T03:14:00Z">
              <w:r>
                <w:rPr>
                  <w:sz w:val="20"/>
                </w:rPr>
                <w:t>80 000</w:t>
              </w:r>
            </w:ins>
          </w:p>
        </w:tc>
      </w:tr>
      <w:tr>
        <w:trPr>
          <w:ins w:id="328" w:author="Master Repository Process" w:date="2021-08-01T03:14:00Z"/>
        </w:trPr>
        <w:tc>
          <w:tcPr>
            <w:tcW w:w="4394" w:type="dxa"/>
          </w:tcPr>
          <w:p>
            <w:pPr>
              <w:pStyle w:val="yTableNAm"/>
              <w:rPr>
                <w:ins w:id="329" w:author="Master Repository Process" w:date="2021-08-01T03:14:00Z"/>
                <w:sz w:val="20"/>
              </w:rPr>
            </w:pPr>
            <w:ins w:id="330" w:author="Master Repository Process" w:date="2021-08-01T03:14:00Z">
              <w:r>
                <w:rPr>
                  <w:sz w:val="20"/>
                </w:rPr>
                <w:t>Class B</w:t>
              </w:r>
            </w:ins>
          </w:p>
        </w:tc>
        <w:tc>
          <w:tcPr>
            <w:tcW w:w="1185" w:type="dxa"/>
          </w:tcPr>
          <w:p>
            <w:pPr>
              <w:pStyle w:val="yTableNAm"/>
              <w:rPr>
                <w:ins w:id="331" w:author="Master Repository Process" w:date="2021-08-01T03:14:00Z"/>
                <w:sz w:val="20"/>
              </w:rPr>
            </w:pPr>
            <w:ins w:id="332" w:author="Master Repository Process" w:date="2021-08-01T03:14:00Z">
              <w:r>
                <w:rPr>
                  <w:sz w:val="20"/>
                </w:rPr>
                <w:t>40 000</w:t>
              </w:r>
            </w:ins>
          </w:p>
        </w:tc>
      </w:tr>
      <w:tr>
        <w:trPr>
          <w:ins w:id="333" w:author="Master Repository Process" w:date="2021-08-01T03:14:00Z"/>
        </w:trPr>
        <w:tc>
          <w:tcPr>
            <w:tcW w:w="4394" w:type="dxa"/>
          </w:tcPr>
          <w:p>
            <w:pPr>
              <w:pStyle w:val="yTableNAm"/>
              <w:rPr>
                <w:ins w:id="334" w:author="Master Repository Process" w:date="2021-08-01T03:14:00Z"/>
                <w:sz w:val="20"/>
              </w:rPr>
            </w:pPr>
            <w:ins w:id="335" w:author="Master Repository Process" w:date="2021-08-01T03:14:00Z">
              <w:r>
                <w:rPr>
                  <w:sz w:val="20"/>
                </w:rPr>
                <w:t>Class C</w:t>
              </w:r>
            </w:ins>
          </w:p>
        </w:tc>
        <w:tc>
          <w:tcPr>
            <w:tcW w:w="1185" w:type="dxa"/>
          </w:tcPr>
          <w:p>
            <w:pPr>
              <w:pStyle w:val="yTableNAm"/>
              <w:rPr>
                <w:ins w:id="336" w:author="Master Repository Process" w:date="2021-08-01T03:14:00Z"/>
                <w:sz w:val="20"/>
              </w:rPr>
            </w:pPr>
            <w:ins w:id="337" w:author="Master Repository Process" w:date="2021-08-01T03:14:00Z">
              <w:r>
                <w:rPr>
                  <w:sz w:val="20"/>
                </w:rPr>
                <w:t>40 000</w:t>
              </w:r>
            </w:ins>
          </w:p>
        </w:tc>
      </w:tr>
      <w:tr>
        <w:trPr>
          <w:ins w:id="338" w:author="Master Repository Process" w:date="2021-08-01T03:14:00Z"/>
        </w:trPr>
        <w:tc>
          <w:tcPr>
            <w:tcW w:w="4394" w:type="dxa"/>
          </w:tcPr>
          <w:p>
            <w:pPr>
              <w:pStyle w:val="yTableNAm"/>
              <w:rPr>
                <w:ins w:id="339" w:author="Master Repository Process" w:date="2021-08-01T03:14:00Z"/>
                <w:sz w:val="20"/>
              </w:rPr>
            </w:pPr>
            <w:ins w:id="340" w:author="Master Repository Process" w:date="2021-08-01T03:14:00Z">
              <w:r>
                <w:rPr>
                  <w:sz w:val="20"/>
                </w:rPr>
                <w:t>Class D</w:t>
              </w:r>
            </w:ins>
          </w:p>
        </w:tc>
        <w:tc>
          <w:tcPr>
            <w:tcW w:w="1185" w:type="dxa"/>
          </w:tcPr>
          <w:p>
            <w:pPr>
              <w:pStyle w:val="yTableNAm"/>
              <w:rPr>
                <w:ins w:id="341" w:author="Master Repository Process" w:date="2021-08-01T03:14:00Z"/>
                <w:sz w:val="20"/>
              </w:rPr>
            </w:pPr>
            <w:ins w:id="342" w:author="Master Repository Process" w:date="2021-08-01T03:14:00Z">
              <w:r>
                <w:rPr>
                  <w:sz w:val="20"/>
                </w:rPr>
                <w:t>20 000</w:t>
              </w:r>
            </w:ins>
          </w:p>
        </w:tc>
      </w:tr>
    </w:tbl>
    <w:p>
      <w:pPr>
        <w:pStyle w:val="BlankClose"/>
      </w:pP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2121"/>
    <w:docVar w:name="WAFER_20151210102121" w:val="RemoveTrackChanges"/>
    <w:docVar w:name="WAFER_20151210102121_GUID" w:val="68607960-527b-47c1-b75d-f99329203f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134326-CAD3-4E15-BD52-D6115822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9150</Words>
  <Characters>43829</Characters>
  <Application>Microsoft Office Word</Application>
  <DocSecurity>0</DocSecurity>
  <Lines>1460</Lines>
  <Paragraphs>897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00-f0-02 - 00-g0-03</dc:title>
  <dc:subject/>
  <dc:creator/>
  <cp:keywords/>
  <dc:description/>
  <cp:lastModifiedBy>Master Repository Process</cp:lastModifiedBy>
  <cp:revision>2</cp:revision>
  <cp:lastPrinted>2007-12-11T09:45:00Z</cp:lastPrinted>
  <dcterms:created xsi:type="dcterms:W3CDTF">2021-07-31T19:14:00Z</dcterms:created>
  <dcterms:modified xsi:type="dcterms:W3CDTF">2021-07-31T19:14:00Z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20120316</vt:lpwstr>
  </property>
  <property fmtid="{D5CDD505-2E9C-101B-9397-08002B2CF9AE}" pid="4" name="OwlsUID">
    <vt:i4>36895</vt:i4>
  </property>
  <property fmtid="{D5CDD505-2E9C-101B-9397-08002B2CF9AE}" pid="5" name="DocumentType">
    <vt:lpwstr>Reg</vt:lpwstr>
  </property>
  <property fmtid="{D5CDD505-2E9C-101B-9397-08002B2CF9AE}" pid="6" name="FromSuffix">
    <vt:lpwstr>00-f0-02</vt:lpwstr>
  </property>
  <property fmtid="{D5CDD505-2E9C-101B-9397-08002B2CF9AE}" pid="7" name="FromAsAtDate">
    <vt:lpwstr>01 Jul 2010</vt:lpwstr>
  </property>
  <property fmtid="{D5CDD505-2E9C-101B-9397-08002B2CF9AE}" pid="8" name="ToSuffix">
    <vt:lpwstr>00-g0-03</vt:lpwstr>
  </property>
  <property fmtid="{D5CDD505-2E9C-101B-9397-08002B2CF9AE}" pid="9" name="ToAsAtDate">
    <vt:lpwstr>16 Mar 2012</vt:lpwstr>
  </property>
</Properties>
</file>