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Heading2"/>
      </w:pPr>
      <w:bookmarkStart w:id="1" w:name="_Toc202345117"/>
      <w:bookmarkStart w:id="2" w:name="_Toc215543304"/>
      <w:bookmarkStart w:id="3" w:name="_Toc232397155"/>
      <w:bookmarkStart w:id="4" w:name="_Toc272236793"/>
      <w:bookmarkStart w:id="5" w:name="_Toc2752534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27525344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7" w:name="_Toc27525344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8" w:name="_Toc275253443"/>
      <w:r>
        <w:rPr>
          <w:rStyle w:val="CharSectno"/>
        </w:rPr>
        <w:t>3</w:t>
      </w:r>
      <w:r>
        <w:rPr>
          <w:snapToGrid w:val="0"/>
        </w:rPr>
        <w:t>.</w:t>
      </w:r>
      <w:r>
        <w:rPr>
          <w:snapToGrid w:val="0"/>
        </w:rPr>
        <w:tab/>
        <w:t>Terms used in this Act</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No. 35 of 2010 s. 116; amended in Gazette 15 Aug 2003 p. 3688.]</w:t>
      </w:r>
    </w:p>
    <w:p>
      <w:pPr>
        <w:pStyle w:val="Heading5"/>
        <w:rPr>
          <w:snapToGrid w:val="0"/>
        </w:rPr>
      </w:pPr>
      <w:bookmarkStart w:id="9" w:name="_Toc275253444"/>
      <w:r>
        <w:rPr>
          <w:rStyle w:val="CharSectno"/>
        </w:rPr>
        <w:t>4</w:t>
      </w:r>
      <w:r>
        <w:rPr>
          <w:snapToGrid w:val="0"/>
        </w:rPr>
        <w:t>.</w:t>
      </w:r>
      <w:r>
        <w:rPr>
          <w:snapToGrid w:val="0"/>
        </w:rPr>
        <w:tab/>
        <w:t>Application to Crown</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0" w:name="_Toc202345122"/>
      <w:bookmarkStart w:id="11" w:name="_Toc215543309"/>
      <w:bookmarkStart w:id="12" w:name="_Toc232397160"/>
      <w:bookmarkStart w:id="13" w:name="_Toc272236798"/>
      <w:bookmarkStart w:id="14" w:name="_Toc275253445"/>
      <w:r>
        <w:rPr>
          <w:rStyle w:val="CharPartNo"/>
        </w:rPr>
        <w:t>Part 2</w:t>
      </w:r>
      <w:r>
        <w:rPr>
          <w:rStyle w:val="CharDivNo"/>
        </w:rPr>
        <w:t> </w:t>
      </w:r>
      <w:r>
        <w:t>—</w:t>
      </w:r>
      <w:r>
        <w:rPr>
          <w:rStyle w:val="CharDivText"/>
        </w:rPr>
        <w:t> </w:t>
      </w:r>
      <w:r>
        <w:rPr>
          <w:rStyle w:val="CharPartText"/>
        </w:rPr>
        <w:t>Application of minimum conditions</w:t>
      </w:r>
      <w:bookmarkEnd w:id="10"/>
      <w:bookmarkEnd w:id="11"/>
      <w:bookmarkEnd w:id="12"/>
      <w:bookmarkEnd w:id="13"/>
      <w:bookmarkEnd w:id="14"/>
      <w:r>
        <w:rPr>
          <w:rStyle w:val="CharPartText"/>
        </w:rPr>
        <w:t xml:space="preserve"> </w:t>
      </w:r>
    </w:p>
    <w:p>
      <w:pPr>
        <w:pStyle w:val="Heading5"/>
        <w:rPr>
          <w:snapToGrid w:val="0"/>
        </w:rPr>
      </w:pPr>
      <w:bookmarkStart w:id="15" w:name="_Toc275253446"/>
      <w:r>
        <w:rPr>
          <w:rStyle w:val="CharSectno"/>
        </w:rPr>
        <w:t>5</w:t>
      </w:r>
      <w:r>
        <w:rPr>
          <w:snapToGrid w:val="0"/>
        </w:rPr>
        <w:t>.</w:t>
      </w:r>
      <w:r>
        <w:rPr>
          <w:snapToGrid w:val="0"/>
        </w:rPr>
        <w:tab/>
        <w:t>Minimum conditions implied in awards etc.</w:t>
      </w:r>
      <w:bookmarkEnd w:id="15"/>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6" w:name="_Toc275253447"/>
      <w:r>
        <w:rPr>
          <w:rStyle w:val="CharSectno"/>
        </w:rPr>
        <w:t>6</w:t>
      </w:r>
      <w:r>
        <w:rPr>
          <w:snapToGrid w:val="0"/>
        </w:rPr>
        <w:t>.</w:t>
      </w:r>
      <w:r>
        <w:rPr>
          <w:snapToGrid w:val="0"/>
        </w:rPr>
        <w:tab/>
        <w:t>Application offshore</w:t>
      </w:r>
      <w:bookmarkEnd w:id="16"/>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7" w:name="_Toc275253448"/>
      <w:r>
        <w:rPr>
          <w:rStyle w:val="CharSectno"/>
        </w:rPr>
        <w:t>7</w:t>
      </w:r>
      <w:r>
        <w:rPr>
          <w:snapToGrid w:val="0"/>
        </w:rPr>
        <w:t>.</w:t>
      </w:r>
      <w:r>
        <w:rPr>
          <w:snapToGrid w:val="0"/>
        </w:rPr>
        <w:tab/>
        <w:t>Enforcement of minimum conditions</w:t>
      </w:r>
      <w:bookmarkEnd w:id="17"/>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8" w:name="_Toc275253449"/>
      <w:r>
        <w:rPr>
          <w:rStyle w:val="CharSectno"/>
        </w:rPr>
        <w:t>8</w:t>
      </w:r>
      <w:r>
        <w:rPr>
          <w:snapToGrid w:val="0"/>
        </w:rPr>
        <w:t>.</w:t>
      </w:r>
      <w:r>
        <w:rPr>
          <w:snapToGrid w:val="0"/>
        </w:rPr>
        <w:tab/>
        <w:t>Limited contracting</w:t>
      </w:r>
      <w:r>
        <w:rPr>
          <w:snapToGrid w:val="0"/>
        </w:rPr>
        <w:noBreakHyphen/>
        <w:t>out of annual leave conditions</w:t>
      </w:r>
      <w:bookmarkEnd w:id="18"/>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9" w:name="_Toc275253450"/>
      <w:r>
        <w:rPr>
          <w:rStyle w:val="CharSectno"/>
        </w:rPr>
        <w:t>9</w:t>
      </w:r>
      <w:r>
        <w:rPr>
          <w:snapToGrid w:val="0"/>
        </w:rPr>
        <w:t>.</w:t>
      </w:r>
      <w:r>
        <w:rPr>
          <w:snapToGrid w:val="0"/>
        </w:rPr>
        <w:tab/>
        <w:t>Limited contracting</w:t>
      </w:r>
      <w:r>
        <w:rPr>
          <w:snapToGrid w:val="0"/>
        </w:rPr>
        <w:noBreakHyphen/>
        <w:t>out of minimum wage entitlement</w:t>
      </w:r>
      <w:bookmarkEnd w:id="19"/>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20" w:name="_Toc202345128"/>
      <w:bookmarkStart w:id="21" w:name="_Toc215543315"/>
      <w:bookmarkStart w:id="22" w:name="_Toc232397166"/>
      <w:bookmarkStart w:id="23" w:name="_Toc272236804"/>
      <w:bookmarkStart w:id="24" w:name="_Toc275253451"/>
      <w:r>
        <w:rPr>
          <w:rStyle w:val="CharPartNo"/>
        </w:rPr>
        <w:t>Part 2A</w:t>
      </w:r>
      <w:r>
        <w:rPr>
          <w:b w:val="0"/>
        </w:rPr>
        <w:t> </w:t>
      </w:r>
      <w:r>
        <w:t xml:space="preserve">— </w:t>
      </w:r>
      <w:r>
        <w:rPr>
          <w:rStyle w:val="CharPartText"/>
        </w:rPr>
        <w:t>Reasonable hours of work</w:t>
      </w:r>
      <w:bookmarkEnd w:id="20"/>
      <w:bookmarkEnd w:id="21"/>
      <w:bookmarkEnd w:id="22"/>
      <w:bookmarkEnd w:id="23"/>
      <w:bookmarkEnd w:id="24"/>
    </w:p>
    <w:p>
      <w:pPr>
        <w:pStyle w:val="Footnoteheading"/>
      </w:pPr>
      <w:r>
        <w:tab/>
        <w:t>[Heading inserted by No. 36 of 2006 s. 5.]</w:t>
      </w:r>
    </w:p>
    <w:p>
      <w:pPr>
        <w:pStyle w:val="Heading5"/>
      </w:pPr>
      <w:bookmarkStart w:id="25" w:name="_Toc275253452"/>
      <w:r>
        <w:rPr>
          <w:rStyle w:val="CharSectno"/>
        </w:rPr>
        <w:t>9A</w:t>
      </w:r>
      <w:r>
        <w:t>.</w:t>
      </w:r>
      <w:r>
        <w:tab/>
        <w:t>Maximum hours of work</w:t>
      </w:r>
      <w:bookmarkEnd w:id="25"/>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6" w:name="_Toc275253453"/>
      <w:r>
        <w:rPr>
          <w:rStyle w:val="CharSectno"/>
        </w:rPr>
        <w:t>9B</w:t>
      </w:r>
      <w:r>
        <w:t>.</w:t>
      </w:r>
      <w:r>
        <w:tab/>
        <w:t>Reasonable additional hours</w:t>
      </w:r>
      <w:bookmarkEnd w:id="26"/>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7" w:name="_Toc202345131"/>
      <w:bookmarkStart w:id="28" w:name="_Toc215543318"/>
      <w:bookmarkStart w:id="29" w:name="_Toc232397169"/>
      <w:bookmarkStart w:id="30" w:name="_Toc272236807"/>
      <w:bookmarkStart w:id="31" w:name="_Toc275253454"/>
      <w:r>
        <w:rPr>
          <w:rStyle w:val="CharPartNo"/>
        </w:rPr>
        <w:t>Part 3</w:t>
      </w:r>
      <w:r>
        <w:t xml:space="preserve"> — </w:t>
      </w:r>
      <w:r>
        <w:rPr>
          <w:rStyle w:val="CharPartText"/>
        </w:rPr>
        <w:t>Minimum rates of pay</w:t>
      </w:r>
      <w:bookmarkEnd w:id="27"/>
      <w:bookmarkEnd w:id="28"/>
      <w:bookmarkEnd w:id="29"/>
      <w:bookmarkEnd w:id="30"/>
      <w:bookmarkEnd w:id="31"/>
    </w:p>
    <w:p>
      <w:pPr>
        <w:pStyle w:val="Footnoteheading"/>
        <w:tabs>
          <w:tab w:val="left" w:pos="851"/>
        </w:tabs>
      </w:pPr>
      <w:r>
        <w:tab/>
        <w:t>[Heading inserted by No. 20 of 2002 s. 167.]</w:t>
      </w:r>
    </w:p>
    <w:p>
      <w:pPr>
        <w:pStyle w:val="Heading5"/>
      </w:pPr>
      <w:bookmarkStart w:id="32" w:name="_Toc275253455"/>
      <w:r>
        <w:rPr>
          <w:rStyle w:val="CharSectno"/>
        </w:rPr>
        <w:t>10</w:t>
      </w:r>
      <w:r>
        <w:t>.</w:t>
      </w:r>
      <w:r>
        <w:tab/>
        <w:t>Entitlement of employees to be paid a minimum rate of pay</w:t>
      </w:r>
      <w:bookmarkEnd w:id="32"/>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33" w:name="_Toc275253456"/>
      <w:r>
        <w:rPr>
          <w:rStyle w:val="CharSectno"/>
        </w:rPr>
        <w:t>11</w:t>
      </w:r>
      <w:r>
        <w:t>.</w:t>
      </w:r>
      <w:r>
        <w:tab/>
        <w:t>Minimum rate of pay for casual employees includes a loading</w:t>
      </w:r>
      <w:bookmarkEnd w:id="33"/>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4" w:name="_Toc275253457"/>
      <w:r>
        <w:rPr>
          <w:rStyle w:val="CharSectno"/>
        </w:rPr>
        <w:t>12</w:t>
      </w:r>
      <w:r>
        <w:t>.</w:t>
      </w:r>
      <w:r>
        <w:tab/>
        <w:t>Minimum weekly rate of pay for employees aged 21 or more</w:t>
      </w:r>
      <w:bookmarkEnd w:id="34"/>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35" w:name="_Toc275253458"/>
      <w:r>
        <w:rPr>
          <w:rStyle w:val="CharSectno"/>
        </w:rPr>
        <w:t>13</w:t>
      </w:r>
      <w:r>
        <w:t>.</w:t>
      </w:r>
      <w:r>
        <w:tab/>
        <w:t>Minimum weekly rate of pay for employees aged under 21</w:t>
      </w:r>
      <w:bookmarkEnd w:id="35"/>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36" w:name="_Toc275253459"/>
      <w:r>
        <w:rPr>
          <w:rStyle w:val="CharSectno"/>
        </w:rPr>
        <w:t>14</w:t>
      </w:r>
      <w:r>
        <w:t>.</w:t>
      </w:r>
      <w:r>
        <w:tab/>
        <w:t>Minimum weekly rates of pay for apprentices</w:t>
      </w:r>
      <w:bookmarkEnd w:id="36"/>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37" w:name="_Toc202345138"/>
      <w:bookmarkStart w:id="38" w:name="_Toc215543325"/>
      <w:bookmarkStart w:id="39" w:name="_Toc232397175"/>
      <w:bookmarkStart w:id="40" w:name="_Toc272236813"/>
      <w:bookmarkStart w:id="41" w:name="_Toc275253460"/>
      <w:r>
        <w:rPr>
          <w:rStyle w:val="CharPartNo"/>
        </w:rPr>
        <w:t>Part 3A</w:t>
      </w:r>
      <w:r>
        <w:rPr>
          <w:rStyle w:val="CharDivNo"/>
        </w:rPr>
        <w:t> </w:t>
      </w:r>
      <w:r>
        <w:t>—</w:t>
      </w:r>
      <w:r>
        <w:rPr>
          <w:rStyle w:val="CharDivText"/>
        </w:rPr>
        <w:t> </w:t>
      </w:r>
      <w:r>
        <w:rPr>
          <w:rStyle w:val="CharPartText"/>
        </w:rPr>
        <w:t>Other requirements as to pay</w:t>
      </w:r>
      <w:bookmarkEnd w:id="37"/>
      <w:bookmarkEnd w:id="38"/>
      <w:bookmarkEnd w:id="39"/>
      <w:bookmarkEnd w:id="40"/>
      <w:bookmarkEnd w:id="41"/>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42" w:name="_Toc275253461"/>
      <w:r>
        <w:rPr>
          <w:rStyle w:val="CharSectno"/>
        </w:rPr>
        <w:t>17A</w:t>
      </w:r>
      <w:r>
        <w:rPr>
          <w:snapToGrid w:val="0"/>
        </w:rPr>
        <w:t>.</w:t>
      </w:r>
      <w:r>
        <w:rPr>
          <w:snapToGrid w:val="0"/>
        </w:rPr>
        <w:tab/>
        <w:t>Terms used in this Part</w:t>
      </w:r>
      <w:bookmarkEnd w:id="42"/>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43" w:name="_Toc275253462"/>
      <w:r>
        <w:rPr>
          <w:rStyle w:val="CharSectno"/>
        </w:rPr>
        <w:t>17B</w:t>
      </w:r>
      <w:r>
        <w:rPr>
          <w:snapToGrid w:val="0"/>
        </w:rPr>
        <w:t xml:space="preserve">. </w:t>
      </w:r>
      <w:r>
        <w:rPr>
          <w:snapToGrid w:val="0"/>
        </w:rPr>
        <w:tab/>
        <w:t>Employee not to be compelled to accept other than money for pay etc.</w:t>
      </w:r>
      <w:bookmarkEnd w:id="43"/>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44" w:name="_Toc275253463"/>
      <w:r>
        <w:rPr>
          <w:rStyle w:val="CharSectno"/>
        </w:rPr>
        <w:t>17C</w:t>
      </w:r>
      <w:r>
        <w:rPr>
          <w:snapToGrid w:val="0"/>
        </w:rPr>
        <w:t xml:space="preserve">. </w:t>
      </w:r>
      <w:r>
        <w:rPr>
          <w:snapToGrid w:val="0"/>
        </w:rPr>
        <w:tab/>
        <w:t>Employee’s pay, methods of payment</w:t>
      </w:r>
      <w:bookmarkEnd w:id="44"/>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45" w:name="_Toc275253464"/>
      <w:r>
        <w:rPr>
          <w:rStyle w:val="CharSectno"/>
        </w:rPr>
        <w:t>17D</w:t>
      </w:r>
      <w:r>
        <w:rPr>
          <w:snapToGrid w:val="0"/>
        </w:rPr>
        <w:t xml:space="preserve">. </w:t>
      </w:r>
      <w:r>
        <w:rPr>
          <w:snapToGrid w:val="0"/>
        </w:rPr>
        <w:tab/>
        <w:t>Authorised deductions from pay</w:t>
      </w:r>
      <w:bookmarkEnd w:id="45"/>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46" w:name="_Toc202345143"/>
      <w:bookmarkStart w:id="47" w:name="_Toc215543330"/>
      <w:bookmarkStart w:id="48" w:name="_Toc232397180"/>
      <w:bookmarkStart w:id="49" w:name="_Toc272236818"/>
      <w:bookmarkStart w:id="50" w:name="_Toc275253465"/>
      <w:r>
        <w:rPr>
          <w:rStyle w:val="CharPartNo"/>
        </w:rPr>
        <w:t>Part 4</w:t>
      </w:r>
      <w:r>
        <w:t> — </w:t>
      </w:r>
      <w:r>
        <w:rPr>
          <w:rStyle w:val="CharPartText"/>
        </w:rPr>
        <w:t>Minimum leave conditions</w:t>
      </w:r>
      <w:bookmarkEnd w:id="46"/>
      <w:bookmarkEnd w:id="47"/>
      <w:bookmarkEnd w:id="48"/>
      <w:bookmarkEnd w:id="49"/>
      <w:bookmarkEnd w:id="50"/>
      <w:r>
        <w:rPr>
          <w:rStyle w:val="CharPartText"/>
        </w:rPr>
        <w:t xml:space="preserve"> </w:t>
      </w:r>
    </w:p>
    <w:p>
      <w:pPr>
        <w:pStyle w:val="Heading3"/>
        <w:rPr>
          <w:snapToGrid w:val="0"/>
        </w:rPr>
      </w:pPr>
      <w:bookmarkStart w:id="51" w:name="_Toc202345144"/>
      <w:bookmarkStart w:id="52" w:name="_Toc215543331"/>
      <w:bookmarkStart w:id="53" w:name="_Toc232397181"/>
      <w:bookmarkStart w:id="54" w:name="_Toc272236819"/>
      <w:bookmarkStart w:id="55" w:name="_Toc275253466"/>
      <w:r>
        <w:rPr>
          <w:rStyle w:val="CharDivNo"/>
        </w:rPr>
        <w:t>Division 1</w:t>
      </w:r>
      <w:r>
        <w:rPr>
          <w:snapToGrid w:val="0"/>
        </w:rPr>
        <w:t> — </w:t>
      </w:r>
      <w:r>
        <w:rPr>
          <w:rStyle w:val="CharDivText"/>
        </w:rPr>
        <w:t>Preliminary</w:t>
      </w:r>
      <w:bookmarkEnd w:id="51"/>
      <w:bookmarkEnd w:id="52"/>
      <w:bookmarkEnd w:id="53"/>
      <w:bookmarkEnd w:id="54"/>
      <w:bookmarkEnd w:id="55"/>
      <w:r>
        <w:rPr>
          <w:rStyle w:val="CharDivText"/>
        </w:rPr>
        <w:t xml:space="preserve"> </w:t>
      </w:r>
    </w:p>
    <w:p>
      <w:pPr>
        <w:pStyle w:val="Heading5"/>
        <w:rPr>
          <w:snapToGrid w:val="0"/>
        </w:rPr>
      </w:pPr>
      <w:bookmarkStart w:id="56" w:name="_Toc275253467"/>
      <w:r>
        <w:rPr>
          <w:rStyle w:val="CharSectno"/>
        </w:rPr>
        <w:t>18</w:t>
      </w:r>
      <w:r>
        <w:rPr>
          <w:snapToGrid w:val="0"/>
        </w:rPr>
        <w:t>.</w:t>
      </w:r>
      <w:r>
        <w:rPr>
          <w:snapToGrid w:val="0"/>
        </w:rPr>
        <w:tab/>
        <w:t>Paid leave, how pay calculated</w:t>
      </w:r>
      <w:bookmarkEnd w:id="56"/>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57" w:name="_Toc202345146"/>
      <w:bookmarkStart w:id="58" w:name="_Toc215543333"/>
      <w:bookmarkStart w:id="59" w:name="_Toc232397183"/>
      <w:bookmarkStart w:id="60" w:name="_Toc272236821"/>
      <w:bookmarkStart w:id="61" w:name="_Toc275253468"/>
      <w:r>
        <w:rPr>
          <w:rStyle w:val="CharDivNo"/>
        </w:rPr>
        <w:t>Division 2</w:t>
      </w:r>
      <w:r>
        <w:rPr>
          <w:snapToGrid w:val="0"/>
        </w:rPr>
        <w:t> — </w:t>
      </w:r>
      <w:r>
        <w:rPr>
          <w:rStyle w:val="CharDivText"/>
        </w:rPr>
        <w:t>Leave for illness or injury or family care</w:t>
      </w:r>
      <w:bookmarkEnd w:id="57"/>
      <w:bookmarkEnd w:id="58"/>
      <w:bookmarkEnd w:id="59"/>
      <w:bookmarkEnd w:id="60"/>
      <w:bookmarkEnd w:id="61"/>
      <w:r>
        <w:t xml:space="preserve"> </w:t>
      </w:r>
    </w:p>
    <w:p>
      <w:pPr>
        <w:pStyle w:val="Footnoteheading"/>
      </w:pPr>
      <w:r>
        <w:tab/>
        <w:t>[Heading amended by No. 36 of 2006 s. 30.]</w:t>
      </w:r>
    </w:p>
    <w:p>
      <w:pPr>
        <w:pStyle w:val="Heading5"/>
      </w:pPr>
      <w:bookmarkStart w:id="62" w:name="_Toc275253469"/>
      <w:r>
        <w:rPr>
          <w:rStyle w:val="CharSectno"/>
        </w:rPr>
        <w:t>19</w:t>
      </w:r>
      <w:r>
        <w:t>.</w:t>
      </w:r>
      <w:r>
        <w:tab/>
        <w:t>Entitlement to paid leave for illness, injury or family care</w:t>
      </w:r>
      <w:bookmarkEnd w:id="62"/>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63" w:name="_Toc275253470"/>
      <w:r>
        <w:rPr>
          <w:rStyle w:val="CharSectno"/>
        </w:rPr>
        <w:t>20</w:t>
      </w:r>
      <w:r>
        <w:t>.</w:t>
      </w:r>
      <w:r>
        <w:tab/>
        <w:t>Employee may use entitlement as paid sick leave</w:t>
      </w:r>
      <w:bookmarkEnd w:id="63"/>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64" w:name="_Toc275253471"/>
      <w:r>
        <w:rPr>
          <w:rStyle w:val="CharSectno"/>
        </w:rPr>
        <w:t>20A</w:t>
      </w:r>
      <w:r>
        <w:t>.</w:t>
      </w:r>
      <w:r>
        <w:tab/>
        <w:t>Employee may use entitlement as paid carer’s leave</w:t>
      </w:r>
      <w:bookmarkEnd w:id="64"/>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65" w:name="_Toc275253472"/>
      <w:r>
        <w:rPr>
          <w:rStyle w:val="CharSectno"/>
        </w:rPr>
        <w:t>20B</w:t>
      </w:r>
      <w:r>
        <w:t>.</w:t>
      </w:r>
      <w:r>
        <w:tab/>
        <w:t>Unpaid carer’s leave</w:t>
      </w:r>
      <w:bookmarkEnd w:id="65"/>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66" w:name="_Toc275253473"/>
      <w:r>
        <w:rPr>
          <w:rStyle w:val="CharSectno"/>
        </w:rPr>
        <w:t>21</w:t>
      </w:r>
      <w:r>
        <w:t>.</w:t>
      </w:r>
      <w:r>
        <w:tab/>
        <w:t>Certain matters as to sick leave not minimum conditions</w:t>
      </w:r>
      <w:bookmarkEnd w:id="66"/>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67" w:name="_Toc275253474"/>
      <w:r>
        <w:rPr>
          <w:rStyle w:val="CharSectno"/>
        </w:rPr>
        <w:t>22</w:t>
      </w:r>
      <w:r>
        <w:t>.</w:t>
      </w:r>
      <w:r>
        <w:tab/>
        <w:t>Employee to prove entitlements under this Division</w:t>
      </w:r>
      <w:bookmarkEnd w:id="67"/>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68" w:name="_Toc202345153"/>
      <w:bookmarkStart w:id="69" w:name="_Toc215543340"/>
      <w:bookmarkStart w:id="70" w:name="_Toc232397190"/>
      <w:bookmarkStart w:id="71" w:name="_Toc272236828"/>
      <w:bookmarkStart w:id="72" w:name="_Toc275253475"/>
      <w:r>
        <w:rPr>
          <w:rStyle w:val="CharDivNo"/>
        </w:rPr>
        <w:t>Division 3</w:t>
      </w:r>
      <w:r>
        <w:rPr>
          <w:snapToGrid w:val="0"/>
        </w:rPr>
        <w:t> — </w:t>
      </w:r>
      <w:r>
        <w:rPr>
          <w:rStyle w:val="CharDivText"/>
        </w:rPr>
        <w:t>Annual leave</w:t>
      </w:r>
      <w:bookmarkEnd w:id="68"/>
      <w:bookmarkEnd w:id="69"/>
      <w:bookmarkEnd w:id="70"/>
      <w:bookmarkEnd w:id="71"/>
      <w:bookmarkEnd w:id="72"/>
      <w:r>
        <w:rPr>
          <w:rStyle w:val="CharDivText"/>
        </w:rPr>
        <w:t xml:space="preserve"> </w:t>
      </w:r>
    </w:p>
    <w:p>
      <w:pPr>
        <w:pStyle w:val="Heading5"/>
        <w:rPr>
          <w:snapToGrid w:val="0"/>
        </w:rPr>
      </w:pPr>
      <w:bookmarkStart w:id="73" w:name="_Toc275253476"/>
      <w:r>
        <w:rPr>
          <w:rStyle w:val="CharSectno"/>
        </w:rPr>
        <w:t>23</w:t>
      </w:r>
      <w:r>
        <w:rPr>
          <w:snapToGrid w:val="0"/>
        </w:rPr>
        <w:t>.</w:t>
      </w:r>
      <w:r>
        <w:rPr>
          <w:snapToGrid w:val="0"/>
        </w:rPr>
        <w:tab/>
        <w:t>Paid annual leave, entitlement to</w:t>
      </w:r>
      <w:bookmarkEnd w:id="73"/>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74" w:name="_Toc275253477"/>
      <w:r>
        <w:rPr>
          <w:rStyle w:val="CharSectno"/>
        </w:rPr>
        <w:t>24</w:t>
      </w:r>
      <w:r>
        <w:rPr>
          <w:snapToGrid w:val="0"/>
        </w:rPr>
        <w:t>.</w:t>
      </w:r>
      <w:r>
        <w:rPr>
          <w:snapToGrid w:val="0"/>
        </w:rPr>
        <w:tab/>
        <w:t>Annual leave payments, when to be made</w:t>
      </w:r>
      <w:bookmarkEnd w:id="74"/>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75" w:name="_Toc275253478"/>
      <w:r>
        <w:rPr>
          <w:rStyle w:val="CharSectno"/>
        </w:rPr>
        <w:t>25</w:t>
      </w:r>
      <w:r>
        <w:rPr>
          <w:snapToGrid w:val="0"/>
        </w:rPr>
        <w:t>.</w:t>
      </w:r>
      <w:r>
        <w:rPr>
          <w:snapToGrid w:val="0"/>
        </w:rPr>
        <w:tab/>
        <w:t>Annual leave, when may be taken</w:t>
      </w:r>
      <w:bookmarkEnd w:id="75"/>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76" w:name="_Toc275253479"/>
      <w:r>
        <w:rPr>
          <w:rStyle w:val="CharSectno"/>
        </w:rPr>
        <w:t>26</w:t>
      </w:r>
      <w:r>
        <w:rPr>
          <w:snapToGrid w:val="0"/>
        </w:rPr>
        <w:t>.</w:t>
      </w:r>
      <w:r>
        <w:rPr>
          <w:snapToGrid w:val="0"/>
        </w:rPr>
        <w:tab/>
        <w:t>General Order as to annual leave of no effect</w:t>
      </w:r>
      <w:bookmarkEnd w:id="76"/>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77" w:name="_Toc202345158"/>
      <w:bookmarkStart w:id="78" w:name="_Toc215543345"/>
      <w:bookmarkStart w:id="79" w:name="_Toc232397195"/>
      <w:bookmarkStart w:id="80" w:name="_Toc272236833"/>
      <w:bookmarkStart w:id="81" w:name="_Toc275253480"/>
      <w:r>
        <w:rPr>
          <w:rStyle w:val="CharDivNo"/>
        </w:rPr>
        <w:t>Division 4</w:t>
      </w:r>
      <w:r>
        <w:rPr>
          <w:snapToGrid w:val="0"/>
        </w:rPr>
        <w:t> — </w:t>
      </w:r>
      <w:r>
        <w:rPr>
          <w:rStyle w:val="CharDivText"/>
        </w:rPr>
        <w:t>Bereavement leave</w:t>
      </w:r>
      <w:bookmarkEnd w:id="77"/>
      <w:bookmarkEnd w:id="78"/>
      <w:bookmarkEnd w:id="79"/>
      <w:bookmarkEnd w:id="80"/>
      <w:bookmarkEnd w:id="81"/>
      <w:r>
        <w:rPr>
          <w:rStyle w:val="CharDivText"/>
        </w:rPr>
        <w:t xml:space="preserve"> </w:t>
      </w:r>
    </w:p>
    <w:p>
      <w:pPr>
        <w:pStyle w:val="Heading5"/>
        <w:spacing w:before="180"/>
        <w:rPr>
          <w:snapToGrid w:val="0"/>
        </w:rPr>
      </w:pPr>
      <w:bookmarkStart w:id="82" w:name="_Toc275253481"/>
      <w:r>
        <w:rPr>
          <w:rStyle w:val="CharSectno"/>
        </w:rPr>
        <w:t>27</w:t>
      </w:r>
      <w:r>
        <w:rPr>
          <w:snapToGrid w:val="0"/>
        </w:rPr>
        <w:t>.</w:t>
      </w:r>
      <w:r>
        <w:rPr>
          <w:snapToGrid w:val="0"/>
        </w:rPr>
        <w:tab/>
        <w:t>Paid bereavement leave, entitlement to</w:t>
      </w:r>
      <w:bookmarkEnd w:id="8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83" w:name="_Toc275253482"/>
      <w:r>
        <w:rPr>
          <w:rStyle w:val="CharSectno"/>
        </w:rPr>
        <w:t>28</w:t>
      </w:r>
      <w:r>
        <w:rPr>
          <w:snapToGrid w:val="0"/>
        </w:rPr>
        <w:t>.</w:t>
      </w:r>
      <w:r>
        <w:rPr>
          <w:snapToGrid w:val="0"/>
        </w:rPr>
        <w:tab/>
        <w:t>Proof of entitlement may be required</w:t>
      </w:r>
      <w:bookmarkEnd w:id="8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84" w:name="_Toc202345161"/>
      <w:bookmarkStart w:id="85" w:name="_Toc215543348"/>
      <w:bookmarkStart w:id="86" w:name="_Toc232397198"/>
      <w:bookmarkStart w:id="87" w:name="_Toc272236836"/>
      <w:bookmarkStart w:id="88" w:name="_Toc275253483"/>
      <w:r>
        <w:rPr>
          <w:rStyle w:val="CharDivNo"/>
        </w:rPr>
        <w:t>Division 5</w:t>
      </w:r>
      <w:r>
        <w:rPr>
          <w:snapToGrid w:val="0"/>
        </w:rPr>
        <w:t> — </w:t>
      </w:r>
      <w:r>
        <w:rPr>
          <w:rStyle w:val="CharDivText"/>
        </w:rPr>
        <w:t>Public holidays</w:t>
      </w:r>
      <w:bookmarkEnd w:id="84"/>
      <w:bookmarkEnd w:id="85"/>
      <w:bookmarkEnd w:id="86"/>
      <w:bookmarkEnd w:id="87"/>
      <w:bookmarkEnd w:id="88"/>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89" w:name="_Toc275253484"/>
      <w:r>
        <w:rPr>
          <w:rStyle w:val="CharSectno"/>
        </w:rPr>
        <w:t>30</w:t>
      </w:r>
      <w:r>
        <w:rPr>
          <w:snapToGrid w:val="0"/>
        </w:rPr>
        <w:t>.</w:t>
      </w:r>
      <w:r>
        <w:rPr>
          <w:snapToGrid w:val="0"/>
        </w:rPr>
        <w:tab/>
        <w:t>Public holidays, entitlement to pay for</w:t>
      </w:r>
      <w:bookmarkEnd w:id="89"/>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90" w:name="_Toc275253485"/>
      <w:r>
        <w:rPr>
          <w:rStyle w:val="CharSectno"/>
        </w:rPr>
        <w:t>31</w:t>
      </w:r>
      <w:r>
        <w:rPr>
          <w:snapToGrid w:val="0"/>
        </w:rPr>
        <w:t>.</w:t>
      </w:r>
      <w:r>
        <w:rPr>
          <w:snapToGrid w:val="0"/>
        </w:rPr>
        <w:tab/>
        <w:t>Penalty rates for work on public holidays not a minimum condition</w:t>
      </w:r>
      <w:bookmarkEnd w:id="90"/>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91" w:name="_Toc202345164"/>
      <w:bookmarkStart w:id="92" w:name="_Toc215543351"/>
      <w:bookmarkStart w:id="93" w:name="_Toc232397201"/>
      <w:bookmarkStart w:id="94" w:name="_Toc272236839"/>
      <w:bookmarkStart w:id="95" w:name="_Toc275253486"/>
      <w:r>
        <w:rPr>
          <w:rStyle w:val="CharDivNo"/>
        </w:rPr>
        <w:t>Division 6</w:t>
      </w:r>
      <w:r>
        <w:rPr>
          <w:snapToGrid w:val="0"/>
        </w:rPr>
        <w:t> — </w:t>
      </w:r>
      <w:r>
        <w:rPr>
          <w:rStyle w:val="CharDivText"/>
        </w:rPr>
        <w:t>Parental leave</w:t>
      </w:r>
      <w:bookmarkEnd w:id="91"/>
      <w:bookmarkEnd w:id="92"/>
      <w:bookmarkEnd w:id="93"/>
      <w:bookmarkEnd w:id="94"/>
      <w:bookmarkEnd w:id="95"/>
      <w:r>
        <w:rPr>
          <w:rStyle w:val="CharDivText"/>
        </w:rPr>
        <w:t xml:space="preserve"> </w:t>
      </w:r>
    </w:p>
    <w:p>
      <w:pPr>
        <w:pStyle w:val="Heading5"/>
        <w:rPr>
          <w:snapToGrid w:val="0"/>
        </w:rPr>
      </w:pPr>
      <w:bookmarkStart w:id="96" w:name="_Toc275253487"/>
      <w:r>
        <w:rPr>
          <w:rStyle w:val="CharSectno"/>
        </w:rPr>
        <w:t>32</w:t>
      </w:r>
      <w:r>
        <w:rPr>
          <w:snapToGrid w:val="0"/>
        </w:rPr>
        <w:t>.</w:t>
      </w:r>
      <w:r>
        <w:rPr>
          <w:snapToGrid w:val="0"/>
        </w:rPr>
        <w:tab/>
        <w:t>Terms used in this Division</w:t>
      </w:r>
      <w:bookmarkEnd w:id="96"/>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97" w:name="_Toc275253488"/>
      <w:r>
        <w:rPr>
          <w:rStyle w:val="CharSectno"/>
        </w:rPr>
        <w:t>33</w:t>
      </w:r>
      <w:r>
        <w:rPr>
          <w:snapToGrid w:val="0"/>
        </w:rPr>
        <w:t>.</w:t>
      </w:r>
      <w:r>
        <w:rPr>
          <w:snapToGrid w:val="0"/>
        </w:rPr>
        <w:tab/>
        <w:t>Unpaid parental leave, entitlement to</w:t>
      </w:r>
      <w:bookmarkEnd w:id="97"/>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98" w:name="_Toc275253489"/>
      <w:r>
        <w:rPr>
          <w:rStyle w:val="CharSectno"/>
        </w:rPr>
        <w:t>34</w:t>
      </w:r>
      <w:r>
        <w:rPr>
          <w:snapToGrid w:val="0"/>
        </w:rPr>
        <w:t>.</w:t>
      </w:r>
      <w:r>
        <w:rPr>
          <w:snapToGrid w:val="0"/>
        </w:rPr>
        <w:tab/>
        <w:t>Maternity leave to start 6 weeks before birth</w:t>
      </w:r>
      <w:bookmarkEnd w:id="98"/>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99" w:name="_Toc275253490"/>
      <w:r>
        <w:rPr>
          <w:rStyle w:val="CharSectno"/>
        </w:rPr>
        <w:t>35</w:t>
      </w:r>
      <w:r>
        <w:rPr>
          <w:snapToGrid w:val="0"/>
        </w:rPr>
        <w:t>.</w:t>
      </w:r>
      <w:r>
        <w:rPr>
          <w:snapToGrid w:val="0"/>
        </w:rPr>
        <w:tab/>
        <w:t>Employee to prove entitlement to parental leave</w:t>
      </w:r>
      <w:bookmarkEnd w:id="99"/>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00" w:name="_Toc275253491"/>
      <w:r>
        <w:rPr>
          <w:rStyle w:val="CharSectno"/>
        </w:rPr>
        <w:t>36</w:t>
      </w:r>
      <w:r>
        <w:rPr>
          <w:snapToGrid w:val="0"/>
        </w:rPr>
        <w:t>.</w:t>
      </w:r>
      <w:r>
        <w:rPr>
          <w:snapToGrid w:val="0"/>
        </w:rPr>
        <w:tab/>
        <w:t>Employee to notify employer of spouse’s parental leave</w:t>
      </w:r>
      <w:bookmarkEnd w:id="100"/>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01" w:name="_Toc275253492"/>
      <w:r>
        <w:rPr>
          <w:rStyle w:val="CharSectno"/>
        </w:rPr>
        <w:t>37</w:t>
      </w:r>
      <w:r>
        <w:rPr>
          <w:snapToGrid w:val="0"/>
        </w:rPr>
        <w:t>.</w:t>
      </w:r>
      <w:r>
        <w:rPr>
          <w:snapToGrid w:val="0"/>
        </w:rPr>
        <w:tab/>
        <w:t>Parental leave period, notice to employer of etc.</w:t>
      </w:r>
      <w:bookmarkEnd w:id="101"/>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02" w:name="_Toc275253493"/>
      <w:r>
        <w:rPr>
          <w:rStyle w:val="CharSectno"/>
        </w:rPr>
        <w:t>38</w:t>
      </w:r>
      <w:r>
        <w:rPr>
          <w:snapToGrid w:val="0"/>
        </w:rPr>
        <w:t>.</w:t>
      </w:r>
      <w:r>
        <w:rPr>
          <w:snapToGrid w:val="0"/>
        </w:rPr>
        <w:tab/>
        <w:t>Return to work after parental leave</w:t>
      </w:r>
      <w:bookmarkEnd w:id="102"/>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03" w:name="_Toc275253494"/>
      <w:r>
        <w:rPr>
          <w:rStyle w:val="CharSectno"/>
        </w:rPr>
        <w:t>38A</w:t>
      </w:r>
      <w:r>
        <w:t>.</w:t>
      </w:r>
      <w:r>
        <w:tab/>
        <w:t>How and when a request or requirement as to parental leave or return to work can be made</w:t>
      </w:r>
      <w:bookmarkEnd w:id="103"/>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04" w:name="_Toc275253495"/>
      <w:r>
        <w:rPr>
          <w:rStyle w:val="CharSectno"/>
        </w:rPr>
        <w:t>38B</w:t>
      </w:r>
      <w:r>
        <w:t>.</w:t>
      </w:r>
      <w:r>
        <w:tab/>
        <w:t>Grounds for determining a request or making a requirement as to parental leave or return to work</w:t>
      </w:r>
      <w:bookmarkEnd w:id="104"/>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05" w:name="_Toc275253496"/>
      <w:r>
        <w:rPr>
          <w:rStyle w:val="CharSectno"/>
        </w:rPr>
        <w:t>39</w:t>
      </w:r>
      <w:r>
        <w:rPr>
          <w:snapToGrid w:val="0"/>
        </w:rPr>
        <w:t>.</w:t>
      </w:r>
      <w:r>
        <w:rPr>
          <w:snapToGrid w:val="0"/>
        </w:rPr>
        <w:tab/>
        <w:t>Effect of parental leave on service record</w:t>
      </w:r>
      <w:bookmarkEnd w:id="105"/>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06" w:name="_Toc202345175"/>
      <w:bookmarkStart w:id="107" w:name="_Toc215543362"/>
      <w:bookmarkStart w:id="108" w:name="_Toc232397212"/>
      <w:bookmarkStart w:id="109" w:name="_Toc272236850"/>
      <w:bookmarkStart w:id="110" w:name="_Toc275253497"/>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06"/>
      <w:bookmarkEnd w:id="107"/>
      <w:bookmarkEnd w:id="108"/>
      <w:bookmarkEnd w:id="109"/>
      <w:bookmarkEnd w:id="110"/>
      <w:r>
        <w:rPr>
          <w:rStyle w:val="CharPartText"/>
        </w:rPr>
        <w:t xml:space="preserve"> </w:t>
      </w:r>
    </w:p>
    <w:p>
      <w:pPr>
        <w:pStyle w:val="Heading5"/>
        <w:rPr>
          <w:snapToGrid w:val="0"/>
        </w:rPr>
      </w:pPr>
      <w:bookmarkStart w:id="111" w:name="_Toc275253498"/>
      <w:r>
        <w:rPr>
          <w:rStyle w:val="CharSectno"/>
        </w:rPr>
        <w:t>40</w:t>
      </w:r>
      <w:r>
        <w:rPr>
          <w:snapToGrid w:val="0"/>
        </w:rPr>
        <w:t>.</w:t>
      </w:r>
      <w:r>
        <w:rPr>
          <w:snapToGrid w:val="0"/>
        </w:rPr>
        <w:tab/>
        <w:t>Terms used in this Part</w:t>
      </w:r>
      <w:bookmarkEnd w:id="11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12" w:name="_Toc275253499"/>
      <w:r>
        <w:rPr>
          <w:rStyle w:val="CharSectno"/>
        </w:rPr>
        <w:t>41</w:t>
      </w:r>
      <w:r>
        <w:rPr>
          <w:snapToGrid w:val="0"/>
        </w:rPr>
        <w:t>.</w:t>
      </w:r>
      <w:r>
        <w:rPr>
          <w:snapToGrid w:val="0"/>
        </w:rPr>
        <w:tab/>
        <w:t>Employee to be informed</w:t>
      </w:r>
      <w:bookmarkEnd w:id="112"/>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13" w:name="_Toc275253500"/>
      <w:r>
        <w:rPr>
          <w:rStyle w:val="CharSectno"/>
        </w:rPr>
        <w:t>42</w:t>
      </w:r>
      <w:r>
        <w:rPr>
          <w:snapToGrid w:val="0"/>
        </w:rPr>
        <w:t>.</w:t>
      </w:r>
      <w:r>
        <w:rPr>
          <w:snapToGrid w:val="0"/>
        </w:rPr>
        <w:tab/>
        <w:t>Employer not bound to disclose prejudicial information</w:t>
      </w:r>
      <w:bookmarkEnd w:id="113"/>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14" w:name="_Toc275253501"/>
      <w:r>
        <w:rPr>
          <w:rStyle w:val="CharSectno"/>
        </w:rPr>
        <w:t>43</w:t>
      </w:r>
      <w:r>
        <w:rPr>
          <w:snapToGrid w:val="0"/>
        </w:rPr>
        <w:t>.</w:t>
      </w:r>
      <w:r>
        <w:rPr>
          <w:snapToGrid w:val="0"/>
        </w:rPr>
        <w:tab/>
        <w:t>Paid leave for job interviews, entitlement to</w:t>
      </w:r>
      <w:bookmarkEnd w:id="114"/>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15" w:name="_Toc202345180"/>
      <w:bookmarkStart w:id="116" w:name="_Toc215543367"/>
      <w:bookmarkStart w:id="117" w:name="_Toc232397217"/>
      <w:bookmarkStart w:id="118" w:name="_Toc272236855"/>
      <w:bookmarkStart w:id="119" w:name="_Toc275253502"/>
      <w:r>
        <w:rPr>
          <w:rStyle w:val="CharPartNo"/>
        </w:rPr>
        <w:t>Part 6</w:t>
      </w:r>
      <w:r>
        <w:rPr>
          <w:rStyle w:val="CharDivNo"/>
        </w:rPr>
        <w:t> </w:t>
      </w:r>
      <w:r>
        <w:t>—</w:t>
      </w:r>
      <w:r>
        <w:rPr>
          <w:rStyle w:val="CharDivText"/>
        </w:rPr>
        <w:t> </w:t>
      </w:r>
      <w:r>
        <w:rPr>
          <w:rStyle w:val="CharPartText"/>
        </w:rPr>
        <w:t>Keeping of records</w:t>
      </w:r>
      <w:bookmarkEnd w:id="115"/>
      <w:bookmarkEnd w:id="116"/>
      <w:bookmarkEnd w:id="117"/>
      <w:bookmarkEnd w:id="118"/>
      <w:bookmarkEnd w:id="119"/>
      <w:r>
        <w:rPr>
          <w:rStyle w:val="CharPartText"/>
        </w:rPr>
        <w:t xml:space="preserve"> </w:t>
      </w:r>
    </w:p>
    <w:p>
      <w:pPr>
        <w:pStyle w:val="Heading5"/>
        <w:rPr>
          <w:snapToGrid w:val="0"/>
        </w:rPr>
      </w:pPr>
      <w:bookmarkStart w:id="120" w:name="_Toc275253503"/>
      <w:r>
        <w:rPr>
          <w:rStyle w:val="CharSectno"/>
        </w:rPr>
        <w:t>44</w:t>
      </w:r>
      <w:r>
        <w:rPr>
          <w:snapToGrid w:val="0"/>
        </w:rPr>
        <w:t>.</w:t>
      </w:r>
      <w:r>
        <w:rPr>
          <w:snapToGrid w:val="0"/>
        </w:rPr>
        <w:tab/>
        <w:t>Employment records to be kept by employer</w:t>
      </w:r>
      <w:bookmarkEnd w:id="120"/>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21" w:name="_Toc275253504"/>
      <w:r>
        <w:rPr>
          <w:rStyle w:val="CharSectno"/>
        </w:rPr>
        <w:t>45</w:t>
      </w:r>
      <w:r>
        <w:rPr>
          <w:snapToGrid w:val="0"/>
        </w:rPr>
        <w:t>.</w:t>
      </w:r>
      <w:r>
        <w:rPr>
          <w:snapToGrid w:val="0"/>
        </w:rPr>
        <w:tab/>
        <w:t>Access to records kept by employer</w:t>
      </w:r>
      <w:bookmarkEnd w:id="12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22" w:name="_Toc202345183"/>
      <w:bookmarkStart w:id="123" w:name="_Toc215543370"/>
      <w:bookmarkStart w:id="124" w:name="_Toc232397220"/>
      <w:bookmarkStart w:id="125" w:name="_Toc272236858"/>
      <w:bookmarkStart w:id="126" w:name="_Toc275253505"/>
      <w:r>
        <w:rPr>
          <w:rStyle w:val="CharPartNo"/>
        </w:rPr>
        <w:t>Part 7</w:t>
      </w:r>
      <w:r>
        <w:rPr>
          <w:rStyle w:val="CharDivNo"/>
        </w:rPr>
        <w:t> </w:t>
      </w:r>
      <w:r>
        <w:t>—</w:t>
      </w:r>
      <w:r>
        <w:rPr>
          <w:rStyle w:val="CharDivText"/>
        </w:rPr>
        <w:t> </w:t>
      </w:r>
      <w:r>
        <w:rPr>
          <w:rStyle w:val="CharPartText"/>
        </w:rPr>
        <w:t>Regulations</w:t>
      </w:r>
      <w:bookmarkEnd w:id="122"/>
      <w:bookmarkEnd w:id="123"/>
      <w:bookmarkEnd w:id="124"/>
      <w:bookmarkEnd w:id="125"/>
      <w:bookmarkEnd w:id="126"/>
      <w:r>
        <w:rPr>
          <w:rStyle w:val="CharPartText"/>
        </w:rPr>
        <w:t xml:space="preserve"> </w:t>
      </w:r>
    </w:p>
    <w:p>
      <w:pPr>
        <w:pStyle w:val="Heading5"/>
        <w:rPr>
          <w:snapToGrid w:val="0"/>
        </w:rPr>
      </w:pPr>
      <w:bookmarkStart w:id="127" w:name="_Toc275253506"/>
      <w:r>
        <w:rPr>
          <w:rStyle w:val="CharSectno"/>
        </w:rPr>
        <w:t>47</w:t>
      </w:r>
      <w:r>
        <w:rPr>
          <w:snapToGrid w:val="0"/>
        </w:rPr>
        <w:t>.</w:t>
      </w:r>
      <w:r>
        <w:rPr>
          <w:snapToGrid w:val="0"/>
        </w:rPr>
        <w:tab/>
        <w:t>Regulations</w:t>
      </w:r>
      <w:bookmarkEnd w:id="12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8" w:name="_Toc202345185"/>
      <w:bookmarkStart w:id="129" w:name="_Toc215543372"/>
      <w:bookmarkStart w:id="130" w:name="_Toc232397222"/>
      <w:bookmarkStart w:id="131" w:name="_Toc272236860"/>
      <w:bookmarkStart w:id="132" w:name="_Toc275253507"/>
      <w:r>
        <w:rPr>
          <w:rStyle w:val="CharSchNo"/>
        </w:rPr>
        <w:t>Schedule 1</w:t>
      </w:r>
      <w:bookmarkEnd w:id="128"/>
      <w:bookmarkEnd w:id="129"/>
      <w:bookmarkEnd w:id="130"/>
      <w:r>
        <w:rPr>
          <w:rStyle w:val="CharSDivNo"/>
        </w:rPr>
        <w:t> </w:t>
      </w:r>
      <w:r>
        <w:t>—</w:t>
      </w:r>
      <w:r>
        <w:rPr>
          <w:rStyle w:val="CharSDivText"/>
        </w:rPr>
        <w:t> </w:t>
      </w:r>
      <w:r>
        <w:rPr>
          <w:rStyle w:val="CharSchText"/>
        </w:rPr>
        <w:t>Public holidays</w:t>
      </w:r>
      <w:bookmarkEnd w:id="131"/>
      <w:bookmarkEnd w:id="132"/>
    </w:p>
    <w:p>
      <w:pPr>
        <w:pStyle w:val="yShoulderClause"/>
        <w:rPr>
          <w:snapToGrid w:val="0"/>
        </w:rPr>
      </w:pPr>
      <w:r>
        <w:rPr>
          <w:snapToGrid w:val="0"/>
        </w:rPr>
        <w:t>[s. 29]</w:t>
      </w:r>
    </w:p>
    <w:p>
      <w:pPr>
        <w:pStyle w:val="yFootnoteheading"/>
        <w:rPr>
          <w:b/>
          <w:snapToGrid w:val="0"/>
        </w:rPr>
      </w:pPr>
      <w:r>
        <w:tab/>
        <w:t>[Heading amended by No. 19 of 2010 s. 4.]</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3" w:name="_Toc202345187"/>
      <w:bookmarkStart w:id="134" w:name="_Toc215543374"/>
      <w:bookmarkStart w:id="135" w:name="_Toc232397224"/>
      <w:bookmarkStart w:id="136" w:name="_Toc272236861"/>
      <w:bookmarkStart w:id="137" w:name="_Toc275253508"/>
      <w:r>
        <w:t>Notes</w:t>
      </w:r>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8" w:name="_Toc275253509"/>
      <w:r>
        <w:rPr>
          <w:snapToGrid w:val="0"/>
        </w:rPr>
        <w:t>Compilation table</w:t>
      </w:r>
      <w:bookmarkEnd w:id="138"/>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7"/>
        <w:gridCol w:w="1138"/>
        <w:gridCol w:w="1135"/>
        <w:gridCol w:w="17"/>
        <w:gridCol w:w="2554"/>
        <w:gridCol w:w="71"/>
      </w:tblGrid>
      <w:tr>
        <w:trPr>
          <w:tblHeader/>
        </w:trPr>
        <w:tc>
          <w:tcPr>
            <w:tcW w:w="227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2"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2"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2"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2"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2"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70"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2"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2"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67"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 w:name="_Toc534778309"/>
      <w:bookmarkStart w:id="140" w:name="_Toc7405063"/>
      <w:bookmarkStart w:id="141" w:name="_Toc296601212"/>
      <w:r>
        <w:rPr>
          <w:snapToGrid w:val="0"/>
        </w:rPr>
        <w:t>Provisions that have not come into operation</w:t>
      </w:r>
      <w:bookmarkEnd w:id="139"/>
      <w:bookmarkEnd w:id="140"/>
      <w:bookmarkEnd w:id="1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3"/>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3"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4 </w:t>
            </w:r>
            <w:r>
              <w:rPr>
                <w:snapToGrid w:val="0"/>
                <w:vertAlign w:val="superscript"/>
              </w:rPr>
              <w:t>8</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53" w:type="dxa"/>
            <w:tcBorders>
              <w:top w:val="nil"/>
              <w:bottom w:val="single" w:sz="4" w:space="0" w:color="auto"/>
            </w:tcBorders>
          </w:tcPr>
          <w:p>
            <w:pPr>
              <w:pStyle w:val="nTable"/>
              <w:spacing w:after="40"/>
              <w:rPr>
                <w:snapToGrid w:val="0"/>
                <w:sz w:val="19"/>
                <w:lang w:val="en-US"/>
              </w:rPr>
            </w:pPr>
            <w:del w:id="142" w:author="svcMRProcess" w:date="2018-09-04T19:33:00Z">
              <w:r>
                <w:rPr>
                  <w:snapToGrid w:val="0"/>
                  <w:sz w:val="19"/>
                  <w:lang w:val="en-US"/>
                </w:rPr>
                <w:delText>To be proclaimed</w:delText>
              </w:r>
            </w:del>
            <w:ins w:id="143" w:author="svcMRProcess" w:date="2018-09-04T19:33:00Z">
              <w:r>
                <w:rPr>
                  <w:snapToGrid w:val="0"/>
                  <w:sz w:val="19"/>
                  <w:lang w:val="en-US"/>
                </w:rPr>
                <w:t>1 Apr 2012</w:t>
              </w:r>
            </w:ins>
            <w:r>
              <w:rPr>
                <w:snapToGrid w:val="0"/>
                <w:sz w:val="19"/>
                <w:lang w:val="en-US"/>
              </w:rPr>
              <w:t xml:space="preserve"> (see s. 2(b</w:t>
            </w:r>
            <w:del w:id="144" w:author="svcMRProcess" w:date="2018-09-04T19:33:00Z">
              <w:r>
                <w:rPr>
                  <w:snapToGrid w:val="0"/>
                  <w:sz w:val="19"/>
                  <w:lang w:val="en-US"/>
                </w:rPr>
                <w:delText>))</w:delText>
              </w:r>
            </w:del>
            <w:ins w:id="145" w:author="svcMRProcess" w:date="2018-09-04T19:33:00Z">
              <w:r>
                <w:rPr>
                  <w:snapToGrid w:val="0"/>
                  <w:sz w:val="19"/>
                  <w:lang w:val="en-US"/>
                </w:rPr>
                <w:t xml:space="preserve">) and </w:t>
              </w:r>
              <w:r>
                <w:rPr>
                  <w:i/>
                  <w:snapToGrid w:val="0"/>
                  <w:sz w:val="19"/>
                  <w:lang w:val="en-US"/>
                </w:rPr>
                <w:t>Gazette</w:t>
              </w:r>
              <w:r>
                <w:rPr>
                  <w:snapToGrid w:val="0"/>
                  <w:sz w:val="19"/>
                  <w:lang w:val="en-US"/>
                </w:rPr>
                <w:t xml:space="preserve"> 16 Mar 2012 p. 1246)</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Next/>
        <w:ind w:left="480" w:hanging="480"/>
        <w:rPr>
          <w:snapToGrid w:val="0"/>
        </w:rPr>
      </w:pPr>
      <w:bookmarkStart w:id="146" w:name="UpToHere"/>
      <w:bookmarkEnd w:id="146"/>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4 had not come into operation.  It reads as follows:</w:t>
      </w:r>
    </w:p>
    <w:p>
      <w:pPr>
        <w:pStyle w:val="BlankOpen"/>
      </w:pPr>
    </w:p>
    <w:p>
      <w:pPr>
        <w:pStyle w:val="nzHeading2"/>
      </w:pPr>
      <w:bookmarkStart w:id="147" w:name="_Toc303670207"/>
      <w:bookmarkStart w:id="148" w:name="_Toc303670590"/>
      <w:bookmarkStart w:id="149" w:name="_Toc307960651"/>
      <w:bookmarkStart w:id="150" w:name="_Toc307960736"/>
      <w:bookmarkStart w:id="151" w:name="_Toc309027173"/>
      <w:bookmarkStart w:id="152" w:name="_Toc309027258"/>
      <w:bookmarkStart w:id="153" w:name="_Toc309036747"/>
      <w:bookmarkStart w:id="154" w:name="_Toc309036832"/>
      <w:bookmarkStart w:id="155" w:name="_Toc309036917"/>
      <w:r>
        <w:rPr>
          <w:rStyle w:val="CharPartNo"/>
        </w:rPr>
        <w:t>Part 4</w:t>
      </w:r>
      <w:r>
        <w:rPr>
          <w:rStyle w:val="CharDivNo"/>
        </w:rPr>
        <w:t> </w:t>
      </w:r>
      <w:r>
        <w:t>—</w:t>
      </w:r>
      <w:r>
        <w:rPr>
          <w:rStyle w:val="CharDivText"/>
        </w:rPr>
        <w:t> </w:t>
      </w:r>
      <w:r>
        <w:rPr>
          <w:rStyle w:val="CharPartText"/>
          <w:i/>
        </w:rPr>
        <w:t>Minimum Conditions of Employment Act 1993</w:t>
      </w:r>
      <w:r>
        <w:rPr>
          <w:rStyle w:val="CharPartText"/>
        </w:rPr>
        <w:t> amended</w:t>
      </w:r>
      <w:bookmarkEnd w:id="147"/>
      <w:bookmarkEnd w:id="148"/>
      <w:bookmarkEnd w:id="149"/>
      <w:bookmarkEnd w:id="150"/>
      <w:bookmarkEnd w:id="151"/>
      <w:bookmarkEnd w:id="152"/>
      <w:bookmarkEnd w:id="153"/>
      <w:bookmarkEnd w:id="154"/>
      <w:bookmarkEnd w:id="155"/>
    </w:p>
    <w:p>
      <w:pPr>
        <w:pStyle w:val="nzHeading5"/>
      </w:pPr>
      <w:bookmarkStart w:id="156" w:name="_Toc309036833"/>
      <w:bookmarkStart w:id="157" w:name="_Toc309036918"/>
      <w:r>
        <w:rPr>
          <w:rStyle w:val="CharSectno"/>
        </w:rPr>
        <w:t>49</w:t>
      </w:r>
      <w:r>
        <w:t>.</w:t>
      </w:r>
      <w:r>
        <w:tab/>
        <w:t>Act amended</w:t>
      </w:r>
      <w:bookmarkEnd w:id="156"/>
      <w:bookmarkEnd w:id="157"/>
    </w:p>
    <w:p>
      <w:pPr>
        <w:pStyle w:val="nzSubsection"/>
      </w:pPr>
      <w:r>
        <w:tab/>
      </w:r>
      <w:r>
        <w:tab/>
        <w:t xml:space="preserve">This Part amends the </w:t>
      </w:r>
      <w:r>
        <w:rPr>
          <w:i/>
        </w:rPr>
        <w:t>Minimum Conditions of Employment Act 1993</w:t>
      </w:r>
      <w:r>
        <w:t>.</w:t>
      </w:r>
    </w:p>
    <w:p>
      <w:pPr>
        <w:pStyle w:val="nzHeading5"/>
      </w:pPr>
      <w:bookmarkStart w:id="158" w:name="_Toc309036834"/>
      <w:bookmarkStart w:id="159" w:name="_Toc309036919"/>
      <w:r>
        <w:rPr>
          <w:rStyle w:val="CharSectno"/>
        </w:rPr>
        <w:t>50</w:t>
      </w:r>
      <w:r>
        <w:t>.</w:t>
      </w:r>
      <w:r>
        <w:tab/>
        <w:t>Schedule 1 amended</w:t>
      </w:r>
      <w:bookmarkEnd w:id="158"/>
      <w:bookmarkEnd w:id="159"/>
    </w:p>
    <w:p>
      <w:pPr>
        <w:pStyle w:val="nzSubsection"/>
      </w:pPr>
      <w:r>
        <w:tab/>
      </w:r>
      <w:r>
        <w:tab/>
        <w:t>In Schedule 1:</w:t>
      </w:r>
    </w:p>
    <w:p>
      <w:pPr>
        <w:pStyle w:val="nzIndenta"/>
      </w:pPr>
      <w:r>
        <w:tab/>
        <w:t>(a)</w:t>
      </w:r>
      <w:r>
        <w:tab/>
        <w:t>delete the reference after the heading and insert:</w:t>
      </w:r>
    </w:p>
    <w:p>
      <w:pPr>
        <w:pStyle w:val="BlankOpen"/>
      </w:pPr>
    </w:p>
    <w:p>
      <w:pPr>
        <w:pStyle w:val="nzIndenta"/>
      </w:pPr>
      <w:r>
        <w:tab/>
      </w:r>
      <w:r>
        <w:tab/>
      </w:r>
      <w:r>
        <w:rPr>
          <w:sz w:val="22"/>
        </w:rPr>
        <w:t>[s. 3(1)]</w:t>
      </w:r>
    </w:p>
    <w:p>
      <w:pPr>
        <w:pStyle w:val="BlankClose"/>
      </w:pPr>
    </w:p>
    <w:p>
      <w:pPr>
        <w:pStyle w:val="nzIndenta"/>
      </w:pPr>
      <w:r>
        <w:tab/>
        <w:t>(b)</w:t>
      </w:r>
      <w:r>
        <w:tab/>
        <w:t>after “</w:t>
      </w:r>
      <w:r>
        <w:rPr>
          <w:sz w:val="22"/>
        </w:rPr>
        <w:t>Boxing Day.</w:t>
      </w:r>
      <w:r>
        <w:t>” insert:</w:t>
      </w:r>
    </w:p>
    <w:p>
      <w:pPr>
        <w:pStyle w:val="BlankOpen"/>
      </w:pPr>
    </w:p>
    <w:p>
      <w:pPr>
        <w:pStyle w:val="zyMiscellaneousBody"/>
        <w:ind w:left="1134" w:hanging="567"/>
      </w:pPr>
      <w:r>
        <w:t xml:space="preserve">Any special day appointed by proclamation under the </w:t>
      </w:r>
      <w:r>
        <w:rPr>
          <w:i/>
        </w:rPr>
        <w:t>Public and Bank Holidays Act 1972</w:t>
      </w:r>
      <w:r>
        <w:t xml:space="preserve"> section 7 to be a public holiday.</w:t>
      </w:r>
    </w:p>
    <w:p>
      <w:pPr>
        <w:pStyle w:val="BlankClose"/>
      </w:pPr>
    </w:p>
    <w:p>
      <w:pPr>
        <w:pStyle w:val="BlankClose"/>
      </w:pP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10248</Words>
  <Characters>46734</Characters>
  <Application>Microsoft Office Word</Application>
  <DocSecurity>0</DocSecurity>
  <Lines>1335</Lines>
  <Paragraphs>791</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04-j0-01 - 04-k0-01</dc:title>
  <dc:subject/>
  <dc:creator/>
  <cp:keywords/>
  <dc:description/>
  <cp:lastModifiedBy>svcMRProcess</cp:lastModifiedBy>
  <cp:revision>2</cp:revision>
  <cp:lastPrinted>2008-06-17T03:20:00Z</cp:lastPrinted>
  <dcterms:created xsi:type="dcterms:W3CDTF">2018-09-04T11:33:00Z</dcterms:created>
  <dcterms:modified xsi:type="dcterms:W3CDTF">2018-09-04T11:33:00Z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04-j0-01</vt:lpwstr>
  </property>
  <property fmtid="{D5CDD505-2E9C-101B-9397-08002B2CF9AE}" pid="8" name="FromAsAtDate">
    <vt:lpwstr>11 Nov 2011</vt:lpwstr>
  </property>
  <property fmtid="{D5CDD505-2E9C-101B-9397-08002B2CF9AE}" pid="9" name="ToSuffix">
    <vt:lpwstr>04-k0-01</vt:lpwstr>
  </property>
  <property fmtid="{D5CDD505-2E9C-101B-9397-08002B2CF9AE}" pid="10" name="ToAsAtDate">
    <vt:lpwstr>16 Mar 2012</vt:lpwstr>
  </property>
</Properties>
</file>