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1" w:name="_Toc378164537"/>
      <w:bookmarkStart w:id="2" w:name="_Toc416441576"/>
      <w:bookmarkStart w:id="3" w:name="_Toc416441603"/>
      <w:bookmarkStart w:id="4" w:name="_Toc191981066"/>
      <w:bookmarkStart w:id="5" w:name="_Toc264887001"/>
      <w:bookmarkStart w:id="6" w:name="_Toc31959398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378164538"/>
      <w:bookmarkStart w:id="9" w:name="_Toc416441604"/>
      <w:bookmarkStart w:id="10" w:name="_Toc319593987"/>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12" w:name="_Toc378164539"/>
      <w:bookmarkStart w:id="13" w:name="_Toc416441605"/>
      <w:bookmarkStart w:id="14" w:name="_Toc319593988"/>
      <w:r>
        <w:rPr>
          <w:rStyle w:val="CharSectno"/>
        </w:rPr>
        <w:t>2</w:t>
      </w:r>
      <w:r>
        <w:t>.</w:t>
      </w:r>
      <w:r>
        <w:tab/>
        <w:t>Commencement</w:t>
      </w:r>
      <w:bookmarkEnd w:id="12"/>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15" w:name="_Toc378164540"/>
      <w:bookmarkStart w:id="16" w:name="_Toc416441606"/>
      <w:bookmarkStart w:id="17" w:name="_Toc319593989"/>
      <w:r>
        <w:rPr>
          <w:rStyle w:val="CharSectno"/>
        </w:rPr>
        <w:t>3</w:t>
      </w:r>
      <w:r>
        <w:t>.</w:t>
      </w:r>
      <w:r>
        <w:tab/>
        <w:t>Interpretation</w:t>
      </w:r>
      <w:bookmarkEnd w:id="15"/>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lastRenderedPageBreak/>
        <w:tab/>
      </w:r>
      <w:r>
        <w:rPr>
          <w:rStyle w:val="CharDefText"/>
        </w:rPr>
        <w:t>combustible liquid</w:t>
      </w:r>
      <w:r>
        <w:t xml:space="preserve"> means any liquid the flashpoint of which is higher than 60°C;</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Footnotesection"/>
      </w:pPr>
      <w:r>
        <w:tab/>
        <w:t>[Regulation 3 amended in Gazette 22 Jun 2010 p. 2781.]</w:t>
      </w:r>
    </w:p>
    <w:p>
      <w:pPr>
        <w:pStyle w:val="Heading2"/>
      </w:pPr>
      <w:bookmarkStart w:id="18" w:name="_Toc378164541"/>
      <w:bookmarkStart w:id="19" w:name="_Toc416441580"/>
      <w:bookmarkStart w:id="20" w:name="_Toc416441607"/>
      <w:bookmarkStart w:id="21" w:name="_Toc191981070"/>
      <w:bookmarkStart w:id="22" w:name="_Toc264887005"/>
      <w:bookmarkStart w:id="23" w:name="_Toc319593990"/>
      <w:r>
        <w:rPr>
          <w:rStyle w:val="CharPartNo"/>
        </w:rPr>
        <w:t>Part 2</w:t>
      </w:r>
      <w:r>
        <w:rPr>
          <w:rStyle w:val="CharDivNo"/>
        </w:rPr>
        <w:t> </w:t>
      </w:r>
      <w:r>
        <w:t>—</w:t>
      </w:r>
      <w:r>
        <w:rPr>
          <w:rStyle w:val="CharDivText"/>
        </w:rPr>
        <w:t> </w:t>
      </w:r>
      <w:r>
        <w:rPr>
          <w:rStyle w:val="CharPartText"/>
        </w:rPr>
        <w:t>Matters for the Act Parts 1 and 2</w:t>
      </w:r>
      <w:bookmarkEnd w:id="18"/>
      <w:bookmarkEnd w:id="19"/>
      <w:bookmarkEnd w:id="20"/>
      <w:bookmarkEnd w:id="21"/>
      <w:bookmarkEnd w:id="22"/>
      <w:bookmarkEnd w:id="23"/>
    </w:p>
    <w:p>
      <w:pPr>
        <w:pStyle w:val="Heading5"/>
      </w:pPr>
      <w:bookmarkStart w:id="24" w:name="_Toc378164542"/>
      <w:bookmarkStart w:id="25" w:name="_Toc416441608"/>
      <w:bookmarkStart w:id="26" w:name="_Toc319593991"/>
      <w:r>
        <w:rPr>
          <w:rStyle w:val="CharSectno"/>
        </w:rPr>
        <w:t>4</w:t>
      </w:r>
      <w:r>
        <w:t>.</w:t>
      </w:r>
      <w:r>
        <w:tab/>
        <w:t>“Dangerous goods” prescribed (Act s. 3(1)(a))</w:t>
      </w:r>
      <w:bookmarkEnd w:id="24"/>
      <w:bookmarkEnd w:id="25"/>
      <w:bookmarkEnd w:id="26"/>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27" w:name="_Toc378164543"/>
      <w:bookmarkStart w:id="28" w:name="_Toc416441609"/>
      <w:bookmarkStart w:id="29" w:name="_Toc319593992"/>
      <w:r>
        <w:rPr>
          <w:rStyle w:val="CharSectno"/>
        </w:rPr>
        <w:t>5</w:t>
      </w:r>
      <w:r>
        <w:t>.</w:t>
      </w:r>
      <w:r>
        <w:tab/>
        <w:t>“Dangerous goods”, how Chief Officer determines (Act s. 3(1)(b))</w:t>
      </w:r>
      <w:bookmarkEnd w:id="27"/>
      <w:bookmarkEnd w:id="28"/>
      <w:bookmarkEnd w:id="29"/>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30" w:name="_Toc378164544"/>
      <w:bookmarkStart w:id="31" w:name="_Toc416441610"/>
      <w:bookmarkStart w:id="32" w:name="_Toc319593993"/>
      <w:r>
        <w:rPr>
          <w:rStyle w:val="CharSectno"/>
        </w:rPr>
        <w:t>6</w:t>
      </w:r>
      <w:r>
        <w:t>.</w:t>
      </w:r>
      <w:r>
        <w:tab/>
        <w:t>Goods too dangerous to transport (Act s. 16)</w:t>
      </w:r>
      <w:bookmarkEnd w:id="30"/>
      <w:bookmarkEnd w:id="31"/>
      <w:bookmarkEnd w:id="32"/>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bookmarkStart w:id="33" w:name="_Toc191981074"/>
      <w:r>
        <w:tab/>
        <w:t>[Regulation 6 amended in Gazette 22 Jun 2010 p. 2781.]</w:t>
      </w:r>
    </w:p>
    <w:p>
      <w:pPr>
        <w:pStyle w:val="Heading2"/>
      </w:pPr>
      <w:bookmarkStart w:id="34" w:name="_Toc378164545"/>
      <w:bookmarkStart w:id="35" w:name="_Toc416441584"/>
      <w:bookmarkStart w:id="36" w:name="_Toc416441611"/>
      <w:bookmarkStart w:id="37" w:name="_Toc264887009"/>
      <w:bookmarkStart w:id="38" w:name="_Toc319593994"/>
      <w:r>
        <w:rPr>
          <w:rStyle w:val="CharPartNo"/>
        </w:rPr>
        <w:t>Part 3</w:t>
      </w:r>
      <w:r>
        <w:rPr>
          <w:rStyle w:val="CharDivNo"/>
        </w:rPr>
        <w:t> </w:t>
      </w:r>
      <w:r>
        <w:t>—</w:t>
      </w:r>
      <w:r>
        <w:rPr>
          <w:rStyle w:val="CharDivText"/>
        </w:rPr>
        <w:t> </w:t>
      </w:r>
      <w:r>
        <w:rPr>
          <w:rStyle w:val="CharPartText"/>
        </w:rPr>
        <w:t>Matters for the Act Part 4</w:t>
      </w:r>
      <w:bookmarkEnd w:id="34"/>
      <w:bookmarkEnd w:id="35"/>
      <w:bookmarkEnd w:id="36"/>
      <w:bookmarkEnd w:id="33"/>
      <w:bookmarkEnd w:id="37"/>
      <w:bookmarkEnd w:id="38"/>
    </w:p>
    <w:p>
      <w:pPr>
        <w:pStyle w:val="Heading5"/>
      </w:pPr>
      <w:bookmarkStart w:id="39" w:name="_Toc378164546"/>
      <w:bookmarkStart w:id="40" w:name="_Toc416441612"/>
      <w:bookmarkStart w:id="41" w:name="_Toc319593995"/>
      <w:r>
        <w:rPr>
          <w:rStyle w:val="CharSectno"/>
        </w:rPr>
        <w:t>7</w:t>
      </w:r>
      <w:r>
        <w:t>.</w:t>
      </w:r>
      <w:r>
        <w:tab/>
        <w:t>Applying for an exemption</w:t>
      </w:r>
      <w:bookmarkEnd w:id="39"/>
      <w:bookmarkEnd w:id="40"/>
      <w:bookmarkEnd w:id="41"/>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42" w:name="_Toc378164547"/>
      <w:bookmarkStart w:id="43" w:name="_Toc416441613"/>
      <w:bookmarkStart w:id="44" w:name="_Toc319593996"/>
      <w:r>
        <w:rPr>
          <w:rStyle w:val="CharSectno"/>
        </w:rPr>
        <w:t>8</w:t>
      </w:r>
      <w:r>
        <w:t>.</w:t>
      </w:r>
      <w:r>
        <w:tab/>
        <w:t>Dealing with an application for an exemption</w:t>
      </w:r>
      <w:bookmarkEnd w:id="42"/>
      <w:bookmarkEnd w:id="43"/>
      <w:bookmarkEnd w:id="44"/>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45" w:name="_Toc378164548"/>
      <w:bookmarkStart w:id="46" w:name="_Toc416441614"/>
      <w:bookmarkStart w:id="47" w:name="_Toc319593997"/>
      <w:r>
        <w:rPr>
          <w:rStyle w:val="CharSectno"/>
        </w:rPr>
        <w:t>9</w:t>
      </w:r>
      <w:r>
        <w:t>.</w:t>
      </w:r>
      <w:r>
        <w:tab/>
        <w:t>Register of exemptions</w:t>
      </w:r>
      <w:bookmarkEnd w:id="45"/>
      <w:bookmarkEnd w:id="46"/>
      <w:bookmarkEnd w:id="47"/>
    </w:p>
    <w:p>
      <w:pPr>
        <w:pStyle w:val="Subsection"/>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48" w:name="_Toc378164549"/>
      <w:bookmarkStart w:id="49" w:name="_Toc416441588"/>
      <w:bookmarkStart w:id="50" w:name="_Toc416441615"/>
      <w:bookmarkStart w:id="51" w:name="_Toc191981078"/>
      <w:bookmarkStart w:id="52" w:name="_Toc264887013"/>
      <w:bookmarkStart w:id="53" w:name="_Toc319593998"/>
      <w:r>
        <w:rPr>
          <w:rStyle w:val="CharPartNo"/>
        </w:rPr>
        <w:t>Part 4</w:t>
      </w:r>
      <w:r>
        <w:rPr>
          <w:rStyle w:val="CharDivNo"/>
        </w:rPr>
        <w:t> </w:t>
      </w:r>
      <w:r>
        <w:t>—</w:t>
      </w:r>
      <w:r>
        <w:rPr>
          <w:rStyle w:val="CharDivText"/>
        </w:rPr>
        <w:t> </w:t>
      </w:r>
      <w:r>
        <w:rPr>
          <w:rStyle w:val="CharPartText"/>
        </w:rPr>
        <w:t>Matters for the Act Part 5</w:t>
      </w:r>
      <w:bookmarkEnd w:id="48"/>
      <w:bookmarkEnd w:id="49"/>
      <w:bookmarkEnd w:id="50"/>
      <w:bookmarkEnd w:id="51"/>
      <w:bookmarkEnd w:id="52"/>
      <w:bookmarkEnd w:id="53"/>
    </w:p>
    <w:p>
      <w:pPr>
        <w:pStyle w:val="Heading5"/>
      </w:pPr>
      <w:bookmarkStart w:id="54" w:name="_Toc378164550"/>
      <w:bookmarkStart w:id="55" w:name="_Toc416441616"/>
      <w:bookmarkStart w:id="56" w:name="_Toc319593999"/>
      <w:r>
        <w:rPr>
          <w:rStyle w:val="CharSectno"/>
        </w:rPr>
        <w:t>10</w:t>
      </w:r>
      <w:r>
        <w:t>.</w:t>
      </w:r>
      <w:r>
        <w:tab/>
        <w:t>Identity cards, prescribed details (Act s. 28)</w:t>
      </w:r>
      <w:bookmarkEnd w:id="54"/>
      <w:bookmarkEnd w:id="55"/>
      <w:bookmarkEnd w:id="56"/>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57" w:name="_Toc378164551"/>
      <w:bookmarkStart w:id="58" w:name="_Toc416441590"/>
      <w:bookmarkStart w:id="59" w:name="_Toc416441617"/>
      <w:bookmarkStart w:id="60" w:name="_Toc191981080"/>
      <w:bookmarkStart w:id="61" w:name="_Toc264887015"/>
      <w:bookmarkStart w:id="62" w:name="_Toc319594000"/>
      <w:r>
        <w:rPr>
          <w:rStyle w:val="CharPartNo"/>
        </w:rPr>
        <w:t>Part 5</w:t>
      </w:r>
      <w:r>
        <w:rPr>
          <w:rStyle w:val="CharDivNo"/>
        </w:rPr>
        <w:t> </w:t>
      </w:r>
      <w:r>
        <w:t>—</w:t>
      </w:r>
      <w:r>
        <w:rPr>
          <w:rStyle w:val="CharDivText"/>
        </w:rPr>
        <w:t> </w:t>
      </w:r>
      <w:r>
        <w:rPr>
          <w:rStyle w:val="CharPartText"/>
        </w:rPr>
        <w:t>Infringement notices</w:t>
      </w:r>
      <w:bookmarkEnd w:id="57"/>
      <w:bookmarkEnd w:id="58"/>
      <w:bookmarkEnd w:id="59"/>
      <w:bookmarkEnd w:id="60"/>
      <w:bookmarkEnd w:id="61"/>
      <w:bookmarkEnd w:id="62"/>
    </w:p>
    <w:p>
      <w:pPr>
        <w:pStyle w:val="Heading5"/>
      </w:pPr>
      <w:bookmarkStart w:id="63" w:name="_Toc378164552"/>
      <w:bookmarkStart w:id="64" w:name="_Toc416441618"/>
      <w:bookmarkStart w:id="65" w:name="_Toc319594001"/>
      <w:r>
        <w:rPr>
          <w:rStyle w:val="CharSectno"/>
        </w:rPr>
        <w:t>11</w:t>
      </w:r>
      <w:r>
        <w:t>.</w:t>
      </w:r>
      <w:r>
        <w:tab/>
        <w:t>Prescribed offences (Act s. 56)</w:t>
      </w:r>
      <w:bookmarkEnd w:id="63"/>
      <w:bookmarkEnd w:id="64"/>
      <w:bookmarkEnd w:id="65"/>
    </w:p>
    <w:p>
      <w:pPr>
        <w:pStyle w:val="Subsection"/>
      </w:pPr>
      <w:r>
        <w:tab/>
      </w:r>
      <w:r>
        <w:tab/>
        <w:t>For the purposes of section 56, the prescribed offences are those offences prescribed for the purposes of that section by other regulations made under the Act.</w:t>
      </w:r>
    </w:p>
    <w:p>
      <w:pPr>
        <w:pStyle w:val="Heading5"/>
      </w:pPr>
      <w:bookmarkStart w:id="66" w:name="_Toc378164553"/>
      <w:bookmarkStart w:id="67" w:name="_Toc416441619"/>
      <w:bookmarkStart w:id="68" w:name="_Toc319594002"/>
      <w:r>
        <w:rPr>
          <w:rStyle w:val="CharSectno"/>
        </w:rPr>
        <w:t>12</w:t>
      </w:r>
      <w:r>
        <w:t>.</w:t>
      </w:r>
      <w:r>
        <w:tab/>
        <w:t>Infringement notice, form of (Act s. 56)</w:t>
      </w:r>
      <w:bookmarkEnd w:id="66"/>
      <w:bookmarkEnd w:id="67"/>
      <w:bookmarkEnd w:id="68"/>
    </w:p>
    <w:p>
      <w:pPr>
        <w:pStyle w:val="Subsection"/>
      </w:pPr>
      <w:r>
        <w:tab/>
      </w:r>
      <w:r>
        <w:tab/>
        <w:t>For the purposes of section 56(3), the prescribed form of an infringement notice is Form 1.</w:t>
      </w:r>
    </w:p>
    <w:p>
      <w:pPr>
        <w:pStyle w:val="Heading5"/>
      </w:pPr>
      <w:bookmarkStart w:id="69" w:name="_Toc378164554"/>
      <w:bookmarkStart w:id="70" w:name="_Toc416441620"/>
      <w:bookmarkStart w:id="71" w:name="_Toc319594003"/>
      <w:r>
        <w:rPr>
          <w:rStyle w:val="CharSectno"/>
        </w:rPr>
        <w:t>13</w:t>
      </w:r>
      <w:r>
        <w:t>.</w:t>
      </w:r>
      <w:r>
        <w:tab/>
        <w:t>Withdrawal of infringement notice, form of (Act s. 56)</w:t>
      </w:r>
      <w:bookmarkEnd w:id="69"/>
      <w:bookmarkEnd w:id="70"/>
      <w:bookmarkEnd w:id="71"/>
    </w:p>
    <w:p>
      <w:pPr>
        <w:pStyle w:val="Subsection"/>
      </w:pPr>
      <w:r>
        <w:tab/>
      </w:r>
      <w:r>
        <w:tab/>
        <w:t>For the purposes of section 56(7), the prescribed form of a withdrawal of an infringement notice is Form 2.</w:t>
      </w:r>
    </w:p>
    <w:p>
      <w:pPr>
        <w:pStyle w:val="Heading2"/>
        <w:rPr>
          <w:ins w:id="72" w:author="Master Repository Process" w:date="2021-08-01T03:02:00Z"/>
        </w:rPr>
      </w:pPr>
      <w:bookmarkStart w:id="73" w:name="_Toc378164555"/>
      <w:bookmarkStart w:id="74" w:name="_Toc416441594"/>
      <w:bookmarkStart w:id="75" w:name="_Toc416441621"/>
      <w:ins w:id="76" w:author="Master Repository Process" w:date="2021-08-01T03:02:00Z">
        <w:r>
          <w:rPr>
            <w:rStyle w:val="CharPartNo"/>
          </w:rPr>
          <w:t>Part 6</w:t>
        </w:r>
        <w:r>
          <w:rPr>
            <w:rStyle w:val="CharDivNo"/>
          </w:rPr>
          <w:t> </w:t>
        </w:r>
        <w:r>
          <w:t>—</w:t>
        </w:r>
        <w:r>
          <w:rPr>
            <w:rStyle w:val="CharDivText"/>
          </w:rPr>
          <w:t> </w:t>
        </w:r>
        <w:r>
          <w:rPr>
            <w:rStyle w:val="CharPartText"/>
          </w:rPr>
          <w:t>Miscellaneous matters</w:t>
        </w:r>
        <w:bookmarkEnd w:id="73"/>
        <w:bookmarkEnd w:id="74"/>
        <w:bookmarkEnd w:id="75"/>
      </w:ins>
    </w:p>
    <w:p>
      <w:pPr>
        <w:pStyle w:val="Footnoteheading"/>
        <w:rPr>
          <w:ins w:id="77" w:author="Master Repository Process" w:date="2021-08-01T03:02:00Z"/>
        </w:rPr>
      </w:pPr>
      <w:ins w:id="78" w:author="Master Repository Process" w:date="2021-08-01T03:02:00Z">
        <w:r>
          <w:tab/>
          <w:t>[Heading inserted in Gazette 16 Mar 2012 p. 1257.]</w:t>
        </w:r>
      </w:ins>
    </w:p>
    <w:p>
      <w:pPr>
        <w:pStyle w:val="Heading5"/>
        <w:rPr>
          <w:ins w:id="79" w:author="Master Repository Process" w:date="2021-08-01T03:02:00Z"/>
        </w:rPr>
      </w:pPr>
      <w:bookmarkStart w:id="80" w:name="_Toc378164556"/>
      <w:bookmarkStart w:id="81" w:name="_Toc416441622"/>
      <w:ins w:id="82" w:author="Master Repository Process" w:date="2021-08-01T03:02:00Z">
        <w:r>
          <w:rPr>
            <w:rStyle w:val="CharSectno"/>
          </w:rPr>
          <w:t>14</w:t>
        </w:r>
        <w:r>
          <w:t>.</w:t>
        </w:r>
        <w:r>
          <w:tab/>
          <w:t>Fees, Chief Officer may reduce etc.</w:t>
        </w:r>
        <w:bookmarkEnd w:id="80"/>
        <w:bookmarkEnd w:id="81"/>
      </w:ins>
    </w:p>
    <w:p>
      <w:pPr>
        <w:pStyle w:val="Subsection"/>
        <w:rPr>
          <w:ins w:id="83" w:author="Master Repository Process" w:date="2021-08-01T03:02:00Z"/>
        </w:rPr>
      </w:pPr>
      <w:ins w:id="84" w:author="Master Repository Process" w:date="2021-08-01T03:02:00Z">
        <w:r>
          <w:tab/>
        </w:r>
        <w:r>
          <w:tab/>
          <w:t>If, in the circumstances of a particular case in which a fee is payable under the Act, the Chief Officer thinks it is fair or reasonable to do so, he or she may reduce, or refund or waive all or part of, the fee.</w:t>
        </w:r>
      </w:ins>
    </w:p>
    <w:p>
      <w:pPr>
        <w:pStyle w:val="Footnotesection"/>
        <w:rPr>
          <w:ins w:id="85" w:author="Master Repository Process" w:date="2021-08-01T03:02:00Z"/>
        </w:rPr>
      </w:pPr>
      <w:ins w:id="86" w:author="Master Repository Process" w:date="2021-08-01T03:02:00Z">
        <w:r>
          <w:tab/>
          <w:t>[Regulation 14 inserted in Gazette 16 Mar 2012 p. 1257.]</w:t>
        </w:r>
      </w:ins>
    </w:p>
    <w:p>
      <w:pPr>
        <w:pStyle w:val="Heading5"/>
        <w:rPr>
          <w:ins w:id="87" w:author="Master Repository Process" w:date="2021-08-01T03:02:00Z"/>
        </w:rPr>
      </w:pPr>
      <w:bookmarkStart w:id="88" w:name="_Toc378164557"/>
      <w:bookmarkStart w:id="89" w:name="_Toc416441623"/>
      <w:ins w:id="90" w:author="Master Repository Process" w:date="2021-08-01T03:02:00Z">
        <w:r>
          <w:rPr>
            <w:rStyle w:val="CharSectno"/>
          </w:rPr>
          <w:t>15</w:t>
        </w:r>
        <w:r>
          <w:t>.</w:t>
        </w:r>
        <w:r>
          <w:tab/>
          <w:t>Licences, Chief Officer may synchronise duration of and date for payment of annual fees for</w:t>
        </w:r>
        <w:bookmarkEnd w:id="88"/>
        <w:bookmarkEnd w:id="89"/>
      </w:ins>
    </w:p>
    <w:p>
      <w:pPr>
        <w:pStyle w:val="Subsection"/>
        <w:rPr>
          <w:ins w:id="91" w:author="Master Repository Process" w:date="2021-08-01T03:02:00Z"/>
        </w:rPr>
      </w:pPr>
      <w:ins w:id="92" w:author="Master Repository Process" w:date="2021-08-01T03:02:00Z">
        <w:r>
          <w:tab/>
          <w:t>(1)</w:t>
        </w:r>
        <w:r>
          <w:tab/>
          <w:t>In this regulation —</w:t>
        </w:r>
      </w:ins>
    </w:p>
    <w:p>
      <w:pPr>
        <w:pStyle w:val="Defstart"/>
        <w:rPr>
          <w:ins w:id="93" w:author="Master Repository Process" w:date="2021-08-01T03:02:00Z"/>
        </w:rPr>
      </w:pPr>
      <w:ins w:id="94" w:author="Master Repository Process" w:date="2021-08-01T03:02:00Z">
        <w:r>
          <w:tab/>
        </w:r>
        <w:r>
          <w:rPr>
            <w:rStyle w:val="CharDefText"/>
          </w:rPr>
          <w:t>licence</w:t>
        </w:r>
        <w:r>
          <w:t xml:space="preserve"> means —</w:t>
        </w:r>
      </w:ins>
    </w:p>
    <w:p>
      <w:pPr>
        <w:pStyle w:val="Defpara"/>
        <w:rPr>
          <w:ins w:id="95" w:author="Master Repository Process" w:date="2021-08-01T03:02:00Z"/>
        </w:rPr>
      </w:pPr>
      <w:ins w:id="96" w:author="Master Repository Process" w:date="2021-08-01T03:02:00Z">
        <w:r>
          <w:tab/>
          <w:t>(a)</w:t>
        </w:r>
        <w:r>
          <w:tab/>
          <w:t xml:space="preserve">any of these licences granted under the </w:t>
        </w:r>
        <w:r>
          <w:rPr>
            <w:i/>
          </w:rPr>
          <w:t>Dangerous Goods Safety (Explosives) Regulations 2007</w:t>
        </w:r>
        <w:r>
          <w:t> —</w:t>
        </w:r>
      </w:ins>
    </w:p>
    <w:p>
      <w:pPr>
        <w:pStyle w:val="Defsubpara"/>
        <w:rPr>
          <w:ins w:id="97" w:author="Master Repository Process" w:date="2021-08-01T03:02:00Z"/>
        </w:rPr>
      </w:pPr>
      <w:ins w:id="98" w:author="Master Repository Process" w:date="2021-08-01T03:02:00Z">
        <w:r>
          <w:tab/>
          <w:t>(i)</w:t>
        </w:r>
        <w:r>
          <w:tab/>
          <w:t>an explosives import/export licence;</w:t>
        </w:r>
      </w:ins>
    </w:p>
    <w:p>
      <w:pPr>
        <w:pStyle w:val="Defsubpara"/>
        <w:rPr>
          <w:ins w:id="99" w:author="Master Repository Process" w:date="2021-08-01T03:02:00Z"/>
        </w:rPr>
      </w:pPr>
      <w:ins w:id="100" w:author="Master Repository Process" w:date="2021-08-01T03:02:00Z">
        <w:r>
          <w:tab/>
          <w:t>(ii)</w:t>
        </w:r>
        <w:r>
          <w:tab/>
          <w:t>an explosives manufacture licence;</w:t>
        </w:r>
      </w:ins>
    </w:p>
    <w:p>
      <w:pPr>
        <w:pStyle w:val="Defsubpara"/>
        <w:rPr>
          <w:ins w:id="101" w:author="Master Repository Process" w:date="2021-08-01T03:02:00Z"/>
        </w:rPr>
      </w:pPr>
      <w:ins w:id="102" w:author="Master Repository Process" w:date="2021-08-01T03:02:00Z">
        <w:r>
          <w:tab/>
          <w:t>(iii)</w:t>
        </w:r>
        <w:r>
          <w:tab/>
          <w:t>an explosives manufacture (MPU) licence;</w:t>
        </w:r>
      </w:ins>
    </w:p>
    <w:p>
      <w:pPr>
        <w:pStyle w:val="Defsubpara"/>
        <w:rPr>
          <w:ins w:id="103" w:author="Master Repository Process" w:date="2021-08-01T03:02:00Z"/>
        </w:rPr>
      </w:pPr>
      <w:ins w:id="104" w:author="Master Repository Process" w:date="2021-08-01T03:02:00Z">
        <w:r>
          <w:tab/>
          <w:t>(iv)</w:t>
        </w:r>
        <w:r>
          <w:tab/>
          <w:t>an explosives storage licence;</w:t>
        </w:r>
      </w:ins>
    </w:p>
    <w:p>
      <w:pPr>
        <w:pStyle w:val="Defsubpara"/>
        <w:rPr>
          <w:ins w:id="105" w:author="Master Repository Process" w:date="2021-08-01T03:02:00Z"/>
        </w:rPr>
      </w:pPr>
      <w:ins w:id="106" w:author="Master Repository Process" w:date="2021-08-01T03:02:00Z">
        <w:r>
          <w:tab/>
          <w:t>(v)</w:t>
        </w:r>
        <w:r>
          <w:tab/>
          <w:t>an explosives transport licence;</w:t>
        </w:r>
      </w:ins>
    </w:p>
    <w:p>
      <w:pPr>
        <w:pStyle w:val="Defsubpara"/>
        <w:rPr>
          <w:ins w:id="107" w:author="Master Repository Process" w:date="2021-08-01T03:02:00Z"/>
        </w:rPr>
      </w:pPr>
      <w:ins w:id="108" w:author="Master Repository Process" w:date="2021-08-01T03:02:00Z">
        <w:r>
          <w:tab/>
          <w:t>(vi)</w:t>
        </w:r>
        <w:r>
          <w:tab/>
          <w:t>an explosives supply licence;</w:t>
        </w:r>
      </w:ins>
    </w:p>
    <w:p>
      <w:pPr>
        <w:pStyle w:val="Defpara"/>
        <w:rPr>
          <w:ins w:id="109" w:author="Master Repository Process" w:date="2021-08-01T03:02:00Z"/>
        </w:rPr>
      </w:pPr>
      <w:ins w:id="110" w:author="Master Repository Process" w:date="2021-08-01T03:02:00Z">
        <w:r>
          <w:tab/>
          <w:t>(b)</w:t>
        </w:r>
        <w:r>
          <w:tab/>
          <w:t xml:space="preserve">any of these licences granted under the </w:t>
        </w:r>
        <w:r>
          <w:rPr>
            <w:i/>
          </w:rPr>
          <w:t>Dangerous Goods Safety (Security Risk Substances) Regulations 2007</w:t>
        </w:r>
        <w:r>
          <w:t> —</w:t>
        </w:r>
      </w:ins>
    </w:p>
    <w:p>
      <w:pPr>
        <w:pStyle w:val="Defsubpara"/>
        <w:rPr>
          <w:ins w:id="111" w:author="Master Repository Process" w:date="2021-08-01T03:02:00Z"/>
        </w:rPr>
      </w:pPr>
      <w:ins w:id="112" w:author="Master Repository Process" w:date="2021-08-01T03:02:00Z">
        <w:r>
          <w:tab/>
          <w:t>(i)</w:t>
        </w:r>
        <w:r>
          <w:tab/>
          <w:t>an SRS import/export licence;</w:t>
        </w:r>
      </w:ins>
    </w:p>
    <w:p>
      <w:pPr>
        <w:pStyle w:val="Defsubpara"/>
        <w:rPr>
          <w:ins w:id="113" w:author="Master Repository Process" w:date="2021-08-01T03:02:00Z"/>
        </w:rPr>
      </w:pPr>
      <w:ins w:id="114" w:author="Master Repository Process" w:date="2021-08-01T03:02:00Z">
        <w:r>
          <w:tab/>
          <w:t>(ii)</w:t>
        </w:r>
        <w:r>
          <w:tab/>
          <w:t>an SRS manufacture licence;</w:t>
        </w:r>
      </w:ins>
    </w:p>
    <w:p>
      <w:pPr>
        <w:pStyle w:val="Defsubpara"/>
        <w:rPr>
          <w:ins w:id="115" w:author="Master Repository Process" w:date="2021-08-01T03:02:00Z"/>
        </w:rPr>
      </w:pPr>
      <w:ins w:id="116" w:author="Master Repository Process" w:date="2021-08-01T03:02:00Z">
        <w:r>
          <w:tab/>
          <w:t>(iii)</w:t>
        </w:r>
        <w:r>
          <w:tab/>
          <w:t>an SRS storage licence;</w:t>
        </w:r>
      </w:ins>
    </w:p>
    <w:p>
      <w:pPr>
        <w:pStyle w:val="Defsubpara"/>
        <w:rPr>
          <w:ins w:id="117" w:author="Master Repository Process" w:date="2021-08-01T03:02:00Z"/>
        </w:rPr>
      </w:pPr>
      <w:ins w:id="118" w:author="Master Repository Process" w:date="2021-08-01T03:02:00Z">
        <w:r>
          <w:tab/>
          <w:t>(iv)</w:t>
        </w:r>
        <w:r>
          <w:tab/>
          <w:t>an SRS transport licence;</w:t>
        </w:r>
      </w:ins>
    </w:p>
    <w:p>
      <w:pPr>
        <w:pStyle w:val="Defsubpara"/>
        <w:rPr>
          <w:ins w:id="119" w:author="Master Repository Process" w:date="2021-08-01T03:02:00Z"/>
        </w:rPr>
      </w:pPr>
      <w:ins w:id="120" w:author="Master Repository Process" w:date="2021-08-01T03:02:00Z">
        <w:r>
          <w:tab/>
          <w:t>(v)</w:t>
        </w:r>
        <w:r>
          <w:tab/>
          <w:t>an SRS supply licence;</w:t>
        </w:r>
      </w:ins>
    </w:p>
    <w:p>
      <w:pPr>
        <w:pStyle w:val="Defsubpara"/>
        <w:rPr>
          <w:ins w:id="121" w:author="Master Repository Process" w:date="2021-08-01T03:02:00Z"/>
        </w:rPr>
      </w:pPr>
      <w:ins w:id="122" w:author="Master Repository Process" w:date="2021-08-01T03:02:00Z">
        <w:r>
          <w:tab/>
          <w:t>(vi)</w:t>
        </w:r>
        <w:r>
          <w:tab/>
          <w:t>an SRS fertiliser licence;</w:t>
        </w:r>
      </w:ins>
    </w:p>
    <w:p>
      <w:pPr>
        <w:pStyle w:val="Defpara"/>
        <w:rPr>
          <w:ins w:id="123" w:author="Master Repository Process" w:date="2021-08-01T03:02:00Z"/>
        </w:rPr>
      </w:pPr>
      <w:ins w:id="124" w:author="Master Repository Process" w:date="2021-08-01T03:02:00Z">
        <w:r>
          <w:tab/>
          <w:t>(c)</w:t>
        </w:r>
        <w:r>
          <w:tab/>
          <w:t xml:space="preserve">a licence granted under the </w:t>
        </w:r>
        <w:r>
          <w:rPr>
            <w:i/>
          </w:rPr>
          <w:t>Dangerous Goods Safety (Storage and Handling of Non</w:t>
        </w:r>
        <w:r>
          <w:rPr>
            <w:i/>
          </w:rPr>
          <w:noBreakHyphen/>
          <w:t>explosives) Regulations 2007</w:t>
        </w:r>
        <w:r>
          <w:t xml:space="preserve"> Part 4;</w:t>
        </w:r>
      </w:ins>
    </w:p>
    <w:p>
      <w:pPr>
        <w:pStyle w:val="Defpara"/>
        <w:rPr>
          <w:ins w:id="125" w:author="Master Repository Process" w:date="2021-08-01T03:02:00Z"/>
        </w:rPr>
      </w:pPr>
      <w:ins w:id="126" w:author="Master Repository Process" w:date="2021-08-01T03:02:00Z">
        <w:r>
          <w:tab/>
          <w:t>(d)</w:t>
        </w:r>
        <w:r>
          <w:tab/>
          <w:t xml:space="preserve">a registration for a dangerous goods pipeline granted under the </w:t>
        </w:r>
        <w:r>
          <w:rPr>
            <w:i/>
          </w:rPr>
          <w:t>Dangerous Goods Safety (Storage and Handling of Non-explosives) Regulations 2007</w:t>
        </w:r>
        <w:r>
          <w:t xml:space="preserve"> Part 5.</w:t>
        </w:r>
      </w:ins>
    </w:p>
    <w:p>
      <w:pPr>
        <w:pStyle w:val="Subsection"/>
        <w:rPr>
          <w:ins w:id="127" w:author="Master Repository Process" w:date="2021-08-01T03:02:00Z"/>
        </w:rPr>
      </w:pPr>
      <w:ins w:id="128" w:author="Master Repository Process" w:date="2021-08-01T03:02:00Z">
        <w:r>
          <w:tab/>
          <w:t>(2)</w:t>
        </w:r>
        <w:r>
          <w:tab/>
          <w:t>This regulation operates despite the following —</w:t>
        </w:r>
      </w:ins>
    </w:p>
    <w:p>
      <w:pPr>
        <w:pStyle w:val="Indenta"/>
        <w:rPr>
          <w:ins w:id="129" w:author="Master Repository Process" w:date="2021-08-01T03:02:00Z"/>
        </w:rPr>
      </w:pPr>
      <w:ins w:id="130" w:author="Master Repository Process" w:date="2021-08-01T03:02:00Z">
        <w:r>
          <w:tab/>
          <w:t>(a)</w:t>
        </w:r>
        <w:r>
          <w:tab/>
          <w:t xml:space="preserve">the </w:t>
        </w:r>
        <w:r>
          <w:rPr>
            <w:i/>
          </w:rPr>
          <w:t xml:space="preserve">Dangerous Goods Safety (Explosives) Regulations 2007 </w:t>
        </w:r>
        <w:r>
          <w:t>regulation 167;</w:t>
        </w:r>
      </w:ins>
    </w:p>
    <w:p>
      <w:pPr>
        <w:pStyle w:val="Indenta"/>
        <w:rPr>
          <w:ins w:id="131" w:author="Master Repository Process" w:date="2021-08-01T03:02:00Z"/>
        </w:rPr>
      </w:pPr>
      <w:ins w:id="132" w:author="Master Repository Process" w:date="2021-08-01T03:02:00Z">
        <w:r>
          <w:tab/>
          <w:t>(b)</w:t>
        </w:r>
        <w:r>
          <w:tab/>
          <w:t xml:space="preserve">the </w:t>
        </w:r>
        <w:r>
          <w:rPr>
            <w:i/>
          </w:rPr>
          <w:t xml:space="preserve">Dangerous Goods Safety (Security Risk Substances) Regulations 2007 </w:t>
        </w:r>
        <w:r>
          <w:t>regulation 35;</w:t>
        </w:r>
      </w:ins>
    </w:p>
    <w:p>
      <w:pPr>
        <w:pStyle w:val="Indenta"/>
        <w:rPr>
          <w:ins w:id="133" w:author="Master Repository Process" w:date="2021-08-01T03:02:00Z"/>
        </w:rPr>
      </w:pPr>
      <w:ins w:id="134" w:author="Master Repository Process" w:date="2021-08-01T03:02:00Z">
        <w:r>
          <w:tab/>
          <w:t>(c)</w:t>
        </w:r>
        <w:r>
          <w:tab/>
          <w:t xml:space="preserve">the </w:t>
        </w:r>
        <w:r>
          <w:rPr>
            <w:i/>
          </w:rPr>
          <w:t xml:space="preserve">Dangerous Goods Safety (Storage and Handling of Non-explosives) Regulations 2007 </w:t>
        </w:r>
        <w:r>
          <w:t>regulations 34 and 97.</w:t>
        </w:r>
      </w:ins>
    </w:p>
    <w:p>
      <w:pPr>
        <w:pStyle w:val="Subsection"/>
        <w:rPr>
          <w:ins w:id="135" w:author="Master Repository Process" w:date="2021-08-01T03:02:00Z"/>
        </w:rPr>
      </w:pPr>
      <w:ins w:id="136" w:author="Master Repository Process" w:date="2021-08-01T03:02:00Z">
        <w:r>
          <w:tab/>
          <w:t>(3)</w:t>
        </w:r>
        <w:r>
          <w:tab/>
          <w:t>If a person holds 2 or more licences, the Chief Officer, with the person’s consent —</w:t>
        </w:r>
      </w:ins>
    </w:p>
    <w:p>
      <w:pPr>
        <w:pStyle w:val="Indenta"/>
        <w:rPr>
          <w:ins w:id="137" w:author="Master Repository Process" w:date="2021-08-01T03:02:00Z"/>
        </w:rPr>
      </w:pPr>
      <w:ins w:id="138" w:author="Master Repository Process" w:date="2021-08-01T03:02:00Z">
        <w:r>
          <w:tab/>
          <w:t>(a)</w:t>
        </w:r>
        <w:r>
          <w:tab/>
          <w:t>may reduce the duration of one or more of them in order that all of them will, due to the passage of time, expire simultaneously; and</w:t>
        </w:r>
      </w:ins>
    </w:p>
    <w:p>
      <w:pPr>
        <w:pStyle w:val="Indenta"/>
        <w:rPr>
          <w:ins w:id="139" w:author="Master Repository Process" w:date="2021-08-01T03:02:00Z"/>
        </w:rPr>
      </w:pPr>
      <w:ins w:id="140" w:author="Master Repository Process" w:date="2021-08-01T03:02:00Z">
        <w:r>
          <w:tab/>
          <w:t>(b)</w:t>
        </w:r>
        <w:r>
          <w:tab/>
          <w:t xml:space="preserve">may set for all or some of the licences one date in each year as the date on which any fee payable each year for each licence is due (the </w:t>
        </w:r>
        <w:r>
          <w:rPr>
            <w:rStyle w:val="CharDefText"/>
          </w:rPr>
          <w:t>due date</w:t>
        </w:r>
        <w:r>
          <w:t>).</w:t>
        </w:r>
      </w:ins>
    </w:p>
    <w:p>
      <w:pPr>
        <w:pStyle w:val="Subsection"/>
        <w:rPr>
          <w:ins w:id="141" w:author="Master Repository Process" w:date="2021-08-01T03:02:00Z"/>
        </w:rPr>
      </w:pPr>
      <w:ins w:id="142" w:author="Master Repository Process" w:date="2021-08-01T03:02:00Z">
        <w:r>
          <w:tab/>
          <w:t>(4)</w:t>
        </w:r>
        <w:r>
          <w:tab/>
          <w:t xml:space="preserve">If under subregulation (3)(a) the Chief Officer decides to reduce the duration of a licence — </w:t>
        </w:r>
      </w:ins>
    </w:p>
    <w:p>
      <w:pPr>
        <w:pStyle w:val="Indenta"/>
        <w:rPr>
          <w:ins w:id="143" w:author="Master Repository Process" w:date="2021-08-01T03:02:00Z"/>
        </w:rPr>
      </w:pPr>
      <w:ins w:id="144" w:author="Master Repository Process" w:date="2021-08-01T03:02:00Z">
        <w:r>
          <w:tab/>
          <w:t>(a)</w:t>
        </w:r>
        <w:r>
          <w:tab/>
          <w:t>he or she must cancel the licence and issue a replacement in identical terms that specifies the date on which the licence will expire; and</w:t>
        </w:r>
      </w:ins>
    </w:p>
    <w:p>
      <w:pPr>
        <w:pStyle w:val="Indenta"/>
        <w:rPr>
          <w:ins w:id="145" w:author="Master Repository Process" w:date="2021-08-01T03:02:00Z"/>
        </w:rPr>
      </w:pPr>
      <w:ins w:id="146" w:author="Master Repository Process" w:date="2021-08-01T03:02:00Z">
        <w:r>
          <w:tab/>
          <w:t>(b)</w:t>
        </w:r>
        <w:r>
          <w:tab/>
          <w:t>the reduction takes effect on the day on which the replacement licence is issued.</w:t>
        </w:r>
      </w:ins>
    </w:p>
    <w:p>
      <w:pPr>
        <w:pStyle w:val="Subsection"/>
        <w:rPr>
          <w:ins w:id="147" w:author="Master Repository Process" w:date="2021-08-01T03:02:00Z"/>
        </w:rPr>
      </w:pPr>
      <w:ins w:id="148" w:author="Master Repository Process" w:date="2021-08-01T03:02:00Z">
        <w:r>
          <w:tab/>
          <w:t>(5)</w:t>
        </w:r>
        <w:r>
          <w:tab/>
          <w:t>If under subregulation (3)(b) the Chief Officer decides to set a due date, he or she must give the holder of the licences written notice of —</w:t>
        </w:r>
      </w:ins>
    </w:p>
    <w:p>
      <w:pPr>
        <w:pStyle w:val="Indenta"/>
        <w:rPr>
          <w:ins w:id="149" w:author="Master Repository Process" w:date="2021-08-01T03:02:00Z"/>
        </w:rPr>
      </w:pPr>
      <w:ins w:id="150" w:author="Master Repository Process" w:date="2021-08-01T03:02:00Z">
        <w:r>
          <w:tab/>
          <w:t>(a)</w:t>
        </w:r>
        <w:r>
          <w:tab/>
          <w:t>the due date; and</w:t>
        </w:r>
      </w:ins>
    </w:p>
    <w:p>
      <w:pPr>
        <w:pStyle w:val="Indenta"/>
        <w:rPr>
          <w:ins w:id="151" w:author="Master Repository Process" w:date="2021-08-01T03:02:00Z"/>
        </w:rPr>
      </w:pPr>
      <w:ins w:id="152" w:author="Master Repository Process" w:date="2021-08-01T03:02:00Z">
        <w:r>
          <w:tab/>
          <w:t>(b)</w:t>
        </w:r>
        <w:r>
          <w:tab/>
          <w:t>each licence to which the due date applies; and</w:t>
        </w:r>
      </w:ins>
    </w:p>
    <w:p>
      <w:pPr>
        <w:pStyle w:val="Indenta"/>
        <w:rPr>
          <w:ins w:id="153" w:author="Master Repository Process" w:date="2021-08-01T03:02:00Z"/>
        </w:rPr>
      </w:pPr>
      <w:ins w:id="154" w:author="Master Repository Process" w:date="2021-08-01T03:02:00Z">
        <w:r>
          <w:tab/>
          <w:t>(c)</w:t>
        </w:r>
        <w:r>
          <w:tab/>
          <w:t>each fee to which the due date applies.</w:t>
        </w:r>
      </w:ins>
    </w:p>
    <w:p>
      <w:pPr>
        <w:pStyle w:val="Footnotesection"/>
        <w:rPr>
          <w:ins w:id="155" w:author="Master Repository Process" w:date="2021-08-01T03:02:00Z"/>
        </w:rPr>
      </w:pPr>
      <w:ins w:id="156" w:author="Master Repository Process" w:date="2021-08-01T03:02:00Z">
        <w:r>
          <w:tab/>
          <w:t>[Regulation 15 inserted in Gazette 16 Mar 2012 p. 1258</w:t>
        </w:r>
        <w:r>
          <w:noBreakHyphen/>
          <w:t>9.]</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157" w:name="_Toc378164558"/>
      <w:bookmarkStart w:id="158" w:name="_Toc416441597"/>
      <w:bookmarkStart w:id="159" w:name="_Toc416441624"/>
      <w:bookmarkStart w:id="160" w:name="_Toc191981084"/>
      <w:bookmarkStart w:id="161" w:name="_Toc264887019"/>
      <w:bookmarkStart w:id="162" w:name="_Toc319594004"/>
      <w:r>
        <w:rPr>
          <w:rStyle w:val="CharSchNo"/>
        </w:rPr>
        <w:t>Schedule 1</w:t>
      </w:r>
      <w:r>
        <w:rPr>
          <w:rStyle w:val="CharSDivNo"/>
        </w:rPr>
        <w:t> </w:t>
      </w:r>
      <w:r>
        <w:t>—</w:t>
      </w:r>
      <w:r>
        <w:rPr>
          <w:rStyle w:val="CharSDivText"/>
        </w:rPr>
        <w:t> </w:t>
      </w:r>
      <w:r>
        <w:rPr>
          <w:rStyle w:val="CharSchText"/>
        </w:rPr>
        <w:t>Specific dangerous goods</w:t>
      </w:r>
      <w:bookmarkEnd w:id="157"/>
      <w:bookmarkEnd w:id="158"/>
      <w:bookmarkEnd w:id="159"/>
      <w:bookmarkEnd w:id="160"/>
      <w:bookmarkEnd w:id="161"/>
      <w:bookmarkEnd w:id="162"/>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0"/>
          <w:headerReference w:type="default" r:id="rId21"/>
          <w:footerReference w:type="even" r:id="rId22"/>
          <w:headerReference w:type="first" r:id="rId23"/>
          <w:endnotePr>
            <w:numFmt w:val="decimal"/>
          </w:endnotePr>
          <w:pgSz w:w="11907" w:h="16840" w:code="9"/>
          <w:pgMar w:top="2376" w:right="2405" w:bottom="3542" w:left="2405" w:header="706" w:footer="3528" w:gutter="0"/>
          <w:cols w:space="720"/>
          <w:noEndnote/>
        </w:sectPr>
      </w:pPr>
    </w:p>
    <w:p>
      <w:pPr>
        <w:pStyle w:val="yScheduleHeading"/>
      </w:pPr>
      <w:bookmarkStart w:id="164" w:name="_Toc378164559"/>
      <w:bookmarkStart w:id="165" w:name="_Toc416441598"/>
      <w:bookmarkStart w:id="166" w:name="_Toc416441625"/>
      <w:bookmarkStart w:id="167" w:name="_Toc191981085"/>
      <w:bookmarkStart w:id="168" w:name="_Toc264887020"/>
      <w:bookmarkStart w:id="169" w:name="_Toc319594005"/>
      <w:r>
        <w:rPr>
          <w:rStyle w:val="CharSchNo"/>
        </w:rPr>
        <w:t>Schedule 2</w:t>
      </w:r>
      <w:r>
        <w:rPr>
          <w:rStyle w:val="CharSDivNo"/>
        </w:rPr>
        <w:t> </w:t>
      </w:r>
      <w:r>
        <w:t>—</w:t>
      </w:r>
      <w:r>
        <w:rPr>
          <w:rStyle w:val="CharSDivText"/>
        </w:rPr>
        <w:t> </w:t>
      </w:r>
      <w:r>
        <w:rPr>
          <w:rStyle w:val="CharSchText"/>
        </w:rPr>
        <w:t>Forms</w:t>
      </w:r>
      <w:bookmarkEnd w:id="164"/>
      <w:bookmarkEnd w:id="165"/>
      <w:bookmarkEnd w:id="166"/>
      <w:bookmarkEnd w:id="167"/>
      <w:bookmarkEnd w:id="168"/>
      <w:bookmarkEnd w:id="169"/>
    </w:p>
    <w:p>
      <w:pPr>
        <w:pStyle w:val="yShoulderClause"/>
      </w:pPr>
      <w:r>
        <w:t>[r. 3]</w:t>
      </w:r>
    </w:p>
    <w:p>
      <w:pPr>
        <w:pStyle w:val="yHeading5"/>
        <w:spacing w:after="120"/>
      </w:pPr>
      <w:bookmarkStart w:id="170" w:name="_Toc378164560"/>
      <w:bookmarkStart w:id="171" w:name="_Toc416441626"/>
      <w:bookmarkStart w:id="172" w:name="_Toc319594006"/>
      <w:r>
        <w:rPr>
          <w:rStyle w:val="CharSClsNo"/>
        </w:rPr>
        <w:t>1</w:t>
      </w:r>
      <w:r>
        <w:t>.</w:t>
      </w:r>
      <w:r>
        <w:tab/>
        <w:t>Infringement notice (r. 12)</w:t>
      </w:r>
      <w:bookmarkEnd w:id="170"/>
      <w:bookmarkEnd w:id="171"/>
      <w:bookmarkEnd w:id="17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6"/>
        <w:gridCol w:w="1275"/>
        <w:gridCol w:w="1700"/>
        <w:gridCol w:w="135"/>
        <w:gridCol w:w="578"/>
        <w:gridCol w:w="26"/>
        <w:gridCol w:w="541"/>
        <w:gridCol w:w="1417"/>
      </w:tblGrid>
      <w:tr>
        <w:tc>
          <w:tcPr>
            <w:tcW w:w="4526" w:type="dxa"/>
            <w:gridSpan w:val="4"/>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62" w:type="dxa"/>
            <w:gridSpan w:val="4"/>
            <w:tcBorders>
              <w:bottom w:val="nil"/>
            </w:tcBorders>
          </w:tcPr>
          <w:p>
            <w:pPr>
              <w:pStyle w:val="yTableNAm"/>
              <w:rPr>
                <w:b/>
              </w:rPr>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6" w:type="dxa"/>
            <w:vMerge w:val="restart"/>
          </w:tcPr>
          <w:p>
            <w:pPr>
              <w:pStyle w:val="yTableNAm"/>
            </w:pPr>
            <w:r>
              <w:t>Alleged offender</w:t>
            </w:r>
          </w:p>
          <w:p>
            <w:pPr>
              <w:pStyle w:val="yTableNAm"/>
            </w:pPr>
            <w:r>
              <w:t>(individual)</w:t>
            </w:r>
          </w:p>
        </w:tc>
        <w:tc>
          <w:tcPr>
            <w:tcW w:w="1275" w:type="dxa"/>
            <w:tcBorders>
              <w:bottom w:val="single" w:sz="4" w:space="0" w:color="auto"/>
            </w:tcBorders>
          </w:tcPr>
          <w:p>
            <w:pPr>
              <w:pStyle w:val="yTableNAm"/>
            </w:pPr>
            <w:r>
              <w:t>Family name</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Given names</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Address</w:t>
            </w:r>
          </w:p>
        </w:tc>
        <w:tc>
          <w:tcPr>
            <w:tcW w:w="4397" w:type="dxa"/>
            <w:gridSpan w:val="6"/>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Date of birth</w:t>
            </w:r>
          </w:p>
        </w:tc>
        <w:tc>
          <w:tcPr>
            <w:tcW w:w="2413" w:type="dxa"/>
            <w:gridSpan w:val="3"/>
            <w:tcBorders>
              <w:bottom w:val="single" w:sz="4" w:space="0" w:color="auto"/>
            </w:tcBorders>
          </w:tcPr>
          <w:p>
            <w:pPr>
              <w:pStyle w:val="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Driver’s licence</w:t>
            </w:r>
          </w:p>
        </w:tc>
        <w:tc>
          <w:tcPr>
            <w:tcW w:w="4397" w:type="dxa"/>
            <w:gridSpan w:val="6"/>
            <w:tcBorders>
              <w:bottom w:val="single" w:sz="4" w:space="0" w:color="auto"/>
            </w:tcBorders>
          </w:tcPr>
          <w:p>
            <w:pPr>
              <w:pStyle w:val="yTableNAm"/>
              <w:tabs>
                <w:tab w:val="clear" w:pos="567"/>
                <w:tab w:val="left" w:pos="972"/>
                <w:tab w:val="left" w:pos="2412"/>
              </w:tabs>
            </w:pPr>
            <w:r>
              <w:t>No.:</w:t>
            </w:r>
            <w:r>
              <w:tab/>
              <w:t>State/Country:</w:t>
            </w:r>
          </w:p>
          <w:p>
            <w:pPr>
              <w:pStyle w:val="yTableNAm"/>
              <w:tabs>
                <w:tab w:val="clear" w:pos="567"/>
                <w:tab w:val="left" w:pos="972"/>
                <w:tab w:val="left" w:pos="2412"/>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6" w:type="dxa"/>
            <w:vMerge w:val="restart"/>
          </w:tcPr>
          <w:p>
            <w:pPr>
              <w:pStyle w:val="yTableNAm"/>
            </w:pPr>
            <w:r>
              <w:t>Alleged offender</w:t>
            </w:r>
          </w:p>
          <w:p>
            <w:pPr>
              <w:pStyle w:val="yTableNAm"/>
            </w:pPr>
            <w:r>
              <w:t>(body corporate)</w:t>
            </w:r>
          </w:p>
        </w:tc>
        <w:tc>
          <w:tcPr>
            <w:tcW w:w="1275" w:type="dxa"/>
            <w:tcBorders>
              <w:bottom w:val="single" w:sz="4" w:space="0" w:color="auto"/>
            </w:tcBorders>
          </w:tcPr>
          <w:p>
            <w:pPr>
              <w:pStyle w:val="yTableNAm"/>
            </w:pPr>
            <w:r>
              <w:t>Name</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6" w:type="dxa"/>
            <w:vMerge/>
          </w:tcPr>
          <w:p>
            <w:pPr>
              <w:pStyle w:val="yTableNAm"/>
            </w:pPr>
          </w:p>
        </w:tc>
        <w:tc>
          <w:tcPr>
            <w:tcW w:w="1275" w:type="dxa"/>
            <w:tcBorders>
              <w:bottom w:val="single" w:sz="4" w:space="0" w:color="auto"/>
            </w:tcBorders>
          </w:tcPr>
          <w:p>
            <w:pPr>
              <w:pStyle w:val="yTableNAm"/>
            </w:pPr>
            <w:r>
              <w:t>ACN</w:t>
            </w:r>
          </w:p>
        </w:tc>
        <w:tc>
          <w:tcPr>
            <w:tcW w:w="2439" w:type="dxa"/>
            <w:gridSpan w:val="4"/>
            <w:tcBorders>
              <w:bottom w:val="single" w:sz="4" w:space="0" w:color="auto"/>
            </w:tcBorders>
          </w:tcPr>
          <w:p>
            <w:pPr>
              <w:pStyle w:val="yTableNAm"/>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Address</w:t>
            </w:r>
          </w:p>
        </w:tc>
        <w:tc>
          <w:tcPr>
            <w:tcW w:w="4397" w:type="dxa"/>
            <w:gridSpan w:val="6"/>
            <w:tcBorders>
              <w:bottom w:val="single" w:sz="4" w:space="0" w:color="auto"/>
            </w:tcBorders>
          </w:tcPr>
          <w:p>
            <w:pPr>
              <w:pStyle w:val="yTableNAm"/>
            </w:pPr>
          </w:p>
          <w:p>
            <w:pPr>
              <w:pStyle w:val="yTableNAm"/>
            </w:pPr>
          </w:p>
        </w:tc>
      </w:tr>
      <w:tr>
        <w:trPr>
          <w:cantSplit/>
          <w:trHeight w:val="220"/>
        </w:trPr>
        <w:tc>
          <w:tcPr>
            <w:tcW w:w="1416" w:type="dxa"/>
            <w:vMerge w:val="restart"/>
          </w:tcPr>
          <w:p>
            <w:pPr>
              <w:pStyle w:val="yTableNAm"/>
            </w:pPr>
            <w:r>
              <w:t>Description of alleged offence</w:t>
            </w:r>
          </w:p>
        </w:tc>
        <w:tc>
          <w:tcPr>
            <w:tcW w:w="1275" w:type="dxa"/>
          </w:tcPr>
          <w:p>
            <w:pPr>
              <w:pStyle w:val="yTableNAm"/>
            </w:pPr>
            <w:r>
              <w:t>Date</w:t>
            </w:r>
          </w:p>
        </w:tc>
        <w:tc>
          <w:tcPr>
            <w:tcW w:w="2413" w:type="dxa"/>
            <w:gridSpan w:val="3"/>
          </w:tcPr>
          <w:p>
            <w:pPr>
              <w:pStyle w:val="yTableNAm"/>
            </w:pPr>
          </w:p>
        </w:tc>
        <w:tc>
          <w:tcPr>
            <w:tcW w:w="567" w:type="dxa"/>
            <w:gridSpan w:val="2"/>
          </w:tcPr>
          <w:p>
            <w:pPr>
              <w:pStyle w:val="yTableNAm"/>
            </w:pPr>
            <w:r>
              <w:t>Time</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Place</w:t>
            </w:r>
          </w:p>
        </w:tc>
        <w:tc>
          <w:tcPr>
            <w:tcW w:w="4397" w:type="dxa"/>
            <w:gridSpan w:val="6"/>
          </w:tcPr>
          <w:p>
            <w:pPr>
              <w:pStyle w:val="yTableNAm"/>
            </w:pPr>
          </w:p>
        </w:tc>
      </w:tr>
      <w:tr>
        <w:trPr>
          <w:cantSplit/>
          <w:trHeight w:val="220"/>
        </w:trPr>
        <w:tc>
          <w:tcPr>
            <w:tcW w:w="1416" w:type="dxa"/>
            <w:vMerge/>
          </w:tcPr>
          <w:p>
            <w:pPr>
              <w:pStyle w:val="yTableNAm"/>
            </w:pPr>
          </w:p>
        </w:tc>
        <w:tc>
          <w:tcPr>
            <w:tcW w:w="1275" w:type="dxa"/>
          </w:tcPr>
          <w:p>
            <w:pPr>
              <w:pStyle w:val="yTableNAm"/>
            </w:pPr>
            <w:r>
              <w:t>Details</w:t>
            </w:r>
            <w:r>
              <w:rPr>
                <w:rFonts w:ascii="Times" w:hAnsi="Times"/>
                <w:vertAlign w:val="superscript"/>
              </w:rPr>
              <w:t>1</w:t>
            </w:r>
          </w:p>
        </w:tc>
        <w:tc>
          <w:tcPr>
            <w:tcW w:w="4397" w:type="dxa"/>
            <w:gridSpan w:val="6"/>
          </w:tcPr>
          <w:p>
            <w:pPr>
              <w:pStyle w:val="yTableNAm"/>
            </w:pPr>
          </w:p>
        </w:tc>
      </w:tr>
      <w:tr>
        <w:trPr>
          <w:cantSplit/>
          <w:trHeight w:val="220"/>
        </w:trPr>
        <w:tc>
          <w:tcPr>
            <w:tcW w:w="1416" w:type="dxa"/>
            <w:vMerge/>
          </w:tcPr>
          <w:p>
            <w:pPr>
              <w:pStyle w:val="yTableNAm"/>
            </w:pPr>
          </w:p>
        </w:tc>
        <w:tc>
          <w:tcPr>
            <w:tcW w:w="1275" w:type="dxa"/>
          </w:tcPr>
          <w:p>
            <w:pPr>
              <w:pStyle w:val="yTableNAm"/>
            </w:pPr>
            <w:r>
              <w:t>Regulation contravened</w:t>
            </w:r>
            <w:r>
              <w:rPr>
                <w:rFonts w:ascii="Times" w:hAnsi="Times"/>
                <w:vertAlign w:val="superscript"/>
              </w:rPr>
              <w:t>2</w:t>
            </w:r>
          </w:p>
        </w:tc>
        <w:tc>
          <w:tcPr>
            <w:tcW w:w="4397" w:type="dxa"/>
            <w:gridSpan w:val="6"/>
          </w:tcPr>
          <w:p>
            <w:pPr>
              <w:pStyle w:val="yTableNAm"/>
            </w:pPr>
          </w:p>
        </w:tc>
      </w:tr>
      <w:tr>
        <w:trPr>
          <w:cantSplit/>
        </w:trPr>
        <w:tc>
          <w:tcPr>
            <w:tcW w:w="1416" w:type="dxa"/>
            <w:tcBorders>
              <w:bottom w:val="single" w:sz="4" w:space="0" w:color="auto"/>
            </w:tcBorders>
          </w:tcPr>
          <w:p>
            <w:pPr>
              <w:pStyle w:val="yTableNAm"/>
            </w:pPr>
            <w:r>
              <w:t>Modified penalty</w:t>
            </w:r>
          </w:p>
        </w:tc>
        <w:tc>
          <w:tcPr>
            <w:tcW w:w="5672" w:type="dxa"/>
            <w:gridSpan w:val="7"/>
            <w:tcBorders>
              <w:bottom w:val="single" w:sz="4" w:space="0" w:color="auto"/>
            </w:tcBorders>
          </w:tcPr>
          <w:p>
            <w:pPr>
              <w:pStyle w:val="yTableNAm"/>
            </w:pPr>
            <w:r>
              <w:t>The modified penalty for the alleged offence is $</w:t>
            </w:r>
          </w:p>
        </w:tc>
      </w:tr>
      <w:tr>
        <w:trPr>
          <w:cantSplit/>
          <w:trHeight w:val="220"/>
        </w:trPr>
        <w:tc>
          <w:tcPr>
            <w:tcW w:w="1416" w:type="dxa"/>
            <w:vMerge w:val="restart"/>
          </w:tcPr>
          <w:p>
            <w:pPr>
              <w:pStyle w:val="yTableNAm"/>
            </w:pPr>
            <w:r>
              <w:t>Vehicle details</w:t>
            </w:r>
            <w:r>
              <w:rPr>
                <w:rFonts w:ascii="Times" w:hAnsi="Times"/>
                <w:vertAlign w:val="superscript"/>
              </w:rPr>
              <w:t>3</w:t>
            </w:r>
          </w:p>
        </w:tc>
        <w:tc>
          <w:tcPr>
            <w:tcW w:w="1275" w:type="dxa"/>
          </w:tcPr>
          <w:p>
            <w:pPr>
              <w:pStyle w:val="yTableNAm"/>
            </w:pPr>
            <w:r>
              <w:t>Plate. No.</w:t>
            </w:r>
          </w:p>
        </w:tc>
        <w:tc>
          <w:tcPr>
            <w:tcW w:w="1700" w:type="dxa"/>
          </w:tcPr>
          <w:p>
            <w:pPr>
              <w:pStyle w:val="yTableNAm"/>
            </w:pPr>
          </w:p>
        </w:tc>
        <w:tc>
          <w:tcPr>
            <w:tcW w:w="1280" w:type="dxa"/>
            <w:gridSpan w:val="4"/>
          </w:tcPr>
          <w:p>
            <w:pPr>
              <w:pStyle w:val="yTableNAm"/>
            </w:pPr>
            <w:r>
              <w:t>State</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Licence expiry date</w:t>
            </w:r>
          </w:p>
        </w:tc>
        <w:tc>
          <w:tcPr>
            <w:tcW w:w="1700" w:type="dxa"/>
          </w:tcPr>
          <w:p>
            <w:pPr>
              <w:pStyle w:val="yTableNAm"/>
            </w:pPr>
          </w:p>
        </w:tc>
        <w:tc>
          <w:tcPr>
            <w:tcW w:w="1280" w:type="dxa"/>
            <w:gridSpan w:val="4"/>
          </w:tcPr>
          <w:p>
            <w:pPr>
              <w:pStyle w:val="yTableNAm"/>
            </w:pPr>
            <w:r>
              <w:t>Vin/Chassis No.</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Make</w:t>
            </w:r>
          </w:p>
        </w:tc>
        <w:tc>
          <w:tcPr>
            <w:tcW w:w="1700" w:type="dxa"/>
          </w:tcPr>
          <w:p>
            <w:pPr>
              <w:pStyle w:val="yTableNAm"/>
            </w:pPr>
          </w:p>
        </w:tc>
        <w:tc>
          <w:tcPr>
            <w:tcW w:w="1280" w:type="dxa"/>
            <w:gridSpan w:val="4"/>
          </w:tcPr>
          <w:p>
            <w:pPr>
              <w:pStyle w:val="yTableNAm"/>
            </w:pPr>
            <w:r>
              <w:t>Colour</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Body type</w:t>
            </w:r>
          </w:p>
        </w:tc>
        <w:tc>
          <w:tcPr>
            <w:tcW w:w="4397" w:type="dxa"/>
            <w:gridSpan w:val="6"/>
          </w:tcPr>
          <w:p>
            <w:pPr>
              <w:pStyle w:val="yTableNAm"/>
            </w:pPr>
          </w:p>
        </w:tc>
      </w:tr>
      <w:tr>
        <w:trPr>
          <w:cantSplit/>
        </w:trPr>
        <w:tc>
          <w:tcPr>
            <w:tcW w:w="1416" w:type="dxa"/>
            <w:tcBorders>
              <w:bottom w:val="single" w:sz="4" w:space="0" w:color="auto"/>
            </w:tcBorders>
          </w:tcPr>
          <w:p>
            <w:pPr>
              <w:pStyle w:val="yTableNAm"/>
            </w:pPr>
            <w:r>
              <w:t>Date of notice</w:t>
            </w:r>
          </w:p>
        </w:tc>
        <w:tc>
          <w:tcPr>
            <w:tcW w:w="5672" w:type="dxa"/>
            <w:gridSpan w:val="7"/>
            <w:tcBorders>
              <w:bottom w:val="single" w:sz="4" w:space="0" w:color="auto"/>
            </w:tcBorders>
          </w:tcPr>
          <w:p>
            <w:pPr>
              <w:pStyle w:val="yTableNAm"/>
            </w:pPr>
          </w:p>
        </w:tc>
      </w:tr>
      <w:tr>
        <w:trPr>
          <w:cantSplit/>
        </w:trPr>
        <w:tc>
          <w:tcPr>
            <w:tcW w:w="1416" w:type="dxa"/>
            <w:tcBorders>
              <w:bottom w:val="single" w:sz="4" w:space="0" w:color="auto"/>
            </w:tcBorders>
          </w:tcPr>
          <w:p>
            <w:pPr>
              <w:pStyle w:val="yTableNAm"/>
            </w:pPr>
            <w:r>
              <w:t>Service details</w:t>
            </w:r>
          </w:p>
          <w:p>
            <w:pPr>
              <w:pStyle w:val="yTableNAm"/>
            </w:pPr>
            <w:r>
              <w:rPr>
                <w:sz w:val="18"/>
              </w:rPr>
              <w:t>[Tick one box]</w:t>
            </w:r>
          </w:p>
        </w:tc>
        <w:tc>
          <w:tcPr>
            <w:tcW w:w="3688" w:type="dxa"/>
            <w:gridSpan w:val="4"/>
            <w:tcBorders>
              <w:bottom w:val="single" w:sz="4" w:space="0" w:color="auto"/>
            </w:tcBorders>
          </w:tcPr>
          <w:p>
            <w:pPr>
              <w:pStyle w:val="yTableNAm"/>
            </w:pPr>
            <w:r>
              <w:t xml:space="preserve">This notice was served — </w:t>
            </w:r>
          </w:p>
          <w:p>
            <w:pPr>
              <w:pStyle w:val="yTableNAm"/>
            </w:pPr>
            <w:r>
              <w:t>in person   by post.</w:t>
            </w:r>
          </w:p>
        </w:tc>
        <w:tc>
          <w:tcPr>
            <w:tcW w:w="567" w:type="dxa"/>
            <w:gridSpan w:val="2"/>
            <w:tcBorders>
              <w:bottom w:val="single" w:sz="4" w:space="0" w:color="auto"/>
            </w:tcBorders>
          </w:tcPr>
          <w:p>
            <w:pPr>
              <w:pStyle w:val="yTableNAm"/>
            </w:pPr>
            <w:r>
              <w:t>Date</w:t>
            </w:r>
          </w:p>
        </w:tc>
        <w:tc>
          <w:tcPr>
            <w:tcW w:w="1417" w:type="dxa"/>
            <w:tcBorders>
              <w:bottom w:val="single" w:sz="4" w:space="0" w:color="auto"/>
            </w:tcBorders>
          </w:tcPr>
          <w:p>
            <w:pPr>
              <w:pStyle w:val="yTableNAm"/>
            </w:pPr>
          </w:p>
        </w:tc>
      </w:tr>
      <w:tr>
        <w:trPr>
          <w:cantSplit/>
          <w:trHeight w:val="220"/>
        </w:trPr>
        <w:tc>
          <w:tcPr>
            <w:tcW w:w="1416" w:type="dxa"/>
            <w:vMerge w:val="restart"/>
            <w:tcBorders>
              <w:bottom w:val="single" w:sz="4" w:space="0" w:color="auto"/>
            </w:tcBorders>
          </w:tcPr>
          <w:p>
            <w:pPr>
              <w:pStyle w:val="yTableNAm"/>
            </w:pPr>
            <w:r>
              <w:t>Officer issuing notice</w:t>
            </w:r>
          </w:p>
        </w:tc>
        <w:tc>
          <w:tcPr>
            <w:tcW w:w="1275" w:type="dxa"/>
            <w:tcBorders>
              <w:bottom w:val="single" w:sz="4" w:space="0" w:color="auto"/>
            </w:tcBorders>
          </w:tcPr>
          <w:p>
            <w:pPr>
              <w:pStyle w:val="yTableNAm"/>
            </w:pPr>
            <w:r>
              <w:t>Name</w:t>
            </w:r>
          </w:p>
        </w:tc>
        <w:tc>
          <w:tcPr>
            <w:tcW w:w="4397" w:type="dxa"/>
            <w:gridSpan w:val="6"/>
            <w:tcBorders>
              <w:bottom w:val="single" w:sz="4" w:space="0" w:color="auto"/>
            </w:tcBorders>
          </w:tcPr>
          <w:p>
            <w:pPr>
              <w:pStyle w:val="yTableNAm"/>
            </w:pPr>
          </w:p>
        </w:tc>
      </w:tr>
      <w:tr>
        <w:trPr>
          <w:cantSplit/>
          <w:trHeight w:val="220"/>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 xml:space="preserve">Office </w:t>
            </w:r>
          </w:p>
        </w:tc>
        <w:tc>
          <w:tcPr>
            <w:tcW w:w="4397" w:type="dxa"/>
            <w:gridSpan w:val="6"/>
            <w:tcBorders>
              <w:bottom w:val="single" w:sz="4" w:space="0" w:color="auto"/>
            </w:tcBorders>
          </w:tcPr>
          <w:p>
            <w:pPr>
              <w:pStyle w:val="yTableNAm"/>
            </w:pPr>
          </w:p>
        </w:tc>
      </w:tr>
      <w:tr>
        <w:trPr>
          <w:cantSplit/>
          <w:trHeight w:val="220"/>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Signature</w:t>
            </w:r>
          </w:p>
        </w:tc>
        <w:tc>
          <w:tcPr>
            <w:tcW w:w="4397" w:type="dxa"/>
            <w:gridSpan w:val="6"/>
            <w:tcBorders>
              <w:bottom w:val="single" w:sz="4" w:space="0" w:color="auto"/>
            </w:tcBorders>
          </w:tcPr>
          <w:p>
            <w:pPr>
              <w:pStyle w:val="yTableNAm"/>
            </w:pPr>
          </w:p>
        </w:tc>
      </w:tr>
      <w:tr>
        <w:trPr>
          <w:cantSplit/>
        </w:trPr>
        <w:tc>
          <w:tcPr>
            <w:tcW w:w="1416" w:type="dxa"/>
            <w:tcBorders>
              <w:top w:val="single" w:sz="4" w:space="0" w:color="auto"/>
              <w:bottom w:val="single" w:sz="4" w:space="0" w:color="auto"/>
            </w:tcBorders>
          </w:tcPr>
          <w:p>
            <w:pPr>
              <w:pStyle w:val="yTableNAm"/>
            </w:pPr>
            <w:r>
              <w:t>Notice to alleged offender</w:t>
            </w:r>
          </w:p>
          <w:p>
            <w:pPr>
              <w:pStyle w:val="yTableNAm"/>
            </w:pPr>
          </w:p>
        </w:tc>
        <w:tc>
          <w:tcPr>
            <w:tcW w:w="5672" w:type="dxa"/>
            <w:gridSpan w:val="7"/>
            <w:tcBorders>
              <w:top w:val="single" w:sz="4" w:space="0" w:color="auto"/>
              <w:bottom w:val="single" w:sz="4" w:space="0" w:color="auto"/>
            </w:tcBorders>
          </w:tcPr>
          <w:p>
            <w:pPr>
              <w:pStyle w:val="yTableNAm"/>
              <w:rPr>
                <w:rStyle w:val="DraftersNotes"/>
                <w:b w:val="0"/>
                <w:bCs/>
                <w:i w:val="0"/>
                <w:iCs/>
              </w:rPr>
            </w:pPr>
            <w:r>
              <w:t>It is alleged that you have committed the above offence.</w:t>
            </w:r>
          </w:p>
          <w:p>
            <w:pPr>
              <w:pStyle w:val="yTableNAm"/>
            </w:pPr>
            <w:r>
              <w:rPr>
                <w:rStyle w:val="DraftersNotes"/>
                <w:b w:val="0"/>
                <w:bCs/>
                <w:i w:val="0"/>
                <w:iCs/>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w:t>
            </w:r>
          </w:p>
          <w:p>
            <w:pPr>
              <w:pStyle w:val="yTableNAm"/>
            </w:pPr>
            <w:r>
              <w:t>To pay, tick the relevant box below and post this notice and any cheque or credit card details for the modified penalty to the address below.</w:t>
            </w:r>
          </w:p>
          <w:p>
            <w:pPr>
              <w:pStyle w:val="yTableNAm"/>
              <w:rPr>
                <w:rStyle w:val="DraftersNotes"/>
                <w:b w:val="0"/>
                <w:bCs/>
                <w:i w:val="0"/>
                <w:iCs/>
              </w:rPr>
            </w:pPr>
            <w:r>
              <w:rPr>
                <w:rStyle w:val="DraftersNotes"/>
                <w:b w:val="0"/>
                <w:bCs/>
                <w:i w:val="0"/>
                <w:iCs/>
              </w:rPr>
              <w:t>If you want an extension of time to pay the modified penalty, contact the Chief Dangerous Goods Officer at the address below.</w:t>
            </w:r>
          </w:p>
          <w:p>
            <w:pPr>
              <w:pStyle w:val="yTableNAm"/>
              <w:rPr>
                <w:rStyle w:val="DraftersNotes"/>
                <w:i w:val="0"/>
                <w:iCs/>
              </w:rPr>
            </w:pPr>
            <w:r>
              <w:rPr>
                <w:rStyle w:val="DraftersNotes"/>
                <w:i w:val="0"/>
                <w:iCs/>
              </w:rPr>
              <w:t>Paying the modified penalty will not be taken to be an admission for the purposes of any civil or criminal court case.</w:t>
            </w:r>
          </w:p>
          <w:p>
            <w:pPr>
              <w:pStyle w:val="yTableNAm"/>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6" w:type="dxa"/>
            <w:tcBorders>
              <w:top w:val="single" w:sz="4" w:space="0" w:color="auto"/>
              <w:bottom w:val="single" w:sz="4" w:space="0" w:color="auto"/>
            </w:tcBorders>
          </w:tcPr>
          <w:p>
            <w:pPr>
              <w:pStyle w:val="yTableNAm"/>
            </w:pPr>
            <w:r>
              <w:t>Alleged offender’s response</w:t>
            </w:r>
          </w:p>
          <w:p>
            <w:pPr>
              <w:pStyle w:val="yTableNAm"/>
            </w:pPr>
            <w:r>
              <w:rPr>
                <w:sz w:val="18"/>
              </w:rPr>
              <w:t>[Tick one box]</w:t>
            </w:r>
          </w:p>
        </w:tc>
        <w:tc>
          <w:tcPr>
            <w:tcW w:w="5672" w:type="dxa"/>
            <w:gridSpan w:val="7"/>
            <w:tcBorders>
              <w:top w:val="single" w:sz="4" w:space="0" w:color="auto"/>
              <w:bottom w:val="single" w:sz="4" w:space="0" w:color="auto"/>
            </w:tcBorders>
          </w:tcPr>
          <w:p>
            <w:pPr>
              <w:pStyle w:val="yTableNAm"/>
            </w:pPr>
            <w:r>
              <w:t>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p>
            <w:pPr>
              <w:pStyle w:val="yTableNAm"/>
            </w:pPr>
          </w:p>
          <w:p>
            <w:pPr>
              <w:pStyle w:val="yTableNAm"/>
            </w:pPr>
            <w:r>
              <w:tab/>
              <w:t>I want this alleged offence dealt with by a court.</w:t>
            </w:r>
          </w:p>
          <w:p>
            <w:pPr>
              <w:pStyle w:val="yTableNAm"/>
            </w:pPr>
            <w:r>
              <w:tab/>
              <w:t>Cheque for the modified penalty enclosed.</w:t>
            </w:r>
          </w:p>
          <w:p>
            <w:pPr>
              <w:pStyle w:val="yTableNAm"/>
              <w:ind w:left="568" w:hanging="568"/>
            </w:pPr>
            <w:r>
              <w:tab/>
              <w:t>I want to pay the modified penalty by using a credit card. The credit card’s details are:</w:t>
            </w:r>
          </w:p>
          <w:p>
            <w:pPr>
              <w:pStyle w:val="yTableNAm"/>
            </w:pPr>
          </w:p>
        </w:tc>
      </w:tr>
    </w:tbl>
    <w:p>
      <w:pPr>
        <w:pStyle w:val="yMiscellaneousFootnotes"/>
      </w:pPr>
      <w:r>
        <w:t>Notes to Form 1 —</w:t>
      </w:r>
    </w:p>
    <w:p>
      <w:pPr>
        <w:pStyle w:val="yMiscellaneousFootnotes"/>
        <w:spacing w:before="0"/>
        <w:ind w:left="425" w:hanging="425"/>
      </w:pPr>
      <w:r>
        <w:t>1.</w:t>
      </w:r>
      <w:r>
        <w:tab/>
        <w:t>The details should say what the alleged offender has done that is a contravention of the law.</w:t>
      </w:r>
    </w:p>
    <w:p>
      <w:pPr>
        <w:pStyle w:val="yMiscellaneousFootnotes"/>
        <w:spacing w:before="0"/>
        <w:ind w:left="425" w:hanging="425"/>
      </w:pPr>
      <w:r>
        <w:t>2.</w:t>
      </w:r>
      <w:r>
        <w:tab/>
        <w:t>Include here the name of the regulations and the number of the regulation contravened.</w:t>
      </w:r>
    </w:p>
    <w:p>
      <w:pPr>
        <w:pStyle w:val="yMiscellaneousFootnotes"/>
        <w:spacing w:before="0"/>
        <w:ind w:left="425" w:hanging="425"/>
      </w:pPr>
      <w:r>
        <w:t>3.</w:t>
      </w:r>
      <w:r>
        <w:tab/>
        <w:t>Include vehicle details if alleged offence relates to a vehicle or to a person driving a vehicle.</w:t>
      </w:r>
    </w:p>
    <w:p>
      <w:pPr>
        <w:pStyle w:val="yFootnotesection"/>
      </w:pPr>
      <w:r>
        <w:tab/>
        <w:t>[Form 1 amended in Gazette 22 Jun 2010 p. 2781.]</w:t>
      </w:r>
    </w:p>
    <w:p>
      <w:pPr>
        <w:pStyle w:val="yHeading5"/>
        <w:pageBreakBefore/>
        <w:spacing w:after="120"/>
      </w:pPr>
      <w:bookmarkStart w:id="173" w:name="_Toc378164561"/>
      <w:bookmarkStart w:id="174" w:name="_Toc416441627"/>
      <w:bookmarkStart w:id="175" w:name="_Toc319594007"/>
      <w:r>
        <w:rPr>
          <w:rStyle w:val="CharSClsNo"/>
        </w:rPr>
        <w:t>2</w:t>
      </w:r>
      <w:r>
        <w:t>.</w:t>
      </w:r>
      <w:r>
        <w:tab/>
        <w:t>Withdrawal of infringement notice (r. 13)</w:t>
      </w:r>
      <w:bookmarkEnd w:id="173"/>
      <w:bookmarkEnd w:id="174"/>
      <w:bookmarkEnd w:id="17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rPr>
                <w:rStyle w:val="DraftersNotes"/>
                <w:b w:val="0"/>
                <w:bCs/>
                <w:i w:val="0"/>
                <w:iCs/>
              </w:rPr>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tc>
      </w:tr>
    </w:tbl>
    <w:p>
      <w:pPr>
        <w:pStyle w:val="yFootnotesection"/>
      </w:pPr>
      <w:r>
        <w:tab/>
        <w:t>[Form 2 amended in Gazette 22 Jun 2010 p. 2782.]</w:t>
      </w:r>
    </w:p>
    <w:p>
      <w:pPr>
        <w:sectPr>
          <w:headerReference w:type="even" r:id="rId24"/>
          <w:headerReference w:type="default" r:id="rId25"/>
          <w:endnotePr>
            <w:numFmt w:val="decimal"/>
          </w:endnotePr>
          <w:pgSz w:w="11907" w:h="16840" w:code="9"/>
          <w:pgMar w:top="2376" w:right="2405" w:bottom="3542" w:left="2405" w:header="706" w:footer="3528" w:gutter="0"/>
          <w:cols w:space="720"/>
          <w:noEndnote/>
        </w:sectPr>
      </w:pPr>
    </w:p>
    <w:p>
      <w:pPr>
        <w:pStyle w:val="nHeading2"/>
      </w:pPr>
      <w:bookmarkStart w:id="176" w:name="_Toc378164562"/>
      <w:bookmarkStart w:id="177" w:name="_Toc416441601"/>
      <w:bookmarkStart w:id="178" w:name="_Toc416441628"/>
      <w:bookmarkStart w:id="179" w:name="_Toc191981088"/>
      <w:bookmarkStart w:id="180" w:name="_Toc264887023"/>
      <w:bookmarkStart w:id="181" w:name="_Toc319594008"/>
      <w:r>
        <w:t>Notes</w:t>
      </w:r>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(General) Regulations 2007</w:t>
      </w:r>
      <w:r>
        <w:rPr>
          <w:snapToGrid w:val="0"/>
        </w:rPr>
        <w:t xml:space="preserve"> and includes the amendments made by the other written laws referred to in the following table</w:t>
      </w:r>
      <w:del w:id="182" w:author="Master Repository Process" w:date="2021-08-01T03:02:00Z">
        <w:r>
          <w:rPr>
            <w:snapToGrid w:val="0"/>
          </w:rPr>
          <w:delText> </w:delText>
        </w:r>
        <w:r>
          <w:rPr>
            <w:snapToGrid w:val="0"/>
            <w:vertAlign w:val="superscript"/>
          </w:rPr>
          <w:delText>1a</w:delText>
        </w:r>
      </w:del>
      <w:r>
        <w:rPr>
          <w:snapToGrid w:val="0"/>
        </w:rPr>
        <w:t>.</w:t>
      </w:r>
    </w:p>
    <w:p>
      <w:pPr>
        <w:pStyle w:val="nHeading3"/>
      </w:pPr>
      <w:bookmarkStart w:id="183" w:name="_Toc378164563"/>
      <w:bookmarkStart w:id="184" w:name="_Toc416441629"/>
      <w:bookmarkStart w:id="185" w:name="_Toc319594009"/>
      <w:r>
        <w:t>Compilation table</w:t>
      </w:r>
      <w:bookmarkEnd w:id="183"/>
      <w:bookmarkEnd w:id="184"/>
      <w:bookmarkEnd w:id="18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Dangerous Goods Safety (General) Regulations 2007</w:t>
            </w:r>
            <w:r>
              <w:t xml:space="preserve"> </w:t>
            </w:r>
          </w:p>
        </w:tc>
        <w:tc>
          <w:tcPr>
            <w:tcW w:w="1276" w:type="dxa"/>
            <w:tcBorders>
              <w:bottom w:val="nil"/>
            </w:tcBorders>
          </w:tcPr>
          <w:p>
            <w:pPr>
              <w:pStyle w:val="nTable"/>
              <w:spacing w:after="40"/>
            </w:pPr>
            <w:r>
              <w:t>31 Dec 2007 p. 7143-60</w:t>
            </w:r>
          </w:p>
        </w:tc>
        <w:tc>
          <w:tcPr>
            <w:tcW w:w="2693" w:type="dxa"/>
            <w:tcBorders>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(General) Amendment Regulations 2010</w:t>
            </w:r>
          </w:p>
        </w:tc>
        <w:tc>
          <w:tcPr>
            <w:tcW w:w="1276" w:type="dxa"/>
            <w:tcBorders>
              <w:top w:val="nil"/>
              <w:bottom w:val="nil"/>
            </w:tcBorders>
          </w:tcPr>
          <w:p>
            <w:pPr>
              <w:pStyle w:val="nTable"/>
              <w:spacing w:after="40"/>
            </w:pPr>
            <w:r>
              <w:t>22 Jun 2010 p. 2780-2</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bl>
    <w:p>
      <w:pPr>
        <w:pStyle w:val="nSubsection"/>
        <w:rPr>
          <w:del w:id="186" w:author="Master Repository Process" w:date="2021-08-01T03:02:00Z"/>
          <w:snapToGrid w:val="0"/>
        </w:rPr>
      </w:pPr>
      <w:bookmarkStart w:id="187" w:name="_Toc423332724"/>
      <w:bookmarkStart w:id="188" w:name="_Toc425219443"/>
      <w:bookmarkStart w:id="189" w:name="_Toc426249310"/>
      <w:bookmarkStart w:id="190" w:name="_Toc449924706"/>
      <w:bookmarkStart w:id="191" w:name="_Toc449947724"/>
      <w:bookmarkStart w:id="192" w:name="_Toc454185715"/>
      <w:bookmarkStart w:id="193" w:name="_Toc515958688"/>
      <w:del w:id="194" w:author="Master Repository Process" w:date="2021-08-01T03: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5" w:author="Master Repository Process" w:date="2021-08-01T03:02:00Z"/>
          <w:snapToGrid w:val="0"/>
        </w:rPr>
      </w:pPr>
      <w:bookmarkStart w:id="196" w:name="_Toc534778309"/>
      <w:bookmarkStart w:id="197" w:name="_Toc7405063"/>
      <w:bookmarkStart w:id="198" w:name="_Toc296601212"/>
      <w:bookmarkStart w:id="199" w:name="_Toc309727460"/>
      <w:bookmarkStart w:id="200" w:name="_Toc319594010"/>
      <w:del w:id="201" w:author="Master Repository Process" w:date="2021-08-01T03:02:00Z">
        <w:r>
          <w:rPr>
            <w:snapToGrid w:val="0"/>
          </w:rPr>
          <w:delText>Provisions that have not come into operation</w:delText>
        </w:r>
        <w:bookmarkEnd w:id="196"/>
        <w:bookmarkEnd w:id="197"/>
        <w:bookmarkEnd w:id="198"/>
        <w:bookmarkEnd w:id="199"/>
        <w:bookmarkEnd w:id="200"/>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2" w:author="Master Repository Process" w:date="2021-08-01T03:02:00Z"/>
        </w:trPr>
        <w:tc>
          <w:tcPr>
            <w:tcW w:w="3118" w:type="dxa"/>
            <w:tcBorders>
              <w:bottom w:val="single" w:sz="4" w:space="0" w:color="auto"/>
            </w:tcBorders>
          </w:tcPr>
          <w:p>
            <w:pPr>
              <w:pStyle w:val="nTable"/>
              <w:spacing w:after="40"/>
              <w:rPr>
                <w:del w:id="203" w:author="Master Repository Process" w:date="2021-08-01T03:02:00Z"/>
                <w:b/>
              </w:rPr>
            </w:pPr>
            <w:del w:id="204" w:author="Master Repository Process" w:date="2021-08-01T03:02:00Z">
              <w:r>
                <w:rPr>
                  <w:b/>
                </w:rPr>
                <w:delText>Citation</w:delText>
              </w:r>
            </w:del>
          </w:p>
        </w:tc>
        <w:tc>
          <w:tcPr>
            <w:tcW w:w="1276" w:type="dxa"/>
            <w:tcBorders>
              <w:bottom w:val="single" w:sz="4" w:space="0" w:color="auto"/>
            </w:tcBorders>
          </w:tcPr>
          <w:p>
            <w:pPr>
              <w:pStyle w:val="nTable"/>
              <w:spacing w:after="40"/>
              <w:rPr>
                <w:del w:id="205" w:author="Master Repository Process" w:date="2021-08-01T03:02:00Z"/>
                <w:b/>
              </w:rPr>
            </w:pPr>
            <w:del w:id="206" w:author="Master Repository Process" w:date="2021-08-01T03:02:00Z">
              <w:r>
                <w:rPr>
                  <w:b/>
                </w:rPr>
                <w:delText>Gazettal</w:delText>
              </w:r>
            </w:del>
          </w:p>
        </w:tc>
        <w:tc>
          <w:tcPr>
            <w:tcW w:w="2693" w:type="dxa"/>
            <w:tcBorders>
              <w:bottom w:val="single" w:sz="4" w:space="0" w:color="auto"/>
            </w:tcBorders>
          </w:tcPr>
          <w:p>
            <w:pPr>
              <w:pStyle w:val="nTable"/>
              <w:spacing w:after="40"/>
              <w:rPr>
                <w:del w:id="207" w:author="Master Repository Process" w:date="2021-08-01T03:02:00Z"/>
                <w:b/>
              </w:rPr>
            </w:pPr>
            <w:del w:id="208" w:author="Master Repository Process" w:date="2021-08-01T03:02:00Z">
              <w:r>
                <w:rPr>
                  <w:b/>
                </w:rPr>
                <w:delText>Commencement</w:delText>
              </w:r>
            </w:del>
          </w:p>
        </w:tc>
      </w:tr>
      <w:tr>
        <w:tc>
          <w:tcPr>
            <w:tcW w:w="3118" w:type="dxa"/>
            <w:tcBorders>
              <w:top w:val="nil"/>
              <w:bottom w:val="single" w:sz="4" w:space="0" w:color="auto"/>
            </w:tcBorders>
          </w:tcPr>
          <w:p>
            <w:pPr>
              <w:pStyle w:val="nTable"/>
              <w:spacing w:after="40"/>
              <w:rPr>
                <w:i/>
              </w:rPr>
            </w:pPr>
            <w:r>
              <w:rPr>
                <w:i/>
              </w:rPr>
              <w:t>Dangerous Goods Safety (General) Amendment Regulations 2012</w:t>
            </w:r>
            <w:del w:id="209" w:author="Master Repository Process" w:date="2021-08-01T03:02:00Z">
              <w:r>
                <w:delText xml:space="preserve"> r. 3 and 4 </w:delText>
              </w:r>
              <w:r>
                <w:rPr>
                  <w:vertAlign w:val="superscript"/>
                </w:rPr>
                <w:delText>2</w:delText>
              </w:r>
            </w:del>
          </w:p>
        </w:tc>
        <w:tc>
          <w:tcPr>
            <w:tcW w:w="1276" w:type="dxa"/>
            <w:tcBorders>
              <w:top w:val="nil"/>
              <w:bottom w:val="single" w:sz="4" w:space="0" w:color="auto"/>
            </w:tcBorders>
          </w:tcPr>
          <w:p>
            <w:pPr>
              <w:pStyle w:val="nTable"/>
              <w:spacing w:after="40"/>
            </w:pPr>
            <w:r>
              <w:t>16 Mar 2012 p. 1257</w:t>
            </w:r>
            <w:r>
              <w:noBreakHyphen/>
              <w:t>9</w:t>
            </w:r>
          </w:p>
        </w:tc>
        <w:tc>
          <w:tcPr>
            <w:tcW w:w="2693" w:type="dxa"/>
            <w:tcBorders>
              <w:top w:val="nil"/>
              <w:bottom w:val="single" w:sz="4" w:space="0" w:color="auto"/>
            </w:tcBorders>
          </w:tcPr>
          <w:p>
            <w:pPr>
              <w:pStyle w:val="nTable"/>
              <w:spacing w:after="40"/>
              <w:rPr>
                <w:snapToGrid w:val="0"/>
              </w:rPr>
            </w:pPr>
            <w:ins w:id="210" w:author="Master Repository Process" w:date="2021-08-01T03:02:00Z">
              <w:r>
                <w:rPr>
                  <w:snapToGrid w:val="0"/>
                </w:rPr>
                <w:t xml:space="preserve">r. </w:t>
              </w:r>
            </w:ins>
            <w:r>
              <w:rPr>
                <w:snapToGrid w:val="0"/>
              </w:rPr>
              <w:t xml:space="preserve">1 </w:t>
            </w:r>
            <w:del w:id="211" w:author="Master Repository Process" w:date="2021-08-01T03:02:00Z">
              <w:r>
                <w:delText xml:space="preserve">Apr </w:delText>
              </w:r>
            </w:del>
            <w:ins w:id="212" w:author="Master Repository Process" w:date="2021-08-01T03:02:00Z">
              <w:r>
                <w:rPr>
                  <w:snapToGrid w:val="0"/>
                </w:rPr>
                <w:t>and 2: 16 Mar </w:t>
              </w:r>
            </w:ins>
            <w:r>
              <w:rPr>
                <w:snapToGrid w:val="0"/>
              </w:rPr>
              <w:t>2012 (see</w:t>
            </w:r>
            <w:del w:id="213" w:author="Master Repository Process" w:date="2021-08-01T03:02:00Z">
              <w:r>
                <w:delText xml:space="preserve"> r. </w:delText>
              </w:r>
            </w:del>
            <w:ins w:id="214" w:author="Master Repository Process" w:date="2021-08-01T03:02:00Z">
              <w:r>
                <w:rPr>
                  <w:snapToGrid w:val="0"/>
                </w:rPr>
                <w:t> r. 2(a));</w:t>
              </w:r>
              <w:r>
                <w:rPr>
                  <w:snapToGrid w:val="0"/>
                </w:rPr>
                <w:br/>
                <w:t>Regulations other than r. 1 and 2: 1 Apr 2012 (see r. </w:t>
              </w:r>
            </w:ins>
            <w:r>
              <w:rPr>
                <w:snapToGrid w:val="0"/>
              </w:rPr>
              <w:t>2(b))</w:t>
            </w:r>
          </w:p>
        </w:tc>
      </w:tr>
    </w:tbl>
    <w:p>
      <w:pPr>
        <w:pStyle w:val="nSubsection"/>
        <w:keepLines/>
        <w:rPr>
          <w:del w:id="215" w:author="Master Repository Process" w:date="2021-08-01T03:02:00Z"/>
          <w:snapToGrid w:val="0"/>
        </w:rPr>
      </w:pPr>
      <w:del w:id="216" w:author="Master Repository Process" w:date="2021-08-01T03:0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Dangerous Goods Safety (General) Amendment Regulations 2012 </w:delText>
        </w:r>
        <w:r>
          <w:rPr>
            <w:snapToGrid w:val="0"/>
          </w:rPr>
          <w:delText>r. 3 and 4 had not come into operation.  They read as follows:</w:delText>
        </w:r>
      </w:del>
    </w:p>
    <w:p>
      <w:pPr>
        <w:pStyle w:val="BlankOpen"/>
        <w:rPr>
          <w:del w:id="217" w:author="Master Repository Process" w:date="2021-08-01T03:02:00Z"/>
          <w:rStyle w:val="CharSectno"/>
        </w:rPr>
      </w:pPr>
    </w:p>
    <w:p>
      <w:pPr>
        <w:pStyle w:val="nzHeading5"/>
        <w:rPr>
          <w:del w:id="218" w:author="Master Repository Process" w:date="2021-08-01T03:02:00Z"/>
          <w:snapToGrid w:val="0"/>
        </w:rPr>
      </w:pPr>
      <w:del w:id="219" w:author="Master Repository Process" w:date="2021-08-01T03:02:00Z">
        <w:r>
          <w:rPr>
            <w:rStyle w:val="CharSectno"/>
          </w:rPr>
          <w:delText>3</w:delText>
        </w:r>
        <w:r>
          <w:rPr>
            <w:snapToGrid w:val="0"/>
          </w:rPr>
          <w:delText>.</w:delText>
        </w:r>
        <w:r>
          <w:rPr>
            <w:snapToGrid w:val="0"/>
          </w:rPr>
          <w:tab/>
          <w:delText>Regulations amended</w:delText>
        </w:r>
        <w:bookmarkEnd w:id="187"/>
        <w:bookmarkEnd w:id="188"/>
        <w:bookmarkEnd w:id="189"/>
        <w:bookmarkEnd w:id="190"/>
        <w:bookmarkEnd w:id="191"/>
        <w:bookmarkEnd w:id="192"/>
        <w:bookmarkEnd w:id="193"/>
      </w:del>
    </w:p>
    <w:p>
      <w:pPr>
        <w:pStyle w:val="nzSubsection"/>
        <w:rPr>
          <w:del w:id="220" w:author="Master Repository Process" w:date="2021-08-01T03:02:00Z"/>
        </w:rPr>
      </w:pPr>
      <w:del w:id="221" w:author="Master Repository Process" w:date="2021-08-01T03:02:00Z">
        <w:r>
          <w:tab/>
        </w:r>
        <w:r>
          <w:tab/>
        </w:r>
        <w:r>
          <w:rPr>
            <w:spacing w:val="-2"/>
          </w:rPr>
          <w:delText>These</w:delText>
        </w:r>
        <w:r>
          <w:delText xml:space="preserve"> regulations amend the </w:delText>
        </w:r>
        <w:r>
          <w:rPr>
            <w:i/>
          </w:rPr>
          <w:delText>Dangerous Goods Safety (General) Regulations 2007</w:delText>
        </w:r>
        <w:r>
          <w:delText>.</w:delText>
        </w:r>
      </w:del>
    </w:p>
    <w:p>
      <w:pPr>
        <w:pStyle w:val="nzHeading5"/>
        <w:rPr>
          <w:del w:id="222" w:author="Master Repository Process" w:date="2021-08-01T03:02:00Z"/>
        </w:rPr>
      </w:pPr>
      <w:del w:id="223" w:author="Master Repository Process" w:date="2021-08-01T03:02:00Z">
        <w:r>
          <w:rPr>
            <w:rStyle w:val="CharSectno"/>
          </w:rPr>
          <w:delText>4</w:delText>
        </w:r>
        <w:r>
          <w:delText>.</w:delText>
        </w:r>
        <w:r>
          <w:tab/>
          <w:delText>Part 6 inserted</w:delText>
        </w:r>
      </w:del>
    </w:p>
    <w:p>
      <w:pPr>
        <w:pStyle w:val="nzSubsection"/>
        <w:rPr>
          <w:del w:id="224" w:author="Master Repository Process" w:date="2021-08-01T03:02:00Z"/>
        </w:rPr>
      </w:pPr>
      <w:del w:id="225" w:author="Master Repository Process" w:date="2021-08-01T03:02:00Z">
        <w:r>
          <w:tab/>
        </w:r>
        <w:r>
          <w:tab/>
          <w:delText>After regulation 13 insert:</w:delText>
        </w:r>
      </w:del>
    </w:p>
    <w:p>
      <w:pPr>
        <w:pStyle w:val="BlankOpen"/>
        <w:rPr>
          <w:del w:id="226" w:author="Master Repository Process" w:date="2021-08-01T03:02:00Z"/>
        </w:rPr>
      </w:pPr>
    </w:p>
    <w:p>
      <w:pPr>
        <w:pStyle w:val="nzHeading2"/>
        <w:rPr>
          <w:del w:id="227" w:author="Master Repository Process" w:date="2021-08-01T03:02:00Z"/>
        </w:rPr>
      </w:pPr>
      <w:del w:id="228" w:author="Master Repository Process" w:date="2021-08-01T03:02:00Z">
        <w:r>
          <w:delText>Part 6</w:delText>
        </w:r>
        <w:r>
          <w:rPr>
            <w:b w:val="0"/>
          </w:rPr>
          <w:delText> </w:delText>
        </w:r>
        <w:r>
          <w:delText>—</w:delText>
        </w:r>
        <w:r>
          <w:rPr>
            <w:b w:val="0"/>
          </w:rPr>
          <w:delText> </w:delText>
        </w:r>
        <w:r>
          <w:delText>Miscellaneous matters</w:delText>
        </w:r>
      </w:del>
    </w:p>
    <w:p>
      <w:pPr>
        <w:pStyle w:val="nzHeading5"/>
        <w:rPr>
          <w:del w:id="229" w:author="Master Repository Process" w:date="2021-08-01T03:02:00Z"/>
        </w:rPr>
      </w:pPr>
      <w:del w:id="230" w:author="Master Repository Process" w:date="2021-08-01T03:02:00Z">
        <w:r>
          <w:delText>14.</w:delText>
        </w:r>
        <w:r>
          <w:tab/>
          <w:delText>Fees, Chief Officer may reduce etc.</w:delText>
        </w:r>
      </w:del>
    </w:p>
    <w:p>
      <w:pPr>
        <w:pStyle w:val="nzSubsection"/>
        <w:rPr>
          <w:del w:id="231" w:author="Master Repository Process" w:date="2021-08-01T03:02:00Z"/>
        </w:rPr>
      </w:pPr>
      <w:del w:id="232" w:author="Master Repository Process" w:date="2021-08-01T03:02:00Z">
        <w:r>
          <w:tab/>
        </w:r>
        <w:r>
          <w:tab/>
          <w:delText>If, in the circumstances of a particular case in which a fee is payable under the Act, the Chief Officer thinks it is fair or reasonable to do so, he or she may reduce, or refund or waive all or part of, the fee.</w:delText>
        </w:r>
      </w:del>
    </w:p>
    <w:p>
      <w:pPr>
        <w:pStyle w:val="nzHeading5"/>
        <w:rPr>
          <w:del w:id="233" w:author="Master Repository Process" w:date="2021-08-01T03:02:00Z"/>
        </w:rPr>
      </w:pPr>
      <w:del w:id="234" w:author="Master Repository Process" w:date="2021-08-01T03:02:00Z">
        <w:r>
          <w:delText>15.</w:delText>
        </w:r>
        <w:r>
          <w:tab/>
          <w:delText>Licences, Chief Officer may synchronise duration of and date for payment of annual fees for</w:delText>
        </w:r>
      </w:del>
    </w:p>
    <w:p>
      <w:pPr>
        <w:pStyle w:val="nzSubsection"/>
        <w:rPr>
          <w:del w:id="235" w:author="Master Repository Process" w:date="2021-08-01T03:02:00Z"/>
        </w:rPr>
      </w:pPr>
      <w:del w:id="236" w:author="Master Repository Process" w:date="2021-08-01T03:02:00Z">
        <w:r>
          <w:tab/>
          <w:delText>(1)</w:delText>
        </w:r>
        <w:r>
          <w:tab/>
          <w:delText>In this regulation —</w:delText>
        </w:r>
      </w:del>
    </w:p>
    <w:p>
      <w:pPr>
        <w:pStyle w:val="nzDefstart"/>
        <w:rPr>
          <w:del w:id="237" w:author="Master Repository Process" w:date="2021-08-01T03:02:00Z"/>
        </w:rPr>
      </w:pPr>
      <w:del w:id="238" w:author="Master Repository Process" w:date="2021-08-01T03:02:00Z">
        <w:r>
          <w:tab/>
        </w:r>
        <w:r>
          <w:rPr>
            <w:rStyle w:val="CharDefText"/>
          </w:rPr>
          <w:delText>licence</w:delText>
        </w:r>
        <w:r>
          <w:delText xml:space="preserve"> means —</w:delText>
        </w:r>
      </w:del>
    </w:p>
    <w:p>
      <w:pPr>
        <w:pStyle w:val="nzDefpara"/>
        <w:rPr>
          <w:del w:id="239" w:author="Master Repository Process" w:date="2021-08-01T03:02:00Z"/>
        </w:rPr>
      </w:pPr>
      <w:del w:id="240" w:author="Master Repository Process" w:date="2021-08-01T03:02:00Z">
        <w:r>
          <w:tab/>
          <w:delText>(a)</w:delText>
        </w:r>
        <w:r>
          <w:tab/>
          <w:delText xml:space="preserve">any of these licences granted under the </w:delText>
        </w:r>
        <w:r>
          <w:rPr>
            <w:i/>
          </w:rPr>
          <w:delText>Dangerous Goods Safety (Explosives) Regulations 2007</w:delText>
        </w:r>
        <w:r>
          <w:delText> —</w:delText>
        </w:r>
      </w:del>
    </w:p>
    <w:p>
      <w:pPr>
        <w:pStyle w:val="nzDefsubpara"/>
        <w:rPr>
          <w:del w:id="241" w:author="Master Repository Process" w:date="2021-08-01T03:02:00Z"/>
        </w:rPr>
      </w:pPr>
      <w:del w:id="242" w:author="Master Repository Process" w:date="2021-08-01T03:02:00Z">
        <w:r>
          <w:tab/>
          <w:delText>(i)</w:delText>
        </w:r>
        <w:r>
          <w:tab/>
          <w:delText>an explosives import/export licence;</w:delText>
        </w:r>
      </w:del>
    </w:p>
    <w:p>
      <w:pPr>
        <w:pStyle w:val="nzDefsubpara"/>
        <w:rPr>
          <w:del w:id="243" w:author="Master Repository Process" w:date="2021-08-01T03:02:00Z"/>
        </w:rPr>
      </w:pPr>
      <w:del w:id="244" w:author="Master Repository Process" w:date="2021-08-01T03:02:00Z">
        <w:r>
          <w:tab/>
          <w:delText>(ii)</w:delText>
        </w:r>
        <w:r>
          <w:tab/>
          <w:delText>an explosives manufacture licence;</w:delText>
        </w:r>
      </w:del>
    </w:p>
    <w:p>
      <w:pPr>
        <w:pStyle w:val="nzDefsubpara"/>
        <w:rPr>
          <w:del w:id="245" w:author="Master Repository Process" w:date="2021-08-01T03:02:00Z"/>
        </w:rPr>
      </w:pPr>
      <w:del w:id="246" w:author="Master Repository Process" w:date="2021-08-01T03:02:00Z">
        <w:r>
          <w:tab/>
          <w:delText>(iii)</w:delText>
        </w:r>
        <w:r>
          <w:tab/>
          <w:delText>an explosives manufacture (MPU) licence;</w:delText>
        </w:r>
      </w:del>
    </w:p>
    <w:p>
      <w:pPr>
        <w:pStyle w:val="nzDefsubpara"/>
        <w:rPr>
          <w:del w:id="247" w:author="Master Repository Process" w:date="2021-08-01T03:02:00Z"/>
        </w:rPr>
      </w:pPr>
      <w:del w:id="248" w:author="Master Repository Process" w:date="2021-08-01T03:02:00Z">
        <w:r>
          <w:tab/>
          <w:delText>(iv)</w:delText>
        </w:r>
        <w:r>
          <w:tab/>
          <w:delText>an explosives storage licence;</w:delText>
        </w:r>
      </w:del>
    </w:p>
    <w:p>
      <w:pPr>
        <w:pStyle w:val="nzDefsubpara"/>
        <w:rPr>
          <w:del w:id="249" w:author="Master Repository Process" w:date="2021-08-01T03:02:00Z"/>
        </w:rPr>
      </w:pPr>
      <w:del w:id="250" w:author="Master Repository Process" w:date="2021-08-01T03:02:00Z">
        <w:r>
          <w:tab/>
          <w:delText>(v)</w:delText>
        </w:r>
        <w:r>
          <w:tab/>
          <w:delText>an explosives transport licence;</w:delText>
        </w:r>
      </w:del>
    </w:p>
    <w:p>
      <w:pPr>
        <w:pStyle w:val="nzDefsubpara"/>
        <w:rPr>
          <w:del w:id="251" w:author="Master Repository Process" w:date="2021-08-01T03:02:00Z"/>
        </w:rPr>
      </w:pPr>
      <w:del w:id="252" w:author="Master Repository Process" w:date="2021-08-01T03:02:00Z">
        <w:r>
          <w:tab/>
          <w:delText>(vi)</w:delText>
        </w:r>
        <w:r>
          <w:tab/>
          <w:delText>an explosives supply licence;</w:delText>
        </w:r>
      </w:del>
    </w:p>
    <w:p>
      <w:pPr>
        <w:pStyle w:val="nzDefpara"/>
        <w:rPr>
          <w:del w:id="253" w:author="Master Repository Process" w:date="2021-08-01T03:02:00Z"/>
        </w:rPr>
      </w:pPr>
      <w:del w:id="254" w:author="Master Repository Process" w:date="2021-08-01T03:02:00Z">
        <w:r>
          <w:tab/>
          <w:delText>(b)</w:delText>
        </w:r>
        <w:r>
          <w:tab/>
          <w:delText xml:space="preserve">any of these licences granted under the </w:delText>
        </w:r>
        <w:r>
          <w:rPr>
            <w:i/>
          </w:rPr>
          <w:delText>Dangerous Goods Safety (Security Risk Substances) Regulations 2007</w:delText>
        </w:r>
        <w:r>
          <w:delText> —</w:delText>
        </w:r>
      </w:del>
    </w:p>
    <w:p>
      <w:pPr>
        <w:pStyle w:val="nzDefsubpara"/>
        <w:rPr>
          <w:del w:id="255" w:author="Master Repository Process" w:date="2021-08-01T03:02:00Z"/>
        </w:rPr>
      </w:pPr>
      <w:del w:id="256" w:author="Master Repository Process" w:date="2021-08-01T03:02:00Z">
        <w:r>
          <w:tab/>
          <w:delText>(i)</w:delText>
        </w:r>
        <w:r>
          <w:tab/>
          <w:delText>an SRS import/export licence;</w:delText>
        </w:r>
      </w:del>
    </w:p>
    <w:p>
      <w:pPr>
        <w:pStyle w:val="nzDefsubpara"/>
        <w:rPr>
          <w:del w:id="257" w:author="Master Repository Process" w:date="2021-08-01T03:02:00Z"/>
        </w:rPr>
      </w:pPr>
      <w:del w:id="258" w:author="Master Repository Process" w:date="2021-08-01T03:02:00Z">
        <w:r>
          <w:tab/>
          <w:delText>(ii)</w:delText>
        </w:r>
        <w:r>
          <w:tab/>
          <w:delText>an SRS manufacture licence;</w:delText>
        </w:r>
      </w:del>
    </w:p>
    <w:p>
      <w:pPr>
        <w:pStyle w:val="nzDefsubpara"/>
        <w:rPr>
          <w:del w:id="259" w:author="Master Repository Process" w:date="2021-08-01T03:02:00Z"/>
        </w:rPr>
      </w:pPr>
      <w:del w:id="260" w:author="Master Repository Process" w:date="2021-08-01T03:02:00Z">
        <w:r>
          <w:tab/>
          <w:delText>(iii)</w:delText>
        </w:r>
        <w:r>
          <w:tab/>
          <w:delText>an SRS storage licence;</w:delText>
        </w:r>
      </w:del>
    </w:p>
    <w:p>
      <w:pPr>
        <w:pStyle w:val="nzDefsubpara"/>
        <w:rPr>
          <w:del w:id="261" w:author="Master Repository Process" w:date="2021-08-01T03:02:00Z"/>
        </w:rPr>
      </w:pPr>
      <w:del w:id="262" w:author="Master Repository Process" w:date="2021-08-01T03:02:00Z">
        <w:r>
          <w:tab/>
          <w:delText>(iv)</w:delText>
        </w:r>
        <w:r>
          <w:tab/>
          <w:delText>an SRS transport licence;</w:delText>
        </w:r>
      </w:del>
    </w:p>
    <w:p>
      <w:pPr>
        <w:pStyle w:val="nzDefsubpara"/>
        <w:rPr>
          <w:del w:id="263" w:author="Master Repository Process" w:date="2021-08-01T03:02:00Z"/>
        </w:rPr>
      </w:pPr>
      <w:del w:id="264" w:author="Master Repository Process" w:date="2021-08-01T03:02:00Z">
        <w:r>
          <w:tab/>
          <w:delText>(v)</w:delText>
        </w:r>
        <w:r>
          <w:tab/>
          <w:delText>an SRS supply licence;</w:delText>
        </w:r>
      </w:del>
    </w:p>
    <w:p>
      <w:pPr>
        <w:pStyle w:val="nzDefsubpara"/>
        <w:rPr>
          <w:del w:id="265" w:author="Master Repository Process" w:date="2021-08-01T03:02:00Z"/>
        </w:rPr>
      </w:pPr>
      <w:del w:id="266" w:author="Master Repository Process" w:date="2021-08-01T03:02:00Z">
        <w:r>
          <w:tab/>
          <w:delText>(vi)</w:delText>
        </w:r>
        <w:r>
          <w:tab/>
          <w:delText>an SRS fertiliser licence;</w:delText>
        </w:r>
      </w:del>
    </w:p>
    <w:p>
      <w:pPr>
        <w:pStyle w:val="nzDefpara"/>
        <w:rPr>
          <w:del w:id="267" w:author="Master Repository Process" w:date="2021-08-01T03:02:00Z"/>
        </w:rPr>
      </w:pPr>
      <w:del w:id="268" w:author="Master Repository Process" w:date="2021-08-01T03:02:00Z">
        <w:r>
          <w:tab/>
          <w:delText>(c)</w:delText>
        </w:r>
        <w:r>
          <w:tab/>
          <w:delText xml:space="preserve">a licence granted under the </w:delText>
        </w:r>
        <w:r>
          <w:rPr>
            <w:i/>
          </w:rPr>
          <w:delText>Dangerous Goods Safety (Storage and Handling of Non</w:delText>
        </w:r>
        <w:r>
          <w:rPr>
            <w:i/>
          </w:rPr>
          <w:noBreakHyphen/>
          <w:delText>explosives) Regulations 2007</w:delText>
        </w:r>
        <w:r>
          <w:delText xml:space="preserve"> Part 4;</w:delText>
        </w:r>
      </w:del>
    </w:p>
    <w:p>
      <w:pPr>
        <w:pStyle w:val="nzDefpara"/>
        <w:rPr>
          <w:del w:id="269" w:author="Master Repository Process" w:date="2021-08-01T03:02:00Z"/>
        </w:rPr>
      </w:pPr>
      <w:del w:id="270" w:author="Master Repository Process" w:date="2021-08-01T03:02:00Z">
        <w:r>
          <w:tab/>
          <w:delText>(d)</w:delText>
        </w:r>
        <w:r>
          <w:tab/>
          <w:delText xml:space="preserve">a registration for a dangerous goods pipeline granted under the </w:delText>
        </w:r>
        <w:r>
          <w:rPr>
            <w:i/>
          </w:rPr>
          <w:delText>Dangerous Goods Safety (Storage and Handling of Non-explosives) Regulations 2007</w:delText>
        </w:r>
        <w:r>
          <w:delText xml:space="preserve"> Part 5.</w:delText>
        </w:r>
      </w:del>
    </w:p>
    <w:p>
      <w:pPr>
        <w:pStyle w:val="nzSubsection"/>
        <w:rPr>
          <w:del w:id="271" w:author="Master Repository Process" w:date="2021-08-01T03:02:00Z"/>
        </w:rPr>
      </w:pPr>
      <w:del w:id="272" w:author="Master Repository Process" w:date="2021-08-01T03:02:00Z">
        <w:r>
          <w:tab/>
          <w:delText>(2)</w:delText>
        </w:r>
        <w:r>
          <w:tab/>
          <w:delText>This regulation operates despite the following —</w:delText>
        </w:r>
      </w:del>
    </w:p>
    <w:p>
      <w:pPr>
        <w:pStyle w:val="nzIndenta"/>
        <w:rPr>
          <w:del w:id="273" w:author="Master Repository Process" w:date="2021-08-01T03:02:00Z"/>
        </w:rPr>
      </w:pPr>
      <w:del w:id="274" w:author="Master Repository Process" w:date="2021-08-01T03:02:00Z">
        <w:r>
          <w:tab/>
          <w:delText>(a)</w:delText>
        </w:r>
        <w:r>
          <w:tab/>
          <w:delText xml:space="preserve">the </w:delText>
        </w:r>
        <w:r>
          <w:rPr>
            <w:i/>
          </w:rPr>
          <w:delText xml:space="preserve">Dangerous Goods Safety (Explosives) Regulations 2007 </w:delText>
        </w:r>
        <w:r>
          <w:delText>regulation 167;</w:delText>
        </w:r>
      </w:del>
    </w:p>
    <w:p>
      <w:pPr>
        <w:pStyle w:val="nzIndenta"/>
        <w:rPr>
          <w:del w:id="275" w:author="Master Repository Process" w:date="2021-08-01T03:02:00Z"/>
        </w:rPr>
      </w:pPr>
      <w:del w:id="276" w:author="Master Repository Process" w:date="2021-08-01T03:02:00Z">
        <w:r>
          <w:tab/>
          <w:delText>(b)</w:delText>
        </w:r>
        <w:r>
          <w:tab/>
          <w:delText xml:space="preserve">the </w:delText>
        </w:r>
        <w:r>
          <w:rPr>
            <w:i/>
          </w:rPr>
          <w:delText xml:space="preserve">Dangerous Goods Safety (Security Risk Substances) Regulations 2007 </w:delText>
        </w:r>
        <w:r>
          <w:delText>regulation 35;</w:delText>
        </w:r>
      </w:del>
    </w:p>
    <w:p>
      <w:pPr>
        <w:pStyle w:val="nzIndenta"/>
        <w:rPr>
          <w:del w:id="277" w:author="Master Repository Process" w:date="2021-08-01T03:02:00Z"/>
        </w:rPr>
      </w:pPr>
      <w:del w:id="278" w:author="Master Repository Process" w:date="2021-08-01T03:02:00Z">
        <w:r>
          <w:tab/>
          <w:delText>(c)</w:delText>
        </w:r>
        <w:r>
          <w:tab/>
          <w:delText xml:space="preserve">the </w:delText>
        </w:r>
        <w:r>
          <w:rPr>
            <w:i/>
          </w:rPr>
          <w:delText xml:space="preserve">Dangerous Goods Safety (Storage and Handling of Non-explosives) Regulations 2007 </w:delText>
        </w:r>
        <w:r>
          <w:delText>regulations 34 and 97.</w:delText>
        </w:r>
      </w:del>
    </w:p>
    <w:p>
      <w:pPr>
        <w:pStyle w:val="nzSubsection"/>
        <w:rPr>
          <w:del w:id="279" w:author="Master Repository Process" w:date="2021-08-01T03:02:00Z"/>
        </w:rPr>
      </w:pPr>
      <w:del w:id="280" w:author="Master Repository Process" w:date="2021-08-01T03:02:00Z">
        <w:r>
          <w:tab/>
          <w:delText>(3)</w:delText>
        </w:r>
        <w:r>
          <w:tab/>
          <w:delText>If a person holds 2 or more licences, the Chief Officer, with the person’s consent —</w:delText>
        </w:r>
      </w:del>
    </w:p>
    <w:p>
      <w:pPr>
        <w:pStyle w:val="nzIndenta"/>
        <w:rPr>
          <w:del w:id="281" w:author="Master Repository Process" w:date="2021-08-01T03:02:00Z"/>
        </w:rPr>
      </w:pPr>
      <w:del w:id="282" w:author="Master Repository Process" w:date="2021-08-01T03:02:00Z">
        <w:r>
          <w:tab/>
          <w:delText>(a)</w:delText>
        </w:r>
        <w:r>
          <w:tab/>
          <w:delText>may reduce the duration of one or more of them in order that all of them will, due to the passage of time, expire simultaneously; and</w:delText>
        </w:r>
      </w:del>
    </w:p>
    <w:p>
      <w:pPr>
        <w:pStyle w:val="nzIndenta"/>
        <w:rPr>
          <w:del w:id="283" w:author="Master Repository Process" w:date="2021-08-01T03:02:00Z"/>
        </w:rPr>
      </w:pPr>
      <w:del w:id="284" w:author="Master Repository Process" w:date="2021-08-01T03:02:00Z">
        <w:r>
          <w:tab/>
          <w:delText>(b)</w:delText>
        </w:r>
        <w:r>
          <w:tab/>
          <w:delText xml:space="preserve">may set for all or some of the licences one date in each year as the date on which any fee payable each year for each licence is due (the </w:delText>
        </w:r>
        <w:r>
          <w:rPr>
            <w:rStyle w:val="CharDefText"/>
          </w:rPr>
          <w:delText>due date</w:delText>
        </w:r>
        <w:r>
          <w:delText>).</w:delText>
        </w:r>
      </w:del>
    </w:p>
    <w:p>
      <w:pPr>
        <w:pStyle w:val="nzSubsection"/>
        <w:rPr>
          <w:del w:id="285" w:author="Master Repository Process" w:date="2021-08-01T03:02:00Z"/>
        </w:rPr>
      </w:pPr>
      <w:del w:id="286" w:author="Master Repository Process" w:date="2021-08-01T03:02:00Z">
        <w:r>
          <w:tab/>
          <w:delText>(4)</w:delText>
        </w:r>
        <w:r>
          <w:tab/>
          <w:delText xml:space="preserve">If under subregulation (3)(a) the Chief Officer decides to reduce the duration of a licence — </w:delText>
        </w:r>
      </w:del>
    </w:p>
    <w:p>
      <w:pPr>
        <w:pStyle w:val="nzIndenta"/>
        <w:rPr>
          <w:del w:id="287" w:author="Master Repository Process" w:date="2021-08-01T03:02:00Z"/>
        </w:rPr>
      </w:pPr>
      <w:del w:id="288" w:author="Master Repository Process" w:date="2021-08-01T03:02:00Z">
        <w:r>
          <w:tab/>
          <w:delText>(a)</w:delText>
        </w:r>
        <w:r>
          <w:tab/>
          <w:delText>he or she must cancel the licence and issue a replacement in identical terms that specifies the date on which the licence will expire; and</w:delText>
        </w:r>
      </w:del>
    </w:p>
    <w:p>
      <w:pPr>
        <w:pStyle w:val="nzIndenta"/>
        <w:rPr>
          <w:del w:id="289" w:author="Master Repository Process" w:date="2021-08-01T03:02:00Z"/>
        </w:rPr>
      </w:pPr>
      <w:del w:id="290" w:author="Master Repository Process" w:date="2021-08-01T03:02:00Z">
        <w:r>
          <w:tab/>
          <w:delText>(b)</w:delText>
        </w:r>
        <w:r>
          <w:tab/>
          <w:delText>the reduction takes effect on the day on which the replacement licence is issued.</w:delText>
        </w:r>
      </w:del>
    </w:p>
    <w:p>
      <w:pPr>
        <w:pStyle w:val="nzSubsection"/>
        <w:rPr>
          <w:del w:id="291" w:author="Master Repository Process" w:date="2021-08-01T03:02:00Z"/>
        </w:rPr>
      </w:pPr>
      <w:del w:id="292" w:author="Master Repository Process" w:date="2021-08-01T03:02:00Z">
        <w:r>
          <w:tab/>
          <w:delText>(5)</w:delText>
        </w:r>
        <w:r>
          <w:tab/>
          <w:delText>If under subregulation (3)(b) the Chief Officer decides to set a due date, he or she must give the holder of the licences written notice of —</w:delText>
        </w:r>
      </w:del>
    </w:p>
    <w:p>
      <w:pPr>
        <w:pStyle w:val="nzIndenta"/>
        <w:rPr>
          <w:del w:id="293" w:author="Master Repository Process" w:date="2021-08-01T03:02:00Z"/>
        </w:rPr>
      </w:pPr>
      <w:del w:id="294" w:author="Master Repository Process" w:date="2021-08-01T03:02:00Z">
        <w:r>
          <w:tab/>
          <w:delText>(a)</w:delText>
        </w:r>
        <w:r>
          <w:tab/>
          <w:delText>the due date; and</w:delText>
        </w:r>
      </w:del>
    </w:p>
    <w:p>
      <w:pPr>
        <w:pStyle w:val="nzIndenta"/>
        <w:rPr>
          <w:del w:id="295" w:author="Master Repository Process" w:date="2021-08-01T03:02:00Z"/>
        </w:rPr>
      </w:pPr>
      <w:del w:id="296" w:author="Master Repository Process" w:date="2021-08-01T03:02:00Z">
        <w:r>
          <w:tab/>
          <w:delText>(b)</w:delText>
        </w:r>
        <w:r>
          <w:tab/>
          <w:delText>each licence to which the due date applies; and</w:delText>
        </w:r>
      </w:del>
    </w:p>
    <w:p>
      <w:pPr>
        <w:pStyle w:val="nzIndenta"/>
        <w:rPr>
          <w:del w:id="297" w:author="Master Repository Process" w:date="2021-08-01T03:02:00Z"/>
        </w:rPr>
      </w:pPr>
      <w:del w:id="298" w:author="Master Repository Process" w:date="2021-08-01T03:02:00Z">
        <w:r>
          <w:tab/>
          <w:delText>(c)</w:delText>
        </w:r>
        <w:r>
          <w:tab/>
          <w:delText>each fee to which the due date applies.</w:delText>
        </w:r>
      </w:del>
    </w:p>
    <w:p>
      <w:pPr>
        <w:pStyle w:val="BlankClose"/>
        <w:rPr>
          <w:del w:id="299" w:author="Master Repository Process" w:date="2021-08-01T03:02:00Z"/>
        </w:rPr>
      </w:pPr>
    </w:p>
    <w:p>
      <w:pPr>
        <w:pStyle w:val="BlankClose"/>
        <w:rPr>
          <w:del w:id="300" w:author="Master Repository Process" w:date="2021-08-01T03:02: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bookmarkStart w:id="302" w:name="AutoSch"/>
      <w:bookmarkEnd w:id="302"/>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Specific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1" w:name="Compilation"/>
    <w:bookmarkEnd w:id="3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 w:name="Coversheet"/>
    <w:bookmarkEnd w:id="3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3" w:name="Schedule"/>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B8A2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EEF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63F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726D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E2A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E1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B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857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85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6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2DE6CB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3246"/>
    <w:docVar w:name="WAFER_20140122142342" w:val="RemoveTocBookmarks,RemoveUnusedBookmarks,RemoveLanguageTags,UsedStyles,ResetPageSize,UpdateArrangement"/>
    <w:docVar w:name="WAFER_20140122142342_GUID" w:val="837a3787-4ac3-4722-ac15-17072729c97d"/>
    <w:docVar w:name="WAFER_20140122142809" w:val="RemoveTocBookmarks,RunningHeaders"/>
    <w:docVar w:name="WAFER_20140122142809_GUID" w:val="776e306b-831f-40fe-a340-82050718010c"/>
    <w:docVar w:name="WAFER_20150410143007" w:val="ResetPageSize,UpdateArrangement,UpdateNTable"/>
    <w:docVar w:name="WAFER_20150410143007_GUID" w:val="9dfe464f-fd75-4d95-b4c2-34924053d947"/>
    <w:docVar w:name="WAFER_20151103103335" w:val="UpdateStyles,UsedStyles"/>
    <w:docVar w:name="WAFER_20151103103335_GUID" w:val="78f98772-4e56-4aaa-8ebf-8eecf9955a6a"/>
    <w:docVar w:name="WAFER_20151201093246" w:val="RemoveTrackChanges"/>
    <w:docVar w:name="WAFER_20151201093246_GUID" w:val="19af5832-e395-434f-9f42-84a368f9ca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0220073-6016-459F-BF77-5AB4222E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3517</Words>
  <Characters>17165</Characters>
  <Application>Microsoft Office Word</Application>
  <DocSecurity>0</DocSecurity>
  <Lines>686</Lines>
  <Paragraphs>440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 matters</vt:lpstr>
      <vt:lpstr>    Part 2 — Matters for the Act Parts 1 and 2</vt:lpstr>
      <vt:lpstr>    Part 3 — Matters for the Act Part 4</vt:lpstr>
      <vt:lpstr>    Part 4 — Matters for the Act Part 5</vt:lpstr>
      <vt:lpstr>    Part 5 — Infringement notices</vt:lpstr>
      <vt:lpstr>    Part 6 — Miscellaneous matters</vt:lpstr>
      <vt:lpstr>    Schedule 1 — Specific dangerous goods</vt:lpstr>
      <vt:lpstr>    Schedule 2 — Forms</vt:lpstr>
      <vt:lpstr>    Notes</vt:lpstr>
      <vt:lpstr>    Defined Terms</vt:lpstr>
    </vt:vector>
  </TitlesOfParts>
  <Manager/>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00-d0-02 - 00-e0-05</dc:title>
  <dc:subject/>
  <dc:creator/>
  <cp:keywords/>
  <dc:description/>
  <cp:lastModifiedBy>Master Repository Process</cp:lastModifiedBy>
  <cp:revision>2</cp:revision>
  <cp:lastPrinted>2006-12-05T07:12:00Z</cp:lastPrinted>
  <dcterms:created xsi:type="dcterms:W3CDTF">2021-07-31T19:02:00Z</dcterms:created>
  <dcterms:modified xsi:type="dcterms:W3CDTF">2021-07-31T19:02:00Z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CommencementDate">
    <vt:lpwstr>20120401</vt:lpwstr>
  </property>
  <property fmtid="{D5CDD505-2E9C-101B-9397-08002B2CF9AE}" pid="4" name="OwlsUID">
    <vt:i4>37439</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16 Mar 2012</vt:lpwstr>
  </property>
  <property fmtid="{D5CDD505-2E9C-101B-9397-08002B2CF9AE}" pid="8" name="ToSuffix">
    <vt:lpwstr>00-e0-05</vt:lpwstr>
  </property>
  <property fmtid="{D5CDD505-2E9C-101B-9397-08002B2CF9AE}" pid="9" name="ToAsAtDate">
    <vt:lpwstr>01 Apr 2012</vt:lpwstr>
  </property>
</Properties>
</file>