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Curriculum and Standards Authority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2012</w:t>
      </w:r>
      <w:r>
        <w:fldChar w:fldCharType="end"/>
      </w:r>
      <w:r>
        <w:t xml:space="preserve">, </w:t>
      </w:r>
      <w:r>
        <w:fldChar w:fldCharType="begin"/>
      </w:r>
      <w:r>
        <w:instrText xml:space="preserve"> DocProperty FromSuffix </w:instrText>
      </w:r>
      <w:r>
        <w:fldChar w:fldCharType="separate"/>
      </w:r>
      <w:r>
        <w:t>02-k0-01</w:t>
      </w:r>
      <w:r>
        <w:fldChar w:fldCharType="end"/>
      </w:r>
      <w:r>
        <w:t>] and [</w:t>
      </w:r>
      <w:r>
        <w:fldChar w:fldCharType="begin"/>
      </w:r>
      <w:r>
        <w:instrText xml:space="preserve"> DocProperty ToAsAtDate</w:instrText>
      </w:r>
      <w:r>
        <w:fldChar w:fldCharType="separate"/>
      </w:r>
      <w:r>
        <w:t>27 Apr 2012</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6T13:15:00Z"/>
        </w:trPr>
        <w:tc>
          <w:tcPr>
            <w:tcW w:w="2434" w:type="dxa"/>
            <w:vMerge w:val="restart"/>
          </w:tcPr>
          <w:p>
            <w:pPr>
              <w:rPr>
                <w:ins w:id="1" w:author="svcMRProcess" w:date="2018-08-26T13:15:00Z"/>
              </w:rPr>
            </w:pPr>
          </w:p>
        </w:tc>
        <w:tc>
          <w:tcPr>
            <w:tcW w:w="2434" w:type="dxa"/>
            <w:vMerge w:val="restart"/>
          </w:tcPr>
          <w:p>
            <w:pPr>
              <w:jc w:val="center"/>
              <w:rPr>
                <w:ins w:id="2" w:author="svcMRProcess" w:date="2018-08-26T13:15:00Z"/>
              </w:rPr>
            </w:pPr>
            <w:ins w:id="3" w:author="svcMRProcess" w:date="2018-08-26T13:15:00Z">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svcMRProcess" w:date="2018-08-26T13:15:00Z"/>
              </w:rPr>
            </w:pPr>
            <w:ins w:id="5" w:author="svcMRProcess" w:date="2018-08-26T13:15:00Z">
              <w:r>
                <w:rPr>
                  <w:b/>
                  <w:sz w:val="22"/>
                </w:rPr>
                <w:t xml:space="preserve">Reprinted under the </w:t>
              </w:r>
              <w:r>
                <w:rPr>
                  <w:b/>
                  <w:i/>
                  <w:sz w:val="22"/>
                </w:rPr>
                <w:t>Reprints Act 1984</w:t>
              </w:r>
              <w:r>
                <w:rPr>
                  <w:b/>
                  <w:sz w:val="22"/>
                </w:rPr>
                <w:t xml:space="preserve"> as</w:t>
              </w:r>
            </w:ins>
          </w:p>
        </w:tc>
      </w:tr>
      <w:tr>
        <w:trPr>
          <w:cantSplit/>
          <w:ins w:id="6" w:author="svcMRProcess" w:date="2018-08-26T13:15:00Z"/>
        </w:trPr>
        <w:tc>
          <w:tcPr>
            <w:tcW w:w="2434" w:type="dxa"/>
            <w:vMerge/>
          </w:tcPr>
          <w:p>
            <w:pPr>
              <w:rPr>
                <w:ins w:id="7" w:author="svcMRProcess" w:date="2018-08-26T13:15:00Z"/>
              </w:rPr>
            </w:pPr>
          </w:p>
        </w:tc>
        <w:tc>
          <w:tcPr>
            <w:tcW w:w="2434" w:type="dxa"/>
            <w:vMerge/>
          </w:tcPr>
          <w:p>
            <w:pPr>
              <w:jc w:val="center"/>
              <w:rPr>
                <w:ins w:id="8" w:author="svcMRProcess" w:date="2018-08-26T13:15:00Z"/>
              </w:rPr>
            </w:pPr>
          </w:p>
        </w:tc>
        <w:tc>
          <w:tcPr>
            <w:tcW w:w="2434" w:type="dxa"/>
          </w:tcPr>
          <w:p>
            <w:pPr>
              <w:keepNext/>
              <w:rPr>
                <w:ins w:id="9" w:author="svcMRProcess" w:date="2018-08-26T13:15:00Z"/>
                <w:b/>
                <w:sz w:val="22"/>
              </w:rPr>
            </w:pPr>
            <w:ins w:id="10" w:author="svcMRProcess" w:date="2018-08-26T13:15:00Z">
              <w:r>
                <w:rPr>
                  <w:b/>
                  <w:sz w:val="22"/>
                </w:rPr>
                <w:t>at 27</w:t>
              </w:r>
              <w:r>
                <w:rPr>
                  <w:b/>
                  <w:snapToGrid w:val="0"/>
                  <w:sz w:val="22"/>
                </w:rPr>
                <w:t xml:space="preserve"> April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after="1000"/>
      </w:pPr>
      <w:r>
        <w:t>School Curriculum and Standards Authority Act 1997</w:t>
      </w:r>
    </w:p>
    <w:p>
      <w:pPr>
        <w:pStyle w:val="LongTitle"/>
        <w:rPr>
          <w:snapToGrid w:val="0"/>
        </w:rPr>
      </w:pPr>
      <w:r>
        <w:rPr>
          <w:snapToGrid w:val="0"/>
        </w:rPr>
        <w:t>A</w:t>
      </w:r>
      <w:bookmarkStart w:id="11" w:name="_GoBack"/>
      <w:bookmarkEnd w:id="11"/>
      <w:r>
        <w:rPr>
          <w:snapToGrid w:val="0"/>
        </w:rPr>
        <w:t>n Act to establish a State agency with functions relating to the development and accreditation of courses and the standards, assessment and certification of student achievement, to provide for a database relating to participation in education, training or employment by students during their school years, and for related purposes.</w:t>
      </w:r>
    </w:p>
    <w:p>
      <w:pPr>
        <w:pStyle w:val="Footnotelongtitle"/>
      </w:pPr>
      <w:r>
        <w:tab/>
        <w:t>[Long title inserted by No. 37 of 2011 s. 4.]</w:t>
      </w:r>
    </w:p>
    <w:p>
      <w:pPr>
        <w:pStyle w:val="Heading2"/>
      </w:pPr>
      <w:bookmarkStart w:id="12" w:name="_Toc72573512"/>
      <w:bookmarkStart w:id="13" w:name="_Toc120341371"/>
      <w:bookmarkStart w:id="14" w:name="_Toc120355744"/>
      <w:bookmarkStart w:id="15" w:name="_Toc123645471"/>
      <w:bookmarkStart w:id="16" w:name="_Toc123645572"/>
      <w:bookmarkStart w:id="17" w:name="_Toc124139441"/>
      <w:bookmarkStart w:id="18" w:name="_Toc157845820"/>
      <w:bookmarkStart w:id="19" w:name="_Toc161720527"/>
      <w:bookmarkStart w:id="20" w:name="_Toc161722979"/>
      <w:bookmarkStart w:id="21" w:name="_Toc163956947"/>
      <w:bookmarkStart w:id="22" w:name="_Toc163964937"/>
      <w:bookmarkStart w:id="23" w:name="_Toc165698379"/>
      <w:bookmarkStart w:id="24" w:name="_Toc232394755"/>
      <w:bookmarkStart w:id="25" w:name="_Toc268269087"/>
      <w:bookmarkStart w:id="26" w:name="_Toc272057658"/>
      <w:bookmarkStart w:id="27" w:name="_Toc274207103"/>
      <w:bookmarkStart w:id="28" w:name="_Toc278975238"/>
      <w:bookmarkStart w:id="29" w:name="_Toc303861423"/>
      <w:bookmarkStart w:id="30" w:name="_Toc303867302"/>
      <w:bookmarkStart w:id="31" w:name="_Toc318121357"/>
      <w:bookmarkStart w:id="32" w:name="_Toc318121607"/>
      <w:bookmarkStart w:id="33" w:name="_Toc318122435"/>
      <w:bookmarkStart w:id="34" w:name="_Toc318181611"/>
      <w:bookmarkStart w:id="35" w:name="_Toc318181716"/>
      <w:bookmarkStart w:id="36" w:name="_Toc318201571"/>
      <w:bookmarkStart w:id="37" w:name="_Toc320283204"/>
      <w:bookmarkStart w:id="38" w:name="_Toc320516354"/>
      <w:bookmarkStart w:id="39" w:name="_Toc321898527"/>
      <w:bookmarkStart w:id="40" w:name="_Toc323638276"/>
      <w:bookmarkStart w:id="41" w:name="_Toc323640236"/>
      <w:bookmarkStart w:id="42" w:name="_Toc323713161"/>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520109132"/>
      <w:bookmarkStart w:id="44" w:name="_Toc17002417"/>
      <w:bookmarkStart w:id="45" w:name="_Toc123645472"/>
      <w:bookmarkStart w:id="46" w:name="_Toc323713162"/>
      <w:bookmarkStart w:id="47" w:name="_Toc318201572"/>
      <w:r>
        <w:rPr>
          <w:rStyle w:val="CharSectno"/>
        </w:rPr>
        <w:t>1</w:t>
      </w:r>
      <w:r>
        <w:rPr>
          <w:snapToGrid w:val="0"/>
        </w:rPr>
        <w:t>.</w:t>
      </w:r>
      <w:r>
        <w:rPr>
          <w:snapToGrid w:val="0"/>
        </w:rPr>
        <w:tab/>
        <w:t>Short title</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may be cited as the </w:t>
      </w:r>
      <w:r>
        <w:rPr>
          <w:i/>
          <w:iCs/>
        </w:rPr>
        <w:t>School Curriculum and Standards Authority</w:t>
      </w:r>
      <w:r>
        <w:rPr>
          <w:i/>
          <w:snapToGrid w:val="0"/>
        </w:rPr>
        <w:t xml:space="preserve"> Act 1997</w:t>
      </w:r>
      <w:r>
        <w:rPr>
          <w:snapToGrid w:val="0"/>
          <w:vertAlign w:val="superscript"/>
        </w:rPr>
        <w:t> 1</w:t>
      </w:r>
      <w:r>
        <w:rPr>
          <w:snapToGrid w:val="0"/>
        </w:rPr>
        <w:t>.</w:t>
      </w:r>
    </w:p>
    <w:p>
      <w:pPr>
        <w:pStyle w:val="Footnotesection"/>
      </w:pPr>
      <w:bookmarkStart w:id="48" w:name="_Toc520109133"/>
      <w:bookmarkStart w:id="49" w:name="_Toc17002418"/>
      <w:bookmarkStart w:id="50" w:name="_Toc123645473"/>
      <w:r>
        <w:tab/>
        <w:t>[Section 1 amended by No. 37 of 2011 s. 5.]</w:t>
      </w:r>
    </w:p>
    <w:p>
      <w:pPr>
        <w:pStyle w:val="Heading5"/>
        <w:rPr>
          <w:snapToGrid w:val="0"/>
        </w:rPr>
      </w:pPr>
      <w:bookmarkStart w:id="51" w:name="_Toc323713163"/>
      <w:bookmarkStart w:id="52" w:name="_Toc318201573"/>
      <w:r>
        <w:rPr>
          <w:rStyle w:val="CharSectno"/>
        </w:rPr>
        <w:t>2</w:t>
      </w:r>
      <w:r>
        <w:rPr>
          <w:snapToGrid w:val="0"/>
        </w:rPr>
        <w:t>.</w:t>
      </w:r>
      <w:r>
        <w:rPr>
          <w:snapToGrid w:val="0"/>
        </w:rPr>
        <w:tab/>
        <w:t>Commencement</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53" w:name="_Toc520109134"/>
      <w:bookmarkStart w:id="54" w:name="_Toc17002419"/>
      <w:bookmarkStart w:id="55" w:name="_Toc123645474"/>
      <w:bookmarkStart w:id="56" w:name="_Toc323713164"/>
      <w:bookmarkStart w:id="57" w:name="_Toc318201574"/>
      <w:r>
        <w:rPr>
          <w:rStyle w:val="CharSectno"/>
        </w:rPr>
        <w:t>3</w:t>
      </w:r>
      <w:r>
        <w:rPr>
          <w:snapToGrid w:val="0"/>
        </w:rPr>
        <w:t>.</w:t>
      </w:r>
      <w:r>
        <w:rPr>
          <w:snapToGrid w:val="0"/>
        </w:rPr>
        <w:tab/>
      </w:r>
      <w:bookmarkEnd w:id="53"/>
      <w:bookmarkEnd w:id="54"/>
      <w:bookmarkEnd w:id="55"/>
      <w:r>
        <w:rPr>
          <w:snapToGrid w:val="0"/>
        </w:rPr>
        <w:t>Terms used</w:t>
      </w:r>
      <w:bookmarkEnd w:id="56"/>
      <w:del w:id="58" w:author="svcMRProcess" w:date="2018-08-26T13:15:00Z">
        <w:r>
          <w:rPr>
            <w:snapToGrid w:val="0"/>
          </w:rPr>
          <w:delText xml:space="preserve"> in this Act</w:delText>
        </w:r>
      </w:del>
      <w:bookmarkEnd w:id="57"/>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advisory committee</w:t>
      </w:r>
      <w:r>
        <w:t xml:space="preserve"> means the Curriculum and Assessment Committee or the Standards Committee;</w:t>
      </w:r>
    </w:p>
    <w:p>
      <w:pPr>
        <w:pStyle w:val="Defstart"/>
      </w:pPr>
      <w:r>
        <w:rPr>
          <w:b/>
        </w:rPr>
        <w:tab/>
      </w:r>
      <w:r>
        <w:rPr>
          <w:rStyle w:val="CharDefText"/>
        </w:rPr>
        <w:t>assessment</w:t>
      </w:r>
      <w:r>
        <w:t xml:space="preserve"> includes examination;</w:t>
      </w:r>
    </w:p>
    <w:p>
      <w:pPr>
        <w:pStyle w:val="Defstart"/>
      </w:pPr>
      <w:r>
        <w:rPr>
          <w:b/>
        </w:rPr>
        <w:tab/>
      </w:r>
      <w:r>
        <w:rPr>
          <w:rStyle w:val="CharDefText"/>
        </w:rPr>
        <w:t>Authority</w:t>
      </w:r>
      <w:r>
        <w:t xml:space="preserve"> means the School Curriculum and Standards Authority established by section 5;</w:t>
      </w:r>
    </w:p>
    <w:p>
      <w:pPr>
        <w:pStyle w:val="Defstart"/>
      </w:pPr>
      <w:r>
        <w:rPr>
          <w:b/>
        </w:rPr>
        <w:tab/>
      </w:r>
      <w:r>
        <w:rPr>
          <w:rStyle w:val="CharDefText"/>
        </w:rPr>
        <w:t>Board</w:t>
      </w:r>
      <w:r>
        <w:t xml:space="preserve"> means the governing body of the Authority referred to in section 6;</w:t>
      </w:r>
    </w:p>
    <w:p>
      <w:pPr>
        <w:pStyle w:val="Defstart"/>
      </w:pPr>
      <w:r>
        <w:rPr>
          <w:b/>
        </w:rPr>
        <w:tab/>
      </w:r>
      <w:r>
        <w:rPr>
          <w:rStyle w:val="CharDefText"/>
        </w:rPr>
        <w:t>chairperson</w:t>
      </w:r>
      <w:r>
        <w:t xml:space="preserve"> means the chairperson of the Board;</w:t>
      </w:r>
    </w:p>
    <w:p>
      <w:pPr>
        <w:pStyle w:val="Defstart"/>
      </w:pPr>
      <w:r>
        <w:rPr>
          <w:b/>
        </w:rPr>
        <w:tab/>
      </w:r>
      <w:r>
        <w:rPr>
          <w:rStyle w:val="CharDefText"/>
        </w:rPr>
        <w:t>chief executive officer</w:t>
      </w:r>
      <w:r>
        <w:t xml:space="preserve"> means the person appointed as such for the purposes of section 20;</w:t>
      </w:r>
    </w:p>
    <w:p>
      <w:pPr>
        <w:pStyle w:val="Defstart"/>
      </w:pPr>
      <w:r>
        <w:rPr>
          <w:b/>
        </w:rPr>
        <w:tab/>
      </w:r>
      <w:r>
        <w:rPr>
          <w:rStyle w:val="CharDefText"/>
        </w:rPr>
        <w:t>committee</w:t>
      </w:r>
      <w:r>
        <w:t xml:space="preserve"> means an advisory committee or a committee appointed under section 7F;</w:t>
      </w:r>
    </w:p>
    <w:p>
      <w:pPr>
        <w:pStyle w:val="Defstart"/>
      </w:pPr>
      <w:r>
        <w:rPr>
          <w:b/>
        </w:rPr>
        <w:tab/>
      </w:r>
      <w:r>
        <w:rPr>
          <w:rStyle w:val="CharDefText"/>
        </w:rPr>
        <w:t>community kindergarten</w:t>
      </w:r>
      <w:r>
        <w:t xml:space="preserve"> means a community kindergarten registered under the School Education Act</w:t>
      </w:r>
      <w:r>
        <w:rPr>
          <w:i/>
          <w:iCs/>
        </w:rPr>
        <w:t xml:space="preserve"> </w:t>
      </w:r>
      <w:r>
        <w:rPr>
          <w:iCs/>
        </w:rPr>
        <w:t>Part 5;</w:t>
      </w:r>
    </w:p>
    <w:p>
      <w:pPr>
        <w:pStyle w:val="Defstart"/>
      </w:pPr>
      <w:r>
        <w:rPr>
          <w:b/>
        </w:rPr>
        <w:tab/>
      </w:r>
      <w:r>
        <w:rPr>
          <w:rStyle w:val="CharDefText"/>
        </w:rPr>
        <w:t>compulsory education period</w:t>
      </w:r>
      <w:r>
        <w:t xml:space="preserve"> means the compulsory education period under </w:t>
      </w:r>
      <w:r>
        <w:rPr>
          <w:bCs/>
        </w:rPr>
        <w:t xml:space="preserve">the </w:t>
      </w:r>
      <w:r>
        <w:t>School Education Act</w:t>
      </w:r>
      <w:r>
        <w:rPr>
          <w:bCs/>
          <w:i/>
          <w:iCs/>
        </w:rPr>
        <w:t xml:space="preserve"> </w:t>
      </w:r>
      <w:r>
        <w:t xml:space="preserve">determined on the basis of a model under which — </w:t>
      </w:r>
    </w:p>
    <w:p>
      <w:pPr>
        <w:pStyle w:val="Defpara"/>
      </w:pPr>
      <w:r>
        <w:tab/>
        <w:t>(a)</w:t>
      </w:r>
      <w:r>
        <w:tab/>
        <w:t xml:space="preserve">enrolment at a school occurs as soon as is required by section 9 of </w:t>
      </w:r>
      <w:r>
        <w:rPr>
          <w:bCs/>
        </w:rPr>
        <w:t>that Act</w:t>
      </w:r>
      <w:r>
        <w:t>; and</w:t>
      </w:r>
    </w:p>
    <w:p>
      <w:pPr>
        <w:pStyle w:val="Defpara"/>
      </w:pPr>
      <w:r>
        <w:tab/>
        <w:t>(b)</w:t>
      </w:r>
      <w:r>
        <w:tab/>
        <w:t>schooling progresses normally through each year until the end of the compulsory education period under that Act;</w:t>
      </w:r>
    </w:p>
    <w:p>
      <w:pPr>
        <w:pStyle w:val="Defstart"/>
      </w:pPr>
      <w:r>
        <w:rPr>
          <w:b/>
        </w:rPr>
        <w:tab/>
      </w:r>
      <w:r>
        <w:rPr>
          <w:rStyle w:val="CharDefText"/>
        </w:rPr>
        <w:t>course</w:t>
      </w:r>
      <w:r>
        <w:t xml:space="preserve"> means a course of study, subject or syllabus;</w:t>
      </w:r>
    </w:p>
    <w:p>
      <w:pPr>
        <w:pStyle w:val="Defstart"/>
      </w:pPr>
      <w:r>
        <w:rPr>
          <w:b/>
        </w:rPr>
        <w:tab/>
      </w:r>
      <w:r>
        <w:rPr>
          <w:rStyle w:val="CharDefText"/>
        </w:rPr>
        <w:t>Curriculum and Assessment Committee</w:t>
      </w:r>
      <w:r>
        <w:t xml:space="preserve"> means the committee established under section 7D;</w:t>
      </w:r>
    </w:p>
    <w:p>
      <w:pPr>
        <w:pStyle w:val="Defstart"/>
      </w:pPr>
      <w:r>
        <w:rPr>
          <w:b/>
        </w:rPr>
        <w:tab/>
      </w:r>
      <w:r>
        <w:rPr>
          <w:rStyle w:val="CharDefText"/>
        </w:rPr>
        <w:t>Education Department</w:t>
      </w:r>
      <w:r>
        <w:t xml:space="preserve"> means the department referred to in section 228 of the School Education Act;</w:t>
      </w:r>
    </w:p>
    <w:p>
      <w:pPr>
        <w:pStyle w:val="Defstart"/>
      </w:pPr>
      <w:r>
        <w:rPr>
          <w:b/>
        </w:rPr>
        <w:tab/>
      </w:r>
      <w:r>
        <w:rPr>
          <w:rStyle w:val="CharDefText"/>
        </w:rPr>
        <w:t>education provider</w:t>
      </w:r>
      <w:r>
        <w:t xml:space="preserve"> means — </w:t>
      </w:r>
    </w:p>
    <w:p>
      <w:pPr>
        <w:pStyle w:val="Defpara"/>
      </w:pPr>
      <w:r>
        <w:tab/>
        <w:t>(a)</w:t>
      </w:r>
      <w:r>
        <w:tab/>
        <w:t>a governing body; and</w:t>
      </w:r>
    </w:p>
    <w:p>
      <w:pPr>
        <w:pStyle w:val="Defpara"/>
      </w:pPr>
      <w:r>
        <w:tab/>
        <w:t>(b)</w:t>
      </w:r>
      <w:r>
        <w:tab/>
        <w:t>in relation to a student, a parent of the student who is registered under the School Education Act</w:t>
      </w:r>
      <w:r>
        <w:rPr>
          <w:i/>
        </w:rPr>
        <w:t xml:space="preserve"> </w:t>
      </w:r>
      <w:r>
        <w:t>as the student’s home educator;</w:t>
      </w:r>
    </w:p>
    <w:p>
      <w:pPr>
        <w:pStyle w:val="Defstart"/>
        <w:keepNext/>
      </w:pPr>
      <w:r>
        <w:rPr>
          <w:b/>
        </w:rPr>
        <w:tab/>
      </w:r>
      <w:r>
        <w:rPr>
          <w:rStyle w:val="CharDefText"/>
        </w:rPr>
        <w:t>governing body</w:t>
      </w:r>
      <w:r>
        <w:t xml:space="preserve"> means — </w:t>
      </w:r>
    </w:p>
    <w:p>
      <w:pPr>
        <w:pStyle w:val="Defpara"/>
      </w:pPr>
      <w:r>
        <w:tab/>
        <w:t>(a)</w:t>
      </w:r>
      <w:r>
        <w:tab/>
        <w:t>in relation to a government school as defined in the School Education Act, the chief executive officer of the Education Department;</w:t>
      </w:r>
      <w:ins w:id="59" w:author="svcMRProcess" w:date="2018-08-26T13:15:00Z">
        <w:r>
          <w:t xml:space="preserve"> and</w:t>
        </w:r>
      </w:ins>
    </w:p>
    <w:p>
      <w:pPr>
        <w:pStyle w:val="Defpara"/>
      </w:pPr>
      <w:r>
        <w:tab/>
        <w:t>(b)</w:t>
      </w:r>
      <w:r>
        <w:tab/>
        <w:t>in relation to any other school that is not part of a school system, the person or body of persons that has the ownership, management or control of the school; and</w:t>
      </w:r>
    </w:p>
    <w:p>
      <w:pPr>
        <w:pStyle w:val="Defpara"/>
      </w:pPr>
      <w:r>
        <w:tab/>
        <w:t>(c)</w:t>
      </w:r>
      <w:r>
        <w:tab/>
        <w:t>in relation to a school system, the person or body of persons that exercises supervisory control over the schools in the system;</w:t>
      </w:r>
    </w:p>
    <w:p>
      <w:pPr>
        <w:pStyle w:val="Defstart"/>
        <w:rPr>
          <w:b/>
        </w:rPr>
      </w:pPr>
      <w:r>
        <w:rPr>
          <w:b/>
        </w:rPr>
        <w:tab/>
      </w:r>
      <w:r>
        <w:rPr>
          <w:rStyle w:val="CharDefText"/>
        </w:rPr>
        <w:t>home education</w:t>
      </w:r>
      <w:r>
        <w:t>, in relation to a student, means instruction provided by a parent who is registered under the School Education Act</w:t>
      </w:r>
      <w:r>
        <w:rPr>
          <w:i/>
        </w:rPr>
        <w:t xml:space="preserve"> </w:t>
      </w:r>
      <w:r>
        <w:t>as the student’s home educator;</w:t>
      </w:r>
    </w:p>
    <w:p>
      <w:pPr>
        <w:pStyle w:val="Defstart"/>
      </w:pPr>
      <w:r>
        <w:rPr>
          <w:b/>
        </w:rPr>
        <w:tab/>
      </w:r>
      <w:r>
        <w:rPr>
          <w:rStyle w:val="CharDefText"/>
        </w:rPr>
        <w:t>member</w:t>
      </w:r>
      <w:r>
        <w:t xml:space="preserve"> means a member of the Board and includes a person acting under Schedule 1 clause 4;</w:t>
      </w:r>
    </w:p>
    <w:p>
      <w:pPr>
        <w:pStyle w:val="Defstart"/>
      </w:pPr>
      <w:r>
        <w:rPr>
          <w:b/>
        </w:rPr>
        <w:tab/>
      </w:r>
      <w:r>
        <w:rPr>
          <w:rStyle w:val="CharDefText"/>
        </w:rPr>
        <w:t>member of staff</w:t>
      </w:r>
      <w:r>
        <w:t xml:space="preserve"> means — </w:t>
      </w:r>
    </w:p>
    <w:p>
      <w:pPr>
        <w:pStyle w:val="Defpara"/>
      </w:pPr>
      <w:r>
        <w:tab/>
        <w:t>(a)</w:t>
      </w:r>
      <w:r>
        <w:tab/>
        <w:t>an officer referred to in section 21(1);</w:t>
      </w:r>
      <w:ins w:id="60" w:author="svcMRProcess" w:date="2018-08-26T13:15:00Z">
        <w:r>
          <w:t xml:space="preserve"> and</w:t>
        </w:r>
      </w:ins>
    </w:p>
    <w:p>
      <w:pPr>
        <w:pStyle w:val="Defpara"/>
      </w:pPr>
      <w:r>
        <w:tab/>
        <w:t>(b)</w:t>
      </w:r>
      <w:r>
        <w:tab/>
        <w:t>a person referred to in section 21(2);</w:t>
      </w:r>
      <w:ins w:id="61" w:author="svcMRProcess" w:date="2018-08-26T13:15:00Z">
        <w:r>
          <w:t xml:space="preserve"> and</w:t>
        </w:r>
      </w:ins>
    </w:p>
    <w:p>
      <w:pPr>
        <w:pStyle w:val="Defpara"/>
      </w:pPr>
      <w:r>
        <w:tab/>
        <w:t>(c)</w:t>
      </w:r>
      <w:r>
        <w:tab/>
        <w:t xml:space="preserve">a person engaged or appointed by the Authority under section 100 of the </w:t>
      </w:r>
      <w:r>
        <w:rPr>
          <w:i/>
        </w:rPr>
        <w:t>Public Sector Management Act 1994</w:t>
      </w:r>
      <w:r>
        <w:t xml:space="preserve">; and </w:t>
      </w:r>
    </w:p>
    <w:p>
      <w:pPr>
        <w:pStyle w:val="Defpara"/>
      </w:pPr>
      <w:r>
        <w:tab/>
        <w:t>(d)</w:t>
      </w:r>
      <w:r>
        <w:tab/>
        <w:t>a person whose services are used under section 21(6) or</w:t>
      </w:r>
      <w:del w:id="62" w:author="svcMRProcess" w:date="2018-08-26T13:15:00Z">
        <w:r>
          <w:delText xml:space="preserve"> </w:delText>
        </w:r>
      </w:del>
      <w:ins w:id="63" w:author="svcMRProcess" w:date="2018-08-26T13:15:00Z">
        <w:r>
          <w:t> </w:t>
        </w:r>
      </w:ins>
      <w:r>
        <w:t>22;</w:t>
      </w:r>
    </w:p>
    <w:p>
      <w:pPr>
        <w:pStyle w:val="Defstart"/>
      </w:pPr>
      <w:r>
        <w:rPr>
          <w:b/>
        </w:rPr>
        <w:tab/>
      </w:r>
      <w:r>
        <w:rPr>
          <w:rStyle w:val="CharDefText"/>
        </w:rPr>
        <w:t>school</w:t>
      </w:r>
      <w:r>
        <w:t xml:space="preserve"> means a school as defined in the School Education Act</w:t>
      </w:r>
      <w:r>
        <w:rPr>
          <w:i/>
        </w:rPr>
        <w:t xml:space="preserve"> </w:t>
      </w:r>
      <w:r>
        <w:t>or a community kindergarten;</w:t>
      </w:r>
    </w:p>
    <w:p>
      <w:pPr>
        <w:pStyle w:val="Defstart"/>
      </w:pPr>
      <w:r>
        <w:rPr>
          <w:b/>
        </w:rPr>
        <w:tab/>
      </w:r>
      <w:r>
        <w:rPr>
          <w:rStyle w:val="CharDefText"/>
        </w:rPr>
        <w:t>School Education Act</w:t>
      </w:r>
      <w:r>
        <w:t xml:space="preserve"> means the </w:t>
      </w:r>
      <w:r>
        <w:rPr>
          <w:i/>
          <w:iCs/>
        </w:rPr>
        <w:t>School Education Act</w:t>
      </w:r>
      <w:r>
        <w:t> </w:t>
      </w:r>
      <w:r>
        <w:rPr>
          <w:i/>
          <w:iCs/>
        </w:rPr>
        <w:t>1999</w:t>
      </w:r>
      <w:r>
        <w:t>;</w:t>
      </w:r>
    </w:p>
    <w:p>
      <w:pPr>
        <w:pStyle w:val="Defstart"/>
      </w:pPr>
      <w:r>
        <w:rPr>
          <w:b/>
        </w:rPr>
        <w:tab/>
      </w:r>
      <w:r>
        <w:rPr>
          <w:rStyle w:val="CharDefText"/>
        </w:rPr>
        <w:t>school system</w:t>
      </w:r>
      <w:r>
        <w:t xml:space="preserve"> means a school system that is declared to be a recognised school system under the School Education Act section 169;</w:t>
      </w:r>
    </w:p>
    <w:p>
      <w:pPr>
        <w:pStyle w:val="Defstart"/>
      </w:pPr>
      <w:r>
        <w:rPr>
          <w:b/>
        </w:rPr>
        <w:tab/>
      </w:r>
      <w:r>
        <w:rPr>
          <w:rStyle w:val="CharDefText"/>
        </w:rPr>
        <w:t>school years</w:t>
      </w:r>
      <w:r>
        <w:t xml:space="preserve"> includes the pre</w:t>
      </w:r>
      <w:r>
        <w:noBreakHyphen/>
        <w:t>compulsory education period as defined in the School Education Act section 5;</w:t>
      </w:r>
    </w:p>
    <w:p>
      <w:pPr>
        <w:pStyle w:val="Defstart"/>
      </w:pPr>
      <w:r>
        <w:rPr>
          <w:b/>
        </w:rPr>
        <w:tab/>
      </w:r>
      <w:r>
        <w:rPr>
          <w:rStyle w:val="CharDefText"/>
        </w:rPr>
        <w:t>Standards Committee</w:t>
      </w:r>
      <w:r>
        <w:t xml:space="preserve"> means the committee established under section 7B;</w:t>
      </w:r>
    </w:p>
    <w:p>
      <w:pPr>
        <w:pStyle w:val="Defstart"/>
      </w:pPr>
      <w:r>
        <w:rPr>
          <w:b/>
        </w:rPr>
        <w:tab/>
      </w:r>
      <w:r>
        <w:rPr>
          <w:rStyle w:val="CharDefText"/>
        </w:rPr>
        <w:t>standards of student achievement</w:t>
      </w:r>
      <w:r>
        <w:t xml:space="preserve"> means the standards of student achievement that are expected to be attained at designated stages in a course or in the compulsory education period;</w:t>
      </w:r>
    </w:p>
    <w:p>
      <w:pPr>
        <w:pStyle w:val="Defstart"/>
      </w:pPr>
      <w:r>
        <w:rPr>
          <w:b/>
        </w:rPr>
        <w:tab/>
      </w:r>
      <w:r>
        <w:rPr>
          <w:rStyle w:val="CharDefText"/>
        </w:rPr>
        <w:t>student</w:t>
      </w:r>
      <w:r>
        <w:t xml:space="preserve"> means a student enrolled in a school or receiving home education;</w:t>
      </w:r>
    </w:p>
    <w:p>
      <w:pPr>
        <w:pStyle w:val="Defstart"/>
      </w:pPr>
      <w:r>
        <w:rPr>
          <w:b/>
        </w:rPr>
        <w:tab/>
      </w:r>
      <w:r>
        <w:rPr>
          <w:rStyle w:val="CharDefText"/>
        </w:rPr>
        <w:t>vocational education and training</w:t>
      </w:r>
      <w:r>
        <w:t xml:space="preserve"> has the same meaning as in the </w:t>
      </w:r>
      <w:r>
        <w:rPr>
          <w:i/>
        </w:rPr>
        <w:t>Vocational Education and Training Act 1996</w:t>
      </w:r>
      <w:r>
        <w:t>.</w:t>
      </w:r>
    </w:p>
    <w:p>
      <w:pPr>
        <w:pStyle w:val="Footnotesection"/>
      </w:pPr>
      <w:r>
        <w:tab/>
        <w:t>[Section 3 amended by No. 36 of 1999 s. 247; No. 22 of 2005 s. 43; No. 37 of 2011 s. 6 and 53(1).]</w:t>
      </w:r>
    </w:p>
    <w:p>
      <w:pPr>
        <w:pStyle w:val="Heading5"/>
      </w:pPr>
      <w:bookmarkStart w:id="64" w:name="_Toc318099289"/>
      <w:bookmarkStart w:id="65" w:name="_Toc318099392"/>
      <w:bookmarkStart w:id="66" w:name="_Toc318201575"/>
      <w:bookmarkStart w:id="67" w:name="_Toc323713165"/>
      <w:bookmarkStart w:id="68" w:name="_Toc520109135"/>
      <w:bookmarkStart w:id="69" w:name="_Toc17002420"/>
      <w:bookmarkStart w:id="70" w:name="_Toc123645475"/>
      <w:r>
        <w:rPr>
          <w:rStyle w:val="CharSectno"/>
        </w:rPr>
        <w:t>4</w:t>
      </w:r>
      <w:r>
        <w:t>.</w:t>
      </w:r>
      <w:r>
        <w:tab/>
        <w:t>Objects</w:t>
      </w:r>
      <w:bookmarkEnd w:id="64"/>
      <w:bookmarkEnd w:id="65"/>
      <w:bookmarkEnd w:id="66"/>
      <w:ins w:id="71" w:author="svcMRProcess" w:date="2018-08-26T13:15:00Z">
        <w:r>
          <w:t xml:space="preserve"> of Act</w:t>
        </w:r>
      </w:ins>
      <w:bookmarkEnd w:id="67"/>
    </w:p>
    <w:p>
      <w:pPr>
        <w:pStyle w:val="Subsection"/>
      </w:pPr>
      <w:r>
        <w:tab/>
      </w:r>
      <w:r>
        <w:tab/>
        <w:t xml:space="preserve">The main objects of this Act are — </w:t>
      </w:r>
    </w:p>
    <w:p>
      <w:pPr>
        <w:pStyle w:val="Indenta"/>
      </w:pPr>
      <w:r>
        <w:tab/>
        <w:t>(a)</w:t>
      </w:r>
      <w:r>
        <w:tab/>
        <w:t>to establish the School Curriculum and Standards Authority; and</w:t>
      </w:r>
    </w:p>
    <w:p>
      <w:pPr>
        <w:pStyle w:val="Indenta"/>
      </w:pPr>
      <w:r>
        <w:tab/>
        <w:t>(b)</w:t>
      </w:r>
      <w:r>
        <w:tab/>
        <w:t>to provide for standards of student achievement and for the assessment and certification of student achievement according to those standards; and</w:t>
      </w:r>
    </w:p>
    <w:p>
      <w:pPr>
        <w:pStyle w:val="Indenta"/>
      </w:pPr>
      <w:r>
        <w:tab/>
        <w:t>(c)</w:t>
      </w:r>
      <w:r>
        <w:tab/>
        <w:t>to provide for the development of an outline of curriculum and assessment in schools that, taking account of the needs of students, sets out the knowledge, understanding, skills, values and attitudes that students are expected to acquire and guidelines for the assessment of student achievement; and</w:t>
      </w:r>
    </w:p>
    <w:p>
      <w:pPr>
        <w:pStyle w:val="Indenta"/>
      </w:pPr>
      <w:r>
        <w:tab/>
        <w:t>(d)</w:t>
      </w:r>
      <w:r>
        <w:tab/>
        <w:t>to provide for the development and accreditation of courses for schooling; and</w:t>
      </w:r>
    </w:p>
    <w:p>
      <w:pPr>
        <w:pStyle w:val="Indenta"/>
      </w:pPr>
      <w:r>
        <w:tab/>
        <w:t>(e)</w:t>
      </w:r>
      <w:r>
        <w:tab/>
        <w:t xml:space="preserve">to provide for the maintenance of a database of information relating to — </w:t>
      </w:r>
    </w:p>
    <w:p>
      <w:pPr>
        <w:pStyle w:val="Indenti"/>
      </w:pPr>
      <w:r>
        <w:tab/>
        <w:t>(i)</w:t>
      </w:r>
      <w:r>
        <w:tab/>
        <w:t>the participation by students during their school years in education, training or employment as provided for by the School Education Act; and</w:t>
      </w:r>
    </w:p>
    <w:p>
      <w:pPr>
        <w:pStyle w:val="Indenti"/>
      </w:pPr>
      <w:r>
        <w:tab/>
        <w:t>(ii)</w:t>
      </w:r>
      <w:r>
        <w:tab/>
        <w:t>the achievements of students during those years; and</w:t>
      </w:r>
    </w:p>
    <w:p>
      <w:pPr>
        <w:pStyle w:val="Indenti"/>
      </w:pPr>
      <w:r>
        <w:tab/>
        <w:t>(iii)</w:t>
      </w:r>
      <w:r>
        <w:tab/>
        <w:t>records of assessment in respect of students.</w:t>
      </w:r>
    </w:p>
    <w:p>
      <w:pPr>
        <w:pStyle w:val="Footnotesection"/>
      </w:pPr>
      <w:r>
        <w:tab/>
        <w:t>[Section 4 inserted by No. 37 of 2011 s. 7.]</w:t>
      </w:r>
    </w:p>
    <w:p>
      <w:pPr>
        <w:pStyle w:val="Heading2"/>
      </w:pPr>
      <w:bookmarkStart w:id="72" w:name="_Toc318099188"/>
      <w:bookmarkStart w:id="73" w:name="_Toc318099291"/>
      <w:bookmarkStart w:id="74" w:name="_Toc318099394"/>
      <w:bookmarkStart w:id="75" w:name="_Toc318121362"/>
      <w:bookmarkStart w:id="76" w:name="_Toc318121612"/>
      <w:bookmarkStart w:id="77" w:name="_Toc318122440"/>
      <w:bookmarkStart w:id="78" w:name="_Toc318181616"/>
      <w:bookmarkStart w:id="79" w:name="_Toc318181721"/>
      <w:bookmarkStart w:id="80" w:name="_Toc318201576"/>
      <w:bookmarkStart w:id="81" w:name="_Toc320283209"/>
      <w:bookmarkStart w:id="82" w:name="_Toc320516359"/>
      <w:bookmarkStart w:id="83" w:name="_Toc321898532"/>
      <w:bookmarkStart w:id="84" w:name="_Toc323638281"/>
      <w:bookmarkStart w:id="85" w:name="_Toc323640241"/>
      <w:bookmarkStart w:id="86" w:name="_Toc323713166"/>
      <w:bookmarkStart w:id="87" w:name="_Toc72573517"/>
      <w:bookmarkStart w:id="88" w:name="_Toc120341376"/>
      <w:bookmarkStart w:id="89" w:name="_Toc120355749"/>
      <w:bookmarkStart w:id="90" w:name="_Toc123645476"/>
      <w:bookmarkStart w:id="91" w:name="_Toc123645577"/>
      <w:bookmarkStart w:id="92" w:name="_Toc124139446"/>
      <w:bookmarkStart w:id="93" w:name="_Toc157845825"/>
      <w:bookmarkStart w:id="94" w:name="_Toc161720532"/>
      <w:bookmarkStart w:id="95" w:name="_Toc161722984"/>
      <w:bookmarkStart w:id="96" w:name="_Toc163956952"/>
      <w:bookmarkStart w:id="97" w:name="_Toc163964942"/>
      <w:bookmarkStart w:id="98" w:name="_Toc165698384"/>
      <w:bookmarkStart w:id="99" w:name="_Toc232394760"/>
      <w:bookmarkStart w:id="100" w:name="_Toc268269092"/>
      <w:bookmarkStart w:id="101" w:name="_Toc272057663"/>
      <w:bookmarkStart w:id="102" w:name="_Toc274207108"/>
      <w:bookmarkStart w:id="103" w:name="_Toc278975243"/>
      <w:bookmarkStart w:id="104" w:name="_Toc303861428"/>
      <w:bookmarkStart w:id="105" w:name="_Toc303867307"/>
      <w:bookmarkEnd w:id="68"/>
      <w:bookmarkEnd w:id="69"/>
      <w:bookmarkEnd w:id="70"/>
      <w:r>
        <w:rPr>
          <w:rStyle w:val="CharPartNo"/>
        </w:rPr>
        <w:t>Part 2</w:t>
      </w:r>
      <w:r>
        <w:rPr>
          <w:b w:val="0"/>
        </w:rPr>
        <w:t> </w:t>
      </w:r>
      <w:r>
        <w:t>—</w:t>
      </w:r>
      <w:r>
        <w:rPr>
          <w:b w:val="0"/>
        </w:rPr>
        <w:t> </w:t>
      </w:r>
      <w:r>
        <w:rPr>
          <w:rStyle w:val="CharPartText"/>
        </w:rPr>
        <w:t>The School Curriculum and Standards Authority and committees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Footnoteheading"/>
        <w:spacing w:before="100"/>
      </w:pPr>
      <w:bookmarkStart w:id="106" w:name="_Toc318099189"/>
      <w:bookmarkStart w:id="107" w:name="_Toc318099292"/>
      <w:bookmarkStart w:id="108" w:name="_Toc318099395"/>
      <w:r>
        <w:tab/>
        <w:t>[Heading inserted by No. 37 of 2011 s. 8.]</w:t>
      </w:r>
    </w:p>
    <w:p>
      <w:pPr>
        <w:pStyle w:val="Heading3"/>
      </w:pPr>
      <w:bookmarkStart w:id="109" w:name="_Toc318121363"/>
      <w:bookmarkStart w:id="110" w:name="_Toc318121613"/>
      <w:bookmarkStart w:id="111" w:name="_Toc318122441"/>
      <w:bookmarkStart w:id="112" w:name="_Toc318181617"/>
      <w:bookmarkStart w:id="113" w:name="_Toc318181722"/>
      <w:bookmarkStart w:id="114" w:name="_Toc318201577"/>
      <w:bookmarkStart w:id="115" w:name="_Toc320283210"/>
      <w:bookmarkStart w:id="116" w:name="_Toc320516360"/>
      <w:bookmarkStart w:id="117" w:name="_Toc321898533"/>
      <w:bookmarkStart w:id="118" w:name="_Toc323638282"/>
      <w:bookmarkStart w:id="119" w:name="_Toc323640242"/>
      <w:bookmarkStart w:id="120" w:name="_Toc323713167"/>
      <w:r>
        <w:rPr>
          <w:rStyle w:val="CharDivNo"/>
        </w:rPr>
        <w:t>Division 1</w:t>
      </w:r>
      <w:r>
        <w:t> — </w:t>
      </w:r>
      <w:r>
        <w:rPr>
          <w:rStyle w:val="CharDivText"/>
        </w:rPr>
        <w:t>School Curriculum and Standards Authority</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Footnoteheading"/>
        <w:spacing w:before="100"/>
      </w:pPr>
      <w:r>
        <w:tab/>
        <w:t>[Heading inserted by No. 37 of 2011 s. 8.]</w:t>
      </w:r>
    </w:p>
    <w:p>
      <w:pPr>
        <w:pStyle w:val="Heading5"/>
      </w:pPr>
      <w:bookmarkStart w:id="121" w:name="_Toc318099294"/>
      <w:bookmarkStart w:id="122" w:name="_Toc318099397"/>
      <w:bookmarkStart w:id="123" w:name="_Toc318201578"/>
      <w:bookmarkStart w:id="124" w:name="_Toc323713168"/>
      <w:bookmarkStart w:id="125" w:name="_Toc520109136"/>
      <w:bookmarkStart w:id="126" w:name="_Toc17002421"/>
      <w:bookmarkStart w:id="127" w:name="_Toc123645477"/>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Sectno"/>
        </w:rPr>
        <w:t>5</w:t>
      </w:r>
      <w:r>
        <w:t>.</w:t>
      </w:r>
      <w:r>
        <w:tab/>
      </w:r>
      <w:del w:id="128" w:author="svcMRProcess" w:date="2018-08-26T13:15:00Z">
        <w:r>
          <w:delText xml:space="preserve">School Curriculum and Standards </w:delText>
        </w:r>
      </w:del>
      <w:r>
        <w:t>Authority established</w:t>
      </w:r>
      <w:bookmarkEnd w:id="121"/>
      <w:bookmarkEnd w:id="122"/>
      <w:bookmarkEnd w:id="123"/>
      <w:ins w:id="129" w:author="svcMRProcess" w:date="2018-08-26T13:15:00Z">
        <w:r>
          <w:t>; status etc. of Authority</w:t>
        </w:r>
      </w:ins>
      <w:bookmarkEnd w:id="124"/>
    </w:p>
    <w:p>
      <w:pPr>
        <w:pStyle w:val="Subsection"/>
      </w:pPr>
      <w:r>
        <w:tab/>
        <w:t>(1)</w:t>
      </w:r>
      <w:r>
        <w:tab/>
        <w:t>A body called the School Curriculum and Standards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is an agent of the State and has the status, immunities and privileges of the State.</w:t>
      </w:r>
    </w:p>
    <w:p>
      <w:pPr>
        <w:pStyle w:val="Footnotesection"/>
        <w:spacing w:before="100"/>
        <w:ind w:left="890" w:hanging="890"/>
      </w:pPr>
      <w:bookmarkStart w:id="130" w:name="_Toc318099295"/>
      <w:bookmarkStart w:id="131" w:name="_Toc318099398"/>
      <w:r>
        <w:tab/>
        <w:t>[Section 5 inserted by No. 37 of 2011 s. 9.]</w:t>
      </w:r>
    </w:p>
    <w:p>
      <w:pPr>
        <w:pStyle w:val="Heading5"/>
      </w:pPr>
      <w:bookmarkStart w:id="132" w:name="_Toc318201579"/>
      <w:bookmarkStart w:id="133" w:name="_Toc323713169"/>
      <w:r>
        <w:rPr>
          <w:rStyle w:val="CharSectno"/>
        </w:rPr>
        <w:t>6</w:t>
      </w:r>
      <w:r>
        <w:t>.</w:t>
      </w:r>
      <w:r>
        <w:tab/>
      </w:r>
      <w:del w:id="134" w:author="svcMRProcess" w:date="2018-08-26T13:15:00Z">
        <w:r>
          <w:delText xml:space="preserve">The </w:delText>
        </w:r>
      </w:del>
      <w:r>
        <w:t>Board</w:t>
      </w:r>
      <w:bookmarkEnd w:id="130"/>
      <w:bookmarkEnd w:id="131"/>
      <w:bookmarkEnd w:id="132"/>
      <w:ins w:id="135" w:author="svcMRProcess" w:date="2018-08-26T13:15:00Z">
        <w:r>
          <w:t xml:space="preserve"> of Authority</w:t>
        </w:r>
      </w:ins>
      <w:bookmarkEnd w:id="133"/>
    </w:p>
    <w:p>
      <w:pPr>
        <w:pStyle w:val="Subsection"/>
      </w:pPr>
      <w:r>
        <w:tab/>
        <w:t>(1)</w:t>
      </w:r>
      <w:r>
        <w:tab/>
        <w:t xml:space="preserve">The Authority is to have a governing body (the </w:t>
      </w:r>
      <w:r>
        <w:rPr>
          <w:rStyle w:val="CharDefText"/>
        </w:rPr>
        <w:t>Board</w:t>
      </w:r>
      <w:r>
        <w:t>).</w:t>
      </w:r>
    </w:p>
    <w:p>
      <w:pPr>
        <w:pStyle w:val="Subsection"/>
      </w:pPr>
      <w:r>
        <w:tab/>
        <w:t>(2)</w:t>
      </w:r>
      <w:r>
        <w:tab/>
        <w:t>The Board, in the name of the Authority, is to perform the functions of the Authority under this Act or any other written law.</w:t>
      </w:r>
    </w:p>
    <w:p>
      <w:pPr>
        <w:pStyle w:val="Footnotesection"/>
        <w:spacing w:before="100"/>
        <w:ind w:left="890" w:hanging="890"/>
      </w:pPr>
      <w:bookmarkStart w:id="136" w:name="_Toc318099296"/>
      <w:bookmarkStart w:id="137" w:name="_Toc318099399"/>
      <w:r>
        <w:tab/>
        <w:t>[Section 6 inserted by No. 37 of 2011 s. 9.]</w:t>
      </w:r>
    </w:p>
    <w:p>
      <w:pPr>
        <w:pStyle w:val="Heading5"/>
      </w:pPr>
      <w:bookmarkStart w:id="138" w:name="_Toc318201580"/>
      <w:bookmarkStart w:id="139" w:name="_Toc323713170"/>
      <w:r>
        <w:rPr>
          <w:rStyle w:val="CharSectno"/>
        </w:rPr>
        <w:t>7A</w:t>
      </w:r>
      <w:r>
        <w:t>.</w:t>
      </w:r>
      <w:r>
        <w:tab/>
      </w:r>
      <w:del w:id="140" w:author="svcMRProcess" w:date="2018-08-26T13:15:00Z">
        <w:r>
          <w:delText xml:space="preserve">How </w:delText>
        </w:r>
      </w:del>
      <w:r>
        <w:t>Board</w:t>
      </w:r>
      <w:del w:id="141" w:author="svcMRProcess" w:date="2018-08-26T13:15:00Z">
        <w:r>
          <w:delText xml:space="preserve"> is constituted</w:delText>
        </w:r>
      </w:del>
      <w:bookmarkEnd w:id="138"/>
      <w:ins w:id="142" w:author="svcMRProcess" w:date="2018-08-26T13:15:00Z">
        <w:r>
          <w:t>, members of</w:t>
        </w:r>
      </w:ins>
      <w:bookmarkEnd w:id="136"/>
      <w:bookmarkEnd w:id="137"/>
      <w:bookmarkEnd w:id="139"/>
    </w:p>
    <w:p>
      <w:pPr>
        <w:pStyle w:val="Subsection"/>
      </w:pPr>
      <w:r>
        <w:tab/>
        <w:t>(1)</w:t>
      </w:r>
      <w:r>
        <w:tab/>
        <w:t>The Minister is to appoint 7 people to be the members of the Board.</w:t>
      </w:r>
    </w:p>
    <w:p>
      <w:pPr>
        <w:pStyle w:val="Subsection"/>
      </w:pPr>
      <w:r>
        <w:tab/>
        <w:t>(2)</w:t>
      </w:r>
      <w:r>
        <w:tab/>
        <w:t>A person who is the chief executive officer or a member of staff is not eligible to be appointed as a member of the Board.</w:t>
      </w:r>
    </w:p>
    <w:p>
      <w:pPr>
        <w:pStyle w:val="Subsection"/>
      </w:pPr>
      <w:r>
        <w:tab/>
        <w:t>(3)</w:t>
      </w:r>
      <w:r>
        <w:tab/>
        <w:t>The Minister is to designate one of the members to be the chairperson.</w:t>
      </w:r>
    </w:p>
    <w:p>
      <w:pPr>
        <w:pStyle w:val="Subsection"/>
      </w:pPr>
      <w:r>
        <w:tab/>
        <w:t>(4)</w:t>
      </w:r>
      <w:r>
        <w:tab/>
        <w:t>The Minister is to ensure that the members of the Board have, between them, the knowledge, experience and expertise needed to enable the Authority’s functions under this Act to be performed effectively.</w:t>
      </w:r>
    </w:p>
    <w:p>
      <w:pPr>
        <w:pStyle w:val="Footnotesection"/>
      </w:pPr>
      <w:bookmarkStart w:id="143" w:name="_Toc318099194"/>
      <w:bookmarkStart w:id="144" w:name="_Toc318099297"/>
      <w:bookmarkStart w:id="145" w:name="_Toc318099400"/>
      <w:r>
        <w:tab/>
        <w:t>[Section 7A inserted by No. 37 of 2011 s. 9.]</w:t>
      </w:r>
    </w:p>
    <w:p>
      <w:pPr>
        <w:pStyle w:val="Heading3"/>
      </w:pPr>
      <w:bookmarkStart w:id="146" w:name="_Toc318121367"/>
      <w:bookmarkStart w:id="147" w:name="_Toc318121617"/>
      <w:bookmarkStart w:id="148" w:name="_Toc318122445"/>
      <w:bookmarkStart w:id="149" w:name="_Toc318181621"/>
      <w:bookmarkStart w:id="150" w:name="_Toc318181726"/>
      <w:bookmarkStart w:id="151" w:name="_Toc318201581"/>
      <w:bookmarkStart w:id="152" w:name="_Toc320283214"/>
      <w:bookmarkStart w:id="153" w:name="_Toc320516364"/>
      <w:bookmarkStart w:id="154" w:name="_Toc321898537"/>
      <w:bookmarkStart w:id="155" w:name="_Toc323638286"/>
      <w:bookmarkStart w:id="156" w:name="_Toc323640246"/>
      <w:bookmarkStart w:id="157" w:name="_Toc323713171"/>
      <w:r>
        <w:rPr>
          <w:rStyle w:val="CharDivNo"/>
        </w:rPr>
        <w:t>Division 2</w:t>
      </w:r>
      <w:r>
        <w:t> — </w:t>
      </w:r>
      <w:r>
        <w:rPr>
          <w:rStyle w:val="CharDivText"/>
        </w:rPr>
        <w:t>Committees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Footnoteheading"/>
      </w:pPr>
      <w:bookmarkStart w:id="158" w:name="_Toc318099298"/>
      <w:bookmarkStart w:id="159" w:name="_Toc318099401"/>
      <w:r>
        <w:tab/>
        <w:t>[Heading inserted by No. 37 of 2011 s. 9.]</w:t>
      </w:r>
    </w:p>
    <w:p>
      <w:pPr>
        <w:pStyle w:val="Heading5"/>
      </w:pPr>
      <w:bookmarkStart w:id="160" w:name="_Toc318201582"/>
      <w:bookmarkStart w:id="161" w:name="_Toc323713172"/>
      <w:r>
        <w:rPr>
          <w:rStyle w:val="CharSectno"/>
        </w:rPr>
        <w:t>7B</w:t>
      </w:r>
      <w:r>
        <w:t>.</w:t>
      </w:r>
      <w:r>
        <w:tab/>
        <w:t>Standards Committee</w:t>
      </w:r>
      <w:bookmarkEnd w:id="158"/>
      <w:bookmarkEnd w:id="159"/>
      <w:bookmarkEnd w:id="160"/>
      <w:ins w:id="162" w:author="svcMRProcess" w:date="2018-08-26T13:15:00Z">
        <w:r>
          <w:t xml:space="preserve"> established; members of</w:t>
        </w:r>
      </w:ins>
      <w:bookmarkEnd w:id="161"/>
    </w:p>
    <w:p>
      <w:pPr>
        <w:pStyle w:val="Subsection"/>
      </w:pPr>
      <w:r>
        <w:tab/>
        <w:t>(1)</w:t>
      </w:r>
      <w:r>
        <w:tab/>
        <w:t>A committee called the Standards Committee is established.</w:t>
      </w:r>
    </w:p>
    <w:p>
      <w:pPr>
        <w:pStyle w:val="Subsection"/>
      </w:pPr>
      <w:r>
        <w:tab/>
        <w:t>(2)</w:t>
      </w:r>
      <w:r>
        <w:tab/>
        <w:t xml:space="preserve">The Standards Committee is to consist of — </w:t>
      </w:r>
    </w:p>
    <w:p>
      <w:pPr>
        <w:pStyle w:val="Indenta"/>
      </w:pPr>
      <w:r>
        <w:tab/>
        <w:t>(a)</w:t>
      </w:r>
      <w:r>
        <w:tab/>
        <w:t>one person who is a member of, and appointed by, the Board; and</w:t>
      </w:r>
    </w:p>
    <w:p>
      <w:pPr>
        <w:pStyle w:val="Indenta"/>
      </w:pPr>
      <w:r>
        <w:tab/>
        <w:t>(b)</w:t>
      </w:r>
      <w:r>
        <w:tab/>
        <w:t>4 people appointed by the Board, with the approval of the Minister, who have between them, in the opinion of the Board, qualifications, experience and expertise in the development and measurement of standards of student achievement.</w:t>
      </w:r>
    </w:p>
    <w:p>
      <w:pPr>
        <w:pStyle w:val="Subsection"/>
      </w:pPr>
      <w:r>
        <w:tab/>
        <w:t>(3)</w:t>
      </w:r>
      <w:r>
        <w:tab/>
        <w:t>A person who is the chief executive officer or a member of staff is not eligible to be a member of the Standards Committee.</w:t>
      </w:r>
    </w:p>
    <w:p>
      <w:pPr>
        <w:pStyle w:val="Subsection"/>
      </w:pPr>
      <w:r>
        <w:tab/>
        <w:t>(4)</w:t>
      </w:r>
      <w:r>
        <w:tab/>
        <w:t>The person appointed in accordance with subsection (2)(a) is the chairperson of the Standards Committee.</w:t>
      </w:r>
    </w:p>
    <w:p>
      <w:pPr>
        <w:pStyle w:val="Subsection"/>
      </w:pPr>
      <w:r>
        <w:tab/>
        <w:t>(5)</w:t>
      </w:r>
      <w:r>
        <w:tab/>
        <w:t>A member of the Standards Committee holds office for the term determined by the Board and is eligible for reappointment.</w:t>
      </w:r>
    </w:p>
    <w:p>
      <w:pPr>
        <w:pStyle w:val="Footnotesection"/>
      </w:pPr>
      <w:bookmarkStart w:id="163" w:name="_Toc318099299"/>
      <w:bookmarkStart w:id="164" w:name="_Toc318099402"/>
      <w:r>
        <w:tab/>
        <w:t>[Section 7B inserted by No. 37 of 2011 s. 9.]</w:t>
      </w:r>
    </w:p>
    <w:p>
      <w:pPr>
        <w:pStyle w:val="Heading5"/>
      </w:pPr>
      <w:bookmarkStart w:id="165" w:name="_Toc318201583"/>
      <w:bookmarkStart w:id="166" w:name="_Toc323713173"/>
      <w:r>
        <w:rPr>
          <w:rStyle w:val="CharSectno"/>
        </w:rPr>
        <w:t>7C</w:t>
      </w:r>
      <w:r>
        <w:t>.</w:t>
      </w:r>
      <w:r>
        <w:tab/>
      </w:r>
      <w:del w:id="167" w:author="svcMRProcess" w:date="2018-08-26T13:15:00Z">
        <w:r>
          <w:delText xml:space="preserve">Function and procedures of </w:delText>
        </w:r>
      </w:del>
      <w:r>
        <w:t>Standards Committee</w:t>
      </w:r>
      <w:bookmarkEnd w:id="163"/>
      <w:bookmarkEnd w:id="164"/>
      <w:bookmarkEnd w:id="165"/>
      <w:ins w:id="168" w:author="svcMRProcess" w:date="2018-08-26T13:15:00Z">
        <w:r>
          <w:t>, functions of</w:t>
        </w:r>
      </w:ins>
      <w:bookmarkEnd w:id="166"/>
    </w:p>
    <w:p>
      <w:pPr>
        <w:pStyle w:val="Subsection"/>
      </w:pPr>
      <w:r>
        <w:tab/>
        <w:t>(1)</w:t>
      </w:r>
      <w:r>
        <w:tab/>
        <w:t xml:space="preserve">The function of the Standards Committee is to provide advice to the Board in relation to — </w:t>
      </w:r>
    </w:p>
    <w:p>
      <w:pPr>
        <w:pStyle w:val="Indenta"/>
      </w:pPr>
      <w:r>
        <w:tab/>
        <w:t>(a)</w:t>
      </w:r>
      <w:r>
        <w:tab/>
        <w:t>the functions of the Authority referred to in section 9(1)(j) to (o); and</w:t>
      </w:r>
    </w:p>
    <w:p>
      <w:pPr>
        <w:pStyle w:val="Indenta"/>
      </w:pPr>
      <w:r>
        <w:tab/>
        <w:t>(b)</w:t>
      </w:r>
      <w:r>
        <w:tab/>
        <w:t>any other matter on which the Board requests the Standards Committee to provide advice.</w:t>
      </w:r>
    </w:p>
    <w:p>
      <w:pPr>
        <w:pStyle w:val="Subsection"/>
        <w:spacing w:before="120"/>
      </w:pPr>
      <w:r>
        <w:tab/>
        <w:t>(2)</w:t>
      </w:r>
      <w:r>
        <w:tab/>
        <w:t>To the extent that the procedures of the Standards Committee are not prescribed by the regulations, and subject to any direction given to it by the Board, the Standards Committee may determine its own procedures.</w:t>
      </w:r>
    </w:p>
    <w:p>
      <w:pPr>
        <w:pStyle w:val="Footnotesection"/>
      </w:pPr>
      <w:bookmarkStart w:id="169" w:name="_Toc318099300"/>
      <w:bookmarkStart w:id="170" w:name="_Toc318099403"/>
      <w:r>
        <w:tab/>
        <w:t>[Section 7C inserted by No. 37 of 2011 s. 9.]</w:t>
      </w:r>
    </w:p>
    <w:p>
      <w:pPr>
        <w:pStyle w:val="Heading5"/>
      </w:pPr>
      <w:bookmarkStart w:id="171" w:name="_Toc318201584"/>
      <w:bookmarkStart w:id="172" w:name="_Toc323713174"/>
      <w:r>
        <w:rPr>
          <w:rStyle w:val="CharSectno"/>
        </w:rPr>
        <w:t>7D</w:t>
      </w:r>
      <w:r>
        <w:t>.</w:t>
      </w:r>
      <w:r>
        <w:tab/>
        <w:t>Curriculum and Assessment Committee</w:t>
      </w:r>
      <w:bookmarkEnd w:id="169"/>
      <w:bookmarkEnd w:id="170"/>
      <w:bookmarkEnd w:id="171"/>
      <w:ins w:id="173" w:author="svcMRProcess" w:date="2018-08-26T13:15:00Z">
        <w:r>
          <w:t xml:space="preserve"> established; members of</w:t>
        </w:r>
      </w:ins>
      <w:bookmarkEnd w:id="172"/>
    </w:p>
    <w:p>
      <w:pPr>
        <w:pStyle w:val="Subsection"/>
        <w:spacing w:before="120"/>
      </w:pPr>
      <w:r>
        <w:tab/>
        <w:t>(1)</w:t>
      </w:r>
      <w:r>
        <w:tab/>
        <w:t>A committee called the Curriculum and Assessment Committee is established.</w:t>
      </w:r>
    </w:p>
    <w:p>
      <w:pPr>
        <w:pStyle w:val="Subsection"/>
        <w:spacing w:before="120"/>
      </w:pPr>
      <w:r>
        <w:tab/>
        <w:t>(2)</w:t>
      </w:r>
      <w:r>
        <w:tab/>
        <w:t xml:space="preserve">The Curriculum and Assessment Committee is to consist of — </w:t>
      </w:r>
    </w:p>
    <w:p>
      <w:pPr>
        <w:pStyle w:val="Indenta"/>
      </w:pPr>
      <w:r>
        <w:tab/>
        <w:t>(a)</w:t>
      </w:r>
      <w:r>
        <w:tab/>
        <w:t>one person who is a member of, and appointed by, the Board; and</w:t>
      </w:r>
    </w:p>
    <w:p>
      <w:pPr>
        <w:pStyle w:val="Indenta"/>
      </w:pPr>
      <w:r>
        <w:tab/>
        <w:t>(b)</w:t>
      </w:r>
      <w:r>
        <w:tab/>
        <w:t xml:space="preserve">12 people appointed by the Board, with the approval of the Minister, who have between them, in the opinion of the Board, qualifications, experience and expertise in — </w:t>
      </w:r>
    </w:p>
    <w:p>
      <w:pPr>
        <w:pStyle w:val="Indenti"/>
      </w:pPr>
      <w:r>
        <w:tab/>
        <w:t>(i)</w:t>
      </w:r>
      <w:r>
        <w:tab/>
        <w:t>the development and implementation of courses in government schools or non</w:t>
      </w:r>
      <w:r>
        <w:noBreakHyphen/>
        <w:t>government schools, as defined in the School Education Act; and</w:t>
      </w:r>
    </w:p>
    <w:p>
      <w:pPr>
        <w:pStyle w:val="Indenti"/>
      </w:pPr>
      <w:r>
        <w:tab/>
        <w:t>(ii)</w:t>
      </w:r>
      <w:r>
        <w:tab/>
        <w:t>the options for employment or further study available to students leaving secondary school.</w:t>
      </w:r>
    </w:p>
    <w:p>
      <w:pPr>
        <w:pStyle w:val="Subsection"/>
        <w:spacing w:before="120"/>
      </w:pPr>
      <w:r>
        <w:tab/>
        <w:t>(3)</w:t>
      </w:r>
      <w:r>
        <w:tab/>
        <w:t>A person who is the chief executive officer or a member of staff is not eligible to be a member of the Curriculum and Assessment Committee.</w:t>
      </w:r>
    </w:p>
    <w:p>
      <w:pPr>
        <w:pStyle w:val="Subsection"/>
        <w:spacing w:before="120"/>
      </w:pPr>
      <w:r>
        <w:tab/>
        <w:t>(4)</w:t>
      </w:r>
      <w:r>
        <w:tab/>
        <w:t xml:space="preserve">The person appointed in accordance with subsection (2)(a) is the chairperson of the Curriculum and Assessment Committee. </w:t>
      </w:r>
    </w:p>
    <w:p>
      <w:pPr>
        <w:pStyle w:val="Subsection"/>
        <w:spacing w:before="120"/>
      </w:pPr>
      <w:r>
        <w:tab/>
        <w:t>(5)</w:t>
      </w:r>
      <w:r>
        <w:tab/>
        <w:t>A member of the Curriculum and Assessment Committee holds office for the term determined by the Board and is eligible for reappointment.</w:t>
      </w:r>
    </w:p>
    <w:p>
      <w:pPr>
        <w:pStyle w:val="Footnotesection"/>
      </w:pPr>
      <w:bookmarkStart w:id="174" w:name="_Toc318099301"/>
      <w:bookmarkStart w:id="175" w:name="_Toc318099404"/>
      <w:r>
        <w:tab/>
        <w:t>[Section 7D inserted by No. 37 of 2011 s. 9.]</w:t>
      </w:r>
    </w:p>
    <w:p>
      <w:pPr>
        <w:pStyle w:val="Heading5"/>
      </w:pPr>
      <w:bookmarkStart w:id="176" w:name="_Toc318201585"/>
      <w:bookmarkStart w:id="177" w:name="_Toc323713175"/>
      <w:r>
        <w:rPr>
          <w:rStyle w:val="CharSectno"/>
        </w:rPr>
        <w:t>7E</w:t>
      </w:r>
      <w:r>
        <w:t>.</w:t>
      </w:r>
      <w:r>
        <w:tab/>
      </w:r>
      <w:del w:id="178" w:author="svcMRProcess" w:date="2018-08-26T13:15:00Z">
        <w:r>
          <w:delText xml:space="preserve">Function and procedures of </w:delText>
        </w:r>
      </w:del>
      <w:r>
        <w:t>Curriculum and Assessment Committee</w:t>
      </w:r>
      <w:bookmarkEnd w:id="174"/>
      <w:bookmarkEnd w:id="175"/>
      <w:bookmarkEnd w:id="176"/>
      <w:ins w:id="179" w:author="svcMRProcess" w:date="2018-08-26T13:15:00Z">
        <w:r>
          <w:t>, functions of</w:t>
        </w:r>
      </w:ins>
      <w:bookmarkEnd w:id="177"/>
    </w:p>
    <w:p>
      <w:pPr>
        <w:pStyle w:val="Subsection"/>
      </w:pPr>
      <w:r>
        <w:tab/>
        <w:t>(1)</w:t>
      </w:r>
      <w:r>
        <w:tab/>
        <w:t xml:space="preserve">The function of the Curriculum and Assessment Committee is to provide advice to the Board in relation to — </w:t>
      </w:r>
    </w:p>
    <w:p>
      <w:pPr>
        <w:pStyle w:val="Indenta"/>
      </w:pPr>
      <w:r>
        <w:tab/>
        <w:t>(a)</w:t>
      </w:r>
      <w:r>
        <w:tab/>
        <w:t>the functions of the Authority referred to in section 9(1)(a) to (d) and (f) to (i); and</w:t>
      </w:r>
    </w:p>
    <w:p>
      <w:pPr>
        <w:pStyle w:val="Indenta"/>
      </w:pPr>
      <w:r>
        <w:tab/>
        <w:t>(b)</w:t>
      </w:r>
      <w:r>
        <w:tab/>
        <w:t>any other matter on which the Board requests the Curriculum and Assessment Committee to provide advice.</w:t>
      </w:r>
    </w:p>
    <w:p>
      <w:pPr>
        <w:pStyle w:val="Subsection"/>
      </w:pPr>
      <w:r>
        <w:tab/>
        <w:t>(2)</w:t>
      </w:r>
      <w:r>
        <w:tab/>
        <w:t>To the extent that the procedures of the Curriculum and Assessment Committee are not prescribed by the regulations, and subject to any direction given to it by the Board, the Curriculum and Assessment Committee may determine its own procedures.</w:t>
      </w:r>
    </w:p>
    <w:p>
      <w:pPr>
        <w:pStyle w:val="Footnotesection"/>
      </w:pPr>
      <w:bookmarkStart w:id="180" w:name="_Toc318099302"/>
      <w:bookmarkStart w:id="181" w:name="_Toc318099405"/>
      <w:r>
        <w:tab/>
        <w:t>[Section 7E inserted by No. 37 of 2011 s. 9.]</w:t>
      </w:r>
    </w:p>
    <w:p>
      <w:pPr>
        <w:pStyle w:val="Heading5"/>
      </w:pPr>
      <w:bookmarkStart w:id="182" w:name="_Toc323713176"/>
      <w:bookmarkStart w:id="183" w:name="_Toc318201586"/>
      <w:r>
        <w:rPr>
          <w:rStyle w:val="CharSectno"/>
        </w:rPr>
        <w:t>7F</w:t>
      </w:r>
      <w:r>
        <w:t>.</w:t>
      </w:r>
      <w:r>
        <w:tab/>
        <w:t>Other committees</w:t>
      </w:r>
      <w:bookmarkEnd w:id="180"/>
      <w:bookmarkEnd w:id="181"/>
      <w:bookmarkEnd w:id="182"/>
      <w:bookmarkEnd w:id="183"/>
    </w:p>
    <w:p>
      <w:pPr>
        <w:pStyle w:val="Subsection"/>
      </w:pPr>
      <w:r>
        <w:tab/>
        <w:t>(1)</w:t>
      </w:r>
      <w:r>
        <w:tab/>
        <w:t xml:space="preserve">The Board — </w:t>
      </w:r>
    </w:p>
    <w:p>
      <w:pPr>
        <w:pStyle w:val="Indenta"/>
      </w:pPr>
      <w:r>
        <w:tab/>
        <w:t>(a)</w:t>
      </w:r>
      <w:r>
        <w:tab/>
        <w:t>may appoint committees to assist the Board in relation to the performance of the Authority’s functions; and</w:t>
      </w:r>
    </w:p>
    <w:p>
      <w:pPr>
        <w:pStyle w:val="Indenta"/>
      </w:pPr>
      <w:r>
        <w:tab/>
        <w:t>(b)</w:t>
      </w:r>
      <w:r>
        <w:tab/>
        <w:t>may discharge or alter any committee so appointed.</w:t>
      </w:r>
    </w:p>
    <w:p>
      <w:pPr>
        <w:pStyle w:val="Subsection"/>
      </w:pPr>
      <w:r>
        <w:tab/>
        <w:t>(2)</w:t>
      </w:r>
      <w:r>
        <w:tab/>
        <w:t>A committee appointed under this section may consist of or include people who are not members of the Board.</w:t>
      </w:r>
    </w:p>
    <w:p>
      <w:pPr>
        <w:pStyle w:val="Subsection"/>
      </w:pPr>
      <w:r>
        <w:tab/>
        <w:t>(3)</w:t>
      </w:r>
      <w:r>
        <w:tab/>
        <w:t>The chief executive officer is not eligible to be a member of a committee appointed under this section.</w:t>
      </w:r>
    </w:p>
    <w:p>
      <w:pPr>
        <w:pStyle w:val="Subsection"/>
      </w:pPr>
      <w:r>
        <w:tab/>
        <w:t>(4)</w:t>
      </w:r>
      <w:r>
        <w:tab/>
        <w:t>Subject to any direction given to it by the Board, a committee appointed under this section may determine its own procedures.</w:t>
      </w:r>
    </w:p>
    <w:p>
      <w:pPr>
        <w:pStyle w:val="Footnotesection"/>
      </w:pPr>
      <w:bookmarkStart w:id="184" w:name="_Toc318099303"/>
      <w:bookmarkStart w:id="185" w:name="_Toc318099406"/>
      <w:r>
        <w:tab/>
        <w:t>[Section 7F inserted by No. 37 of 2011 s. 9.]</w:t>
      </w:r>
    </w:p>
    <w:p>
      <w:pPr>
        <w:pStyle w:val="Heading5"/>
      </w:pPr>
      <w:bookmarkStart w:id="186" w:name="_Toc323713177"/>
      <w:bookmarkStart w:id="187" w:name="_Toc318201587"/>
      <w:r>
        <w:rPr>
          <w:rStyle w:val="CharSectno"/>
        </w:rPr>
        <w:t>7G</w:t>
      </w:r>
      <w:r>
        <w:t>.</w:t>
      </w:r>
      <w:r>
        <w:tab/>
        <w:t>Support services for committees</w:t>
      </w:r>
      <w:bookmarkEnd w:id="184"/>
      <w:bookmarkEnd w:id="185"/>
      <w:bookmarkEnd w:id="186"/>
      <w:bookmarkEnd w:id="187"/>
    </w:p>
    <w:p>
      <w:pPr>
        <w:pStyle w:val="Subsection"/>
        <w:keepNext/>
        <w:keepLines/>
      </w:pPr>
      <w:r>
        <w:tab/>
      </w:r>
      <w:r>
        <w:tab/>
        <w:t>The Authority is to provide a committee with any clerical or other support services that the Authority determines are appropriate.</w:t>
      </w:r>
    </w:p>
    <w:p>
      <w:pPr>
        <w:pStyle w:val="Footnotesection"/>
        <w:keepNext/>
      </w:pPr>
      <w:r>
        <w:tab/>
        <w:t>[Section 7G inserted by No. 37 of 2011 s. 9.]</w:t>
      </w:r>
    </w:p>
    <w:p>
      <w:pPr>
        <w:pStyle w:val="Heading3"/>
      </w:pPr>
      <w:bookmarkStart w:id="188" w:name="_Toc318099202"/>
      <w:bookmarkStart w:id="189" w:name="_Toc318099305"/>
      <w:bookmarkStart w:id="190" w:name="_Toc318099408"/>
      <w:bookmarkStart w:id="191" w:name="_Toc318121374"/>
      <w:bookmarkStart w:id="192" w:name="_Toc318121624"/>
      <w:bookmarkStart w:id="193" w:name="_Toc318122452"/>
      <w:bookmarkStart w:id="194" w:name="_Toc318181628"/>
      <w:bookmarkStart w:id="195" w:name="_Toc318181733"/>
      <w:bookmarkStart w:id="196" w:name="_Toc318201588"/>
      <w:bookmarkStart w:id="197" w:name="_Toc320283221"/>
      <w:bookmarkStart w:id="198" w:name="_Toc320516371"/>
      <w:bookmarkStart w:id="199" w:name="_Toc321898544"/>
      <w:bookmarkStart w:id="200" w:name="_Toc323638293"/>
      <w:bookmarkStart w:id="201" w:name="_Toc323640253"/>
      <w:bookmarkStart w:id="202" w:name="_Toc323713178"/>
      <w:bookmarkStart w:id="203" w:name="_Toc520109138"/>
      <w:bookmarkStart w:id="204" w:name="_Toc17002423"/>
      <w:bookmarkStart w:id="205" w:name="_Toc123645479"/>
      <w:bookmarkEnd w:id="125"/>
      <w:bookmarkEnd w:id="126"/>
      <w:bookmarkEnd w:id="127"/>
      <w:r>
        <w:rPr>
          <w:rStyle w:val="CharDivNo"/>
        </w:rPr>
        <w:t>Division 3</w:t>
      </w:r>
      <w:r>
        <w:t> — </w:t>
      </w:r>
      <w:r>
        <w:rPr>
          <w:rStyle w:val="CharDivText"/>
        </w:rPr>
        <w:t>General</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Footnoteheading"/>
      </w:pPr>
      <w:r>
        <w:tab/>
        <w:t>[Heading inserted by No. 37 of 2011 s. 10.]</w:t>
      </w:r>
    </w:p>
    <w:p>
      <w:pPr>
        <w:pStyle w:val="Heading5"/>
        <w:rPr>
          <w:del w:id="206" w:author="svcMRProcess" w:date="2018-08-26T13:15:00Z"/>
          <w:snapToGrid w:val="0"/>
        </w:rPr>
      </w:pPr>
      <w:bookmarkStart w:id="207" w:name="_Toc318201589"/>
      <w:bookmarkStart w:id="208" w:name="_Toc323713179"/>
      <w:del w:id="209" w:author="svcMRProcess" w:date="2018-08-26T13:15:00Z">
        <w:r>
          <w:rPr>
            <w:rStyle w:val="CharSectno"/>
          </w:rPr>
          <w:delText>7</w:delText>
        </w:r>
        <w:r>
          <w:rPr>
            <w:snapToGrid w:val="0"/>
          </w:rPr>
          <w:delText>.</w:delText>
        </w:r>
        <w:r>
          <w:rPr>
            <w:snapToGrid w:val="0"/>
          </w:rPr>
          <w:tab/>
          <w:delText>Constitution, proceedings etc.</w:delText>
        </w:r>
        <w:bookmarkEnd w:id="207"/>
        <w:r>
          <w:rPr>
            <w:snapToGrid w:val="0"/>
          </w:rPr>
          <w:delText xml:space="preserve"> </w:delText>
        </w:r>
      </w:del>
    </w:p>
    <w:p>
      <w:pPr>
        <w:pStyle w:val="Heading5"/>
        <w:rPr>
          <w:ins w:id="210" w:author="svcMRProcess" w:date="2018-08-26T13:15:00Z"/>
          <w:snapToGrid w:val="0"/>
        </w:rPr>
      </w:pPr>
      <w:ins w:id="211" w:author="svcMRProcess" w:date="2018-08-26T13:15:00Z">
        <w:r>
          <w:rPr>
            <w:rStyle w:val="CharSectno"/>
          </w:rPr>
          <w:t>7</w:t>
        </w:r>
        <w:r>
          <w:rPr>
            <w:snapToGrid w:val="0"/>
          </w:rPr>
          <w:t>.</w:t>
        </w:r>
        <w:r>
          <w:rPr>
            <w:snapToGrid w:val="0"/>
          </w:rPr>
          <w:tab/>
        </w:r>
        <w:bookmarkEnd w:id="203"/>
        <w:bookmarkEnd w:id="204"/>
        <w:bookmarkEnd w:id="205"/>
        <w:r>
          <w:rPr>
            <w:snapToGrid w:val="0"/>
          </w:rPr>
          <w:t>Provisions about Board (Sch. 1)</w:t>
        </w:r>
        <w:bookmarkEnd w:id="208"/>
      </w:ins>
    </w:p>
    <w:p>
      <w:pPr>
        <w:pStyle w:val="Subsection"/>
        <w:rPr>
          <w:snapToGrid w:val="0"/>
        </w:rPr>
      </w:pPr>
      <w:r>
        <w:rPr>
          <w:snapToGrid w:val="0"/>
        </w:rPr>
        <w:tab/>
      </w:r>
      <w:r>
        <w:rPr>
          <w:snapToGrid w:val="0"/>
        </w:rPr>
        <w:tab/>
        <w:t xml:space="preserve">Schedule 1 has effect with respect to the </w:t>
      </w:r>
      <w:r>
        <w:t>Board</w:t>
      </w:r>
      <w:r>
        <w:rPr>
          <w:snapToGrid w:val="0"/>
        </w:rPr>
        <w:t xml:space="preserve"> and its members.</w:t>
      </w:r>
    </w:p>
    <w:p>
      <w:pPr>
        <w:pStyle w:val="Footnotesection"/>
      </w:pPr>
      <w:bookmarkStart w:id="212" w:name="_Toc520109139"/>
      <w:bookmarkStart w:id="213" w:name="_Toc17002424"/>
      <w:bookmarkStart w:id="214" w:name="_Toc123645480"/>
      <w:r>
        <w:tab/>
        <w:t>[Section 7 amended by No. 37 of 2011 s. 11.]</w:t>
      </w:r>
    </w:p>
    <w:p>
      <w:pPr>
        <w:pStyle w:val="Heading5"/>
      </w:pPr>
      <w:bookmarkStart w:id="215" w:name="_Toc318099308"/>
      <w:bookmarkStart w:id="216" w:name="_Toc318099411"/>
      <w:bookmarkStart w:id="217" w:name="_Toc323713180"/>
      <w:bookmarkStart w:id="218" w:name="_Toc318201590"/>
      <w:r>
        <w:rPr>
          <w:rStyle w:val="CharSectno"/>
        </w:rPr>
        <w:t>8A</w:t>
      </w:r>
      <w:r>
        <w:t>.</w:t>
      </w:r>
      <w:r>
        <w:tab/>
      </w:r>
      <w:del w:id="219" w:author="svcMRProcess" w:date="2018-08-26T13:15:00Z">
        <w:r>
          <w:delText>Chief executive officer</w:delText>
        </w:r>
      </w:del>
      <w:ins w:id="220" w:author="svcMRProcess" w:date="2018-08-26T13:15:00Z">
        <w:r>
          <w:t>CEO</w:t>
        </w:r>
      </w:ins>
      <w:r>
        <w:t xml:space="preserve"> or representative may attend meetings of Board and committees</w:t>
      </w:r>
      <w:bookmarkEnd w:id="215"/>
      <w:bookmarkEnd w:id="216"/>
      <w:bookmarkEnd w:id="217"/>
      <w:bookmarkEnd w:id="218"/>
    </w:p>
    <w:p>
      <w:pPr>
        <w:pStyle w:val="Subsection"/>
      </w:pPr>
      <w:r>
        <w:tab/>
        <w:t>(1)</w:t>
      </w:r>
      <w:r>
        <w:tab/>
        <w:t xml:space="preserve">Unless the Board or committee, as the case requires — </w:t>
      </w:r>
    </w:p>
    <w:p>
      <w:pPr>
        <w:pStyle w:val="Indenta"/>
      </w:pPr>
      <w:r>
        <w:tab/>
        <w:t>(a)</w:t>
      </w:r>
      <w:r>
        <w:tab/>
        <w:t>determines otherwise in respect of a particular meeting; and</w:t>
      </w:r>
    </w:p>
    <w:p>
      <w:pPr>
        <w:pStyle w:val="Indenta"/>
      </w:pPr>
      <w:r>
        <w:tab/>
        <w:t>(b)</w:t>
      </w:r>
      <w:r>
        <w:tab/>
        <w:t>informs the chief executive officer or member of staff of the determination before the meeting is held,</w:t>
      </w:r>
    </w:p>
    <w:p>
      <w:pPr>
        <w:pStyle w:val="Subsection"/>
      </w:pPr>
      <w:r>
        <w:tab/>
      </w:r>
      <w:r>
        <w:tab/>
        <w:t>the chief executive officer, or a member of staff representing the chief executive officer, may attend any meeting of the Board or a committee and, subject to subsection (2), may take part in the consideration and discussion of any matter before a meeting, but cannot vote on any matter.</w:t>
      </w:r>
    </w:p>
    <w:p>
      <w:pPr>
        <w:pStyle w:val="Subsection"/>
      </w:pPr>
      <w:r>
        <w:tab/>
        <w:t>(2)</w:t>
      </w:r>
      <w:r>
        <w:tab/>
        <w:t>If so requested by the Board or a committee in relation to a particular matter, the chief executive officer, or a member of staff representing the chief executive officer, is not to attend a meeting while the matter is before the meeting.</w:t>
      </w:r>
    </w:p>
    <w:p>
      <w:pPr>
        <w:pStyle w:val="Footnotesection"/>
      </w:pPr>
      <w:r>
        <w:tab/>
        <w:t>[Section 8A inserted by No. 37 of 2011 s. 12.]</w:t>
      </w:r>
    </w:p>
    <w:p>
      <w:pPr>
        <w:pStyle w:val="Heading5"/>
        <w:rPr>
          <w:snapToGrid w:val="0"/>
        </w:rPr>
      </w:pPr>
      <w:bookmarkStart w:id="221" w:name="_Toc318201591"/>
      <w:bookmarkStart w:id="222" w:name="_Toc323713181"/>
      <w:r>
        <w:rPr>
          <w:rStyle w:val="CharSectno"/>
        </w:rPr>
        <w:t>8</w:t>
      </w:r>
      <w:r>
        <w:rPr>
          <w:snapToGrid w:val="0"/>
        </w:rPr>
        <w:t>.</w:t>
      </w:r>
      <w:r>
        <w:rPr>
          <w:snapToGrid w:val="0"/>
        </w:rPr>
        <w:tab/>
      </w:r>
      <w:del w:id="223" w:author="svcMRProcess" w:date="2018-08-26T13:15:00Z">
        <w:r>
          <w:rPr>
            <w:snapToGrid w:val="0"/>
          </w:rPr>
          <w:delText>Remuneration</w:delText>
        </w:r>
      </w:del>
      <w:ins w:id="224" w:author="svcMRProcess" w:date="2018-08-26T13:15:00Z">
        <w:r>
          <w:rPr>
            <w:snapToGrid w:val="0"/>
          </w:rPr>
          <w:t>Members</w:t>
        </w:r>
      </w:ins>
      <w:bookmarkEnd w:id="212"/>
      <w:bookmarkEnd w:id="213"/>
      <w:bookmarkEnd w:id="214"/>
      <w:r>
        <w:rPr>
          <w:snapToGrid w:val="0"/>
        </w:rPr>
        <w:t xml:space="preserve"> of </w:t>
      </w:r>
      <w:del w:id="225" w:author="svcMRProcess" w:date="2018-08-26T13:15:00Z">
        <w:r>
          <w:rPr>
            <w:snapToGrid w:val="0"/>
          </w:rPr>
          <w:delText>members</w:delText>
        </w:r>
        <w:bookmarkEnd w:id="221"/>
        <w:r>
          <w:rPr>
            <w:snapToGrid w:val="0"/>
          </w:rPr>
          <w:delText xml:space="preserve"> </w:delText>
        </w:r>
      </w:del>
      <w:ins w:id="226" w:author="svcMRProcess" w:date="2018-08-26T13:15:00Z">
        <w:r>
          <w:rPr>
            <w:snapToGrid w:val="0"/>
          </w:rPr>
          <w:t>Board and committees, remuneration of</w:t>
        </w:r>
      </w:ins>
      <w:bookmarkEnd w:id="222"/>
    </w:p>
    <w:p>
      <w:pPr>
        <w:pStyle w:val="Subsection"/>
        <w:rPr>
          <w:snapToGrid w:val="0"/>
        </w:rPr>
      </w:pPr>
      <w:r>
        <w:rPr>
          <w:snapToGrid w:val="0"/>
        </w:rPr>
        <w:tab/>
      </w:r>
      <w:r>
        <w:rPr>
          <w:snapToGrid w:val="0"/>
        </w:rPr>
        <w:tab/>
        <w:t xml:space="preserve">A member of the </w:t>
      </w:r>
      <w:r>
        <w:t>Board or a committee</w:t>
      </w:r>
      <w:r>
        <w:rPr>
          <w:snapToGrid w:val="0"/>
        </w:rPr>
        <w:t xml:space="preserve"> is to be paid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8 amended by No. 39 of 2010 s. 89; No. 37 of 2011 s. 13.]</w:t>
      </w:r>
    </w:p>
    <w:p>
      <w:pPr>
        <w:pStyle w:val="Heading2"/>
      </w:pPr>
      <w:bookmarkStart w:id="227" w:name="_Toc72573522"/>
      <w:bookmarkStart w:id="228" w:name="_Toc120341381"/>
      <w:bookmarkStart w:id="229" w:name="_Toc120355754"/>
      <w:bookmarkStart w:id="230" w:name="_Toc123645481"/>
      <w:bookmarkStart w:id="231" w:name="_Toc123645582"/>
      <w:bookmarkStart w:id="232" w:name="_Toc124139451"/>
      <w:bookmarkStart w:id="233" w:name="_Toc157845830"/>
      <w:bookmarkStart w:id="234" w:name="_Toc161720537"/>
      <w:bookmarkStart w:id="235" w:name="_Toc161722989"/>
      <w:bookmarkStart w:id="236" w:name="_Toc163956957"/>
      <w:bookmarkStart w:id="237" w:name="_Toc163964947"/>
      <w:bookmarkStart w:id="238" w:name="_Toc165698389"/>
      <w:bookmarkStart w:id="239" w:name="_Toc232394765"/>
      <w:bookmarkStart w:id="240" w:name="_Toc268269097"/>
      <w:bookmarkStart w:id="241" w:name="_Toc272057668"/>
      <w:bookmarkStart w:id="242" w:name="_Toc274207113"/>
      <w:bookmarkStart w:id="243" w:name="_Toc278975248"/>
      <w:bookmarkStart w:id="244" w:name="_Toc303861433"/>
      <w:bookmarkStart w:id="245" w:name="_Toc303867312"/>
      <w:bookmarkStart w:id="246" w:name="_Toc318121378"/>
      <w:bookmarkStart w:id="247" w:name="_Toc318121628"/>
      <w:bookmarkStart w:id="248" w:name="_Toc318122456"/>
      <w:bookmarkStart w:id="249" w:name="_Toc318181632"/>
      <w:bookmarkStart w:id="250" w:name="_Toc318181737"/>
      <w:bookmarkStart w:id="251" w:name="_Toc318201592"/>
      <w:bookmarkStart w:id="252" w:name="_Toc320283225"/>
      <w:bookmarkStart w:id="253" w:name="_Toc320516375"/>
      <w:bookmarkStart w:id="254" w:name="_Toc321898548"/>
      <w:bookmarkStart w:id="255" w:name="_Toc323638297"/>
      <w:bookmarkStart w:id="256" w:name="_Toc323640257"/>
      <w:bookmarkStart w:id="257" w:name="_Toc323713182"/>
      <w:r>
        <w:rPr>
          <w:rStyle w:val="CharPartNo"/>
        </w:rPr>
        <w:t>Part 3</w:t>
      </w:r>
      <w:r>
        <w:rPr>
          <w:rStyle w:val="CharDivNo"/>
        </w:rPr>
        <w:t> </w:t>
      </w:r>
      <w:r>
        <w:t>—</w:t>
      </w:r>
      <w:r>
        <w:rPr>
          <w:rStyle w:val="CharDivText"/>
        </w:rPr>
        <w:t> </w:t>
      </w:r>
      <w:r>
        <w:rPr>
          <w:rStyle w:val="CharPartText"/>
        </w:rPr>
        <w:t>Functions and powers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PartText"/>
        </w:rPr>
        <w:t xml:space="preserve"> </w:t>
      </w:r>
    </w:p>
    <w:p>
      <w:pPr>
        <w:pStyle w:val="Heading5"/>
      </w:pPr>
      <w:bookmarkStart w:id="258" w:name="_Toc318099311"/>
      <w:bookmarkStart w:id="259" w:name="_Toc318099414"/>
      <w:bookmarkStart w:id="260" w:name="_Toc323713183"/>
      <w:bookmarkStart w:id="261" w:name="_Toc318201593"/>
      <w:bookmarkStart w:id="262" w:name="_Toc520109140"/>
      <w:bookmarkStart w:id="263" w:name="_Toc17002425"/>
      <w:bookmarkStart w:id="264" w:name="_Toc123645482"/>
      <w:r>
        <w:rPr>
          <w:rStyle w:val="CharSectno"/>
        </w:rPr>
        <w:t>9</w:t>
      </w:r>
      <w:r>
        <w:t>.</w:t>
      </w:r>
      <w:r>
        <w:tab/>
        <w:t>Functions of Authority</w:t>
      </w:r>
      <w:bookmarkEnd w:id="258"/>
      <w:bookmarkEnd w:id="259"/>
      <w:bookmarkEnd w:id="260"/>
      <w:bookmarkEnd w:id="261"/>
    </w:p>
    <w:p>
      <w:pPr>
        <w:pStyle w:val="Subsection"/>
      </w:pPr>
      <w:r>
        <w:tab/>
        <w:t>(1)</w:t>
      </w:r>
      <w:r>
        <w:tab/>
        <w:t xml:space="preserve">The functions of the Authority are — </w:t>
      </w:r>
    </w:p>
    <w:p>
      <w:pPr>
        <w:pStyle w:val="Indenta"/>
      </w:pPr>
      <w:r>
        <w:tab/>
        <w:t>(a)</w:t>
      </w:r>
      <w:r>
        <w:tab/>
        <w:t>to establish an outline of curriculum and assessment in schools; and</w:t>
      </w:r>
    </w:p>
    <w:p>
      <w:pPr>
        <w:pStyle w:val="Indenta"/>
      </w:pPr>
      <w:r>
        <w:tab/>
        <w:t>(b)</w:t>
      </w:r>
      <w:r>
        <w:tab/>
        <w:t>to issue guidelines for the development of courses and the assessment of student achievement in those courses; and</w:t>
      </w:r>
    </w:p>
    <w:p>
      <w:pPr>
        <w:pStyle w:val="Indenta"/>
      </w:pPr>
      <w:r>
        <w:tab/>
        <w:t>(c)</w:t>
      </w:r>
      <w:r>
        <w:tab/>
        <w:t>to develop courses, or to cause courses to be developed, in accordance with the guidelines issued under paragraph (b); and</w:t>
      </w:r>
    </w:p>
    <w:p>
      <w:pPr>
        <w:pStyle w:val="Indenta"/>
      </w:pPr>
      <w:r>
        <w:tab/>
        <w:t>(d)</w:t>
      </w:r>
      <w:r>
        <w:tab/>
        <w:t>to evaluate and, where appropriate, accredit courses developed by the Authority or other persons in accordance with the guidelines issued under paragraph (b); and</w:t>
      </w:r>
    </w:p>
    <w:p>
      <w:pPr>
        <w:pStyle w:val="Indenta"/>
      </w:pPr>
      <w:r>
        <w:tab/>
        <w:t>(e)</w:t>
      </w:r>
      <w:r>
        <w:tab/>
        <w:t xml:space="preserve">to recognise either wholly or in part or with modification — </w:t>
      </w:r>
    </w:p>
    <w:p>
      <w:pPr>
        <w:pStyle w:val="Indenti"/>
      </w:pPr>
      <w:r>
        <w:tab/>
        <w:t>(i)</w:t>
      </w:r>
      <w:r>
        <w:tab/>
        <w:t>courses; and</w:t>
      </w:r>
    </w:p>
    <w:p>
      <w:pPr>
        <w:pStyle w:val="Indenti"/>
      </w:pPr>
      <w:r>
        <w:tab/>
        <w:t>(ii)</w:t>
      </w:r>
      <w:r>
        <w:tab/>
        <w:t>the assessment of student achievement; and</w:t>
      </w:r>
    </w:p>
    <w:p>
      <w:pPr>
        <w:pStyle w:val="Indenti"/>
      </w:pPr>
      <w:r>
        <w:tab/>
        <w:t>(iii)</w:t>
      </w:r>
      <w:r>
        <w:tab/>
        <w:t>the standards of student achievement that apply to that assessment,</w:t>
      </w:r>
    </w:p>
    <w:p>
      <w:pPr>
        <w:pStyle w:val="Indenta"/>
      </w:pPr>
      <w:r>
        <w:tab/>
      </w:r>
      <w:r>
        <w:tab/>
        <w:t xml:space="preserve">that are — </w:t>
      </w:r>
    </w:p>
    <w:p>
      <w:pPr>
        <w:pStyle w:val="Indenti"/>
      </w:pPr>
      <w:r>
        <w:tab/>
        <w:t>(iv)</w:t>
      </w:r>
      <w:r>
        <w:tab/>
        <w:t>the subject of agreements or arrangements made between the State and the Commonwealth (whether or not those agreements or arrangements involve another State or a Territory); or</w:t>
      </w:r>
    </w:p>
    <w:p>
      <w:pPr>
        <w:pStyle w:val="Indenti"/>
      </w:pPr>
      <w:r>
        <w:tab/>
        <w:t>(v)</w:t>
      </w:r>
      <w:r>
        <w:tab/>
        <w:t>otherwise considered appropriate by the Authority;</w:t>
      </w:r>
    </w:p>
    <w:p>
      <w:pPr>
        <w:pStyle w:val="Indenta"/>
      </w:pPr>
      <w:r>
        <w:tab/>
      </w:r>
      <w:r>
        <w:tab/>
        <w:t>and</w:t>
      </w:r>
    </w:p>
    <w:p>
      <w:pPr>
        <w:pStyle w:val="Indenta"/>
        <w:keepNext/>
      </w:pPr>
      <w:r>
        <w:tab/>
        <w:t>(f)</w:t>
      </w:r>
      <w:r>
        <w:tab/>
        <w:t xml:space="preserve">to determine courses — </w:t>
      </w:r>
    </w:p>
    <w:p>
      <w:pPr>
        <w:pStyle w:val="Indenti"/>
      </w:pPr>
      <w:r>
        <w:tab/>
        <w:t>(i)</w:t>
      </w:r>
      <w:r>
        <w:tab/>
        <w:t>recognised or accredited by the Authority; or</w:t>
      </w:r>
    </w:p>
    <w:p>
      <w:pPr>
        <w:pStyle w:val="Indenti"/>
      </w:pPr>
      <w:r>
        <w:tab/>
        <w:t>(ii)</w:t>
      </w:r>
      <w:r>
        <w:tab/>
        <w:t>otherwise considered by the Authority to be appropriate for the purposes of this paragraph,</w:t>
      </w:r>
    </w:p>
    <w:p>
      <w:pPr>
        <w:pStyle w:val="Indenta"/>
      </w:pPr>
      <w:r>
        <w:tab/>
      </w:r>
      <w:r>
        <w:tab/>
        <w:t>in which students may be assessed, or caused to be assessed, by the Authority, whether for the purposes of certification or otherwise; and</w:t>
      </w:r>
    </w:p>
    <w:p>
      <w:pPr>
        <w:pStyle w:val="Indenta"/>
      </w:pPr>
      <w:r>
        <w:tab/>
        <w:t>(g)</w:t>
      </w:r>
      <w:r>
        <w:tab/>
        <w:t>to establish the minimum requirements for graduation from secondary school and for the issue of a certificate of student achievement; and</w:t>
      </w:r>
    </w:p>
    <w:p>
      <w:pPr>
        <w:pStyle w:val="Indenta"/>
      </w:pPr>
      <w:r>
        <w:tab/>
        <w:t>(h)</w:t>
      </w:r>
      <w:r>
        <w:tab/>
        <w:t xml:space="preserve">for the purposes of graduation from secondary school and the issue of a certificate of student achievement, to maintain a register of student achievements in courses and activities that are considered by the Authority to be relevant to those purposes and are — </w:t>
      </w:r>
    </w:p>
    <w:p>
      <w:pPr>
        <w:pStyle w:val="Indenti"/>
      </w:pPr>
      <w:r>
        <w:tab/>
        <w:t>(i)</w:t>
      </w:r>
      <w:r>
        <w:tab/>
        <w:t>recognised or accredited by the Authority or by bodies other than the Authority; or</w:t>
      </w:r>
    </w:p>
    <w:p>
      <w:pPr>
        <w:pStyle w:val="Indenti"/>
      </w:pPr>
      <w:r>
        <w:tab/>
        <w:t>(ii)</w:t>
      </w:r>
      <w:r>
        <w:tab/>
        <w:t>otherwise considered by the Authority to be appropriate for those purposes;</w:t>
      </w:r>
    </w:p>
    <w:p>
      <w:pPr>
        <w:pStyle w:val="Indenta"/>
      </w:pPr>
      <w:r>
        <w:tab/>
      </w:r>
      <w:r>
        <w:tab/>
        <w:t>and</w:t>
      </w:r>
    </w:p>
    <w:p>
      <w:pPr>
        <w:pStyle w:val="Indenta"/>
      </w:pPr>
      <w:r>
        <w:tab/>
        <w:t>(i)</w:t>
      </w:r>
      <w:r>
        <w:tab/>
        <w:t>to evaluate and if appropriate recognise, for the purposes of certification or otherwise, the achievement of students, whether that achievement is attained in the State or elsewhere; and</w:t>
      </w:r>
    </w:p>
    <w:p>
      <w:pPr>
        <w:pStyle w:val="Indenta"/>
      </w:pPr>
      <w:r>
        <w:tab/>
        <w:t>(j)</w:t>
      </w:r>
      <w:r>
        <w:tab/>
        <w:t>to establish the standards of student achievement and other requirements that apply to the assessment of student achievement made, or caused to be made, by the Authority; and</w:t>
      </w:r>
    </w:p>
    <w:p>
      <w:pPr>
        <w:pStyle w:val="Indenta"/>
      </w:pPr>
      <w:r>
        <w:tab/>
        <w:t>(k)</w:t>
      </w:r>
      <w:r>
        <w:tab/>
        <w:t>to determine the eligibility of students and other people in relation to assessments made, or caused to be made, by the Authority; and</w:t>
      </w:r>
    </w:p>
    <w:p>
      <w:pPr>
        <w:pStyle w:val="Indenta"/>
      </w:pPr>
      <w:r>
        <w:tab/>
        <w:t>(l)</w:t>
      </w:r>
      <w:r>
        <w:tab/>
        <w:t>to assess student achievement, or cause student achievement to be assessed, at the times determined by the Authority; and</w:t>
      </w:r>
    </w:p>
    <w:p>
      <w:pPr>
        <w:pStyle w:val="Indenta"/>
      </w:pPr>
      <w:r>
        <w:tab/>
        <w:t>(m)</w:t>
      </w:r>
      <w:r>
        <w:tab/>
        <w:t>to provide, at the times and in the manner determined by the Authority, the results of, and reports on, the assessment of student achievement made, caused to be made or recognised by the Authority to governing bodies, principals of schools, students and parents of students; and</w:t>
      </w:r>
    </w:p>
    <w:p>
      <w:pPr>
        <w:pStyle w:val="Indenta"/>
      </w:pPr>
      <w:r>
        <w:tab/>
        <w:t>(n)</w:t>
      </w:r>
      <w:r>
        <w:tab/>
        <w:t>to the extent determined by the Authority, to provide for the comparability of assessments of student achievement in the compulsory education period that are made, caused to be made or recognised by the Authority; and</w:t>
      </w:r>
    </w:p>
    <w:p>
      <w:pPr>
        <w:pStyle w:val="Indenta"/>
      </w:pPr>
      <w:r>
        <w:tab/>
        <w:t>(o)</w:t>
      </w:r>
      <w:r>
        <w:tab/>
        <w:t>to consult with universities, and persons and bodies having functions relating to vocational education and training, with respect to standards of student achievement and other requirements and procedures for admission to university and vocational education and training, and to review from time to time the effects of those standards, requirements and procedures; and</w:t>
      </w:r>
    </w:p>
    <w:p>
      <w:pPr>
        <w:pStyle w:val="Indenta"/>
      </w:pPr>
      <w:r>
        <w:tab/>
        <w:t>(p)</w:t>
      </w:r>
      <w:r>
        <w:tab/>
        <w:t>to provide information to universities, and persons and bodies having functions relating to vocational education and training, on the achievement of students seeking admission to university or to vocational education and training; and</w:t>
      </w:r>
    </w:p>
    <w:p>
      <w:pPr>
        <w:pStyle w:val="Indenta"/>
      </w:pPr>
      <w:r>
        <w:tab/>
        <w:t>(q)</w:t>
      </w:r>
      <w:r>
        <w:tab/>
        <w:t>to establish, determine the criteria for, and administer exhibitions and awards to be granted in recognition of student achievement.</w:t>
      </w:r>
    </w:p>
    <w:p>
      <w:pPr>
        <w:pStyle w:val="Subsection"/>
      </w:pPr>
      <w:r>
        <w:tab/>
        <w:t>(2)</w:t>
      </w:r>
      <w:r>
        <w:tab/>
        <w:t>The Authority has any other function given to it under this Act or another written law.</w:t>
      </w:r>
    </w:p>
    <w:p>
      <w:pPr>
        <w:pStyle w:val="Subsection"/>
      </w:pPr>
      <w:r>
        <w:tab/>
        <w:t>(3)</w:t>
      </w:r>
      <w:r>
        <w:tab/>
        <w:t xml:space="preserve">The Authority is to ensure that — </w:t>
      </w:r>
    </w:p>
    <w:p>
      <w:pPr>
        <w:pStyle w:val="Indenta"/>
      </w:pPr>
      <w:r>
        <w:tab/>
        <w:t>(a)</w:t>
      </w:r>
      <w:r>
        <w:tab/>
        <w:t>each school receives free of charge a copy of the most recent outline of curriculum and assessment in schools established by the Authority; and</w:t>
      </w:r>
    </w:p>
    <w:p>
      <w:pPr>
        <w:pStyle w:val="Indenta"/>
      </w:pPr>
      <w:r>
        <w:tab/>
        <w:t>(b)</w:t>
      </w:r>
      <w:r>
        <w:tab/>
        <w:t>that outline of curriculum and assessment in schools is made available to the public in any manner the Authority thinks fit.</w:t>
      </w:r>
    </w:p>
    <w:p>
      <w:pPr>
        <w:pStyle w:val="Subsection"/>
      </w:pPr>
      <w:r>
        <w:tab/>
        <w:t>(4)</w:t>
      </w:r>
      <w:r>
        <w:tab/>
        <w:t xml:space="preserve">The Authority is to ensure that decisions of the Authority made in the performance of its functions under subsection (1) are notified to — </w:t>
      </w:r>
    </w:p>
    <w:p>
      <w:pPr>
        <w:pStyle w:val="Indenta"/>
      </w:pPr>
      <w:r>
        <w:tab/>
        <w:t>(a)</w:t>
      </w:r>
      <w:r>
        <w:tab/>
        <w:t>education providers to whom or which the decisions are relevant; and</w:t>
      </w:r>
    </w:p>
    <w:p>
      <w:pPr>
        <w:pStyle w:val="Indenta"/>
      </w:pPr>
      <w:r>
        <w:tab/>
        <w:t>(b)</w:t>
      </w:r>
      <w:r>
        <w:tab/>
        <w:t>any other person or body to whom or which the Authority considers the decisions should be notified.</w:t>
      </w:r>
    </w:p>
    <w:p>
      <w:pPr>
        <w:pStyle w:val="Subsection"/>
      </w:pPr>
      <w:r>
        <w:tab/>
        <w:t>(5)</w:t>
      </w:r>
      <w:r>
        <w:tab/>
        <w:t xml:space="preserve">Without limiting subsection (4), the Authority may comply with that subsection by publishing in the </w:t>
      </w:r>
      <w:r>
        <w:rPr>
          <w:i/>
          <w:iCs/>
        </w:rPr>
        <w:t>Gazette</w:t>
      </w:r>
      <w:r>
        <w:t xml:space="preserve">, or in another manner determined by the Authority, a notice of — </w:t>
      </w:r>
    </w:p>
    <w:p>
      <w:pPr>
        <w:pStyle w:val="Indenta"/>
      </w:pPr>
      <w:r>
        <w:tab/>
        <w:t>(a)</w:t>
      </w:r>
      <w:r>
        <w:tab/>
        <w:t>a decision to which subsection (4) applies; and</w:t>
      </w:r>
    </w:p>
    <w:p>
      <w:pPr>
        <w:pStyle w:val="Indenta"/>
      </w:pPr>
      <w:r>
        <w:tab/>
        <w:t>(b)</w:t>
      </w:r>
      <w:r>
        <w:tab/>
        <w:t>a variation or revocation of a decision of which notice is published under this subsection.</w:t>
      </w:r>
    </w:p>
    <w:p>
      <w:pPr>
        <w:pStyle w:val="Footnotesection"/>
      </w:pPr>
      <w:bookmarkStart w:id="265" w:name="_Toc318099312"/>
      <w:bookmarkStart w:id="266" w:name="_Toc318099415"/>
      <w:r>
        <w:tab/>
        <w:t>[Section 9 inserted by No. 37 of 2011 s. 14.]</w:t>
      </w:r>
    </w:p>
    <w:p>
      <w:pPr>
        <w:pStyle w:val="Heading5"/>
      </w:pPr>
      <w:bookmarkStart w:id="267" w:name="_Toc318201594"/>
      <w:bookmarkStart w:id="268" w:name="_Toc323713184"/>
      <w:r>
        <w:rPr>
          <w:rStyle w:val="CharSectno"/>
        </w:rPr>
        <w:t>10</w:t>
      </w:r>
      <w:r>
        <w:t>.</w:t>
      </w:r>
      <w:r>
        <w:tab/>
        <w:t>Advisory function</w:t>
      </w:r>
      <w:bookmarkEnd w:id="265"/>
      <w:bookmarkEnd w:id="266"/>
      <w:bookmarkEnd w:id="267"/>
      <w:ins w:id="269" w:author="svcMRProcess" w:date="2018-08-26T13:15:00Z">
        <w:r>
          <w:t xml:space="preserve"> of Authority</w:t>
        </w:r>
      </w:ins>
      <w:bookmarkEnd w:id="268"/>
    </w:p>
    <w:p>
      <w:pPr>
        <w:pStyle w:val="Subsection"/>
      </w:pPr>
      <w:r>
        <w:tab/>
      </w:r>
      <w:r>
        <w:tab/>
        <w:t xml:space="preserve">It is a function of the Authority to advise the Minister — </w:t>
      </w:r>
    </w:p>
    <w:p>
      <w:pPr>
        <w:pStyle w:val="Indenta"/>
      </w:pPr>
      <w:r>
        <w:tab/>
        <w:t>(a)</w:t>
      </w:r>
      <w:r>
        <w:tab/>
        <w:t>on matters arising under this Act; and</w:t>
      </w:r>
    </w:p>
    <w:p>
      <w:pPr>
        <w:pStyle w:val="Indenta"/>
      </w:pPr>
      <w:r>
        <w:tab/>
        <w:t>(b)</w:t>
      </w:r>
      <w:r>
        <w:tab/>
        <w:t>on any agreements or arrangements made, or proposed to be made, between the State and the Commonwealth (whether or not those agreements or arrangements involve another State or a Territory) that relate to any of the Authority’s other functions.</w:t>
      </w:r>
    </w:p>
    <w:p>
      <w:pPr>
        <w:pStyle w:val="Footnotesection"/>
      </w:pPr>
      <w:bookmarkStart w:id="270" w:name="_Toc318099313"/>
      <w:bookmarkStart w:id="271" w:name="_Toc318099416"/>
      <w:r>
        <w:tab/>
        <w:t>[Section 10 inserted by No. 37 of 2011 s. 14.]</w:t>
      </w:r>
    </w:p>
    <w:p>
      <w:pPr>
        <w:pStyle w:val="Heading5"/>
      </w:pPr>
      <w:bookmarkStart w:id="272" w:name="_Toc318201595"/>
      <w:bookmarkStart w:id="273" w:name="_Toc323713185"/>
      <w:r>
        <w:rPr>
          <w:rStyle w:val="CharSectno"/>
        </w:rPr>
        <w:t>11</w:t>
      </w:r>
      <w:r>
        <w:t>.</w:t>
      </w:r>
      <w:r>
        <w:tab/>
        <w:t>Draft reports on standards of student achievement</w:t>
      </w:r>
      <w:bookmarkEnd w:id="270"/>
      <w:bookmarkEnd w:id="271"/>
      <w:bookmarkEnd w:id="272"/>
      <w:ins w:id="274" w:author="svcMRProcess" w:date="2018-08-26T13:15:00Z">
        <w:r>
          <w:t>, preparation of etc.</w:t>
        </w:r>
      </w:ins>
      <w:bookmarkEnd w:id="273"/>
    </w:p>
    <w:p>
      <w:pPr>
        <w:pStyle w:val="Subsection"/>
      </w:pPr>
      <w:r>
        <w:tab/>
        <w:t>(1)</w:t>
      </w:r>
      <w:r>
        <w:tab/>
        <w:t>The Authority may prepare reports on the standards of student achievement attained in schools in the State.</w:t>
      </w:r>
    </w:p>
    <w:p>
      <w:pPr>
        <w:pStyle w:val="Subsection"/>
      </w:pPr>
      <w:r>
        <w:tab/>
        <w:t>(2)</w:t>
      </w:r>
      <w:r>
        <w:tab/>
        <w:t xml:space="preserve">A report under subsection (1) is to be prepared in draft form (a </w:t>
      </w:r>
      <w:r>
        <w:rPr>
          <w:rStyle w:val="CharDefText"/>
        </w:rPr>
        <w:t>draft report</w:t>
      </w:r>
      <w:r>
        <w:t>).</w:t>
      </w:r>
    </w:p>
    <w:p>
      <w:pPr>
        <w:pStyle w:val="Subsection"/>
        <w:keepNext/>
      </w:pPr>
      <w:r>
        <w:tab/>
        <w:t>(3)</w:t>
      </w:r>
      <w:r>
        <w:tab/>
        <w:t xml:space="preserve">The Authority — </w:t>
      </w:r>
    </w:p>
    <w:p>
      <w:pPr>
        <w:pStyle w:val="Indenta"/>
      </w:pPr>
      <w:r>
        <w:tab/>
        <w:t>(a)</w:t>
      </w:r>
      <w:r>
        <w:tab/>
        <w:t>is to give a copy of a draft report to any governing body that the Authority considers likely to want to make submissions to the Authority in relation to the report; and</w:t>
      </w:r>
    </w:p>
    <w:p>
      <w:pPr>
        <w:pStyle w:val="Indenta"/>
      </w:pPr>
      <w:r>
        <w:tab/>
        <w:t>(b)</w:t>
      </w:r>
      <w:r>
        <w:tab/>
        <w:t>is to notify the governing body that it has a specified period (of not less than 28 days) within which it may make written submissions to the Authority in relation to the report.</w:t>
      </w:r>
    </w:p>
    <w:p>
      <w:pPr>
        <w:pStyle w:val="Subsection"/>
      </w:pPr>
      <w:r>
        <w:tab/>
        <w:t>(4)</w:t>
      </w:r>
      <w:r>
        <w:tab/>
        <w:t>The governing body may make written submissions to the Authority in relation to the draft report within the period specified under subsection (3)(b).</w:t>
      </w:r>
    </w:p>
    <w:p>
      <w:pPr>
        <w:pStyle w:val="Subsection"/>
      </w:pPr>
      <w:r>
        <w:tab/>
        <w:t>(5)</w:t>
      </w:r>
      <w:r>
        <w:tab/>
        <w:t>The Authority may, in a notice under subsection (3)(b), request the governing body to provide specified information to the Authority within a specified period (of not less than 28 days) in relation to any matter referred to in the draft report.</w:t>
      </w:r>
    </w:p>
    <w:p>
      <w:pPr>
        <w:pStyle w:val="Subsection"/>
      </w:pPr>
      <w:r>
        <w:tab/>
        <w:t>(6)</w:t>
      </w:r>
      <w:r>
        <w:tab/>
        <w:t>A governing body is to comply with a request under subsection (5).</w:t>
      </w:r>
    </w:p>
    <w:p>
      <w:pPr>
        <w:pStyle w:val="Footnotesection"/>
      </w:pPr>
      <w:bookmarkStart w:id="275" w:name="_Toc318099314"/>
      <w:bookmarkStart w:id="276" w:name="_Toc318099417"/>
      <w:r>
        <w:tab/>
        <w:t>[Section 11 inserted by No. 37 of 2011 s. 14.]</w:t>
      </w:r>
    </w:p>
    <w:p>
      <w:pPr>
        <w:pStyle w:val="Heading5"/>
        <w:rPr>
          <w:del w:id="277" w:author="svcMRProcess" w:date="2018-08-26T13:15:00Z"/>
        </w:rPr>
      </w:pPr>
      <w:bookmarkStart w:id="278" w:name="_Toc318201596"/>
      <w:bookmarkStart w:id="279" w:name="_Toc323713186"/>
      <w:del w:id="280" w:author="svcMRProcess" w:date="2018-08-26T13:15:00Z">
        <w:r>
          <w:rPr>
            <w:rStyle w:val="CharSectno"/>
          </w:rPr>
          <w:delText>12</w:delText>
        </w:r>
        <w:r>
          <w:delText>.</w:delText>
        </w:r>
        <w:r>
          <w:tab/>
          <w:delText>Reports to be given to Minister and governing bodies</w:delText>
        </w:r>
        <w:bookmarkEnd w:id="278"/>
      </w:del>
    </w:p>
    <w:p>
      <w:pPr>
        <w:pStyle w:val="Heading5"/>
        <w:rPr>
          <w:ins w:id="281" w:author="svcMRProcess" w:date="2018-08-26T13:15:00Z"/>
        </w:rPr>
      </w:pPr>
      <w:ins w:id="282" w:author="svcMRProcess" w:date="2018-08-26T13:15:00Z">
        <w:r>
          <w:rPr>
            <w:rStyle w:val="CharSectno"/>
          </w:rPr>
          <w:t>12</w:t>
        </w:r>
        <w:r>
          <w:t>.</w:t>
        </w:r>
        <w:r>
          <w:tab/>
        </w:r>
        <w:bookmarkEnd w:id="275"/>
        <w:bookmarkEnd w:id="276"/>
        <w:r>
          <w:t>Draft reports under s. 11(2), dealing with</w:t>
        </w:r>
        <w:bookmarkEnd w:id="279"/>
      </w:ins>
    </w:p>
    <w:p>
      <w:pPr>
        <w:pStyle w:val="Subsection"/>
      </w:pPr>
      <w:r>
        <w:tab/>
        <w:t>(1)</w:t>
      </w:r>
      <w:r>
        <w:tab/>
        <w:t xml:space="preserve">In this section — </w:t>
      </w:r>
    </w:p>
    <w:p>
      <w:pPr>
        <w:pStyle w:val="Defstart"/>
      </w:pPr>
      <w:r>
        <w:rPr>
          <w:b/>
        </w:rPr>
        <w:tab/>
      </w:r>
      <w:r>
        <w:rPr>
          <w:rStyle w:val="CharDefText"/>
        </w:rPr>
        <w:t>aggregated form</w:t>
      </w:r>
      <w:r>
        <w:t xml:space="preserve"> has the meaning given in section 19A(1);</w:t>
      </w:r>
    </w:p>
    <w:p>
      <w:pPr>
        <w:pStyle w:val="Defstart"/>
      </w:pPr>
      <w:r>
        <w:rPr>
          <w:b/>
        </w:rPr>
        <w:tab/>
      </w:r>
      <w:r>
        <w:rPr>
          <w:rStyle w:val="CharDefText"/>
        </w:rPr>
        <w:t>draft report</w:t>
      </w:r>
      <w:r>
        <w:t xml:space="preserve"> means a report prepared under section 11(2);</w:t>
      </w:r>
    </w:p>
    <w:p>
      <w:pPr>
        <w:pStyle w:val="Defstart"/>
      </w:pPr>
      <w:r>
        <w:rPr>
          <w:b/>
        </w:rPr>
        <w:tab/>
      </w:r>
      <w:r>
        <w:rPr>
          <w:rStyle w:val="CharDefText"/>
        </w:rPr>
        <w:t>relevant governing body</w:t>
      </w:r>
      <w:r>
        <w:t xml:space="preserve"> means a governing body to which a copy of a draft report is given under section 11(3).</w:t>
      </w:r>
    </w:p>
    <w:p>
      <w:pPr>
        <w:pStyle w:val="Subsection"/>
      </w:pPr>
      <w:r>
        <w:tab/>
        <w:t>(2)</w:t>
      </w:r>
      <w:r>
        <w:tab/>
        <w:t xml:space="preserve">After considering in relation to a draft report — </w:t>
      </w:r>
    </w:p>
    <w:p>
      <w:pPr>
        <w:pStyle w:val="Indenta"/>
      </w:pPr>
      <w:r>
        <w:tab/>
        <w:t>(a)</w:t>
      </w:r>
      <w:r>
        <w:tab/>
        <w:t>any submissions made to the Authority by a governing body under section 11(4); and</w:t>
      </w:r>
    </w:p>
    <w:p>
      <w:pPr>
        <w:pStyle w:val="Indenta"/>
      </w:pPr>
      <w:r>
        <w:tab/>
        <w:t>(b)</w:t>
      </w:r>
      <w:r>
        <w:tab/>
        <w:t>any information provided to the Authority by a governing body under section 11(6); and</w:t>
      </w:r>
    </w:p>
    <w:p>
      <w:pPr>
        <w:pStyle w:val="Indenta"/>
      </w:pPr>
      <w:r>
        <w:tab/>
        <w:t>(c)</w:t>
      </w:r>
      <w:r>
        <w:tab/>
        <w:t>any other information available to the Authority under this Act that the Authority considers relevant,</w:t>
      </w:r>
    </w:p>
    <w:p>
      <w:pPr>
        <w:pStyle w:val="Subsection"/>
      </w:pPr>
      <w:r>
        <w:tab/>
      </w:r>
      <w:r>
        <w:tab/>
        <w:t xml:space="preserve">the Authority — </w:t>
      </w:r>
    </w:p>
    <w:p>
      <w:pPr>
        <w:pStyle w:val="Indenta"/>
      </w:pPr>
      <w:r>
        <w:tab/>
        <w:t>(d)</w:t>
      </w:r>
      <w:r>
        <w:tab/>
        <w:t>may finalise the report, including any modifications it considers appropriate; or</w:t>
      </w:r>
    </w:p>
    <w:p>
      <w:pPr>
        <w:pStyle w:val="Indenta"/>
      </w:pPr>
      <w:r>
        <w:tab/>
        <w:t>(e)</w:t>
      </w:r>
      <w:r>
        <w:tab/>
        <w:t>may decide not to proceed with the report.</w:t>
      </w:r>
    </w:p>
    <w:p>
      <w:pPr>
        <w:pStyle w:val="Subsection"/>
      </w:pPr>
      <w:r>
        <w:tab/>
        <w:t>(3)</w:t>
      </w:r>
      <w:r>
        <w:tab/>
        <w:t xml:space="preserve">If subsection (2)(d) applies, the Authority is to give a copy of the report </w:t>
      </w:r>
      <w:r>
        <w:rPr>
          <w:bCs/>
        </w:rPr>
        <w:t>to the Minister and to any relevant governing body.</w:t>
      </w:r>
    </w:p>
    <w:p>
      <w:pPr>
        <w:pStyle w:val="Subsection"/>
      </w:pPr>
      <w:r>
        <w:tab/>
        <w:t>(4)</w:t>
      </w:r>
      <w:r>
        <w:tab/>
        <w:t>If subsection (2)(e) applies and without limiting section 9(4), the Authority is to notify any relevant governing body of the decision made by the Authority not to proceed with the report.</w:t>
      </w:r>
    </w:p>
    <w:p>
      <w:pPr>
        <w:pStyle w:val="Subsection"/>
      </w:pPr>
      <w:r>
        <w:tab/>
        <w:t>(5)</w:t>
      </w:r>
      <w:r>
        <w:tab/>
        <w:t>Any information in a report finalised by the Authority under this section that relates to students is to be in aggregated form.</w:t>
      </w:r>
    </w:p>
    <w:p>
      <w:pPr>
        <w:pStyle w:val="Footnotesection"/>
      </w:pPr>
      <w:r>
        <w:tab/>
        <w:t>[Section 12 inserted by No. 37 of 2011 s. 14.]</w:t>
      </w:r>
    </w:p>
    <w:p>
      <w:pPr>
        <w:pStyle w:val="Ednotesection"/>
      </w:pPr>
      <w:r>
        <w:t>[</w:t>
      </w:r>
      <w:r>
        <w:rPr>
          <w:b/>
        </w:rPr>
        <w:t>13.</w:t>
      </w:r>
      <w:r>
        <w:tab/>
        <w:t>Deleted by No. 37 of 2011 s. 14.]</w:t>
      </w:r>
    </w:p>
    <w:p>
      <w:pPr>
        <w:pStyle w:val="Heading5"/>
        <w:rPr>
          <w:snapToGrid w:val="0"/>
        </w:rPr>
      </w:pPr>
      <w:bookmarkStart w:id="283" w:name="_Toc520109145"/>
      <w:bookmarkStart w:id="284" w:name="_Toc17002430"/>
      <w:bookmarkStart w:id="285" w:name="_Toc123645487"/>
      <w:bookmarkStart w:id="286" w:name="_Toc318201597"/>
      <w:bookmarkStart w:id="287" w:name="_Toc323713187"/>
      <w:bookmarkEnd w:id="262"/>
      <w:bookmarkEnd w:id="263"/>
      <w:bookmarkEnd w:id="264"/>
      <w:r>
        <w:rPr>
          <w:rStyle w:val="CharSectno"/>
        </w:rPr>
        <w:t>14</w:t>
      </w:r>
      <w:r>
        <w:rPr>
          <w:snapToGrid w:val="0"/>
        </w:rPr>
        <w:t>.</w:t>
      </w:r>
      <w:r>
        <w:rPr>
          <w:snapToGrid w:val="0"/>
        </w:rPr>
        <w:tab/>
      </w:r>
      <w:bookmarkEnd w:id="283"/>
      <w:bookmarkEnd w:id="284"/>
      <w:bookmarkEnd w:id="285"/>
      <w:del w:id="288" w:author="svcMRProcess" w:date="2018-08-26T13:15:00Z">
        <w:r>
          <w:rPr>
            <w:snapToGrid w:val="0"/>
          </w:rPr>
          <w:delText>Information</w:delText>
        </w:r>
      </w:del>
      <w:ins w:id="289" w:author="svcMRProcess" w:date="2018-08-26T13:15:00Z">
        <w:r>
          <w:rPr>
            <w:snapToGrid w:val="0"/>
          </w:rPr>
          <w:t>Records of assessment</w:t>
        </w:r>
      </w:ins>
      <w:r>
        <w:rPr>
          <w:snapToGrid w:val="0"/>
        </w:rPr>
        <w:t xml:space="preserve"> and register</w:t>
      </w:r>
      <w:bookmarkEnd w:id="286"/>
      <w:ins w:id="290" w:author="svcMRProcess" w:date="2018-08-26T13:15:00Z">
        <w:r>
          <w:rPr>
            <w:snapToGrid w:val="0"/>
          </w:rPr>
          <w:t xml:space="preserve"> of courses, Authority to keep etc.</w:t>
        </w:r>
      </w:ins>
      <w:bookmarkEnd w:id="287"/>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is to — </w:t>
      </w:r>
    </w:p>
    <w:p>
      <w:pPr>
        <w:pStyle w:val="Indenta"/>
        <w:rPr>
          <w:snapToGrid w:val="0"/>
        </w:rPr>
      </w:pPr>
      <w:r>
        <w:rPr>
          <w:snapToGrid w:val="0"/>
        </w:rPr>
        <w:tab/>
        <w:t>(a)</w:t>
      </w:r>
      <w:r>
        <w:rPr>
          <w:snapToGrid w:val="0"/>
        </w:rPr>
        <w:tab/>
        <w:t>prepare and keep — </w:t>
      </w:r>
    </w:p>
    <w:p>
      <w:pPr>
        <w:pStyle w:val="Indenti"/>
        <w:rPr>
          <w:snapToGrid w:val="0"/>
        </w:rPr>
      </w:pPr>
      <w:r>
        <w:rPr>
          <w:snapToGrid w:val="0"/>
        </w:rPr>
        <w:tab/>
        <w:t>(i)</w:t>
      </w:r>
      <w:r>
        <w:rPr>
          <w:snapToGrid w:val="0"/>
        </w:rPr>
        <w:tab/>
        <w:t xml:space="preserve">records of assessment </w:t>
      </w:r>
      <w:r>
        <w:t>made, caused to be made or recognised</w:t>
      </w:r>
      <w:r>
        <w:rPr>
          <w:snapToGrid w:val="0"/>
        </w:rPr>
        <w:t xml:space="preserve"> by the </w:t>
      </w:r>
      <w:r>
        <w:t>Authority</w:t>
      </w:r>
      <w:r>
        <w:rPr>
          <w:snapToGrid w:val="0"/>
        </w:rPr>
        <w:t>; and</w:t>
      </w:r>
    </w:p>
    <w:p>
      <w:pPr>
        <w:pStyle w:val="Indenti"/>
        <w:rPr>
          <w:snapToGrid w:val="0"/>
        </w:rPr>
      </w:pPr>
      <w:r>
        <w:rPr>
          <w:snapToGrid w:val="0"/>
        </w:rPr>
        <w:tab/>
        <w:t>(ii)</w:t>
      </w:r>
      <w:r>
        <w:rPr>
          <w:snapToGrid w:val="0"/>
        </w:rPr>
        <w:tab/>
        <w:t>a register of courses which may be entered on a certificate of student achievement;</w:t>
      </w:r>
    </w:p>
    <w:p>
      <w:pPr>
        <w:pStyle w:val="Indenta"/>
        <w:spacing w:before="100"/>
        <w:rPr>
          <w:ins w:id="291" w:author="svcMRProcess" w:date="2018-08-26T13:15:00Z"/>
          <w:snapToGrid w:val="0"/>
        </w:rPr>
      </w:pPr>
      <w:ins w:id="292" w:author="svcMRProcess" w:date="2018-08-26T13:15:00Z">
        <w:r>
          <w:rPr>
            <w:snapToGrid w:val="0"/>
          </w:rPr>
          <w:tab/>
        </w:r>
        <w:r>
          <w:rPr>
            <w:snapToGrid w:val="0"/>
          </w:rPr>
          <w:tab/>
          <w:t>and</w:t>
        </w:r>
      </w:ins>
    </w:p>
    <w:p>
      <w:pPr>
        <w:pStyle w:val="Indenta"/>
        <w:spacing w:before="100"/>
        <w:rPr>
          <w:snapToGrid w:val="0"/>
        </w:rPr>
      </w:pPr>
      <w:r>
        <w:rPr>
          <w:snapToGrid w:val="0"/>
        </w:rPr>
        <w:tab/>
        <w:t>(b)</w:t>
      </w:r>
      <w:r>
        <w:rPr>
          <w:snapToGrid w:val="0"/>
        </w:rPr>
        <w:tab/>
        <w:t xml:space="preserve">liaise with governing bodies as to access by the </w:t>
      </w:r>
      <w:r>
        <w:t>Authority</w:t>
      </w:r>
      <w:r>
        <w:rPr>
          <w:snapToGrid w:val="0"/>
        </w:rPr>
        <w:t xml:space="preserve"> to, and the maintenance of, records of assessment made within schools and school systems; and</w:t>
      </w:r>
    </w:p>
    <w:p>
      <w:pPr>
        <w:pStyle w:val="Indenta"/>
        <w:spacing w:before="100"/>
        <w:rPr>
          <w:snapToGrid w:val="0"/>
        </w:rPr>
      </w:pPr>
      <w:r>
        <w:rPr>
          <w:snapToGrid w:val="0"/>
        </w:rPr>
        <w:tab/>
        <w:t>(c)</w:t>
      </w:r>
      <w:r>
        <w:rPr>
          <w:snapToGrid w:val="0"/>
        </w:rPr>
        <w:tab/>
        <w:t xml:space="preserve">provide such statistics, information and records to any education provider on achievement of students of that education provider as the </w:t>
      </w:r>
      <w:r>
        <w:t>Authority</w:t>
      </w:r>
      <w:r>
        <w:rPr>
          <w:snapToGrid w:val="0"/>
        </w:rPr>
        <w:t xml:space="preserve"> thinks fit.</w:t>
      </w:r>
    </w:p>
    <w:p>
      <w:pPr>
        <w:pStyle w:val="Subsection"/>
        <w:spacing w:before="180"/>
        <w:rPr>
          <w:snapToGrid w:val="0"/>
        </w:rPr>
      </w:pPr>
      <w:r>
        <w:rPr>
          <w:snapToGrid w:val="0"/>
        </w:rPr>
        <w:tab/>
        <w:t>(2)</w:t>
      </w:r>
      <w:r>
        <w:rPr>
          <w:snapToGrid w:val="0"/>
        </w:rPr>
        <w:tab/>
        <w:t xml:space="preserve">The </w:t>
      </w:r>
      <w:r>
        <w:t>Authority</w:t>
      </w:r>
      <w:r>
        <w:rPr>
          <w:snapToGrid w:val="0"/>
        </w:rPr>
        <w:t xml:space="preserve"> is to provide, on payment of the prescribed fee, if any, a certificate of student achievement to a person who has completed secondary education and met the minimum requirements for graduation from secondary school.</w:t>
      </w:r>
    </w:p>
    <w:p>
      <w:pPr>
        <w:pStyle w:val="Ednotesubsection"/>
        <w:rPr>
          <w:del w:id="293" w:author="svcMRProcess" w:date="2018-08-26T13:15:00Z"/>
        </w:rPr>
      </w:pPr>
      <w:bookmarkStart w:id="294" w:name="_Toc520109146"/>
      <w:bookmarkStart w:id="295" w:name="_Toc17002431"/>
      <w:bookmarkStart w:id="296" w:name="_Toc123645488"/>
      <w:del w:id="297" w:author="svcMRProcess" w:date="2018-08-26T13:15:00Z">
        <w:r>
          <w:tab/>
          <w:delText>[(3)</w:delText>
        </w:r>
        <w:r>
          <w:tab/>
          <w:delText>deleted]</w:delText>
        </w:r>
      </w:del>
    </w:p>
    <w:p>
      <w:pPr>
        <w:pStyle w:val="Footnotesection"/>
      </w:pPr>
      <w:r>
        <w:tab/>
        <w:t>[Section 14 amended by No. 37 of 2011 s. 15 and 53(1).]</w:t>
      </w:r>
    </w:p>
    <w:p>
      <w:pPr>
        <w:pStyle w:val="Heading5"/>
        <w:spacing w:before="260"/>
        <w:rPr>
          <w:snapToGrid w:val="0"/>
        </w:rPr>
      </w:pPr>
      <w:bookmarkStart w:id="298" w:name="_Toc318201598"/>
      <w:bookmarkStart w:id="299" w:name="_Toc323713188"/>
      <w:r>
        <w:rPr>
          <w:rStyle w:val="CharSectno"/>
        </w:rPr>
        <w:t>15</w:t>
      </w:r>
      <w:r>
        <w:rPr>
          <w:snapToGrid w:val="0"/>
        </w:rPr>
        <w:t>.</w:t>
      </w:r>
      <w:r>
        <w:rPr>
          <w:snapToGrid w:val="0"/>
        </w:rPr>
        <w:tab/>
        <w:t>Powers</w:t>
      </w:r>
      <w:bookmarkEnd w:id="294"/>
      <w:bookmarkEnd w:id="295"/>
      <w:bookmarkEnd w:id="296"/>
      <w:bookmarkEnd w:id="298"/>
      <w:r>
        <w:rPr>
          <w:snapToGrid w:val="0"/>
        </w:rPr>
        <w:t xml:space="preserve"> </w:t>
      </w:r>
      <w:ins w:id="300" w:author="svcMRProcess" w:date="2018-08-26T13:15:00Z">
        <w:r>
          <w:rPr>
            <w:snapToGrid w:val="0"/>
          </w:rPr>
          <w:t>of Authority</w:t>
        </w:r>
      </w:ins>
      <w:bookmarkEnd w:id="299"/>
    </w:p>
    <w:p>
      <w:pPr>
        <w:pStyle w:val="Subsection"/>
        <w:spacing w:before="180"/>
        <w:rPr>
          <w:snapToGrid w:val="0"/>
        </w:rPr>
      </w:pPr>
      <w:r>
        <w:rPr>
          <w:snapToGrid w:val="0"/>
        </w:rPr>
        <w:tab/>
        <w:t>(1)</w:t>
      </w:r>
      <w:r>
        <w:rPr>
          <w:snapToGrid w:val="0"/>
        </w:rPr>
        <w:tab/>
        <w:t xml:space="preserve">The </w:t>
      </w:r>
      <w:r>
        <w:t>Authority</w:t>
      </w:r>
      <w:r>
        <w:rPr>
          <w:snapToGrid w:val="0"/>
        </w:rPr>
        <w:t xml:space="preserve"> has power to do all things necessary or convenient to be done for or in connection with the performance of its functions.</w:t>
      </w:r>
    </w:p>
    <w:p>
      <w:pPr>
        <w:pStyle w:val="Subsection"/>
        <w:spacing w:before="180"/>
        <w:rPr>
          <w:snapToGrid w:val="0"/>
        </w:rPr>
      </w:pPr>
      <w:r>
        <w:rPr>
          <w:snapToGrid w:val="0"/>
        </w:rPr>
        <w:tab/>
        <w:t>(2)</w:t>
      </w:r>
      <w:r>
        <w:rPr>
          <w:snapToGrid w:val="0"/>
        </w:rPr>
        <w:tab/>
        <w:t xml:space="preserve">Without limiting the generality of subsection (1), the </w:t>
      </w:r>
      <w:r>
        <w:t>Authority</w:t>
      </w:r>
      <w:r>
        <w:rPr>
          <w:snapToGrid w:val="0"/>
        </w:rPr>
        <w:t xml:space="preserve"> has power to — </w:t>
      </w:r>
    </w:p>
    <w:p>
      <w:pPr>
        <w:pStyle w:val="Indenta"/>
        <w:spacing w:before="70"/>
        <w:rPr>
          <w:snapToGrid w:val="0"/>
        </w:rPr>
      </w:pPr>
      <w:r>
        <w:rPr>
          <w:snapToGrid w:val="0"/>
        </w:rPr>
        <w:tab/>
        <w:t>(a)</w:t>
      </w:r>
      <w:r>
        <w:rPr>
          <w:snapToGrid w:val="0"/>
        </w:rPr>
        <w:tab/>
        <w:t xml:space="preserve">conduct and promote relevant research; </w:t>
      </w:r>
      <w:r>
        <w:t>and</w:t>
      </w:r>
    </w:p>
    <w:p>
      <w:pPr>
        <w:pStyle w:val="Indenta"/>
        <w:spacing w:before="70"/>
        <w:rPr>
          <w:snapToGrid w:val="0"/>
        </w:rPr>
      </w:pPr>
      <w:r>
        <w:rPr>
          <w:snapToGrid w:val="0"/>
        </w:rPr>
        <w:tab/>
        <w:t>(b)</w:t>
      </w:r>
      <w:r>
        <w:rPr>
          <w:snapToGrid w:val="0"/>
        </w:rPr>
        <w:tab/>
        <w:t xml:space="preserve">provide such facilities as the </w:t>
      </w:r>
      <w:r>
        <w:t>Authority</w:t>
      </w:r>
      <w:r>
        <w:rPr>
          <w:snapToGrid w:val="0"/>
        </w:rPr>
        <w:t xml:space="preserve"> thinks necessary for or conducive to the performance of its functions; </w:t>
      </w:r>
      <w:r>
        <w:t>and</w:t>
      </w:r>
    </w:p>
    <w:p>
      <w:pPr>
        <w:pStyle w:val="Indenta"/>
        <w:spacing w:before="70"/>
        <w:rPr>
          <w:snapToGrid w:val="0"/>
        </w:rPr>
      </w:pPr>
      <w:r>
        <w:rPr>
          <w:snapToGrid w:val="0"/>
        </w:rPr>
        <w:tab/>
        <w:t>(c)</w:t>
      </w:r>
      <w:r>
        <w:rPr>
          <w:snapToGrid w:val="0"/>
        </w:rPr>
        <w:tab/>
        <w:t xml:space="preserve">acquire, hold, manage, develop, dispose of and otherwise deal in real and personal </w:t>
      </w:r>
      <w:r>
        <w:t>property; and</w:t>
      </w:r>
    </w:p>
    <w:p>
      <w:pPr>
        <w:pStyle w:val="Indenta"/>
        <w:spacing w:before="70"/>
      </w:pPr>
      <w:r>
        <w:tab/>
        <w:t>(da)</w:t>
      </w:r>
      <w:r>
        <w:tab/>
        <w:t xml:space="preserve">with the approval of the Minister, provide funds by way of grants, subsidies or otherwise to governing bodies or other persons or bodies for purposes related to — </w:t>
      </w:r>
    </w:p>
    <w:p>
      <w:pPr>
        <w:pStyle w:val="Indenti"/>
        <w:spacing w:before="70"/>
      </w:pPr>
      <w:r>
        <w:tab/>
        <w:t>(i)</w:t>
      </w:r>
      <w:r>
        <w:tab/>
        <w:t>the development of courses and standards of student achievement; and</w:t>
      </w:r>
    </w:p>
    <w:p>
      <w:pPr>
        <w:pStyle w:val="Indenti"/>
        <w:spacing w:before="70"/>
      </w:pPr>
      <w:r>
        <w:tab/>
        <w:t>(ii)</w:t>
      </w:r>
      <w:r>
        <w:tab/>
        <w:t>the assessment of student achievement;</w:t>
      </w:r>
    </w:p>
    <w:p>
      <w:pPr>
        <w:pStyle w:val="Indenta"/>
        <w:spacing w:before="70"/>
      </w:pPr>
      <w:r>
        <w:tab/>
      </w:r>
      <w:r>
        <w:tab/>
        <w:t>and</w:t>
      </w:r>
    </w:p>
    <w:p>
      <w:pPr>
        <w:pStyle w:val="Indenta"/>
        <w:spacing w:before="70"/>
        <w:rPr>
          <w:snapToGrid w:val="0"/>
        </w:rPr>
      </w:pPr>
      <w:r>
        <w:rPr>
          <w:snapToGrid w:val="0"/>
        </w:rPr>
        <w:tab/>
        <w:t>(d)</w:t>
      </w:r>
      <w:r>
        <w:rPr>
          <w:snapToGrid w:val="0"/>
        </w:rPr>
        <w:tab/>
        <w:t xml:space="preserve">apply for, obtain and hold intellectual property rights and design rights; </w:t>
      </w:r>
      <w:r>
        <w:t>and</w:t>
      </w:r>
    </w:p>
    <w:p>
      <w:pPr>
        <w:pStyle w:val="Indenta"/>
        <w:spacing w:before="70"/>
        <w:rPr>
          <w:snapToGrid w:val="0"/>
        </w:rPr>
      </w:pPr>
      <w:r>
        <w:rPr>
          <w:snapToGrid w:val="0"/>
        </w:rPr>
        <w:tab/>
        <w:t>(e)</w:t>
      </w:r>
      <w:r>
        <w:rPr>
          <w:snapToGrid w:val="0"/>
        </w:rPr>
        <w:tab/>
        <w:t xml:space="preserve">enter into a contract or arrangement with any person including any government, governmental agency or governmental instrumentality, whether inside or outside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70"/>
        <w:rPr>
          <w:snapToGrid w:val="0"/>
        </w:rPr>
      </w:pPr>
      <w:r>
        <w:rPr>
          <w:snapToGrid w:val="0"/>
        </w:rPr>
        <w:tab/>
        <w:t>(i)</w:t>
      </w:r>
      <w:r>
        <w:rPr>
          <w:snapToGrid w:val="0"/>
        </w:rPr>
        <w:tab/>
        <w:t>to provide products, consultancy or other services in the course of or incidental to the performance of its functions; or</w:t>
      </w:r>
    </w:p>
    <w:p>
      <w:pPr>
        <w:pStyle w:val="Indenti"/>
        <w:rPr>
          <w:snapToGrid w:val="0"/>
        </w:rPr>
      </w:pPr>
      <w:r>
        <w:rPr>
          <w:snapToGrid w:val="0"/>
        </w:rPr>
        <w:tab/>
        <w:t>(ii)</w:t>
      </w:r>
      <w:r>
        <w:rPr>
          <w:snapToGrid w:val="0"/>
        </w:rPr>
        <w:tab/>
        <w:t>for the commercial exploitation of the rights referred to in paragraph (d), whether by assignment, licensing or otherwise;</w:t>
      </w:r>
    </w:p>
    <w:p>
      <w:pPr>
        <w:pStyle w:val="Indenta"/>
        <w:rPr>
          <w:snapToGrid w:val="0"/>
        </w:rPr>
      </w:pPr>
      <w:r>
        <w:tab/>
      </w:r>
      <w:r>
        <w:tab/>
        <w:t>and</w:t>
      </w:r>
    </w:p>
    <w:p>
      <w:pPr>
        <w:pStyle w:val="Indenta"/>
        <w:rPr>
          <w:snapToGrid w:val="0"/>
        </w:rPr>
      </w:pPr>
      <w:r>
        <w:rPr>
          <w:snapToGrid w:val="0"/>
        </w:rPr>
        <w:tab/>
        <w:t>(f)</w:t>
      </w:r>
      <w:r>
        <w:rPr>
          <w:snapToGrid w:val="0"/>
        </w:rPr>
        <w:tab/>
        <w:t>publish and sell information acquired by it; and</w:t>
      </w:r>
    </w:p>
    <w:p>
      <w:pPr>
        <w:pStyle w:val="Indenta"/>
        <w:rPr>
          <w:snapToGrid w:val="0"/>
        </w:rPr>
      </w:pPr>
      <w:r>
        <w:rPr>
          <w:snapToGrid w:val="0"/>
        </w:rPr>
        <w:tab/>
        <w:t>(g)</w:t>
      </w:r>
      <w:r>
        <w:rPr>
          <w:snapToGrid w:val="0"/>
        </w:rPr>
        <w:tab/>
        <w:t xml:space="preserve">charge for services it provides to any person, including any government, governmental agency or governmental instrumentality, whether inside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bookmarkStart w:id="301" w:name="_Toc520109147"/>
      <w:bookmarkStart w:id="302" w:name="_Toc17002432"/>
      <w:bookmarkStart w:id="303" w:name="_Toc123645489"/>
      <w:r>
        <w:tab/>
        <w:t>[Section 15 amended by No. 37 of 2011 s. 16 and 53(1).]</w:t>
      </w:r>
    </w:p>
    <w:p>
      <w:pPr>
        <w:pStyle w:val="Heading5"/>
        <w:rPr>
          <w:del w:id="304" w:author="svcMRProcess" w:date="2018-08-26T13:15:00Z"/>
          <w:snapToGrid w:val="0"/>
        </w:rPr>
      </w:pPr>
      <w:bookmarkStart w:id="305" w:name="_Toc318201599"/>
      <w:bookmarkStart w:id="306" w:name="_Toc323713189"/>
      <w:del w:id="307" w:author="svcMRProcess" w:date="2018-08-26T13:15:00Z">
        <w:r>
          <w:rPr>
            <w:rStyle w:val="CharSectno"/>
          </w:rPr>
          <w:delText>16</w:delText>
        </w:r>
        <w:r>
          <w:rPr>
            <w:snapToGrid w:val="0"/>
          </w:rPr>
          <w:delText>.</w:delText>
        </w:r>
        <w:r>
          <w:rPr>
            <w:snapToGrid w:val="0"/>
          </w:rPr>
          <w:tab/>
          <w:delText>Performance of functions</w:delText>
        </w:r>
        <w:bookmarkEnd w:id="305"/>
        <w:r>
          <w:rPr>
            <w:snapToGrid w:val="0"/>
          </w:rPr>
          <w:delText xml:space="preserve"> </w:delText>
        </w:r>
      </w:del>
    </w:p>
    <w:p>
      <w:pPr>
        <w:pStyle w:val="Heading5"/>
        <w:rPr>
          <w:ins w:id="308" w:author="svcMRProcess" w:date="2018-08-26T13:15:00Z"/>
          <w:snapToGrid w:val="0"/>
        </w:rPr>
      </w:pPr>
      <w:ins w:id="309" w:author="svcMRProcess" w:date="2018-08-26T13:15:00Z">
        <w:r>
          <w:rPr>
            <w:rStyle w:val="CharSectno"/>
          </w:rPr>
          <w:t>16</w:t>
        </w:r>
        <w:r>
          <w:rPr>
            <w:snapToGrid w:val="0"/>
          </w:rPr>
          <w:t>.</w:t>
        </w:r>
        <w:r>
          <w:rPr>
            <w:snapToGrid w:val="0"/>
          </w:rPr>
          <w:tab/>
        </w:r>
        <w:bookmarkEnd w:id="301"/>
        <w:bookmarkEnd w:id="302"/>
        <w:bookmarkEnd w:id="303"/>
        <w:r>
          <w:rPr>
            <w:snapToGrid w:val="0"/>
          </w:rPr>
          <w:t>Functions of Authority, matters affecting performance of</w:t>
        </w:r>
        <w:bookmarkEnd w:id="306"/>
      </w:ins>
    </w:p>
    <w:p>
      <w:pPr>
        <w:pStyle w:val="Subsection"/>
        <w:rPr>
          <w:snapToGrid w:val="0"/>
        </w:rPr>
      </w:pPr>
      <w:r>
        <w:rPr>
          <w:snapToGrid w:val="0"/>
        </w:rPr>
        <w:tab/>
        <w:t>(1)</w:t>
      </w:r>
      <w:r>
        <w:rPr>
          <w:snapToGrid w:val="0"/>
        </w:rPr>
        <w:tab/>
        <w:t xml:space="preserve">In performing its functions the </w:t>
      </w:r>
      <w:r>
        <w:t>Authority</w:t>
      </w:r>
      <w:r>
        <w:rPr>
          <w:snapToGrid w:val="0"/>
        </w:rPr>
        <w:t xml:space="preserve"> is to have regard to the capacity, financial and otherwise, of education providers to respond to decisions of the </w:t>
      </w:r>
      <w:r>
        <w:t>Authority</w:t>
      </w:r>
      <w:r>
        <w:rPr>
          <w:snapToGrid w:val="0"/>
        </w:rPr>
        <w:t xml:space="preserve"> and to the impact of the decisions on education providers.</w:t>
      </w:r>
    </w:p>
    <w:p>
      <w:pPr>
        <w:pStyle w:val="Subsection"/>
        <w:rPr>
          <w:snapToGrid w:val="0"/>
        </w:rPr>
      </w:pPr>
      <w:r>
        <w:rPr>
          <w:snapToGrid w:val="0"/>
        </w:rPr>
        <w:tab/>
        <w:t>(2)</w:t>
      </w:r>
      <w:r>
        <w:rPr>
          <w:snapToGrid w:val="0"/>
        </w:rPr>
        <w:tab/>
        <w:t xml:space="preserve">In performing its functions the </w:t>
      </w:r>
      <w:r>
        <w:t>Authority</w:t>
      </w:r>
      <w:r>
        <w:rPr>
          <w:snapToGrid w:val="0"/>
        </w:rPr>
        <w:t xml:space="preserve"> may act alone or in conjunction with any person, firm, department of the Public Service, government agency or instrumentality, or government of any other place.</w:t>
      </w:r>
    </w:p>
    <w:p>
      <w:pPr>
        <w:pStyle w:val="Subsection"/>
        <w:rPr>
          <w:snapToGrid w:val="0"/>
        </w:rPr>
      </w:pPr>
      <w:r>
        <w:rPr>
          <w:snapToGrid w:val="0"/>
        </w:rPr>
        <w:tab/>
        <w:t>(3)</w:t>
      </w:r>
      <w:r>
        <w:rPr>
          <w:snapToGrid w:val="0"/>
        </w:rPr>
        <w:tab/>
      </w:r>
      <w:r>
        <w:t>The Authority</w:t>
      </w:r>
      <w:r>
        <w:rPr>
          <w:snapToGrid w:val="0"/>
        </w:rPr>
        <w:t xml:space="preserve"> is to — </w:t>
      </w:r>
    </w:p>
    <w:p>
      <w:pPr>
        <w:pStyle w:val="Indenta"/>
        <w:rPr>
          <w:snapToGrid w:val="0"/>
        </w:rPr>
      </w:pPr>
      <w:r>
        <w:rPr>
          <w:snapToGrid w:val="0"/>
        </w:rPr>
        <w:tab/>
        <w:t>(a)</w:t>
      </w:r>
      <w:r>
        <w:rPr>
          <w:snapToGrid w:val="0"/>
        </w:rPr>
        <w:tab/>
        <w:t xml:space="preserve">consult and collaborate with such persons and bodies having functions relating to education and training and members of the community as the </w:t>
      </w:r>
      <w:r>
        <w:t>Authority</w:t>
      </w:r>
      <w:r>
        <w:rPr>
          <w:snapToGrid w:val="0"/>
        </w:rPr>
        <w:t xml:space="preserve"> thinks fit in relation to the performance of its functions; </w:t>
      </w:r>
    </w:p>
    <w:p>
      <w:pPr>
        <w:pStyle w:val="Indenta"/>
        <w:rPr>
          <w:snapToGrid w:val="0"/>
        </w:rPr>
      </w:pPr>
      <w:r>
        <w:rPr>
          <w:snapToGrid w:val="0"/>
        </w:rPr>
        <w:tab/>
        <w:t>(b)</w:t>
      </w:r>
      <w:r>
        <w:rPr>
          <w:snapToGrid w:val="0"/>
        </w:rPr>
        <w:tab/>
        <w:t>provide a forum for consultation and collaboration between persons and bodies having functions relating to secondary education and vocational education and training and universities on matters relating to admission to university and vocational education and training;</w:t>
      </w:r>
    </w:p>
    <w:p>
      <w:pPr>
        <w:pStyle w:val="Indenta"/>
      </w:pPr>
      <w:r>
        <w:tab/>
        <w:t>(c)</w:t>
      </w:r>
      <w:r>
        <w:tab/>
        <w:t>advise and confer with employers, organisations of employees and employers, and such other persons and bodies as the Authority thinks fit, with respect to recognition by those persons and bodies of courses in which students are assessed, or caused to be assessed, by the Authority, and advise those persons and bodies with respect to methods of assessment and methods of certification.</w:t>
      </w:r>
    </w:p>
    <w:p>
      <w:pPr>
        <w:pStyle w:val="Ednotepara"/>
        <w:rPr>
          <w:del w:id="310" w:author="svcMRProcess" w:date="2018-08-26T13:15:00Z"/>
        </w:rPr>
      </w:pPr>
      <w:bookmarkStart w:id="311" w:name="_Toc520109148"/>
      <w:bookmarkStart w:id="312" w:name="_Toc17002433"/>
      <w:bookmarkStart w:id="313" w:name="_Toc123645490"/>
      <w:del w:id="314" w:author="svcMRProcess" w:date="2018-08-26T13:15:00Z">
        <w:r>
          <w:tab/>
          <w:delText>[(d)</w:delText>
        </w:r>
        <w:r>
          <w:tab/>
          <w:delText>deleted]</w:delText>
        </w:r>
      </w:del>
    </w:p>
    <w:p>
      <w:pPr>
        <w:pStyle w:val="Footnotesection"/>
        <w:spacing w:before="100"/>
        <w:ind w:left="890" w:hanging="890"/>
      </w:pPr>
      <w:r>
        <w:tab/>
        <w:t>[Section 16 amended by No. 37 of 2011 s. 17 and 53(1).]</w:t>
      </w:r>
    </w:p>
    <w:p>
      <w:pPr>
        <w:pStyle w:val="Heading5"/>
        <w:spacing w:before="200"/>
        <w:rPr>
          <w:snapToGrid w:val="0"/>
        </w:rPr>
      </w:pPr>
      <w:bookmarkStart w:id="315" w:name="_Toc318201600"/>
      <w:bookmarkStart w:id="316" w:name="_Toc323713190"/>
      <w:r>
        <w:rPr>
          <w:rStyle w:val="CharSectno"/>
        </w:rPr>
        <w:t>17</w:t>
      </w:r>
      <w:r>
        <w:rPr>
          <w:snapToGrid w:val="0"/>
        </w:rPr>
        <w:t>.</w:t>
      </w:r>
      <w:r>
        <w:rPr>
          <w:snapToGrid w:val="0"/>
        </w:rPr>
        <w:tab/>
        <w:t>Delegation</w:t>
      </w:r>
      <w:bookmarkEnd w:id="311"/>
      <w:bookmarkEnd w:id="312"/>
      <w:bookmarkEnd w:id="313"/>
      <w:bookmarkEnd w:id="315"/>
      <w:r>
        <w:rPr>
          <w:snapToGrid w:val="0"/>
        </w:rPr>
        <w:t xml:space="preserve"> </w:t>
      </w:r>
      <w:ins w:id="317" w:author="svcMRProcess" w:date="2018-08-26T13:15:00Z">
        <w:r>
          <w:rPr>
            <w:snapToGrid w:val="0"/>
          </w:rPr>
          <w:t>by Authority</w:t>
        </w:r>
      </w:ins>
      <w:bookmarkEnd w:id="316"/>
    </w:p>
    <w:p>
      <w:pPr>
        <w:pStyle w:val="Subsection"/>
        <w:spacing w:before="140"/>
        <w:rPr>
          <w:snapToGrid w:val="0"/>
        </w:rPr>
      </w:pPr>
      <w:r>
        <w:rPr>
          <w:snapToGrid w:val="0"/>
        </w:rPr>
        <w:tab/>
        <w:t>(1)</w:t>
      </w:r>
      <w:r>
        <w:rPr>
          <w:snapToGrid w:val="0"/>
        </w:rPr>
        <w:tab/>
      </w:r>
      <w:r>
        <w:t>The Authority</w:t>
      </w:r>
      <w:r>
        <w:rPr>
          <w:snapToGrid w:val="0"/>
        </w:rPr>
        <w:t xml:space="preserve"> may, by instrument, delegate the performance of any of its functions, except this power of delegation, to — </w:t>
      </w:r>
    </w:p>
    <w:p>
      <w:pPr>
        <w:pStyle w:val="Indenta"/>
        <w:spacing w:before="60"/>
        <w:rPr>
          <w:snapToGrid w:val="0"/>
        </w:rPr>
      </w:pPr>
      <w:r>
        <w:rPr>
          <w:snapToGrid w:val="0"/>
        </w:rPr>
        <w:tab/>
        <w:t>(a)</w:t>
      </w:r>
      <w:r>
        <w:rPr>
          <w:snapToGrid w:val="0"/>
        </w:rPr>
        <w:tab/>
        <w:t xml:space="preserve">a member or </w:t>
      </w:r>
      <w:r>
        <w:t>members; or</w:t>
      </w:r>
    </w:p>
    <w:p>
      <w:pPr>
        <w:pStyle w:val="Indenta"/>
        <w:spacing w:before="60"/>
      </w:pPr>
      <w:r>
        <w:tab/>
        <w:t>(ba)</w:t>
      </w:r>
      <w:r>
        <w:tab/>
        <w:t>the chief executive officer; or</w:t>
      </w:r>
    </w:p>
    <w:p>
      <w:pPr>
        <w:pStyle w:val="Indenta"/>
        <w:spacing w:before="60"/>
        <w:rPr>
          <w:snapToGrid w:val="0"/>
        </w:rPr>
      </w:pPr>
      <w:r>
        <w:rPr>
          <w:snapToGrid w:val="0"/>
        </w:rPr>
        <w:tab/>
        <w:t>(b)</w:t>
      </w:r>
      <w:r>
        <w:rPr>
          <w:snapToGrid w:val="0"/>
        </w:rPr>
        <w:tab/>
        <w:t>a member or members of staff;</w:t>
      </w:r>
      <w:r>
        <w:t xml:space="preserve"> or</w:t>
      </w:r>
    </w:p>
    <w:p>
      <w:pPr>
        <w:pStyle w:val="Indenta"/>
        <w:spacing w:before="60"/>
        <w:rPr>
          <w:snapToGrid w:val="0"/>
        </w:rPr>
      </w:pPr>
      <w:r>
        <w:rPr>
          <w:snapToGrid w:val="0"/>
        </w:rPr>
        <w:tab/>
        <w:t>(c)</w:t>
      </w:r>
      <w:r>
        <w:rPr>
          <w:snapToGrid w:val="0"/>
        </w:rPr>
        <w:tab/>
        <w:t xml:space="preserve">a committee; or </w:t>
      </w:r>
    </w:p>
    <w:p>
      <w:pPr>
        <w:pStyle w:val="Indenta"/>
        <w:spacing w:before="60"/>
        <w:rPr>
          <w:snapToGrid w:val="0"/>
        </w:rPr>
      </w:pPr>
      <w:r>
        <w:rPr>
          <w:snapToGrid w:val="0"/>
        </w:rPr>
        <w:tab/>
        <w:t>(d)</w:t>
      </w:r>
      <w:r>
        <w:rPr>
          <w:snapToGrid w:val="0"/>
        </w:rPr>
        <w:tab/>
        <w:t>any other person.</w:t>
      </w:r>
    </w:p>
    <w:p>
      <w:pPr>
        <w:pStyle w:val="Subsection"/>
        <w:spacing w:before="140"/>
        <w:rPr>
          <w:snapToGrid w:val="0"/>
        </w:rPr>
      </w:pPr>
      <w:r>
        <w:rPr>
          <w:snapToGrid w:val="0"/>
        </w:rPr>
        <w:tab/>
        <w:t>(2)</w:t>
      </w:r>
      <w:r>
        <w:rPr>
          <w:snapToGrid w:val="0"/>
        </w:rPr>
        <w:tab/>
        <w:t>A function performed by a delegate under this section is to be taken to be performed by the</w:t>
      </w:r>
      <w:r>
        <w:t xml:space="preserve"> Authority</w:t>
      </w:r>
      <w:r>
        <w:rPr>
          <w:snapToGrid w:val="0"/>
        </w:rPr>
        <w:t>.</w:t>
      </w:r>
    </w:p>
    <w:p>
      <w:pPr>
        <w:pStyle w:val="Subsection"/>
        <w:spacing w:before="140"/>
        <w:rPr>
          <w:snapToGrid w:val="0"/>
        </w:rPr>
      </w:pPr>
      <w:r>
        <w:rPr>
          <w:snapToGrid w:val="0"/>
        </w:rPr>
        <w:tab/>
        <w:t>(3)</w:t>
      </w:r>
      <w:r>
        <w:rPr>
          <w:snapToGrid w:val="0"/>
        </w:rPr>
        <w:tab/>
        <w:t>Where a delegate performs a function under this section the delegate is to be taken to do so in accordance with the terms of the delegation unless the contrary is shown.</w:t>
      </w:r>
    </w:p>
    <w:p>
      <w:pPr>
        <w:pStyle w:val="Subsection"/>
        <w:spacing w:before="140"/>
        <w:rPr>
          <w:snapToGrid w:val="0"/>
        </w:rPr>
      </w:pPr>
      <w:r>
        <w:rPr>
          <w:snapToGrid w:val="0"/>
        </w:rPr>
        <w:tab/>
        <w:t>(4)</w:t>
      </w:r>
      <w:r>
        <w:rPr>
          <w:snapToGrid w:val="0"/>
        </w:rPr>
        <w:tab/>
        <w:t xml:space="preserve">Nothing in this section is to be read as limiting the ability of the </w:t>
      </w:r>
      <w:r>
        <w:t>Authority</w:t>
      </w:r>
      <w:r>
        <w:rPr>
          <w:snapToGrid w:val="0"/>
        </w:rPr>
        <w:t xml:space="preserve"> to act through its officers and agents in the normal course of business.</w:t>
      </w:r>
    </w:p>
    <w:p>
      <w:pPr>
        <w:pStyle w:val="Footnotesection"/>
        <w:spacing w:before="100"/>
        <w:ind w:left="890" w:hanging="890"/>
      </w:pPr>
      <w:bookmarkStart w:id="318" w:name="_Toc520109149"/>
      <w:bookmarkStart w:id="319" w:name="_Toc17002434"/>
      <w:bookmarkStart w:id="320" w:name="_Toc123645491"/>
      <w:r>
        <w:tab/>
        <w:t>[Section 17 amended by No. 37 of 2011 s. 18 and 53(1).]</w:t>
      </w:r>
    </w:p>
    <w:p>
      <w:pPr>
        <w:pStyle w:val="Heading5"/>
        <w:spacing w:before="200"/>
        <w:rPr>
          <w:snapToGrid w:val="0"/>
        </w:rPr>
      </w:pPr>
      <w:bookmarkStart w:id="321" w:name="_Toc318201601"/>
      <w:bookmarkStart w:id="322" w:name="_Toc323713191"/>
      <w:r>
        <w:rPr>
          <w:rStyle w:val="CharSectno"/>
        </w:rPr>
        <w:t>18</w:t>
      </w:r>
      <w:r>
        <w:rPr>
          <w:snapToGrid w:val="0"/>
        </w:rPr>
        <w:t>.</w:t>
      </w:r>
      <w:r>
        <w:rPr>
          <w:snapToGrid w:val="0"/>
        </w:rPr>
        <w:tab/>
        <w:t>Minister may give directions</w:t>
      </w:r>
      <w:bookmarkEnd w:id="318"/>
      <w:bookmarkEnd w:id="319"/>
      <w:bookmarkEnd w:id="320"/>
      <w:bookmarkEnd w:id="321"/>
      <w:r>
        <w:rPr>
          <w:snapToGrid w:val="0"/>
        </w:rPr>
        <w:t xml:space="preserve"> </w:t>
      </w:r>
      <w:ins w:id="323" w:author="svcMRProcess" w:date="2018-08-26T13:15:00Z">
        <w:r>
          <w:rPr>
            <w:snapToGrid w:val="0"/>
          </w:rPr>
          <w:t>to Authority</w:t>
        </w:r>
      </w:ins>
      <w:bookmarkEnd w:id="322"/>
    </w:p>
    <w:p>
      <w:pPr>
        <w:pStyle w:val="Subsection"/>
        <w:spacing w:before="140"/>
        <w:rPr>
          <w:snapToGrid w:val="0"/>
        </w:rPr>
      </w:pPr>
      <w:r>
        <w:rPr>
          <w:snapToGrid w:val="0"/>
        </w:rPr>
        <w:tab/>
        <w:t>(1)</w:t>
      </w:r>
      <w:r>
        <w:rPr>
          <w:snapToGrid w:val="0"/>
        </w:rPr>
        <w:tab/>
        <w:t xml:space="preserve">The Minister may give directions in writing to the </w:t>
      </w:r>
      <w:r>
        <w:t>Authority</w:t>
      </w:r>
      <w:r>
        <w:rPr>
          <w:snapToGrid w:val="0"/>
        </w:rPr>
        <w:t xml:space="preserve"> with respect to the performance of its functions, either generally or in relation to a particular matter, and the </w:t>
      </w:r>
      <w:r>
        <w:t>Authority</w:t>
      </w:r>
      <w:r>
        <w:rPr>
          <w:snapToGrid w:val="0"/>
        </w:rPr>
        <w:t xml:space="preserve"> is to give effect to any such direction.</w:t>
      </w:r>
    </w:p>
    <w:p>
      <w:pPr>
        <w:pStyle w:val="Subsection"/>
        <w:spacing w:before="120"/>
      </w:pPr>
      <w:r>
        <w:tab/>
        <w:t>(2)</w:t>
      </w:r>
      <w:r>
        <w:tab/>
        <w:t xml:space="preserve">The text of a direction given under subsection (1) is to be — </w:t>
      </w:r>
    </w:p>
    <w:p>
      <w:pPr>
        <w:pStyle w:val="Indenta"/>
        <w:spacing w:before="60"/>
      </w:pPr>
      <w:r>
        <w:tab/>
        <w:t>(a)</w:t>
      </w:r>
      <w:r>
        <w:tab/>
        <w:t>tabled in each House of Parliament not later than 14 sitting days of that House after the day on which the direction was given; and</w:t>
      </w:r>
    </w:p>
    <w:p>
      <w:pPr>
        <w:pStyle w:val="Indenta"/>
      </w:pPr>
      <w:r>
        <w:tab/>
        <w:t>(b)</w:t>
      </w:r>
      <w:r>
        <w:tab/>
        <w:t xml:space="preserve">included in the annual report submitted by the accountable authority of the Authority under the </w:t>
      </w:r>
      <w:r>
        <w:rPr>
          <w:i/>
        </w:rPr>
        <w:t>Financial Management Act 2006</w:t>
      </w:r>
      <w:r>
        <w:t xml:space="preserve"> Part 5.</w:t>
      </w:r>
    </w:p>
    <w:p>
      <w:pPr>
        <w:pStyle w:val="Footnotesection"/>
        <w:spacing w:before="100"/>
        <w:ind w:left="890" w:hanging="890"/>
      </w:pPr>
      <w:r>
        <w:tab/>
        <w:t xml:space="preserve">[Section 18 amended by No. 77 of 2006 </w:t>
      </w:r>
      <w:del w:id="324" w:author="svcMRProcess" w:date="2018-08-26T13:15:00Z">
        <w:r>
          <w:delText>s. 17;</w:delText>
        </w:r>
      </w:del>
      <w:ins w:id="325" w:author="svcMRProcess" w:date="2018-08-26T13:15:00Z">
        <w:r>
          <w:t>Sch. 1 cl. 41(1);</w:t>
        </w:r>
      </w:ins>
      <w:r>
        <w:t xml:space="preserve"> No.</w:t>
      </w:r>
      <w:del w:id="326" w:author="svcMRProcess" w:date="2018-08-26T13:15:00Z">
        <w:r>
          <w:delText xml:space="preserve"> </w:delText>
        </w:r>
      </w:del>
      <w:ins w:id="327" w:author="svcMRProcess" w:date="2018-08-26T13:15:00Z">
        <w:r>
          <w:t> </w:t>
        </w:r>
      </w:ins>
      <w:r>
        <w:t>37 of 2011 s. 19 and 53(1).]</w:t>
      </w:r>
    </w:p>
    <w:p>
      <w:pPr>
        <w:pStyle w:val="Heading5"/>
        <w:rPr>
          <w:snapToGrid w:val="0"/>
        </w:rPr>
      </w:pPr>
      <w:bookmarkStart w:id="328" w:name="_Toc520109150"/>
      <w:bookmarkStart w:id="329" w:name="_Toc17002435"/>
      <w:bookmarkStart w:id="330" w:name="_Toc123645492"/>
      <w:bookmarkStart w:id="331" w:name="_Toc323713192"/>
      <w:bookmarkStart w:id="332" w:name="_Toc318201602"/>
      <w:r>
        <w:rPr>
          <w:rStyle w:val="CharSectno"/>
        </w:rPr>
        <w:t>19</w:t>
      </w:r>
      <w:r>
        <w:rPr>
          <w:snapToGrid w:val="0"/>
        </w:rPr>
        <w:t>.</w:t>
      </w:r>
      <w:r>
        <w:rPr>
          <w:snapToGrid w:val="0"/>
        </w:rPr>
        <w:tab/>
        <w:t>Minister to have access to information</w:t>
      </w:r>
      <w:bookmarkEnd w:id="328"/>
      <w:bookmarkEnd w:id="329"/>
      <w:bookmarkEnd w:id="330"/>
      <w:bookmarkEnd w:id="331"/>
      <w:bookmarkEnd w:id="332"/>
      <w:r>
        <w:rPr>
          <w:snapToGrid w:val="0"/>
        </w:rPr>
        <w:t xml:space="preserve"> </w:t>
      </w:r>
    </w:p>
    <w:p>
      <w:pPr>
        <w:pStyle w:val="Subsection"/>
        <w:spacing w:before="120"/>
        <w:rPr>
          <w:snapToGrid w:val="0"/>
        </w:rPr>
      </w:pPr>
      <w:r>
        <w:rPr>
          <w:snapToGrid w:val="0"/>
        </w:rPr>
        <w:tab/>
        <w:t>(1)</w:t>
      </w:r>
      <w:r>
        <w:rPr>
          <w:snapToGrid w:val="0"/>
        </w:rPr>
        <w:tab/>
      </w:r>
      <w:r>
        <w:t>The</w:t>
      </w:r>
      <w:r>
        <w:rPr>
          <w:snapToGrid w:val="0"/>
        </w:rPr>
        <w:t xml:space="preserve"> Minister is entitled — </w:t>
      </w:r>
    </w:p>
    <w:p>
      <w:pPr>
        <w:pStyle w:val="Indenta"/>
        <w:spacing w:before="60"/>
        <w:rPr>
          <w:snapToGrid w:val="0"/>
        </w:rPr>
      </w:pPr>
      <w:r>
        <w:rPr>
          <w:snapToGrid w:val="0"/>
        </w:rPr>
        <w:tab/>
        <w:t>(a)</w:t>
      </w:r>
      <w:r>
        <w:rPr>
          <w:snapToGrid w:val="0"/>
        </w:rPr>
        <w:tab/>
        <w:t>to have information in the possession of the</w:t>
      </w:r>
      <w:r>
        <w:t xml:space="preserve"> Authority</w:t>
      </w:r>
      <w:r>
        <w:rPr>
          <w:snapToGrid w:val="0"/>
        </w:rPr>
        <w:t>;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 </w:t>
      </w:r>
    </w:p>
    <w:p>
      <w:pPr>
        <w:pStyle w:val="Indenta"/>
        <w:spacing w:before="60"/>
        <w:rPr>
          <w:snapToGrid w:val="0"/>
        </w:rPr>
      </w:pPr>
      <w:r>
        <w:rPr>
          <w:snapToGrid w:val="0"/>
        </w:rPr>
        <w:tab/>
        <w:t>(a)</w:t>
      </w:r>
      <w:r>
        <w:rPr>
          <w:snapToGrid w:val="0"/>
        </w:rPr>
        <w:tab/>
        <w:t xml:space="preserve">request the </w:t>
      </w:r>
      <w:r>
        <w:t>Authority</w:t>
      </w:r>
      <w:r>
        <w:rPr>
          <w:snapToGrid w:val="0"/>
        </w:rPr>
        <w:t xml:space="preserve"> to furnish information to the Minister;</w:t>
      </w:r>
    </w:p>
    <w:p>
      <w:pPr>
        <w:pStyle w:val="Indenta"/>
        <w:spacing w:before="60"/>
        <w:rPr>
          <w:snapToGrid w:val="0"/>
        </w:rPr>
      </w:pPr>
      <w:r>
        <w:rPr>
          <w:snapToGrid w:val="0"/>
        </w:rPr>
        <w:tab/>
        <w:t>(b)</w:t>
      </w:r>
      <w:r>
        <w:rPr>
          <w:snapToGrid w:val="0"/>
        </w:rPr>
        <w:tab/>
        <w:t xml:space="preserve">request the </w:t>
      </w:r>
      <w:r>
        <w:t>Authority</w:t>
      </w:r>
      <w:r>
        <w:rPr>
          <w:snapToGrid w:val="0"/>
        </w:rPr>
        <w:t xml:space="preserve"> to give the Minister access to information;</w:t>
      </w:r>
    </w:p>
    <w:p>
      <w:pPr>
        <w:pStyle w:val="Indenta"/>
        <w:spacing w:before="60"/>
        <w:rPr>
          <w:snapToGrid w:val="0"/>
        </w:rPr>
      </w:pPr>
      <w:r>
        <w:rPr>
          <w:snapToGrid w:val="0"/>
        </w:rPr>
        <w:tab/>
        <w:t>(c)</w:t>
      </w:r>
      <w:r>
        <w:rPr>
          <w:snapToGrid w:val="0"/>
        </w:rPr>
        <w:tab/>
        <w:t xml:space="preserve">for the purposes of paragraph (b) make use of a member of staff of the </w:t>
      </w:r>
      <w:r>
        <w:t>Authority</w:t>
      </w:r>
      <w:r>
        <w:rPr>
          <w:snapToGrid w:val="0"/>
        </w:rPr>
        <w:t xml:space="preserve"> to obtain the information and furnish it to the Minister.</w:t>
      </w:r>
    </w:p>
    <w:p>
      <w:pPr>
        <w:pStyle w:val="Subsection"/>
        <w:rPr>
          <w:snapToGrid w:val="0"/>
        </w:rPr>
      </w:pPr>
      <w:r>
        <w:rPr>
          <w:snapToGrid w:val="0"/>
        </w:rPr>
        <w:tab/>
        <w:t>(3)</w:t>
      </w:r>
      <w:r>
        <w:rPr>
          <w:snapToGrid w:val="0"/>
        </w:rPr>
        <w:tab/>
        <w:t xml:space="preserve">The </w:t>
      </w:r>
      <w:r>
        <w:t>Authority</w:t>
      </w:r>
      <w:r>
        <w:rPr>
          <w:snapToGrid w:val="0"/>
        </w:rPr>
        <w:t xml:space="preserve"> is to comply with a request under subsection (2) and make its facilities and members of staff available to the Minister for the purposes of paragraph (c) of that subsection.</w:t>
      </w:r>
    </w:p>
    <w:p>
      <w:pPr>
        <w:pStyle w:val="Subsection"/>
        <w:spacing w:before="120"/>
        <w:rPr>
          <w:snapToGrid w:val="0"/>
        </w:rPr>
      </w:pPr>
      <w:r>
        <w:rPr>
          <w:snapToGrid w:val="0"/>
        </w:rPr>
        <w:tab/>
        <w:t>(4)</w:t>
      </w:r>
      <w:r>
        <w:rPr>
          <w:snapToGrid w:val="0"/>
        </w:rPr>
        <w:tab/>
        <w:t xml:space="preserve">In </w:t>
      </w:r>
      <w:r>
        <w:t>this</w:t>
      </w:r>
      <w:r>
        <w:rPr>
          <w:snapToGrid w:val="0"/>
        </w:rPr>
        <w:t xml:space="preserve">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but does not include the information to which section 19L or 19M applies.</w:t>
      </w:r>
    </w:p>
    <w:p>
      <w:pPr>
        <w:pStyle w:val="Footnotesection"/>
        <w:spacing w:before="100"/>
        <w:ind w:left="890" w:hanging="890"/>
      </w:pPr>
      <w:r>
        <w:tab/>
        <w:t>[Section 19 amended by No. 22 of 2005 s. 46; No. 37 of 2011 s. 53(1).]</w:t>
      </w:r>
    </w:p>
    <w:p>
      <w:pPr>
        <w:pStyle w:val="Heading2"/>
      </w:pPr>
      <w:bookmarkStart w:id="333" w:name="_Toc123645493"/>
      <w:bookmarkStart w:id="334" w:name="_Toc123645594"/>
      <w:bookmarkStart w:id="335" w:name="_Toc124139463"/>
      <w:bookmarkStart w:id="336" w:name="_Toc157845842"/>
      <w:bookmarkStart w:id="337" w:name="_Toc161720549"/>
      <w:bookmarkStart w:id="338" w:name="_Toc161723001"/>
      <w:bookmarkStart w:id="339" w:name="_Toc163956969"/>
      <w:bookmarkStart w:id="340" w:name="_Toc163964959"/>
      <w:bookmarkStart w:id="341" w:name="_Toc165698401"/>
      <w:bookmarkStart w:id="342" w:name="_Toc232394777"/>
      <w:bookmarkStart w:id="343" w:name="_Toc268269109"/>
      <w:bookmarkStart w:id="344" w:name="_Toc272057680"/>
      <w:bookmarkStart w:id="345" w:name="_Toc274207125"/>
      <w:bookmarkStart w:id="346" w:name="_Toc278975260"/>
      <w:bookmarkStart w:id="347" w:name="_Toc303861445"/>
      <w:bookmarkStart w:id="348" w:name="_Toc303867324"/>
      <w:bookmarkStart w:id="349" w:name="_Toc318121389"/>
      <w:bookmarkStart w:id="350" w:name="_Toc318121639"/>
      <w:bookmarkStart w:id="351" w:name="_Toc318122467"/>
      <w:bookmarkStart w:id="352" w:name="_Toc318181643"/>
      <w:bookmarkStart w:id="353" w:name="_Toc318181748"/>
      <w:bookmarkStart w:id="354" w:name="_Toc318201603"/>
      <w:bookmarkStart w:id="355" w:name="_Toc320283236"/>
      <w:bookmarkStart w:id="356" w:name="_Toc320516386"/>
      <w:bookmarkStart w:id="357" w:name="_Toc321898559"/>
      <w:bookmarkStart w:id="358" w:name="_Toc323638308"/>
      <w:bookmarkStart w:id="359" w:name="_Toc323640268"/>
      <w:bookmarkStart w:id="360" w:name="_Toc323713193"/>
      <w:bookmarkStart w:id="361" w:name="_Toc72573534"/>
      <w:bookmarkStart w:id="362" w:name="_Toc120341393"/>
      <w:bookmarkStart w:id="363" w:name="_Toc120355766"/>
      <w:r>
        <w:rPr>
          <w:rStyle w:val="CharPartNo"/>
        </w:rPr>
        <w:t>Part 3A</w:t>
      </w:r>
      <w:r>
        <w:rPr>
          <w:b w:val="0"/>
        </w:rPr>
        <w:t> </w:t>
      </w:r>
      <w:r>
        <w:t>—</w:t>
      </w:r>
      <w:r>
        <w:rPr>
          <w:b w:val="0"/>
        </w:rPr>
        <w:t> </w:t>
      </w:r>
      <w:r>
        <w:rPr>
          <w:rStyle w:val="CharPartText"/>
        </w:rPr>
        <w:t>Student records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Footnoteheading"/>
        <w:spacing w:before="100"/>
      </w:pPr>
      <w:r>
        <w:tab/>
        <w:t>[Heading inserted by No. 22 of 2005 s. 47.]</w:t>
      </w:r>
    </w:p>
    <w:p>
      <w:pPr>
        <w:pStyle w:val="Heading5"/>
      </w:pPr>
      <w:bookmarkStart w:id="364" w:name="_Toc123645494"/>
      <w:bookmarkStart w:id="365" w:name="_Toc323713194"/>
      <w:bookmarkStart w:id="366" w:name="_Toc318201604"/>
      <w:r>
        <w:rPr>
          <w:rStyle w:val="CharSectno"/>
        </w:rPr>
        <w:t>19A</w:t>
      </w:r>
      <w:r>
        <w:t>.</w:t>
      </w:r>
      <w:r>
        <w:tab/>
        <w:t>Terms used</w:t>
      </w:r>
      <w:bookmarkEnd w:id="364"/>
      <w:bookmarkEnd w:id="365"/>
      <w:del w:id="367" w:author="svcMRProcess" w:date="2018-08-26T13:15:00Z">
        <w:r>
          <w:delText xml:space="preserve"> in this Part</w:delText>
        </w:r>
      </w:del>
      <w:bookmarkEnd w:id="366"/>
    </w:p>
    <w:p>
      <w:pPr>
        <w:pStyle w:val="Subsection"/>
      </w:pPr>
      <w:r>
        <w:tab/>
        <w:t>(1)</w:t>
      </w:r>
      <w:r>
        <w:tab/>
        <w:t xml:space="preserve">In this Part, unless the contrary intention appears — </w:t>
      </w:r>
    </w:p>
    <w:p>
      <w:pPr>
        <w:pStyle w:val="Defstart"/>
      </w:pPr>
      <w:r>
        <w:rPr>
          <w:b/>
        </w:rPr>
        <w:tab/>
      </w:r>
      <w:r>
        <w:rPr>
          <w:rStyle w:val="CharDefText"/>
        </w:rPr>
        <w:t>aggregated form</w:t>
      </w:r>
      <w:r>
        <w:rPr>
          <w:bCs/>
        </w:rPr>
        <w:t>, in relation to information,</w:t>
      </w:r>
      <w:r>
        <w:t xml:space="preserve"> means in a form that could not reasonably be expected to result in the identification of any of the persons to whom the information relates;</w:t>
      </w:r>
    </w:p>
    <w:p>
      <w:pPr>
        <w:pStyle w:val="Defstart"/>
      </w:pPr>
      <w:r>
        <w:rPr>
          <w:b/>
        </w:rPr>
        <w:tab/>
      </w:r>
      <w:r>
        <w:rPr>
          <w:rStyle w:val="CharDefText"/>
        </w:rPr>
        <w:t>educational programme</w:t>
      </w:r>
      <w:r>
        <w:t>,</w:t>
      </w:r>
      <w:r>
        <w:rPr>
          <w:b/>
        </w:rPr>
        <w:t xml:space="preserve"> </w:t>
      </w:r>
      <w:r>
        <w:rPr>
          <w:rStyle w:val="CharDefText"/>
        </w:rPr>
        <w:t>principal</w:t>
      </w:r>
      <w:r>
        <w:t xml:space="preserve"> and</w:t>
      </w:r>
      <w:r>
        <w:rPr>
          <w:b/>
        </w:rPr>
        <w:t xml:space="preserve"> </w:t>
      </w:r>
      <w:r>
        <w:rPr>
          <w:rStyle w:val="CharDefText"/>
        </w:rPr>
        <w:t>school</w:t>
      </w:r>
      <w:r>
        <w:t xml:space="preserve"> have the meanings given to those terms in section 4 of the School Education Act;</w:t>
      </w:r>
    </w:p>
    <w:p>
      <w:pPr>
        <w:pStyle w:val="Defstart"/>
      </w:pPr>
      <w:r>
        <w:rPr>
          <w:b/>
        </w:rPr>
        <w:tab/>
      </w:r>
      <w:r>
        <w:rPr>
          <w:rStyle w:val="CharDefText"/>
        </w:rPr>
        <w:t>exempt child</w:t>
      </w:r>
      <w:r>
        <w:t xml:space="preserve"> means a child </w:t>
      </w:r>
      <w:r>
        <w:rPr>
          <w:bCs/>
        </w:rPr>
        <w:t xml:space="preserve">who is exempted under section 11 </w:t>
      </w:r>
      <w:r>
        <w:t>of the School Education Act;</w:t>
      </w:r>
    </w:p>
    <w:p>
      <w:pPr>
        <w:pStyle w:val="Defstart"/>
      </w:pPr>
      <w:r>
        <w:rPr>
          <w:b/>
        </w:rPr>
        <w:tab/>
      </w:r>
      <w:r>
        <w:rPr>
          <w:rStyle w:val="CharDefText"/>
        </w:rPr>
        <w:t>Minister</w:t>
      </w:r>
      <w:r>
        <w:t xml:space="preserve"> means the Minister responsible for the administration of the School Education Act;</w:t>
      </w:r>
    </w:p>
    <w:p>
      <w:pPr>
        <w:pStyle w:val="Defstart"/>
      </w:pPr>
      <w:r>
        <w:rPr>
          <w:b/>
        </w:rPr>
        <w:tab/>
      </w:r>
      <w:r>
        <w:rPr>
          <w:rStyle w:val="CharDefText"/>
        </w:rPr>
        <w:t>provider</w:t>
      </w:r>
      <w:r>
        <w:t xml:space="preserve"> has the meaning given to that term in subsection (2);</w:t>
      </w:r>
    </w:p>
    <w:p>
      <w:pPr>
        <w:pStyle w:val="Defstart"/>
      </w:pPr>
      <w:r>
        <w:rPr>
          <w:b/>
        </w:rPr>
        <w:tab/>
      </w:r>
      <w:r>
        <w:rPr>
          <w:rStyle w:val="CharDefText"/>
        </w:rPr>
        <w:t>student</w:t>
      </w:r>
      <w:r>
        <w:t xml:space="preserve"> includes — </w:t>
      </w:r>
    </w:p>
    <w:p>
      <w:pPr>
        <w:pStyle w:val="Defpara"/>
        <w:spacing w:before="70"/>
      </w:pPr>
      <w:r>
        <w:tab/>
        <w:t>(a)</w:t>
      </w:r>
      <w:r>
        <w:tab/>
        <w:t>a child in the 11</w:t>
      </w:r>
      <w:r>
        <w:rPr>
          <w:vertAlign w:val="superscript"/>
        </w:rPr>
        <w:t>th</w:t>
      </w:r>
      <w:r>
        <w:t xml:space="preserve"> or 12</w:t>
      </w:r>
      <w:r>
        <w:rPr>
          <w:vertAlign w:val="superscript"/>
        </w:rPr>
        <w:t>th</w:t>
      </w:r>
      <w:r>
        <w:t xml:space="preserve"> year of the compulsory education period who is not enrolled at a school or receiving home education</w:t>
      </w:r>
      <w:r>
        <w:rPr>
          <w:bCs/>
        </w:rPr>
        <w:t>; and</w:t>
      </w:r>
    </w:p>
    <w:p>
      <w:pPr>
        <w:pStyle w:val="Defpara"/>
        <w:spacing w:before="70"/>
      </w:pPr>
      <w:r>
        <w:tab/>
        <w:t>(b)</w:t>
      </w:r>
      <w:r>
        <w:tab/>
        <w:t>an exempt child;</w:t>
      </w:r>
    </w:p>
    <w:p>
      <w:pPr>
        <w:pStyle w:val="Defstart"/>
      </w:pPr>
      <w:r>
        <w:tab/>
      </w:r>
      <w:r>
        <w:rPr>
          <w:rStyle w:val="CharDefText"/>
        </w:rPr>
        <w:t>student record</w:t>
      </w:r>
      <w:r>
        <w:t xml:space="preserve">, in relation to a student, means a record of — </w:t>
      </w:r>
    </w:p>
    <w:p>
      <w:pPr>
        <w:pStyle w:val="Defpara"/>
        <w:spacing w:before="70"/>
      </w:pPr>
      <w:r>
        <w:tab/>
        <w:t>(a)</w:t>
      </w:r>
      <w:r>
        <w:tab/>
        <w:t xml:space="preserve">any educational programme in which the student is or has been enrolled, or that is being or has been provided to the student by a home educator; </w:t>
      </w:r>
      <w:ins w:id="368" w:author="svcMRProcess" w:date="2018-08-26T13:15:00Z">
        <w:r>
          <w:t>and</w:t>
        </w:r>
      </w:ins>
    </w:p>
    <w:p>
      <w:pPr>
        <w:pStyle w:val="Defpara"/>
        <w:spacing w:before="70"/>
      </w:pPr>
      <w:r>
        <w:tab/>
        <w:t>(b)</w:t>
      </w:r>
      <w:r>
        <w:tab/>
        <w:t xml:space="preserve">any option under section 11B of the School Education Act notified under this Part to the Authority by a provider in respect of the student; </w:t>
      </w:r>
      <w:del w:id="369" w:author="svcMRProcess" w:date="2018-08-26T13:15:00Z">
        <w:r>
          <w:delText xml:space="preserve"> </w:delText>
        </w:r>
      </w:del>
      <w:ins w:id="370" w:author="svcMRProcess" w:date="2018-08-26T13:15:00Z">
        <w:r>
          <w:t>and</w:t>
        </w:r>
      </w:ins>
    </w:p>
    <w:p>
      <w:pPr>
        <w:pStyle w:val="Defpara"/>
        <w:spacing w:before="70"/>
      </w:pPr>
      <w:r>
        <w:tab/>
        <w:t>(c)</w:t>
      </w:r>
      <w:r>
        <w:tab/>
        <w:t xml:space="preserve">any achievement or other result on the part of the student in relation to — </w:t>
      </w:r>
    </w:p>
    <w:p>
      <w:pPr>
        <w:pStyle w:val="Defsubpara"/>
        <w:spacing w:before="70"/>
      </w:pPr>
      <w:r>
        <w:tab/>
        <w:t>(i)</w:t>
      </w:r>
      <w:r>
        <w:tab/>
        <w:t>an educational programme referred to in paragraph (a); or</w:t>
      </w:r>
    </w:p>
    <w:p>
      <w:pPr>
        <w:pStyle w:val="Defsubpara"/>
      </w:pPr>
      <w:r>
        <w:tab/>
        <w:t>(ii)</w:t>
      </w:r>
      <w:r>
        <w:tab/>
        <w:t>a course, programme, activity or employment that comes within paragraph (b);</w:t>
      </w:r>
    </w:p>
    <w:p>
      <w:pPr>
        <w:pStyle w:val="Defpara"/>
      </w:pPr>
      <w:r>
        <w:tab/>
      </w:r>
      <w:r>
        <w:tab/>
        <w:t>and</w:t>
      </w:r>
    </w:p>
    <w:p>
      <w:pPr>
        <w:pStyle w:val="Defpara"/>
      </w:pPr>
      <w:r>
        <w:tab/>
        <w:t>(d)</w:t>
      </w:r>
      <w:r>
        <w:tab/>
        <w:t>any information in respect of the student required to be given to the Authority under this Part.</w:t>
      </w:r>
    </w:p>
    <w:p>
      <w:pPr>
        <w:pStyle w:val="Subsection"/>
      </w:pPr>
      <w:r>
        <w:tab/>
        <w:t>(2)</w:t>
      </w:r>
      <w:r>
        <w:tab/>
        <w:t>In this Part —</w:t>
      </w:r>
    </w:p>
    <w:p>
      <w:pPr>
        <w:pStyle w:val="Defstart"/>
      </w:pPr>
      <w:r>
        <w:rPr>
          <w:b/>
        </w:rPr>
        <w:tab/>
      </w:r>
      <w:r>
        <w:rPr>
          <w:rStyle w:val="CharDefText"/>
        </w:rPr>
        <w:t>provider</w:t>
      </w:r>
      <w:r>
        <w:t>, in relation to a person who comes within a description in the first column of the Table to this definition, means a person or body specified in the second column of the Table opposite that description.</w:t>
      </w:r>
    </w:p>
    <w:p>
      <w:pPr>
        <w:pStyle w:val="THeading"/>
      </w:pPr>
      <w:r>
        <w:t>Table</w:t>
      </w:r>
    </w:p>
    <w:tbl>
      <w:tblPr>
        <w:tblW w:w="0" w:type="auto"/>
        <w:tblInd w:w="1384" w:type="dxa"/>
        <w:tblLayout w:type="fixed"/>
        <w:tblLook w:val="0000" w:firstRow="0" w:lastRow="0" w:firstColumn="0" w:lastColumn="0" w:noHBand="0" w:noVBand="0"/>
      </w:tblPr>
      <w:tblGrid>
        <w:gridCol w:w="709"/>
        <w:gridCol w:w="2772"/>
        <w:gridCol w:w="2438"/>
      </w:tblGrid>
      <w:tr>
        <w:trPr>
          <w:cantSplit/>
        </w:trPr>
        <w:tc>
          <w:tcPr>
            <w:tcW w:w="709" w:type="dxa"/>
          </w:tcPr>
          <w:p>
            <w:pPr>
              <w:pStyle w:val="TableNAm"/>
              <w:spacing w:before="0"/>
            </w:pPr>
            <w:r>
              <w:t>1A.</w:t>
            </w:r>
          </w:p>
        </w:tc>
        <w:tc>
          <w:tcPr>
            <w:tcW w:w="2772" w:type="dxa"/>
          </w:tcPr>
          <w:p>
            <w:pPr>
              <w:pStyle w:val="TableNAm"/>
              <w:spacing w:before="0"/>
            </w:pPr>
            <w:r>
              <w:t>A student enrolled at a community kindergarten.</w:t>
            </w:r>
          </w:p>
        </w:tc>
        <w:tc>
          <w:tcPr>
            <w:tcW w:w="2438" w:type="dxa"/>
          </w:tcPr>
          <w:p>
            <w:pPr>
              <w:pStyle w:val="TableNAm"/>
              <w:spacing w:before="0"/>
            </w:pPr>
            <w:r>
              <w:t>The governing body.</w:t>
            </w:r>
          </w:p>
        </w:tc>
      </w:tr>
      <w:tr>
        <w:trPr>
          <w:cantSplit/>
        </w:trPr>
        <w:tc>
          <w:tcPr>
            <w:tcW w:w="709" w:type="dxa"/>
          </w:tcPr>
          <w:p>
            <w:pPr>
              <w:pStyle w:val="TableNAm"/>
              <w:spacing w:before="0"/>
            </w:pPr>
            <w:r>
              <w:t>1.</w:t>
            </w:r>
          </w:p>
        </w:tc>
        <w:tc>
          <w:tcPr>
            <w:tcW w:w="2772" w:type="dxa"/>
          </w:tcPr>
          <w:p>
            <w:pPr>
              <w:pStyle w:val="TableNAm"/>
              <w:spacing w:before="0"/>
            </w:pPr>
            <w:r>
              <w:t>A student enrolled in an educational programme at a school (other than a community kindergarten).</w:t>
            </w:r>
          </w:p>
        </w:tc>
        <w:tc>
          <w:tcPr>
            <w:tcW w:w="2438" w:type="dxa"/>
          </w:tcPr>
          <w:p>
            <w:pPr>
              <w:pStyle w:val="TableNAm"/>
              <w:spacing w:before="0"/>
            </w:pPr>
            <w:r>
              <w:t>The principal of the school.</w:t>
            </w:r>
          </w:p>
        </w:tc>
      </w:tr>
      <w:tr>
        <w:trPr>
          <w:cantSplit/>
        </w:trPr>
        <w:tc>
          <w:tcPr>
            <w:tcW w:w="709" w:type="dxa"/>
          </w:tcPr>
          <w:p>
            <w:pPr>
              <w:pStyle w:val="TableNAm"/>
              <w:spacing w:before="0"/>
            </w:pPr>
            <w:r>
              <w:t>2.</w:t>
            </w:r>
          </w:p>
        </w:tc>
        <w:tc>
          <w:tcPr>
            <w:tcW w:w="2772" w:type="dxa"/>
          </w:tcPr>
          <w:p>
            <w:pPr>
              <w:pStyle w:val="TableNAm"/>
              <w:spacing w:before="0"/>
            </w:pPr>
            <w:r>
              <w:t>A student undertaking a course at a university.</w:t>
            </w:r>
          </w:p>
        </w:tc>
        <w:tc>
          <w:tcPr>
            <w:tcW w:w="2438" w:type="dxa"/>
          </w:tcPr>
          <w:p>
            <w:pPr>
              <w:pStyle w:val="TableNAm"/>
              <w:spacing w:before="0"/>
            </w:pPr>
            <w:r>
              <w:t>The university.</w:t>
            </w:r>
          </w:p>
        </w:tc>
      </w:tr>
      <w:tr>
        <w:trPr>
          <w:cantSplit/>
        </w:trPr>
        <w:tc>
          <w:tcPr>
            <w:tcW w:w="709" w:type="dxa"/>
          </w:tcPr>
          <w:p>
            <w:pPr>
              <w:pStyle w:val="TableNAm"/>
              <w:spacing w:before="0"/>
            </w:pPr>
            <w:r>
              <w:t>3.</w:t>
            </w:r>
          </w:p>
        </w:tc>
        <w:tc>
          <w:tcPr>
            <w:tcW w:w="2772" w:type="dxa"/>
          </w:tcPr>
          <w:p>
            <w:pPr>
              <w:pStyle w:val="TableNAm"/>
              <w:spacing w:before="0"/>
            </w:pPr>
            <w:r>
              <w:t xml:space="preserve">A student undertaking a higher education course registered under section 23 of the </w:t>
            </w:r>
            <w:r>
              <w:rPr>
                <w:i/>
                <w:iCs/>
              </w:rPr>
              <w:t>Higher Education Act 2004</w:t>
            </w:r>
            <w:r>
              <w:t>.</w:t>
            </w:r>
          </w:p>
        </w:tc>
        <w:tc>
          <w:tcPr>
            <w:tcW w:w="2438" w:type="dxa"/>
          </w:tcPr>
          <w:p>
            <w:pPr>
              <w:pStyle w:val="TableNAm"/>
              <w:spacing w:before="0"/>
            </w:pPr>
            <w:r>
              <w:t xml:space="preserve">The education institution that provides the course. </w:t>
            </w:r>
          </w:p>
        </w:tc>
      </w:tr>
      <w:tr>
        <w:trPr>
          <w:cantSplit/>
        </w:trPr>
        <w:tc>
          <w:tcPr>
            <w:tcW w:w="709" w:type="dxa"/>
          </w:tcPr>
          <w:p>
            <w:pPr>
              <w:pStyle w:val="TableNAm"/>
              <w:spacing w:before="0"/>
            </w:pPr>
            <w:r>
              <w:t>4.</w:t>
            </w:r>
          </w:p>
        </w:tc>
        <w:tc>
          <w:tcPr>
            <w:tcW w:w="2772" w:type="dxa"/>
          </w:tcPr>
          <w:p>
            <w:pPr>
              <w:pStyle w:val="TableNAm"/>
              <w:spacing w:before="0"/>
            </w:pPr>
            <w:r>
              <w:t xml:space="preserve">A student undertaking an approved VET course within the meaning given to that term by the </w:t>
            </w:r>
            <w:r>
              <w:rPr>
                <w:i/>
                <w:iCs/>
              </w:rPr>
              <w:t>Vocational Education and Training Act 1996</w:t>
            </w:r>
            <w:r>
              <w:t xml:space="preserve"> section 5(1).</w:t>
            </w:r>
          </w:p>
        </w:tc>
        <w:tc>
          <w:tcPr>
            <w:tcW w:w="2438" w:type="dxa"/>
          </w:tcPr>
          <w:p>
            <w:pPr>
              <w:pStyle w:val="TableNAm"/>
              <w:spacing w:before="0"/>
            </w:pPr>
            <w:r>
              <w:t>The registered training provider (within the meaning given to that term by that Act section 5(1)), or a person referred to in section 58A(2) of that Act, who provides the course.</w:t>
            </w:r>
          </w:p>
        </w:tc>
      </w:tr>
      <w:tr>
        <w:trPr>
          <w:cantSplit/>
        </w:trPr>
        <w:tc>
          <w:tcPr>
            <w:tcW w:w="709" w:type="dxa"/>
          </w:tcPr>
          <w:p>
            <w:pPr>
              <w:pStyle w:val="TableNAm"/>
              <w:spacing w:before="0"/>
            </w:pPr>
            <w:r>
              <w:t>5.</w:t>
            </w:r>
          </w:p>
        </w:tc>
        <w:tc>
          <w:tcPr>
            <w:tcW w:w="2772" w:type="dxa"/>
          </w:tcPr>
          <w:p>
            <w:pPr>
              <w:pStyle w:val="TableNAm"/>
              <w:spacing w:before="0"/>
            </w:pPr>
            <w:r>
              <w:t xml:space="preserve">An apprentice under a training contract registered under the </w:t>
            </w:r>
            <w:r>
              <w:rPr>
                <w:i/>
                <w:iCs/>
              </w:rPr>
              <w:t>Vocational Education and Training Act 1996</w:t>
            </w:r>
            <w:r>
              <w:t xml:space="preserve"> Part 7 Division 2.</w:t>
            </w:r>
          </w:p>
        </w:tc>
        <w:tc>
          <w:tcPr>
            <w:tcW w:w="2438" w:type="dxa"/>
          </w:tcPr>
          <w:p>
            <w:pPr>
              <w:pStyle w:val="TableNAm"/>
              <w:spacing w:before="0"/>
            </w:pPr>
            <w:r>
              <w:t>The employer.</w:t>
            </w:r>
          </w:p>
        </w:tc>
      </w:tr>
      <w:tr>
        <w:trPr>
          <w:cantSplit/>
        </w:trPr>
        <w:tc>
          <w:tcPr>
            <w:tcW w:w="709" w:type="dxa"/>
          </w:tcPr>
          <w:p>
            <w:pPr>
              <w:pStyle w:val="TableNAm"/>
              <w:spacing w:before="0"/>
            </w:pPr>
            <w:r>
              <w:t>6.</w:t>
            </w:r>
          </w:p>
        </w:tc>
        <w:tc>
          <w:tcPr>
            <w:tcW w:w="2772" w:type="dxa"/>
          </w:tcPr>
          <w:p>
            <w:pPr>
              <w:pStyle w:val="TableNAm"/>
              <w:spacing w:before="0"/>
            </w:pPr>
            <w:r>
              <w:t>A student undertaking a course, programme or activity prescribed by order made under section 11B(2) of the School Education Act.</w:t>
            </w:r>
          </w:p>
        </w:tc>
        <w:tc>
          <w:tcPr>
            <w:tcW w:w="2438" w:type="dxa"/>
          </w:tcPr>
          <w:p>
            <w:pPr>
              <w:pStyle w:val="TableNAm"/>
              <w:spacing w:before="0"/>
            </w:pPr>
            <w:r>
              <w:t>The provider specified in the order in respect of the course, programme or activity.</w:t>
            </w:r>
          </w:p>
        </w:tc>
      </w:tr>
    </w:tbl>
    <w:p>
      <w:pPr>
        <w:pStyle w:val="Footnotesection"/>
      </w:pPr>
      <w:r>
        <w:tab/>
        <w:t>[Section 19A inserted by No. 22 of 2005 s. 47; amended by No. 44 of 2008 s. 52(2); No. 37 of 2011 s. 20 and 53(1).]</w:t>
      </w:r>
    </w:p>
    <w:p>
      <w:pPr>
        <w:pStyle w:val="Heading5"/>
      </w:pPr>
      <w:bookmarkStart w:id="371" w:name="_Toc123645495"/>
      <w:bookmarkStart w:id="372" w:name="_Toc323713195"/>
      <w:bookmarkStart w:id="373" w:name="_Toc318201605"/>
      <w:r>
        <w:rPr>
          <w:rStyle w:val="CharSectno"/>
        </w:rPr>
        <w:t>19B</w:t>
      </w:r>
      <w:r>
        <w:t>.</w:t>
      </w:r>
      <w:r>
        <w:tab/>
        <w:t>Application of this Part to overseas students</w:t>
      </w:r>
      <w:bookmarkEnd w:id="371"/>
      <w:bookmarkEnd w:id="372"/>
      <w:bookmarkEnd w:id="373"/>
    </w:p>
    <w:p>
      <w:pPr>
        <w:pStyle w:val="Subsection"/>
      </w:pPr>
      <w:r>
        <w:tab/>
        <w:t>(1)</w:t>
      </w:r>
      <w:r>
        <w:tab/>
        <w:t xml:space="preserve">In this section — </w:t>
      </w:r>
    </w:p>
    <w:p>
      <w:pPr>
        <w:pStyle w:val="Defstart"/>
      </w:pPr>
      <w:r>
        <w:rPr>
          <w:b/>
        </w:rPr>
        <w:tab/>
      </w:r>
      <w:r>
        <w:rPr>
          <w:rStyle w:val="CharDefText"/>
        </w:rPr>
        <w:t>overseas student</w:t>
      </w:r>
      <w:r>
        <w:t xml:space="preserve"> means a person who holds a student visa issued under the </w:t>
      </w:r>
      <w:r>
        <w:rPr>
          <w:i/>
          <w:iCs/>
        </w:rPr>
        <w:t>Migration Act 1958</w:t>
      </w:r>
      <w:r>
        <w:t xml:space="preserve"> of the Commonwealth.</w:t>
      </w:r>
    </w:p>
    <w:p>
      <w:pPr>
        <w:pStyle w:val="Subsection"/>
      </w:pPr>
      <w:r>
        <w:tab/>
        <w:t>(2)</w:t>
      </w:r>
      <w:r>
        <w:tab/>
        <w:t>Sections 19C and 19D do not apply to an overseas student unless the student consents to a record being opened for the student.</w:t>
      </w:r>
    </w:p>
    <w:p>
      <w:pPr>
        <w:pStyle w:val="Footnotesection"/>
      </w:pPr>
      <w:r>
        <w:tab/>
        <w:t>[Section 19B inserted by No. 22 of 2005 s. 47.]</w:t>
      </w:r>
    </w:p>
    <w:p>
      <w:pPr>
        <w:pStyle w:val="Heading5"/>
      </w:pPr>
      <w:bookmarkStart w:id="374" w:name="_Toc123645496"/>
      <w:bookmarkStart w:id="375" w:name="_Toc323713196"/>
      <w:bookmarkStart w:id="376" w:name="_Toc318201606"/>
      <w:r>
        <w:rPr>
          <w:rStyle w:val="CharSectno"/>
        </w:rPr>
        <w:t>19C</w:t>
      </w:r>
      <w:r>
        <w:t>.</w:t>
      </w:r>
      <w:r>
        <w:tab/>
        <w:t>When student record to be opened</w:t>
      </w:r>
      <w:bookmarkEnd w:id="374"/>
      <w:bookmarkEnd w:id="375"/>
      <w:bookmarkEnd w:id="376"/>
    </w:p>
    <w:p>
      <w:pPr>
        <w:pStyle w:val="Subsection"/>
      </w:pPr>
      <w:r>
        <w:tab/>
        <w:t>(1)</w:t>
      </w:r>
      <w:r>
        <w:tab/>
        <w:t xml:space="preserve">In this section — </w:t>
      </w:r>
    </w:p>
    <w:p>
      <w:pPr>
        <w:pStyle w:val="Defstart"/>
      </w:pPr>
      <w:r>
        <w:tab/>
      </w:r>
      <w:r>
        <w:rPr>
          <w:rStyle w:val="CharDefText"/>
        </w:rPr>
        <w:t>first year of the relevant education period</w:t>
      </w:r>
      <w:r>
        <w:t xml:space="preserve"> means — </w:t>
      </w:r>
    </w:p>
    <w:p>
      <w:pPr>
        <w:pStyle w:val="Defpara"/>
      </w:pPr>
      <w:r>
        <w:tab/>
        <w:t>(a)</w:t>
      </w:r>
      <w:r>
        <w:tab/>
        <w:t>for a student enrolled in a school during the pre</w:t>
      </w:r>
      <w:r>
        <w:noBreakHyphen/>
        <w:t>compulsory education period — the first year of that enrolment; or</w:t>
      </w:r>
    </w:p>
    <w:p>
      <w:pPr>
        <w:pStyle w:val="Defpara"/>
      </w:pPr>
      <w:r>
        <w:tab/>
        <w:t>(b)</w:t>
      </w:r>
      <w:r>
        <w:tab/>
        <w:t>otherwise, the first year of the compulsory education period.</w:t>
      </w:r>
    </w:p>
    <w:p>
      <w:pPr>
        <w:pStyle w:val="Subsection"/>
      </w:pPr>
      <w:r>
        <w:tab/>
        <w:t>(2)</w:t>
      </w:r>
      <w:r>
        <w:tab/>
        <w:t xml:space="preserve">A student record must be opened for every student who is in the first year of the relevant education period — </w:t>
      </w:r>
    </w:p>
    <w:p>
      <w:pPr>
        <w:pStyle w:val="Indenta"/>
      </w:pPr>
      <w:r>
        <w:tab/>
        <w:t>(a)</w:t>
      </w:r>
      <w:r>
        <w:tab/>
        <w:t>by the principal of the school at which the student is enrolled at the beginning of the school year; or</w:t>
      </w:r>
    </w:p>
    <w:p>
      <w:pPr>
        <w:pStyle w:val="Indenta"/>
      </w:pPr>
      <w:r>
        <w:tab/>
        <w:t>(ba)</w:t>
      </w:r>
      <w:r>
        <w:tab/>
        <w:t>in the case of a student who at that time is enrolled in a community kindergarten — by the governing body of the community kindergarten; or</w:t>
      </w:r>
    </w:p>
    <w:p>
      <w:pPr>
        <w:pStyle w:val="Indenta"/>
      </w:pPr>
      <w:r>
        <w:tab/>
        <w:t>(b)</w:t>
      </w:r>
      <w:r>
        <w:tab/>
        <w:t xml:space="preserve">in the case of a student who at that time — </w:t>
      </w:r>
    </w:p>
    <w:p>
      <w:pPr>
        <w:pStyle w:val="Indenti"/>
      </w:pPr>
      <w:r>
        <w:tab/>
        <w:t>(i)</w:t>
      </w:r>
      <w:r>
        <w:tab/>
        <w:t xml:space="preserve">is receiving home education; or </w:t>
      </w:r>
    </w:p>
    <w:p>
      <w:pPr>
        <w:pStyle w:val="Indenti"/>
      </w:pPr>
      <w:r>
        <w:tab/>
        <w:t>(ii)</w:t>
      </w:r>
      <w:r>
        <w:tab/>
        <w:t>is an exempt child,</w:t>
      </w:r>
    </w:p>
    <w:p>
      <w:pPr>
        <w:pStyle w:val="Indenta"/>
      </w:pPr>
      <w:r>
        <w:tab/>
      </w:r>
      <w:r>
        <w:tab/>
        <w:t>by the chief executive officer referred to in section 229 of the School Education Act.</w:t>
      </w:r>
    </w:p>
    <w:p>
      <w:pPr>
        <w:pStyle w:val="Subsection"/>
      </w:pPr>
      <w:r>
        <w:tab/>
        <w:t>(3)</w:t>
      </w:r>
      <w:r>
        <w:tab/>
        <w:t xml:space="preserve">The regulations may provide for the opening of a student record for students for whom — </w:t>
      </w:r>
    </w:p>
    <w:p>
      <w:pPr>
        <w:pStyle w:val="Indenta"/>
      </w:pPr>
      <w:r>
        <w:tab/>
        <w:t>(a)</w:t>
      </w:r>
      <w:r>
        <w:tab/>
        <w:t xml:space="preserve">on the commencement of the </w:t>
      </w:r>
      <w:r>
        <w:rPr>
          <w:i/>
          <w:snapToGrid w:val="0"/>
        </w:rPr>
        <w:t>Curriculum Council Amendment Act 2011</w:t>
      </w:r>
      <w:r>
        <w:t xml:space="preserve"> section 21, a student record has not been opened; and</w:t>
      </w:r>
    </w:p>
    <w:p>
      <w:pPr>
        <w:pStyle w:val="Indenta"/>
      </w:pPr>
      <w:r>
        <w:tab/>
        <w:t>(b)</w:t>
      </w:r>
      <w:r>
        <w:tab/>
        <w:t>a student record would not otherwise be required to be opened under this section.</w:t>
      </w:r>
    </w:p>
    <w:p>
      <w:pPr>
        <w:pStyle w:val="Footnotesection"/>
      </w:pPr>
      <w:r>
        <w:tab/>
        <w:t>[Section 19C inserted by No. 22 of 2005 s. 47; amended by No. 37 of 2011 s. 21.]</w:t>
      </w:r>
    </w:p>
    <w:p>
      <w:pPr>
        <w:pStyle w:val="Heading5"/>
      </w:pPr>
      <w:bookmarkStart w:id="377" w:name="_Toc123645497"/>
      <w:bookmarkStart w:id="378" w:name="_Toc323713197"/>
      <w:bookmarkStart w:id="379" w:name="_Toc318201607"/>
      <w:r>
        <w:rPr>
          <w:rStyle w:val="CharSectno"/>
        </w:rPr>
        <w:t>19D</w:t>
      </w:r>
      <w:r>
        <w:t>.</w:t>
      </w:r>
      <w:r>
        <w:tab/>
        <w:t>Provider may be directed to open student record</w:t>
      </w:r>
      <w:bookmarkEnd w:id="377"/>
      <w:bookmarkEnd w:id="378"/>
      <w:bookmarkEnd w:id="379"/>
    </w:p>
    <w:p>
      <w:pPr>
        <w:pStyle w:val="Subsection"/>
        <w:spacing w:before="120"/>
      </w:pPr>
      <w:r>
        <w:tab/>
      </w:r>
      <w:r>
        <w:tab/>
        <w:t>If the Authority receives information from a provider about a student for whom a student record has not been opened under section 19C, the Authority may in writing request the provider to open a student record for the student, and the provider must comply with the request.</w:t>
      </w:r>
    </w:p>
    <w:p>
      <w:pPr>
        <w:pStyle w:val="Penstart"/>
      </w:pPr>
      <w:r>
        <w:tab/>
        <w:t>Penalty: $1 500.</w:t>
      </w:r>
    </w:p>
    <w:p>
      <w:pPr>
        <w:pStyle w:val="Footnotesection"/>
      </w:pPr>
      <w:r>
        <w:tab/>
        <w:t>[Section 19D inserted by No. 22 of 2005 s. 47; amended by No. 37 of 2011 s. 53(1).]</w:t>
      </w:r>
    </w:p>
    <w:p>
      <w:pPr>
        <w:pStyle w:val="Heading5"/>
        <w:spacing w:before="180"/>
      </w:pPr>
      <w:bookmarkStart w:id="380" w:name="_Toc123645498"/>
      <w:bookmarkStart w:id="381" w:name="_Toc323713198"/>
      <w:bookmarkStart w:id="382" w:name="_Toc318201608"/>
      <w:r>
        <w:rPr>
          <w:rStyle w:val="CharSectno"/>
        </w:rPr>
        <w:t>19E</w:t>
      </w:r>
      <w:r>
        <w:t>.</w:t>
      </w:r>
      <w:r>
        <w:tab/>
        <w:t>How student record is opened</w:t>
      </w:r>
      <w:bookmarkEnd w:id="380"/>
      <w:bookmarkEnd w:id="381"/>
      <w:bookmarkEnd w:id="382"/>
    </w:p>
    <w:p>
      <w:pPr>
        <w:pStyle w:val="Subsection"/>
        <w:spacing w:before="120"/>
      </w:pPr>
      <w:r>
        <w:tab/>
      </w:r>
      <w:r>
        <w:tab/>
        <w:t xml:space="preserve">A student record is opened by the giving of the following information to the Authority, in accordance with section 19H, in respect of a student — </w:t>
      </w:r>
    </w:p>
    <w:p>
      <w:pPr>
        <w:pStyle w:val="Indenta"/>
      </w:pPr>
      <w:r>
        <w:tab/>
        <w:t>(a)</w:t>
      </w:r>
      <w:r>
        <w:tab/>
        <w:t xml:space="preserve">the student’s — </w:t>
      </w:r>
    </w:p>
    <w:p>
      <w:pPr>
        <w:pStyle w:val="Indenti"/>
      </w:pPr>
      <w:r>
        <w:tab/>
        <w:t>(i)</w:t>
      </w:r>
      <w:r>
        <w:tab/>
        <w:t>name, including any previous name;</w:t>
      </w:r>
      <w:ins w:id="383" w:author="svcMRProcess" w:date="2018-08-26T13:15:00Z">
        <w:r>
          <w:t xml:space="preserve"> and</w:t>
        </w:r>
      </w:ins>
    </w:p>
    <w:p>
      <w:pPr>
        <w:pStyle w:val="Indenti"/>
      </w:pPr>
      <w:r>
        <w:tab/>
        <w:t>(ii)</w:t>
      </w:r>
      <w:r>
        <w:tab/>
        <w:t>address; and</w:t>
      </w:r>
    </w:p>
    <w:p>
      <w:pPr>
        <w:pStyle w:val="Indenti"/>
      </w:pPr>
      <w:r>
        <w:tab/>
        <w:t>(iii)</w:t>
      </w:r>
      <w:r>
        <w:tab/>
        <w:t>date of birth;</w:t>
      </w:r>
    </w:p>
    <w:p>
      <w:pPr>
        <w:pStyle w:val="Indenta"/>
        <w:rPr>
          <w:ins w:id="384" w:author="svcMRProcess" w:date="2018-08-26T13:15:00Z"/>
        </w:rPr>
      </w:pPr>
      <w:ins w:id="385" w:author="svcMRProcess" w:date="2018-08-26T13:15:00Z">
        <w:r>
          <w:tab/>
        </w:r>
        <w:r>
          <w:tab/>
          <w:t>and</w:t>
        </w:r>
      </w:ins>
    </w:p>
    <w:p>
      <w:pPr>
        <w:pStyle w:val="Indenta"/>
      </w:pPr>
      <w:r>
        <w:tab/>
        <w:t>(b)</w:t>
      </w:r>
      <w:r>
        <w:tab/>
        <w:t xml:space="preserve">particulars of — </w:t>
      </w:r>
    </w:p>
    <w:p>
      <w:pPr>
        <w:pStyle w:val="Indenti"/>
      </w:pPr>
      <w:r>
        <w:tab/>
        <w:t>(i)</w:t>
      </w:r>
      <w:r>
        <w:tab/>
        <w:t>any educational programme in which the student is enrolled or that is being provided to the student; or</w:t>
      </w:r>
    </w:p>
    <w:p>
      <w:pPr>
        <w:pStyle w:val="Indenti"/>
      </w:pPr>
      <w:r>
        <w:tab/>
        <w:t>(ii)</w:t>
      </w:r>
      <w:r>
        <w:tab/>
        <w:t>any option under section 11B of the School Education Act for which participation arrangements have been made in respect of the student,</w:t>
      </w:r>
    </w:p>
    <w:p>
      <w:pPr>
        <w:pStyle w:val="Indenta"/>
      </w:pPr>
      <w:r>
        <w:tab/>
      </w:r>
      <w:r>
        <w:tab/>
        <w:t xml:space="preserve">at the time when the record is opened, or in the case of an exempt child, particulars of the exemption; and </w:t>
      </w:r>
    </w:p>
    <w:p>
      <w:pPr>
        <w:pStyle w:val="Indenta"/>
      </w:pPr>
      <w:r>
        <w:tab/>
        <w:t>(c)</w:t>
      </w:r>
      <w:r>
        <w:tab/>
        <w:t>any other prescribed information.</w:t>
      </w:r>
    </w:p>
    <w:p>
      <w:pPr>
        <w:pStyle w:val="Footnotesection"/>
      </w:pPr>
      <w:r>
        <w:tab/>
        <w:t>[Section 19E inserted by No. 22 of 2005 s. 47; amended by No. 37 of 2011 s. 53(1).]</w:t>
      </w:r>
    </w:p>
    <w:p>
      <w:pPr>
        <w:pStyle w:val="Heading5"/>
        <w:spacing w:before="180"/>
        <w:rPr>
          <w:del w:id="386" w:author="svcMRProcess" w:date="2018-08-26T13:15:00Z"/>
        </w:rPr>
      </w:pPr>
      <w:bookmarkStart w:id="387" w:name="_Toc318201609"/>
      <w:bookmarkStart w:id="388" w:name="_Toc123645499"/>
      <w:bookmarkStart w:id="389" w:name="_Toc323713199"/>
      <w:del w:id="390" w:author="svcMRProcess" w:date="2018-08-26T13:15:00Z">
        <w:r>
          <w:rPr>
            <w:rStyle w:val="CharSectno"/>
          </w:rPr>
          <w:delText>19F</w:delText>
        </w:r>
        <w:r>
          <w:delText>.</w:delText>
        </w:r>
        <w:r>
          <w:tab/>
          <w:delText>Notifications relating to enrolment and employment</w:delText>
        </w:r>
        <w:bookmarkEnd w:id="387"/>
      </w:del>
    </w:p>
    <w:p>
      <w:pPr>
        <w:pStyle w:val="Heading5"/>
        <w:spacing w:before="200"/>
        <w:rPr>
          <w:ins w:id="391" w:author="svcMRProcess" w:date="2018-08-26T13:15:00Z"/>
        </w:rPr>
      </w:pPr>
      <w:ins w:id="392" w:author="svcMRProcess" w:date="2018-08-26T13:15:00Z">
        <w:r>
          <w:rPr>
            <w:rStyle w:val="CharSectno"/>
          </w:rPr>
          <w:t>19F</w:t>
        </w:r>
        <w:r>
          <w:t>.</w:t>
        </w:r>
        <w:r>
          <w:tab/>
        </w:r>
        <w:bookmarkEnd w:id="388"/>
        <w:r>
          <w:t>Change of student’s provider, employer etc., provider to inform Authority of</w:t>
        </w:r>
        <w:bookmarkEnd w:id="389"/>
      </w:ins>
    </w:p>
    <w:p>
      <w:pPr>
        <w:pStyle w:val="Subsection"/>
      </w:pPr>
      <w:r>
        <w:tab/>
        <w:t>(1)</w:t>
      </w:r>
      <w:r>
        <w:tab/>
        <w:t>In this section —</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tab/>
      </w:r>
      <w:r>
        <w:rPr>
          <w:rStyle w:val="CharDefText"/>
        </w:rPr>
        <w:t>employed</w:t>
      </w:r>
      <w:r>
        <w:t xml:space="preserve"> includes employed as an apprentice.</w:t>
      </w:r>
    </w:p>
    <w:p>
      <w:pPr>
        <w:pStyle w:val="Subsection"/>
        <w:keepNext/>
      </w:pPr>
      <w:r>
        <w:tab/>
        <w:t>(2)</w:t>
      </w:r>
      <w:r>
        <w:tab/>
        <w:t xml:space="preserve">Where — </w:t>
      </w:r>
    </w:p>
    <w:p>
      <w:pPr>
        <w:pStyle w:val="Indenta"/>
      </w:pPr>
      <w:r>
        <w:tab/>
        <w:t>(a)</w:t>
      </w:r>
      <w:r>
        <w:tab/>
        <w:t>a student record has been opened by the principal of a school; and</w:t>
      </w:r>
    </w:p>
    <w:p>
      <w:pPr>
        <w:pStyle w:val="Indenta"/>
      </w:pPr>
      <w:r>
        <w:tab/>
        <w:t>(b)</w:t>
      </w:r>
      <w:r>
        <w:tab/>
        <w:t>the student concerned is enrolled with, or becomes employed by, another provider,</w:t>
      </w:r>
    </w:p>
    <w:p>
      <w:pPr>
        <w:pStyle w:val="Subsection"/>
      </w:pPr>
      <w:r>
        <w:tab/>
      </w:r>
      <w:r>
        <w:tab/>
        <w:t>the provider mentioned in paragraph (b) is to inform the Authority, in accordance with section 19H, of the enrolment or employment.</w:t>
      </w:r>
    </w:p>
    <w:p>
      <w:pPr>
        <w:pStyle w:val="Subsection"/>
      </w:pPr>
      <w:r>
        <w:tab/>
        <w:t>(3)</w:t>
      </w:r>
      <w:r>
        <w:tab/>
        <w:t>Where a student is enrolled with or becomes employed by a provider otherwise than as mentioned in subsection (2), the provider is to inform the Authority, in accordance with section 19H, of the enrolment or employment.</w:t>
      </w:r>
    </w:p>
    <w:p>
      <w:pPr>
        <w:pStyle w:val="Subsection"/>
      </w:pPr>
      <w:r>
        <w:tab/>
        <w:t>(4)</w:t>
      </w:r>
      <w:r>
        <w:tab/>
        <w:t>If a provider is aware that information previously given in respect of a student under this Part has changed or is incorrect, the provider is to give the new or correct information to the Authority in accordance with section 19H.</w:t>
      </w:r>
    </w:p>
    <w:p>
      <w:pPr>
        <w:pStyle w:val="Subsection"/>
      </w:pPr>
      <w:r>
        <w:tab/>
        <w:t>(5)</w:t>
      </w:r>
      <w:r>
        <w:tab/>
        <w:t>Where a student ceases to be enrolled with, or employed by, a provider, the provider is to inform the Authority, in accordance with section 19H, of the cessation and when it occurred.</w:t>
      </w:r>
    </w:p>
    <w:p>
      <w:pPr>
        <w:pStyle w:val="Penstart"/>
      </w:pPr>
      <w:r>
        <w:tab/>
        <w:t>Penalty applicable to subsections (2), (3), (4) and (5): $1 500.</w:t>
      </w:r>
    </w:p>
    <w:p>
      <w:pPr>
        <w:pStyle w:val="Footnotesection"/>
      </w:pPr>
      <w:r>
        <w:tab/>
        <w:t>[Section 19F inserted by No. 22 of 2005 s. 47; amended by No. 44 of 2008 s. 52(3); No. 37 of 2011 s. 53(1).]</w:t>
      </w:r>
    </w:p>
    <w:p>
      <w:pPr>
        <w:pStyle w:val="Heading5"/>
        <w:rPr>
          <w:del w:id="393" w:author="svcMRProcess" w:date="2018-08-26T13:15:00Z"/>
        </w:rPr>
      </w:pPr>
      <w:bookmarkStart w:id="394" w:name="_Toc318201610"/>
      <w:bookmarkStart w:id="395" w:name="_Toc123645500"/>
      <w:bookmarkStart w:id="396" w:name="_Toc323713200"/>
      <w:del w:id="397" w:author="svcMRProcess" w:date="2018-08-26T13:15:00Z">
        <w:r>
          <w:rPr>
            <w:rStyle w:val="CharSectno"/>
          </w:rPr>
          <w:delText>19G</w:delText>
        </w:r>
        <w:r>
          <w:delText>.</w:delText>
        </w:r>
        <w:r>
          <w:tab/>
          <w:delText>Notification of achievements</w:delText>
        </w:r>
        <w:bookmarkEnd w:id="394"/>
      </w:del>
    </w:p>
    <w:p>
      <w:pPr>
        <w:pStyle w:val="Heading5"/>
        <w:rPr>
          <w:ins w:id="398" w:author="svcMRProcess" w:date="2018-08-26T13:15:00Z"/>
        </w:rPr>
      </w:pPr>
      <w:ins w:id="399" w:author="svcMRProcess" w:date="2018-08-26T13:15:00Z">
        <w:r>
          <w:rPr>
            <w:rStyle w:val="CharSectno"/>
          </w:rPr>
          <w:t>19G</w:t>
        </w:r>
        <w:r>
          <w:t>.</w:t>
        </w:r>
        <w:r>
          <w:tab/>
        </w:r>
        <w:bookmarkEnd w:id="395"/>
        <w:r>
          <w:t>Student’s results etc., provider to inform Authority of</w:t>
        </w:r>
        <w:bookmarkEnd w:id="396"/>
      </w:ins>
    </w:p>
    <w:p>
      <w:pPr>
        <w:pStyle w:val="Subsection"/>
      </w:pPr>
      <w:r>
        <w:tab/>
      </w:r>
      <w:r>
        <w:tab/>
        <w:t>A provider must, in accordance with section 19H, give to the Authority such information as may be prescribed in respect of results achieved, or not achieved, by a student for whom a student record has been opened.</w:t>
      </w:r>
    </w:p>
    <w:p>
      <w:pPr>
        <w:pStyle w:val="Penstart"/>
      </w:pPr>
      <w:r>
        <w:tab/>
        <w:t>Penalty: $1 500.</w:t>
      </w:r>
    </w:p>
    <w:p>
      <w:pPr>
        <w:pStyle w:val="Footnotesection"/>
      </w:pPr>
      <w:r>
        <w:tab/>
        <w:t>[Section 19G inserted by No. 22 of 2005 s. 47; amended by No. 37 of 2011 s. 53(1).]</w:t>
      </w:r>
    </w:p>
    <w:p>
      <w:pPr>
        <w:pStyle w:val="Heading5"/>
      </w:pPr>
      <w:bookmarkStart w:id="400" w:name="_Toc123645501"/>
      <w:bookmarkStart w:id="401" w:name="_Toc318201611"/>
      <w:bookmarkStart w:id="402" w:name="_Toc323713201"/>
      <w:r>
        <w:rPr>
          <w:rStyle w:val="CharSectno"/>
        </w:rPr>
        <w:t>19H</w:t>
      </w:r>
      <w:r>
        <w:t>.</w:t>
      </w:r>
      <w:r>
        <w:tab/>
      </w:r>
      <w:bookmarkEnd w:id="400"/>
      <w:del w:id="403" w:author="svcMRProcess" w:date="2018-08-26T13:15:00Z">
        <w:r>
          <w:delText>Further</w:delText>
        </w:r>
      </w:del>
      <w:ins w:id="404" w:author="svcMRProcess" w:date="2018-08-26T13:15:00Z">
        <w:r>
          <w:t>Informing Authority, general</w:t>
        </w:r>
      </w:ins>
      <w:r>
        <w:t xml:space="preserve"> provisions </w:t>
      </w:r>
      <w:del w:id="405" w:author="svcMRProcess" w:date="2018-08-26T13:15:00Z">
        <w:r>
          <w:delText>relating to information</w:delText>
        </w:r>
      </w:del>
      <w:bookmarkEnd w:id="401"/>
      <w:ins w:id="406" w:author="svcMRProcess" w:date="2018-08-26T13:15:00Z">
        <w:r>
          <w:t>about</w:t>
        </w:r>
      </w:ins>
      <w:bookmarkEnd w:id="402"/>
    </w:p>
    <w:p>
      <w:pPr>
        <w:pStyle w:val="Subsection"/>
      </w:pPr>
      <w:r>
        <w:tab/>
        <w:t>(1)</w:t>
      </w:r>
      <w:r>
        <w:tab/>
        <w:t xml:space="preserve">Information is to be given to the Authority under this Part — </w:t>
      </w:r>
    </w:p>
    <w:p>
      <w:pPr>
        <w:pStyle w:val="Indenta"/>
      </w:pPr>
      <w:r>
        <w:tab/>
        <w:t>(a)</w:t>
      </w:r>
      <w:r>
        <w:tab/>
        <w:t>in a form of notice; or</w:t>
      </w:r>
    </w:p>
    <w:p>
      <w:pPr>
        <w:pStyle w:val="Indenta"/>
      </w:pPr>
      <w:r>
        <w:tab/>
        <w:t>(b)</w:t>
      </w:r>
      <w:r>
        <w:tab/>
        <w:t>by an electronic means of communication,</w:t>
      </w:r>
    </w:p>
    <w:p>
      <w:pPr>
        <w:pStyle w:val="Subsection"/>
        <w:spacing w:before="120"/>
      </w:pPr>
      <w:r>
        <w:tab/>
      </w:r>
      <w:r>
        <w:tab/>
        <w:t>as approved by the Authority for the purposes of the provision under which the information is given.</w:t>
      </w:r>
    </w:p>
    <w:p>
      <w:pPr>
        <w:pStyle w:val="Subsection"/>
        <w:spacing w:before="140"/>
      </w:pPr>
      <w:r>
        <w:tab/>
        <w:t>(2)</w:t>
      </w:r>
      <w:r>
        <w:tab/>
        <w:t>Such information is also to be given in accordance with any provision made by the regulations, including provision as to the time or times at which the information is to be given.</w:t>
      </w:r>
    </w:p>
    <w:p>
      <w:pPr>
        <w:pStyle w:val="Subsection"/>
        <w:spacing w:before="140"/>
      </w:pPr>
      <w:r>
        <w:tab/>
        <w:t>(3)</w:t>
      </w:r>
      <w:r>
        <w:tab/>
        <w:t>Without limiting its powers under section 19I(3) or 19K, the Authority is not required to satisfy itself as to the validity or correctness of information given to it under this Part.</w:t>
      </w:r>
    </w:p>
    <w:p>
      <w:pPr>
        <w:pStyle w:val="Footnotesection"/>
        <w:spacing w:before="100"/>
        <w:ind w:left="890" w:hanging="890"/>
      </w:pPr>
      <w:r>
        <w:tab/>
        <w:t>[Section 19H inserted by No. 22 of 2005 s. 47; amended by No. 37 of 2011 s. 53(1).]</w:t>
      </w:r>
    </w:p>
    <w:p>
      <w:pPr>
        <w:pStyle w:val="Heading5"/>
      </w:pPr>
      <w:bookmarkStart w:id="407" w:name="_Toc123645502"/>
      <w:bookmarkStart w:id="408" w:name="_Toc323713202"/>
      <w:bookmarkStart w:id="409" w:name="_Toc318201612"/>
      <w:r>
        <w:rPr>
          <w:rStyle w:val="CharSectno"/>
        </w:rPr>
        <w:t>19I</w:t>
      </w:r>
      <w:r>
        <w:t>.</w:t>
      </w:r>
      <w:r>
        <w:tab/>
      </w:r>
      <w:bookmarkEnd w:id="407"/>
      <w:del w:id="410" w:author="svcMRProcess" w:date="2018-08-26T13:15:00Z">
        <w:r>
          <w:delText>Function</w:delText>
        </w:r>
      </w:del>
      <w:ins w:id="411" w:author="svcMRProcess" w:date="2018-08-26T13:15:00Z">
        <w:r>
          <w:t>Database</w:t>
        </w:r>
      </w:ins>
      <w:r>
        <w:t xml:space="preserve"> of </w:t>
      </w:r>
      <w:ins w:id="412" w:author="svcMRProcess" w:date="2018-08-26T13:15:00Z">
        <w:r>
          <w:t xml:space="preserve">student records etc., </w:t>
        </w:r>
      </w:ins>
      <w:r>
        <w:t>Authority to maintain</w:t>
      </w:r>
      <w:ins w:id="413" w:author="svcMRProcess" w:date="2018-08-26T13:15:00Z">
        <w:r>
          <w:t>; use of</w:t>
        </w:r>
      </w:ins>
      <w:r>
        <w:t xml:space="preserve"> database</w:t>
      </w:r>
      <w:bookmarkEnd w:id="408"/>
      <w:del w:id="414" w:author="svcMRProcess" w:date="2018-08-26T13:15:00Z">
        <w:r>
          <w:delText xml:space="preserve"> relating to student records</w:delText>
        </w:r>
      </w:del>
      <w:bookmarkEnd w:id="409"/>
    </w:p>
    <w:p>
      <w:pPr>
        <w:pStyle w:val="Subsection"/>
        <w:spacing w:before="140"/>
      </w:pPr>
      <w:r>
        <w:tab/>
        <w:t>(1)</w:t>
      </w:r>
      <w:r>
        <w:tab/>
        <w:t xml:space="preserve">It is a function of the Authority to maintain a database containing — </w:t>
      </w:r>
    </w:p>
    <w:p>
      <w:pPr>
        <w:pStyle w:val="Indenta"/>
        <w:spacing w:before="60"/>
      </w:pPr>
      <w:r>
        <w:tab/>
        <w:t>(a)</w:t>
      </w:r>
      <w:r>
        <w:tab/>
        <w:t xml:space="preserve">information relating to student records in the possession of the former Council immediately before the commencement of the </w:t>
      </w:r>
      <w:r>
        <w:rPr>
          <w:i/>
          <w:snapToGrid w:val="0"/>
        </w:rPr>
        <w:t>Curriculum Council Amendment Act 2011</w:t>
      </w:r>
      <w:r>
        <w:t xml:space="preserve"> section 9; and</w:t>
      </w:r>
    </w:p>
    <w:p>
      <w:pPr>
        <w:pStyle w:val="Indenta"/>
        <w:spacing w:before="60"/>
      </w:pPr>
      <w:r>
        <w:tab/>
        <w:t>(b)</w:t>
      </w:r>
      <w:r>
        <w:tab/>
        <w:t xml:space="preserve">the information relating to student records given to it under this Part; and </w:t>
      </w:r>
    </w:p>
    <w:p>
      <w:pPr>
        <w:pStyle w:val="Indenta"/>
        <w:spacing w:before="60"/>
      </w:pPr>
      <w:r>
        <w:tab/>
        <w:t>(c)</w:t>
      </w:r>
      <w:r>
        <w:tab/>
        <w:t>other information relating to student records received by or otherwise available to the Authority.</w:t>
      </w:r>
    </w:p>
    <w:p>
      <w:pPr>
        <w:pStyle w:val="Subsection"/>
        <w:spacing w:before="140"/>
      </w:pPr>
      <w:r>
        <w:tab/>
        <w:t>(2A)</w:t>
      </w:r>
      <w:r>
        <w:tab/>
        <w:t xml:space="preserve">In subsection (1) — </w:t>
      </w:r>
    </w:p>
    <w:p>
      <w:pPr>
        <w:pStyle w:val="Defstart"/>
      </w:pPr>
      <w:r>
        <w:rPr>
          <w:b/>
        </w:rPr>
        <w:tab/>
      </w:r>
      <w:r>
        <w:rPr>
          <w:rStyle w:val="CharDefText"/>
        </w:rPr>
        <w:t>former Council</w:t>
      </w:r>
      <w:r>
        <w:t xml:space="preserve"> means the Curriculum Council established under this Act as in force immediately before the commencement of the </w:t>
      </w:r>
      <w:r>
        <w:rPr>
          <w:i/>
        </w:rPr>
        <w:t>Curriculum Council Amendment Act 2011</w:t>
      </w:r>
      <w:r>
        <w:t xml:space="preserve"> section 9</w:t>
      </w:r>
      <w:ins w:id="415" w:author="svcMRProcess" w:date="2018-08-26T13:15:00Z">
        <w:r>
          <w:rPr>
            <w:vertAlign w:val="superscript"/>
          </w:rPr>
          <w:t> 1</w:t>
        </w:r>
      </w:ins>
      <w:r>
        <w:t>.</w:t>
      </w:r>
    </w:p>
    <w:p>
      <w:pPr>
        <w:pStyle w:val="Subsection"/>
        <w:spacing w:before="140"/>
      </w:pPr>
      <w:r>
        <w:tab/>
        <w:t>(2)</w:t>
      </w:r>
      <w:r>
        <w:tab/>
        <w:t>The database is to be maintained in such manner and form as the Authority thinks fit.</w:t>
      </w:r>
    </w:p>
    <w:p>
      <w:pPr>
        <w:pStyle w:val="Subsection"/>
        <w:spacing w:before="140"/>
      </w:pPr>
      <w:r>
        <w:tab/>
        <w:t>(3)</w:t>
      </w:r>
      <w:r>
        <w:tab/>
        <w:t>The Authority may at any time change information in the database to correct any error or omission.</w:t>
      </w:r>
    </w:p>
    <w:p>
      <w:pPr>
        <w:pStyle w:val="Subsection"/>
      </w:pPr>
      <w:r>
        <w:tab/>
        <w:t>(4)</w:t>
      </w:r>
      <w:r>
        <w:tab/>
        <w:t>The Authority may use the database for the purpose of keeping the records of assessment and the register of courses referred to in section 14(1)(a).</w:t>
      </w:r>
    </w:p>
    <w:p>
      <w:pPr>
        <w:pStyle w:val="Subsection"/>
      </w:pPr>
      <w:r>
        <w:tab/>
        <w:t>(5)</w:t>
      </w:r>
      <w:r>
        <w:tab/>
        <w:t>The Authority may use information in the database for the purpose of performing the functions mentioned in sections 11(1), 12(2) and 14(1)(c) and (2).</w:t>
      </w:r>
    </w:p>
    <w:p>
      <w:pPr>
        <w:pStyle w:val="Footnotesection"/>
      </w:pPr>
      <w:r>
        <w:tab/>
        <w:t>[Section 19I inserted by No. 22 of 2005 s. 47; amended by No. 37 of 2011 s. 22 and 53(1).]</w:t>
      </w:r>
    </w:p>
    <w:p>
      <w:pPr>
        <w:pStyle w:val="Heading5"/>
      </w:pPr>
      <w:bookmarkStart w:id="416" w:name="_Toc123645503"/>
      <w:bookmarkStart w:id="417" w:name="_Toc318201613"/>
      <w:bookmarkStart w:id="418" w:name="_Toc323713203"/>
      <w:r>
        <w:rPr>
          <w:rStyle w:val="CharSectno"/>
        </w:rPr>
        <w:t>19J</w:t>
      </w:r>
      <w:r>
        <w:t>.</w:t>
      </w:r>
      <w:r>
        <w:tab/>
      </w:r>
      <w:bookmarkEnd w:id="416"/>
      <w:del w:id="419" w:author="svcMRProcess" w:date="2018-08-26T13:15:00Z">
        <w:r>
          <w:rPr>
            <w:bCs/>
          </w:rPr>
          <w:delText>Provision of information</w:delText>
        </w:r>
      </w:del>
      <w:ins w:id="420" w:author="svcMRProcess" w:date="2018-08-26T13:15:00Z">
        <w:r>
          <w:rPr>
            <w:bCs/>
          </w:rPr>
          <w:t>Student etc. entitled</w:t>
        </w:r>
      </w:ins>
      <w:r>
        <w:rPr>
          <w:bCs/>
        </w:rPr>
        <w:t xml:space="preserve"> to </w:t>
      </w:r>
      <w:del w:id="421" w:author="svcMRProcess" w:date="2018-08-26T13:15:00Z">
        <w:r>
          <w:rPr>
            <w:bCs/>
          </w:rPr>
          <w:delText>students and others</w:delText>
        </w:r>
      </w:del>
      <w:bookmarkEnd w:id="417"/>
      <w:ins w:id="422" w:author="svcMRProcess" w:date="2018-08-26T13:15:00Z">
        <w:r>
          <w:rPr>
            <w:bCs/>
          </w:rPr>
          <w:t>student record</w:t>
        </w:r>
      </w:ins>
      <w:bookmarkEnd w:id="418"/>
    </w:p>
    <w:p>
      <w:pPr>
        <w:pStyle w:val="Subsection"/>
      </w:pPr>
      <w:r>
        <w:tab/>
        <w:t>(1A)</w:t>
      </w:r>
      <w:r>
        <w:tab/>
        <w:t xml:space="preserve">In this section — </w:t>
      </w:r>
    </w:p>
    <w:p>
      <w:pPr>
        <w:pStyle w:val="Defstart"/>
      </w:pPr>
      <w:r>
        <w:rPr>
          <w:b/>
        </w:rPr>
        <w:tab/>
      </w:r>
      <w:r>
        <w:rPr>
          <w:rStyle w:val="CharDefText"/>
        </w:rPr>
        <w:t>parent</w:t>
      </w:r>
      <w:r>
        <w:t>, of a student, means a person who at law has responsibility for the day to day care, welfare and development of the student;</w:t>
      </w:r>
    </w:p>
    <w:p>
      <w:pPr>
        <w:pStyle w:val="Defstart"/>
      </w:pPr>
      <w:r>
        <w:rPr>
          <w:b/>
        </w:rPr>
        <w:tab/>
      </w:r>
      <w:r>
        <w:rPr>
          <w:rStyle w:val="CharDefText"/>
        </w:rPr>
        <w:t>student record</w:t>
      </w:r>
      <w:r>
        <w:t xml:space="preserve"> includes a record of assessment referred to in section 14(1)(a) that is kept in respect of a student on the database maintained under section 19I.</w:t>
      </w:r>
    </w:p>
    <w:p>
      <w:pPr>
        <w:pStyle w:val="Subsection"/>
      </w:pPr>
      <w:r>
        <w:tab/>
        <w:t>(1)</w:t>
      </w:r>
      <w:r>
        <w:tab/>
        <w:t>The Authority is to provide to a person who makes a request under subsection (2) and pays the prescribed fee, if any, a copy of the student record kept by the Authority in respect of a student.</w:t>
      </w:r>
    </w:p>
    <w:p>
      <w:pPr>
        <w:pStyle w:val="Subsection"/>
      </w:pPr>
      <w:r>
        <w:tab/>
        <w:t>(2)</w:t>
      </w:r>
      <w:r>
        <w:tab/>
        <w:t>A request may be made for a copy of a student record only by the student concerned, a parent of the student or a person who is authorised in writing by the student to obtain such a copy.</w:t>
      </w:r>
    </w:p>
    <w:p>
      <w:pPr>
        <w:pStyle w:val="Footnotesection"/>
      </w:pPr>
      <w:r>
        <w:tab/>
        <w:t>[Section 19J inserted by No. 22 of 2005 s. 47; amended by No. 37 of 2011 s. 23 and 53(1).]</w:t>
      </w:r>
    </w:p>
    <w:p>
      <w:pPr>
        <w:pStyle w:val="Heading5"/>
      </w:pPr>
      <w:bookmarkStart w:id="423" w:name="_Toc123645504"/>
      <w:bookmarkStart w:id="424" w:name="_Toc323713204"/>
      <w:bookmarkStart w:id="425" w:name="_Toc318201614"/>
      <w:r>
        <w:rPr>
          <w:rStyle w:val="CharSectno"/>
        </w:rPr>
        <w:t>19K</w:t>
      </w:r>
      <w:r>
        <w:t>.</w:t>
      </w:r>
      <w:r>
        <w:tab/>
      </w:r>
      <w:del w:id="426" w:author="svcMRProcess" w:date="2018-08-26T13:15:00Z">
        <w:r>
          <w:delText xml:space="preserve">Disclosure by </w:delText>
        </w:r>
      </w:del>
      <w:r>
        <w:t>Authority</w:t>
      </w:r>
      <w:ins w:id="427" w:author="svcMRProcess" w:date="2018-08-26T13:15:00Z">
        <w:r>
          <w:t xml:space="preserve"> may disclose information to provider</w:t>
        </w:r>
      </w:ins>
      <w:r>
        <w:t xml:space="preserve"> for checking purposes</w:t>
      </w:r>
      <w:bookmarkEnd w:id="423"/>
      <w:bookmarkEnd w:id="424"/>
      <w:bookmarkEnd w:id="425"/>
    </w:p>
    <w:p>
      <w:pPr>
        <w:pStyle w:val="Subsection"/>
      </w:pPr>
      <w:r>
        <w:tab/>
      </w:r>
      <w:r>
        <w:tab/>
        <w:t>The Authority may disclose to a provider information given to it under this Part in respect of a student for the purpose of ensuring that the information is accurate.</w:t>
      </w:r>
    </w:p>
    <w:p>
      <w:pPr>
        <w:pStyle w:val="Footnotesection"/>
      </w:pPr>
      <w:r>
        <w:tab/>
        <w:t>[Section 19K inserted by No. 22 of 2005 s. 47; amended by No. 37 of 2011 s. 53(1).]</w:t>
      </w:r>
    </w:p>
    <w:p>
      <w:pPr>
        <w:pStyle w:val="Heading5"/>
      </w:pPr>
      <w:bookmarkStart w:id="428" w:name="_Toc123645505"/>
      <w:bookmarkStart w:id="429" w:name="_Toc318201615"/>
      <w:bookmarkStart w:id="430" w:name="_Toc323713205"/>
      <w:r>
        <w:rPr>
          <w:rStyle w:val="CharSectno"/>
        </w:rPr>
        <w:t>19L</w:t>
      </w:r>
      <w:r>
        <w:t>.</w:t>
      </w:r>
      <w:r>
        <w:tab/>
      </w:r>
      <w:bookmarkEnd w:id="428"/>
      <w:del w:id="431" w:author="svcMRProcess" w:date="2018-08-26T13:15:00Z">
        <w:r>
          <w:delText xml:space="preserve">Provision of </w:delText>
        </w:r>
      </w:del>
      <w:ins w:id="432" w:author="svcMRProcess" w:date="2018-08-26T13:15:00Z">
        <w:r>
          <w:t xml:space="preserve">Authority, on request, to give Minister </w:t>
        </w:r>
      </w:ins>
      <w:r>
        <w:t xml:space="preserve">information </w:t>
      </w:r>
      <w:del w:id="433" w:author="svcMRProcess" w:date="2018-08-26T13:15:00Z">
        <w:r>
          <w:delText>to Minister for planning purposes</w:delText>
        </w:r>
      </w:del>
      <w:bookmarkEnd w:id="429"/>
      <w:ins w:id="434" w:author="svcMRProcess" w:date="2018-08-26T13:15:00Z">
        <w:r>
          <w:t>in aggregated form</w:t>
        </w:r>
      </w:ins>
      <w:bookmarkEnd w:id="430"/>
    </w:p>
    <w:p>
      <w:pPr>
        <w:pStyle w:val="Subsection"/>
        <w:spacing w:before="120"/>
      </w:pPr>
      <w:r>
        <w:tab/>
      </w:r>
      <w:r>
        <w:tab/>
        <w:t>The Minister may in writing request the Authority to provide the Minister with information, in aggregated form, that comprises, includes or is derived from information given under this Part, and the Authority is to comply with any such request.</w:t>
      </w:r>
    </w:p>
    <w:p>
      <w:pPr>
        <w:pStyle w:val="Footnotesection"/>
      </w:pPr>
      <w:r>
        <w:tab/>
        <w:t>[Section 19L inserted by No. 22 of 2005 s. 47; amended by No. 37 of 2011 s. 53(1).]</w:t>
      </w:r>
    </w:p>
    <w:p>
      <w:pPr>
        <w:pStyle w:val="Heading5"/>
      </w:pPr>
      <w:bookmarkStart w:id="435" w:name="_Toc123645506"/>
      <w:bookmarkStart w:id="436" w:name="_Toc318201616"/>
      <w:bookmarkStart w:id="437" w:name="_Toc323713206"/>
      <w:r>
        <w:rPr>
          <w:rStyle w:val="CharSectno"/>
        </w:rPr>
        <w:t>19M</w:t>
      </w:r>
      <w:r>
        <w:t>.</w:t>
      </w:r>
      <w:r>
        <w:tab/>
      </w:r>
      <w:bookmarkEnd w:id="435"/>
      <w:del w:id="438" w:author="svcMRProcess" w:date="2018-08-26T13:15:00Z">
        <w:r>
          <w:delText xml:space="preserve">Provision of </w:delText>
        </w:r>
      </w:del>
      <w:ins w:id="439" w:author="svcMRProcess" w:date="2018-08-26T13:15:00Z">
        <w:r>
          <w:t xml:space="preserve">Authority, on request, to give Minister </w:t>
        </w:r>
      </w:ins>
      <w:r>
        <w:t xml:space="preserve">information to </w:t>
      </w:r>
      <w:del w:id="440" w:author="svcMRProcess" w:date="2018-08-26T13:15:00Z">
        <w:r>
          <w:delText>Minister for monitoring and assisting compliance and participation</w:delText>
        </w:r>
      </w:del>
      <w:bookmarkEnd w:id="436"/>
      <w:ins w:id="441" w:author="svcMRProcess" w:date="2018-08-26T13:15:00Z">
        <w:r>
          <w:t>assist in enforcing School Education Act</w:t>
        </w:r>
      </w:ins>
      <w:bookmarkEnd w:id="437"/>
    </w:p>
    <w:p>
      <w:pPr>
        <w:pStyle w:val="Subsection"/>
      </w:pPr>
      <w:r>
        <w:tab/>
        <w:t>(1)</w:t>
      </w:r>
      <w:r>
        <w:tab/>
        <w:t xml:space="preserve">In subsection (2) — </w:t>
      </w:r>
    </w:p>
    <w:p>
      <w:pPr>
        <w:pStyle w:val="Defstart"/>
      </w:pPr>
      <w:r>
        <w:rPr>
          <w:b/>
        </w:rPr>
        <w:tab/>
      </w:r>
      <w:r>
        <w:rPr>
          <w:rStyle w:val="CharDefText"/>
        </w:rPr>
        <w:t>allowed information</w:t>
      </w:r>
      <w:r>
        <w:rPr>
          <w:bCs/>
        </w:rPr>
        <w:t>, in relation to a child,</w:t>
      </w:r>
      <w:r>
        <w:t xml:space="preserve"> means — </w:t>
      </w:r>
    </w:p>
    <w:p>
      <w:pPr>
        <w:pStyle w:val="Defpara"/>
      </w:pPr>
      <w:r>
        <w:tab/>
        <w:t>(a)</w:t>
      </w:r>
      <w:r>
        <w:tab/>
        <w:t xml:space="preserve">the child’s — </w:t>
      </w:r>
    </w:p>
    <w:p>
      <w:pPr>
        <w:pStyle w:val="Defsubpara"/>
      </w:pPr>
      <w:r>
        <w:tab/>
        <w:t>(i)</w:t>
      </w:r>
      <w:r>
        <w:tab/>
        <w:t>name, including any previous name;</w:t>
      </w:r>
      <w:ins w:id="442" w:author="svcMRProcess" w:date="2018-08-26T13:15:00Z">
        <w:r>
          <w:t xml:space="preserve"> and</w:t>
        </w:r>
      </w:ins>
    </w:p>
    <w:p>
      <w:pPr>
        <w:pStyle w:val="Defsubpara"/>
      </w:pPr>
      <w:r>
        <w:tab/>
        <w:t>(ii)</w:t>
      </w:r>
      <w:r>
        <w:tab/>
        <w:t xml:space="preserve">address; and </w:t>
      </w:r>
    </w:p>
    <w:p>
      <w:pPr>
        <w:pStyle w:val="Defsubpara"/>
      </w:pPr>
      <w:r>
        <w:tab/>
        <w:t>(iii)</w:t>
      </w:r>
      <w:r>
        <w:tab/>
        <w:t>date of birth;</w:t>
      </w:r>
    </w:p>
    <w:p>
      <w:pPr>
        <w:pStyle w:val="Defpara"/>
      </w:pPr>
      <w:r>
        <w:tab/>
      </w:r>
      <w:r>
        <w:tab/>
        <w:t>and</w:t>
      </w:r>
    </w:p>
    <w:p>
      <w:pPr>
        <w:pStyle w:val="Defpara"/>
      </w:pPr>
      <w:r>
        <w:tab/>
        <w:t>(b)</w:t>
      </w:r>
      <w:r>
        <w:tab/>
        <w:t xml:space="preserve">the details shown in the child’s student record of — </w:t>
      </w:r>
    </w:p>
    <w:p>
      <w:pPr>
        <w:pStyle w:val="Defsubpara"/>
      </w:pPr>
      <w:r>
        <w:tab/>
        <w:t>(i)</w:t>
      </w:r>
      <w:r>
        <w:tab/>
        <w:t>the educational programme in or for which the child was most recently enrolled or receiving home education; or</w:t>
      </w:r>
    </w:p>
    <w:p>
      <w:pPr>
        <w:pStyle w:val="Defsubpara"/>
      </w:pPr>
      <w:r>
        <w:tab/>
        <w:t>(ii)</w:t>
      </w:r>
      <w:r>
        <w:tab/>
        <w:t>the option, or combination of options, under section 11B of the School Education Act, in which the child was most recently a participant.</w:t>
      </w:r>
    </w:p>
    <w:p>
      <w:pPr>
        <w:pStyle w:val="Subsection"/>
      </w:pPr>
      <w:r>
        <w:tab/>
        <w:t>(2)</w:t>
      </w:r>
      <w:r>
        <w:tab/>
        <w:t>The Minister may, for a purpose referred to in subsection (5), in writing request the Authority to provide the Minister with the allowed information in respect of children to whom this section applies.</w:t>
      </w:r>
    </w:p>
    <w:p>
      <w:pPr>
        <w:pStyle w:val="Subsection"/>
      </w:pPr>
      <w:r>
        <w:tab/>
        <w:t>(3)</w:t>
      </w:r>
      <w:r>
        <w:tab/>
        <w:t>The Authority is to comply with a request made under subsection (2).</w:t>
      </w:r>
    </w:p>
    <w:p>
      <w:pPr>
        <w:pStyle w:val="Subsection"/>
      </w:pPr>
      <w:r>
        <w:tab/>
        <w:t>(4)</w:t>
      </w:r>
      <w:r>
        <w:tab/>
        <w:t xml:space="preserve">This section applies to a child if the student record for the child shows that he or she is or appears to be a child who — </w:t>
      </w:r>
    </w:p>
    <w:p>
      <w:pPr>
        <w:pStyle w:val="Indenta"/>
        <w:spacing w:before="60"/>
      </w:pPr>
      <w:r>
        <w:tab/>
        <w:t>(a)</w:t>
      </w:r>
      <w:r>
        <w:tab/>
        <w:t>is required by section 9 of the School Education Act to be enrolled in an educational programme or receiving home education, but is not so enrolled or receiving such education; or</w:t>
      </w:r>
    </w:p>
    <w:p>
      <w:pPr>
        <w:pStyle w:val="Indenta"/>
        <w:spacing w:before="60"/>
      </w:pPr>
      <w:r>
        <w:tab/>
        <w:t>(b)</w:t>
      </w:r>
      <w:r>
        <w:tab/>
        <w:t>is required by section 11I of that Act to be participating in an option or a combination of options under section 11B of that Act, but is not so participating.</w:t>
      </w:r>
    </w:p>
    <w:p>
      <w:pPr>
        <w:pStyle w:val="Subsection"/>
        <w:spacing w:before="130"/>
      </w:pPr>
      <w:r>
        <w:tab/>
        <w:t>(5)</w:t>
      </w:r>
      <w:r>
        <w:tab/>
        <w:t xml:space="preserve">A request may only be made by the Minister under subsection (2) — </w:t>
      </w:r>
    </w:p>
    <w:p>
      <w:pPr>
        <w:pStyle w:val="Indenta"/>
        <w:spacing w:before="60"/>
      </w:pPr>
      <w:r>
        <w:tab/>
        <w:t>(a)</w:t>
      </w:r>
      <w:r>
        <w:tab/>
        <w:t>in respect of children referred to in subsection (4)(a), for the purpose of monitoring or investigating compliance with section 9 of the School Education Act or assisting or securing such compliance; or</w:t>
      </w:r>
    </w:p>
    <w:p>
      <w:pPr>
        <w:pStyle w:val="Indenta"/>
        <w:spacing w:before="60"/>
      </w:pPr>
      <w:r>
        <w:tab/>
        <w:t>(b)</w:t>
      </w:r>
      <w:r>
        <w:tab/>
        <w:t xml:space="preserve">in respect of children referred to in subsection (4)(b), for the purpose of — </w:t>
      </w:r>
    </w:p>
    <w:p>
      <w:pPr>
        <w:pStyle w:val="Indenti"/>
        <w:spacing w:before="60"/>
      </w:pPr>
      <w:r>
        <w:tab/>
        <w:t>(i)</w:t>
      </w:r>
      <w:r>
        <w:tab/>
        <w:t>identifying those children in the 11</w:t>
      </w:r>
      <w:r>
        <w:rPr>
          <w:vertAlign w:val="superscript"/>
        </w:rPr>
        <w:t>th</w:t>
      </w:r>
      <w:r>
        <w:t xml:space="preserve"> or 12</w:t>
      </w:r>
      <w:r>
        <w:rPr>
          <w:vertAlign w:val="superscript"/>
        </w:rPr>
        <w:t>th</w:t>
      </w:r>
      <w:r>
        <w:t xml:space="preserve"> year of the compulsory education period who are not engaged full</w:t>
      </w:r>
      <w:r>
        <w:noBreakHyphen/>
        <w:t>time in education, training or employment as provided by the School Education Act;</w:t>
      </w:r>
      <w:ins w:id="443" w:author="svcMRProcess" w:date="2018-08-26T13:15:00Z">
        <w:r>
          <w:t xml:space="preserve"> and</w:t>
        </w:r>
      </w:ins>
    </w:p>
    <w:p>
      <w:pPr>
        <w:pStyle w:val="Indenti"/>
        <w:spacing w:before="60"/>
      </w:pPr>
      <w:r>
        <w:tab/>
        <w:t>(ii)</w:t>
      </w:r>
      <w:r>
        <w:tab/>
        <w:t>giving such children information about school education and the options that are available under that Act; and</w:t>
      </w:r>
    </w:p>
    <w:p>
      <w:pPr>
        <w:pStyle w:val="Indenti"/>
        <w:spacing w:before="60"/>
      </w:pPr>
      <w:r>
        <w:tab/>
        <w:t>(iii)</w:t>
      </w:r>
      <w:r>
        <w:tab/>
        <w:t>encouraging and helping parents in relation to the matters referred to in subparagraphs (i) and</w:t>
      </w:r>
      <w:del w:id="444" w:author="svcMRProcess" w:date="2018-08-26T13:15:00Z">
        <w:r>
          <w:delText xml:space="preserve"> </w:delText>
        </w:r>
      </w:del>
      <w:ins w:id="445" w:author="svcMRProcess" w:date="2018-08-26T13:15:00Z">
        <w:r>
          <w:t> </w:t>
        </w:r>
      </w:ins>
      <w:r>
        <w:t>(ii).</w:t>
      </w:r>
    </w:p>
    <w:p>
      <w:pPr>
        <w:pStyle w:val="Footnotesection"/>
        <w:spacing w:before="100"/>
        <w:ind w:left="890" w:hanging="890"/>
      </w:pPr>
      <w:r>
        <w:tab/>
        <w:t>[Section 19M inserted by No. 22 of 2005 s. 47; amended by No. 37 of 2011 s. 53(1).]</w:t>
      </w:r>
    </w:p>
    <w:p>
      <w:pPr>
        <w:pStyle w:val="Heading5"/>
        <w:spacing w:before="200"/>
      </w:pPr>
      <w:bookmarkStart w:id="446" w:name="_Toc123645507"/>
      <w:bookmarkStart w:id="447" w:name="_Toc318201617"/>
      <w:bookmarkStart w:id="448" w:name="_Toc323713207"/>
      <w:r>
        <w:rPr>
          <w:rStyle w:val="CharSectno"/>
        </w:rPr>
        <w:t>19N</w:t>
      </w:r>
      <w:r>
        <w:t>.</w:t>
      </w:r>
      <w:r>
        <w:tab/>
      </w:r>
      <w:bookmarkEnd w:id="446"/>
      <w:r>
        <w:t xml:space="preserve">Disclosure </w:t>
      </w:r>
      <w:ins w:id="449" w:author="svcMRProcess" w:date="2018-08-26T13:15:00Z">
        <w:r>
          <w:t xml:space="preserve">by Minister </w:t>
        </w:r>
      </w:ins>
      <w:r>
        <w:t xml:space="preserve">of information </w:t>
      </w:r>
      <w:del w:id="450" w:author="svcMRProcess" w:date="2018-08-26T13:15:00Z">
        <w:r>
          <w:delText>by Minister</w:delText>
        </w:r>
      </w:del>
      <w:bookmarkEnd w:id="447"/>
      <w:ins w:id="451" w:author="svcMRProcess" w:date="2018-08-26T13:15:00Z">
        <w:r>
          <w:t>given under s. 19M</w:t>
        </w:r>
      </w:ins>
      <w:bookmarkEnd w:id="448"/>
    </w:p>
    <w:p>
      <w:pPr>
        <w:pStyle w:val="Subsection"/>
        <w:spacing w:before="130"/>
      </w:pPr>
      <w:r>
        <w:tab/>
        <w:t>(1)</w:t>
      </w:r>
      <w:r>
        <w:tab/>
        <w:t>This section applies to information provided to the Minister under section 19M in respect of a child to whom that section applies.</w:t>
      </w:r>
    </w:p>
    <w:p>
      <w:pPr>
        <w:pStyle w:val="Subsection"/>
        <w:rPr>
          <w:b/>
          <w:i/>
        </w:rPr>
      </w:pPr>
      <w:r>
        <w:tab/>
        <w:t>(2)</w:t>
      </w:r>
      <w:r>
        <w:tab/>
        <w:t xml:space="preserve">The Minister may disclose the information to a person or body that the Minister considers appropriate, including an authorised person as defined in section 12 of the School Education Act. </w:t>
      </w:r>
    </w:p>
    <w:p>
      <w:pPr>
        <w:pStyle w:val="Subsection"/>
      </w:pPr>
      <w:r>
        <w:tab/>
        <w:t>(3)</w:t>
      </w:r>
      <w:r>
        <w:tab/>
        <w:t>Such a disclosure may only be made by the Minister for a purpose referred to in section 19M(5).</w:t>
      </w:r>
    </w:p>
    <w:p>
      <w:pPr>
        <w:pStyle w:val="Subsection"/>
      </w:pPr>
      <w:r>
        <w:tab/>
        <w:t>(4)</w:t>
      </w:r>
      <w:r>
        <w:tab/>
        <w:t>A person, or a person connected with a body, that receives information disclosed by the Minister under subsection (2) must not, directly or indirectly, record, disclose or make use of the information except for a purpose referred to in section 19M(5).</w:t>
      </w:r>
    </w:p>
    <w:p>
      <w:pPr>
        <w:pStyle w:val="Penstart"/>
      </w:pPr>
      <w:r>
        <w:tab/>
        <w:t>Penalty: $10 000 and imprisonment for 12 months.</w:t>
      </w:r>
    </w:p>
    <w:p>
      <w:pPr>
        <w:pStyle w:val="Footnotesection"/>
      </w:pPr>
      <w:r>
        <w:tab/>
        <w:t>[Section 19N inserted by No. 22 of 2005 s. 47.]</w:t>
      </w:r>
    </w:p>
    <w:p>
      <w:pPr>
        <w:pStyle w:val="Heading5"/>
      </w:pPr>
      <w:bookmarkStart w:id="452" w:name="_Toc123645508"/>
      <w:bookmarkStart w:id="453" w:name="_Toc318201618"/>
      <w:bookmarkStart w:id="454" w:name="_Toc323713208"/>
      <w:r>
        <w:rPr>
          <w:rStyle w:val="CharSectno"/>
        </w:rPr>
        <w:t>19O</w:t>
      </w:r>
      <w:r>
        <w:t>.</w:t>
      </w:r>
      <w:r>
        <w:tab/>
      </w:r>
      <w:bookmarkEnd w:id="452"/>
      <w:r>
        <w:t xml:space="preserve">Delegation </w:t>
      </w:r>
      <w:del w:id="455" w:author="svcMRProcess" w:date="2018-08-26T13:15:00Z">
        <w:r>
          <w:delText>and subdelegation</w:delText>
        </w:r>
      </w:del>
      <w:bookmarkEnd w:id="453"/>
      <w:ins w:id="456" w:author="svcMRProcess" w:date="2018-08-26T13:15:00Z">
        <w:r>
          <w:t>by Minister etc. of s. 19L, 19M and 19N functions</w:t>
        </w:r>
      </w:ins>
      <w:bookmarkEnd w:id="454"/>
    </w:p>
    <w:p>
      <w:pPr>
        <w:pStyle w:val="Subsection"/>
      </w:pPr>
      <w:r>
        <w:tab/>
      </w:r>
      <w:r>
        <w:tab/>
        <w:t>Sections 224 and 225 of the School Education Act apply in respect of the functions of the Minister under sections 19L, 19M and 19N in the same way as they apply to the functions of the Minister under that Act.</w:t>
      </w:r>
    </w:p>
    <w:p>
      <w:pPr>
        <w:pStyle w:val="Footnotesection"/>
      </w:pPr>
      <w:r>
        <w:tab/>
        <w:t>[Section 19O inserted by No. 22 of 2005 s. 47.]</w:t>
      </w:r>
    </w:p>
    <w:p>
      <w:pPr>
        <w:pStyle w:val="Heading5"/>
      </w:pPr>
      <w:bookmarkStart w:id="457" w:name="_Toc123645509"/>
      <w:bookmarkStart w:id="458" w:name="_Toc318201619"/>
      <w:bookmarkStart w:id="459" w:name="_Toc323713209"/>
      <w:r>
        <w:rPr>
          <w:rStyle w:val="CharSectno"/>
        </w:rPr>
        <w:t>19P</w:t>
      </w:r>
      <w:r>
        <w:t>.</w:t>
      </w:r>
      <w:r>
        <w:tab/>
      </w:r>
      <w:bookmarkEnd w:id="457"/>
      <w:del w:id="460" w:author="svcMRProcess" w:date="2018-08-26T13:15:00Z">
        <w:r>
          <w:delText xml:space="preserve">Provision of information </w:delText>
        </w:r>
      </w:del>
      <w:ins w:id="461" w:author="svcMRProcess" w:date="2018-08-26T13:15:00Z">
        <w:r>
          <w:t xml:space="preserve">Authority </w:t>
        </w:r>
      </w:ins>
      <w:r>
        <w:t xml:space="preserve">to </w:t>
      </w:r>
      <w:ins w:id="462" w:author="svcMRProcess" w:date="2018-08-26T13:15:00Z">
        <w:r>
          <w:t xml:space="preserve">give </w:t>
        </w:r>
      </w:ins>
      <w:r>
        <w:t>certain entities</w:t>
      </w:r>
      <w:bookmarkEnd w:id="458"/>
      <w:ins w:id="463" w:author="svcMRProcess" w:date="2018-08-26T13:15:00Z">
        <w:r>
          <w:t xml:space="preserve"> certain information in aggregated form</w:t>
        </w:r>
      </w:ins>
      <w:bookmarkEnd w:id="459"/>
    </w:p>
    <w:p>
      <w:pPr>
        <w:pStyle w:val="Subsection"/>
        <w:keepNext/>
      </w:pPr>
      <w:r>
        <w:tab/>
        <w:t>(1)</w:t>
      </w:r>
      <w:r>
        <w:tab/>
        <w:t xml:space="preserve">The Authority is to provide each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pPr>
      <w:r>
        <w:tab/>
      </w:r>
      <w:r>
        <w:tab/>
        <w:t>with the information prescribed in respect of that body being information that comprises, includes or is derived from information given under this Part.</w:t>
      </w:r>
    </w:p>
    <w:p>
      <w:pPr>
        <w:pStyle w:val="Subsection"/>
      </w:pPr>
      <w:r>
        <w:tab/>
        <w:t>(2)</w:t>
      </w:r>
      <w:r>
        <w:tab/>
        <w:t>The information is to be in aggregated form and given at the prescribed times.</w:t>
      </w:r>
    </w:p>
    <w:p>
      <w:pPr>
        <w:pStyle w:val="Footnotesection"/>
      </w:pPr>
      <w:r>
        <w:tab/>
        <w:t>[Section 19P inserted by No. 22 of 2005 s. 47; amended by No. 37 of 2011 s. 53(1).]</w:t>
      </w:r>
    </w:p>
    <w:p>
      <w:pPr>
        <w:pStyle w:val="Heading2"/>
      </w:pPr>
      <w:bookmarkStart w:id="464" w:name="_Toc123645510"/>
      <w:bookmarkStart w:id="465" w:name="_Toc123645611"/>
      <w:bookmarkStart w:id="466" w:name="_Toc124139480"/>
      <w:bookmarkStart w:id="467" w:name="_Toc157845859"/>
      <w:bookmarkStart w:id="468" w:name="_Toc161720566"/>
      <w:bookmarkStart w:id="469" w:name="_Toc161723018"/>
      <w:bookmarkStart w:id="470" w:name="_Toc163956986"/>
      <w:bookmarkStart w:id="471" w:name="_Toc163964976"/>
      <w:bookmarkStart w:id="472" w:name="_Toc165698418"/>
      <w:bookmarkStart w:id="473" w:name="_Toc232394794"/>
      <w:bookmarkStart w:id="474" w:name="_Toc268269126"/>
      <w:bookmarkStart w:id="475" w:name="_Toc272057697"/>
      <w:bookmarkStart w:id="476" w:name="_Toc274207142"/>
      <w:bookmarkStart w:id="477" w:name="_Toc278975277"/>
      <w:bookmarkStart w:id="478" w:name="_Toc303861462"/>
      <w:bookmarkStart w:id="479" w:name="_Toc303867341"/>
      <w:bookmarkStart w:id="480" w:name="_Toc318121406"/>
      <w:bookmarkStart w:id="481" w:name="_Toc318121656"/>
      <w:bookmarkStart w:id="482" w:name="_Toc318122484"/>
      <w:bookmarkStart w:id="483" w:name="_Toc318181660"/>
      <w:bookmarkStart w:id="484" w:name="_Toc318181765"/>
      <w:bookmarkStart w:id="485" w:name="_Toc318201620"/>
      <w:bookmarkStart w:id="486" w:name="_Toc320283253"/>
      <w:bookmarkStart w:id="487" w:name="_Toc320516403"/>
      <w:bookmarkStart w:id="488" w:name="_Toc321898576"/>
      <w:bookmarkStart w:id="489" w:name="_Toc323638325"/>
      <w:bookmarkStart w:id="490" w:name="_Toc323640285"/>
      <w:bookmarkStart w:id="491" w:name="_Toc323713210"/>
      <w:r>
        <w:rPr>
          <w:rStyle w:val="CharPartNo"/>
        </w:rPr>
        <w:t>Part 4</w:t>
      </w:r>
      <w:r>
        <w:rPr>
          <w:rStyle w:val="CharDivNo"/>
        </w:rPr>
        <w:t> </w:t>
      </w:r>
      <w:r>
        <w:t>—</w:t>
      </w:r>
      <w:r>
        <w:rPr>
          <w:rStyle w:val="CharDivText"/>
        </w:rPr>
        <w:t> </w:t>
      </w:r>
      <w:r>
        <w:rPr>
          <w:rStyle w:val="CharPartText"/>
        </w:rPr>
        <w:t>Staff</w:t>
      </w:r>
      <w:bookmarkEnd w:id="361"/>
      <w:bookmarkEnd w:id="362"/>
      <w:bookmarkEnd w:id="3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Pr>
          <w:rStyle w:val="CharPartText"/>
        </w:rPr>
        <w:t xml:space="preserve"> </w:t>
      </w:r>
    </w:p>
    <w:p>
      <w:pPr>
        <w:pStyle w:val="Heading5"/>
        <w:rPr>
          <w:snapToGrid w:val="0"/>
        </w:rPr>
      </w:pPr>
      <w:bookmarkStart w:id="492" w:name="_Toc520109151"/>
      <w:bookmarkStart w:id="493" w:name="_Toc17002436"/>
      <w:bookmarkStart w:id="494" w:name="_Toc123645511"/>
      <w:bookmarkStart w:id="495" w:name="_Toc323713211"/>
      <w:bookmarkStart w:id="496" w:name="_Toc318201621"/>
      <w:r>
        <w:rPr>
          <w:rStyle w:val="CharSectno"/>
        </w:rPr>
        <w:t>20</w:t>
      </w:r>
      <w:r>
        <w:rPr>
          <w:snapToGrid w:val="0"/>
        </w:rPr>
        <w:t>.</w:t>
      </w:r>
      <w:r>
        <w:rPr>
          <w:snapToGrid w:val="0"/>
        </w:rPr>
        <w:tab/>
        <w:t>Chief executive officer</w:t>
      </w:r>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 xml:space="preserve">A chief executive officer of the </w:t>
      </w:r>
      <w:r>
        <w:t>Authority</w:t>
      </w:r>
      <w:r>
        <w:rPr>
          <w:snapToGrid w:val="0"/>
        </w:rPr>
        <w:t xml:space="preserve">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Subject to the control of the </w:t>
      </w:r>
      <w:r>
        <w:t>Board,</w:t>
      </w:r>
      <w:r>
        <w:rPr>
          <w:snapToGrid w:val="0"/>
        </w:rPr>
        <w:t xml:space="preserve"> the chief executive officer is responsible for, and has the necessary powers to administer, the day to day operations of the </w:t>
      </w:r>
      <w:r>
        <w:t>Authority.</w:t>
      </w:r>
    </w:p>
    <w:p>
      <w:pPr>
        <w:pStyle w:val="Footnotesection"/>
      </w:pPr>
      <w:bookmarkStart w:id="497" w:name="_Toc520109152"/>
      <w:bookmarkStart w:id="498" w:name="_Toc17002437"/>
      <w:bookmarkStart w:id="499" w:name="_Toc123645512"/>
      <w:r>
        <w:tab/>
        <w:t>[Section 20 amended by No. 37 of 2011 s. 24 and 53(1).]</w:t>
      </w:r>
    </w:p>
    <w:p>
      <w:pPr>
        <w:pStyle w:val="Heading5"/>
        <w:rPr>
          <w:snapToGrid w:val="0"/>
        </w:rPr>
      </w:pPr>
      <w:bookmarkStart w:id="500" w:name="_Toc323713212"/>
      <w:bookmarkStart w:id="501" w:name="_Toc318201622"/>
      <w:r>
        <w:rPr>
          <w:rStyle w:val="CharSectno"/>
        </w:rPr>
        <w:t>21</w:t>
      </w:r>
      <w:r>
        <w:rPr>
          <w:snapToGrid w:val="0"/>
        </w:rPr>
        <w:t>.</w:t>
      </w:r>
      <w:r>
        <w:rPr>
          <w:snapToGrid w:val="0"/>
        </w:rPr>
        <w:tab/>
        <w:t>Other staff</w:t>
      </w:r>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w:t>
      </w:r>
      <w:r>
        <w:t>Authority</w:t>
      </w:r>
      <w:r>
        <w:rPr>
          <w:snapToGrid w:val="0"/>
        </w:rPr>
        <w:t xml:space="preserve"> to perform its functions.</w:t>
      </w:r>
    </w:p>
    <w:p>
      <w:pPr>
        <w:pStyle w:val="Subsection"/>
        <w:rPr>
          <w:snapToGrid w:val="0"/>
        </w:rPr>
      </w:pPr>
      <w:r>
        <w:rPr>
          <w:snapToGrid w:val="0"/>
        </w:rPr>
        <w:tab/>
        <w:t>(2)</w:t>
      </w:r>
      <w:r>
        <w:rPr>
          <w:snapToGrid w:val="0"/>
        </w:rPr>
        <w:tab/>
        <w:t xml:space="preserve">The </w:t>
      </w:r>
      <w:r>
        <w:t>Authority</w:t>
      </w:r>
      <w:r>
        <w:rPr>
          <w:snapToGrid w:val="0"/>
        </w:rPr>
        <w:t xml:space="preserve"> may engage persons as staff otherwise than under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Persons referred to in subsection (2) are to be employed, subject to any relevant industrial award, order or agreement, on such terms and conditions as the </w:t>
      </w:r>
      <w:r>
        <w:t>Authority</w:t>
      </w:r>
      <w:r>
        <w:rPr>
          <w:snapToGrid w:val="0"/>
        </w:rPr>
        <w:t xml:space="preserve"> determines.</w:t>
      </w:r>
    </w:p>
    <w:p>
      <w:pPr>
        <w:pStyle w:val="Subsection"/>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rPr>
          <w:snapToGrid w:val="0"/>
        </w:rPr>
      </w:pPr>
      <w:r>
        <w:rPr>
          <w:snapToGrid w:val="0"/>
        </w:rPr>
        <w:tab/>
        <w:t>(5)</w:t>
      </w:r>
      <w:r>
        <w:rPr>
          <w:snapToGrid w:val="0"/>
        </w:rPr>
        <w:tab/>
        <w:t xml:space="preserve">Subsections (1) and (2) do not affect the power of the </w:t>
      </w:r>
      <w:r>
        <w:t>Authority</w:t>
      </w:r>
      <w:r>
        <w:rPr>
          <w:snapToGrid w:val="0"/>
        </w:rPr>
        <w:t xml:space="preserve"> to engage a person under a contract for services or appoint a person on a casual employment basis under section 100 of the </w:t>
      </w:r>
      <w:r>
        <w:rPr>
          <w:i/>
          <w:snapToGrid w:val="0"/>
        </w:rPr>
        <w:t>Public Sector Management Act 1994</w:t>
      </w:r>
      <w:r>
        <w:rPr>
          <w:snapToGrid w:val="0"/>
        </w:rPr>
        <w:t>.</w:t>
      </w:r>
    </w:p>
    <w:p>
      <w:pPr>
        <w:pStyle w:val="Subsection"/>
        <w:rPr>
          <w:snapToGrid w:val="0"/>
        </w:rPr>
      </w:pPr>
      <w:r>
        <w:rPr>
          <w:snapToGrid w:val="0"/>
        </w:rPr>
        <w:tab/>
        <w:t>(6)</w:t>
      </w:r>
      <w:r>
        <w:rPr>
          <w:snapToGrid w:val="0"/>
        </w:rPr>
        <w:tab/>
        <w:t xml:space="preserve">The </w:t>
      </w:r>
      <w:r>
        <w:t>Authority</w:t>
      </w:r>
      <w:r>
        <w:rPr>
          <w:snapToGrid w:val="0"/>
        </w:rPr>
        <w:t xml:space="preserve"> may, by arrangement on such terms as are agreed with the relevant parties, make use of the services of a person employed by another person.</w:t>
      </w:r>
    </w:p>
    <w:p>
      <w:pPr>
        <w:pStyle w:val="Footnotesection"/>
      </w:pPr>
      <w:r>
        <w:tab/>
        <w:t>[Section 21 amended by No. 20 of 2002 s. 27; No. 37 of 2011 s. 53(1); amended in Gazette 15 Aug 2003 p. 3692.]</w:t>
      </w:r>
    </w:p>
    <w:p>
      <w:pPr>
        <w:pStyle w:val="Heading5"/>
        <w:rPr>
          <w:snapToGrid w:val="0"/>
        </w:rPr>
      </w:pPr>
      <w:bookmarkStart w:id="502" w:name="_Toc520109153"/>
      <w:bookmarkStart w:id="503" w:name="_Toc17002438"/>
      <w:bookmarkStart w:id="504" w:name="_Toc123645513"/>
      <w:bookmarkStart w:id="505" w:name="_Toc323713213"/>
      <w:bookmarkStart w:id="506" w:name="_Toc318201623"/>
      <w:r>
        <w:rPr>
          <w:rStyle w:val="CharSectno"/>
        </w:rPr>
        <w:t>22</w:t>
      </w:r>
      <w:r>
        <w:rPr>
          <w:snapToGrid w:val="0"/>
        </w:rPr>
        <w:t>.</w:t>
      </w:r>
      <w:r>
        <w:rPr>
          <w:snapToGrid w:val="0"/>
        </w:rPr>
        <w:tab/>
        <w:t>Use of other government staff etc.</w:t>
      </w:r>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 xml:space="preserve">An arrangement under subsection (1) is to be made between the </w:t>
      </w:r>
      <w:r>
        <w:t>Authority</w:t>
      </w:r>
      <w:r>
        <w:rPr>
          <w:snapToGrid w:val="0"/>
        </w:rPr>
        <w:t xml:space="preserve"> and the relevant employing authority and is to be made on such terms as they agree.</w:t>
      </w:r>
    </w:p>
    <w:p>
      <w:pPr>
        <w:pStyle w:val="Footnotesection"/>
      </w:pPr>
      <w:bookmarkStart w:id="507" w:name="_Toc72573538"/>
      <w:bookmarkStart w:id="508" w:name="_Toc120341397"/>
      <w:bookmarkStart w:id="509" w:name="_Toc120355770"/>
      <w:bookmarkStart w:id="510" w:name="_Toc123645514"/>
      <w:bookmarkStart w:id="511" w:name="_Toc123645615"/>
      <w:bookmarkStart w:id="512" w:name="_Toc124139484"/>
      <w:bookmarkStart w:id="513" w:name="_Toc157845863"/>
      <w:bookmarkStart w:id="514" w:name="_Toc161720570"/>
      <w:bookmarkStart w:id="515" w:name="_Toc161723022"/>
      <w:bookmarkStart w:id="516" w:name="_Toc163956990"/>
      <w:bookmarkStart w:id="517" w:name="_Toc163964980"/>
      <w:bookmarkStart w:id="518" w:name="_Toc165698422"/>
      <w:bookmarkStart w:id="519" w:name="_Toc232394798"/>
      <w:bookmarkStart w:id="520" w:name="_Toc268269130"/>
      <w:bookmarkStart w:id="521" w:name="_Toc272057701"/>
      <w:bookmarkStart w:id="522" w:name="_Toc274207146"/>
      <w:bookmarkStart w:id="523" w:name="_Toc278975281"/>
      <w:bookmarkStart w:id="524" w:name="_Toc303861466"/>
      <w:bookmarkStart w:id="525" w:name="_Toc303867345"/>
      <w:r>
        <w:tab/>
        <w:t>[Section 22 amended by No. 37 of 2011 s. 25 and 53(1).]</w:t>
      </w:r>
    </w:p>
    <w:p>
      <w:pPr>
        <w:pStyle w:val="Heading2"/>
      </w:pPr>
      <w:bookmarkStart w:id="526" w:name="_Toc318121410"/>
      <w:bookmarkStart w:id="527" w:name="_Toc318121660"/>
      <w:bookmarkStart w:id="528" w:name="_Toc318122488"/>
      <w:bookmarkStart w:id="529" w:name="_Toc318181664"/>
      <w:bookmarkStart w:id="530" w:name="_Toc318181769"/>
      <w:bookmarkStart w:id="531" w:name="_Toc318201624"/>
      <w:bookmarkStart w:id="532" w:name="_Toc320283257"/>
      <w:bookmarkStart w:id="533" w:name="_Toc320516407"/>
      <w:bookmarkStart w:id="534" w:name="_Toc321898580"/>
      <w:bookmarkStart w:id="535" w:name="_Toc323638329"/>
      <w:bookmarkStart w:id="536" w:name="_Toc323640289"/>
      <w:bookmarkStart w:id="537" w:name="_Toc323713214"/>
      <w:r>
        <w:rPr>
          <w:rStyle w:val="CharPartNo"/>
        </w:rPr>
        <w:t>Part 5</w:t>
      </w:r>
      <w:r>
        <w:rPr>
          <w:rStyle w:val="CharDivNo"/>
        </w:rPr>
        <w:t> </w:t>
      </w:r>
      <w:r>
        <w:t>—</w:t>
      </w:r>
      <w:r>
        <w:rPr>
          <w:rStyle w:val="CharDivText"/>
        </w:rPr>
        <w:t> </w:t>
      </w:r>
      <w:r>
        <w:rPr>
          <w:rStyle w:val="CharPartText"/>
        </w:rPr>
        <w:t>Financial provisions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Pr>
          <w:rStyle w:val="CharPartText"/>
        </w:rPr>
        <w:t xml:space="preserve"> </w:t>
      </w:r>
    </w:p>
    <w:p>
      <w:pPr>
        <w:pStyle w:val="Heading5"/>
        <w:rPr>
          <w:snapToGrid w:val="0"/>
        </w:rPr>
      </w:pPr>
      <w:bookmarkStart w:id="538" w:name="_Toc520109154"/>
      <w:bookmarkStart w:id="539" w:name="_Toc17002439"/>
      <w:bookmarkStart w:id="540" w:name="_Toc123645515"/>
      <w:bookmarkStart w:id="541" w:name="_Toc323713215"/>
      <w:bookmarkStart w:id="542" w:name="_Toc318201625"/>
      <w:r>
        <w:rPr>
          <w:rStyle w:val="CharSectno"/>
        </w:rPr>
        <w:t>23</w:t>
      </w:r>
      <w:r>
        <w:rPr>
          <w:snapToGrid w:val="0"/>
        </w:rPr>
        <w:t>.</w:t>
      </w:r>
      <w:r>
        <w:rPr>
          <w:snapToGrid w:val="0"/>
        </w:rPr>
        <w:tab/>
      </w:r>
      <w:del w:id="543" w:author="svcMRProcess" w:date="2018-08-26T13:15:00Z">
        <w:r>
          <w:delText>Fund</w:delText>
        </w:r>
      </w:del>
      <w:ins w:id="544" w:author="svcMRProcess" w:date="2018-08-26T13:15:00Z">
        <w:r>
          <w:t>Funds</w:t>
        </w:r>
      </w:ins>
      <w:r>
        <w:t xml:space="preserve"> of Authority</w:t>
      </w:r>
      <w:bookmarkEnd w:id="538"/>
      <w:bookmarkEnd w:id="539"/>
      <w:bookmarkEnd w:id="540"/>
      <w:bookmarkEnd w:id="541"/>
      <w:bookmarkEnd w:id="542"/>
    </w:p>
    <w:p>
      <w:pPr>
        <w:pStyle w:val="Subsection"/>
        <w:rPr>
          <w:snapToGrid w:val="0"/>
        </w:rPr>
      </w:pPr>
      <w:r>
        <w:rPr>
          <w:snapToGrid w:val="0"/>
        </w:rPr>
        <w:tab/>
      </w:r>
      <w:r>
        <w:rPr>
          <w:snapToGrid w:val="0"/>
        </w:rPr>
        <w:tab/>
        <w:t xml:space="preserve">The funds available for the purpose of enabling the </w:t>
      </w:r>
      <w:r>
        <w:t>Authority</w:t>
      </w:r>
      <w:r>
        <w:rPr>
          <w:snapToGrid w:val="0"/>
        </w:rPr>
        <w:t xml:space="preserve"> to perform its functions consist of — </w:t>
      </w:r>
    </w:p>
    <w:p>
      <w:pPr>
        <w:pStyle w:val="Indenta"/>
        <w:rPr>
          <w:snapToGrid w:val="0"/>
        </w:rPr>
      </w:pPr>
      <w:r>
        <w:rPr>
          <w:snapToGrid w:val="0"/>
        </w:rPr>
        <w:tab/>
        <w:t>(a)</w:t>
      </w:r>
      <w:r>
        <w:rPr>
          <w:snapToGrid w:val="0"/>
        </w:rPr>
        <w:tab/>
        <w:t xml:space="preserve">moneys from time to time appropriated by Parliament; </w:t>
      </w:r>
      <w:r>
        <w:t>and</w:t>
      </w:r>
    </w:p>
    <w:p>
      <w:pPr>
        <w:pStyle w:val="Indenta"/>
        <w:rPr>
          <w:snapToGrid w:val="0"/>
        </w:rPr>
      </w:pPr>
      <w:r>
        <w:rPr>
          <w:snapToGrid w:val="0"/>
        </w:rPr>
        <w:tab/>
        <w:t>(b)</w:t>
      </w:r>
      <w:r>
        <w:rPr>
          <w:snapToGrid w:val="0"/>
        </w:rPr>
        <w:tab/>
        <w:t xml:space="preserve">moneys received by the </w:t>
      </w:r>
      <w:r>
        <w:t>Authority</w:t>
      </w:r>
      <w:r>
        <w:rPr>
          <w:snapToGrid w:val="0"/>
        </w:rPr>
        <w:t xml:space="preserve"> in the performance of its functions; </w:t>
      </w:r>
      <w:r>
        <w:t>and</w:t>
      </w:r>
    </w:p>
    <w:p>
      <w:pPr>
        <w:pStyle w:val="Indenta"/>
        <w:rPr>
          <w:snapToGrid w:val="0"/>
        </w:rPr>
      </w:pPr>
      <w:r>
        <w:rPr>
          <w:snapToGrid w:val="0"/>
        </w:rPr>
        <w:tab/>
        <w:t>(c)</w:t>
      </w:r>
      <w:r>
        <w:rPr>
          <w:snapToGrid w:val="0"/>
        </w:rPr>
        <w:tab/>
        <w:t xml:space="preserve">moneys borrowed by the </w:t>
      </w:r>
      <w:r>
        <w:t>Authority</w:t>
      </w:r>
      <w:r>
        <w:rPr>
          <w:snapToGrid w:val="0"/>
        </w:rPr>
        <w:t xml:space="preserve"> under </w:t>
      </w:r>
      <w:r>
        <w:t>section 26; and</w:t>
      </w:r>
    </w:p>
    <w:p>
      <w:pPr>
        <w:pStyle w:val="Indenta"/>
        <w:rPr>
          <w:snapToGrid w:val="0"/>
        </w:rPr>
      </w:pPr>
      <w:r>
        <w:rPr>
          <w:snapToGrid w:val="0"/>
        </w:rPr>
        <w:tab/>
        <w:t>(d)</w:t>
      </w:r>
      <w:r>
        <w:rPr>
          <w:snapToGrid w:val="0"/>
        </w:rPr>
        <w:tab/>
        <w:t>other moneys lawfully received by, made available to, or payable to, the</w:t>
      </w:r>
      <w:r>
        <w:t xml:space="preserve"> Authority</w:t>
      </w:r>
      <w:r>
        <w:rPr>
          <w:snapToGrid w:val="0"/>
        </w:rPr>
        <w:t>.</w:t>
      </w:r>
    </w:p>
    <w:p>
      <w:pPr>
        <w:pStyle w:val="Footnotesection"/>
      </w:pPr>
      <w:bookmarkStart w:id="545" w:name="_Toc520109155"/>
      <w:bookmarkStart w:id="546" w:name="_Toc17002440"/>
      <w:bookmarkStart w:id="547" w:name="_Toc123645516"/>
      <w:r>
        <w:tab/>
        <w:t>[Section 23 amended by No. 37 of 2011 s. 26 and 53(1).]</w:t>
      </w:r>
    </w:p>
    <w:p>
      <w:pPr>
        <w:pStyle w:val="Heading5"/>
        <w:rPr>
          <w:snapToGrid w:val="0"/>
        </w:rPr>
      </w:pPr>
      <w:bookmarkStart w:id="548" w:name="_Toc323713216"/>
      <w:bookmarkStart w:id="549" w:name="_Toc318201626"/>
      <w:r>
        <w:rPr>
          <w:rStyle w:val="CharSectno"/>
        </w:rPr>
        <w:t>24</w:t>
      </w:r>
      <w:r>
        <w:rPr>
          <w:snapToGrid w:val="0"/>
        </w:rPr>
        <w:t>.</w:t>
      </w:r>
      <w:r>
        <w:rPr>
          <w:snapToGrid w:val="0"/>
        </w:rPr>
        <w:tab/>
      </w:r>
      <w:r>
        <w:rPr>
          <w:bCs/>
        </w:rPr>
        <w:t>School Curriculum and Standards Authority Account</w:t>
      </w:r>
      <w:bookmarkEnd w:id="545"/>
      <w:bookmarkEnd w:id="546"/>
      <w:bookmarkEnd w:id="547"/>
      <w:bookmarkEnd w:id="548"/>
      <w:bookmarkEnd w:id="549"/>
    </w:p>
    <w:p>
      <w:pPr>
        <w:pStyle w:val="Subsection"/>
      </w:pPr>
      <w:r>
        <w:tab/>
        <w:t>(1)</w:t>
      </w:r>
      <w:r>
        <w:tab/>
        <w:t xml:space="preserve">An account called the School Curriculum and Standards Authority Account is to be established as an agency special purpose account under the </w:t>
      </w:r>
      <w:r>
        <w:rPr>
          <w:i/>
        </w:rPr>
        <w:t>Financial Management Act 2006</w:t>
      </w:r>
      <w:r>
        <w:t xml:space="preserve"> section 16, to which the funds referred to in section 23 are to be credited.</w:t>
      </w:r>
    </w:p>
    <w:p>
      <w:pPr>
        <w:pStyle w:val="Subsection"/>
        <w:rPr>
          <w:snapToGrid w:val="0"/>
        </w:rPr>
      </w:pPr>
      <w:r>
        <w:rPr>
          <w:snapToGrid w:val="0"/>
        </w:rPr>
        <w:tab/>
        <w:t>(2)</w:t>
      </w:r>
      <w:r>
        <w:rPr>
          <w:snapToGrid w:val="0"/>
        </w:rPr>
        <w:tab/>
        <w:t>The Account referred to in subsection (1) is to be charged with — </w:t>
      </w:r>
    </w:p>
    <w:p>
      <w:pPr>
        <w:pStyle w:val="Indenta"/>
        <w:rPr>
          <w:snapToGrid w:val="0"/>
        </w:rPr>
      </w:pPr>
      <w:r>
        <w:rPr>
          <w:snapToGrid w:val="0"/>
        </w:rPr>
        <w:tab/>
        <w:t>(a)</w:t>
      </w:r>
      <w:r>
        <w:rPr>
          <w:snapToGrid w:val="0"/>
        </w:rPr>
        <w:tab/>
        <w:t>the remuneration and allowances payable under section 8;</w:t>
      </w:r>
      <w:ins w:id="550" w:author="svcMRProcess" w:date="2018-08-26T13:15:00Z">
        <w:r>
          <w:rPr>
            <w:snapToGrid w:val="0"/>
          </w:rPr>
          <w:t xml:space="preserve"> and</w:t>
        </w:r>
      </w:ins>
    </w:p>
    <w:p>
      <w:pPr>
        <w:pStyle w:val="Indenta"/>
        <w:rPr>
          <w:snapToGrid w:val="0"/>
        </w:rPr>
      </w:pPr>
      <w:r>
        <w:rPr>
          <w:snapToGrid w:val="0"/>
        </w:rPr>
        <w:tab/>
        <w:t>(b)</w:t>
      </w:r>
      <w:r>
        <w:rPr>
          <w:snapToGrid w:val="0"/>
        </w:rPr>
        <w:tab/>
        <w:t xml:space="preserve">interest on and repayment of moneys borrowed by the </w:t>
      </w:r>
      <w:r>
        <w:t>Authority</w:t>
      </w:r>
      <w:r>
        <w:rPr>
          <w:snapToGrid w:val="0"/>
        </w:rPr>
        <w:t xml:space="preserve"> under </w:t>
      </w:r>
      <w:r>
        <w:t>section 26; and</w:t>
      </w:r>
    </w:p>
    <w:p>
      <w:pPr>
        <w:pStyle w:val="Indenta"/>
        <w:rPr>
          <w:snapToGrid w:val="0"/>
        </w:rPr>
      </w:pPr>
      <w:r>
        <w:rPr>
          <w:snapToGrid w:val="0"/>
        </w:rPr>
        <w:tab/>
        <w:t>(c)</w:t>
      </w:r>
      <w:r>
        <w:rPr>
          <w:snapToGrid w:val="0"/>
        </w:rPr>
        <w:tab/>
        <w:t xml:space="preserve">all other expenditure lawfully incurred by the </w:t>
      </w:r>
      <w:r>
        <w:t>Authority</w:t>
      </w:r>
      <w:r>
        <w:rPr>
          <w:snapToGrid w:val="0"/>
        </w:rPr>
        <w:t xml:space="preserve"> in the performance of its functions.</w:t>
      </w:r>
    </w:p>
    <w:p>
      <w:pPr>
        <w:pStyle w:val="Footnotesection"/>
      </w:pPr>
      <w:r>
        <w:tab/>
        <w:t xml:space="preserve">[Section 24 amended by No. 77 of 2006 </w:t>
      </w:r>
      <w:del w:id="551" w:author="svcMRProcess" w:date="2018-08-26T13:15:00Z">
        <w:r>
          <w:delText>s. 17;</w:delText>
        </w:r>
      </w:del>
      <w:ins w:id="552" w:author="svcMRProcess" w:date="2018-08-26T13:15:00Z">
        <w:r>
          <w:t>Sch. 1 cl. 41(2);</w:t>
        </w:r>
      </w:ins>
      <w:r>
        <w:t xml:space="preserve"> No.</w:t>
      </w:r>
      <w:del w:id="553" w:author="svcMRProcess" w:date="2018-08-26T13:15:00Z">
        <w:r>
          <w:delText xml:space="preserve"> </w:delText>
        </w:r>
      </w:del>
      <w:ins w:id="554" w:author="svcMRProcess" w:date="2018-08-26T13:15:00Z">
        <w:r>
          <w:t> </w:t>
        </w:r>
      </w:ins>
      <w:r>
        <w:t>37 of 2011 s. 27 and 53(1).]</w:t>
      </w:r>
    </w:p>
    <w:p>
      <w:pPr>
        <w:pStyle w:val="Ednotesection"/>
      </w:pPr>
      <w:bookmarkStart w:id="555" w:name="_Toc520109156"/>
      <w:bookmarkStart w:id="556" w:name="_Toc17002441"/>
      <w:bookmarkStart w:id="557" w:name="_Toc123645517"/>
      <w:r>
        <w:t>[</w:t>
      </w:r>
      <w:r>
        <w:rPr>
          <w:b/>
        </w:rPr>
        <w:t>25.</w:t>
      </w:r>
      <w:r>
        <w:tab/>
        <w:t>Deleted by No. 37 of 2011 s. 28.]</w:t>
      </w:r>
    </w:p>
    <w:p>
      <w:pPr>
        <w:pStyle w:val="Heading5"/>
        <w:rPr>
          <w:snapToGrid w:val="0"/>
        </w:rPr>
      </w:pPr>
      <w:bookmarkStart w:id="558" w:name="_Toc520109157"/>
      <w:bookmarkStart w:id="559" w:name="_Toc17002442"/>
      <w:bookmarkStart w:id="560" w:name="_Toc123645518"/>
      <w:bookmarkStart w:id="561" w:name="_Toc318201627"/>
      <w:bookmarkStart w:id="562" w:name="_Toc323713217"/>
      <w:bookmarkEnd w:id="555"/>
      <w:bookmarkEnd w:id="556"/>
      <w:bookmarkEnd w:id="557"/>
      <w:r>
        <w:rPr>
          <w:rStyle w:val="CharSectno"/>
        </w:rPr>
        <w:t>26</w:t>
      </w:r>
      <w:r>
        <w:rPr>
          <w:snapToGrid w:val="0"/>
        </w:rPr>
        <w:t>.</w:t>
      </w:r>
      <w:r>
        <w:rPr>
          <w:snapToGrid w:val="0"/>
        </w:rPr>
        <w:tab/>
      </w:r>
      <w:r>
        <w:rPr>
          <w:bCs/>
        </w:rPr>
        <w:t>Borrowing</w:t>
      </w:r>
      <w:bookmarkEnd w:id="558"/>
      <w:bookmarkEnd w:id="559"/>
      <w:bookmarkEnd w:id="560"/>
      <w:bookmarkEnd w:id="561"/>
      <w:ins w:id="563" w:author="svcMRProcess" w:date="2018-08-26T13:15:00Z">
        <w:r>
          <w:rPr>
            <w:bCs/>
          </w:rPr>
          <w:t xml:space="preserve"> by Authority</w:t>
        </w:r>
      </w:ins>
      <w:bookmarkEnd w:id="562"/>
    </w:p>
    <w:p>
      <w:pPr>
        <w:pStyle w:val="Subsection"/>
        <w:rPr>
          <w:snapToGrid w:val="0"/>
        </w:rPr>
      </w:pPr>
      <w:r>
        <w:rPr>
          <w:snapToGrid w:val="0"/>
        </w:rPr>
        <w:tab/>
        <w:t>(1)</w:t>
      </w:r>
      <w:r>
        <w:rPr>
          <w:snapToGrid w:val="0"/>
        </w:rPr>
        <w:tab/>
      </w:r>
      <w:r>
        <w:t>The Authority</w:t>
      </w:r>
      <w:r>
        <w:rPr>
          <w:snapToGrid w:val="0"/>
        </w:rPr>
        <w:t xml:space="preserve">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 xml:space="preserve">Any moneys borrowed by the </w:t>
      </w:r>
      <w:r>
        <w:t>Authority</w:t>
      </w:r>
      <w:r>
        <w:rPr>
          <w:snapToGrid w:val="0"/>
        </w:rPr>
        <w:t xml:space="preserve">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Footnotesection"/>
      </w:pPr>
      <w:bookmarkStart w:id="564" w:name="_Toc520109158"/>
      <w:bookmarkStart w:id="565" w:name="_Toc17002443"/>
      <w:bookmarkStart w:id="566" w:name="_Toc123645519"/>
      <w:r>
        <w:tab/>
        <w:t>[Section 26 amended by No. 37 of 2011 s. 29 and 53(1).]</w:t>
      </w:r>
    </w:p>
    <w:p>
      <w:pPr>
        <w:pStyle w:val="Ednotesection"/>
      </w:pPr>
      <w:r>
        <w:t>[</w:t>
      </w:r>
      <w:r>
        <w:rPr>
          <w:b/>
        </w:rPr>
        <w:t>27, 28.</w:t>
      </w:r>
      <w:r>
        <w:tab/>
        <w:t>Deleted by No. 37 of 2011 s. 30.]</w:t>
      </w:r>
    </w:p>
    <w:p>
      <w:pPr>
        <w:pStyle w:val="Heading5"/>
        <w:rPr>
          <w:snapToGrid w:val="0"/>
        </w:rPr>
      </w:pPr>
      <w:bookmarkStart w:id="567" w:name="_Toc520109160"/>
      <w:bookmarkStart w:id="568" w:name="_Toc17002445"/>
      <w:bookmarkStart w:id="569" w:name="_Toc123645521"/>
      <w:bookmarkStart w:id="570" w:name="_Toc318201628"/>
      <w:bookmarkStart w:id="571" w:name="_Toc323713218"/>
      <w:bookmarkEnd w:id="564"/>
      <w:bookmarkEnd w:id="565"/>
      <w:bookmarkEnd w:id="566"/>
      <w:r>
        <w:rPr>
          <w:rStyle w:val="CharSectno"/>
        </w:rPr>
        <w:t>29</w:t>
      </w:r>
      <w:r>
        <w:rPr>
          <w:snapToGrid w:val="0"/>
        </w:rPr>
        <w:t>.</w:t>
      </w:r>
      <w:r>
        <w:rPr>
          <w:snapToGrid w:val="0"/>
        </w:rPr>
        <w:tab/>
      </w:r>
      <w:bookmarkEnd w:id="567"/>
      <w:bookmarkEnd w:id="568"/>
      <w:bookmarkEnd w:id="569"/>
      <w:del w:id="572" w:author="svcMRProcess" w:date="2018-08-26T13:15:00Z">
        <w:r>
          <w:rPr>
            <w:snapToGrid w:val="0"/>
          </w:rPr>
          <w:delText xml:space="preserve">Application of </w:delText>
        </w:r>
      </w:del>
      <w:r>
        <w:rPr>
          <w:i/>
          <w:iCs/>
        </w:rPr>
        <w:t>Financial Management Act 2006</w:t>
      </w:r>
      <w:r>
        <w:t xml:space="preserve"> and </w:t>
      </w:r>
      <w:r>
        <w:rPr>
          <w:i/>
          <w:iCs/>
        </w:rPr>
        <w:t>Auditor General Act 2006</w:t>
      </w:r>
      <w:bookmarkEnd w:id="570"/>
      <w:ins w:id="573" w:author="svcMRProcess" w:date="2018-08-26T13:15:00Z">
        <w:r>
          <w:rPr>
            <w:iCs/>
          </w:rPr>
          <w:t xml:space="preserve">, </w:t>
        </w:r>
        <w:r>
          <w:rPr>
            <w:snapToGrid w:val="0"/>
          </w:rPr>
          <w:t>application of</w:t>
        </w:r>
      </w:ins>
      <w:bookmarkEnd w:id="57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 xml:space="preserve">[Section 29 amended by No. 77 of 2006 </w:t>
      </w:r>
      <w:del w:id="574" w:author="svcMRProcess" w:date="2018-08-26T13:15:00Z">
        <w:r>
          <w:delText>s. 17;</w:delText>
        </w:r>
      </w:del>
      <w:ins w:id="575" w:author="svcMRProcess" w:date="2018-08-26T13:15:00Z">
        <w:r>
          <w:t>Sch. 1 cl. 41(3);</w:t>
        </w:r>
      </w:ins>
      <w:r>
        <w:t xml:space="preserve"> No. 37 of 2011 s. 53(1).]</w:t>
      </w:r>
    </w:p>
    <w:p>
      <w:pPr>
        <w:pStyle w:val="Heading2"/>
      </w:pPr>
      <w:bookmarkStart w:id="576" w:name="_Toc72573546"/>
      <w:bookmarkStart w:id="577" w:name="_Toc120341405"/>
      <w:bookmarkStart w:id="578" w:name="_Toc120355778"/>
      <w:bookmarkStart w:id="579" w:name="_Toc123645522"/>
      <w:bookmarkStart w:id="580" w:name="_Toc123645623"/>
      <w:bookmarkStart w:id="581" w:name="_Toc124139492"/>
      <w:bookmarkStart w:id="582" w:name="_Toc157845871"/>
      <w:bookmarkStart w:id="583" w:name="_Toc161720578"/>
      <w:bookmarkStart w:id="584" w:name="_Toc161723030"/>
      <w:bookmarkStart w:id="585" w:name="_Toc163956998"/>
      <w:bookmarkStart w:id="586" w:name="_Toc163964988"/>
      <w:bookmarkStart w:id="587" w:name="_Toc165698430"/>
      <w:bookmarkStart w:id="588" w:name="_Toc232394806"/>
      <w:bookmarkStart w:id="589" w:name="_Toc268269138"/>
      <w:bookmarkStart w:id="590" w:name="_Toc272057709"/>
      <w:bookmarkStart w:id="591" w:name="_Toc274207154"/>
      <w:bookmarkStart w:id="592" w:name="_Toc278975289"/>
      <w:bookmarkStart w:id="593" w:name="_Toc303861474"/>
      <w:bookmarkStart w:id="594" w:name="_Toc303867353"/>
      <w:bookmarkStart w:id="595" w:name="_Toc318121415"/>
      <w:bookmarkStart w:id="596" w:name="_Toc318121665"/>
      <w:bookmarkStart w:id="597" w:name="_Toc318122493"/>
      <w:bookmarkStart w:id="598" w:name="_Toc318181669"/>
      <w:bookmarkStart w:id="599" w:name="_Toc318181774"/>
      <w:bookmarkStart w:id="600" w:name="_Toc318201629"/>
      <w:bookmarkStart w:id="601" w:name="_Toc320283262"/>
      <w:bookmarkStart w:id="602" w:name="_Toc320516412"/>
      <w:bookmarkStart w:id="603" w:name="_Toc321898585"/>
      <w:bookmarkStart w:id="604" w:name="_Toc323638334"/>
      <w:bookmarkStart w:id="605" w:name="_Toc323640294"/>
      <w:bookmarkStart w:id="606" w:name="_Toc323713219"/>
      <w:r>
        <w:rPr>
          <w:rStyle w:val="CharPartNo"/>
        </w:rPr>
        <w:t>Part 6</w:t>
      </w:r>
      <w:r>
        <w:rPr>
          <w:rStyle w:val="CharDivNo"/>
        </w:rPr>
        <w:t> </w:t>
      </w:r>
      <w:r>
        <w:t>—</w:t>
      </w:r>
      <w:r>
        <w:rPr>
          <w:rStyle w:val="CharDivText"/>
        </w:rPr>
        <w:t> </w:t>
      </w:r>
      <w:r>
        <w:rPr>
          <w:rStyle w:val="CharPartText"/>
        </w:rPr>
        <w:t>Miscellaneous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Pr>
          <w:rStyle w:val="CharPartText"/>
        </w:rPr>
        <w:t xml:space="preserve"> </w:t>
      </w:r>
    </w:p>
    <w:p>
      <w:pPr>
        <w:pStyle w:val="Heading5"/>
        <w:rPr>
          <w:snapToGrid w:val="0"/>
        </w:rPr>
      </w:pPr>
      <w:bookmarkStart w:id="607" w:name="_Toc520109161"/>
      <w:bookmarkStart w:id="608" w:name="_Toc17002446"/>
      <w:bookmarkStart w:id="609" w:name="_Toc123645523"/>
      <w:bookmarkStart w:id="610" w:name="_Toc323713220"/>
      <w:bookmarkStart w:id="611" w:name="_Toc318201630"/>
      <w:r>
        <w:rPr>
          <w:rStyle w:val="CharSectno"/>
        </w:rPr>
        <w:t>30</w:t>
      </w:r>
      <w:r>
        <w:rPr>
          <w:snapToGrid w:val="0"/>
        </w:rPr>
        <w:t>.</w:t>
      </w:r>
      <w:r>
        <w:rPr>
          <w:snapToGrid w:val="0"/>
        </w:rPr>
        <w:tab/>
        <w:t xml:space="preserve">Protection from </w:t>
      </w:r>
      <w:ins w:id="612" w:author="svcMRProcess" w:date="2018-08-26T13:15:00Z">
        <w:r>
          <w:rPr>
            <w:snapToGrid w:val="0"/>
          </w:rPr>
          <w:t xml:space="preserve">personal </w:t>
        </w:r>
      </w:ins>
      <w:r>
        <w:rPr>
          <w:snapToGrid w:val="0"/>
        </w:rPr>
        <w:t>liability</w:t>
      </w:r>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An action in tort does not lie against a person, other than the</w:t>
      </w:r>
      <w:r>
        <w:t xml:space="preserve"> Authority</w:t>
      </w:r>
      <w:r>
        <w:rPr>
          <w:snapToGrid w:val="0"/>
        </w:rPr>
        <w:t>,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 xml:space="preserve">This section does not relieve the </w:t>
      </w:r>
      <w:r>
        <w:t>Authority or the State</w:t>
      </w:r>
      <w:r>
        <w:rPr>
          <w:snapToGrid w:val="0"/>
        </w:rPr>
        <w:t xml:space="preserve">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Footnotesection"/>
      </w:pPr>
      <w:bookmarkStart w:id="613" w:name="_Toc520109162"/>
      <w:bookmarkStart w:id="614" w:name="_Toc17002447"/>
      <w:bookmarkStart w:id="615" w:name="_Toc123645524"/>
      <w:r>
        <w:tab/>
        <w:t>[Section 30 amended by No. 37 of 2011 s. 31 and 53(1).]</w:t>
      </w:r>
    </w:p>
    <w:p>
      <w:pPr>
        <w:pStyle w:val="Heading5"/>
        <w:rPr>
          <w:snapToGrid w:val="0"/>
        </w:rPr>
      </w:pPr>
      <w:bookmarkStart w:id="616" w:name="_Toc323713221"/>
      <w:bookmarkStart w:id="617" w:name="_Toc318201631"/>
      <w:r>
        <w:rPr>
          <w:rStyle w:val="CharSectno"/>
        </w:rPr>
        <w:t>31</w:t>
      </w:r>
      <w:r>
        <w:rPr>
          <w:snapToGrid w:val="0"/>
        </w:rPr>
        <w:t>.</w:t>
      </w:r>
      <w:r>
        <w:rPr>
          <w:snapToGrid w:val="0"/>
        </w:rPr>
        <w:tab/>
      </w:r>
      <w:r>
        <w:t>Execution of documents by Authority</w:t>
      </w:r>
      <w:bookmarkEnd w:id="613"/>
      <w:bookmarkEnd w:id="614"/>
      <w:bookmarkEnd w:id="615"/>
      <w:bookmarkEnd w:id="616"/>
      <w:bookmarkEnd w:id="617"/>
    </w:p>
    <w:p>
      <w:pPr>
        <w:pStyle w:val="Subsection"/>
        <w:rPr>
          <w:snapToGrid w:val="0"/>
        </w:rPr>
      </w:pPr>
      <w:r>
        <w:rPr>
          <w:snapToGrid w:val="0"/>
        </w:rPr>
        <w:tab/>
        <w:t>(1)</w:t>
      </w:r>
      <w:r>
        <w:rPr>
          <w:snapToGrid w:val="0"/>
        </w:rPr>
        <w:tab/>
        <w:t xml:space="preserve">The </w:t>
      </w:r>
      <w:r>
        <w:t>Authority</w:t>
      </w:r>
      <w:r>
        <w:rPr>
          <w:snapToGrid w:val="0"/>
        </w:rPr>
        <w:t xml:space="preserve"> is to have a common seal.</w:t>
      </w:r>
    </w:p>
    <w:p>
      <w:pPr>
        <w:pStyle w:val="Subsection"/>
        <w:rPr>
          <w:snapToGrid w:val="0"/>
        </w:rPr>
      </w:pPr>
      <w:r>
        <w:rPr>
          <w:snapToGrid w:val="0"/>
        </w:rPr>
        <w:tab/>
        <w:t>(2)</w:t>
      </w:r>
      <w:r>
        <w:rPr>
          <w:snapToGrid w:val="0"/>
        </w:rPr>
        <w:tab/>
        <w:t xml:space="preserve">A document is duly executed by the </w:t>
      </w:r>
      <w:r>
        <w:t>Authority</w:t>
      </w:r>
      <w:r>
        <w:rPr>
          <w:snapToGrid w:val="0"/>
        </w:rPr>
        <w:t xml:space="preserve"> if — </w:t>
      </w:r>
    </w:p>
    <w:p>
      <w:pPr>
        <w:pStyle w:val="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pPr>
        <w:pStyle w:val="Subsection"/>
        <w:rPr>
          <w:snapToGrid w:val="0"/>
        </w:rPr>
      </w:pPr>
      <w:r>
        <w:rPr>
          <w:snapToGrid w:val="0"/>
        </w:rPr>
        <w:tab/>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pPr>
        <w:pStyle w:val="Subsection"/>
        <w:rPr>
          <w:snapToGrid w:val="0"/>
        </w:rPr>
      </w:pPr>
      <w:r>
        <w:rPr>
          <w:snapToGrid w:val="0"/>
        </w:rPr>
        <w:tab/>
        <w:t>(4)</w:t>
      </w:r>
      <w:r>
        <w:rPr>
          <w:snapToGrid w:val="0"/>
        </w:rPr>
        <w:tab/>
        <w:t xml:space="preserve">The common seal of the </w:t>
      </w:r>
      <w:r>
        <w:t>Authority</w:t>
      </w:r>
      <w:r>
        <w:rPr>
          <w:snapToGrid w:val="0"/>
        </w:rPr>
        <w:t xml:space="preserve"> is to be affixed to a document in the presence of 2 members of the </w:t>
      </w:r>
      <w:r>
        <w:t xml:space="preserve">Board, </w:t>
      </w:r>
      <w:r>
        <w:rPr>
          <w:snapToGrid w:val="0"/>
        </w:rPr>
        <w:t>and each of them is to sign the document to attest that the common seal was so affixed.</w:t>
      </w:r>
    </w:p>
    <w:p>
      <w:pPr>
        <w:pStyle w:val="Subsection"/>
        <w:rPr>
          <w:snapToGrid w:val="0"/>
        </w:rPr>
      </w:pPr>
      <w:r>
        <w:rPr>
          <w:snapToGrid w:val="0"/>
        </w:rPr>
        <w:tab/>
        <w:t>(5)</w:t>
      </w:r>
      <w:r>
        <w:rPr>
          <w:snapToGrid w:val="0"/>
        </w:rPr>
        <w:tab/>
        <w:t xml:space="preserve">The </w:t>
      </w:r>
      <w:r>
        <w:t>Authority</w:t>
      </w:r>
      <w:r>
        <w:rPr>
          <w:snapToGrid w:val="0"/>
        </w:rPr>
        <w:t xml:space="preserve"> may, by writing under its seal, authorise a member or members of the </w:t>
      </w:r>
      <w:r>
        <w:t>Board</w:t>
      </w:r>
      <w:r>
        <w:rPr>
          <w:snapToGrid w:val="0"/>
        </w:rPr>
        <w:t xml:space="preserve"> or a member or members of staff to sign documents on behalf of the </w:t>
      </w:r>
      <w:r>
        <w:t>Authority,</w:t>
      </w:r>
      <w:r>
        <w:rPr>
          <w:snapToGrid w:val="0"/>
        </w:rPr>
        <w:t xml:space="preserve">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 xml:space="preserve">When a document is produced bearing a seal purporting to be the common seal of the </w:t>
      </w:r>
      <w:r>
        <w:t>Authority</w:t>
      </w:r>
      <w:r>
        <w:rPr>
          <w:snapToGrid w:val="0"/>
        </w:rPr>
        <w:t xml:space="preserve">, it is to be presumed that the seal is the common seal of the </w:t>
      </w:r>
      <w:r>
        <w:t>Authority</w:t>
      </w:r>
      <w:r>
        <w:rPr>
          <w:snapToGrid w:val="0"/>
        </w:rPr>
        <w:t xml:space="preserve"> until the contrary is shown.</w:t>
      </w:r>
    </w:p>
    <w:p>
      <w:pPr>
        <w:pStyle w:val="Footnotesection"/>
      </w:pPr>
      <w:bookmarkStart w:id="618" w:name="_Toc520109163"/>
      <w:bookmarkStart w:id="619" w:name="_Toc17002448"/>
      <w:bookmarkStart w:id="620" w:name="_Toc123645525"/>
      <w:r>
        <w:tab/>
        <w:t>[Section 31 amended by No. 37 of 2011 s. 32 and 53(1).]</w:t>
      </w:r>
    </w:p>
    <w:p>
      <w:pPr>
        <w:pStyle w:val="Heading5"/>
        <w:rPr>
          <w:del w:id="621" w:author="svcMRProcess" w:date="2018-08-26T13:15:00Z"/>
          <w:snapToGrid w:val="0"/>
        </w:rPr>
      </w:pPr>
      <w:bookmarkStart w:id="622" w:name="_Toc318201632"/>
      <w:bookmarkStart w:id="623" w:name="_Toc323713222"/>
      <w:del w:id="624" w:author="svcMRProcess" w:date="2018-08-26T13:15:00Z">
        <w:r>
          <w:rPr>
            <w:rStyle w:val="CharSectno"/>
          </w:rPr>
          <w:delText>32</w:delText>
        </w:r>
        <w:r>
          <w:rPr>
            <w:snapToGrid w:val="0"/>
          </w:rPr>
          <w:delText>.</w:delText>
        </w:r>
        <w:r>
          <w:rPr>
            <w:snapToGrid w:val="0"/>
          </w:rPr>
          <w:tab/>
          <w:delText>Confidentiality</w:delText>
        </w:r>
        <w:bookmarkEnd w:id="622"/>
        <w:r>
          <w:rPr>
            <w:snapToGrid w:val="0"/>
          </w:rPr>
          <w:delText xml:space="preserve"> </w:delText>
        </w:r>
      </w:del>
    </w:p>
    <w:p>
      <w:pPr>
        <w:pStyle w:val="Heading5"/>
        <w:rPr>
          <w:ins w:id="625" w:author="svcMRProcess" w:date="2018-08-26T13:15:00Z"/>
          <w:snapToGrid w:val="0"/>
        </w:rPr>
      </w:pPr>
      <w:ins w:id="626" w:author="svcMRProcess" w:date="2018-08-26T13:15:00Z">
        <w:r>
          <w:rPr>
            <w:rStyle w:val="CharSectno"/>
          </w:rPr>
          <w:t>32</w:t>
        </w:r>
        <w:r>
          <w:rPr>
            <w:snapToGrid w:val="0"/>
          </w:rPr>
          <w:t>.</w:t>
        </w:r>
        <w:r>
          <w:rPr>
            <w:snapToGrid w:val="0"/>
          </w:rPr>
          <w:tab/>
        </w:r>
        <w:bookmarkEnd w:id="618"/>
        <w:bookmarkEnd w:id="619"/>
        <w:bookmarkEnd w:id="620"/>
        <w:r>
          <w:rPr>
            <w:snapToGrid w:val="0"/>
          </w:rPr>
          <w:t>Information obtained by Board etc., disclosure and use etc. of restricted</w:t>
        </w:r>
        <w:bookmarkEnd w:id="623"/>
      </w:ins>
    </w:p>
    <w:p>
      <w:pPr>
        <w:pStyle w:val="Subsection"/>
        <w:rPr>
          <w:snapToGrid w:val="0"/>
        </w:rPr>
      </w:pPr>
      <w:r>
        <w:rPr>
          <w:snapToGrid w:val="0"/>
        </w:rPr>
        <w:tab/>
        <w:t>(1)</w:t>
      </w:r>
      <w:r>
        <w:rPr>
          <w:snapToGrid w:val="0"/>
        </w:rPr>
        <w:tab/>
        <w:t>A person to whom this subsection applies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ins w:id="627" w:author="svcMRProcess" w:date="2018-08-26T13:15:00Z">
        <w:r>
          <w:rPr>
            <w:snapToGrid w:val="0"/>
          </w:rPr>
          <w:t xml:space="preserve"> or</w:t>
        </w:r>
      </w:ins>
    </w:p>
    <w:p>
      <w:pPr>
        <w:pStyle w:val="Indenta"/>
        <w:rPr>
          <w:snapToGrid w:val="0"/>
        </w:rPr>
      </w:pPr>
      <w:r>
        <w:rPr>
          <w:snapToGrid w:val="0"/>
        </w:rPr>
        <w:tab/>
        <w:t>(b)</w:t>
      </w:r>
      <w:r>
        <w:rPr>
          <w:snapToGrid w:val="0"/>
        </w:rPr>
        <w:tab/>
        <w:t>as required or allowed by this Act or under another law;</w:t>
      </w:r>
      <w:ins w:id="628" w:author="svcMRProcess" w:date="2018-08-26T13:15:00Z">
        <w:r>
          <w:rPr>
            <w:snapToGrid w:val="0"/>
          </w:rPr>
          <w:t xml:space="preserve"> or</w:t>
        </w:r>
      </w:ins>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Subsection"/>
        <w:rPr>
          <w:snapToGrid w:val="0"/>
        </w:rPr>
      </w:pPr>
      <w:r>
        <w:rPr>
          <w:snapToGrid w:val="0"/>
        </w:rPr>
        <w:tab/>
        <w:t>(2)</w:t>
      </w:r>
      <w:r>
        <w:rPr>
          <w:snapToGrid w:val="0"/>
        </w:rPr>
        <w:tab/>
        <w:t>Subsection (1) applies to any person who is or has been — </w:t>
      </w:r>
    </w:p>
    <w:p>
      <w:pPr>
        <w:pStyle w:val="Indenta"/>
        <w:rPr>
          <w:snapToGrid w:val="0"/>
        </w:rPr>
      </w:pPr>
      <w:r>
        <w:rPr>
          <w:snapToGrid w:val="0"/>
        </w:rPr>
        <w:tab/>
        <w:t>(a)</w:t>
      </w:r>
      <w:r>
        <w:rPr>
          <w:snapToGrid w:val="0"/>
        </w:rPr>
        <w:tab/>
        <w:t xml:space="preserve">a member of the </w:t>
      </w:r>
      <w:r>
        <w:t>Board; or</w:t>
      </w:r>
    </w:p>
    <w:p>
      <w:pPr>
        <w:pStyle w:val="Indenta"/>
        <w:rPr>
          <w:snapToGrid w:val="0"/>
        </w:rPr>
      </w:pPr>
      <w:r>
        <w:rPr>
          <w:snapToGrid w:val="0"/>
        </w:rPr>
        <w:tab/>
        <w:t>(b)</w:t>
      </w:r>
      <w:r>
        <w:rPr>
          <w:snapToGrid w:val="0"/>
        </w:rPr>
        <w:tab/>
        <w:t>a member of a committee; or</w:t>
      </w:r>
    </w:p>
    <w:p>
      <w:pPr>
        <w:pStyle w:val="Indenta"/>
      </w:pPr>
      <w:r>
        <w:tab/>
        <w:t>(ca)</w:t>
      </w:r>
      <w:r>
        <w:tab/>
        <w:t>the chief executive officer; or</w:t>
      </w:r>
    </w:p>
    <w:p>
      <w:pPr>
        <w:pStyle w:val="Indenta"/>
        <w:rPr>
          <w:snapToGrid w:val="0"/>
        </w:rPr>
      </w:pPr>
      <w:r>
        <w:rPr>
          <w:snapToGrid w:val="0"/>
        </w:rPr>
        <w:tab/>
        <w:t>(c)</w:t>
      </w:r>
      <w:r>
        <w:rPr>
          <w:snapToGrid w:val="0"/>
        </w:rPr>
        <w:tab/>
        <w:t>a member of staff.</w:t>
      </w:r>
    </w:p>
    <w:p>
      <w:pPr>
        <w:pStyle w:val="Subsection"/>
      </w:pPr>
      <w:r>
        <w:tab/>
        <w:t>(3A)</w:t>
      </w:r>
      <w:r>
        <w:tab/>
        <w:t>Subsection (1) does not apply to information in a report referred to in section 11 or 12 to the extent to which the information is summary or statistical information that could not reasonably be expected to enable details relating to a person or a school to be ascertained.</w:t>
      </w:r>
    </w:p>
    <w:p>
      <w:pPr>
        <w:pStyle w:val="Subsection"/>
      </w:pPr>
      <w:r>
        <w:tab/>
        <w:t>(3)</w:t>
      </w:r>
      <w:r>
        <w:tab/>
        <w:t xml:space="preserve">In relation to information given under Part 3A to the Minister responsible for the administration of the School Education Act, subsection (1) also applies to — </w:t>
      </w:r>
    </w:p>
    <w:p>
      <w:pPr>
        <w:pStyle w:val="Indenta"/>
      </w:pPr>
      <w:r>
        <w:tab/>
        <w:t>(a)</w:t>
      </w:r>
      <w:r>
        <w:tab/>
        <w:t>the chief executive officer under section 229 of that Act; and</w:t>
      </w:r>
    </w:p>
    <w:p>
      <w:pPr>
        <w:pStyle w:val="Indenta"/>
        <w:keepNext/>
        <w:keepLines/>
      </w:pPr>
      <w:r>
        <w:tab/>
        <w:t>(b)</w:t>
      </w:r>
      <w:r>
        <w:tab/>
        <w:t>the persons referred to in section 235(1) of that Act.</w:t>
      </w:r>
    </w:p>
    <w:p>
      <w:pPr>
        <w:pStyle w:val="Footnotesection"/>
      </w:pPr>
      <w:r>
        <w:tab/>
        <w:t>[Section 32 amended by No. 22 of 2005 s. 48; No. 37 of 2011 s. 33.]</w:t>
      </w:r>
    </w:p>
    <w:p>
      <w:pPr>
        <w:pStyle w:val="Heading5"/>
        <w:rPr>
          <w:snapToGrid w:val="0"/>
        </w:rPr>
      </w:pPr>
      <w:bookmarkStart w:id="629" w:name="_Toc520109164"/>
      <w:bookmarkStart w:id="630" w:name="_Toc17002449"/>
      <w:bookmarkStart w:id="631" w:name="_Toc123645526"/>
      <w:bookmarkStart w:id="632" w:name="_Toc323713223"/>
      <w:bookmarkStart w:id="633" w:name="_Toc318201633"/>
      <w:r>
        <w:rPr>
          <w:rStyle w:val="CharSectno"/>
        </w:rPr>
        <w:t>33</w:t>
      </w:r>
      <w:r>
        <w:rPr>
          <w:snapToGrid w:val="0"/>
        </w:rPr>
        <w:t>.</w:t>
      </w:r>
      <w:r>
        <w:rPr>
          <w:snapToGrid w:val="0"/>
        </w:rPr>
        <w:tab/>
        <w:t>Regulations</w:t>
      </w:r>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the purposes of this Act.</w:t>
      </w:r>
    </w:p>
    <w:p>
      <w:pPr>
        <w:pStyle w:val="Subsection"/>
        <w:rPr>
          <w:snapToGrid w:val="0"/>
        </w:rPr>
      </w:pPr>
      <w:r>
        <w:rPr>
          <w:snapToGrid w:val="0"/>
        </w:rPr>
        <w:tab/>
        <w:t>(2)</w:t>
      </w:r>
      <w:r>
        <w:rPr>
          <w:snapToGrid w:val="0"/>
        </w:rPr>
        <w:tab/>
        <w:t>Without limiting the operation of subsection (1), the Governor may make regulations providing for — </w:t>
      </w:r>
    </w:p>
    <w:p>
      <w:pPr>
        <w:pStyle w:val="Indenta"/>
        <w:rPr>
          <w:snapToGrid w:val="0"/>
        </w:rPr>
      </w:pPr>
      <w:r>
        <w:rPr>
          <w:snapToGrid w:val="0"/>
        </w:rPr>
        <w:tab/>
        <w:t>(a)</w:t>
      </w:r>
      <w:r>
        <w:rPr>
          <w:snapToGrid w:val="0"/>
        </w:rPr>
        <w:tab/>
        <w:t xml:space="preserve">fees and charges to be paid to the </w:t>
      </w:r>
      <w:r>
        <w:t>Authority</w:t>
      </w:r>
      <w:r>
        <w:rPr>
          <w:snapToGrid w:val="0"/>
        </w:rPr>
        <w:t xml:space="preserve"> for or in connection with — </w:t>
      </w:r>
    </w:p>
    <w:p>
      <w:pPr>
        <w:pStyle w:val="Indenti"/>
        <w:rPr>
          <w:snapToGrid w:val="0"/>
        </w:rPr>
      </w:pPr>
      <w:r>
        <w:rPr>
          <w:snapToGrid w:val="0"/>
        </w:rPr>
        <w:tab/>
        <w:t>(i)</w:t>
      </w:r>
      <w:r>
        <w:rPr>
          <w:snapToGrid w:val="0"/>
        </w:rPr>
        <w:tab/>
        <w:t>the assessment of courses for purposes of certification;</w:t>
      </w:r>
      <w:ins w:id="634" w:author="svcMRProcess" w:date="2018-08-26T13:15:00Z">
        <w:r>
          <w:rPr>
            <w:snapToGrid w:val="0"/>
          </w:rPr>
          <w:t xml:space="preserve"> and</w:t>
        </w:r>
      </w:ins>
    </w:p>
    <w:p>
      <w:pPr>
        <w:pStyle w:val="Indenti"/>
        <w:rPr>
          <w:snapToGrid w:val="0"/>
        </w:rPr>
      </w:pPr>
      <w:r>
        <w:rPr>
          <w:snapToGrid w:val="0"/>
        </w:rPr>
        <w:tab/>
        <w:t>(ii)</w:t>
      </w:r>
      <w:r>
        <w:rPr>
          <w:snapToGrid w:val="0"/>
        </w:rPr>
        <w:tab/>
        <w:t xml:space="preserve">an application to the </w:t>
      </w:r>
      <w:r>
        <w:t>Authority</w:t>
      </w:r>
      <w:r>
        <w:rPr>
          <w:snapToGrid w:val="0"/>
        </w:rPr>
        <w:t xml:space="preserve">; </w:t>
      </w:r>
      <w:ins w:id="635" w:author="svcMRProcess" w:date="2018-08-26T13:15:00Z">
        <w:r>
          <w:rPr>
            <w:snapToGrid w:val="0"/>
          </w:rPr>
          <w:t>and</w:t>
        </w:r>
      </w:ins>
    </w:p>
    <w:p>
      <w:pPr>
        <w:pStyle w:val="Indenti"/>
        <w:rPr>
          <w:snapToGrid w:val="0"/>
        </w:rPr>
      </w:pPr>
      <w:r>
        <w:rPr>
          <w:snapToGrid w:val="0"/>
        </w:rPr>
        <w:tab/>
        <w:t>(iii)</w:t>
      </w:r>
      <w:r>
        <w:rPr>
          <w:snapToGrid w:val="0"/>
        </w:rPr>
        <w:tab/>
        <w:t xml:space="preserve">the supply of certificates, records or materials by the </w:t>
      </w:r>
      <w:r>
        <w:t>Authority</w:t>
      </w:r>
      <w:r>
        <w:rPr>
          <w:snapToGrid w:val="0"/>
        </w:rPr>
        <w:t>; and</w:t>
      </w:r>
    </w:p>
    <w:p>
      <w:pPr>
        <w:pStyle w:val="Indenti"/>
        <w:rPr>
          <w:snapToGrid w:val="0"/>
        </w:rPr>
      </w:pPr>
      <w:r>
        <w:rPr>
          <w:snapToGrid w:val="0"/>
        </w:rPr>
        <w:tab/>
        <w:t>(iv)</w:t>
      </w:r>
      <w:r>
        <w:rPr>
          <w:snapToGrid w:val="0"/>
        </w:rPr>
        <w:tab/>
        <w:t xml:space="preserve">the supply of services by the </w:t>
      </w:r>
      <w:r>
        <w:t>Authority</w:t>
      </w:r>
      <w:r>
        <w:rPr>
          <w:snapToGrid w:val="0"/>
        </w:rPr>
        <w:t>;</w:t>
      </w:r>
    </w:p>
    <w:p>
      <w:pPr>
        <w:pStyle w:val="Indenta"/>
        <w:rPr>
          <w:snapToGrid w:val="0"/>
        </w:rPr>
      </w:pPr>
      <w:r>
        <w:rPr>
          <w:snapToGrid w:val="0"/>
        </w:rPr>
        <w:tab/>
      </w:r>
      <w:r>
        <w:rPr>
          <w:snapToGrid w:val="0"/>
        </w:rPr>
        <w:tab/>
        <w:t>and</w:t>
      </w:r>
    </w:p>
    <w:p>
      <w:pPr>
        <w:pStyle w:val="Indenta"/>
      </w:pPr>
      <w:r>
        <w:tab/>
        <w:t>(b)</w:t>
      </w:r>
      <w:r>
        <w:tab/>
        <w:t xml:space="preserve">procedures for the external assessment by the Authority of student achievement, including external assessment for the purposes of certification, and the proper conduct of that assessment and, without limiting this paragraph, providing for — </w:t>
      </w:r>
    </w:p>
    <w:p>
      <w:pPr>
        <w:pStyle w:val="Indenti"/>
      </w:pPr>
      <w:r>
        <w:tab/>
        <w:t>(i)</w:t>
      </w:r>
      <w:r>
        <w:tab/>
        <w:t>enrolment for external assessments; and</w:t>
      </w:r>
    </w:p>
    <w:p>
      <w:pPr>
        <w:pStyle w:val="Indenti"/>
      </w:pPr>
      <w:r>
        <w:tab/>
        <w:t>(ii)</w:t>
      </w:r>
      <w:r>
        <w:tab/>
        <w:t>the designation of examination centres; and</w:t>
      </w:r>
    </w:p>
    <w:p>
      <w:pPr>
        <w:pStyle w:val="Indenti"/>
      </w:pPr>
      <w:r>
        <w:tab/>
        <w:t>(iii)</w:t>
      </w:r>
      <w:r>
        <w:tab/>
        <w:t>the appointment of supervisors of external assessments; and</w:t>
      </w:r>
    </w:p>
    <w:p>
      <w:pPr>
        <w:pStyle w:val="Indenti"/>
      </w:pPr>
      <w:r>
        <w:tab/>
        <w:t>(iv)</w:t>
      </w:r>
      <w:r>
        <w:tab/>
        <w:t>requirements for people undertaking or proposing to undertake external assessments (</w:t>
      </w:r>
      <w:r>
        <w:rPr>
          <w:rStyle w:val="CharDefText"/>
        </w:rPr>
        <w:t>candidates</w:t>
      </w:r>
      <w:r>
        <w:t>) to produce identification documents; and</w:t>
      </w:r>
    </w:p>
    <w:p>
      <w:pPr>
        <w:pStyle w:val="Indenti"/>
      </w:pPr>
      <w:r>
        <w:tab/>
        <w:t>(v)</w:t>
      </w:r>
      <w:r>
        <w:tab/>
        <w:t>restrictions relating to materials that candidates may bring into examination centres and the exclusion from examination centres of candidates who do not comply with those restrictions; and</w:t>
      </w:r>
    </w:p>
    <w:p>
      <w:pPr>
        <w:pStyle w:val="Indenti"/>
      </w:pPr>
      <w:r>
        <w:tab/>
        <w:t>(vi)</w:t>
      </w:r>
      <w:r>
        <w:tab/>
        <w:t>the inspection by supervisors of materials brought into examination centres by candidates; and</w:t>
      </w:r>
    </w:p>
    <w:p>
      <w:pPr>
        <w:pStyle w:val="Indenti"/>
      </w:pPr>
      <w:r>
        <w:tab/>
        <w:t>(vii)</w:t>
      </w:r>
      <w:r>
        <w:tab/>
        <w:t>restrictions relating to the consumption of food and drinks by candidates during external assessments; and</w:t>
      </w:r>
    </w:p>
    <w:p>
      <w:pPr>
        <w:pStyle w:val="Indenti"/>
      </w:pPr>
      <w:r>
        <w:tab/>
        <w:t>(viii)</w:t>
      </w:r>
      <w:r>
        <w:tab/>
        <w:t>special arrangements for candidates with disabilities or suffering illness, injury or other impairment; and</w:t>
      </w:r>
    </w:p>
    <w:p>
      <w:pPr>
        <w:pStyle w:val="Indenti"/>
      </w:pPr>
      <w:r>
        <w:tab/>
        <w:t>(ix)</w:t>
      </w:r>
      <w:r>
        <w:tab/>
        <w:t>requirements for candidates suffering illness, injury or other impairment to provide to the Authority a medical certificate, statutory declaration or other evidence of that illness, injury or impairment; and</w:t>
      </w:r>
    </w:p>
    <w:p>
      <w:pPr>
        <w:pStyle w:val="Indenti"/>
      </w:pPr>
      <w:r>
        <w:tab/>
        <w:t>(x)</w:t>
      </w:r>
      <w:r>
        <w:tab/>
        <w:t>requirements relating to the conduct of candidates during external assessments; and</w:t>
      </w:r>
    </w:p>
    <w:p>
      <w:pPr>
        <w:pStyle w:val="Indenti"/>
      </w:pPr>
      <w:r>
        <w:tab/>
        <w:t>(xi)</w:t>
      </w:r>
      <w:r>
        <w:tab/>
        <w:t>the disqualification of, or other disciplinary action that the Authority may take in respect of, candidates who engage in fraud, collusion or other misconduct during external assessments; and</w:t>
      </w:r>
    </w:p>
    <w:p>
      <w:pPr>
        <w:pStyle w:val="Indenti"/>
      </w:pPr>
      <w:r>
        <w:tab/>
        <w:t>(xii)</w:t>
      </w:r>
      <w:r>
        <w:tab/>
        <w:t>appeals by candidates who are subject to disqualification or other disciplinary action taken by the Authority; and</w:t>
      </w:r>
    </w:p>
    <w:p>
      <w:pPr>
        <w:pStyle w:val="Indenti"/>
      </w:pPr>
      <w:r>
        <w:tab/>
        <w:t>(xiii)</w:t>
      </w:r>
      <w:r>
        <w:tab/>
        <w:t>protection of examination papers and related materials.</w:t>
      </w:r>
    </w:p>
    <w:p>
      <w:pPr>
        <w:pStyle w:val="Subsection"/>
        <w:rPr>
          <w:snapToGrid w:val="0"/>
        </w:rPr>
      </w:pPr>
      <w:r>
        <w:rPr>
          <w:snapToGrid w:val="0"/>
        </w:rPr>
        <w:tab/>
        <w:t>(3)</w:t>
      </w:r>
      <w:r>
        <w:rPr>
          <w:snapToGrid w:val="0"/>
        </w:rPr>
        <w:tab/>
        <w:t xml:space="preserve">Subsection (2)(a)(iv) does not limit the power of the </w:t>
      </w:r>
      <w:r>
        <w:t>Authority</w:t>
      </w:r>
      <w:r>
        <w:rPr>
          <w:snapToGrid w:val="0"/>
        </w:rPr>
        <w:t xml:space="preserve"> under section 15(2)(g) to charge for services.</w:t>
      </w:r>
    </w:p>
    <w:p>
      <w:pPr>
        <w:pStyle w:val="Subsection"/>
      </w:pPr>
      <w:r>
        <w:tab/>
        <w:t>(4)</w:t>
      </w:r>
      <w:r>
        <w:tab/>
        <w:t xml:space="preserve">Before the Minister recommends the making or amendment of a regulation for the purposes of section 19E(c), 19G, 19H(2) or 19P, the Minister is to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Footnotesection"/>
      </w:pPr>
      <w:r>
        <w:tab/>
        <w:t>[Section 33 amended by No. 22 of 2005 s. 49; No. 37 of 2011 s. 34 and 53(1).]</w:t>
      </w:r>
    </w:p>
    <w:p>
      <w:pPr>
        <w:pStyle w:val="Ednotesection"/>
      </w:pPr>
      <w:bookmarkStart w:id="636" w:name="_Toc520109165"/>
      <w:bookmarkStart w:id="637" w:name="_Toc17002450"/>
      <w:bookmarkStart w:id="638" w:name="_Toc123645527"/>
      <w:r>
        <w:t>[</w:t>
      </w:r>
      <w:r>
        <w:rPr>
          <w:b/>
        </w:rPr>
        <w:t>34.</w:t>
      </w:r>
      <w:r>
        <w:tab/>
        <w:t>Deleted by No. 37 of 2011 s. 35.]</w:t>
      </w:r>
    </w:p>
    <w:bookmarkEnd w:id="636"/>
    <w:bookmarkEnd w:id="637"/>
    <w:bookmarkEnd w:id="638"/>
    <w:p>
      <w:pPr>
        <w:pStyle w:val="Ednotesection"/>
      </w:pPr>
      <w:r>
        <w:t>[</w:t>
      </w:r>
      <w:r>
        <w:rPr>
          <w:b/>
        </w:rPr>
        <w:t>35.</w:t>
      </w:r>
      <w:r>
        <w:tab/>
        <w:t>Omitted under the Reprints Act 1984 s. 7(4)(e).]</w:t>
      </w:r>
    </w:p>
    <w:p>
      <w:pPr>
        <w:pStyle w:val="Heading5"/>
        <w:rPr>
          <w:snapToGrid w:val="0"/>
        </w:rPr>
      </w:pPr>
      <w:bookmarkStart w:id="639" w:name="_Toc520109167"/>
      <w:bookmarkStart w:id="640" w:name="_Toc17002452"/>
      <w:bookmarkStart w:id="641" w:name="_Toc123645528"/>
      <w:bookmarkStart w:id="642" w:name="_Toc323713224"/>
      <w:bookmarkStart w:id="643" w:name="_Toc318201634"/>
      <w:r>
        <w:rPr>
          <w:rStyle w:val="CharSectno"/>
        </w:rPr>
        <w:t>36</w:t>
      </w:r>
      <w:r>
        <w:rPr>
          <w:snapToGrid w:val="0"/>
        </w:rPr>
        <w:t>.</w:t>
      </w:r>
      <w:r>
        <w:rPr>
          <w:snapToGrid w:val="0"/>
        </w:rPr>
        <w:tab/>
        <w:t>Review of Act</w:t>
      </w:r>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expiry of 5 years from </w:t>
      </w:r>
      <w:r>
        <w:t xml:space="preserve">the commencement of the </w:t>
      </w:r>
      <w:r>
        <w:rPr>
          <w:i/>
          <w:snapToGrid w:val="0"/>
        </w:rPr>
        <w:t>Curriculum Council Amendment Act 2011</w:t>
      </w:r>
      <w:r>
        <w:t xml:space="preserve"> section 36</w:t>
      </w:r>
      <w:ins w:id="644" w:author="svcMRProcess" w:date="2018-08-26T13:15:00Z">
        <w:r>
          <w:rPr>
            <w:vertAlign w:val="superscript"/>
          </w:rPr>
          <w:t> 1</w:t>
        </w:r>
      </w:ins>
      <w:r>
        <w: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the operations of the </w:t>
      </w:r>
      <w:r>
        <w:t>Authority</w:t>
      </w:r>
      <w:r>
        <w:rPr>
          <w:snapToGrid w:val="0"/>
        </w:rPr>
        <w:t>;</w:t>
      </w:r>
      <w:ins w:id="645" w:author="svcMRProcess" w:date="2018-08-26T13:15:00Z">
        <w:r>
          <w:rPr>
            <w:snapToGrid w:val="0"/>
          </w:rPr>
          <w:t xml:space="preserve"> and</w:t>
        </w:r>
      </w:ins>
    </w:p>
    <w:p>
      <w:pPr>
        <w:pStyle w:val="Indenta"/>
        <w:rPr>
          <w:snapToGrid w:val="0"/>
        </w:rPr>
      </w:pPr>
      <w:r>
        <w:rPr>
          <w:snapToGrid w:val="0"/>
        </w:rPr>
        <w:tab/>
        <w:t>(b)</w:t>
      </w:r>
      <w:r>
        <w:rPr>
          <w:snapToGrid w:val="0"/>
        </w:rPr>
        <w:tab/>
        <w:t xml:space="preserve">the need for the continuation of the functions of the </w:t>
      </w:r>
      <w:r>
        <w:t>Authority</w:t>
      </w:r>
      <w:r>
        <w:rPr>
          <w:snapToGrid w:val="0"/>
        </w:rPr>
        <w: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36 amended by No. 37 of 2011 s. 36 and 53(1).]</w:t>
      </w:r>
    </w:p>
    <w:p>
      <w:pPr>
        <w:pStyle w:val="Heading2"/>
      </w:pPr>
      <w:bookmarkStart w:id="646" w:name="_Toc318099235"/>
      <w:bookmarkStart w:id="647" w:name="_Toc318099338"/>
      <w:bookmarkStart w:id="648" w:name="_Toc318099441"/>
      <w:bookmarkStart w:id="649" w:name="_Toc318121421"/>
      <w:bookmarkStart w:id="650" w:name="_Toc318121671"/>
      <w:bookmarkStart w:id="651" w:name="_Toc318122499"/>
      <w:bookmarkStart w:id="652" w:name="_Toc318181675"/>
      <w:bookmarkStart w:id="653" w:name="_Toc318181780"/>
      <w:bookmarkStart w:id="654" w:name="_Toc318201635"/>
      <w:bookmarkStart w:id="655" w:name="_Toc320283268"/>
      <w:bookmarkStart w:id="656" w:name="_Toc320516418"/>
      <w:bookmarkStart w:id="657" w:name="_Toc321898591"/>
      <w:bookmarkStart w:id="658" w:name="_Toc323638340"/>
      <w:bookmarkStart w:id="659" w:name="_Toc323640300"/>
      <w:bookmarkStart w:id="660" w:name="_Toc323713225"/>
      <w:r>
        <w:rPr>
          <w:rStyle w:val="CharPartNo"/>
        </w:rPr>
        <w:t>Part 7</w:t>
      </w:r>
      <w:r>
        <w:rPr>
          <w:rStyle w:val="CharDivNo"/>
        </w:rPr>
        <w:t> </w:t>
      </w:r>
      <w:r>
        <w:t>—</w:t>
      </w:r>
      <w:r>
        <w:rPr>
          <w:rStyle w:val="CharDivText"/>
        </w:rPr>
        <w:t> </w:t>
      </w:r>
      <w:r>
        <w:rPr>
          <w:rStyle w:val="CharPartText"/>
        </w:rPr>
        <w:t>Transitional provisions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Footnoteheading"/>
      </w:pPr>
      <w:bookmarkStart w:id="661" w:name="_Toc318099339"/>
      <w:bookmarkStart w:id="662" w:name="_Toc318099442"/>
      <w:r>
        <w:tab/>
        <w:t>[Heading inserted by No. 37 of 2011 s. 37.]</w:t>
      </w:r>
    </w:p>
    <w:p>
      <w:pPr>
        <w:pStyle w:val="Heading5"/>
      </w:pPr>
      <w:bookmarkStart w:id="663" w:name="_Toc323713226"/>
      <w:bookmarkStart w:id="664" w:name="_Toc318201636"/>
      <w:r>
        <w:rPr>
          <w:rStyle w:val="CharSectno"/>
        </w:rPr>
        <w:t>37</w:t>
      </w:r>
      <w:r>
        <w:t>.</w:t>
      </w:r>
      <w:r>
        <w:tab/>
        <w:t>Terms used</w:t>
      </w:r>
      <w:bookmarkEnd w:id="661"/>
      <w:bookmarkEnd w:id="662"/>
      <w:bookmarkEnd w:id="663"/>
      <w:bookmarkEnd w:id="664"/>
    </w:p>
    <w:p>
      <w:pPr>
        <w:pStyle w:val="Subsection"/>
      </w:pPr>
      <w:r>
        <w:tab/>
      </w:r>
      <w:r>
        <w:tab/>
        <w:t xml:space="preserve">In this Part — </w:t>
      </w:r>
    </w:p>
    <w:p>
      <w:pPr>
        <w:pStyle w:val="Defstart"/>
      </w:pPr>
      <w:r>
        <w:tab/>
      </w:r>
      <w:r>
        <w:rPr>
          <w:rStyle w:val="CharDefText"/>
        </w:rPr>
        <w:t>assets</w:t>
      </w:r>
      <w:r>
        <w:t xml:space="preserve"> — </w:t>
      </w:r>
    </w:p>
    <w:p>
      <w:pPr>
        <w:pStyle w:val="Defpara"/>
      </w:pPr>
      <w:r>
        <w:tab/>
        <w:t>(a)</w:t>
      </w:r>
      <w:r>
        <w:tab/>
        <w:t>means property of every kind whether tangible or intangible, real or personal, corporeal or incorporeal; and</w:t>
      </w:r>
    </w:p>
    <w:p>
      <w:pPr>
        <w:pStyle w:val="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tab/>
      </w:r>
      <w:r>
        <w:rPr>
          <w:rStyle w:val="CharDefText"/>
        </w:rPr>
        <w:t>commencement day</w:t>
      </w:r>
      <w:r>
        <w:t xml:space="preserve"> means the day on which the </w:t>
      </w:r>
      <w:r>
        <w:rPr>
          <w:i/>
        </w:rPr>
        <w:t>Curriculum Council Amendment Act 2011</w:t>
      </w:r>
      <w:r>
        <w:t xml:space="preserve"> section 37 comes into operation</w:t>
      </w:r>
      <w:ins w:id="665" w:author="svcMRProcess" w:date="2018-08-26T13:15:00Z">
        <w:r>
          <w:rPr>
            <w:vertAlign w:val="superscript"/>
          </w:rPr>
          <w:t> 1</w:t>
        </w:r>
      </w:ins>
      <w:r>
        <w:t>;</w:t>
      </w:r>
    </w:p>
    <w:p>
      <w:pPr>
        <w:pStyle w:val="Defstart"/>
      </w:pPr>
      <w:r>
        <w:tab/>
      </w:r>
      <w:r>
        <w:rPr>
          <w:rStyle w:val="CharDefText"/>
        </w:rPr>
        <w:t>Council</w:t>
      </w:r>
      <w:r>
        <w:t xml:space="preserve"> means the Curriculum Council under this Act as in force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Footnotesection"/>
      </w:pPr>
      <w:bookmarkStart w:id="666" w:name="_Toc318099340"/>
      <w:bookmarkStart w:id="667" w:name="_Toc318099443"/>
      <w:r>
        <w:tab/>
        <w:t>[Section 37 inserted by No. 37 of 2011 s. 37.]</w:t>
      </w:r>
    </w:p>
    <w:p>
      <w:pPr>
        <w:pStyle w:val="Heading5"/>
      </w:pPr>
      <w:bookmarkStart w:id="668" w:name="_Toc318201637"/>
      <w:bookmarkStart w:id="669" w:name="_Toc323713227"/>
      <w:r>
        <w:rPr>
          <w:rStyle w:val="CharSectno"/>
        </w:rPr>
        <w:t>38</w:t>
      </w:r>
      <w:r>
        <w:t>.</w:t>
      </w:r>
      <w:r>
        <w:rPr>
          <w:b w:val="0"/>
        </w:rPr>
        <w:tab/>
      </w:r>
      <w:ins w:id="670" w:author="svcMRProcess" w:date="2018-08-26T13:15:00Z">
        <w:r>
          <w:t xml:space="preserve">Curriculum </w:t>
        </w:r>
      </w:ins>
      <w:r>
        <w:t>Council abolished</w:t>
      </w:r>
      <w:bookmarkEnd w:id="666"/>
      <w:bookmarkEnd w:id="667"/>
      <w:bookmarkEnd w:id="668"/>
      <w:ins w:id="671" w:author="svcMRProcess" w:date="2018-08-26T13:15:00Z">
        <w:r>
          <w:t xml:space="preserve"> on 1 Mar 2012</w:t>
        </w:r>
      </w:ins>
      <w:bookmarkEnd w:id="669"/>
    </w:p>
    <w:p>
      <w:pPr>
        <w:pStyle w:val="Subsection"/>
      </w:pPr>
      <w:r>
        <w:tab/>
      </w:r>
      <w:r>
        <w:tab/>
        <w:t>At the beginning of the commencement day the Council is abolished and its members go out of office.</w:t>
      </w:r>
    </w:p>
    <w:p>
      <w:pPr>
        <w:pStyle w:val="Footnotesection"/>
      </w:pPr>
      <w:bookmarkStart w:id="672" w:name="_Toc318099341"/>
      <w:bookmarkStart w:id="673" w:name="_Toc318099444"/>
      <w:r>
        <w:tab/>
        <w:t>[Section 38 inserted by No. 37 of 2011 s. 37.]</w:t>
      </w:r>
    </w:p>
    <w:p>
      <w:pPr>
        <w:pStyle w:val="Heading5"/>
      </w:pPr>
      <w:bookmarkStart w:id="674" w:name="_Toc323713228"/>
      <w:bookmarkStart w:id="675" w:name="_Toc318201638"/>
      <w:r>
        <w:rPr>
          <w:rStyle w:val="CharSectno"/>
        </w:rPr>
        <w:t>39</w:t>
      </w:r>
      <w:r>
        <w:t>.</w:t>
      </w:r>
      <w:r>
        <w:rPr>
          <w:b w:val="0"/>
        </w:rPr>
        <w:tab/>
      </w:r>
      <w:r>
        <w:t>Devolution of Council’s assets, liabilities</w:t>
      </w:r>
      <w:del w:id="676" w:author="svcMRProcess" w:date="2018-08-26T13:15:00Z">
        <w:r>
          <w:delText>,</w:delText>
        </w:r>
      </w:del>
      <w:r>
        <w:t xml:space="preserve"> etc.</w:t>
      </w:r>
      <w:bookmarkEnd w:id="672"/>
      <w:bookmarkEnd w:id="673"/>
      <w:bookmarkEnd w:id="674"/>
      <w:bookmarkEnd w:id="675"/>
    </w:p>
    <w:p>
      <w:pPr>
        <w:pStyle w:val="Subsection"/>
      </w:pPr>
      <w:r>
        <w:tab/>
        <w:t>(1)</w:t>
      </w:r>
      <w:r>
        <w:tab/>
        <w:t xml:space="preserve">On the commencement day — </w:t>
      </w:r>
    </w:p>
    <w:p>
      <w:pPr>
        <w:pStyle w:val="Indenta"/>
      </w:pPr>
      <w:r>
        <w:tab/>
        <w:t>(a)</w:t>
      </w:r>
      <w:r>
        <w:tab/>
        <w:t>the assets and rights of the Council that were immediately before that day vested in the Council vest in the Authority by force of this section; and</w:t>
      </w:r>
    </w:p>
    <w:p>
      <w:pPr>
        <w:pStyle w:val="Indenta"/>
      </w:pPr>
      <w:r>
        <w:tab/>
        <w:t>(b)</w:t>
      </w:r>
      <w:r>
        <w:tab/>
        <w:t>the liabilities of the Council immediately before that day become, by force of this section, the liabilities of the Authority.</w:t>
      </w:r>
    </w:p>
    <w:p>
      <w:pPr>
        <w:pStyle w:val="Subsection"/>
      </w:pPr>
      <w:r>
        <w:tab/>
        <w:t>(2)</w:t>
      </w:r>
      <w:r>
        <w:tab/>
        <w:t>On and after the commencement day, any proceedings or remedy that, immediately before that day, might have been brought or continued by or available against or to the Council may be brought or continued by, and are or is available against or to, the Authority.</w:t>
      </w:r>
    </w:p>
    <w:p>
      <w:pPr>
        <w:pStyle w:val="Subsection"/>
      </w:pPr>
      <w:r>
        <w:tab/>
        <w:t>(3)</w:t>
      </w:r>
      <w:r>
        <w:tab/>
        <w:t>As soon as is practicable after the commencement day, all papers, documents, minutes, books of account and other records (however compiled, recorded or stored) relating to the operations of the Council are to be delivered to the Authority.</w:t>
      </w:r>
    </w:p>
    <w:p>
      <w:pPr>
        <w:pStyle w:val="Footnotesection"/>
      </w:pPr>
      <w:bookmarkStart w:id="677" w:name="_Toc318099342"/>
      <w:bookmarkStart w:id="678" w:name="_Toc318099445"/>
      <w:r>
        <w:tab/>
        <w:t>[Section 39 inserted by No. 37 of 2011 s. 37.]</w:t>
      </w:r>
    </w:p>
    <w:p>
      <w:pPr>
        <w:pStyle w:val="Heading5"/>
      </w:pPr>
      <w:bookmarkStart w:id="679" w:name="_Toc323713229"/>
      <w:bookmarkStart w:id="680" w:name="_Toc318201639"/>
      <w:r>
        <w:rPr>
          <w:rStyle w:val="CharSectno"/>
        </w:rPr>
        <w:t>40</w:t>
      </w:r>
      <w:r>
        <w:t>.</w:t>
      </w:r>
      <w:r>
        <w:rPr>
          <w:b w:val="0"/>
        </w:rPr>
        <w:tab/>
      </w:r>
      <w:r>
        <w:t>Chief executive officer of Council continues in office</w:t>
      </w:r>
      <w:bookmarkEnd w:id="677"/>
      <w:bookmarkEnd w:id="678"/>
      <w:bookmarkEnd w:id="679"/>
      <w:bookmarkEnd w:id="680"/>
    </w:p>
    <w:p>
      <w:pPr>
        <w:pStyle w:val="Subsection"/>
      </w:pPr>
      <w:r>
        <w:tab/>
      </w:r>
      <w:r>
        <w:tab/>
        <w:t>The person holding office as the chief executive officer of the Council immediately before the commencement day continues to hold office as if appointed as the chief executive officer of the Authority in accordance with section 20(1).</w:t>
      </w:r>
    </w:p>
    <w:p>
      <w:pPr>
        <w:pStyle w:val="Footnotesection"/>
      </w:pPr>
      <w:bookmarkStart w:id="681" w:name="_Toc318099343"/>
      <w:bookmarkStart w:id="682" w:name="_Toc318099446"/>
      <w:r>
        <w:tab/>
        <w:t>[Section 40 inserted by No. 37 of 2011 s. 37.]</w:t>
      </w:r>
    </w:p>
    <w:p>
      <w:pPr>
        <w:pStyle w:val="Heading5"/>
      </w:pPr>
      <w:bookmarkStart w:id="683" w:name="_Toc323713230"/>
      <w:bookmarkStart w:id="684" w:name="_Toc318201640"/>
      <w:r>
        <w:rPr>
          <w:rStyle w:val="CharSectno"/>
        </w:rPr>
        <w:t>41</w:t>
      </w:r>
      <w:r>
        <w:t>.</w:t>
      </w:r>
      <w:r>
        <w:rPr>
          <w:b w:val="0"/>
        </w:rPr>
        <w:tab/>
      </w:r>
      <w:r>
        <w:t>Transfer of members of staff to Authority</w:t>
      </w:r>
      <w:bookmarkEnd w:id="681"/>
      <w:bookmarkEnd w:id="682"/>
      <w:bookmarkEnd w:id="683"/>
      <w:bookmarkEnd w:id="684"/>
    </w:p>
    <w:p>
      <w:pPr>
        <w:pStyle w:val="Subsection"/>
      </w:pPr>
      <w:r>
        <w:tab/>
        <w:t>(1)</w:t>
      </w:r>
      <w:r>
        <w:tab/>
        <w:t>A person engaged by the Council immediately before the commencement day under section 21(2) is to be taken to have been engaged by the Authority under that provision on the same terms and conditions as the person was engaged by the Council.</w:t>
      </w:r>
    </w:p>
    <w:p>
      <w:pPr>
        <w:pStyle w:val="Subsection"/>
      </w:pPr>
      <w:r>
        <w:tab/>
        <w:t>(2)</w:t>
      </w:r>
      <w:r>
        <w:tab/>
        <w:t xml:space="preserve">A person engaged under a contract for services or appointed on a casual employment basis by the Council under the </w:t>
      </w:r>
      <w:r>
        <w:rPr>
          <w:i/>
        </w:rPr>
        <w:t>Public Sector Management Act 1994</w:t>
      </w:r>
      <w:r>
        <w:t xml:space="preserve"> section 100 immediately before the commencement day is to be taken to have been engaged or appointed under that section by the Authority on the same terms and conditions as the person was engaged or appointed by the Council.</w:t>
      </w:r>
    </w:p>
    <w:p>
      <w:pPr>
        <w:pStyle w:val="Subsection"/>
      </w:pPr>
      <w:r>
        <w:tab/>
        <w:t>(3)</w:t>
      </w:r>
      <w:r>
        <w:tab/>
        <w:t>An arrangement on agreed terms between the Council and an employer under section 21(6) or an employing authority under section 22 that is in force immediately before the commencement day is to be taken to be an arrangement under the relevant provision on the same terms between the Authority and the employer or employing authority.</w:t>
      </w:r>
    </w:p>
    <w:p>
      <w:pPr>
        <w:pStyle w:val="Subsection"/>
      </w:pPr>
      <w:r>
        <w:tab/>
        <w:t>(4)</w:t>
      </w:r>
      <w:r>
        <w:tab/>
        <w:t>Nothing in this section prevents the exercise by the Authority on and after the commencement day of its powers in relation to the management of the members of staff of the Authority.</w:t>
      </w:r>
    </w:p>
    <w:p>
      <w:pPr>
        <w:pStyle w:val="Footnotesection"/>
      </w:pPr>
      <w:bookmarkStart w:id="685" w:name="_Toc318099344"/>
      <w:bookmarkStart w:id="686" w:name="_Toc318099447"/>
      <w:r>
        <w:tab/>
        <w:t>[Section 41 inserted by No. 37 of 2011 s. 37.]</w:t>
      </w:r>
    </w:p>
    <w:p>
      <w:pPr>
        <w:pStyle w:val="Heading5"/>
      </w:pPr>
      <w:bookmarkStart w:id="687" w:name="_Toc323713231"/>
      <w:bookmarkStart w:id="688" w:name="_Toc318201641"/>
      <w:r>
        <w:rPr>
          <w:rStyle w:val="CharSectno"/>
        </w:rPr>
        <w:t>42</w:t>
      </w:r>
      <w:r>
        <w:t>.</w:t>
      </w:r>
      <w:r>
        <w:rPr>
          <w:b w:val="0"/>
        </w:rPr>
        <w:tab/>
      </w:r>
      <w:r>
        <w:t>Employees’ rights preserved</w:t>
      </w:r>
      <w:bookmarkEnd w:id="685"/>
      <w:bookmarkEnd w:id="686"/>
      <w:bookmarkEnd w:id="687"/>
      <w:bookmarkEnd w:id="688"/>
    </w:p>
    <w:p>
      <w:pPr>
        <w:pStyle w:val="Subsection"/>
      </w:pPr>
      <w:r>
        <w:tab/>
      </w:r>
      <w:r>
        <w:tab/>
        <w:t xml:space="preserve">Except as otherwise agreed by an employee, the operation of section 41 does not — </w:t>
      </w:r>
    </w:p>
    <w:p>
      <w:pPr>
        <w:pStyle w:val="Indenta"/>
      </w:pPr>
      <w:r>
        <w:tab/>
        <w:t>(a)</w:t>
      </w:r>
      <w:r>
        <w:tab/>
        <w:t xml:space="preserve">affect the employee’s pay, as that term is defined in the </w:t>
      </w:r>
      <w:r>
        <w:rPr>
          <w:i/>
          <w:iCs/>
        </w:rPr>
        <w:t xml:space="preserve">Public Sector Management (Redeployment and Redundancy) Regulations 1994 </w:t>
      </w:r>
      <w:r>
        <w:t>regulation 3; or</w:t>
      </w:r>
    </w:p>
    <w:p>
      <w:pPr>
        <w:pStyle w:val="Indenta"/>
      </w:pPr>
      <w:r>
        <w:tab/>
        <w:t>(b)</w:t>
      </w:r>
      <w:r>
        <w:tab/>
        <w:t>affect the employee’s existing or accruing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Footnotesection"/>
      </w:pPr>
      <w:bookmarkStart w:id="689" w:name="_Toc318099345"/>
      <w:bookmarkStart w:id="690" w:name="_Toc318099448"/>
      <w:r>
        <w:tab/>
        <w:t>[Section 42 inserted by No. 37 of 2011 s. 37.]</w:t>
      </w:r>
    </w:p>
    <w:p>
      <w:pPr>
        <w:pStyle w:val="Heading5"/>
      </w:pPr>
      <w:bookmarkStart w:id="691" w:name="_Toc323713232"/>
      <w:bookmarkStart w:id="692" w:name="_Toc318201642"/>
      <w:r>
        <w:rPr>
          <w:rStyle w:val="CharSectno"/>
        </w:rPr>
        <w:t>43</w:t>
      </w:r>
      <w:r>
        <w:t>.</w:t>
      </w:r>
      <w:r>
        <w:rPr>
          <w:b w:val="0"/>
        </w:rPr>
        <w:tab/>
      </w:r>
      <w:r>
        <w:t>Curriculum Council Account</w:t>
      </w:r>
      <w:bookmarkEnd w:id="689"/>
      <w:bookmarkEnd w:id="690"/>
      <w:bookmarkEnd w:id="691"/>
      <w:bookmarkEnd w:id="692"/>
    </w:p>
    <w:p>
      <w:pPr>
        <w:pStyle w:val="Subsection"/>
      </w:pPr>
      <w:r>
        <w:tab/>
      </w:r>
      <w:r>
        <w:tab/>
        <w:t>The Curriculum Council Account established under section 24, as in force before the commencement day, continues to operate under that section as the School Curriculum and Standards Authority Account.</w:t>
      </w:r>
    </w:p>
    <w:p>
      <w:pPr>
        <w:pStyle w:val="Footnotesection"/>
      </w:pPr>
      <w:bookmarkStart w:id="693" w:name="_Toc318099346"/>
      <w:bookmarkStart w:id="694" w:name="_Toc318099449"/>
      <w:r>
        <w:tab/>
        <w:t>[Section 43 inserted by No. 37 of 2011 s. 37.]</w:t>
      </w:r>
    </w:p>
    <w:p>
      <w:pPr>
        <w:pStyle w:val="Heading5"/>
        <w:spacing w:before="280"/>
      </w:pPr>
      <w:bookmarkStart w:id="695" w:name="_Toc323713233"/>
      <w:bookmarkStart w:id="696" w:name="_Toc318201643"/>
      <w:r>
        <w:rPr>
          <w:rStyle w:val="CharSectno"/>
        </w:rPr>
        <w:t>44</w:t>
      </w:r>
      <w:r>
        <w:t>.</w:t>
      </w:r>
      <w:r>
        <w:rPr>
          <w:b w:val="0"/>
        </w:rPr>
        <w:tab/>
      </w:r>
      <w:r>
        <w:t>Completion of things commenced</w:t>
      </w:r>
      <w:bookmarkEnd w:id="693"/>
      <w:bookmarkEnd w:id="694"/>
      <w:bookmarkEnd w:id="695"/>
      <w:bookmarkEnd w:id="696"/>
    </w:p>
    <w:p>
      <w:pPr>
        <w:pStyle w:val="Subsection"/>
      </w:pPr>
      <w:r>
        <w:tab/>
      </w:r>
      <w:r>
        <w:tab/>
        <w:t>Anything commenced to be done by the Council before the commencement day may be continued by the Authority so far as the doing of that thing is within the functions of the Authority.</w:t>
      </w:r>
    </w:p>
    <w:p>
      <w:pPr>
        <w:pStyle w:val="Footnotesection"/>
      </w:pPr>
      <w:bookmarkStart w:id="697" w:name="_Toc318099347"/>
      <w:bookmarkStart w:id="698" w:name="_Toc318099450"/>
      <w:r>
        <w:tab/>
        <w:t>[Section 44 inserted by No. 37 of 2011 s. 37.]</w:t>
      </w:r>
    </w:p>
    <w:p>
      <w:pPr>
        <w:pStyle w:val="Heading5"/>
        <w:spacing w:before="280"/>
      </w:pPr>
      <w:bookmarkStart w:id="699" w:name="_Toc323713234"/>
      <w:bookmarkStart w:id="700" w:name="_Toc318201644"/>
      <w:r>
        <w:rPr>
          <w:rStyle w:val="CharSectno"/>
        </w:rPr>
        <w:t>45</w:t>
      </w:r>
      <w:r>
        <w:t>.</w:t>
      </w:r>
      <w:r>
        <w:rPr>
          <w:b w:val="0"/>
        </w:rPr>
        <w:tab/>
      </w:r>
      <w:r>
        <w:t>Continuing effect of things done</w:t>
      </w:r>
      <w:bookmarkEnd w:id="697"/>
      <w:bookmarkEnd w:id="698"/>
      <w:bookmarkEnd w:id="699"/>
      <w:bookmarkEnd w:id="700"/>
    </w:p>
    <w:p>
      <w:pPr>
        <w:pStyle w:val="Subsection"/>
      </w:pPr>
      <w:r>
        <w:tab/>
      </w:r>
      <w:r>
        <w:tab/>
        <w:t xml:space="preserve">Any act, matter or thing done or omitted to be done before the commencement day by, to or in respect of the Council, to the extent that the act, matter or thing — </w:t>
      </w:r>
    </w:p>
    <w:p>
      <w:pPr>
        <w:pStyle w:val="Indenta"/>
      </w:pPr>
      <w:r>
        <w:tab/>
        <w:t>(a)</w:t>
      </w:r>
      <w:r>
        <w:tab/>
        <w:t>has any force or significance; and</w:t>
      </w:r>
    </w:p>
    <w:p>
      <w:pPr>
        <w:pStyle w:val="Indenta"/>
      </w:pPr>
      <w:r>
        <w:tab/>
        <w:t>(b)</w:t>
      </w:r>
      <w:r>
        <w:tab/>
        <w:t>is not governed by another provision of this Part,</w:t>
      </w:r>
    </w:p>
    <w:p>
      <w:pPr>
        <w:pStyle w:val="Subsection"/>
      </w:pPr>
      <w:r>
        <w:tab/>
      </w:r>
      <w:r>
        <w:tab/>
        <w:t>is to be taken to have been done or omitted by, to or in respect of the Authority so far as the act, matter or thing is relevant to the Authority.</w:t>
      </w:r>
    </w:p>
    <w:p>
      <w:pPr>
        <w:pStyle w:val="Footnotesection"/>
      </w:pPr>
      <w:bookmarkStart w:id="701" w:name="_Toc318099348"/>
      <w:bookmarkStart w:id="702" w:name="_Toc318099451"/>
      <w:r>
        <w:tab/>
        <w:t>[Section 45 inserted by No. 37 of 2011 s. 37.]</w:t>
      </w:r>
    </w:p>
    <w:p>
      <w:pPr>
        <w:pStyle w:val="Heading5"/>
        <w:spacing w:before="280"/>
      </w:pPr>
      <w:bookmarkStart w:id="703" w:name="_Toc323713235"/>
      <w:bookmarkStart w:id="704" w:name="_Toc318201645"/>
      <w:r>
        <w:rPr>
          <w:rStyle w:val="CharSectno"/>
        </w:rPr>
        <w:t>46</w:t>
      </w:r>
      <w:r>
        <w:t>.</w:t>
      </w:r>
      <w:r>
        <w:rPr>
          <w:b w:val="0"/>
        </w:rPr>
        <w:tab/>
      </w:r>
      <w:r>
        <w:t>Exemption from State taxes</w:t>
      </w:r>
      <w:bookmarkEnd w:id="701"/>
      <w:bookmarkEnd w:id="702"/>
      <w:bookmarkEnd w:id="703"/>
      <w:bookmarkEnd w:id="704"/>
    </w:p>
    <w:p>
      <w:pPr>
        <w:pStyle w:val="Subsection"/>
      </w:pPr>
      <w:r>
        <w:tab/>
        <w:t>(1)</w:t>
      </w:r>
      <w:r>
        <w:tab/>
        <w:t xml:space="preserve">In this section — </w:t>
      </w:r>
    </w:p>
    <w:p>
      <w:pPr>
        <w:pStyle w:val="Defstart"/>
      </w:pPr>
      <w:r>
        <w:tab/>
      </w:r>
      <w:r>
        <w:rPr>
          <w:rStyle w:val="CharDefText"/>
        </w:rPr>
        <w:t>State tax</w:t>
      </w:r>
      <w:r>
        <w:t xml:space="preserve"> includes duty under the </w:t>
      </w:r>
      <w:r>
        <w:rPr>
          <w:i/>
          <w:iCs/>
        </w:rPr>
        <w:t>Duties Act 2008</w:t>
      </w:r>
      <w:r>
        <w:t xml:space="preserve"> and any other tax under a written law.</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Footnotesection"/>
      </w:pPr>
      <w:bookmarkStart w:id="705" w:name="_Toc318099349"/>
      <w:bookmarkStart w:id="706" w:name="_Toc318099452"/>
      <w:r>
        <w:tab/>
        <w:t>[Section 46 inserted by No. 37 of 2011 s. 37.]</w:t>
      </w:r>
    </w:p>
    <w:p>
      <w:pPr>
        <w:pStyle w:val="Heading5"/>
      </w:pPr>
      <w:bookmarkStart w:id="707" w:name="_Toc323713236"/>
      <w:bookmarkStart w:id="708" w:name="_Toc318201646"/>
      <w:r>
        <w:rPr>
          <w:rStyle w:val="CharSectno"/>
        </w:rPr>
        <w:t>47</w:t>
      </w:r>
      <w:r>
        <w:t>.</w:t>
      </w:r>
      <w:r>
        <w:rPr>
          <w:b w:val="0"/>
        </w:rPr>
        <w:tab/>
      </w:r>
      <w:r>
        <w:t>Agreements and instruments generally</w:t>
      </w:r>
      <w:bookmarkEnd w:id="705"/>
      <w:bookmarkEnd w:id="706"/>
      <w:bookmarkEnd w:id="707"/>
      <w:bookmarkEnd w:id="708"/>
    </w:p>
    <w:p>
      <w:pPr>
        <w:pStyle w:val="Subsection"/>
      </w:pPr>
      <w:r>
        <w:tab/>
      </w:r>
      <w:r>
        <w:tab/>
        <w:t xml:space="preserve">Any agreement or instrument subsisting immediately before the commencement day — </w:t>
      </w:r>
    </w:p>
    <w:p>
      <w:pPr>
        <w:pStyle w:val="Indenta"/>
      </w:pPr>
      <w:r>
        <w:tab/>
        <w:t>(a)</w:t>
      </w:r>
      <w:r>
        <w:tab/>
        <w:t>to which the Council was a party; or</w:t>
      </w:r>
    </w:p>
    <w:p>
      <w:pPr>
        <w:pStyle w:val="Indenta"/>
      </w:pPr>
      <w:r>
        <w:tab/>
        <w:t>(b)</w:t>
      </w:r>
      <w:r>
        <w:tab/>
        <w:t>that contains a reference to the Council,</w:t>
      </w:r>
    </w:p>
    <w:p>
      <w:pPr>
        <w:pStyle w:val="Subsection"/>
      </w:pPr>
      <w:r>
        <w:tab/>
      </w:r>
      <w:r>
        <w:tab/>
        <w:t xml:space="preserve">has effect on and after the commencement day as if — </w:t>
      </w:r>
    </w:p>
    <w:p>
      <w:pPr>
        <w:pStyle w:val="Indenta"/>
      </w:pPr>
      <w:r>
        <w:tab/>
        <w:t>(c)</w:t>
      </w:r>
      <w:r>
        <w:tab/>
        <w:t>the Authority were substituted for the Council as a party to the agreement or instrument; and</w:t>
      </w:r>
    </w:p>
    <w:p>
      <w:pPr>
        <w:pStyle w:val="Indenta"/>
      </w:pPr>
      <w:r>
        <w:tab/>
        <w:t>(d)</w:t>
      </w:r>
      <w:r>
        <w:tab/>
        <w:t>any reference in the agreement or instrument to the Council were (unless the context otherwise requires) amended to be or include a reference to the Authority.</w:t>
      </w:r>
    </w:p>
    <w:p>
      <w:pPr>
        <w:pStyle w:val="Footnotesection"/>
      </w:pPr>
      <w:bookmarkStart w:id="709" w:name="_Toc318099350"/>
      <w:bookmarkStart w:id="710" w:name="_Toc318099453"/>
      <w:r>
        <w:tab/>
        <w:t>[Section 47 inserted by No. 37 of 2011 s. 37.]</w:t>
      </w:r>
    </w:p>
    <w:p>
      <w:pPr>
        <w:pStyle w:val="Heading5"/>
      </w:pPr>
      <w:bookmarkStart w:id="711" w:name="_Toc323713237"/>
      <w:bookmarkStart w:id="712" w:name="_Toc318201647"/>
      <w:r>
        <w:rPr>
          <w:rStyle w:val="CharSectno"/>
        </w:rPr>
        <w:t>48</w:t>
      </w:r>
      <w:r>
        <w:t>.</w:t>
      </w:r>
      <w:r>
        <w:rPr>
          <w:b w:val="0"/>
        </w:rPr>
        <w:tab/>
      </w:r>
      <w:r>
        <w:t>Immunity continues</w:t>
      </w:r>
      <w:bookmarkEnd w:id="709"/>
      <w:bookmarkEnd w:id="710"/>
      <w:bookmarkEnd w:id="711"/>
      <w:bookmarkEnd w:id="712"/>
    </w:p>
    <w:p>
      <w:pPr>
        <w:pStyle w:val="Subsection"/>
      </w:pPr>
      <w:r>
        <w:tab/>
      </w:r>
      <w:r>
        <w:tab/>
        <w:t>Despite the abolition of the Council under section 38, if the Council had the benefit of any immunity in respect of an act, matter or thing done or omitted before the commencement day, that immunity continues in that respect for the benefit of the Authority.</w:t>
      </w:r>
    </w:p>
    <w:p>
      <w:pPr>
        <w:pStyle w:val="Footnotesection"/>
      </w:pPr>
      <w:bookmarkStart w:id="713" w:name="_Toc318099351"/>
      <w:bookmarkStart w:id="714" w:name="_Toc318099454"/>
      <w:r>
        <w:tab/>
        <w:t>[Section 48 inserted by No. 37 of 2011 s. 37.]</w:t>
      </w:r>
    </w:p>
    <w:p>
      <w:pPr>
        <w:pStyle w:val="Heading5"/>
      </w:pPr>
      <w:bookmarkStart w:id="715" w:name="_Toc323713238"/>
      <w:bookmarkStart w:id="716" w:name="_Toc318201648"/>
      <w:r>
        <w:rPr>
          <w:rStyle w:val="CharSectno"/>
        </w:rPr>
        <w:t>49</w:t>
      </w:r>
      <w:r>
        <w:t>.</w:t>
      </w:r>
      <w:r>
        <w:rPr>
          <w:b w:val="0"/>
        </w:rPr>
        <w:tab/>
      </w:r>
      <w:r>
        <w:t>Duty of confidentiality continues to apply to members of the Council</w:t>
      </w:r>
      <w:bookmarkEnd w:id="713"/>
      <w:bookmarkEnd w:id="714"/>
      <w:bookmarkEnd w:id="715"/>
      <w:bookmarkEnd w:id="716"/>
    </w:p>
    <w:p>
      <w:pPr>
        <w:pStyle w:val="Subsection"/>
      </w:pPr>
      <w:r>
        <w:tab/>
      </w:r>
      <w:r>
        <w:tab/>
        <w:t xml:space="preserve">Despite the amendment of section 32(2)(a) by the </w:t>
      </w:r>
      <w:r>
        <w:rPr>
          <w:i/>
        </w:rPr>
        <w:t>Curriculum Council Amendment Act 2011</w:t>
      </w:r>
      <w:r>
        <w:t xml:space="preserve"> section 33, section 32(1) continues to apply to a person who has been a member of the Council.</w:t>
      </w:r>
    </w:p>
    <w:p>
      <w:pPr>
        <w:pStyle w:val="Footnotesection"/>
      </w:pPr>
      <w:bookmarkStart w:id="717" w:name="_Toc318099352"/>
      <w:bookmarkStart w:id="718" w:name="_Toc318099455"/>
      <w:r>
        <w:tab/>
        <w:t>[Section 49 inserted by No. 37 of 2011 s. 37.]</w:t>
      </w:r>
    </w:p>
    <w:p>
      <w:pPr>
        <w:pStyle w:val="Heading5"/>
      </w:pPr>
      <w:bookmarkStart w:id="719" w:name="_Toc323713239"/>
      <w:bookmarkStart w:id="720" w:name="_Toc318201649"/>
      <w:r>
        <w:rPr>
          <w:rStyle w:val="CharSectno"/>
        </w:rPr>
        <w:t>50</w:t>
      </w:r>
      <w:r>
        <w:t>.</w:t>
      </w:r>
      <w:r>
        <w:rPr>
          <w:b w:val="0"/>
        </w:rPr>
        <w:tab/>
      </w:r>
      <w:r>
        <w:t>Registration of documents</w:t>
      </w:r>
      <w:bookmarkEnd w:id="717"/>
      <w:bookmarkEnd w:id="718"/>
      <w:bookmarkEnd w:id="719"/>
      <w:bookmarkEnd w:id="720"/>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or</w:t>
      </w:r>
    </w:p>
    <w:p>
      <w:pPr>
        <w:pStyle w:val="Defpara"/>
      </w:pPr>
      <w:r>
        <w:tab/>
        <w:t>(b)</w:t>
      </w:r>
      <w:r>
        <w:tab/>
        <w:t xml:space="preserve">the Registrar of Deeds and Transfers under the </w:t>
      </w:r>
      <w:r>
        <w:rPr>
          <w:i/>
        </w:rPr>
        <w:t>Registration of Deeds Act 1856</w:t>
      </w:r>
      <w:r>
        <w:t>; or</w:t>
      </w:r>
    </w:p>
    <w:p>
      <w:pPr>
        <w:pStyle w:val="Defpara"/>
      </w:pPr>
      <w:r>
        <w:tab/>
        <w:t>(c)</w:t>
      </w:r>
      <w:r>
        <w:tab/>
        <w:t xml:space="preserve">the Minister administering the </w:t>
      </w:r>
      <w:r>
        <w:rPr>
          <w:i/>
          <w:iCs/>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provisions of this Part and are empowered to record and register in the appropriate manner the necessary documents and otherwise to give effect to this Part.</w:t>
      </w:r>
    </w:p>
    <w:p>
      <w:pPr>
        <w:pStyle w:val="Footnotesection"/>
      </w:pPr>
      <w:bookmarkStart w:id="721" w:name="_Toc318099353"/>
      <w:bookmarkStart w:id="722" w:name="_Toc318099456"/>
      <w:r>
        <w:tab/>
        <w:t>[Section 50 inserted by No. 37 of 2011 s. 37.]</w:t>
      </w:r>
    </w:p>
    <w:p>
      <w:pPr>
        <w:pStyle w:val="Heading5"/>
      </w:pPr>
      <w:bookmarkStart w:id="723" w:name="_Toc323713240"/>
      <w:bookmarkStart w:id="724" w:name="_Toc318201650"/>
      <w:r>
        <w:rPr>
          <w:rStyle w:val="CharSectno"/>
        </w:rPr>
        <w:t>51</w:t>
      </w:r>
      <w:r>
        <w:t>.</w:t>
      </w:r>
      <w:r>
        <w:rPr>
          <w:b w:val="0"/>
        </w:rPr>
        <w:tab/>
      </w:r>
      <w:r>
        <w:t>Transitional regulations</w:t>
      </w:r>
      <w:bookmarkEnd w:id="721"/>
      <w:bookmarkEnd w:id="722"/>
      <w:bookmarkEnd w:id="723"/>
      <w:bookmarkEnd w:id="724"/>
    </w:p>
    <w:p>
      <w:pPr>
        <w:pStyle w:val="Subsection"/>
      </w:pPr>
      <w:r>
        <w:tab/>
        <w:t>(1)</w:t>
      </w:r>
      <w:r>
        <w:tab/>
        <w:t xml:space="preserve">If this Part does not provide sufficiently for a matter or issue of a transitional nature that arises as a result of the amendments made to this Act by the </w:t>
      </w:r>
      <w:r>
        <w:rPr>
          <w:i/>
          <w:snapToGrid w:val="0"/>
        </w:rPr>
        <w:t>Curriculum Council Amendment Act 2011</w:t>
      </w:r>
      <w:r>
        <w:t>, the Governor may make regulations under section 33 (</w:t>
      </w:r>
      <w:r>
        <w:rPr>
          <w:rStyle w:val="CharDefText"/>
        </w:rPr>
        <w:t>transitional regulations</w:t>
      </w:r>
      <w:r>
        <w:t>) prescribing all matters that are required, necessary or convenient to be prescribed for providing for the matter or issue.</w:t>
      </w:r>
    </w:p>
    <w:p>
      <w:pPr>
        <w:pStyle w:val="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iCs/>
        </w:rPr>
        <w:t xml:space="preserve">Gazette </w:t>
      </w:r>
      <w:r>
        <w:t>but not earlier than the commencement day, the regulations have effect according to their terms.</w:t>
      </w:r>
    </w:p>
    <w:p>
      <w:pPr>
        <w:pStyle w:val="Subsection"/>
      </w:pPr>
      <w:r>
        <w:tab/>
        <w:t>(3)</w:t>
      </w:r>
      <w:r>
        <w:tab/>
        <w:t xml:space="preserve">If the transitional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bookmarkStart w:id="725" w:name="_Toc318099354"/>
      <w:bookmarkStart w:id="726" w:name="_Toc318099457"/>
      <w:r>
        <w:tab/>
        <w:t>[Section 51 inserted by No. 37 of 2011 s. 37.]</w:t>
      </w:r>
    </w:p>
    <w:p>
      <w:pPr>
        <w:pStyle w:val="Heading5"/>
      </w:pPr>
      <w:bookmarkStart w:id="727" w:name="_Toc323713241"/>
      <w:bookmarkStart w:id="728" w:name="_Toc318201651"/>
      <w:r>
        <w:rPr>
          <w:rStyle w:val="CharSectno"/>
        </w:rPr>
        <w:t>52</w:t>
      </w:r>
      <w:r>
        <w:t>.</w:t>
      </w:r>
      <w:r>
        <w:rPr>
          <w:b w:val="0"/>
        </w:rPr>
        <w:tab/>
      </w:r>
      <w:r>
        <w:t>Saving</w:t>
      </w:r>
      <w:bookmarkEnd w:id="725"/>
      <w:bookmarkEnd w:id="726"/>
      <w:bookmarkEnd w:id="727"/>
      <w:bookmarkEnd w:id="728"/>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Footnotesection"/>
      </w:pPr>
      <w:r>
        <w:tab/>
        <w:t>[Section 52 inserted by No. 37 of 2011 s. 37.]</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bookmarkStart w:id="729" w:name="_Toc123645529"/>
      <w:bookmarkStart w:id="730" w:name="_Toc123645630"/>
      <w:bookmarkStart w:id="731" w:name="_Toc124139499"/>
      <w:bookmarkStart w:id="732" w:name="_Toc157845878"/>
      <w:bookmarkStart w:id="733" w:name="_Toc161720585"/>
      <w:bookmarkStart w:id="734" w:name="_Toc161723037"/>
      <w:bookmarkStart w:id="735" w:name="_Toc163957005"/>
      <w:bookmarkStart w:id="736" w:name="_Toc163964995"/>
      <w:bookmarkStart w:id="737" w:name="_Toc165698437"/>
      <w:bookmarkStart w:id="738" w:name="_Toc232394813"/>
      <w:bookmarkStart w:id="739" w:name="_Toc268269145"/>
      <w:bookmarkStart w:id="740" w:name="_Toc272057716"/>
      <w:bookmarkStart w:id="741" w:name="_Toc274207161"/>
      <w:bookmarkStart w:id="742" w:name="_Toc278975296"/>
      <w:bookmarkStart w:id="743" w:name="_Toc303861481"/>
      <w:bookmarkStart w:id="744" w:name="_Toc303867360"/>
      <w:bookmarkStart w:id="745" w:name="_Toc318121438"/>
      <w:bookmarkStart w:id="746" w:name="_Toc318121688"/>
      <w:bookmarkStart w:id="747" w:name="_Toc318122516"/>
      <w:bookmarkStart w:id="748" w:name="_Toc318181692"/>
      <w:bookmarkStart w:id="749" w:name="_Toc318181797"/>
    </w:p>
    <w:p>
      <w:pPr>
        <w:pStyle w:val="yScheduleHeading"/>
      </w:pPr>
      <w:bookmarkStart w:id="750" w:name="_Toc318201652"/>
      <w:bookmarkStart w:id="751" w:name="_Toc320283285"/>
      <w:bookmarkStart w:id="752" w:name="_Toc320516435"/>
      <w:bookmarkStart w:id="753" w:name="_Toc321898608"/>
      <w:bookmarkStart w:id="754" w:name="_Toc323638357"/>
      <w:bookmarkStart w:id="755" w:name="_Toc323640317"/>
      <w:bookmarkStart w:id="756" w:name="_Toc323713242"/>
      <w:r>
        <w:rPr>
          <w:rStyle w:val="CharSchNo"/>
        </w:rPr>
        <w:t>Schedule 1</w:t>
      </w:r>
      <w:bookmarkEnd w:id="729"/>
      <w:bookmarkEnd w:id="730"/>
      <w:bookmarkEnd w:id="731"/>
      <w:bookmarkEnd w:id="732"/>
      <w:bookmarkEnd w:id="733"/>
      <w:bookmarkEnd w:id="734"/>
      <w:bookmarkEnd w:id="735"/>
      <w:bookmarkEnd w:id="736"/>
      <w:bookmarkEnd w:id="737"/>
      <w:bookmarkEnd w:id="738"/>
      <w:r>
        <w:t> — </w:t>
      </w:r>
      <w:r>
        <w:rPr>
          <w:rStyle w:val="CharSchText"/>
        </w:rPr>
        <w:t>Provisions as to Board</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yShoulderClause"/>
        <w:rPr>
          <w:snapToGrid w:val="0"/>
        </w:rPr>
      </w:pPr>
      <w:r>
        <w:rPr>
          <w:snapToGrid w:val="0"/>
        </w:rPr>
        <w:t>[s. 7]</w:t>
      </w:r>
    </w:p>
    <w:p>
      <w:pPr>
        <w:pStyle w:val="yFootnoteheading"/>
      </w:pPr>
      <w:r>
        <w:tab/>
        <w:t>[Heading amended by No. 19 of 2010 s. 4; No. 37 of 2011 s. 38.]</w:t>
      </w:r>
    </w:p>
    <w:p>
      <w:pPr>
        <w:pStyle w:val="yHeading3"/>
      </w:pPr>
      <w:bookmarkStart w:id="757" w:name="_Toc17002454"/>
      <w:bookmarkStart w:id="758" w:name="_Toc123645530"/>
      <w:bookmarkStart w:id="759" w:name="_Toc123645631"/>
      <w:bookmarkStart w:id="760" w:name="_Toc124139500"/>
      <w:bookmarkStart w:id="761" w:name="_Toc157845879"/>
      <w:bookmarkStart w:id="762" w:name="_Toc161720586"/>
      <w:bookmarkStart w:id="763" w:name="_Toc161723038"/>
      <w:bookmarkStart w:id="764" w:name="_Toc163957006"/>
      <w:bookmarkStart w:id="765" w:name="_Toc163964996"/>
      <w:bookmarkStart w:id="766" w:name="_Toc165698438"/>
      <w:bookmarkStart w:id="767" w:name="_Toc232394814"/>
      <w:bookmarkStart w:id="768" w:name="_Toc268269146"/>
      <w:bookmarkStart w:id="769" w:name="_Toc272057717"/>
      <w:bookmarkStart w:id="770" w:name="_Toc274207162"/>
      <w:bookmarkStart w:id="771" w:name="_Toc278975297"/>
      <w:bookmarkStart w:id="772" w:name="_Toc303861482"/>
      <w:bookmarkStart w:id="773" w:name="_Toc303867361"/>
      <w:bookmarkStart w:id="774" w:name="_Toc318121439"/>
      <w:bookmarkStart w:id="775" w:name="_Toc318121689"/>
      <w:bookmarkStart w:id="776" w:name="_Toc318122517"/>
      <w:bookmarkStart w:id="777" w:name="_Toc318181693"/>
      <w:bookmarkStart w:id="778" w:name="_Toc318181798"/>
      <w:bookmarkStart w:id="779" w:name="_Toc318201653"/>
      <w:bookmarkStart w:id="780" w:name="_Toc320283286"/>
      <w:bookmarkStart w:id="781" w:name="_Toc320516436"/>
      <w:bookmarkStart w:id="782" w:name="_Toc321898609"/>
      <w:bookmarkStart w:id="783" w:name="_Toc323638358"/>
      <w:bookmarkStart w:id="784" w:name="_Toc323640318"/>
      <w:bookmarkStart w:id="785" w:name="_Toc323713243"/>
      <w:r>
        <w:rPr>
          <w:rStyle w:val="CharSDivNo"/>
        </w:rPr>
        <w:t>Division 1</w:t>
      </w:r>
      <w:r>
        <w:t> — </w:t>
      </w:r>
      <w:r>
        <w:rPr>
          <w:rStyle w:val="CharSDivText"/>
        </w:rPr>
        <w:t>Provisions as to constitution and proceedings of the Board</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yFootnoteheading"/>
      </w:pPr>
      <w:bookmarkStart w:id="786" w:name="_Toc17002455"/>
      <w:bookmarkStart w:id="787" w:name="_Toc123645531"/>
      <w:r>
        <w:tab/>
        <w:t>[Heading amended by No. 37 of 2011 s. 39.]</w:t>
      </w:r>
    </w:p>
    <w:p>
      <w:pPr>
        <w:pStyle w:val="yHeading5"/>
        <w:outlineLvl w:val="9"/>
      </w:pPr>
      <w:bookmarkStart w:id="788" w:name="_Toc318201654"/>
      <w:bookmarkStart w:id="789" w:name="_Toc323713244"/>
      <w:r>
        <w:rPr>
          <w:rStyle w:val="CharSClsNo"/>
        </w:rPr>
        <w:t>1</w:t>
      </w:r>
      <w:r>
        <w:t>.</w:t>
      </w:r>
      <w:r>
        <w:tab/>
        <w:t>Term of office</w:t>
      </w:r>
      <w:bookmarkEnd w:id="786"/>
      <w:bookmarkEnd w:id="787"/>
      <w:bookmarkEnd w:id="788"/>
      <w:r>
        <w:t xml:space="preserve"> </w:t>
      </w:r>
      <w:ins w:id="790" w:author="svcMRProcess" w:date="2018-08-26T13:15:00Z">
        <w:r>
          <w:t>of members</w:t>
        </w:r>
      </w:ins>
      <w:bookmarkEnd w:id="789"/>
    </w:p>
    <w:p>
      <w:pPr>
        <w:pStyle w:val="ySubsection"/>
      </w:pPr>
      <w:r>
        <w:tab/>
        <w:t>(1)</w:t>
      </w:r>
      <w:r>
        <w:tab/>
        <w:t xml:space="preserve">Subject to clause 2, a member holds office for the term that is specified in the member’s instrument of appointment, and that term is not to exceed — </w:t>
      </w:r>
    </w:p>
    <w:p>
      <w:pPr>
        <w:pStyle w:val="yIndenta"/>
      </w:pPr>
      <w:r>
        <w:tab/>
        <w:t>(a)</w:t>
      </w:r>
      <w:r>
        <w:tab/>
        <w:t>4 years; or</w:t>
      </w:r>
    </w:p>
    <w:p>
      <w:pPr>
        <w:pStyle w:val="yIndenta"/>
      </w:pPr>
      <w:r>
        <w:tab/>
        <w:t>(b)</w:t>
      </w:r>
      <w:r>
        <w:tab/>
        <w:t>in the case of the member who is the chairperson, 5 years.</w:t>
      </w:r>
    </w:p>
    <w:p>
      <w:pPr>
        <w:pStyle w:val="ySubsection"/>
      </w:pPr>
      <w:r>
        <w:tab/>
        <w:t>(2A)</w:t>
      </w:r>
      <w:r>
        <w:tab/>
        <w:t>A person’s eligibility for reappointment or the term for which a person may be reappointed is not affected by an earlier appointment.</w:t>
      </w:r>
    </w:p>
    <w:p>
      <w:pPr>
        <w:pStyle w:val="ySubsection"/>
        <w:rPr>
          <w:snapToGrid w:val="0"/>
        </w:rPr>
      </w:pPr>
      <w:r>
        <w:rPr>
          <w:snapToGrid w:val="0"/>
        </w:rPr>
        <w:tab/>
        <w:t>(2)</w:t>
      </w:r>
      <w:r>
        <w:rPr>
          <w:snapToGrid w:val="0"/>
        </w:rPr>
        <w:tab/>
      </w:r>
      <w:r>
        <w:t>A member</w:t>
      </w:r>
      <w:r>
        <w:rPr>
          <w:snapToGrid w:val="0"/>
        </w:rPr>
        <w:t xml:space="preserve"> whose term of office expires by the passage of time continues in office until that member is reappointed or the successor of that member comes into office.</w:t>
      </w:r>
    </w:p>
    <w:p>
      <w:pPr>
        <w:pStyle w:val="yFootnotesection"/>
      </w:pPr>
      <w:bookmarkStart w:id="791" w:name="_Toc17002456"/>
      <w:bookmarkStart w:id="792" w:name="_Toc123645532"/>
      <w:r>
        <w:tab/>
        <w:t>[Clause 1 amended by No. 37 of 2011 s. 40.]</w:t>
      </w:r>
    </w:p>
    <w:p>
      <w:pPr>
        <w:pStyle w:val="yHeading5"/>
        <w:outlineLvl w:val="9"/>
      </w:pPr>
      <w:bookmarkStart w:id="793" w:name="_Toc318201655"/>
      <w:bookmarkStart w:id="794" w:name="_Toc323713245"/>
      <w:r>
        <w:rPr>
          <w:rStyle w:val="CharSClsNo"/>
        </w:rPr>
        <w:t>2</w:t>
      </w:r>
      <w:r>
        <w:t>.</w:t>
      </w:r>
      <w:r>
        <w:tab/>
        <w:t>Resignation, removal etc.</w:t>
      </w:r>
      <w:bookmarkEnd w:id="791"/>
      <w:bookmarkEnd w:id="792"/>
      <w:bookmarkEnd w:id="793"/>
      <w:r>
        <w:t xml:space="preserve"> </w:t>
      </w:r>
      <w:ins w:id="795" w:author="svcMRProcess" w:date="2018-08-26T13:15:00Z">
        <w:r>
          <w:t>of members</w:t>
        </w:r>
      </w:ins>
      <w:bookmarkEnd w:id="794"/>
    </w:p>
    <w:p>
      <w:pPr>
        <w:pStyle w:val="ySubsection"/>
        <w:rPr>
          <w:snapToGrid w:val="0"/>
        </w:rPr>
      </w:pPr>
      <w:r>
        <w:rPr>
          <w:snapToGrid w:val="0"/>
        </w:rPr>
        <w:tab/>
        <w:t>(1)</w:t>
      </w:r>
      <w:r>
        <w:rPr>
          <w:snapToGrid w:val="0"/>
        </w:rPr>
        <w:tab/>
        <w:t xml:space="preserve">The office of </w:t>
      </w:r>
      <w:r>
        <w:t>a member</w:t>
      </w:r>
      <w:r>
        <w:rPr>
          <w:snapToGrid w:val="0"/>
        </w:rPr>
        <w:t xml:space="preserve"> becomes vacant if the member — </w:t>
      </w:r>
    </w:p>
    <w:p>
      <w:pPr>
        <w:pStyle w:val="yIndenta"/>
        <w:spacing w:before="70"/>
        <w:rPr>
          <w:snapToGrid w:val="0"/>
        </w:rPr>
      </w:pPr>
      <w:r>
        <w:rPr>
          <w:snapToGrid w:val="0"/>
        </w:rPr>
        <w:tab/>
        <w:t>(a)</w:t>
      </w:r>
      <w:r>
        <w:rPr>
          <w:snapToGrid w:val="0"/>
        </w:rPr>
        <w:tab/>
        <w:t>resigns the office by written notice addressed to the Minister;</w:t>
      </w:r>
      <w:r>
        <w:rPr>
          <w:szCs w:val="22"/>
        </w:rPr>
        <w:t xml:space="preserve"> or</w:t>
      </w:r>
    </w:p>
    <w:p>
      <w:pPr>
        <w:pStyle w:val="yIndenta"/>
        <w:spacing w:before="70"/>
        <w:rPr>
          <w:snapToGrid w:val="0"/>
        </w:rPr>
      </w:pPr>
      <w:r>
        <w:rPr>
          <w:snapToGrid w:val="0"/>
        </w:rPr>
        <w:tab/>
        <w:t>(b)</w:t>
      </w:r>
      <w:r>
        <w:rPr>
          <w:snapToGrid w:val="0"/>
        </w:rPr>
        <w:tab/>
        <w:t>is an insolvent under administration, as that term is defined in the</w:t>
      </w:r>
      <w:r>
        <w:rPr>
          <w:i/>
        </w:rPr>
        <w:t xml:space="preserve"> Corporations Act 2001</w:t>
      </w:r>
      <w:r>
        <w:t xml:space="preserve"> of the Commonwealth</w:t>
      </w:r>
      <w:r>
        <w:rPr>
          <w:snapToGrid w:val="0"/>
        </w:rPr>
        <w:t>; or</w:t>
      </w:r>
    </w:p>
    <w:p>
      <w:pPr>
        <w:pStyle w:val="yIndenta"/>
      </w:pPr>
      <w:r>
        <w:tab/>
        <w:t>(ca)</w:t>
      </w:r>
      <w:r>
        <w:tab/>
        <w:t>has ceased to be eligible to be appointed as a member; or</w:t>
      </w:r>
    </w:p>
    <w:p>
      <w:pPr>
        <w:pStyle w:val="yIndenta"/>
        <w:spacing w:before="70"/>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 xml:space="preserve">The Minister may remove </w:t>
      </w:r>
      <w:r>
        <w:t>a member</w:t>
      </w:r>
      <w:r>
        <w:rPr>
          <w:snapToGrid w:val="0"/>
        </w:rPr>
        <w:t xml:space="preserve"> from office if the Minister is satisfied that the member — </w:t>
      </w:r>
    </w:p>
    <w:p>
      <w:pPr>
        <w:pStyle w:val="yIndenta"/>
        <w:spacing w:before="70"/>
        <w:rPr>
          <w:snapToGrid w:val="0"/>
        </w:rPr>
      </w:pPr>
      <w:r>
        <w:rPr>
          <w:snapToGrid w:val="0"/>
        </w:rPr>
        <w:tab/>
        <w:t>(a)</w:t>
      </w:r>
      <w:r>
        <w:rPr>
          <w:snapToGrid w:val="0"/>
        </w:rPr>
        <w:tab/>
        <w:t>has neglected his or her duty;</w:t>
      </w:r>
      <w:ins w:id="796" w:author="svcMRProcess" w:date="2018-08-26T13:15:00Z">
        <w:r>
          <w:rPr>
            <w:snapToGrid w:val="0"/>
          </w:rPr>
          <w:t xml:space="preserve"> or</w:t>
        </w:r>
      </w:ins>
    </w:p>
    <w:p>
      <w:pPr>
        <w:pStyle w:val="yIndenta"/>
        <w:spacing w:before="70"/>
        <w:rPr>
          <w:snapToGrid w:val="0"/>
        </w:rPr>
      </w:pPr>
      <w:r>
        <w:rPr>
          <w:snapToGrid w:val="0"/>
        </w:rPr>
        <w:tab/>
        <w:t>(b)</w:t>
      </w:r>
      <w:r>
        <w:rPr>
          <w:snapToGrid w:val="0"/>
        </w:rPr>
        <w:tab/>
        <w:t>has misbehaved;</w:t>
      </w:r>
      <w:ins w:id="797" w:author="svcMRProcess" w:date="2018-08-26T13:15:00Z">
        <w:r>
          <w:rPr>
            <w:snapToGrid w:val="0"/>
          </w:rPr>
          <w:t xml:space="preserve"> or</w:t>
        </w:r>
      </w:ins>
    </w:p>
    <w:p>
      <w:pPr>
        <w:pStyle w:val="yIndenta"/>
        <w:spacing w:before="70"/>
        <w:rPr>
          <w:snapToGrid w:val="0"/>
        </w:rPr>
      </w:pPr>
      <w:r>
        <w:rPr>
          <w:snapToGrid w:val="0"/>
        </w:rPr>
        <w:tab/>
        <w:t>(c)</w:t>
      </w:r>
      <w:r>
        <w:rPr>
          <w:snapToGrid w:val="0"/>
        </w:rPr>
        <w:tab/>
        <w:t>is incompetent; or</w:t>
      </w:r>
    </w:p>
    <w:p>
      <w:pPr>
        <w:pStyle w:val="yIndenta"/>
        <w:spacing w:before="70"/>
        <w:rPr>
          <w:snapToGrid w:val="0"/>
        </w:rPr>
      </w:pPr>
      <w:r>
        <w:rPr>
          <w:snapToGrid w:val="0"/>
        </w:rPr>
        <w:tab/>
        <w:t>(d)</w:t>
      </w:r>
      <w:r>
        <w:rPr>
          <w:snapToGrid w:val="0"/>
        </w:rPr>
        <w:tab/>
        <w:t>is suffering from mental or physical incapacity impairing the performance of his or her functions under this Act.</w:t>
      </w:r>
    </w:p>
    <w:p>
      <w:pPr>
        <w:pStyle w:val="yFootnotesection"/>
      </w:pPr>
      <w:bookmarkStart w:id="798" w:name="_Toc17002457"/>
      <w:bookmarkStart w:id="799" w:name="_Toc123645533"/>
      <w:r>
        <w:tab/>
        <w:t>[Clause 2 amended by No. 10 of 2001 s. 220; No. 37 of 2011 s. 41.]</w:t>
      </w:r>
    </w:p>
    <w:p>
      <w:pPr>
        <w:pStyle w:val="yHeading5"/>
        <w:outlineLvl w:val="9"/>
      </w:pPr>
      <w:bookmarkStart w:id="800" w:name="_Toc318201656"/>
      <w:bookmarkStart w:id="801" w:name="_Toc323713246"/>
      <w:r>
        <w:rPr>
          <w:rStyle w:val="CharSClsNo"/>
        </w:rPr>
        <w:t>3</w:t>
      </w:r>
      <w:r>
        <w:t>.</w:t>
      </w:r>
      <w:r>
        <w:tab/>
        <w:t>Leave of absence</w:t>
      </w:r>
      <w:bookmarkEnd w:id="798"/>
      <w:bookmarkEnd w:id="799"/>
      <w:bookmarkEnd w:id="800"/>
      <w:r>
        <w:t xml:space="preserve"> </w:t>
      </w:r>
      <w:ins w:id="802" w:author="svcMRProcess" w:date="2018-08-26T13:15:00Z">
        <w:r>
          <w:t>for members</w:t>
        </w:r>
      </w:ins>
      <w:bookmarkEnd w:id="801"/>
    </w:p>
    <w:p>
      <w:pPr>
        <w:pStyle w:val="ySubsection"/>
        <w:rPr>
          <w:snapToGrid w:val="0"/>
        </w:rPr>
      </w:pPr>
      <w:r>
        <w:rPr>
          <w:snapToGrid w:val="0"/>
        </w:rPr>
        <w:tab/>
      </w:r>
      <w:r>
        <w:rPr>
          <w:snapToGrid w:val="0"/>
        </w:rPr>
        <w:tab/>
      </w:r>
      <w:r>
        <w:t>The Board</w:t>
      </w:r>
      <w:r>
        <w:rPr>
          <w:snapToGrid w:val="0"/>
        </w:rPr>
        <w:t xml:space="preserve"> may grant leave of absence to a member on such terms and conditions as it thinks fit.</w:t>
      </w:r>
    </w:p>
    <w:p>
      <w:pPr>
        <w:pStyle w:val="yFootnotesection"/>
      </w:pPr>
      <w:bookmarkStart w:id="803" w:name="_Toc17002458"/>
      <w:bookmarkStart w:id="804" w:name="_Toc123645534"/>
      <w:r>
        <w:tab/>
        <w:t>[Clause 3 amended by No. 37 of 2011 s. 42.]</w:t>
      </w:r>
    </w:p>
    <w:p>
      <w:pPr>
        <w:pStyle w:val="yHeading5"/>
        <w:outlineLvl w:val="9"/>
      </w:pPr>
      <w:bookmarkStart w:id="805" w:name="_Toc323713247"/>
      <w:bookmarkStart w:id="806" w:name="_Toc318201657"/>
      <w:r>
        <w:rPr>
          <w:rStyle w:val="CharSClsNo"/>
        </w:rPr>
        <w:t>4</w:t>
      </w:r>
      <w:r>
        <w:t>.</w:t>
      </w:r>
      <w:r>
        <w:tab/>
        <w:t>Appointed member unable to act</w:t>
      </w:r>
      <w:bookmarkEnd w:id="803"/>
      <w:bookmarkEnd w:id="804"/>
      <w:bookmarkEnd w:id="805"/>
      <w:bookmarkEnd w:id="806"/>
      <w:r>
        <w:t xml:space="preserve"> </w:t>
      </w:r>
    </w:p>
    <w:p>
      <w:pPr>
        <w:pStyle w:val="ySubsection"/>
        <w:rPr>
          <w:snapToGrid w:val="0"/>
        </w:rPr>
      </w:pPr>
      <w:r>
        <w:rPr>
          <w:snapToGrid w:val="0"/>
        </w:rPr>
        <w:tab/>
        <w:t>(1)</w:t>
      </w:r>
      <w:r>
        <w:rPr>
          <w:snapToGrid w:val="0"/>
        </w:rPr>
        <w:tab/>
        <w:t xml:space="preserve">If </w:t>
      </w:r>
      <w:r>
        <w:t>a member</w:t>
      </w:r>
      <w:r>
        <w:rPr>
          <w:snapToGrid w:val="0"/>
        </w:rPr>
        <w:t xml:space="preserve"> other than the chairperson is unable to act by reason of illness, absence or other cause, the Minister may appoint another person to act temporarily in his or her place and, while so acting according to the tenor of his or her appointment, that other person is to be taken to be a </w:t>
      </w:r>
      <w:r>
        <w:rPr>
          <w:szCs w:val="22"/>
        </w:rPr>
        <w:t>member.</w:t>
      </w:r>
    </w:p>
    <w:p>
      <w:pPr>
        <w:pStyle w:val="ySubsection"/>
        <w:rPr>
          <w:snapToGrid w:val="0"/>
        </w:rPr>
      </w:pPr>
      <w:r>
        <w:rPr>
          <w:snapToGrid w:val="0"/>
        </w:rPr>
        <w:tab/>
        <w:t>(2)</w:t>
      </w:r>
      <w:r>
        <w:rPr>
          <w:snapToGrid w:val="0"/>
        </w:rPr>
        <w:tab/>
        <w:t>If a member is performing the functions of the chairperson under clause 8(2),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Footnotesection"/>
      </w:pPr>
      <w:bookmarkStart w:id="807" w:name="_Toc17002459"/>
      <w:bookmarkStart w:id="808" w:name="_Toc123645535"/>
      <w:r>
        <w:tab/>
        <w:t>[Clause 4 amended by No. 37 of 2011 s. 43.]</w:t>
      </w:r>
    </w:p>
    <w:p>
      <w:pPr>
        <w:pStyle w:val="yEdnotesection"/>
      </w:pPr>
      <w:r>
        <w:t>[</w:t>
      </w:r>
      <w:r>
        <w:rPr>
          <w:b/>
        </w:rPr>
        <w:t>5.</w:t>
      </w:r>
      <w:r>
        <w:tab/>
        <w:t>Deleted by No. 37 of 2011 s. 44.]</w:t>
      </w:r>
    </w:p>
    <w:p>
      <w:pPr>
        <w:pStyle w:val="yHeading5"/>
        <w:outlineLvl w:val="9"/>
      </w:pPr>
      <w:bookmarkStart w:id="809" w:name="_Toc17002460"/>
      <w:bookmarkStart w:id="810" w:name="_Toc123645536"/>
      <w:bookmarkStart w:id="811" w:name="_Toc323713248"/>
      <w:bookmarkStart w:id="812" w:name="_Toc318201658"/>
      <w:bookmarkEnd w:id="807"/>
      <w:bookmarkEnd w:id="808"/>
      <w:r>
        <w:rPr>
          <w:rStyle w:val="CharSClsNo"/>
        </w:rPr>
        <w:t>6</w:t>
      </w:r>
      <w:r>
        <w:t>.</w:t>
      </w:r>
      <w:r>
        <w:tab/>
        <w:t>Saving</w:t>
      </w:r>
      <w:bookmarkEnd w:id="809"/>
      <w:bookmarkEnd w:id="810"/>
      <w:bookmarkEnd w:id="811"/>
      <w:bookmarkEnd w:id="812"/>
      <w:r>
        <w:t xml:space="preserve"> </w:t>
      </w:r>
    </w:p>
    <w:p>
      <w:pPr>
        <w:pStyle w:val="ySubsection"/>
        <w:rPr>
          <w:snapToGrid w:val="0"/>
        </w:rPr>
      </w:pPr>
      <w:r>
        <w:rPr>
          <w:snapToGrid w:val="0"/>
        </w:rPr>
        <w:tab/>
      </w:r>
      <w:r>
        <w:rPr>
          <w:snapToGrid w:val="0"/>
        </w:rPr>
        <w:tab/>
        <w:t xml:space="preserve">No act or omission of a person acting in place of another under </w:t>
      </w:r>
      <w:r>
        <w:t xml:space="preserve">clause 4 </w:t>
      </w:r>
      <w:r>
        <w:rPr>
          <w:snapToGrid w:val="0"/>
        </w:rPr>
        <w:t>or 8(2) is to be questioned on the ground that the occasion for his or her appointment or acting had not arisen or had ceased.</w:t>
      </w:r>
    </w:p>
    <w:p>
      <w:pPr>
        <w:pStyle w:val="yFootnotesection"/>
      </w:pPr>
      <w:bookmarkStart w:id="813" w:name="_Toc17002461"/>
      <w:bookmarkStart w:id="814" w:name="_Toc123645537"/>
      <w:r>
        <w:tab/>
        <w:t>[Clause 6 amended by No. 37 of 2011 s. 45.]</w:t>
      </w:r>
    </w:p>
    <w:p>
      <w:pPr>
        <w:pStyle w:val="yHeading5"/>
        <w:outlineLvl w:val="9"/>
      </w:pPr>
      <w:bookmarkStart w:id="815" w:name="_Toc318201659"/>
      <w:bookmarkStart w:id="816" w:name="_Toc323713249"/>
      <w:r>
        <w:rPr>
          <w:rStyle w:val="CharSClsNo"/>
        </w:rPr>
        <w:t>7</w:t>
      </w:r>
      <w:r>
        <w:t>.</w:t>
      </w:r>
      <w:r>
        <w:tab/>
      </w:r>
      <w:del w:id="817" w:author="svcMRProcess" w:date="2018-08-26T13:15:00Z">
        <w:r>
          <w:delText>Calling of meetings</w:delText>
        </w:r>
        <w:bookmarkEnd w:id="815"/>
        <w:r>
          <w:delText xml:space="preserve"> </w:delText>
        </w:r>
      </w:del>
      <w:ins w:id="818" w:author="svcMRProcess" w:date="2018-08-26T13:15:00Z">
        <w:r>
          <w:t>Meetings</w:t>
        </w:r>
        <w:bookmarkEnd w:id="813"/>
        <w:bookmarkEnd w:id="814"/>
        <w:r>
          <w:t>, convening</w:t>
        </w:r>
      </w:ins>
      <w:bookmarkEnd w:id="816"/>
    </w:p>
    <w:p>
      <w:pPr>
        <w:pStyle w:val="ySubsection"/>
        <w:rPr>
          <w:snapToGrid w:val="0"/>
        </w:rPr>
      </w:pPr>
      <w:r>
        <w:rPr>
          <w:snapToGrid w:val="0"/>
        </w:rPr>
        <w:tab/>
        <w:t>(1)</w:t>
      </w:r>
      <w:r>
        <w:rPr>
          <w:snapToGrid w:val="0"/>
        </w:rPr>
        <w:tab/>
        <w:t xml:space="preserve">Subject to subclause (2), meetings are to be held at the times and places that the </w:t>
      </w:r>
      <w:r>
        <w:t>Board</w:t>
      </w:r>
      <w:r>
        <w:rPr>
          <w:snapToGrid w:val="0"/>
        </w:rPr>
        <w:t xml:space="preserve"> determines.</w:t>
      </w:r>
    </w:p>
    <w:p>
      <w:pPr>
        <w:pStyle w:val="ySubsection"/>
        <w:rPr>
          <w:snapToGrid w:val="0"/>
        </w:rPr>
      </w:pPr>
      <w:r>
        <w:rPr>
          <w:snapToGrid w:val="0"/>
        </w:rPr>
        <w:tab/>
        <w:t>(2)</w:t>
      </w:r>
      <w:r>
        <w:rPr>
          <w:snapToGrid w:val="0"/>
        </w:rPr>
        <w:tab/>
        <w:t xml:space="preserve">A special meeting of the </w:t>
      </w:r>
      <w:r>
        <w:t>Board</w:t>
      </w:r>
      <w:r>
        <w:rPr>
          <w:snapToGrid w:val="0"/>
        </w:rPr>
        <w:t xml:space="preserve"> may at any time be convened by the chairperson.</w:t>
      </w:r>
    </w:p>
    <w:p>
      <w:pPr>
        <w:pStyle w:val="ySubsection"/>
        <w:rPr>
          <w:snapToGrid w:val="0"/>
        </w:rPr>
      </w:pPr>
      <w:r>
        <w:rPr>
          <w:snapToGrid w:val="0"/>
        </w:rPr>
        <w:tab/>
        <w:t>(3)</w:t>
      </w:r>
      <w:r>
        <w:rPr>
          <w:snapToGrid w:val="0"/>
        </w:rPr>
        <w:tab/>
        <w:t xml:space="preserve">The first meeting of the </w:t>
      </w:r>
      <w:r>
        <w:t>Board</w:t>
      </w:r>
      <w:r>
        <w:rPr>
          <w:snapToGrid w:val="0"/>
        </w:rPr>
        <w:t xml:space="preserve"> is to be convened by the chairperson.</w:t>
      </w:r>
    </w:p>
    <w:p>
      <w:pPr>
        <w:pStyle w:val="yFootnotesection"/>
      </w:pPr>
      <w:bookmarkStart w:id="819" w:name="_Toc17002462"/>
      <w:bookmarkStart w:id="820" w:name="_Toc123645538"/>
      <w:r>
        <w:tab/>
        <w:t>[Clause 7 amended by No. 37 of 2011 s. 53(2).]</w:t>
      </w:r>
    </w:p>
    <w:p>
      <w:pPr>
        <w:pStyle w:val="yHeading5"/>
        <w:outlineLvl w:val="9"/>
      </w:pPr>
      <w:bookmarkStart w:id="821" w:name="_Toc323713250"/>
      <w:bookmarkStart w:id="822" w:name="_Toc318201660"/>
      <w:r>
        <w:rPr>
          <w:rStyle w:val="CharSClsNo"/>
        </w:rPr>
        <w:t>8</w:t>
      </w:r>
      <w:r>
        <w:t>.</w:t>
      </w:r>
      <w:r>
        <w:tab/>
        <w:t>Presiding officer</w:t>
      </w:r>
      <w:bookmarkEnd w:id="819"/>
      <w:bookmarkEnd w:id="820"/>
      <w:bookmarkEnd w:id="821"/>
      <w:bookmarkEnd w:id="822"/>
      <w:r>
        <w:t xml:space="preserve"> </w:t>
      </w:r>
    </w:p>
    <w:p>
      <w:pPr>
        <w:pStyle w:val="ySubsection"/>
        <w:rPr>
          <w:snapToGrid w:val="0"/>
        </w:rPr>
      </w:pPr>
      <w:r>
        <w:rPr>
          <w:snapToGrid w:val="0"/>
        </w:rPr>
        <w:tab/>
        <w:t>(1)</w:t>
      </w:r>
      <w:r>
        <w:rPr>
          <w:snapToGrid w:val="0"/>
        </w:rPr>
        <w:tab/>
        <w:t xml:space="preserve">The chairperson is to preside at all meetings of the </w:t>
      </w:r>
      <w:r>
        <w:t>Board</w:t>
      </w:r>
      <w:r>
        <w:rPr>
          <w:snapToGrid w:val="0"/>
        </w:rPr>
        <w:t xml:space="preserve"> at which he or she is present.</w:t>
      </w:r>
    </w:p>
    <w:p>
      <w:pPr>
        <w:pStyle w:val="ySubsection"/>
        <w:rPr>
          <w:snapToGrid w:val="0"/>
        </w:rPr>
      </w:pPr>
      <w:r>
        <w:rPr>
          <w:snapToGrid w:val="0"/>
        </w:rPr>
        <w:tab/>
        <w:t>(2)</w:t>
      </w:r>
      <w:r>
        <w:rPr>
          <w:snapToGrid w:val="0"/>
        </w:rPr>
        <w:tab/>
        <w:t>If the chairperson is absent from a meeting the members present are to appoint one of their number to preside.</w:t>
      </w:r>
    </w:p>
    <w:p>
      <w:pPr>
        <w:pStyle w:val="yFootnotesection"/>
      </w:pPr>
      <w:bookmarkStart w:id="823" w:name="_Toc17002463"/>
      <w:bookmarkStart w:id="824" w:name="_Toc123645539"/>
      <w:r>
        <w:tab/>
        <w:t>[Clause 8 amended by No. 37 of 2011 s. 53(2).]</w:t>
      </w:r>
    </w:p>
    <w:p>
      <w:pPr>
        <w:pStyle w:val="yHeading5"/>
        <w:outlineLvl w:val="9"/>
      </w:pPr>
      <w:bookmarkStart w:id="825" w:name="_Toc323713251"/>
      <w:bookmarkStart w:id="826" w:name="_Toc318201661"/>
      <w:r>
        <w:rPr>
          <w:rStyle w:val="CharSClsNo"/>
        </w:rPr>
        <w:t>9</w:t>
      </w:r>
      <w:r>
        <w:t>.</w:t>
      </w:r>
      <w:r>
        <w:tab/>
        <w:t>Quorum</w:t>
      </w:r>
      <w:bookmarkEnd w:id="823"/>
      <w:bookmarkEnd w:id="824"/>
      <w:bookmarkEnd w:id="825"/>
      <w:bookmarkEnd w:id="826"/>
      <w:r>
        <w:t xml:space="preserve"> </w:t>
      </w:r>
    </w:p>
    <w:p>
      <w:pPr>
        <w:pStyle w:val="ySubsection"/>
        <w:rPr>
          <w:snapToGrid w:val="0"/>
        </w:rPr>
      </w:pPr>
      <w:r>
        <w:rPr>
          <w:snapToGrid w:val="0"/>
        </w:rPr>
        <w:tab/>
      </w:r>
      <w:r>
        <w:rPr>
          <w:snapToGrid w:val="0"/>
        </w:rPr>
        <w:tab/>
        <w:t xml:space="preserve">A quorum for a meeting of the </w:t>
      </w:r>
      <w:r>
        <w:t>Board is 5 members.</w:t>
      </w:r>
    </w:p>
    <w:p>
      <w:pPr>
        <w:pStyle w:val="yFootnotesection"/>
      </w:pPr>
      <w:bookmarkStart w:id="827" w:name="_Toc17002464"/>
      <w:bookmarkStart w:id="828" w:name="_Toc123645540"/>
      <w:r>
        <w:tab/>
        <w:t>[Clause 9 amended by No. 37 of 2011 s. 46.]</w:t>
      </w:r>
    </w:p>
    <w:p>
      <w:pPr>
        <w:pStyle w:val="yHeading5"/>
        <w:outlineLvl w:val="9"/>
      </w:pPr>
      <w:bookmarkStart w:id="829" w:name="_Toc323713252"/>
      <w:bookmarkStart w:id="830" w:name="_Toc318201662"/>
      <w:r>
        <w:rPr>
          <w:rStyle w:val="CharSClsNo"/>
        </w:rPr>
        <w:t>10</w:t>
      </w:r>
      <w:r>
        <w:t>.</w:t>
      </w:r>
      <w:r>
        <w:tab/>
        <w:t>Voting</w:t>
      </w:r>
      <w:bookmarkEnd w:id="827"/>
      <w:bookmarkEnd w:id="828"/>
      <w:bookmarkEnd w:id="829"/>
      <w:bookmarkEnd w:id="830"/>
      <w:r>
        <w:t xml:space="preserve"> </w:t>
      </w:r>
    </w:p>
    <w:p>
      <w:pPr>
        <w:pStyle w:val="ySubsection"/>
        <w:rPr>
          <w:snapToGrid w:val="0"/>
        </w:rPr>
      </w:pPr>
      <w:r>
        <w:rPr>
          <w:snapToGrid w:val="0"/>
        </w:rPr>
        <w:tab/>
        <w:t>(1)</w:t>
      </w:r>
      <w:r>
        <w:rPr>
          <w:snapToGrid w:val="0"/>
        </w:rPr>
        <w:tab/>
        <w:t xml:space="preserve">At any meeting of the </w:t>
      </w:r>
      <w:r>
        <w:t>Board</w:t>
      </w:r>
      <w:r>
        <w:rPr>
          <w:snapToGrid w:val="0"/>
        </w:rPr>
        <w:t xml:space="preserve"> each member present has a deliberative vote.</w:t>
      </w:r>
    </w:p>
    <w:p>
      <w:pPr>
        <w:pStyle w:val="ySubsection"/>
        <w:rPr>
          <w:snapToGrid w:val="0"/>
        </w:rPr>
      </w:pPr>
      <w:r>
        <w:rPr>
          <w:snapToGrid w:val="0"/>
        </w:rPr>
        <w:tab/>
        <w:t>(2)</w:t>
      </w:r>
      <w:r>
        <w:rPr>
          <w:snapToGrid w:val="0"/>
        </w:rPr>
        <w:tab/>
        <w:t xml:space="preserve">Subject to subclause (3), if the votes cast on a question are equally divided, the question remains unresolved until a subsequent meeting of the </w:t>
      </w:r>
      <w:r>
        <w:t>Board</w:t>
      </w:r>
      <w:r>
        <w:rPr>
          <w:snapToGrid w:val="0"/>
        </w:rPr>
        <w:t>.</w:t>
      </w:r>
    </w:p>
    <w:p>
      <w:pPr>
        <w:pStyle w:val="ySubsection"/>
        <w:rPr>
          <w:snapToGrid w:val="0"/>
        </w:rPr>
      </w:pPr>
      <w:r>
        <w:rPr>
          <w:snapToGrid w:val="0"/>
        </w:rPr>
        <w:tab/>
        <w:t>(3)</w:t>
      </w:r>
      <w:r>
        <w:rPr>
          <w:snapToGrid w:val="0"/>
        </w:rPr>
        <w:tab/>
        <w:t xml:space="preserve">If the votes cast on a question at a meeting of the </w:t>
      </w:r>
      <w:r>
        <w:t>Board</w:t>
      </w:r>
      <w:r>
        <w:rPr>
          <w:snapToGrid w:val="0"/>
        </w:rPr>
        <w:t xml:space="preserve"> were equally divided and the votes cast on the question at a subsequent meeting of the </w:t>
      </w:r>
      <w:r>
        <w:t>Board</w:t>
      </w:r>
      <w:r>
        <w:rPr>
          <w:snapToGrid w:val="0"/>
        </w:rPr>
        <w:t xml:space="preserve"> are again equally divided, the question is to be taken to have been resolved in the negative.</w:t>
      </w:r>
    </w:p>
    <w:p>
      <w:pPr>
        <w:pStyle w:val="yFootnotesection"/>
      </w:pPr>
      <w:bookmarkStart w:id="831" w:name="_Toc17002465"/>
      <w:bookmarkStart w:id="832" w:name="_Toc123645541"/>
      <w:r>
        <w:tab/>
        <w:t>[Clause 10 amended by No. 37 of 2011 s. 47 and 53(2).]</w:t>
      </w:r>
    </w:p>
    <w:p>
      <w:pPr>
        <w:pStyle w:val="yHeading5"/>
        <w:outlineLvl w:val="9"/>
      </w:pPr>
      <w:bookmarkStart w:id="833" w:name="_Toc323713253"/>
      <w:bookmarkStart w:id="834" w:name="_Toc318201663"/>
      <w:r>
        <w:rPr>
          <w:rStyle w:val="CharSClsNo"/>
        </w:rPr>
        <w:t>11</w:t>
      </w:r>
      <w:r>
        <w:t>.</w:t>
      </w:r>
      <w:r>
        <w:tab/>
        <w:t>Minutes</w:t>
      </w:r>
      <w:bookmarkEnd w:id="831"/>
      <w:bookmarkEnd w:id="832"/>
      <w:bookmarkEnd w:id="833"/>
      <w:bookmarkEnd w:id="834"/>
      <w:r>
        <w:t xml:space="preserve"> </w:t>
      </w:r>
    </w:p>
    <w:p>
      <w:pPr>
        <w:pStyle w:val="ySubsection"/>
        <w:rPr>
          <w:snapToGrid w:val="0"/>
        </w:rPr>
      </w:pPr>
      <w:r>
        <w:rPr>
          <w:snapToGrid w:val="0"/>
        </w:rPr>
        <w:tab/>
      </w:r>
      <w:r>
        <w:rPr>
          <w:snapToGrid w:val="0"/>
        </w:rPr>
        <w:tab/>
        <w:t xml:space="preserve">The </w:t>
      </w:r>
      <w:r>
        <w:t>Board</w:t>
      </w:r>
      <w:r>
        <w:rPr>
          <w:snapToGrid w:val="0"/>
        </w:rPr>
        <w:t xml:space="preserve"> is to cause accurate minutes to be kept of the proceedings at its meetings.</w:t>
      </w:r>
    </w:p>
    <w:p>
      <w:pPr>
        <w:pStyle w:val="yFootnotesection"/>
      </w:pPr>
      <w:bookmarkStart w:id="835" w:name="_Toc17002466"/>
      <w:bookmarkStart w:id="836" w:name="_Toc123645542"/>
      <w:r>
        <w:tab/>
        <w:t>[Clause 11 amended by No. 37 of 2011 s. 53(2).]</w:t>
      </w:r>
    </w:p>
    <w:p>
      <w:pPr>
        <w:pStyle w:val="yHeading5"/>
        <w:outlineLvl w:val="9"/>
      </w:pPr>
      <w:bookmarkStart w:id="837" w:name="_Toc323713254"/>
      <w:bookmarkStart w:id="838" w:name="_Toc318201664"/>
      <w:r>
        <w:rPr>
          <w:rStyle w:val="CharSClsNo"/>
        </w:rPr>
        <w:t>12</w:t>
      </w:r>
      <w:r>
        <w:t>.</w:t>
      </w:r>
      <w:r>
        <w:tab/>
        <w:t>Resolution without meeting</w:t>
      </w:r>
      <w:bookmarkEnd w:id="835"/>
      <w:bookmarkEnd w:id="836"/>
      <w:bookmarkEnd w:id="837"/>
      <w:bookmarkEnd w:id="838"/>
      <w:r>
        <w:t xml:space="preserve"> </w:t>
      </w:r>
    </w:p>
    <w:p>
      <w:pPr>
        <w:pStyle w:val="ySubsection"/>
        <w:rPr>
          <w:snapToGrid w:val="0"/>
        </w:rPr>
      </w:pPr>
      <w:r>
        <w:rPr>
          <w:snapToGrid w:val="0"/>
        </w:rPr>
        <w:tab/>
      </w:r>
      <w:r>
        <w:rPr>
          <w:snapToGrid w:val="0"/>
        </w:rPr>
        <w:tab/>
        <w:t xml:space="preserve">A resolution in writing signed or assented to by each member by letter or facsimile is as effectual as if it had been passed at a meeting of the </w:t>
      </w:r>
      <w:r>
        <w:t>Board</w:t>
      </w:r>
      <w:r>
        <w:rPr>
          <w:snapToGrid w:val="0"/>
        </w:rPr>
        <w:t>.</w:t>
      </w:r>
    </w:p>
    <w:p>
      <w:pPr>
        <w:pStyle w:val="yFootnotesection"/>
      </w:pPr>
      <w:bookmarkStart w:id="839" w:name="_Toc17002467"/>
      <w:bookmarkStart w:id="840" w:name="_Toc123645543"/>
      <w:r>
        <w:tab/>
        <w:t>[Clause 12 amended by No. 37 of 2011 s. 53(2).]</w:t>
      </w:r>
    </w:p>
    <w:p>
      <w:pPr>
        <w:pStyle w:val="yHeading5"/>
        <w:outlineLvl w:val="9"/>
      </w:pPr>
      <w:bookmarkStart w:id="841" w:name="_Toc323713255"/>
      <w:bookmarkStart w:id="842" w:name="_Toc318201665"/>
      <w:r>
        <w:rPr>
          <w:rStyle w:val="CharSClsNo"/>
        </w:rPr>
        <w:t>13</w:t>
      </w:r>
      <w:r>
        <w:t>.</w:t>
      </w:r>
      <w:r>
        <w:tab/>
        <w:t>Telephone or video meetings</w:t>
      </w:r>
      <w:bookmarkEnd w:id="839"/>
      <w:bookmarkEnd w:id="840"/>
      <w:bookmarkEnd w:id="841"/>
      <w:bookmarkEnd w:id="842"/>
      <w:r>
        <w:t xml:space="preserve"> </w:t>
      </w:r>
    </w:p>
    <w:p>
      <w:pPr>
        <w:pStyle w:val="ySubsection"/>
        <w:rPr>
          <w:snapToGrid w:val="0"/>
        </w:rPr>
      </w:pPr>
      <w:r>
        <w:rPr>
          <w:snapToGrid w:val="0"/>
        </w:rPr>
        <w:tab/>
      </w:r>
      <w:r>
        <w:rPr>
          <w:snapToGrid w:val="0"/>
        </w:rPr>
        <w:tab/>
        <w:t xml:space="preserve">A communication between not less than </w:t>
      </w:r>
      <w:r>
        <w:rPr>
          <w:szCs w:val="22"/>
        </w:rPr>
        <w:t>5 members</w:t>
      </w:r>
      <w:r>
        <w:rPr>
          <w:snapToGrid w:val="0"/>
        </w:rPr>
        <w:t xml:space="preserve"> by telephone, audio</w:t>
      </w:r>
      <w:r>
        <w:rPr>
          <w:snapToGrid w:val="0"/>
        </w:rPr>
        <w:noBreakHyphen/>
        <w:t xml:space="preserve">visual or other electronic means is a valid meeting of the </w:t>
      </w:r>
      <w:r>
        <w:rPr>
          <w:szCs w:val="22"/>
        </w:rPr>
        <w:t>Board if</w:t>
      </w:r>
      <w:r>
        <w:rPr>
          <w:snapToGrid w:val="0"/>
        </w:rPr>
        <w:t xml:space="preserve"> each participating member is capable of communicating with every other participating member instantaneously at all times during the proceedings.</w:t>
      </w:r>
    </w:p>
    <w:p>
      <w:pPr>
        <w:pStyle w:val="yFootnotesection"/>
      </w:pPr>
      <w:bookmarkStart w:id="843" w:name="_Toc17002468"/>
      <w:bookmarkStart w:id="844" w:name="_Toc123645544"/>
      <w:r>
        <w:tab/>
        <w:t>[Clause 13 amended by No. 37 of 2011 s. 48.]</w:t>
      </w:r>
    </w:p>
    <w:p>
      <w:pPr>
        <w:pStyle w:val="yEdnotesection"/>
      </w:pPr>
      <w:r>
        <w:t>[</w:t>
      </w:r>
      <w:r>
        <w:rPr>
          <w:b/>
        </w:rPr>
        <w:t>14.</w:t>
      </w:r>
      <w:r>
        <w:tab/>
        <w:t>Deleted by No. 37 of 2011 s. 49.]</w:t>
      </w:r>
    </w:p>
    <w:p>
      <w:pPr>
        <w:pStyle w:val="yHeading5"/>
        <w:outlineLvl w:val="9"/>
      </w:pPr>
      <w:bookmarkStart w:id="845" w:name="_Toc17002469"/>
      <w:bookmarkStart w:id="846" w:name="_Toc123645545"/>
      <w:bookmarkStart w:id="847" w:name="_Toc323713256"/>
      <w:bookmarkStart w:id="848" w:name="_Toc318201666"/>
      <w:bookmarkEnd w:id="843"/>
      <w:bookmarkEnd w:id="844"/>
      <w:r>
        <w:rPr>
          <w:rStyle w:val="CharSClsNo"/>
        </w:rPr>
        <w:t>15</w:t>
      </w:r>
      <w:r>
        <w:t>.</w:t>
      </w:r>
      <w:r>
        <w:tab/>
        <w:t>Board to determine own procedures</w:t>
      </w:r>
      <w:bookmarkEnd w:id="845"/>
      <w:bookmarkEnd w:id="846"/>
      <w:bookmarkEnd w:id="847"/>
      <w:bookmarkEnd w:id="848"/>
      <w:r>
        <w:t xml:space="preserve"> </w:t>
      </w:r>
    </w:p>
    <w:p>
      <w:pPr>
        <w:pStyle w:val="ySubsection"/>
        <w:rPr>
          <w:snapToGrid w:val="0"/>
        </w:rPr>
      </w:pPr>
      <w:r>
        <w:rPr>
          <w:snapToGrid w:val="0"/>
        </w:rPr>
        <w:tab/>
      </w:r>
      <w:r>
        <w:rPr>
          <w:snapToGrid w:val="0"/>
        </w:rPr>
        <w:tab/>
        <w:t xml:space="preserve">Subject to this Act, the </w:t>
      </w:r>
      <w:r>
        <w:t>Board</w:t>
      </w:r>
      <w:r>
        <w:rPr>
          <w:snapToGrid w:val="0"/>
        </w:rPr>
        <w:t xml:space="preserve"> is to determine its own procedures.</w:t>
      </w:r>
    </w:p>
    <w:p>
      <w:pPr>
        <w:pStyle w:val="yFootnotesection"/>
      </w:pPr>
      <w:bookmarkStart w:id="849" w:name="_Toc17002470"/>
      <w:bookmarkStart w:id="850" w:name="_Toc123645546"/>
      <w:bookmarkStart w:id="851" w:name="_Toc123645647"/>
      <w:bookmarkStart w:id="852" w:name="_Toc124139516"/>
      <w:bookmarkStart w:id="853" w:name="_Toc157845895"/>
      <w:bookmarkStart w:id="854" w:name="_Toc161720602"/>
      <w:bookmarkStart w:id="855" w:name="_Toc161723054"/>
      <w:bookmarkStart w:id="856" w:name="_Toc163957022"/>
      <w:bookmarkStart w:id="857" w:name="_Toc163965012"/>
      <w:bookmarkStart w:id="858" w:name="_Toc165698454"/>
      <w:bookmarkStart w:id="859" w:name="_Toc232394830"/>
      <w:bookmarkStart w:id="860" w:name="_Toc268269162"/>
      <w:bookmarkStart w:id="861" w:name="_Toc272057733"/>
      <w:bookmarkStart w:id="862" w:name="_Toc274207178"/>
      <w:bookmarkStart w:id="863" w:name="_Toc278975313"/>
      <w:bookmarkStart w:id="864" w:name="_Toc303861498"/>
      <w:bookmarkStart w:id="865" w:name="_Toc303867377"/>
      <w:r>
        <w:tab/>
        <w:t>[Clause 15 amended by No. 37 of 2011 s. 53(2).]</w:t>
      </w:r>
    </w:p>
    <w:p>
      <w:pPr>
        <w:pStyle w:val="yHeading3"/>
      </w:pPr>
      <w:bookmarkStart w:id="866" w:name="_Toc318121453"/>
      <w:bookmarkStart w:id="867" w:name="_Toc318121703"/>
      <w:bookmarkStart w:id="868" w:name="_Toc318122531"/>
      <w:bookmarkStart w:id="869" w:name="_Toc318181707"/>
      <w:bookmarkStart w:id="870" w:name="_Toc318181812"/>
      <w:bookmarkStart w:id="871" w:name="_Toc318201667"/>
      <w:bookmarkStart w:id="872" w:name="_Toc320283300"/>
      <w:bookmarkStart w:id="873" w:name="_Toc320516450"/>
      <w:bookmarkStart w:id="874" w:name="_Toc321898623"/>
      <w:bookmarkStart w:id="875" w:name="_Toc323638372"/>
      <w:bookmarkStart w:id="876" w:name="_Toc323640332"/>
      <w:bookmarkStart w:id="877" w:name="_Toc323713257"/>
      <w:r>
        <w:rPr>
          <w:rStyle w:val="CharSDivNo"/>
        </w:rPr>
        <w:t>Division 2</w:t>
      </w:r>
      <w:r>
        <w:t> — </w:t>
      </w:r>
      <w:r>
        <w:rPr>
          <w:rStyle w:val="CharSDivText"/>
        </w:rPr>
        <w:t>Disclosure of interests, etc.</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yHeading5"/>
        <w:outlineLvl w:val="9"/>
      </w:pPr>
      <w:bookmarkStart w:id="878" w:name="_Toc17002471"/>
      <w:bookmarkStart w:id="879" w:name="_Toc123645547"/>
      <w:bookmarkStart w:id="880" w:name="_Toc318201668"/>
      <w:bookmarkStart w:id="881" w:name="_Toc323713258"/>
      <w:r>
        <w:rPr>
          <w:rStyle w:val="CharSClsNo"/>
        </w:rPr>
        <w:t>16</w:t>
      </w:r>
      <w:r>
        <w:t>.</w:t>
      </w:r>
      <w:r>
        <w:tab/>
      </w:r>
      <w:bookmarkEnd w:id="878"/>
      <w:bookmarkEnd w:id="879"/>
      <w:del w:id="882" w:author="svcMRProcess" w:date="2018-08-26T13:15:00Z">
        <w:r>
          <w:delText>Disclosure of</w:delText>
        </w:r>
      </w:del>
      <w:ins w:id="883" w:author="svcMRProcess" w:date="2018-08-26T13:15:00Z">
        <w:r>
          <w:t>Material personal</w:t>
        </w:r>
      </w:ins>
      <w:r>
        <w:t xml:space="preserve"> interests</w:t>
      </w:r>
      <w:bookmarkEnd w:id="880"/>
      <w:r>
        <w:t xml:space="preserve"> </w:t>
      </w:r>
      <w:ins w:id="884" w:author="svcMRProcess" w:date="2018-08-26T13:15:00Z">
        <w:r>
          <w:t>to be disclosed</w:t>
        </w:r>
      </w:ins>
      <w:bookmarkEnd w:id="881"/>
    </w:p>
    <w:p>
      <w:pPr>
        <w:pStyle w:val="ySubsection"/>
        <w:rPr>
          <w:snapToGrid w:val="0"/>
        </w:rPr>
      </w:pPr>
      <w:r>
        <w:rPr>
          <w:snapToGrid w:val="0"/>
        </w:rPr>
        <w:tab/>
        <w:t>(1)</w:t>
      </w:r>
      <w:r>
        <w:rPr>
          <w:snapToGrid w:val="0"/>
        </w:rPr>
        <w:tab/>
        <w:t xml:space="preserve">A </w:t>
      </w:r>
      <w:r>
        <w:t>member</w:t>
      </w:r>
      <w:r>
        <w:rPr>
          <w:snapToGrid w:val="0"/>
        </w:rPr>
        <w:t xml:space="preserve"> who has a material personal interest in a matter being considered or about to be considered by the </w:t>
      </w:r>
      <w:r>
        <w:t>Board</w:t>
      </w:r>
      <w:r>
        <w:rPr>
          <w:snapToGrid w:val="0"/>
        </w:rPr>
        <w:t xml:space="preserve"> must, as soon as possible after the relevant facts have come to the member’s knowledge, disclose the nature of the interest at a meeting of the </w:t>
      </w:r>
      <w:r>
        <w:rPr>
          <w:szCs w:val="22"/>
        </w:rPr>
        <w:t>Board.</w:t>
      </w:r>
    </w:p>
    <w:p>
      <w:pPr>
        <w:pStyle w:val="yPenstart"/>
      </w:pPr>
      <w:r>
        <w:tab/>
        <w:t xml:space="preserve">Penalty: </w:t>
      </w:r>
      <w:r>
        <w:rPr>
          <w:szCs w:val="22"/>
        </w:rPr>
        <w:t>a fine of $10 000.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bookmarkStart w:id="885" w:name="_Toc17002472"/>
      <w:r>
        <w:tab/>
        <w:t>[Clause 16 amended by No. 50 of 2003 s. 53(2); No. 37 of 2011 s. 50.]</w:t>
      </w:r>
    </w:p>
    <w:p>
      <w:pPr>
        <w:pStyle w:val="yHeading5"/>
        <w:outlineLvl w:val="9"/>
        <w:rPr>
          <w:del w:id="886" w:author="svcMRProcess" w:date="2018-08-26T13:15:00Z"/>
        </w:rPr>
      </w:pPr>
      <w:bookmarkStart w:id="887" w:name="_Toc318201669"/>
      <w:bookmarkStart w:id="888" w:name="_Toc123645548"/>
      <w:bookmarkStart w:id="889" w:name="_Toc323713259"/>
      <w:del w:id="890" w:author="svcMRProcess" w:date="2018-08-26T13:15:00Z">
        <w:r>
          <w:rPr>
            <w:rStyle w:val="CharSClsNo"/>
          </w:rPr>
          <w:delText>17</w:delText>
        </w:r>
        <w:r>
          <w:delText>.</w:delText>
        </w:r>
        <w:r>
          <w:tab/>
          <w:delText>Voting by interested members</w:delText>
        </w:r>
        <w:bookmarkEnd w:id="887"/>
        <w:r>
          <w:delText xml:space="preserve"> </w:delText>
        </w:r>
      </w:del>
    </w:p>
    <w:p>
      <w:pPr>
        <w:pStyle w:val="yHeading5"/>
        <w:outlineLvl w:val="9"/>
        <w:rPr>
          <w:ins w:id="891" w:author="svcMRProcess" w:date="2018-08-26T13:15:00Z"/>
        </w:rPr>
      </w:pPr>
      <w:ins w:id="892" w:author="svcMRProcess" w:date="2018-08-26T13:15:00Z">
        <w:r>
          <w:rPr>
            <w:rStyle w:val="CharSClsNo"/>
          </w:rPr>
          <w:t>17</w:t>
        </w:r>
        <w:r>
          <w:t>.</w:t>
        </w:r>
        <w:r>
          <w:tab/>
        </w:r>
        <w:bookmarkEnd w:id="885"/>
        <w:bookmarkEnd w:id="888"/>
        <w:r>
          <w:t>Member with material personal interest not to vote etc.</w:t>
        </w:r>
        <w:bookmarkEnd w:id="889"/>
      </w:ins>
    </w:p>
    <w:p>
      <w:pPr>
        <w:pStyle w:val="ySubsection"/>
        <w:rPr>
          <w:snapToGrid w:val="0"/>
        </w:rPr>
      </w:pPr>
      <w:r>
        <w:rPr>
          <w:snapToGrid w:val="0"/>
        </w:rPr>
        <w:tab/>
      </w:r>
      <w:r>
        <w:rPr>
          <w:snapToGrid w:val="0"/>
        </w:rPr>
        <w:tab/>
        <w:t xml:space="preserve">A member who has a material personal interest in a matter that is being considered by the </w:t>
      </w:r>
      <w:r>
        <w:t xml:space="preserve">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Footnotesection"/>
      </w:pPr>
      <w:bookmarkStart w:id="893" w:name="_Toc17002473"/>
      <w:bookmarkStart w:id="894" w:name="_Toc123645549"/>
      <w:r>
        <w:tab/>
        <w:t>[Clause 17 amended by No. 37 of 2011 s. 51.]</w:t>
      </w:r>
    </w:p>
    <w:p>
      <w:pPr>
        <w:pStyle w:val="yHeading5"/>
        <w:outlineLvl w:val="9"/>
      </w:pPr>
      <w:bookmarkStart w:id="895" w:name="_Toc318201670"/>
      <w:bookmarkStart w:id="896" w:name="_Toc323713260"/>
      <w:r>
        <w:rPr>
          <w:rStyle w:val="CharSClsNo"/>
        </w:rPr>
        <w:t>18</w:t>
      </w:r>
      <w:r>
        <w:t>.</w:t>
      </w:r>
      <w:r>
        <w:tab/>
      </w:r>
      <w:del w:id="897" w:author="svcMRProcess" w:date="2018-08-26T13:15:00Z">
        <w:r>
          <w:delText>Clause 17</w:delText>
        </w:r>
      </w:del>
      <w:ins w:id="898" w:author="svcMRProcess" w:date="2018-08-26T13:15:00Z">
        <w:r>
          <w:t>Board</w:t>
        </w:r>
      </w:ins>
      <w:r>
        <w:t xml:space="preserve"> may </w:t>
      </w:r>
      <w:del w:id="899" w:author="svcMRProcess" w:date="2018-08-26T13:15:00Z">
        <w:r>
          <w:delText>be declared inapplicable</w:delText>
        </w:r>
      </w:del>
      <w:bookmarkEnd w:id="895"/>
      <w:ins w:id="900" w:author="svcMRProcess" w:date="2018-08-26T13:15:00Z">
        <w:r>
          <w:t>disapply cl. 17</w:t>
        </w:r>
      </w:ins>
      <w:bookmarkEnd w:id="893"/>
      <w:bookmarkEnd w:id="894"/>
      <w:bookmarkEnd w:id="896"/>
      <w:r>
        <w:t xml:space="preserve"> </w:t>
      </w:r>
    </w:p>
    <w:p>
      <w:pPr>
        <w:pStyle w:val="ySubsection"/>
        <w:rPr>
          <w:snapToGrid w:val="0"/>
        </w:rPr>
      </w:pPr>
      <w:r>
        <w:rPr>
          <w:snapToGrid w:val="0"/>
        </w:rPr>
        <w:tab/>
      </w:r>
      <w:r>
        <w:rPr>
          <w:snapToGrid w:val="0"/>
        </w:rPr>
        <w:tab/>
        <w:t xml:space="preserve">Clause 17 does not apply if the </w:t>
      </w:r>
      <w:r>
        <w:t>Board</w:t>
      </w:r>
      <w:r>
        <w:rPr>
          <w:snapToGrid w:val="0"/>
        </w:rPr>
        <w:t xml:space="preserve">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Footnotesection"/>
      </w:pPr>
      <w:bookmarkStart w:id="901" w:name="_Toc17002474"/>
      <w:bookmarkStart w:id="902" w:name="_Toc123645550"/>
      <w:r>
        <w:tab/>
        <w:t>[Clause 18 amended by No. 37 of 2011 s. 53(2).]</w:t>
      </w:r>
    </w:p>
    <w:p>
      <w:pPr>
        <w:pStyle w:val="yHeading5"/>
        <w:outlineLvl w:val="9"/>
      </w:pPr>
      <w:bookmarkStart w:id="903" w:name="_Toc323713261"/>
      <w:bookmarkStart w:id="904" w:name="_Toc318201671"/>
      <w:r>
        <w:rPr>
          <w:rStyle w:val="CharSClsNo"/>
        </w:rPr>
        <w:t>19</w:t>
      </w:r>
      <w:r>
        <w:t>.</w:t>
      </w:r>
      <w:r>
        <w:tab/>
        <w:t xml:space="preserve">Quorum where </w:t>
      </w:r>
      <w:del w:id="905" w:author="svcMRProcess" w:date="2018-08-26T13:15:00Z">
        <w:r>
          <w:delText>clause 18</w:delText>
        </w:r>
      </w:del>
      <w:ins w:id="906" w:author="svcMRProcess" w:date="2018-08-26T13:15:00Z">
        <w:r>
          <w:t>cl. 17</w:t>
        </w:r>
      </w:ins>
      <w:r>
        <w:t xml:space="preserve"> applies</w:t>
      </w:r>
      <w:bookmarkEnd w:id="901"/>
      <w:bookmarkEnd w:id="902"/>
      <w:bookmarkEnd w:id="903"/>
      <w:bookmarkEnd w:id="904"/>
      <w:r>
        <w:t xml:space="preserve"> </w:t>
      </w:r>
    </w:p>
    <w:p>
      <w:pPr>
        <w:pStyle w:val="ySubsection"/>
        <w:rPr>
          <w:snapToGrid w:val="0"/>
        </w:rPr>
      </w:pPr>
      <w:r>
        <w:rPr>
          <w:snapToGrid w:val="0"/>
        </w:rPr>
        <w:tab/>
        <w:t>(1)</w:t>
      </w:r>
      <w:r>
        <w:rPr>
          <w:snapToGrid w:val="0"/>
        </w:rPr>
        <w:tab/>
        <w:t xml:space="preserve">Despite clause 9, if a member is disqualified under clause 17 in relation to a matter, a quorum is present during the consideration of the matter if at least </w:t>
      </w:r>
      <w:r>
        <w:t>4 members</w:t>
      </w:r>
      <w:r>
        <w:rPr>
          <w:snapToGrid w:val="0"/>
        </w:rPr>
        <w:t xml:space="preserve"> are present who are entitled to vote on any motion that may be moved at the meeting in relation to the matter.</w:t>
      </w:r>
    </w:p>
    <w:p>
      <w:pPr>
        <w:pStyle w:val="ySubsection"/>
        <w:rPr>
          <w:snapToGrid w:val="0"/>
        </w:rPr>
      </w:pPr>
      <w:r>
        <w:rPr>
          <w:snapToGrid w:val="0"/>
        </w:rPr>
        <w:tab/>
        <w:t>(2)</w:t>
      </w:r>
      <w:r>
        <w:rPr>
          <w:snapToGrid w:val="0"/>
        </w:rPr>
        <w:tab/>
        <w:t xml:space="preserve">The Minister may deal with a matter insofar as the </w:t>
      </w:r>
      <w:r>
        <w:t>Board</w:t>
      </w:r>
      <w:r>
        <w:rPr>
          <w:snapToGrid w:val="0"/>
        </w:rPr>
        <w:t xml:space="preserve"> cannot deal with it because of subclause (1).</w:t>
      </w:r>
    </w:p>
    <w:p>
      <w:pPr>
        <w:pStyle w:val="yFootnotesection"/>
      </w:pPr>
      <w:bookmarkStart w:id="907" w:name="_Toc17002475"/>
      <w:bookmarkStart w:id="908" w:name="_Toc123645551"/>
      <w:r>
        <w:tab/>
        <w:t>[Clause 19 amended by No. 37 of 2011 s. 52 and 53(2).]</w:t>
      </w:r>
    </w:p>
    <w:p>
      <w:pPr>
        <w:pStyle w:val="yHeading5"/>
        <w:outlineLvl w:val="9"/>
      </w:pPr>
      <w:bookmarkStart w:id="909" w:name="_Toc323713262"/>
      <w:bookmarkStart w:id="910" w:name="_Toc318201672"/>
      <w:r>
        <w:rPr>
          <w:rStyle w:val="CharSClsNo"/>
        </w:rPr>
        <w:t>20</w:t>
      </w:r>
      <w:r>
        <w:t>.</w:t>
      </w:r>
      <w:r>
        <w:tab/>
        <w:t xml:space="preserve">Minister may declare </w:t>
      </w:r>
      <w:del w:id="911" w:author="svcMRProcess" w:date="2018-08-26T13:15:00Z">
        <w:r>
          <w:delText>clauses</w:delText>
        </w:r>
      </w:del>
      <w:ins w:id="912" w:author="svcMRProcess" w:date="2018-08-26T13:15:00Z">
        <w:r>
          <w:t>cl.</w:t>
        </w:r>
      </w:ins>
      <w:r>
        <w:t> 17 and 19 inapplicable</w:t>
      </w:r>
      <w:bookmarkEnd w:id="907"/>
      <w:bookmarkEnd w:id="908"/>
      <w:bookmarkEnd w:id="909"/>
      <w:bookmarkEnd w:id="910"/>
      <w: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Ednoteschedule"/>
      </w:pPr>
      <w:bookmarkStart w:id="913" w:name="_Toc17002476"/>
      <w:bookmarkStart w:id="914" w:name="_Toc123645552"/>
      <w:bookmarkStart w:id="915" w:name="_Toc123645653"/>
      <w:bookmarkStart w:id="916" w:name="_Toc124139522"/>
      <w:bookmarkStart w:id="917" w:name="_Toc157845901"/>
      <w:bookmarkStart w:id="918" w:name="_Toc161720608"/>
      <w:bookmarkStart w:id="919" w:name="_Toc161723060"/>
      <w:bookmarkStart w:id="920" w:name="_Toc163957028"/>
      <w:bookmarkStart w:id="921" w:name="_Toc163965018"/>
      <w:bookmarkStart w:id="922" w:name="_Toc165698460"/>
      <w:bookmarkStart w:id="923" w:name="_Toc232394836"/>
      <w:bookmarkStart w:id="924" w:name="_Toc268269168"/>
      <w:bookmarkStart w:id="925" w:name="_Toc272057739"/>
      <w:bookmarkStart w:id="926" w:name="_Toc274207184"/>
      <w:bookmarkStart w:id="927" w:name="_Toc278975319"/>
      <w:bookmarkStart w:id="928" w:name="_Toc303861504"/>
      <w:bookmarkStart w:id="929" w:name="_Toc303867383"/>
      <w:r>
        <w:t>[</w:t>
      </w:r>
      <w:del w:id="930" w:author="svcMRProcess" w:date="2018-08-26T13:15:00Z">
        <w:r>
          <w:delText>Schedule</w:delText>
        </w:r>
      </w:del>
      <w:ins w:id="931" w:author="svcMRProcess" w:date="2018-08-26T13:15:00Z">
        <w:r>
          <w:t>Schedules</w:t>
        </w:r>
      </w:ins>
      <w:r>
        <w:t xml:space="preserve"> 2</w:t>
      </w:r>
      <w:del w:id="932" w:author="svcMRProcess" w:date="2018-08-26T13:15:00Z">
        <w:r>
          <w:delText>,</w:delText>
        </w:r>
      </w:del>
      <w:ins w:id="933" w:author="svcMRProcess" w:date="2018-08-26T13:15:00Z">
        <w:r>
          <w:t xml:space="preserve"> and</w:t>
        </w:r>
      </w:ins>
      <w:r>
        <w:t xml:space="preserve"> 3 deleted by No. 37 of 2011 s. 54.]</w:t>
      </w:r>
    </w:p>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Pr>
        <w:pStyle w:val="CentredBaseLine"/>
        <w:jc w:val="center"/>
        <w:rPr>
          <w:ins w:id="934" w:author="svcMRProcess" w:date="2018-08-26T13:15:00Z"/>
        </w:rPr>
      </w:pPr>
      <w:ins w:id="935" w:author="svcMRProcess" w:date="2018-08-26T13:15: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936" w:name="_Toc72573593"/>
      <w:bookmarkStart w:id="937" w:name="_Toc120341452"/>
      <w:bookmarkStart w:id="938" w:name="_Toc120355825"/>
      <w:bookmarkStart w:id="939" w:name="_Toc123645569"/>
      <w:bookmarkStart w:id="940" w:name="_Toc123645670"/>
      <w:bookmarkStart w:id="941" w:name="_Toc124139539"/>
      <w:bookmarkStart w:id="942" w:name="_Toc157845918"/>
      <w:bookmarkStart w:id="943" w:name="_Toc161720625"/>
      <w:bookmarkStart w:id="944" w:name="_Toc161723077"/>
      <w:bookmarkStart w:id="945" w:name="_Toc163957045"/>
      <w:bookmarkStart w:id="946" w:name="_Toc163965035"/>
      <w:bookmarkStart w:id="947" w:name="_Toc165698477"/>
      <w:bookmarkStart w:id="948" w:name="_Toc232394853"/>
      <w:bookmarkStart w:id="949" w:name="_Toc268269185"/>
      <w:bookmarkStart w:id="950" w:name="_Toc272057756"/>
      <w:bookmarkStart w:id="951" w:name="_Toc274207201"/>
      <w:bookmarkStart w:id="952" w:name="_Toc278975336"/>
      <w:bookmarkStart w:id="953" w:name="_Toc303861521"/>
      <w:bookmarkStart w:id="954" w:name="_Toc303867400"/>
      <w:bookmarkStart w:id="955" w:name="_Toc318121459"/>
      <w:bookmarkStart w:id="956" w:name="_Toc318121709"/>
      <w:bookmarkStart w:id="957" w:name="_Toc318122537"/>
      <w:bookmarkStart w:id="958" w:name="_Toc318181713"/>
      <w:bookmarkStart w:id="959" w:name="_Toc318181818"/>
      <w:bookmarkStart w:id="960" w:name="_Toc318201673"/>
      <w:bookmarkStart w:id="961" w:name="_Toc320283306"/>
      <w:bookmarkStart w:id="962" w:name="_Toc320516456"/>
      <w:bookmarkStart w:id="963" w:name="_Toc321898629"/>
      <w:bookmarkStart w:id="964" w:name="_Toc323638378"/>
      <w:bookmarkStart w:id="965" w:name="_Toc323640338"/>
      <w:bookmarkStart w:id="966" w:name="_Toc323713263"/>
      <w:r>
        <w:t>Notes</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nSubsection"/>
        <w:rPr>
          <w:snapToGrid w:val="0"/>
        </w:rPr>
      </w:pPr>
      <w:r>
        <w:rPr>
          <w:snapToGrid w:val="0"/>
          <w:vertAlign w:val="superscript"/>
        </w:rPr>
        <w:t>1</w:t>
      </w:r>
      <w:r>
        <w:rPr>
          <w:snapToGrid w:val="0"/>
        </w:rPr>
        <w:tab/>
        <w:t xml:space="preserve">This </w:t>
      </w:r>
      <w:ins w:id="967" w:author="svcMRProcess" w:date="2018-08-26T13:15:00Z">
        <w:r>
          <w:rPr>
            <w:snapToGrid w:val="0"/>
          </w:rPr>
          <w:t xml:space="preserve">reprint </w:t>
        </w:r>
      </w:ins>
      <w:r>
        <w:rPr>
          <w:snapToGrid w:val="0"/>
        </w:rPr>
        <w:t xml:space="preserve">is a compilation </w:t>
      </w:r>
      <w:ins w:id="968" w:author="svcMRProcess" w:date="2018-08-26T13:15:00Z">
        <w:r>
          <w:rPr>
            <w:snapToGrid w:val="0"/>
          </w:rPr>
          <w:t xml:space="preserve">as at 27 April 2012 </w:t>
        </w:r>
      </w:ins>
      <w:r>
        <w:rPr>
          <w:snapToGrid w:val="0"/>
        </w:rPr>
        <w:t xml:space="preserve">of the </w:t>
      </w:r>
      <w:r>
        <w:rPr>
          <w:i/>
          <w:noProof/>
          <w:snapToGrid w:val="0"/>
        </w:rPr>
        <w:t>School Curriculum and Standards Authority Act</w:t>
      </w:r>
      <w:del w:id="969" w:author="svcMRProcess" w:date="2018-08-26T13:15:00Z">
        <w:r>
          <w:rPr>
            <w:i/>
            <w:noProof/>
            <w:snapToGrid w:val="0"/>
          </w:rPr>
          <w:delText> </w:delText>
        </w:r>
      </w:del>
      <w:ins w:id="970" w:author="svcMRProcess" w:date="2018-08-26T13:15:00Z">
        <w:r>
          <w:rPr>
            <w:i/>
            <w:noProof/>
            <w:snapToGrid w:val="0"/>
          </w:rPr>
          <w:t xml:space="preserve"> </w:t>
        </w:r>
      </w:ins>
      <w:r>
        <w:rPr>
          <w:i/>
          <w:noProof/>
          <w:snapToGrid w:val="0"/>
        </w:rPr>
        <w:t>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71" w:name="_Toc323713264"/>
      <w:bookmarkStart w:id="972" w:name="_Toc318201674"/>
      <w:r>
        <w:rPr>
          <w:snapToGrid w:val="0"/>
        </w:rPr>
        <w:t>Compilation table</w:t>
      </w:r>
      <w:bookmarkEnd w:id="971"/>
      <w:bookmarkEnd w:id="9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Pr>
          <w:p>
            <w:pPr>
              <w:pStyle w:val="nTable"/>
              <w:spacing w:after="40"/>
              <w:rPr>
                <w:sz w:val="19"/>
                <w:vertAlign w:val="superscript"/>
              </w:rPr>
            </w:pPr>
            <w:r>
              <w:rPr>
                <w:i/>
                <w:sz w:val="19"/>
              </w:rPr>
              <w:t>Curriculum Council Act </w:t>
            </w:r>
            <w:del w:id="973" w:author="svcMRProcess" w:date="2018-08-26T13:15:00Z">
              <w:r>
                <w:rPr>
                  <w:i/>
                  <w:sz w:val="19"/>
                </w:rPr>
                <w:delText>1997</w:delText>
              </w:r>
              <w:r>
                <w:rPr>
                  <w:i/>
                  <w:sz w:val="19"/>
                  <w:vertAlign w:val="superscript"/>
                </w:rPr>
                <w:delText>2</w:delText>
              </w:r>
            </w:del>
            <w:ins w:id="974" w:author="svcMRProcess" w:date="2018-08-26T13:15:00Z">
              <w:r>
                <w:rPr>
                  <w:i/>
                  <w:sz w:val="19"/>
                </w:rPr>
                <w:t>1997 </w:t>
              </w:r>
              <w:r>
                <w:rPr>
                  <w:sz w:val="19"/>
                  <w:vertAlign w:val="superscript"/>
                </w:rPr>
                <w:t>2</w:t>
              </w:r>
            </w:ins>
          </w:p>
        </w:tc>
        <w:tc>
          <w:tcPr>
            <w:tcW w:w="1134" w:type="dxa"/>
          </w:tcPr>
          <w:p>
            <w:pPr>
              <w:pStyle w:val="nTable"/>
              <w:spacing w:after="40"/>
              <w:rPr>
                <w:sz w:val="19"/>
              </w:rPr>
            </w:pPr>
            <w:r>
              <w:rPr>
                <w:sz w:val="19"/>
              </w:rPr>
              <w:t>17 of 1997</w:t>
            </w:r>
          </w:p>
        </w:tc>
        <w:tc>
          <w:tcPr>
            <w:tcW w:w="1136" w:type="dxa"/>
          </w:tcPr>
          <w:p>
            <w:pPr>
              <w:pStyle w:val="nTable"/>
              <w:spacing w:after="40"/>
              <w:rPr>
                <w:sz w:val="19"/>
              </w:rPr>
            </w:pPr>
            <w:r>
              <w:rPr>
                <w:sz w:val="19"/>
              </w:rPr>
              <w:t>8 Jul 1997</w:t>
            </w:r>
          </w:p>
        </w:tc>
        <w:tc>
          <w:tcPr>
            <w:tcW w:w="2551" w:type="dxa"/>
          </w:tcPr>
          <w:p>
            <w:pPr>
              <w:pStyle w:val="nTable"/>
              <w:spacing w:after="40"/>
              <w:rPr>
                <w:sz w:val="19"/>
              </w:rPr>
            </w:pPr>
            <w:ins w:id="975" w:author="svcMRProcess" w:date="2018-08-26T13:15:00Z">
              <w:r>
                <w:rPr>
                  <w:sz w:val="19"/>
                </w:rPr>
                <w:t>s. 1 and 2: 8 Jul 1997;</w:t>
              </w:r>
              <w:r>
                <w:rPr>
                  <w:sz w:val="19"/>
                </w:rPr>
                <w:br/>
                <w:t xml:space="preserve">Act other than s. 1 and 2: </w:t>
              </w:r>
            </w:ins>
            <w:r>
              <w:rPr>
                <w:sz w:val="19"/>
              </w:rPr>
              <w:t xml:space="preserve">1 Aug 1997 (see s. 2 and </w:t>
            </w:r>
            <w:r>
              <w:rPr>
                <w:i/>
                <w:sz w:val="19"/>
              </w:rPr>
              <w:t>Gazette</w:t>
            </w:r>
            <w:r>
              <w:rPr>
                <w:sz w:val="19"/>
              </w:rPr>
              <w:t xml:space="preserve"> 25 Jul 1997 p. 3907)</w:t>
            </w:r>
          </w:p>
        </w:tc>
      </w:tr>
      <w:tr>
        <w:tc>
          <w:tcPr>
            <w:tcW w:w="2268" w:type="dxa"/>
          </w:tcPr>
          <w:p>
            <w:pPr>
              <w:pStyle w:val="nTable"/>
              <w:spacing w:after="4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551"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089" w:type="dxa"/>
            <w:gridSpan w:val="4"/>
          </w:tcPr>
          <w:p>
            <w:pPr>
              <w:pStyle w:val="nTable"/>
              <w:spacing w:after="40"/>
              <w:rPr>
                <w:sz w:val="19"/>
              </w:rPr>
            </w:pPr>
            <w:r>
              <w:rPr>
                <w:b/>
                <w:sz w:val="19"/>
              </w:rPr>
              <w:t xml:space="preserve">Reprint 1: The </w:t>
            </w:r>
            <w:r>
              <w:rPr>
                <w:b/>
                <w:i/>
                <w:sz w:val="19"/>
              </w:rPr>
              <w:t>Curriculum Council Act 1997</w:t>
            </w:r>
            <w:r>
              <w:rPr>
                <w:b/>
                <w:sz w:val="19"/>
              </w:rPr>
              <w:t xml:space="preserve"> as at 11 Apr 2003</w:t>
            </w:r>
            <w:r>
              <w:rPr>
                <w:sz w:val="19"/>
              </w:rPr>
              <w:t xml:space="preserve"> (includes amendments listed above)</w:t>
            </w:r>
          </w:p>
        </w:tc>
      </w:tr>
      <w:tr>
        <w:tc>
          <w:tcPr>
            <w:tcW w:w="2268" w:type="dxa"/>
          </w:tcPr>
          <w:p>
            <w:pPr>
              <w:pStyle w:val="nTable"/>
              <w:spacing w:after="40"/>
              <w:rPr>
                <w:sz w:val="19"/>
              </w:rPr>
            </w:pPr>
            <w:r>
              <w:rPr>
                <w:i/>
                <w:sz w:val="19"/>
              </w:rPr>
              <w:t xml:space="preserve">Sentencing Legislation Amendment and Repeal Act 2003 </w:t>
            </w:r>
            <w:r>
              <w:rPr>
                <w:sz w:val="19"/>
              </w:rPr>
              <w:t>s. 53</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8"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tcPr>
          <w:p>
            <w:pPr>
              <w:pStyle w:val="nTable"/>
              <w:spacing w:after="40"/>
              <w:rPr>
                <w:sz w:val="19"/>
              </w:rPr>
            </w:pPr>
            <w:r>
              <w:rPr>
                <w:spacing w:val="-2"/>
                <w:sz w:val="19"/>
              </w:rPr>
              <w:t>15 Sep 2003 (see r. 2)</w:t>
            </w:r>
          </w:p>
        </w:tc>
      </w:tr>
      <w:tr>
        <w:tc>
          <w:tcPr>
            <w:tcW w:w="2268" w:type="dxa"/>
          </w:tcPr>
          <w:p>
            <w:pPr>
              <w:pStyle w:val="nTable"/>
              <w:spacing w:after="40"/>
              <w:rPr>
                <w:i/>
                <w:sz w:val="19"/>
              </w:rPr>
            </w:pPr>
            <w:r>
              <w:rPr>
                <w:i/>
                <w:iCs/>
                <w:snapToGrid w:val="0"/>
                <w:sz w:val="19"/>
                <w:lang w:val="en-US"/>
              </w:rPr>
              <w:t>Acts Amendment (Higher School Leaving Age and Related Provisions) Act 2005</w:t>
            </w:r>
            <w:r>
              <w:rPr>
                <w:snapToGrid w:val="0"/>
                <w:sz w:val="19"/>
                <w:lang w:val="en-US"/>
              </w:rPr>
              <w:t xml:space="preserve"> Pt. 3</w:t>
            </w:r>
          </w:p>
        </w:tc>
        <w:tc>
          <w:tcPr>
            <w:tcW w:w="1134" w:type="dxa"/>
          </w:tcPr>
          <w:p>
            <w:pPr>
              <w:pStyle w:val="nTable"/>
              <w:spacing w:after="40"/>
              <w:rPr>
                <w:sz w:val="19"/>
              </w:rPr>
            </w:pPr>
            <w:r>
              <w:rPr>
                <w:snapToGrid w:val="0"/>
                <w:sz w:val="19"/>
                <w:lang w:val="en-US"/>
              </w:rPr>
              <w:t>22 of 2005</w:t>
            </w:r>
          </w:p>
        </w:tc>
        <w:tc>
          <w:tcPr>
            <w:tcW w:w="1136" w:type="dxa"/>
          </w:tcPr>
          <w:p>
            <w:pPr>
              <w:pStyle w:val="nTable"/>
              <w:spacing w:after="40"/>
              <w:rPr>
                <w:sz w:val="19"/>
              </w:rPr>
            </w:pPr>
            <w:r>
              <w:rPr>
                <w:sz w:val="19"/>
              </w:rPr>
              <w:t>18 Nov 2005</w:t>
            </w:r>
          </w:p>
        </w:tc>
        <w:tc>
          <w:tcPr>
            <w:tcW w:w="2551" w:type="dxa"/>
          </w:tcPr>
          <w:p>
            <w:pPr>
              <w:pStyle w:val="nTable"/>
              <w:spacing w:after="40"/>
              <w:rPr>
                <w:sz w:val="19"/>
              </w:rPr>
            </w:pPr>
            <w:r>
              <w:rPr>
                <w:snapToGrid w:val="0"/>
                <w:sz w:val="19"/>
                <w:lang w:val="en-US"/>
              </w:rPr>
              <w:t>1 Jan 2006 (see s. 2(3))</w:t>
            </w:r>
          </w:p>
        </w:tc>
      </w:tr>
      <w:tr>
        <w:tc>
          <w:tcPr>
            <w:tcW w:w="226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 xml:space="preserve">s. 4, 5(1) and </w:t>
            </w:r>
            <w:del w:id="976" w:author="svcMRProcess" w:date="2018-08-26T13:15:00Z">
              <w:r>
                <w:rPr>
                  <w:iCs/>
                  <w:snapToGrid w:val="0"/>
                  <w:sz w:val="19"/>
                  <w:lang w:val="en-US"/>
                </w:rPr>
                <w:delText>17</w:delText>
              </w:r>
            </w:del>
            <w:ins w:id="977" w:author="svcMRProcess" w:date="2018-08-26T13:15:00Z">
              <w:r>
                <w:rPr>
                  <w:iCs/>
                  <w:snapToGrid w:val="0"/>
                  <w:sz w:val="19"/>
                  <w:lang w:val="en-US"/>
                </w:rPr>
                <w:t>Sch. 1 cl. 41</w:t>
              </w:r>
            </w:ins>
          </w:p>
        </w:tc>
        <w:tc>
          <w:tcPr>
            <w:tcW w:w="1134" w:type="dxa"/>
          </w:tcPr>
          <w:p>
            <w:pPr>
              <w:pStyle w:val="nTable"/>
              <w:spacing w:after="40"/>
              <w:rPr>
                <w:sz w:val="19"/>
              </w:rPr>
            </w:pPr>
            <w:r>
              <w:rPr>
                <w:snapToGrid w:val="0"/>
                <w:sz w:val="19"/>
                <w:lang w:val="en-US"/>
              </w:rPr>
              <w:t>77 of 2006</w:t>
            </w:r>
          </w:p>
        </w:tc>
        <w:tc>
          <w:tcPr>
            <w:tcW w:w="1136"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sz w:val="19"/>
              </w:rPr>
              <w:t xml:space="preserve">Reprint 2: The </w:t>
            </w:r>
            <w:r>
              <w:rPr>
                <w:b/>
                <w:i/>
                <w:sz w:val="19"/>
              </w:rPr>
              <w:t>Curriculum Council Act 1997</w:t>
            </w:r>
            <w:r>
              <w:rPr>
                <w:b/>
                <w:sz w:val="19"/>
              </w:rPr>
              <w:t xml:space="preserve"> as at 13 Apr 2007</w:t>
            </w:r>
            <w:r>
              <w:rPr>
                <w:sz w:val="19"/>
              </w:rPr>
              <w:t xml:space="preserve"> (includes amendments listed above)</w:t>
            </w:r>
          </w:p>
        </w:tc>
      </w:tr>
      <w:tr>
        <w:trPr>
          <w:cantSplit/>
        </w:trPr>
        <w:tc>
          <w:tcPr>
            <w:tcW w:w="2268" w:type="dxa"/>
          </w:tcPr>
          <w:p>
            <w:pPr>
              <w:pStyle w:val="nTable"/>
              <w:spacing w:after="40"/>
              <w:ind w:right="113"/>
              <w:rPr>
                <w:iCs/>
                <w:sz w:val="19"/>
              </w:rPr>
            </w:pPr>
            <w:r>
              <w:rPr>
                <w:i/>
                <w:sz w:val="19"/>
              </w:rPr>
              <w:t>Training Legislation Amendment and Repeal Act 2008</w:t>
            </w:r>
            <w:r>
              <w:rPr>
                <w:iCs/>
                <w:sz w:val="19"/>
              </w:rPr>
              <w:t xml:space="preserve"> s. 52</w:t>
            </w:r>
          </w:p>
        </w:tc>
        <w:tc>
          <w:tcPr>
            <w:tcW w:w="1134" w:type="dxa"/>
          </w:tcPr>
          <w:p>
            <w:pPr>
              <w:pStyle w:val="nTable"/>
              <w:spacing w:after="40"/>
              <w:rPr>
                <w:sz w:val="19"/>
              </w:rPr>
            </w:pPr>
            <w:r>
              <w:rPr>
                <w:sz w:val="19"/>
              </w:rPr>
              <w:t>44 of 2008</w:t>
            </w:r>
          </w:p>
        </w:tc>
        <w:tc>
          <w:tcPr>
            <w:tcW w:w="1136" w:type="dxa"/>
          </w:tcPr>
          <w:p>
            <w:pPr>
              <w:pStyle w:val="nTable"/>
              <w:spacing w:after="40"/>
              <w:rPr>
                <w:sz w:val="19"/>
              </w:rPr>
            </w:pPr>
            <w:r>
              <w:rPr>
                <w:sz w:val="19"/>
              </w:rPr>
              <w:t>10 Dec 2008</w:t>
            </w:r>
          </w:p>
        </w:tc>
        <w:tc>
          <w:tcPr>
            <w:tcW w:w="2551" w:type="dxa"/>
          </w:tcPr>
          <w:p>
            <w:pPr>
              <w:pStyle w:val="nTable"/>
              <w:spacing w:after="40"/>
              <w:rPr>
                <w:sz w:val="19"/>
              </w:rPr>
            </w:pPr>
            <w:r>
              <w:rPr>
                <w:sz w:val="19"/>
              </w:rPr>
              <w:t>10 Jun 2009 (see s. 2(2))</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45</w:t>
            </w:r>
          </w:p>
        </w:tc>
        <w:tc>
          <w:tcPr>
            <w:tcW w:w="1134"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napToGrid w:val="0"/>
                <w:sz w:val="19"/>
                <w:lang w:val="en-US"/>
              </w:rPr>
            </w:pPr>
            <w:r>
              <w:rPr>
                <w:snapToGrid w:val="0"/>
                <w:sz w:val="19"/>
                <w:lang w:val="en-US"/>
              </w:rPr>
              <w:t>39 of 2010</w:t>
            </w:r>
          </w:p>
        </w:tc>
        <w:tc>
          <w:tcPr>
            <w:tcW w:w="1136" w:type="dxa"/>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shd w:val="clear" w:color="auto" w:fill="auto"/>
          </w:tcPr>
          <w:p>
            <w:pPr>
              <w:pStyle w:val="nTable"/>
              <w:spacing w:after="40"/>
              <w:ind w:right="113"/>
              <w:rPr>
                <w:i/>
                <w:iCs/>
                <w:snapToGrid w:val="0"/>
                <w:sz w:val="19"/>
                <w:lang w:val="en-US"/>
              </w:rPr>
            </w:pPr>
            <w:r>
              <w:rPr>
                <w:i/>
                <w:snapToGrid w:val="0"/>
                <w:sz w:val="19"/>
                <w:szCs w:val="19"/>
              </w:rPr>
              <w:t>Curriculum Council Amendment Act 2011</w:t>
            </w:r>
            <w:r>
              <w:rPr>
                <w:i/>
                <w:snapToGrid w:val="0"/>
                <w:sz w:val="19"/>
                <w:lang w:val="en-US"/>
              </w:rPr>
              <w:t xml:space="preserve"> </w:t>
            </w:r>
            <w:r>
              <w:rPr>
                <w:snapToGrid w:val="0"/>
                <w:sz w:val="19"/>
                <w:lang w:val="en-US"/>
              </w:rPr>
              <w:t>Pt. 2</w:t>
            </w:r>
          </w:p>
        </w:tc>
        <w:tc>
          <w:tcPr>
            <w:tcW w:w="1134" w:type="dxa"/>
            <w:shd w:val="clear" w:color="auto" w:fill="auto"/>
          </w:tcPr>
          <w:p>
            <w:pPr>
              <w:pStyle w:val="nTable"/>
              <w:spacing w:after="40"/>
              <w:rPr>
                <w:snapToGrid w:val="0"/>
                <w:sz w:val="19"/>
                <w:lang w:val="en-US"/>
              </w:rPr>
            </w:pPr>
            <w:r>
              <w:rPr>
                <w:snapToGrid w:val="0"/>
                <w:sz w:val="19"/>
                <w:lang w:val="en-US"/>
              </w:rPr>
              <w:t>37 of 2011</w:t>
            </w:r>
          </w:p>
        </w:tc>
        <w:tc>
          <w:tcPr>
            <w:tcW w:w="1136" w:type="dxa"/>
            <w:shd w:val="clear" w:color="auto" w:fill="auto"/>
          </w:tcPr>
          <w:p>
            <w:pPr>
              <w:pStyle w:val="nTable"/>
              <w:spacing w:after="40"/>
              <w:rPr>
                <w:snapToGrid w:val="0"/>
                <w:sz w:val="19"/>
                <w:lang w:val="en-US"/>
              </w:rPr>
            </w:pPr>
            <w:r>
              <w:rPr>
                <w:sz w:val="19"/>
              </w:rPr>
              <w:t>13 Sep 2011</w:t>
            </w:r>
          </w:p>
        </w:tc>
        <w:tc>
          <w:tcPr>
            <w:tcW w:w="2551" w:type="dxa"/>
            <w:shd w:val="clear" w:color="auto" w:fill="auto"/>
          </w:tcPr>
          <w:p>
            <w:pPr>
              <w:pStyle w:val="nTable"/>
              <w:spacing w:after="40"/>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rPr>
          <w:cantSplit/>
          <w:ins w:id="978" w:author="svcMRProcess" w:date="2018-08-26T13:15:00Z"/>
        </w:trPr>
        <w:tc>
          <w:tcPr>
            <w:tcW w:w="7089" w:type="dxa"/>
            <w:gridSpan w:val="4"/>
            <w:tcBorders>
              <w:bottom w:val="single" w:sz="8" w:space="0" w:color="auto"/>
            </w:tcBorders>
            <w:shd w:val="clear" w:color="auto" w:fill="auto"/>
          </w:tcPr>
          <w:p>
            <w:pPr>
              <w:pStyle w:val="nTable"/>
              <w:spacing w:after="40"/>
              <w:rPr>
                <w:ins w:id="979" w:author="svcMRProcess" w:date="2018-08-26T13:15:00Z"/>
                <w:snapToGrid w:val="0"/>
                <w:sz w:val="19"/>
                <w:lang w:val="en-US"/>
              </w:rPr>
            </w:pPr>
            <w:ins w:id="980" w:author="svcMRProcess" w:date="2018-08-26T13:15:00Z">
              <w:r>
                <w:rPr>
                  <w:b/>
                  <w:sz w:val="19"/>
                </w:rPr>
                <w:t xml:space="preserve">Reprint 3: </w:t>
              </w:r>
              <w:r>
                <w:rPr>
                  <w:b/>
                  <w:sz w:val="19"/>
                  <w:szCs w:val="19"/>
                </w:rPr>
                <w:t xml:space="preserve">The </w:t>
              </w:r>
              <w:r>
                <w:rPr>
                  <w:b/>
                  <w:i/>
                  <w:iCs/>
                  <w:sz w:val="19"/>
                  <w:szCs w:val="19"/>
                </w:rPr>
                <w:t>School Curriculum and Standards Authority Act 1997</w:t>
              </w:r>
              <w:r>
                <w:rPr>
                  <w:b/>
                  <w:sz w:val="19"/>
                  <w:szCs w:val="19"/>
                </w:rPr>
                <w:t xml:space="preserve"> as at 27 Apr 2012</w:t>
              </w:r>
              <w:r>
                <w:rPr>
                  <w:sz w:val="19"/>
                  <w:szCs w:val="19"/>
                </w:rPr>
                <w:t xml:space="preserve"> (includes amendments listed above)</w:t>
              </w:r>
            </w:ins>
          </w:p>
        </w:tc>
      </w:tr>
    </w:tbl>
    <w:p>
      <w:pPr>
        <w:pStyle w:val="nSubsection"/>
        <w:tabs>
          <w:tab w:val="clear" w:pos="454"/>
          <w:tab w:val="left" w:pos="567"/>
        </w:tabs>
        <w:spacing w:before="120"/>
        <w:ind w:left="567" w:hanging="567"/>
        <w:rPr>
          <w:snapToGrid w:val="0"/>
        </w:rPr>
      </w:pPr>
      <w:r>
        <w:rPr>
          <w:snapToGrid w:val="0"/>
          <w:vertAlign w:val="superscript"/>
        </w:rPr>
        <w:t>2</w:t>
      </w:r>
      <w:r>
        <w:rPr>
          <w:snapToGrid w:val="0"/>
          <w:vertAlign w:val="superscript"/>
        </w:rPr>
        <w:tab/>
      </w:r>
      <w:r>
        <w:rPr>
          <w:snapToGrid w:val="0"/>
        </w:rPr>
        <w:t xml:space="preserve">Now known as the </w:t>
      </w:r>
      <w:r>
        <w:rPr>
          <w:i/>
          <w:iCs/>
        </w:rPr>
        <w:t>School Curriculum and Standards Authority Act 1997</w:t>
      </w:r>
      <w:r>
        <w:rPr>
          <w:iCs/>
        </w:rPr>
        <w:t>; short title changed (see note under s. 1).</w:t>
      </w:r>
    </w:p>
    <w:p>
      <w:pPr>
        <w:rPr>
          <w:del w:id="981" w:author="svcMRProcess" w:date="2018-08-26T13:15:00Z"/>
        </w:rPr>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Curriculum and Standards Authority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Curriculum and Standards Authority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Curriculum and Standards Authority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Curriculum and Standards Authority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Curriculum and Standards Authority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tabs>
              <w:tab w:val="center" w:pos="702"/>
            </w:tabs>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Curriculum and Standards Authority Act 1997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School Curriculum and Standards Authority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Curriculum and Standards Authority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F1862E9"/>
    <w:multiLevelType w:val="hybridMultilevel"/>
    <w:tmpl w:val="8C0C1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15"/>
  </w:num>
  <w:num w:numId="25">
    <w:abstractNumId w:val="17"/>
  </w:num>
  <w:num w:numId="26">
    <w:abstractNumId w:val="18"/>
  </w:num>
  <w:num w:numId="27">
    <w:abstractNumId w:val="21"/>
  </w:num>
  <w:num w:numId="28">
    <w:abstractNumId w:val="32"/>
  </w:num>
  <w:num w:numId="29">
    <w:abstractNumId w:val="26"/>
  </w:num>
  <w:num w:numId="30">
    <w:abstractNumId w:val="14"/>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a">
    <w:name w:val="*"/>
    <w:rPr>
      <w:lang w:eastAsia="en-US"/>
    </w:rPr>
  </w:style>
  <w:style w:type="character" w:customStyle="1" w:styleId="DeltaViewInsertion">
    <w:name w:val="DeltaView Insertion"/>
    <w:rPr>
      <w:color w:val="0000FF"/>
      <w:spacing w:val="0"/>
      <w:u w:val="double"/>
    </w:rPr>
  </w:style>
  <w:style w:type="paragraph" w:customStyle="1" w:styleId="-PAGE-">
    <w:name w:val="- PAGE -"/>
    <w:rPr>
      <w:lang w:eastAsia="en-US"/>
    </w:rPr>
  </w:style>
  <w:style w:type="paragraph" w:customStyle="1" w:styleId="SignatureText">
    <w:name w:val="SignatureText"/>
    <w:basedOn w:val="Normal"/>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a">
    <w:name w:val="*"/>
    <w:rPr>
      <w:lang w:eastAsia="en-US"/>
    </w:rPr>
  </w:style>
  <w:style w:type="character" w:customStyle="1" w:styleId="DeltaViewInsertion">
    <w:name w:val="DeltaView Insertion"/>
    <w:rPr>
      <w:color w:val="0000FF"/>
      <w:spacing w:val="0"/>
      <w:u w:val="double"/>
    </w:rPr>
  </w:style>
  <w:style w:type="paragraph" w:customStyle="1" w:styleId="-PAGE-">
    <w:name w:val="- PAGE -"/>
    <w:rPr>
      <w:lang w:eastAsia="en-US"/>
    </w:rPr>
  </w:style>
  <w:style w:type="paragraph" w:customStyle="1" w:styleId="SignatureText">
    <w:name w:val="SignatureText"/>
    <w:basedOn w:val="Normal"/>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13070</Words>
  <Characters>62478</Characters>
  <Application>Microsoft Office Word</Application>
  <DocSecurity>0</DocSecurity>
  <Lines>1785</Lines>
  <Paragraphs>1020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Act 1997 02-k0-01 - 03-a0-01</dc:title>
  <dc:subject/>
  <dc:creator/>
  <cp:keywords/>
  <dc:description/>
  <cp:lastModifiedBy>svcMRProcess</cp:lastModifiedBy>
  <cp:revision>2</cp:revision>
  <cp:lastPrinted>2012-05-03T00:57:00Z</cp:lastPrinted>
  <dcterms:created xsi:type="dcterms:W3CDTF">2018-08-26T05:15:00Z</dcterms:created>
  <dcterms:modified xsi:type="dcterms:W3CDTF">2018-08-26T05:15:00Z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1997</vt:lpwstr>
  </property>
  <property fmtid="{D5CDD505-2E9C-101B-9397-08002B2CF9AE}" pid="3" name="CommencementDate">
    <vt:lpwstr>20120427</vt:lpwstr>
  </property>
  <property fmtid="{D5CDD505-2E9C-101B-9397-08002B2CF9AE}" pid="4" name="DocumentType">
    <vt:lpwstr>Act</vt:lpwstr>
  </property>
  <property fmtid="{D5CDD505-2E9C-101B-9397-08002B2CF9AE}" pid="5" name="OwlsUID">
    <vt:i4>1813</vt:i4>
  </property>
  <property fmtid="{D5CDD505-2E9C-101B-9397-08002B2CF9AE}" pid="6" name="ReprintNo">
    <vt:lpwstr>3</vt:lpwstr>
  </property>
  <property fmtid="{D5CDD505-2E9C-101B-9397-08002B2CF9AE}" pid="7" name="ReprintedAsAt">
    <vt:filetime>2012-04-26T16:00:00Z</vt:filetime>
  </property>
  <property fmtid="{D5CDD505-2E9C-101B-9397-08002B2CF9AE}" pid="8" name="FromSuffix">
    <vt:lpwstr>02-k0-01</vt:lpwstr>
  </property>
  <property fmtid="{D5CDD505-2E9C-101B-9397-08002B2CF9AE}" pid="9" name="FromAsAtDate">
    <vt:lpwstr>01 Mar 2012</vt:lpwstr>
  </property>
  <property fmtid="{D5CDD505-2E9C-101B-9397-08002B2CF9AE}" pid="10" name="ToSuffix">
    <vt:lpwstr>03-a0-01</vt:lpwstr>
  </property>
  <property fmtid="{D5CDD505-2E9C-101B-9397-08002B2CF9AE}" pid="11" name="ToAsAtDate">
    <vt:lpwstr>27 Apr 2012</vt:lpwstr>
  </property>
</Properties>
</file>