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(Taxing)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Aug 2008</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lastRenderedPageBreak/>
        <w:t>Western Australia</w:t>
      </w:r>
    </w:p>
    <w:p>
      <w:pPr>
        <w:pStyle w:val="NameofActReg"/>
        <w:suppressLineNumbers/>
      </w:pPr>
      <w:r>
        <w:t>Road Traffic (Vehicles) (Taxing) Act 2008</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impose certain charges prescribed under the </w:t>
      </w:r>
      <w:r>
        <w:rPr>
          <w:i/>
          <w:iCs/>
          <w:snapToGrid w:val="0"/>
        </w:rPr>
        <w:t>Road Traffic (Vehicles) Act 2008</w:t>
      </w:r>
      <w:r>
        <w:rPr>
          <w:b w:val="0"/>
          <w:bCs/>
          <w:snapToGrid w:val="0"/>
        </w:rPr>
        <w:t xml:space="preserve"> </w:t>
      </w:r>
      <w:r>
        <w:rPr>
          <w:snapToGrid w:val="0"/>
        </w:rPr>
        <w:t>section 7(3) to the extent that any such charge may be a tax.</w:t>
      </w:r>
    </w:p>
    <w:p>
      <w:pPr>
        <w:pStyle w:val="Enactment"/>
      </w:pPr>
      <w:r>
        <w:t>The</w:t>
      </w:r>
      <w:r>
        <w:rPr>
          <w:snapToGrid w:val="0"/>
        </w:rPr>
        <w:t xml:space="preserve"> Parliament of Western Australia enacts as follows:</w:t>
      </w:r>
    </w:p>
    <w:p>
      <w:pPr>
        <w:pStyle w:val="Heading5"/>
        <w:pageBreakBefore/>
        <w:spacing w:before="0"/>
      </w:pPr>
      <w:bookmarkStart w:id="3" w:name="_Toc378865645"/>
      <w:bookmarkStart w:id="4" w:name="_Toc416963209"/>
      <w:bookmarkStart w:id="5" w:name="_Toc205973170"/>
      <w:bookmarkStart w:id="6" w:name="_Toc206564333"/>
      <w:bookmarkStart w:id="7" w:name="_Toc206828797"/>
      <w:r>
        <w:rPr>
          <w:rStyle w:val="CharSectno"/>
        </w:rPr>
        <w:t>1</w:t>
      </w:r>
      <w:r>
        <w:t>.</w:t>
      </w:r>
      <w:r>
        <w:tab/>
      </w:r>
      <w:r>
        <w:rPr>
          <w:snapToGrid w:val="0"/>
        </w:rPr>
        <w:t>Short title</w:t>
      </w:r>
      <w:bookmarkEnd w:id="3"/>
      <w:bookmarkEnd w:id="4"/>
      <w:bookmarkEnd w:id="5"/>
      <w:bookmarkEnd w:id="6"/>
      <w:bookmarkEnd w:id="7"/>
    </w:p>
    <w:p>
      <w:pPr>
        <w:pStyle w:val="Subsection"/>
      </w:pPr>
      <w:r>
        <w:tab/>
      </w:r>
      <w:r>
        <w:tab/>
        <w:t>This</w:t>
      </w:r>
      <w:r>
        <w:rPr>
          <w:snapToGrid w:val="0"/>
        </w:rPr>
        <w:t xml:space="preserve"> is the</w:t>
      </w:r>
      <w:r>
        <w:rPr>
          <w:i/>
          <w:snapToGrid w:val="0"/>
        </w:rPr>
        <w:t xml:space="preserve"> Road Traffic (Vehicles) (Taxing) Act 2008</w:t>
      </w:r>
      <w:r>
        <w:rPr>
          <w:snapToGrid w:val="0"/>
        </w:rPr>
        <w:t>.</w:t>
      </w:r>
    </w:p>
    <w:p>
      <w:pPr>
        <w:pStyle w:val="Heading5"/>
        <w:rPr>
          <w:snapToGrid w:val="0"/>
        </w:rPr>
      </w:pPr>
      <w:bookmarkStart w:id="8" w:name="_Toc378865646"/>
      <w:bookmarkStart w:id="9" w:name="_Toc416963210"/>
      <w:bookmarkStart w:id="10" w:name="_Toc205973171"/>
      <w:bookmarkStart w:id="11" w:name="_Toc206564334"/>
      <w:bookmarkStart w:id="12" w:name="_Toc206828798"/>
      <w:r>
        <w:rPr>
          <w:rStyle w:val="CharSectno"/>
        </w:rPr>
        <w:t>2</w:t>
      </w:r>
      <w:r>
        <w:rPr>
          <w:snapToGrid w:val="0"/>
        </w:rPr>
        <w:t>.</w:t>
      </w:r>
      <w:r>
        <w:rPr>
          <w:snapToGrid w:val="0"/>
        </w:rPr>
        <w:tab/>
      </w:r>
      <w:r>
        <w:t>Commencement</w:t>
      </w:r>
      <w:bookmarkEnd w:id="8"/>
      <w:bookmarkEnd w:id="9"/>
      <w:bookmarkEnd w:id="10"/>
      <w:bookmarkEnd w:id="11"/>
      <w:bookmarkEnd w:id="12"/>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 xml:space="preserve">section 3 — on the day fixed under the </w:t>
      </w:r>
      <w:r>
        <w:rPr>
          <w:i/>
          <w:iCs/>
        </w:rPr>
        <w:t xml:space="preserve">Road Traffic (Administration) Act 2008 </w:t>
      </w:r>
      <w:r>
        <w:t xml:space="preserve">section 2(b). </w:t>
      </w:r>
    </w:p>
    <w:p>
      <w:pPr>
        <w:pStyle w:val="Ednotesection"/>
      </w:pPr>
      <w:r>
        <w:t>[</w:t>
      </w:r>
      <w:r>
        <w:rPr>
          <w:b/>
          <w:bCs/>
        </w:rPr>
        <w:t>3.</w:t>
      </w:r>
      <w:r>
        <w:tab/>
        <w:t>Has not come into operation </w:t>
      </w:r>
      <w:r>
        <w:rPr>
          <w:i w:val="0"/>
          <w:iCs/>
          <w:vertAlign w:val="superscript"/>
        </w:rPr>
        <w:t>2</w:t>
      </w:r>
      <w:r>
        <w:t>.]</w:t>
      </w:r>
    </w:p>
    <w:p>
      <w:pPr>
        <w:pStyle w:val="Subsection"/>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cols w:space="720"/>
          <w:titlePg/>
          <w:docGrid w:linePitch="326"/>
        </w:sectPr>
      </w:pPr>
    </w:p>
    <w:p>
      <w:pPr>
        <w:pStyle w:val="nHeading2"/>
      </w:pPr>
      <w:bookmarkStart w:id="13" w:name="_Toc378865647"/>
      <w:bookmarkStart w:id="14" w:name="_Toc416963200"/>
      <w:bookmarkStart w:id="15" w:name="_Toc416963211"/>
      <w:bookmarkStart w:id="16" w:name="_Toc119746908"/>
      <w:bookmarkStart w:id="17" w:name="_Toc206821312"/>
      <w:bookmarkStart w:id="18" w:name="_Toc206821350"/>
      <w:bookmarkStart w:id="19" w:name="_Toc206828799"/>
      <w:r>
        <w:t>Notes</w:t>
      </w:r>
      <w:bookmarkEnd w:id="13"/>
      <w:bookmarkEnd w:id="14"/>
      <w:bookmarkEnd w:id="15"/>
      <w:bookmarkEnd w:id="16"/>
      <w:bookmarkEnd w:id="17"/>
      <w:bookmarkEnd w:id="18"/>
      <w:bookmarkEnd w:id="19"/>
    </w:p>
    <w:p>
      <w:pPr>
        <w:pStyle w:val="nSubsection"/>
        <w:rPr>
          <w:snapToGrid w:val="0"/>
        </w:rPr>
      </w:pPr>
      <w:bookmarkStart w:id="20" w:name="_Toc512403484"/>
      <w:bookmarkStart w:id="21" w:name="_Toc512403627"/>
      <w:bookmarkStart w:id="22" w:name="_Toc36369351"/>
      <w:bookmarkStart w:id="23" w:name="_Toc119746909"/>
      <w:r>
        <w:rPr>
          <w:snapToGrid w:val="0"/>
          <w:vertAlign w:val="superscript"/>
        </w:rPr>
        <w:t>1</w:t>
      </w:r>
      <w:r>
        <w:rPr>
          <w:snapToGrid w:val="0"/>
        </w:rPr>
        <w:tab/>
        <w:t xml:space="preserve">This is a compilation of the </w:t>
      </w:r>
      <w:r>
        <w:rPr>
          <w:i/>
          <w:noProof/>
          <w:snapToGrid w:val="0"/>
        </w:rPr>
        <w:t>Road Traffic (Vehicles) (Taxing)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24" w:name="_Toc378865648"/>
      <w:bookmarkStart w:id="25" w:name="_Toc416963212"/>
      <w:bookmarkStart w:id="26" w:name="_Toc206828800"/>
      <w:r>
        <w:rPr>
          <w:snapToGrid w:val="0"/>
        </w:rPr>
        <w:t>Compilation table</w:t>
      </w:r>
      <w:bookmarkEnd w:id="24"/>
      <w:bookmarkEnd w:id="25"/>
      <w:bookmarkEnd w:id="20"/>
      <w:bookmarkEnd w:id="21"/>
      <w:bookmarkEnd w:id="22"/>
      <w:bookmarkEnd w:id="23"/>
      <w:bookmarkEnd w:id="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noProof/>
                <w:snapToGrid w:val="0"/>
              </w:rPr>
              <w:t xml:space="preserve">Road Traffic (Vehicles) (Taxing) Act 2008 </w:t>
            </w:r>
            <w:r>
              <w:rPr>
                <w:iCs/>
                <w:noProof/>
                <w:snapToGrid w:val="0"/>
              </w:rPr>
              <w:t>s. 1 and 2</w:t>
            </w:r>
          </w:p>
        </w:tc>
        <w:tc>
          <w:tcPr>
            <w:tcW w:w="1134" w:type="dxa"/>
          </w:tcPr>
          <w:p>
            <w:pPr>
              <w:pStyle w:val="nTable"/>
              <w:spacing w:after="40"/>
            </w:pPr>
            <w:r>
              <w:t>41 of 2008</w:t>
            </w:r>
          </w:p>
        </w:tc>
        <w:tc>
          <w:tcPr>
            <w:tcW w:w="1134" w:type="dxa"/>
          </w:tcPr>
          <w:p>
            <w:pPr>
              <w:pStyle w:val="nTable"/>
              <w:spacing w:after="40"/>
            </w:pPr>
            <w:r>
              <w:t>15 Aug 2008</w:t>
            </w:r>
          </w:p>
        </w:tc>
        <w:tc>
          <w:tcPr>
            <w:tcW w:w="2552" w:type="dxa"/>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 w:name="_Toc378865649"/>
      <w:bookmarkStart w:id="28" w:name="_Toc416963213"/>
      <w:bookmarkStart w:id="29" w:name="_Toc7405065"/>
      <w:bookmarkStart w:id="30" w:name="_Toc181500909"/>
      <w:bookmarkStart w:id="31" w:name="_Toc193100050"/>
      <w:bookmarkStart w:id="32" w:name="_Toc206828801"/>
      <w:r>
        <w:t>Provisions that have not come into operation</w:t>
      </w:r>
      <w:bookmarkEnd w:id="27"/>
      <w:bookmarkEnd w:id="28"/>
      <w:bookmarkEnd w:id="29"/>
      <w:bookmarkEnd w:id="30"/>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iCs/>
                <w:vertAlign w:val="superscript"/>
              </w:rPr>
            </w:pPr>
            <w:r>
              <w:rPr>
                <w:i/>
                <w:noProof/>
                <w:snapToGrid w:val="0"/>
              </w:rPr>
              <w:t>Road Traffic (Vehicles) (Taxing) Act 2008</w:t>
            </w:r>
            <w:r>
              <w:rPr>
                <w:iCs/>
                <w:noProof/>
                <w:snapToGrid w:val="0"/>
              </w:rPr>
              <w:t xml:space="preserve"> s. 3 </w:t>
            </w:r>
            <w:r>
              <w:rPr>
                <w:iCs/>
                <w:noProof/>
                <w:snapToGrid w:val="0"/>
                <w:vertAlign w:val="superscript"/>
              </w:rPr>
              <w:t>2</w:t>
            </w:r>
          </w:p>
        </w:tc>
        <w:tc>
          <w:tcPr>
            <w:tcW w:w="1134" w:type="dxa"/>
            <w:tcBorders>
              <w:top w:val="single" w:sz="8" w:space="0" w:color="auto"/>
            </w:tcBorders>
          </w:tcPr>
          <w:p>
            <w:pPr>
              <w:pStyle w:val="nTable"/>
              <w:spacing w:after="40"/>
            </w:pPr>
            <w:r>
              <w:t>41 of 2008</w:t>
            </w:r>
          </w:p>
        </w:tc>
        <w:tc>
          <w:tcPr>
            <w:tcW w:w="1134" w:type="dxa"/>
            <w:tcBorders>
              <w:top w:val="single" w:sz="8" w:space="0" w:color="auto"/>
            </w:tcBorders>
          </w:tcPr>
          <w:p>
            <w:pPr>
              <w:pStyle w:val="nTable"/>
              <w:spacing w:after="40"/>
            </w:pPr>
            <w:r>
              <w:t>15 Aug 2008</w:t>
            </w:r>
          </w:p>
        </w:tc>
        <w:tc>
          <w:tcPr>
            <w:tcW w:w="2552" w:type="dxa"/>
            <w:tcBorders>
              <w:top w:val="single" w:sz="8" w:space="0" w:color="auto"/>
            </w:tcBorders>
          </w:tcPr>
          <w:p>
            <w:pPr>
              <w:pStyle w:val="nTable"/>
              <w:spacing w:after="40"/>
            </w:pPr>
            <w:r>
              <w:t xml:space="preserve">Operative on commencement of the </w:t>
            </w:r>
            <w:bookmarkStart w:id="33" w:name="UpToHere"/>
            <w:r>
              <w:rPr>
                <w:i/>
                <w:iCs/>
              </w:rPr>
              <w:t>Road Traffic (Administration) Act 2008</w:t>
            </w:r>
            <w:bookmarkEnd w:id="33"/>
            <w:r>
              <w:t xml:space="preserve"> (see s. 2(b))</w:t>
            </w:r>
          </w:p>
        </w:tc>
      </w:tr>
      <w:tr>
        <w:trPr>
          <w:cantSplit/>
          <w:ins w:id="34" w:author="svcMRProcess" w:date="2015-11-05T21:41:00Z"/>
        </w:trPr>
        <w:tc>
          <w:tcPr>
            <w:tcW w:w="2268" w:type="dxa"/>
            <w:tcBorders>
              <w:bottom w:val="single" w:sz="4" w:space="0" w:color="auto"/>
            </w:tcBorders>
          </w:tcPr>
          <w:p>
            <w:pPr>
              <w:pStyle w:val="nTable"/>
              <w:spacing w:after="40"/>
              <w:rPr>
                <w:ins w:id="35" w:author="svcMRProcess" w:date="2015-11-05T21:41:00Z"/>
                <w:i/>
                <w:noProof/>
                <w:snapToGrid w:val="0"/>
                <w:vertAlign w:val="superscript"/>
              </w:rPr>
            </w:pPr>
            <w:ins w:id="36" w:author="svcMRProcess" w:date="2015-11-05T21:41:00Z">
              <w:r>
                <w:rPr>
                  <w:i/>
                  <w:noProof/>
                  <w:snapToGrid w:val="0"/>
                </w:rPr>
                <w:t xml:space="preserve">Road Traffic Legislation Amendment Act 2012 </w:t>
              </w:r>
              <w:r>
                <w:rPr>
                  <w:noProof/>
                  <w:snapToGrid w:val="0"/>
                </w:rPr>
                <w:t>Pt. 7</w:t>
              </w:r>
              <w:r>
                <w:rPr>
                  <w:noProof/>
                  <w:snapToGrid w:val="0"/>
                  <w:vertAlign w:val="superscript"/>
                </w:rPr>
                <w:t> 3</w:t>
              </w:r>
            </w:ins>
          </w:p>
        </w:tc>
        <w:tc>
          <w:tcPr>
            <w:tcW w:w="1134" w:type="dxa"/>
            <w:tcBorders>
              <w:bottom w:val="single" w:sz="4" w:space="0" w:color="auto"/>
            </w:tcBorders>
          </w:tcPr>
          <w:p>
            <w:pPr>
              <w:pStyle w:val="nTable"/>
              <w:spacing w:after="40"/>
              <w:rPr>
                <w:ins w:id="37" w:author="svcMRProcess" w:date="2015-11-05T21:41:00Z"/>
              </w:rPr>
            </w:pPr>
            <w:ins w:id="38" w:author="svcMRProcess" w:date="2015-11-05T21:41:00Z">
              <w:r>
                <w:rPr>
                  <w:snapToGrid w:val="0"/>
                </w:rPr>
                <w:t>8 of 2012</w:t>
              </w:r>
            </w:ins>
          </w:p>
        </w:tc>
        <w:tc>
          <w:tcPr>
            <w:tcW w:w="1134" w:type="dxa"/>
            <w:tcBorders>
              <w:bottom w:val="single" w:sz="4" w:space="0" w:color="auto"/>
            </w:tcBorders>
          </w:tcPr>
          <w:p>
            <w:pPr>
              <w:pStyle w:val="nTable"/>
              <w:spacing w:after="40"/>
              <w:rPr>
                <w:ins w:id="39" w:author="svcMRProcess" w:date="2015-11-05T21:41:00Z"/>
              </w:rPr>
            </w:pPr>
            <w:ins w:id="40" w:author="svcMRProcess" w:date="2015-11-05T21:41:00Z">
              <w:r>
                <w:t>21 May 2012</w:t>
              </w:r>
            </w:ins>
          </w:p>
        </w:tc>
        <w:tc>
          <w:tcPr>
            <w:tcW w:w="2552" w:type="dxa"/>
            <w:tcBorders>
              <w:bottom w:val="single" w:sz="4" w:space="0" w:color="auto"/>
            </w:tcBorders>
          </w:tcPr>
          <w:p>
            <w:pPr>
              <w:pStyle w:val="nTable"/>
              <w:spacing w:after="40"/>
              <w:rPr>
                <w:ins w:id="41" w:author="svcMRProcess" w:date="2015-11-05T21:41:00Z"/>
              </w:rPr>
            </w:pPr>
            <w:ins w:id="42" w:author="svcMRProcess" w:date="2015-11-05T21:41:00Z">
              <w:r>
                <w:rPr>
                  <w:snapToGrid w:val="0"/>
                </w:rPr>
                <w:t xml:space="preserve">Operative on commencement of the </w:t>
              </w:r>
              <w:r>
                <w:rPr>
                  <w:i/>
                  <w:snapToGrid w:val="0"/>
                </w:rPr>
                <w:t>Road Traffic (Administration) Act 2008</w:t>
              </w:r>
              <w:r>
                <w:rPr>
                  <w:snapToGrid w:val="0"/>
                </w:rPr>
                <w:t xml:space="preserve"> (see s. 2(f))</w:t>
              </w:r>
            </w:ins>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(Vehicles) (Taxing) Act 2008 </w:t>
      </w:r>
      <w:r>
        <w:rPr>
          <w:snapToGrid w:val="0"/>
        </w:rPr>
        <w:t>s. 3 had not come into operation.  It reads as follows:</w:t>
      </w:r>
    </w:p>
    <w:p>
      <w:pPr>
        <w:pStyle w:val="MiscOpen"/>
      </w:pPr>
      <w:r>
        <w:t>“</w:t>
      </w:r>
    </w:p>
    <w:p>
      <w:pPr>
        <w:pStyle w:val="nzHeading5"/>
        <w:rPr>
          <w:snapToGrid w:val="0"/>
        </w:rPr>
      </w:pPr>
      <w:bookmarkStart w:id="43" w:name="_Toc205973172"/>
      <w:bookmarkStart w:id="44" w:name="_Toc206564335"/>
      <w:r>
        <w:rPr>
          <w:rStyle w:val="CharSectno"/>
        </w:rPr>
        <w:t>3</w:t>
      </w:r>
      <w:r>
        <w:rPr>
          <w:snapToGrid w:val="0"/>
        </w:rPr>
        <w:t>.</w:t>
      </w:r>
      <w:r>
        <w:rPr>
          <w:snapToGrid w:val="0"/>
        </w:rPr>
        <w:tab/>
        <w:t>Imposition of tax</w:t>
      </w:r>
      <w:bookmarkEnd w:id="43"/>
      <w:bookmarkEnd w:id="44"/>
    </w:p>
    <w:p>
      <w:pPr>
        <w:pStyle w:val="nzSubsection"/>
      </w:pPr>
      <w:r>
        <w:tab/>
      </w:r>
      <w:r>
        <w:tab/>
        <w:t xml:space="preserve">To the extent that any charge that the regulations prescribe under the </w:t>
      </w:r>
      <w:r>
        <w:rPr>
          <w:i/>
          <w:iCs/>
        </w:rPr>
        <w:t>Road Traffic (Vehicles) Act 2008</w:t>
      </w:r>
      <w:r>
        <w:t xml:space="preserve"> section 7(3) may be a tax, this Act imposes the charge.</w:t>
      </w:r>
    </w:p>
    <w:p>
      <w:pPr>
        <w:pStyle w:val="MiscClose"/>
      </w:pPr>
      <w:r>
        <w:t>”.</w:t>
      </w:r>
    </w:p>
    <w:p>
      <w:pPr>
        <w:pStyle w:val="nSubsection"/>
        <w:keepLines/>
        <w:spacing w:before="120"/>
        <w:rPr>
          <w:ins w:id="45" w:author="svcMRProcess" w:date="2015-11-05T21:41:00Z"/>
          <w:snapToGrid w:val="0"/>
        </w:rPr>
      </w:pPr>
      <w:ins w:id="46" w:author="svcMRProcess" w:date="2015-11-05T21:41: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7 had not come into operation.  It reads as follows:</w:t>
        </w:r>
      </w:ins>
    </w:p>
    <w:p>
      <w:pPr>
        <w:pStyle w:val="BlankOpen"/>
        <w:rPr>
          <w:ins w:id="47" w:author="svcMRProcess" w:date="2015-11-05T21:41:00Z"/>
          <w:snapToGrid w:val="0"/>
        </w:rPr>
      </w:pPr>
    </w:p>
    <w:p>
      <w:pPr>
        <w:pStyle w:val="nzHeading2"/>
        <w:rPr>
          <w:ins w:id="48" w:author="svcMRProcess" w:date="2015-11-05T21:41:00Z"/>
        </w:rPr>
      </w:pPr>
      <w:ins w:id="49" w:author="svcMRProcess" w:date="2015-11-05T21:41:00Z">
        <w:r>
          <w:rPr>
            <w:rStyle w:val="CharPartNo"/>
          </w:rPr>
          <w:t>Part 7</w:t>
        </w:r>
        <w:r>
          <w:rPr>
            <w:rStyle w:val="CharDivNo"/>
          </w:rPr>
          <w:t> </w:t>
        </w:r>
        <w:r>
          <w:t>—</w:t>
        </w:r>
        <w:r>
          <w:rPr>
            <w:rStyle w:val="CharDivText"/>
          </w:rPr>
          <w:t> </w:t>
        </w:r>
        <w:r>
          <w:rPr>
            <w:rStyle w:val="CharPartText"/>
            <w:i/>
            <w:iCs/>
          </w:rPr>
          <w:t>Road Traffic (Vehicles) (Taxing) Act 2008</w:t>
        </w:r>
        <w:r>
          <w:rPr>
            <w:rStyle w:val="CharPartText"/>
            <w:iCs/>
          </w:rPr>
          <w:t> amended</w:t>
        </w:r>
      </w:ins>
    </w:p>
    <w:p>
      <w:pPr>
        <w:pStyle w:val="nzHeading5"/>
        <w:rPr>
          <w:ins w:id="50" w:author="svcMRProcess" w:date="2015-11-05T21:41:00Z"/>
        </w:rPr>
      </w:pPr>
      <w:ins w:id="51" w:author="svcMRProcess" w:date="2015-11-05T21:41:00Z">
        <w:r>
          <w:rPr>
            <w:rStyle w:val="CharSectno"/>
          </w:rPr>
          <w:t>236</w:t>
        </w:r>
        <w:r>
          <w:t>.</w:t>
        </w:r>
        <w:r>
          <w:tab/>
          <w:t>Act amended</w:t>
        </w:r>
      </w:ins>
    </w:p>
    <w:p>
      <w:pPr>
        <w:pStyle w:val="nzSubsection"/>
        <w:rPr>
          <w:ins w:id="52" w:author="svcMRProcess" w:date="2015-11-05T21:41:00Z"/>
        </w:rPr>
      </w:pPr>
      <w:ins w:id="53" w:author="svcMRProcess" w:date="2015-11-05T21:41:00Z">
        <w:r>
          <w:tab/>
        </w:r>
        <w:r>
          <w:tab/>
          <w:t xml:space="preserve">This Part amends the </w:t>
        </w:r>
        <w:r>
          <w:rPr>
            <w:i/>
          </w:rPr>
          <w:t>Road Traffic (Vehicles) (Taxing) Act 2008</w:t>
        </w:r>
        <w:r>
          <w:t>.</w:t>
        </w:r>
      </w:ins>
    </w:p>
    <w:p>
      <w:pPr>
        <w:pStyle w:val="nzHeading5"/>
        <w:rPr>
          <w:ins w:id="54" w:author="svcMRProcess" w:date="2015-11-05T21:41:00Z"/>
        </w:rPr>
      </w:pPr>
      <w:ins w:id="55" w:author="svcMRProcess" w:date="2015-11-05T21:41:00Z">
        <w:r>
          <w:rPr>
            <w:rStyle w:val="CharSectno"/>
          </w:rPr>
          <w:t>237</w:t>
        </w:r>
        <w:r>
          <w:t>.</w:t>
        </w:r>
        <w:r>
          <w:tab/>
          <w:t>Long title amended</w:t>
        </w:r>
      </w:ins>
    </w:p>
    <w:p>
      <w:pPr>
        <w:pStyle w:val="nzSubsection"/>
        <w:rPr>
          <w:ins w:id="56" w:author="svcMRProcess" w:date="2015-11-05T21:41:00Z"/>
        </w:rPr>
      </w:pPr>
      <w:ins w:id="57" w:author="svcMRProcess" w:date="2015-11-05T21:41:00Z">
        <w:r>
          <w:tab/>
        </w:r>
        <w:r>
          <w:tab/>
          <w:t>In the long title delete “</w:t>
        </w:r>
        <w:r>
          <w:rPr>
            <w:b/>
            <w:i/>
            <w:snapToGrid w:val="0"/>
          </w:rPr>
          <w:t>2008</w:t>
        </w:r>
        <w:r>
          <w:t>” and insert:</w:t>
        </w:r>
      </w:ins>
    </w:p>
    <w:p>
      <w:pPr>
        <w:pStyle w:val="BlankOpen"/>
        <w:rPr>
          <w:ins w:id="58" w:author="svcMRProcess" w:date="2015-11-05T21:41:00Z"/>
          <w:snapToGrid w:val="0"/>
        </w:rPr>
      </w:pPr>
    </w:p>
    <w:p>
      <w:pPr>
        <w:pStyle w:val="nzSubsection"/>
        <w:rPr>
          <w:ins w:id="59" w:author="svcMRProcess" w:date="2015-11-05T21:41:00Z"/>
        </w:rPr>
      </w:pPr>
      <w:ins w:id="60" w:author="svcMRProcess" w:date="2015-11-05T21:41:00Z">
        <w:r>
          <w:rPr>
            <w:bCs/>
            <w:iCs/>
            <w:snapToGrid w:val="0"/>
          </w:rPr>
          <w:tab/>
        </w:r>
        <w:r>
          <w:rPr>
            <w:bCs/>
            <w:iCs/>
            <w:snapToGrid w:val="0"/>
          </w:rPr>
          <w:tab/>
        </w:r>
        <w:r>
          <w:rPr>
            <w:b/>
            <w:i/>
            <w:snapToGrid w:val="0"/>
          </w:rPr>
          <w:t>2012</w:t>
        </w:r>
      </w:ins>
    </w:p>
    <w:p>
      <w:pPr>
        <w:pStyle w:val="BlankClose"/>
        <w:rPr>
          <w:ins w:id="61" w:author="svcMRProcess" w:date="2015-11-05T21:41:00Z"/>
        </w:rPr>
      </w:pPr>
    </w:p>
    <w:p>
      <w:pPr>
        <w:pStyle w:val="nzHeading5"/>
        <w:rPr>
          <w:ins w:id="62" w:author="svcMRProcess" w:date="2015-11-05T21:41:00Z"/>
        </w:rPr>
      </w:pPr>
      <w:ins w:id="63" w:author="svcMRProcess" w:date="2015-11-05T21:41:00Z">
        <w:r>
          <w:rPr>
            <w:rStyle w:val="CharSectno"/>
          </w:rPr>
          <w:t>238</w:t>
        </w:r>
        <w:r>
          <w:t>.</w:t>
        </w:r>
        <w:r>
          <w:tab/>
          <w:t>Section 3 amended</w:t>
        </w:r>
      </w:ins>
    </w:p>
    <w:p>
      <w:pPr>
        <w:pStyle w:val="nzSubsection"/>
        <w:rPr>
          <w:ins w:id="64" w:author="svcMRProcess" w:date="2015-11-05T21:41:00Z"/>
        </w:rPr>
      </w:pPr>
      <w:ins w:id="65" w:author="svcMRProcess" w:date="2015-11-05T21:41:00Z">
        <w:r>
          <w:tab/>
        </w:r>
        <w:r>
          <w:tab/>
          <w:t>In section 3 delete “</w:t>
        </w:r>
        <w:r>
          <w:rPr>
            <w:i/>
            <w:iCs/>
          </w:rPr>
          <w:t>2008</w:t>
        </w:r>
        <w:r>
          <w:t>” and insert:</w:t>
        </w:r>
      </w:ins>
    </w:p>
    <w:p>
      <w:pPr>
        <w:pStyle w:val="BlankOpen"/>
        <w:rPr>
          <w:ins w:id="66" w:author="svcMRProcess" w:date="2015-11-05T21:41:00Z"/>
        </w:rPr>
      </w:pPr>
    </w:p>
    <w:p>
      <w:pPr>
        <w:pStyle w:val="nzSubsection"/>
        <w:rPr>
          <w:ins w:id="67" w:author="svcMRProcess" w:date="2015-11-05T21:41:00Z"/>
        </w:rPr>
      </w:pPr>
      <w:ins w:id="68" w:author="svcMRProcess" w:date="2015-11-05T21:41:00Z">
        <w:r>
          <w:tab/>
        </w:r>
        <w:r>
          <w:tab/>
        </w:r>
        <w:r>
          <w:rPr>
            <w:i/>
            <w:iCs/>
          </w:rPr>
          <w:t>2012</w:t>
        </w:r>
      </w:ins>
    </w:p>
    <w:p>
      <w:pPr>
        <w:pStyle w:val="BlankClose"/>
        <w:rPr>
          <w:ins w:id="69" w:author="svcMRProcess" w:date="2015-11-05T21:41:00Z"/>
        </w:rPr>
      </w:pPr>
    </w:p>
    <w:p>
      <w:pPr>
        <w:pStyle w:val="BlankClose"/>
        <w:rPr>
          <w:ins w:id="70" w:author="svcMRProcess" w:date="2015-11-05T21:41:00Z"/>
        </w:rPr>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52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Aug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(Vehicles) (Taxing)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s. 1</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(Taxing)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Road Traffic (Vehicles) (Taxing)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(Taxing)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55714"/>
    <w:docVar w:name="WAFER_20140130122316" w:val="RemoveTocBookmarks,RemoveUnusedBookmarks,RemoveLanguageTags,UsedStyles,ResetPageSize,UpdateArrangement"/>
    <w:docVar w:name="WAFER_20140130122316_GUID" w:val="290ee19c-54fd-4141-aa87-be2cc77e7fe0"/>
    <w:docVar w:name="WAFER_20140130143640" w:val="RemoveTocBookmarks,RunningHeaders"/>
    <w:docVar w:name="WAFER_20140130143640_GUID" w:val="ef0a6151-3b2b-45ab-a693-e61b0f28fcaf"/>
    <w:docVar w:name="WAFER_20150416145255" w:val="ResetPageSize,UpdateArrangement,UpdateNTable"/>
    <w:docVar w:name="WAFER_20150416145255_GUID" w:val="b0bdd888-4bfe-45bf-8d93-b8f3305dd095"/>
    <w:docVar w:name="WAFER_20150416155714" w:val="ResetPageSize,UpdateArrangement,UpdateNTable"/>
    <w:docVar w:name="WAFER_20150416155714_GUID" w:val="5c389b25-1209-44af-a2ef-6108af96ac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467</Words>
  <Characters>2214</Characters>
  <Application>Microsoft Office Word</Application>
  <DocSecurity>0</DocSecurity>
  <Lines>100</Lines>
  <Paragraphs>68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 (Bills)</vt:lpstr>
      <vt:lpstr>Western Australia</vt:lpstr>
      <vt:lpstr>Road Traffic (Vehicles) (Taxing) Act 2008</vt:lpstr>
      <vt:lpstr/>
      <vt:lpstr>Western Australia</vt:lpstr>
      <vt:lpstr>Western Australia</vt:lpstr>
      <vt:lpstr>    Notes</vt:lpstr>
    </vt:vector>
  </TitlesOfParts>
  <Manager/>
  <Company/>
  <LinksUpToDate>false</LinksUpToDate>
  <CharactersWithSpaces>2613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(Taxing) Act 2008 00-a0-04 - 00-b0-03</dc:title>
  <dc:subject/>
  <dc:creator/>
  <cp:keywords/>
  <dc:description/>
  <cp:lastModifiedBy>svcMRProcess</cp:lastModifiedBy>
  <cp:revision>2</cp:revision>
  <cp:lastPrinted>2008-08-15T03:10:00Z</cp:lastPrinted>
  <dcterms:created xsi:type="dcterms:W3CDTF">2015-11-05T13:41:00Z</dcterms:created>
  <dcterms:modified xsi:type="dcterms:W3CDTF">2015-11-05T13:41:00Z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20120521</vt:lpwstr>
  </property>
  <property fmtid="{D5CDD505-2E9C-101B-9397-08002B2CF9AE}" pid="3" name="ActNo">
    <vt:lpwstr>41 of 2008</vt:lpwstr>
  </property>
  <property fmtid="{D5CDD505-2E9C-101B-9397-08002B2CF9AE}" pid="4" name="OwlsUID">
    <vt:i4>146692</vt:i4>
  </property>
  <property fmtid="{D5CDD505-2E9C-101B-9397-08002B2CF9AE}" pid="5" name="DocumentType">
    <vt:lpwstr>Act</vt:lpwstr>
  </property>
  <property fmtid="{D5CDD505-2E9C-101B-9397-08002B2CF9AE}" pid="6" name="FromSuffix">
    <vt:lpwstr>00-a0-04</vt:lpwstr>
  </property>
  <property fmtid="{D5CDD505-2E9C-101B-9397-08002B2CF9AE}" pid="7" name="FromAsAtDate">
    <vt:lpwstr>15 Aug 2008</vt:lpwstr>
  </property>
  <property fmtid="{D5CDD505-2E9C-101B-9397-08002B2CF9AE}" pid="8" name="ToSuffix">
    <vt:lpwstr>00-b0-03</vt:lpwstr>
  </property>
  <property fmtid="{D5CDD505-2E9C-101B-9397-08002B2CF9AE}" pid="9" name="ToAsAtDate">
    <vt:lpwstr>21 May 2012</vt:lpwstr>
  </property>
</Properties>
</file>