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Electricity Act 1945</w:t>
      </w:r>
    </w:p>
    <w:p>
      <w:pPr>
        <w:pStyle w:val="LongTitle"/>
        <w:rPr>
          <w:snapToGrid w:val="0"/>
        </w:rPr>
      </w:pPr>
      <w:r>
        <w:rPr>
          <w:snapToGrid w:val="0"/>
        </w:rPr>
        <w:t>A</w:t>
      </w:r>
      <w:bookmarkStart w:id="0" w:name="_GoBack"/>
      <w:bookmarkEnd w:id="0"/>
      <w:r>
        <w:rPr>
          <w:snapToGrid w:val="0"/>
        </w:rPr>
        <w:t xml:space="preserve">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by No. 86 of 1979 s. 3; No. 33 of 2004 s. 4.]</w:t>
      </w:r>
    </w:p>
    <w:p>
      <w:pPr>
        <w:pStyle w:val="Heading2"/>
      </w:pPr>
      <w:bookmarkStart w:id="1" w:name="_Toc268274592"/>
      <w:bookmarkStart w:id="2" w:name="_Toc268274837"/>
      <w:bookmarkStart w:id="3" w:name="_Toc272135645"/>
      <w:bookmarkStart w:id="4" w:name="_Toc307410741"/>
      <w:bookmarkStart w:id="5" w:name="_Toc334449580"/>
      <w:bookmarkStart w:id="6" w:name="_Toc3284698"/>
      <w:bookmarkStart w:id="7" w:name="_Toc39549987"/>
      <w:bookmarkStart w:id="8" w:name="_Toc41888831"/>
      <w:bookmarkStart w:id="9" w:name="_Toc59425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0" w:name="_Toc334449581"/>
      <w:bookmarkStart w:id="11" w:name="_Toc307410742"/>
      <w:r>
        <w:rPr>
          <w:rStyle w:val="CharSectno"/>
        </w:rPr>
        <w:t>1</w:t>
      </w:r>
      <w:r>
        <w:rPr>
          <w:snapToGrid w:val="0"/>
        </w:rPr>
        <w:t>.</w:t>
      </w:r>
      <w:r>
        <w:rPr>
          <w:snapToGrid w:val="0"/>
        </w:rPr>
        <w:tab/>
        <w:t>Short title and commencement</w:t>
      </w:r>
      <w:bookmarkEnd w:id="6"/>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Ednotepart"/>
      </w:pPr>
      <w:bookmarkStart w:id="12" w:name="_Toc3284699"/>
      <w:bookmarkStart w:id="13" w:name="_Toc39549988"/>
      <w:bookmarkStart w:id="14" w:name="_Toc41888832"/>
      <w:bookmarkStart w:id="15" w:name="_Toc59425152"/>
      <w:r>
        <w:t>[Heading deleted by No. 19 of 2010 s. 43(3)(b).]</w:t>
      </w:r>
    </w:p>
    <w:p>
      <w:pPr>
        <w:pStyle w:val="Heading5"/>
        <w:rPr>
          <w:snapToGrid w:val="0"/>
        </w:rPr>
      </w:pPr>
      <w:bookmarkStart w:id="16" w:name="_Toc334449582"/>
      <w:bookmarkStart w:id="17" w:name="_Toc307410743"/>
      <w:r>
        <w:rPr>
          <w:rStyle w:val="CharSectno"/>
        </w:rPr>
        <w:t>3</w:t>
      </w:r>
      <w:r>
        <w:rPr>
          <w:snapToGrid w:val="0"/>
        </w:rPr>
        <w:t>.</w:t>
      </w:r>
      <w:r>
        <w:rPr>
          <w:snapToGrid w:val="0"/>
        </w:rPr>
        <w:tab/>
        <w:t>Act repealed</w:t>
      </w:r>
      <w:bookmarkEnd w:id="12"/>
      <w:bookmarkEnd w:id="13"/>
      <w:bookmarkEnd w:id="14"/>
      <w:bookmarkEnd w:id="15"/>
      <w:bookmarkEnd w:id="16"/>
      <w:bookmarkEnd w:id="17"/>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by No. 89 of 1994 s. 66.]</w:t>
      </w:r>
    </w:p>
    <w:p>
      <w:pPr>
        <w:pStyle w:val="Heading5"/>
        <w:rPr>
          <w:snapToGrid w:val="0"/>
        </w:rPr>
      </w:pPr>
      <w:bookmarkStart w:id="18" w:name="_Toc3284700"/>
      <w:bookmarkStart w:id="19" w:name="_Toc39549989"/>
      <w:bookmarkStart w:id="20" w:name="_Toc41888833"/>
      <w:bookmarkStart w:id="21" w:name="_Toc59425153"/>
      <w:bookmarkStart w:id="22" w:name="_Toc334449583"/>
      <w:bookmarkStart w:id="23" w:name="_Toc307410744"/>
      <w:r>
        <w:rPr>
          <w:rStyle w:val="CharSectno"/>
        </w:rPr>
        <w:t>4A</w:t>
      </w:r>
      <w:r>
        <w:rPr>
          <w:snapToGrid w:val="0"/>
        </w:rPr>
        <w:t>.</w:t>
      </w:r>
      <w:r>
        <w:rPr>
          <w:snapToGrid w:val="0"/>
        </w:rPr>
        <w:tab/>
        <w:t>Act not to apply to Government electric railways</w:t>
      </w:r>
      <w:bookmarkEnd w:id="18"/>
      <w:bookmarkEnd w:id="19"/>
      <w:bookmarkEnd w:id="20"/>
      <w:bookmarkEnd w:id="21"/>
      <w:bookmarkEnd w:id="22"/>
      <w:bookmarkEnd w:id="23"/>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by No. 42 of 1988 s. 4.]</w:t>
      </w:r>
    </w:p>
    <w:p>
      <w:pPr>
        <w:pStyle w:val="Heading5"/>
        <w:rPr>
          <w:snapToGrid w:val="0"/>
        </w:rPr>
      </w:pPr>
      <w:bookmarkStart w:id="24" w:name="_Toc3284701"/>
      <w:bookmarkStart w:id="25" w:name="_Toc39549990"/>
      <w:bookmarkStart w:id="26" w:name="_Toc41888834"/>
      <w:bookmarkStart w:id="27" w:name="_Toc59425154"/>
      <w:bookmarkStart w:id="28" w:name="_Toc334449584"/>
      <w:bookmarkStart w:id="29" w:name="_Toc307410745"/>
      <w:r>
        <w:rPr>
          <w:rStyle w:val="CharSectno"/>
        </w:rPr>
        <w:t>5</w:t>
      </w:r>
      <w:r>
        <w:rPr>
          <w:snapToGrid w:val="0"/>
        </w:rPr>
        <w:t>.</w:t>
      </w:r>
      <w:r>
        <w:rPr>
          <w:snapToGrid w:val="0"/>
        </w:rPr>
        <w:tab/>
      </w:r>
      <w:bookmarkEnd w:id="24"/>
      <w:bookmarkEnd w:id="25"/>
      <w:bookmarkEnd w:id="26"/>
      <w:bookmarkEnd w:id="27"/>
      <w:r>
        <w:rPr>
          <w:snapToGrid w:val="0"/>
        </w:rPr>
        <w:t>Terms used in this Act</w:t>
      </w:r>
      <w:bookmarkEnd w:id="28"/>
      <w:bookmarkEnd w:id="2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by No. 86 of 1979 s. 5; amended by No. 89 of 1994 s. 67; No. 14 of 1996 s. 4; No. 63 of 1996 s. 14; No. 24 of 2000 s. 14(13); No. 33 of 2004 s. 5; No. 18 of 2005 s. 139; No. 28 of 2006 s. 164.]</w:t>
      </w:r>
    </w:p>
    <w:p>
      <w:pPr>
        <w:pStyle w:val="Heading5"/>
      </w:pPr>
      <w:bookmarkStart w:id="30" w:name="_Toc334449585"/>
      <w:bookmarkStart w:id="31" w:name="_Toc307410746"/>
      <w:r>
        <w:rPr>
          <w:rStyle w:val="CharSectno"/>
        </w:rPr>
        <w:t>6</w:t>
      </w:r>
      <w:r>
        <w:t>.</w:t>
      </w:r>
      <w:r>
        <w:tab/>
        <w:t>Application of Act to supply authorities</w:t>
      </w:r>
      <w:bookmarkEnd w:id="30"/>
      <w:bookmarkEnd w:id="31"/>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32(a), (b), (d) or (l);</w:t>
      </w:r>
    </w:p>
    <w:p>
      <w:pPr>
        <w:pStyle w:val="Defstart"/>
      </w:pPr>
      <w:r>
        <w:rPr>
          <w:b/>
        </w:rPr>
        <w:tab/>
      </w:r>
      <w:r>
        <w:rPr>
          <w:rStyle w:val="CharDefText"/>
        </w:rPr>
        <w:t>specified</w:t>
      </w:r>
      <w:r>
        <w:t xml:space="preserve"> means specified in the declaration.</w:t>
      </w:r>
    </w:p>
    <w:p>
      <w:pPr>
        <w:pStyle w:val="Footnotesection"/>
      </w:pPr>
      <w:r>
        <w:tab/>
        <w:t>[Section 6 inserted by No. 33 of 2004 s. 6.]</w:t>
      </w:r>
    </w:p>
    <w:p>
      <w:pPr>
        <w:pStyle w:val="Ednotesection"/>
      </w:pPr>
      <w:r>
        <w:t>[</w:t>
      </w:r>
      <w:r>
        <w:rPr>
          <w:b/>
        </w:rPr>
        <w:t>6A.</w:t>
      </w:r>
      <w:r>
        <w:tab/>
        <w:t>Deleted by No. 63 of 1996 s. 15.]</w:t>
      </w:r>
    </w:p>
    <w:p>
      <w:pPr>
        <w:pStyle w:val="Heading2"/>
      </w:pPr>
      <w:bookmarkStart w:id="32" w:name="_Toc89516104"/>
      <w:bookmarkStart w:id="33" w:name="_Toc89516170"/>
      <w:bookmarkStart w:id="34" w:name="_Toc91486276"/>
      <w:bookmarkStart w:id="35" w:name="_Toc102289647"/>
      <w:bookmarkStart w:id="36" w:name="_Toc117487348"/>
      <w:bookmarkStart w:id="37" w:name="_Toc118707620"/>
      <w:bookmarkStart w:id="38" w:name="_Toc119378456"/>
      <w:bookmarkStart w:id="39" w:name="_Toc119381476"/>
      <w:bookmarkStart w:id="40" w:name="_Toc121723075"/>
      <w:bookmarkStart w:id="41" w:name="_Toc121723318"/>
      <w:bookmarkStart w:id="42" w:name="_Toc122829480"/>
      <w:bookmarkStart w:id="43" w:name="_Toc124061447"/>
      <w:bookmarkStart w:id="44" w:name="_Toc131569365"/>
      <w:bookmarkStart w:id="45" w:name="_Toc131588916"/>
      <w:bookmarkStart w:id="46" w:name="_Toc139272030"/>
      <w:bookmarkStart w:id="47" w:name="_Toc139676666"/>
      <w:bookmarkStart w:id="48" w:name="_Toc157850601"/>
      <w:bookmarkStart w:id="49" w:name="_Toc184113911"/>
      <w:bookmarkStart w:id="50" w:name="_Toc184181119"/>
      <w:bookmarkStart w:id="51" w:name="_Toc190676912"/>
      <w:bookmarkStart w:id="52" w:name="_Toc190741690"/>
      <w:bookmarkStart w:id="53" w:name="_Toc192391872"/>
      <w:bookmarkStart w:id="54" w:name="_Toc197227945"/>
      <w:bookmarkStart w:id="55" w:name="_Toc197845655"/>
      <w:bookmarkStart w:id="56" w:name="_Toc197845878"/>
      <w:bookmarkStart w:id="57" w:name="_Toc198609050"/>
      <w:bookmarkStart w:id="58" w:name="_Toc231020673"/>
      <w:bookmarkStart w:id="59" w:name="_Toc268274598"/>
      <w:bookmarkStart w:id="60" w:name="_Toc268274843"/>
      <w:bookmarkStart w:id="61" w:name="_Toc272135651"/>
      <w:bookmarkStart w:id="62" w:name="_Toc307410747"/>
      <w:bookmarkStart w:id="63" w:name="_Toc334449586"/>
      <w:r>
        <w:rPr>
          <w:rStyle w:val="CharPartNo"/>
        </w:rPr>
        <w:t>Part II</w:t>
      </w:r>
      <w:r>
        <w:t> — </w:t>
      </w:r>
      <w:bookmarkEnd w:id="32"/>
      <w:bookmarkEnd w:id="33"/>
      <w:r>
        <w:rPr>
          <w:rStyle w:val="CharPartText"/>
        </w:rPr>
        <w:t>Powers, rights and obligations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tabs>
          <w:tab w:val="left" w:pos="851"/>
        </w:tabs>
      </w:pPr>
      <w:r>
        <w:tab/>
        <w:t>[Heading amended by No. 33 of 2004 s. 7.]</w:t>
      </w:r>
    </w:p>
    <w:p>
      <w:pPr>
        <w:pStyle w:val="Ednotesection"/>
        <w:tabs>
          <w:tab w:val="clear" w:pos="893"/>
          <w:tab w:val="left" w:pos="851"/>
        </w:tabs>
      </w:pPr>
      <w:bookmarkStart w:id="64" w:name="_Toc3284703"/>
      <w:bookmarkStart w:id="65" w:name="_Toc39549992"/>
      <w:bookmarkStart w:id="66" w:name="_Toc41888836"/>
      <w:bookmarkStart w:id="67" w:name="_Toc59425156"/>
      <w:r>
        <w:tab/>
        <w:t>[Heading deleted by No. 33 of 2004 s. 8.]</w:t>
      </w:r>
    </w:p>
    <w:p>
      <w:pPr>
        <w:pStyle w:val="Ednotesection"/>
      </w:pPr>
      <w:bookmarkStart w:id="68" w:name="_Toc3284707"/>
      <w:bookmarkStart w:id="69" w:name="_Toc39549996"/>
      <w:bookmarkStart w:id="70" w:name="_Toc41888840"/>
      <w:bookmarkStart w:id="71" w:name="_Toc59425160"/>
      <w:bookmarkEnd w:id="64"/>
      <w:bookmarkEnd w:id="65"/>
      <w:bookmarkEnd w:id="66"/>
      <w:bookmarkEnd w:id="67"/>
      <w:r>
        <w:t>[</w:t>
      </w:r>
      <w:r>
        <w:rPr>
          <w:b/>
        </w:rPr>
        <w:t>7-10.</w:t>
      </w:r>
      <w:r>
        <w:tab/>
        <w:t>Deleted by No. 33 of 2004 s. 9.]</w:t>
      </w:r>
    </w:p>
    <w:p>
      <w:pPr>
        <w:pStyle w:val="Heading5"/>
        <w:rPr>
          <w:snapToGrid w:val="0"/>
        </w:rPr>
      </w:pPr>
      <w:bookmarkStart w:id="72" w:name="_Toc334449587"/>
      <w:bookmarkStart w:id="73" w:name="_Toc307410748"/>
      <w:r>
        <w:rPr>
          <w:rStyle w:val="CharSectno"/>
        </w:rPr>
        <w:t>11</w:t>
      </w:r>
      <w:r>
        <w:rPr>
          <w:snapToGrid w:val="0"/>
        </w:rPr>
        <w:t>.</w:t>
      </w:r>
      <w:r>
        <w:rPr>
          <w:snapToGrid w:val="0"/>
        </w:rPr>
        <w:tab/>
        <w:t>Supply authority to pay compensation for damage done</w:t>
      </w:r>
      <w:bookmarkEnd w:id="68"/>
      <w:bookmarkEnd w:id="69"/>
      <w:bookmarkEnd w:id="70"/>
      <w:bookmarkEnd w:id="71"/>
      <w:bookmarkEnd w:id="72"/>
      <w:bookmarkEnd w:id="73"/>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pPr>
        <w:pStyle w:val="Footnotesection"/>
      </w:pPr>
      <w:r>
        <w:tab/>
        <w:t>[Section 11 amended by No. 109 of 1985 s. 3(1).]</w:t>
      </w:r>
    </w:p>
    <w:p>
      <w:pPr>
        <w:pStyle w:val="Heading5"/>
        <w:rPr>
          <w:snapToGrid w:val="0"/>
        </w:rPr>
      </w:pPr>
      <w:bookmarkStart w:id="74" w:name="_Toc3284708"/>
      <w:bookmarkStart w:id="75" w:name="_Toc39549997"/>
      <w:bookmarkStart w:id="76" w:name="_Toc41888841"/>
      <w:bookmarkStart w:id="77" w:name="_Toc59425161"/>
      <w:bookmarkStart w:id="78" w:name="_Toc334449588"/>
      <w:bookmarkStart w:id="79" w:name="_Toc307410749"/>
      <w:r>
        <w:rPr>
          <w:rStyle w:val="CharSectno"/>
        </w:rPr>
        <w:t>12</w:t>
      </w:r>
      <w:r>
        <w:rPr>
          <w:snapToGrid w:val="0"/>
        </w:rPr>
        <w:t>.</w:t>
      </w:r>
      <w:r>
        <w:rPr>
          <w:snapToGrid w:val="0"/>
        </w:rPr>
        <w:tab/>
        <w:t>Crossing the district of a local government with transmission works</w:t>
      </w:r>
      <w:bookmarkEnd w:id="74"/>
      <w:bookmarkEnd w:id="75"/>
      <w:bookmarkEnd w:id="76"/>
      <w:bookmarkEnd w:id="77"/>
      <w:bookmarkEnd w:id="78"/>
      <w:bookmarkEnd w:id="79"/>
    </w:p>
    <w:p>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by No. 89 of 1994 s. 79; No. 14 of 1996 s. 4.]</w:t>
      </w:r>
    </w:p>
    <w:p>
      <w:pPr>
        <w:pStyle w:val="Ednotesection"/>
      </w:pPr>
      <w:bookmarkStart w:id="80" w:name="_Toc3284710"/>
      <w:bookmarkStart w:id="81" w:name="_Toc39549999"/>
      <w:bookmarkStart w:id="82" w:name="_Toc41888843"/>
      <w:bookmarkStart w:id="83" w:name="_Toc59425163"/>
      <w:r>
        <w:t>[</w:t>
      </w:r>
      <w:r>
        <w:rPr>
          <w:b/>
        </w:rPr>
        <w:t>13.</w:t>
      </w:r>
      <w:r>
        <w:tab/>
        <w:t>Deleted by No. 33 of 2004 s. 10.]</w:t>
      </w:r>
    </w:p>
    <w:p>
      <w:pPr>
        <w:pStyle w:val="Heading5"/>
        <w:rPr>
          <w:snapToGrid w:val="0"/>
        </w:rPr>
      </w:pPr>
      <w:bookmarkStart w:id="84" w:name="_Toc334449589"/>
      <w:bookmarkStart w:id="85" w:name="_Toc307410750"/>
      <w:r>
        <w:rPr>
          <w:rStyle w:val="CharSectno"/>
        </w:rPr>
        <w:t>14</w:t>
      </w:r>
      <w:r>
        <w:rPr>
          <w:snapToGrid w:val="0"/>
        </w:rPr>
        <w:t>.</w:t>
      </w:r>
      <w:r>
        <w:rPr>
          <w:snapToGrid w:val="0"/>
        </w:rPr>
        <w:tab/>
        <w:t>Method of metering bulk supplies</w:t>
      </w:r>
      <w:bookmarkEnd w:id="80"/>
      <w:bookmarkEnd w:id="81"/>
      <w:bookmarkEnd w:id="82"/>
      <w:bookmarkEnd w:id="83"/>
      <w:bookmarkEnd w:id="84"/>
      <w:bookmarkEnd w:id="85"/>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by No. 89 of 1994 s. 79; No. 14 of 1996 s. 4.]</w:t>
      </w:r>
    </w:p>
    <w:p>
      <w:pPr>
        <w:pStyle w:val="Ednotesection"/>
      </w:pPr>
      <w:bookmarkStart w:id="86" w:name="_Toc89516117"/>
      <w:bookmarkStart w:id="87" w:name="_Toc89516183"/>
      <w:r>
        <w:t>[</w:t>
      </w:r>
      <w:r>
        <w:rPr>
          <w:b/>
        </w:rPr>
        <w:t>15-17.</w:t>
      </w:r>
      <w:r>
        <w:tab/>
        <w:t>Deleted by No. 33 of 2004 s. 11.]</w:t>
      </w:r>
    </w:p>
    <w:p>
      <w:pPr>
        <w:pStyle w:val="Ednotesection"/>
      </w:pPr>
      <w:bookmarkStart w:id="88" w:name="_Toc3284714"/>
      <w:bookmarkStart w:id="89" w:name="_Toc39550003"/>
      <w:bookmarkStart w:id="90" w:name="_Toc41888847"/>
      <w:bookmarkStart w:id="91" w:name="_Toc59425167"/>
      <w:bookmarkEnd w:id="86"/>
      <w:bookmarkEnd w:id="87"/>
      <w:r>
        <w:tab/>
        <w:t>[Heading deleted by No. 33 of 2004 s. 12.]</w:t>
      </w:r>
    </w:p>
    <w:p>
      <w:pPr>
        <w:pStyle w:val="Heading5"/>
        <w:rPr>
          <w:snapToGrid w:val="0"/>
        </w:rPr>
      </w:pPr>
      <w:bookmarkStart w:id="92" w:name="_Toc334449590"/>
      <w:bookmarkStart w:id="93" w:name="_Toc307410751"/>
      <w:r>
        <w:rPr>
          <w:rStyle w:val="CharSectno"/>
        </w:rPr>
        <w:t>18</w:t>
      </w:r>
      <w:r>
        <w:rPr>
          <w:snapToGrid w:val="0"/>
        </w:rPr>
        <w:t>.</w:t>
      </w:r>
      <w:r>
        <w:rPr>
          <w:snapToGrid w:val="0"/>
        </w:rPr>
        <w:tab/>
        <w:t>General powers</w:t>
      </w:r>
      <w:bookmarkEnd w:id="88"/>
      <w:bookmarkEnd w:id="89"/>
      <w:bookmarkEnd w:id="90"/>
      <w:bookmarkEnd w:id="91"/>
      <w:bookmarkEnd w:id="92"/>
      <w:bookmarkEnd w:id="93"/>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by No. 94 of 1972 s. 4 (as amended by No. 19 of 1973); No. 86 of 1979 s. 7; No. 89 of 1994 s. 80; No. 63 of 1996 s. 18; No. 19 of 2010 s. 57 .]</w:t>
      </w:r>
    </w:p>
    <w:p>
      <w:pPr>
        <w:pStyle w:val="Heading5"/>
        <w:rPr>
          <w:snapToGrid w:val="0"/>
        </w:rPr>
      </w:pPr>
      <w:bookmarkStart w:id="94" w:name="_Toc3284715"/>
      <w:bookmarkStart w:id="95" w:name="_Toc39550004"/>
      <w:bookmarkStart w:id="96" w:name="_Toc41888848"/>
      <w:bookmarkStart w:id="97" w:name="_Toc59425168"/>
      <w:bookmarkStart w:id="98" w:name="_Toc334449591"/>
      <w:bookmarkStart w:id="99" w:name="_Toc307410752"/>
      <w:r>
        <w:rPr>
          <w:rStyle w:val="CharSectno"/>
        </w:rPr>
        <w:t>19</w:t>
      </w:r>
      <w:r>
        <w:rPr>
          <w:snapToGrid w:val="0"/>
        </w:rPr>
        <w:t>.</w:t>
      </w:r>
      <w:r>
        <w:rPr>
          <w:snapToGrid w:val="0"/>
        </w:rPr>
        <w:tab/>
        <w:t>Supply authority to reinstate works of a public authority</w:t>
      </w:r>
      <w:bookmarkEnd w:id="94"/>
      <w:bookmarkEnd w:id="95"/>
      <w:bookmarkEnd w:id="96"/>
      <w:bookmarkEnd w:id="97"/>
      <w:bookmarkEnd w:id="98"/>
      <w:bookmarkEnd w:id="99"/>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pPr>
      <w:r>
        <w:tab/>
        <w:t>[Section 19 amended by No. 113 of 1965 s. 8; No. 89 of 1994 s. 80; No. 63 of 1996 s. 7.]</w:t>
      </w:r>
    </w:p>
    <w:p>
      <w:pPr>
        <w:pStyle w:val="Heading5"/>
        <w:spacing w:before="180"/>
        <w:rPr>
          <w:snapToGrid w:val="0"/>
        </w:rPr>
      </w:pPr>
      <w:bookmarkStart w:id="100" w:name="_Toc3284716"/>
      <w:bookmarkStart w:id="101" w:name="_Toc39550005"/>
      <w:bookmarkStart w:id="102" w:name="_Toc41888849"/>
      <w:bookmarkStart w:id="103" w:name="_Toc59425169"/>
      <w:bookmarkStart w:id="104" w:name="_Toc334449592"/>
      <w:bookmarkStart w:id="105" w:name="_Toc307410753"/>
      <w:r>
        <w:rPr>
          <w:rStyle w:val="CharSectno"/>
        </w:rPr>
        <w:t>20</w:t>
      </w:r>
      <w:r>
        <w:rPr>
          <w:snapToGrid w:val="0"/>
        </w:rPr>
        <w:t>.</w:t>
      </w:r>
      <w:r>
        <w:rPr>
          <w:snapToGrid w:val="0"/>
        </w:rPr>
        <w:tab/>
        <w:t xml:space="preserve">Interference with works of public authorities and </w:t>
      </w:r>
      <w:r>
        <w:rPr>
          <w:iCs/>
          <w:snapToGrid w:val="0"/>
        </w:rPr>
        <w:t>vice versa</w:t>
      </w:r>
      <w:bookmarkEnd w:id="100"/>
      <w:bookmarkEnd w:id="101"/>
      <w:bookmarkEnd w:id="102"/>
      <w:bookmarkEnd w:id="103"/>
      <w:bookmarkEnd w:id="104"/>
      <w:bookmarkEnd w:id="105"/>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pPr>
      <w:r>
        <w:tab/>
        <w:t>[Section 20 amended by No. 89 of 1994 s. 80; No. 14 of 1996 s. 4; No. 19 of 2010 s. 57(4).]</w:t>
      </w:r>
    </w:p>
    <w:p>
      <w:pPr>
        <w:pStyle w:val="Heading5"/>
        <w:rPr>
          <w:snapToGrid w:val="0"/>
        </w:rPr>
      </w:pPr>
      <w:bookmarkStart w:id="106" w:name="_Toc3284717"/>
      <w:bookmarkStart w:id="107" w:name="_Toc39550006"/>
      <w:bookmarkStart w:id="108" w:name="_Toc41888850"/>
      <w:bookmarkStart w:id="109" w:name="_Toc59425170"/>
      <w:bookmarkStart w:id="110" w:name="_Toc334449593"/>
      <w:bookmarkStart w:id="111" w:name="_Toc307410754"/>
      <w:r>
        <w:rPr>
          <w:rStyle w:val="CharSectno"/>
        </w:rPr>
        <w:t>21</w:t>
      </w:r>
      <w:r>
        <w:rPr>
          <w:snapToGrid w:val="0"/>
        </w:rPr>
        <w:t>.</w:t>
      </w:r>
      <w:r>
        <w:rPr>
          <w:snapToGrid w:val="0"/>
        </w:rPr>
        <w:tab/>
        <w:t>Supply authority may let meters and apparatus</w:t>
      </w:r>
      <w:bookmarkEnd w:id="106"/>
      <w:bookmarkEnd w:id="107"/>
      <w:bookmarkEnd w:id="108"/>
      <w:bookmarkEnd w:id="109"/>
      <w:bookmarkEnd w:id="110"/>
      <w:bookmarkEnd w:id="111"/>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112" w:name="_Toc3284718"/>
      <w:bookmarkStart w:id="113" w:name="_Toc39550007"/>
      <w:bookmarkStart w:id="114" w:name="_Toc41888851"/>
      <w:bookmarkStart w:id="115" w:name="_Toc59425171"/>
      <w:bookmarkStart w:id="116" w:name="_Toc334449594"/>
      <w:bookmarkStart w:id="117" w:name="_Toc307410755"/>
      <w:r>
        <w:rPr>
          <w:rStyle w:val="CharSectno"/>
        </w:rPr>
        <w:t>22</w:t>
      </w:r>
      <w:r>
        <w:rPr>
          <w:snapToGrid w:val="0"/>
        </w:rPr>
        <w:t>.</w:t>
      </w:r>
      <w:r>
        <w:rPr>
          <w:snapToGrid w:val="0"/>
        </w:rPr>
        <w:tab/>
        <w:t>Power to contract to supply electricity</w:t>
      </w:r>
      <w:bookmarkEnd w:id="112"/>
      <w:bookmarkEnd w:id="113"/>
      <w:bookmarkEnd w:id="114"/>
      <w:bookmarkEnd w:id="115"/>
      <w:bookmarkEnd w:id="116"/>
      <w:bookmarkEnd w:id="117"/>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118" w:name="_Toc3284719"/>
      <w:bookmarkStart w:id="119" w:name="_Toc39550008"/>
      <w:bookmarkStart w:id="120" w:name="_Toc41888852"/>
      <w:bookmarkStart w:id="121" w:name="_Toc59425172"/>
      <w:bookmarkStart w:id="122" w:name="_Toc334449595"/>
      <w:bookmarkStart w:id="123" w:name="_Toc307410756"/>
      <w:r>
        <w:rPr>
          <w:rStyle w:val="CharSectno"/>
        </w:rPr>
        <w:t>23</w:t>
      </w:r>
      <w:r>
        <w:rPr>
          <w:snapToGrid w:val="0"/>
        </w:rPr>
        <w:t>.</w:t>
      </w:r>
      <w:r>
        <w:rPr>
          <w:snapToGrid w:val="0"/>
        </w:rPr>
        <w:tab/>
        <w:t>Power to cut off supply in case of illegal or fraudulent interference with works</w:t>
      </w:r>
      <w:bookmarkEnd w:id="118"/>
      <w:bookmarkEnd w:id="119"/>
      <w:bookmarkEnd w:id="120"/>
      <w:bookmarkEnd w:id="121"/>
      <w:bookmarkEnd w:id="122"/>
      <w:bookmarkEnd w:id="123"/>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124" w:name="_Toc3284720"/>
      <w:bookmarkStart w:id="125" w:name="_Toc39550009"/>
      <w:bookmarkStart w:id="126" w:name="_Toc41888853"/>
      <w:bookmarkStart w:id="127" w:name="_Toc59425173"/>
      <w:bookmarkStart w:id="128" w:name="_Toc334449596"/>
      <w:bookmarkStart w:id="129" w:name="_Toc307410757"/>
      <w:r>
        <w:rPr>
          <w:rStyle w:val="CharSectno"/>
        </w:rPr>
        <w:t>24</w:t>
      </w:r>
      <w:r>
        <w:rPr>
          <w:snapToGrid w:val="0"/>
        </w:rPr>
        <w:t>.</w:t>
      </w:r>
      <w:r>
        <w:rPr>
          <w:snapToGrid w:val="0"/>
        </w:rPr>
        <w:tab/>
        <w:t>Power of officer of supply authority to enter premises</w:t>
      </w:r>
      <w:bookmarkEnd w:id="124"/>
      <w:bookmarkEnd w:id="125"/>
      <w:bookmarkEnd w:id="126"/>
      <w:bookmarkEnd w:id="127"/>
      <w:bookmarkEnd w:id="128"/>
      <w:bookmarkEnd w:id="129"/>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bookmarkStart w:id="130" w:name="_Toc3284721"/>
      <w:bookmarkStart w:id="131" w:name="_Toc39550010"/>
      <w:bookmarkStart w:id="132" w:name="_Toc41888854"/>
      <w:bookmarkStart w:id="133" w:name="_Toc59425174"/>
      <w:r>
        <w:tab/>
        <w:t>[Section 24 amended by No. 19 of 2010 s. 57(4).]</w:t>
      </w:r>
    </w:p>
    <w:p>
      <w:pPr>
        <w:pStyle w:val="Ednotesection"/>
      </w:pPr>
      <w:r>
        <w:tab/>
        <w:t>[Heading deleted by No. 33 of 2004 s. 13.]</w:t>
      </w:r>
    </w:p>
    <w:p>
      <w:pPr>
        <w:pStyle w:val="Heading5"/>
        <w:rPr>
          <w:snapToGrid w:val="0"/>
        </w:rPr>
      </w:pPr>
      <w:bookmarkStart w:id="134" w:name="_Toc334449597"/>
      <w:bookmarkStart w:id="135" w:name="_Toc307410758"/>
      <w:r>
        <w:rPr>
          <w:rStyle w:val="CharSectno"/>
        </w:rPr>
        <w:t>25</w:t>
      </w:r>
      <w:r>
        <w:rPr>
          <w:snapToGrid w:val="0"/>
        </w:rPr>
        <w:t>.</w:t>
      </w:r>
      <w:r>
        <w:rPr>
          <w:snapToGrid w:val="0"/>
        </w:rPr>
        <w:tab/>
        <w:t xml:space="preserve">Duties as to supply </w:t>
      </w:r>
      <w:bookmarkEnd w:id="130"/>
      <w:bookmarkEnd w:id="131"/>
      <w:bookmarkEnd w:id="132"/>
      <w:bookmarkEnd w:id="133"/>
      <w:r>
        <w:rPr>
          <w:snapToGrid w:val="0"/>
        </w:rPr>
        <w:t>of electricity</w:t>
      </w:r>
      <w:bookmarkEnd w:id="134"/>
      <w:bookmarkEnd w:id="135"/>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by No. 113 of 1965 s. 8; No. 89 of 1994 s. 80; No. 63 of 1996 s. 19; No. 33 of 2004 s. 14.]</w:t>
      </w:r>
    </w:p>
    <w:p>
      <w:pPr>
        <w:pStyle w:val="Ednotepart"/>
        <w:tabs>
          <w:tab w:val="left" w:pos="1440"/>
        </w:tabs>
      </w:pPr>
      <w:r>
        <w:t>[Part III:</w:t>
      </w:r>
      <w:r>
        <w:tab/>
        <w:t>s. 26-29 deleted by No. 89 of 1994 s. 72;</w:t>
      </w:r>
      <w:r>
        <w:br/>
      </w:r>
      <w:r>
        <w:tab/>
        <w:t>s. 30 deleted by No. 5 of 2007 s. 4;</w:t>
      </w:r>
      <w:r>
        <w:br/>
      </w:r>
      <w:r>
        <w:tab/>
        <w:t>s. 31 deleted by No. 89 of 1994 s. 74.]</w:t>
      </w:r>
    </w:p>
    <w:p>
      <w:pPr>
        <w:pStyle w:val="Heading2"/>
      </w:pPr>
      <w:bookmarkStart w:id="136" w:name="_Toc89516129"/>
      <w:bookmarkStart w:id="137" w:name="_Toc89516195"/>
      <w:bookmarkStart w:id="138" w:name="_Toc91486290"/>
      <w:bookmarkStart w:id="139" w:name="_Toc102289661"/>
      <w:bookmarkStart w:id="140" w:name="_Toc117487362"/>
      <w:bookmarkStart w:id="141" w:name="_Toc118707634"/>
      <w:bookmarkStart w:id="142" w:name="_Toc119378470"/>
      <w:bookmarkStart w:id="143" w:name="_Toc119381490"/>
      <w:bookmarkStart w:id="144" w:name="_Toc121723089"/>
      <w:bookmarkStart w:id="145" w:name="_Toc121723332"/>
      <w:bookmarkStart w:id="146" w:name="_Toc122829494"/>
      <w:bookmarkStart w:id="147" w:name="_Toc124061461"/>
      <w:bookmarkStart w:id="148" w:name="_Toc131569379"/>
      <w:bookmarkStart w:id="149" w:name="_Toc131588930"/>
      <w:bookmarkStart w:id="150" w:name="_Toc139272044"/>
      <w:bookmarkStart w:id="151" w:name="_Toc139676680"/>
      <w:bookmarkStart w:id="152" w:name="_Toc157850615"/>
      <w:bookmarkStart w:id="153" w:name="_Toc184113925"/>
      <w:bookmarkStart w:id="154" w:name="_Toc184181131"/>
      <w:bookmarkStart w:id="155" w:name="_Toc190676924"/>
      <w:bookmarkStart w:id="156" w:name="_Toc190741702"/>
      <w:bookmarkStart w:id="157" w:name="_Toc192391884"/>
      <w:bookmarkStart w:id="158" w:name="_Toc197227957"/>
      <w:bookmarkStart w:id="159" w:name="_Toc197845667"/>
      <w:bookmarkStart w:id="160" w:name="_Toc197845890"/>
      <w:bookmarkStart w:id="161" w:name="_Toc198609062"/>
      <w:bookmarkStart w:id="162" w:name="_Toc231020685"/>
      <w:bookmarkStart w:id="163" w:name="_Toc268274610"/>
      <w:bookmarkStart w:id="164" w:name="_Toc268274855"/>
      <w:bookmarkStart w:id="165" w:name="_Toc272135663"/>
      <w:bookmarkStart w:id="166" w:name="_Toc307410759"/>
      <w:bookmarkStart w:id="167" w:name="_Toc334449598"/>
      <w:r>
        <w:rPr>
          <w:rStyle w:val="CharPartNo"/>
        </w:rPr>
        <w:t>Part IV</w:t>
      </w:r>
      <w:r>
        <w:rPr>
          <w:rStyle w:val="CharDivNo"/>
        </w:rPr>
        <w:t> </w:t>
      </w:r>
      <w:r>
        <w:t>—</w:t>
      </w:r>
      <w:r>
        <w:rPr>
          <w:rStyle w:val="CharDivText"/>
        </w:rPr>
        <w:t> </w:t>
      </w:r>
      <w:r>
        <w:rPr>
          <w:rStyle w:val="CharPartText"/>
        </w:rPr>
        <w:t>Regulations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ind w:left="890"/>
        <w:rPr>
          <w:snapToGrid w:val="0"/>
        </w:rPr>
      </w:pPr>
      <w:r>
        <w:rPr>
          <w:snapToGrid w:val="0"/>
        </w:rPr>
        <w:tab/>
        <w:t>[Heading amended by No. 14 of 1996 s. 4.]</w:t>
      </w:r>
    </w:p>
    <w:p>
      <w:pPr>
        <w:pStyle w:val="Heading5"/>
        <w:rPr>
          <w:snapToGrid w:val="0"/>
        </w:rPr>
      </w:pPr>
      <w:bookmarkStart w:id="168" w:name="_Toc3284723"/>
      <w:bookmarkStart w:id="169" w:name="_Toc39550012"/>
      <w:bookmarkStart w:id="170" w:name="_Toc41888856"/>
      <w:bookmarkStart w:id="171" w:name="_Toc59425176"/>
      <w:bookmarkStart w:id="172" w:name="_Toc334449599"/>
      <w:bookmarkStart w:id="173" w:name="_Toc307410760"/>
      <w:r>
        <w:rPr>
          <w:rStyle w:val="CharSectno"/>
        </w:rPr>
        <w:t>32</w:t>
      </w:r>
      <w:r>
        <w:rPr>
          <w:snapToGrid w:val="0"/>
        </w:rPr>
        <w:t>.</w:t>
      </w:r>
      <w:r>
        <w:rPr>
          <w:snapToGrid w:val="0"/>
        </w:rPr>
        <w:tab/>
        <w:t>Regulations</w:t>
      </w:r>
      <w:bookmarkEnd w:id="168"/>
      <w:bookmarkEnd w:id="169"/>
      <w:bookmarkEnd w:id="170"/>
      <w:bookmarkEnd w:id="171"/>
      <w:bookmarkEnd w:id="172"/>
      <w:bookmarkEnd w:id="17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pPr>
        <w:pStyle w:val="Indenta"/>
        <w:rPr>
          <w:snapToGrid w:val="0"/>
        </w:rPr>
      </w:pPr>
      <w:r>
        <w:rPr>
          <w:snapToGrid w:val="0"/>
        </w:rPr>
        <w:tab/>
        <w:t>(b)</w:t>
      </w:r>
      <w:r>
        <w:rPr>
          <w:snapToGrid w:val="0"/>
        </w:rPr>
        <w:tab/>
        <w:t>securing a regular and sufficient supply of electricity by supply authorities;</w:t>
      </w:r>
    </w:p>
    <w:p>
      <w:pPr>
        <w:pStyle w:val="Indenta"/>
        <w:rPr>
          <w:snapToGrid w:val="0"/>
        </w:rPr>
      </w:pPr>
      <w:r>
        <w:rPr>
          <w:snapToGrid w:val="0"/>
        </w:rPr>
        <w:tab/>
        <w:t>(c)</w:t>
      </w:r>
      <w:r>
        <w:rPr>
          <w:snapToGrid w:val="0"/>
        </w:rPr>
        <w:tab/>
        <w:t>securing the safety of the public from personal injury and the property of the public from damage by fire or otherwise;</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pPr>
        <w:pStyle w:val="Indenta"/>
        <w:rPr>
          <w:snapToGrid w:val="0"/>
        </w:rPr>
      </w:pPr>
      <w:r>
        <w:rPr>
          <w:snapToGrid w:val="0"/>
        </w:rPr>
        <w:tab/>
        <w:t>(e)</w:t>
      </w:r>
      <w:r>
        <w:rPr>
          <w:snapToGrid w:val="0"/>
        </w:rPr>
        <w:tab/>
        <w:t>authorising inspection and inquiry;</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pPr>
        <w:pStyle w:val="Ednotepara"/>
        <w:spacing w:before="80"/>
        <w:ind w:left="1610" w:hanging="1610"/>
        <w:rPr>
          <w:snapToGrid w:val="0"/>
        </w:rPr>
      </w:pPr>
      <w:r>
        <w:rPr>
          <w:snapToGrid w:val="0"/>
        </w:rPr>
        <w:tab/>
        <w:t>[(i)</w:t>
      </w:r>
      <w:r>
        <w:rPr>
          <w:snapToGrid w:val="0"/>
        </w:rPr>
        <w:tab/>
        <w:t>repealed]</w:t>
      </w:r>
    </w:p>
    <w:p>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rPr>
          <w:snapToGrid w:val="0"/>
        </w:rPr>
      </w:pPr>
      <w:r>
        <w:rPr>
          <w:snapToGrid w:val="0"/>
        </w:rPr>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suspending or cancelling a licence, permit or authorisation, that may be taken by the State Administrative Tribunal in dealing with an allegation;</w:t>
      </w:r>
    </w:p>
    <w:p>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pPr>
        <w:pStyle w:val="Indenta"/>
        <w:rPr>
          <w:snapToGrid w:val="0"/>
        </w:rPr>
      </w:pPr>
      <w:r>
        <w:rPr>
          <w:snapToGrid w:val="0"/>
        </w:rPr>
        <w:tab/>
        <w:t>(g)</w:t>
      </w:r>
      <w:r>
        <w:rPr>
          <w:snapToGrid w:val="0"/>
        </w:rPr>
        <w:tab/>
        <w:t>create offences, and provide for the payment, enforcement and recovery of penalties, fees and charges;</w:t>
      </w:r>
    </w:p>
    <w:p>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pPr>
        <w:pStyle w:val="Heading5"/>
        <w:rPr>
          <w:snapToGrid w:val="0"/>
        </w:rPr>
      </w:pPr>
      <w:bookmarkStart w:id="174" w:name="_Toc334449600"/>
      <w:bookmarkStart w:id="175" w:name="_Toc307410761"/>
      <w:bookmarkStart w:id="176" w:name="_Toc3284724"/>
      <w:bookmarkStart w:id="177" w:name="_Toc39550013"/>
      <w:bookmarkStart w:id="178" w:name="_Toc41888857"/>
      <w:bookmarkStart w:id="179" w:name="_Toc59425177"/>
      <w:r>
        <w:rPr>
          <w:rStyle w:val="CharSectno"/>
        </w:rPr>
        <w:t>33</w:t>
      </w:r>
      <w:r>
        <w:rPr>
          <w:snapToGrid w:val="0"/>
        </w:rPr>
        <w:t>.</w:t>
      </w:r>
      <w:r>
        <w:rPr>
          <w:snapToGrid w:val="0"/>
        </w:rPr>
        <w:tab/>
        <w:t>Annual reporting</w:t>
      </w:r>
      <w:bookmarkEnd w:id="174"/>
      <w:bookmarkEnd w:id="175"/>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 xml:space="preserve">the </w:t>
      </w:r>
      <w:r>
        <w:rPr>
          <w:snapToGrid w:val="0"/>
        </w:rPr>
        <w:t>number</w:t>
      </w:r>
      <w:r>
        <w:t>,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r>
      <w:r>
        <w:rPr>
          <w:snapToGrid w:val="0"/>
        </w:rPr>
        <w:t>the</w:t>
      </w:r>
      <w:r>
        <w:t xml:space="preserve"> number and nature of matters referred to in paragraph (a) that are outstanding;</w:t>
      </w:r>
    </w:p>
    <w:p>
      <w:pPr>
        <w:pStyle w:val="Indenta"/>
      </w:pPr>
      <w:r>
        <w:tab/>
        <w:t>(c)</w:t>
      </w:r>
      <w:r>
        <w:tab/>
        <w:t xml:space="preserve">any trends or special problems that may have </w:t>
      </w:r>
      <w:r>
        <w:rPr>
          <w:snapToGrid w:val="0"/>
        </w:rPr>
        <w:t>emerged</w:t>
      </w:r>
      <w:r>
        <w:t>;</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by No. 55 of 2004 s. 274; amended by No. 77 of 2006 s. 17.]</w:t>
      </w:r>
    </w:p>
    <w:p>
      <w:pPr>
        <w:pStyle w:val="Heading5"/>
        <w:rPr>
          <w:snapToGrid w:val="0"/>
        </w:rPr>
      </w:pPr>
      <w:bookmarkStart w:id="180" w:name="_Toc334449601"/>
      <w:bookmarkStart w:id="181" w:name="_Toc307410762"/>
      <w:r>
        <w:rPr>
          <w:rStyle w:val="CharSectno"/>
        </w:rPr>
        <w:t>33AA</w:t>
      </w:r>
      <w:r>
        <w:rPr>
          <w:snapToGrid w:val="0"/>
        </w:rPr>
        <w:t>.</w:t>
      </w:r>
      <w:r>
        <w:rPr>
          <w:snapToGrid w:val="0"/>
        </w:rPr>
        <w:tab/>
        <w:t>Guidelines</w:t>
      </w:r>
      <w:bookmarkEnd w:id="176"/>
      <w:bookmarkEnd w:id="177"/>
      <w:bookmarkEnd w:id="178"/>
      <w:bookmarkEnd w:id="179"/>
      <w:bookmarkEnd w:id="180"/>
      <w:bookmarkEnd w:id="181"/>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pPr>
        <w:pStyle w:val="Footnotesection"/>
      </w:pPr>
      <w:r>
        <w:tab/>
        <w:t>[Section 33AA inserted by No. 42 of 1988 s. 6; amended by No. 89 of 1994 s. 80; No. 74 of 2003 s. 48(2).]</w:t>
      </w:r>
    </w:p>
    <w:p>
      <w:pPr>
        <w:pStyle w:val="Heading2"/>
      </w:pPr>
      <w:bookmarkStart w:id="182" w:name="_Toc89516132"/>
      <w:bookmarkStart w:id="183" w:name="_Toc89516198"/>
      <w:bookmarkStart w:id="184" w:name="_Toc91486293"/>
      <w:bookmarkStart w:id="185" w:name="_Toc102289665"/>
      <w:bookmarkStart w:id="186" w:name="_Toc117487366"/>
      <w:bookmarkStart w:id="187" w:name="_Toc118707638"/>
      <w:bookmarkStart w:id="188" w:name="_Toc119378474"/>
      <w:bookmarkStart w:id="189" w:name="_Toc119381494"/>
      <w:bookmarkStart w:id="190" w:name="_Toc121723093"/>
      <w:bookmarkStart w:id="191" w:name="_Toc121723336"/>
      <w:bookmarkStart w:id="192" w:name="_Toc122829498"/>
      <w:bookmarkStart w:id="193" w:name="_Toc124061465"/>
      <w:bookmarkStart w:id="194" w:name="_Toc131569383"/>
      <w:bookmarkStart w:id="195" w:name="_Toc131588934"/>
      <w:bookmarkStart w:id="196" w:name="_Toc139272048"/>
      <w:bookmarkStart w:id="197" w:name="_Toc139676684"/>
      <w:bookmarkStart w:id="198" w:name="_Toc157850619"/>
      <w:bookmarkStart w:id="199" w:name="_Toc184113929"/>
      <w:bookmarkStart w:id="200" w:name="_Toc184181135"/>
      <w:bookmarkStart w:id="201" w:name="_Toc190676928"/>
      <w:bookmarkStart w:id="202" w:name="_Toc190741706"/>
      <w:bookmarkStart w:id="203" w:name="_Toc192391888"/>
      <w:bookmarkStart w:id="204" w:name="_Toc197227961"/>
      <w:bookmarkStart w:id="205" w:name="_Toc197845671"/>
      <w:bookmarkStart w:id="206" w:name="_Toc197845894"/>
      <w:bookmarkStart w:id="207" w:name="_Toc198609066"/>
      <w:bookmarkStart w:id="208" w:name="_Toc231020689"/>
      <w:bookmarkStart w:id="209" w:name="_Toc268274614"/>
      <w:bookmarkStart w:id="210" w:name="_Toc268274859"/>
      <w:bookmarkStart w:id="211" w:name="_Toc272135667"/>
      <w:bookmarkStart w:id="212" w:name="_Toc307410763"/>
      <w:bookmarkStart w:id="213" w:name="_Toc334449602"/>
      <w:r>
        <w:rPr>
          <w:rStyle w:val="CharPartNo"/>
        </w:rPr>
        <w:t>Part IVA</w:t>
      </w:r>
      <w:r>
        <w:rPr>
          <w:rStyle w:val="CharDivNo"/>
        </w:rPr>
        <w:t> </w:t>
      </w:r>
      <w:r>
        <w:t>—</w:t>
      </w:r>
      <w:r>
        <w:rPr>
          <w:rStyle w:val="CharDivText"/>
        </w:rPr>
        <w:t> </w:t>
      </w:r>
      <w:r>
        <w:rPr>
          <w:rStyle w:val="CharPartText"/>
        </w:rPr>
        <w:t>Approval of electrical appliances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ind w:left="890"/>
        <w:rPr>
          <w:snapToGrid w:val="0"/>
        </w:rPr>
      </w:pPr>
      <w:r>
        <w:rPr>
          <w:snapToGrid w:val="0"/>
        </w:rPr>
        <w:tab/>
        <w:t>[Heading inserted by No. 72 of 1953 s. 4.]</w:t>
      </w:r>
    </w:p>
    <w:p>
      <w:pPr>
        <w:pStyle w:val="Heading5"/>
        <w:rPr>
          <w:snapToGrid w:val="0"/>
        </w:rPr>
      </w:pPr>
      <w:bookmarkStart w:id="214" w:name="_Toc3284725"/>
      <w:bookmarkStart w:id="215" w:name="_Toc39550014"/>
      <w:bookmarkStart w:id="216" w:name="_Toc41888858"/>
      <w:bookmarkStart w:id="217" w:name="_Toc59425178"/>
      <w:bookmarkStart w:id="218" w:name="_Toc334449603"/>
      <w:bookmarkStart w:id="219" w:name="_Toc307410764"/>
      <w:r>
        <w:rPr>
          <w:rStyle w:val="CharSectno"/>
        </w:rPr>
        <w:t>33A</w:t>
      </w:r>
      <w:r>
        <w:rPr>
          <w:snapToGrid w:val="0"/>
        </w:rPr>
        <w:t>.</w:t>
      </w:r>
      <w:r>
        <w:rPr>
          <w:snapToGrid w:val="0"/>
        </w:rPr>
        <w:tab/>
      </w:r>
      <w:bookmarkEnd w:id="214"/>
      <w:bookmarkEnd w:id="215"/>
      <w:bookmarkEnd w:id="216"/>
      <w:bookmarkEnd w:id="217"/>
      <w:r>
        <w:rPr>
          <w:snapToGrid w:val="0"/>
        </w:rPr>
        <w:t>Terms used in this Part</w:t>
      </w:r>
      <w:bookmarkEnd w:id="218"/>
      <w:bookmarkEnd w:id="219"/>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by No. 72 of 1953 s. 4.]</w:t>
      </w:r>
    </w:p>
    <w:p>
      <w:pPr>
        <w:pStyle w:val="Heading5"/>
        <w:rPr>
          <w:snapToGrid w:val="0"/>
        </w:rPr>
      </w:pPr>
      <w:bookmarkStart w:id="220" w:name="_Toc3284726"/>
      <w:bookmarkStart w:id="221" w:name="_Toc39550015"/>
      <w:bookmarkStart w:id="222" w:name="_Toc41888859"/>
      <w:bookmarkStart w:id="223" w:name="_Toc59425179"/>
      <w:bookmarkStart w:id="224" w:name="_Toc334449604"/>
      <w:bookmarkStart w:id="225" w:name="_Toc307410765"/>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20"/>
      <w:bookmarkEnd w:id="221"/>
      <w:bookmarkEnd w:id="222"/>
      <w:bookmarkEnd w:id="223"/>
      <w:bookmarkEnd w:id="224"/>
      <w:bookmarkEnd w:id="225"/>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advertises</w:t>
      </w:r>
      <w:r>
        <w:rPr>
          <w:snapToGrid w:val="0"/>
        </w:rPr>
        <w:t xml:space="preserve"> for sale or hire an electrical appliance of the class or type prescribed commits an offence unless the electrical appliance is approved by the 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by No. 72 of 1953 s. 4; amended by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226" w:name="_Toc3284727"/>
      <w:bookmarkStart w:id="227" w:name="_Toc39550016"/>
      <w:bookmarkStart w:id="228" w:name="_Toc41888860"/>
      <w:bookmarkStart w:id="229" w:name="_Toc59425180"/>
      <w:bookmarkStart w:id="230" w:name="_Toc334449605"/>
      <w:bookmarkStart w:id="231" w:name="_Toc307410766"/>
      <w:r>
        <w:rPr>
          <w:rStyle w:val="CharSectno"/>
        </w:rPr>
        <w:t>33C</w:t>
      </w:r>
      <w:r>
        <w:rPr>
          <w:snapToGrid w:val="0"/>
        </w:rPr>
        <w:t>.</w:t>
      </w:r>
      <w:r>
        <w:rPr>
          <w:snapToGrid w:val="0"/>
        </w:rPr>
        <w:tab/>
        <w:t>Power to Director to prohibit the sale etc. or use of unsafe or dangerous electrical apparatus etc.</w:t>
      </w:r>
      <w:bookmarkEnd w:id="226"/>
      <w:bookmarkEnd w:id="227"/>
      <w:bookmarkEnd w:id="228"/>
      <w:bookmarkEnd w:id="229"/>
      <w:bookmarkEnd w:id="230"/>
      <w:bookmarkEnd w:id="231"/>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rPr>
          <w:snapToGrid w:val="0"/>
        </w:rPr>
      </w:pPr>
      <w:r>
        <w:rPr>
          <w:snapToGrid w:val="0"/>
        </w:rPr>
        <w:tab/>
        <w:t>(2)</w:t>
      </w:r>
      <w:r>
        <w:rPr>
          <w:snapToGrid w:val="0"/>
        </w:rPr>
        <w:tab/>
        <w:t>The notice shall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by No. 72 of 1953 s. 4; amended by No. 89 of 1994 s. 80.]</w:t>
      </w:r>
    </w:p>
    <w:p>
      <w:pPr>
        <w:pStyle w:val="Heading5"/>
        <w:rPr>
          <w:snapToGrid w:val="0"/>
        </w:rPr>
      </w:pPr>
      <w:bookmarkStart w:id="232" w:name="_Toc3284728"/>
      <w:bookmarkStart w:id="233" w:name="_Toc39550017"/>
      <w:bookmarkStart w:id="234" w:name="_Toc41888861"/>
      <w:bookmarkStart w:id="235" w:name="_Toc59425181"/>
      <w:bookmarkStart w:id="236" w:name="_Toc334449606"/>
      <w:bookmarkStart w:id="237" w:name="_Toc307410767"/>
      <w:r>
        <w:rPr>
          <w:rStyle w:val="CharSectno"/>
        </w:rPr>
        <w:t>33D</w:t>
      </w:r>
      <w:r>
        <w:rPr>
          <w:snapToGrid w:val="0"/>
        </w:rPr>
        <w:t>.</w:t>
      </w:r>
      <w:r>
        <w:rPr>
          <w:snapToGrid w:val="0"/>
        </w:rPr>
        <w:tab/>
        <w:t>Penalties</w:t>
      </w:r>
      <w:bookmarkEnd w:id="232"/>
      <w:bookmarkEnd w:id="233"/>
      <w:bookmarkEnd w:id="234"/>
      <w:bookmarkEnd w:id="235"/>
      <w:bookmarkEnd w:id="236"/>
      <w:bookmarkEnd w:id="237"/>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by No. 72 of 1953 s. 4; amended by No. 113 of 1965 s. 8; No. 63 of 1996 s. 5; No. 5 of 2007 s. 7.]</w:t>
      </w:r>
    </w:p>
    <w:p>
      <w:pPr>
        <w:pStyle w:val="Heading2"/>
      </w:pPr>
      <w:bookmarkStart w:id="238" w:name="_Toc89516137"/>
      <w:bookmarkStart w:id="239" w:name="_Toc89516203"/>
      <w:bookmarkStart w:id="240" w:name="_Toc91486298"/>
      <w:bookmarkStart w:id="241" w:name="_Toc102289670"/>
      <w:bookmarkStart w:id="242" w:name="_Toc117487371"/>
      <w:bookmarkStart w:id="243" w:name="_Toc118707643"/>
      <w:bookmarkStart w:id="244" w:name="_Toc119378479"/>
      <w:bookmarkStart w:id="245" w:name="_Toc119381499"/>
      <w:bookmarkStart w:id="246" w:name="_Toc121723098"/>
      <w:bookmarkStart w:id="247" w:name="_Toc121723341"/>
      <w:bookmarkStart w:id="248" w:name="_Toc122829503"/>
      <w:bookmarkStart w:id="249" w:name="_Toc124061470"/>
      <w:bookmarkStart w:id="250" w:name="_Toc131569388"/>
      <w:bookmarkStart w:id="251" w:name="_Toc131588939"/>
      <w:bookmarkStart w:id="252" w:name="_Toc139272053"/>
      <w:bookmarkStart w:id="253" w:name="_Toc139676689"/>
      <w:bookmarkStart w:id="254" w:name="_Toc157850624"/>
      <w:bookmarkStart w:id="255" w:name="_Toc184113934"/>
      <w:bookmarkStart w:id="256" w:name="_Toc184181140"/>
      <w:bookmarkStart w:id="257" w:name="_Toc190676933"/>
      <w:bookmarkStart w:id="258" w:name="_Toc190741711"/>
      <w:bookmarkStart w:id="259" w:name="_Toc192391893"/>
      <w:bookmarkStart w:id="260" w:name="_Toc197227966"/>
      <w:bookmarkStart w:id="261" w:name="_Toc197845676"/>
      <w:bookmarkStart w:id="262" w:name="_Toc197845899"/>
      <w:bookmarkStart w:id="263" w:name="_Toc198609071"/>
      <w:bookmarkStart w:id="264" w:name="_Toc231020694"/>
      <w:bookmarkStart w:id="265" w:name="_Toc268274619"/>
      <w:bookmarkStart w:id="266" w:name="_Toc268274864"/>
      <w:bookmarkStart w:id="267" w:name="_Toc272135672"/>
      <w:bookmarkStart w:id="268" w:name="_Toc307410768"/>
      <w:bookmarkStart w:id="269" w:name="_Toc334449607"/>
      <w:r>
        <w:rPr>
          <w:rStyle w:val="CharPartNo"/>
        </w:rPr>
        <w:t>Part IVB</w:t>
      </w:r>
      <w:r>
        <w:rPr>
          <w:rStyle w:val="CharDivNo"/>
        </w:rPr>
        <w:t> </w:t>
      </w:r>
      <w:r>
        <w:t>—</w:t>
      </w:r>
      <w:r>
        <w:rPr>
          <w:rStyle w:val="CharDivText"/>
        </w:rPr>
        <w:t> </w:t>
      </w:r>
      <w:r>
        <w:rPr>
          <w:rStyle w:val="CharPartText"/>
        </w:rPr>
        <w:t>Energy efficiency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ind w:left="890"/>
        <w:rPr>
          <w:snapToGrid w:val="0"/>
        </w:rPr>
      </w:pPr>
      <w:r>
        <w:rPr>
          <w:snapToGrid w:val="0"/>
        </w:rPr>
        <w:tab/>
        <w:t>[Heading inserted by No. 63 of 1996 s. 13.]</w:t>
      </w:r>
    </w:p>
    <w:p>
      <w:pPr>
        <w:pStyle w:val="Heading5"/>
        <w:rPr>
          <w:snapToGrid w:val="0"/>
        </w:rPr>
      </w:pPr>
      <w:bookmarkStart w:id="270" w:name="_Toc3284729"/>
      <w:bookmarkStart w:id="271" w:name="_Toc39550018"/>
      <w:bookmarkStart w:id="272" w:name="_Toc41888862"/>
      <w:bookmarkStart w:id="273" w:name="_Toc59425182"/>
      <w:bookmarkStart w:id="274" w:name="_Toc334449608"/>
      <w:bookmarkStart w:id="275" w:name="_Toc307410769"/>
      <w:r>
        <w:rPr>
          <w:rStyle w:val="CharSectno"/>
        </w:rPr>
        <w:t>33E</w:t>
      </w:r>
      <w:r>
        <w:rPr>
          <w:snapToGrid w:val="0"/>
        </w:rPr>
        <w:t>.</w:t>
      </w:r>
      <w:r>
        <w:rPr>
          <w:snapToGrid w:val="0"/>
        </w:rPr>
        <w:tab/>
        <w:t>Energy efficiency standards</w:t>
      </w:r>
      <w:bookmarkEnd w:id="270"/>
      <w:bookmarkEnd w:id="271"/>
      <w:bookmarkEnd w:id="272"/>
      <w:bookmarkEnd w:id="273"/>
      <w:bookmarkEnd w:id="274"/>
      <w:bookmarkEnd w:id="275"/>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pPr>
        <w:pStyle w:val="Indenta"/>
        <w:spacing w:before="60"/>
        <w:rPr>
          <w:snapToGrid w:val="0"/>
        </w:rPr>
      </w:pPr>
      <w:r>
        <w:rPr>
          <w:snapToGrid w:val="0"/>
        </w:rPr>
        <w:tab/>
        <w:t>(e)</w:t>
      </w:r>
      <w:r>
        <w:rPr>
          <w:snapToGrid w:val="0"/>
        </w:rPr>
        <w:tab/>
        <w:t>prescribe labelling requirements;</w:t>
      </w:r>
    </w:p>
    <w:p>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by No. 63 of 1996 s. 13; amended by No. 10 of 1998 s. 31; No. 74 of 2003 s. 48(3).]</w:t>
      </w:r>
    </w:p>
    <w:p>
      <w:pPr>
        <w:pStyle w:val="Heading5"/>
        <w:rPr>
          <w:snapToGrid w:val="0"/>
        </w:rPr>
      </w:pPr>
      <w:bookmarkStart w:id="276" w:name="_Toc3284730"/>
      <w:bookmarkStart w:id="277" w:name="_Toc39550019"/>
      <w:bookmarkStart w:id="278" w:name="_Toc41888863"/>
      <w:bookmarkStart w:id="279" w:name="_Toc59425183"/>
      <w:bookmarkStart w:id="280" w:name="_Toc334449609"/>
      <w:bookmarkStart w:id="281" w:name="_Toc307410770"/>
      <w:r>
        <w:rPr>
          <w:rStyle w:val="CharSectno"/>
        </w:rPr>
        <w:t>33F</w:t>
      </w:r>
      <w:r>
        <w:rPr>
          <w:snapToGrid w:val="0"/>
        </w:rPr>
        <w:t>.</w:t>
      </w:r>
      <w:r>
        <w:rPr>
          <w:snapToGrid w:val="0"/>
        </w:rPr>
        <w:tab/>
        <w:t>Offences related to energy efficiency labelling</w:t>
      </w:r>
      <w:bookmarkEnd w:id="276"/>
      <w:bookmarkEnd w:id="277"/>
      <w:bookmarkEnd w:id="278"/>
      <w:bookmarkEnd w:id="279"/>
      <w:bookmarkEnd w:id="280"/>
      <w:bookmarkEnd w:id="281"/>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by No. 63 of 1996 s. 13; amended by No. 5 of 2007 s. 8.]</w:t>
      </w:r>
    </w:p>
    <w:p>
      <w:pPr>
        <w:pStyle w:val="Heading2"/>
      </w:pPr>
      <w:bookmarkStart w:id="282" w:name="_Toc89516140"/>
      <w:bookmarkStart w:id="283" w:name="_Toc89516206"/>
      <w:bookmarkStart w:id="284" w:name="_Toc91486301"/>
      <w:bookmarkStart w:id="285" w:name="_Toc102289673"/>
      <w:bookmarkStart w:id="286" w:name="_Toc117487374"/>
      <w:bookmarkStart w:id="287" w:name="_Toc118707646"/>
      <w:bookmarkStart w:id="288" w:name="_Toc119378482"/>
      <w:bookmarkStart w:id="289" w:name="_Toc119381502"/>
      <w:bookmarkStart w:id="290" w:name="_Toc121723101"/>
      <w:bookmarkStart w:id="291" w:name="_Toc121723344"/>
      <w:bookmarkStart w:id="292" w:name="_Toc122829506"/>
      <w:bookmarkStart w:id="293" w:name="_Toc124061473"/>
      <w:bookmarkStart w:id="294" w:name="_Toc131569391"/>
      <w:bookmarkStart w:id="295" w:name="_Toc131588942"/>
      <w:bookmarkStart w:id="296" w:name="_Toc139272056"/>
      <w:bookmarkStart w:id="297" w:name="_Toc139676692"/>
      <w:bookmarkStart w:id="298" w:name="_Toc157850627"/>
      <w:bookmarkStart w:id="299" w:name="_Toc184113937"/>
      <w:bookmarkStart w:id="300" w:name="_Toc184181143"/>
      <w:bookmarkStart w:id="301" w:name="_Toc190676936"/>
      <w:bookmarkStart w:id="302" w:name="_Toc190741714"/>
      <w:bookmarkStart w:id="303" w:name="_Toc192391896"/>
      <w:bookmarkStart w:id="304" w:name="_Toc197227969"/>
      <w:bookmarkStart w:id="305" w:name="_Toc197845679"/>
      <w:bookmarkStart w:id="306" w:name="_Toc197845902"/>
      <w:bookmarkStart w:id="307" w:name="_Toc198609074"/>
      <w:bookmarkStart w:id="308" w:name="_Toc231020697"/>
      <w:bookmarkStart w:id="309" w:name="_Toc268274622"/>
      <w:bookmarkStart w:id="310" w:name="_Toc268274867"/>
      <w:bookmarkStart w:id="311" w:name="_Toc272135675"/>
      <w:bookmarkStart w:id="312" w:name="_Toc307410771"/>
      <w:bookmarkStart w:id="313" w:name="_Toc334449610"/>
      <w:r>
        <w:rPr>
          <w:rStyle w:val="CharPartNo"/>
        </w:rPr>
        <w:t>Part V</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3284731"/>
      <w:bookmarkStart w:id="315" w:name="_Toc39550020"/>
      <w:bookmarkStart w:id="316" w:name="_Toc41888864"/>
      <w:bookmarkStart w:id="317" w:name="_Toc59425184"/>
      <w:bookmarkStart w:id="318" w:name="_Toc334449611"/>
      <w:bookmarkStart w:id="319" w:name="_Toc307410772"/>
      <w:r>
        <w:rPr>
          <w:rStyle w:val="CharSectno"/>
        </w:rPr>
        <w:t>34</w:t>
      </w:r>
      <w:r>
        <w:rPr>
          <w:snapToGrid w:val="0"/>
        </w:rPr>
        <w:t>.</w:t>
      </w:r>
      <w:r>
        <w:rPr>
          <w:snapToGrid w:val="0"/>
        </w:rPr>
        <w:tab/>
        <w:t xml:space="preserve">Service apparatus etc. of supply authority not subject to </w:t>
      </w:r>
      <w:bookmarkEnd w:id="314"/>
      <w:bookmarkEnd w:id="315"/>
      <w:bookmarkEnd w:id="316"/>
      <w:bookmarkEnd w:id="317"/>
      <w:r>
        <w:rPr>
          <w:snapToGrid w:val="0"/>
        </w:rPr>
        <w:t>seizure etc.</w:t>
      </w:r>
      <w:bookmarkEnd w:id="318"/>
      <w:bookmarkEnd w:id="319"/>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320" w:name="_Toc3284732"/>
      <w:bookmarkStart w:id="321" w:name="_Toc39550021"/>
      <w:bookmarkStart w:id="322" w:name="_Toc41888865"/>
      <w:bookmarkStart w:id="323" w:name="_Toc59425185"/>
      <w:bookmarkStart w:id="324" w:name="_Toc334449612"/>
      <w:bookmarkStart w:id="325" w:name="_Toc307410773"/>
      <w:r>
        <w:rPr>
          <w:rStyle w:val="CharSectno"/>
        </w:rPr>
        <w:t>35</w:t>
      </w:r>
      <w:r>
        <w:rPr>
          <w:snapToGrid w:val="0"/>
        </w:rPr>
        <w:t>.</w:t>
      </w:r>
      <w:r>
        <w:rPr>
          <w:snapToGrid w:val="0"/>
        </w:rPr>
        <w:tab/>
        <w:t>Power to cut off supply</w:t>
      </w:r>
      <w:bookmarkEnd w:id="320"/>
      <w:bookmarkEnd w:id="321"/>
      <w:bookmarkEnd w:id="322"/>
      <w:bookmarkEnd w:id="323"/>
      <w:bookmarkEnd w:id="324"/>
      <w:bookmarkEnd w:id="325"/>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326" w:name="_Toc3284733"/>
      <w:bookmarkStart w:id="327" w:name="_Toc39550022"/>
      <w:bookmarkStart w:id="328" w:name="_Toc41888866"/>
      <w:bookmarkStart w:id="329" w:name="_Toc59425186"/>
      <w:bookmarkStart w:id="330" w:name="_Toc334449613"/>
      <w:bookmarkStart w:id="331" w:name="_Toc307410774"/>
      <w:r>
        <w:rPr>
          <w:rStyle w:val="CharSectno"/>
        </w:rPr>
        <w:t>36</w:t>
      </w:r>
      <w:r>
        <w:rPr>
          <w:snapToGrid w:val="0"/>
        </w:rPr>
        <w:t>.</w:t>
      </w:r>
      <w:r>
        <w:rPr>
          <w:snapToGrid w:val="0"/>
        </w:rPr>
        <w:tab/>
        <w:t>Powers where electricity wasted or misused</w:t>
      </w:r>
      <w:bookmarkEnd w:id="326"/>
      <w:bookmarkEnd w:id="327"/>
      <w:bookmarkEnd w:id="328"/>
      <w:bookmarkEnd w:id="329"/>
      <w:bookmarkEnd w:id="330"/>
      <w:bookmarkEnd w:id="331"/>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by No. 113 of 1965 s. 8; No. 63 of 1996 s. 4; No. 59 of 2004 s. 141; No. 19 of 2010 s. 57(4).]</w:t>
      </w:r>
    </w:p>
    <w:p>
      <w:pPr>
        <w:pStyle w:val="Heading5"/>
        <w:rPr>
          <w:snapToGrid w:val="0"/>
        </w:rPr>
      </w:pPr>
      <w:bookmarkStart w:id="332" w:name="_Toc3284734"/>
      <w:bookmarkStart w:id="333" w:name="_Toc39550023"/>
      <w:bookmarkStart w:id="334" w:name="_Toc41888867"/>
      <w:bookmarkStart w:id="335" w:name="_Toc59425187"/>
      <w:bookmarkStart w:id="336" w:name="_Toc334449614"/>
      <w:bookmarkStart w:id="337" w:name="_Toc307410775"/>
      <w:r>
        <w:rPr>
          <w:rStyle w:val="CharSectno"/>
        </w:rPr>
        <w:t>37</w:t>
      </w:r>
      <w:r>
        <w:rPr>
          <w:snapToGrid w:val="0"/>
        </w:rPr>
        <w:t>.</w:t>
      </w:r>
      <w:r>
        <w:rPr>
          <w:snapToGrid w:val="0"/>
        </w:rPr>
        <w:tab/>
        <w:t>Power to remove appliances</w:t>
      </w:r>
      <w:bookmarkEnd w:id="332"/>
      <w:bookmarkEnd w:id="333"/>
      <w:bookmarkEnd w:id="334"/>
      <w:bookmarkEnd w:id="335"/>
      <w:bookmarkEnd w:id="336"/>
      <w:bookmarkEnd w:id="337"/>
    </w:p>
    <w:p>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338" w:name="_Toc3284735"/>
      <w:bookmarkStart w:id="339" w:name="_Toc39550024"/>
      <w:bookmarkStart w:id="340" w:name="_Toc41888868"/>
      <w:bookmarkStart w:id="341" w:name="_Toc59425188"/>
      <w:bookmarkStart w:id="342" w:name="_Toc334449615"/>
      <w:bookmarkStart w:id="343" w:name="_Toc307410776"/>
      <w:r>
        <w:rPr>
          <w:rStyle w:val="CharSectno"/>
        </w:rPr>
        <w:t>38</w:t>
      </w:r>
      <w:r>
        <w:rPr>
          <w:snapToGrid w:val="0"/>
        </w:rPr>
        <w:t>.</w:t>
      </w:r>
      <w:r>
        <w:rPr>
          <w:snapToGrid w:val="0"/>
        </w:rPr>
        <w:tab/>
        <w:t>Incoming tenant must be supplied although outgoing tenant in arrears</w:t>
      </w:r>
      <w:bookmarkEnd w:id="338"/>
      <w:bookmarkEnd w:id="339"/>
      <w:bookmarkEnd w:id="340"/>
      <w:bookmarkEnd w:id="341"/>
      <w:bookmarkEnd w:id="342"/>
      <w:bookmarkEnd w:id="343"/>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344" w:name="_Toc3284736"/>
      <w:bookmarkStart w:id="345" w:name="_Toc39550025"/>
      <w:bookmarkStart w:id="346" w:name="_Toc41888869"/>
      <w:bookmarkStart w:id="347" w:name="_Toc59425189"/>
      <w:bookmarkStart w:id="348" w:name="_Toc334449616"/>
      <w:bookmarkStart w:id="349" w:name="_Toc307410777"/>
      <w:r>
        <w:rPr>
          <w:rStyle w:val="CharSectno"/>
        </w:rPr>
        <w:t>39</w:t>
      </w:r>
      <w:r>
        <w:rPr>
          <w:snapToGrid w:val="0"/>
        </w:rPr>
        <w:t>.</w:t>
      </w:r>
      <w:r>
        <w:rPr>
          <w:snapToGrid w:val="0"/>
        </w:rPr>
        <w:tab/>
        <w:t>Supply authority to keep meter in order</w:t>
      </w:r>
      <w:bookmarkEnd w:id="344"/>
      <w:bookmarkEnd w:id="345"/>
      <w:bookmarkEnd w:id="346"/>
      <w:bookmarkEnd w:id="347"/>
      <w:bookmarkEnd w:id="348"/>
      <w:bookmarkEnd w:id="349"/>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350" w:name="_Toc3284737"/>
      <w:bookmarkStart w:id="351" w:name="_Toc39550026"/>
      <w:bookmarkStart w:id="352" w:name="_Toc41888870"/>
      <w:bookmarkStart w:id="353" w:name="_Toc59425190"/>
      <w:bookmarkStart w:id="354" w:name="_Toc334449617"/>
      <w:bookmarkStart w:id="355" w:name="_Toc307410778"/>
      <w:r>
        <w:rPr>
          <w:rStyle w:val="CharSectno"/>
        </w:rPr>
        <w:t>40</w:t>
      </w:r>
      <w:r>
        <w:rPr>
          <w:snapToGrid w:val="0"/>
        </w:rPr>
        <w:t>.</w:t>
      </w:r>
      <w:r>
        <w:rPr>
          <w:snapToGrid w:val="0"/>
        </w:rPr>
        <w:tab/>
        <w:t>Control of meters and fittings</w:t>
      </w:r>
      <w:bookmarkEnd w:id="350"/>
      <w:bookmarkEnd w:id="351"/>
      <w:bookmarkEnd w:id="352"/>
      <w:bookmarkEnd w:id="353"/>
      <w:bookmarkEnd w:id="354"/>
      <w:bookmarkEnd w:id="355"/>
    </w:p>
    <w:p>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by No. 113 of 1965 s. 8; No. 14 of 1996 s. 4; No. 63 of 1996 s. 4.]</w:t>
      </w:r>
    </w:p>
    <w:p>
      <w:pPr>
        <w:pStyle w:val="Heading5"/>
        <w:rPr>
          <w:snapToGrid w:val="0"/>
        </w:rPr>
      </w:pPr>
      <w:bookmarkStart w:id="356" w:name="_Toc3284738"/>
      <w:bookmarkStart w:id="357" w:name="_Toc39550027"/>
      <w:bookmarkStart w:id="358" w:name="_Toc41888871"/>
      <w:bookmarkStart w:id="359" w:name="_Toc59425191"/>
      <w:bookmarkStart w:id="360" w:name="_Toc334449618"/>
      <w:bookmarkStart w:id="361" w:name="_Toc307410779"/>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56"/>
      <w:bookmarkEnd w:id="357"/>
      <w:bookmarkEnd w:id="358"/>
      <w:bookmarkEnd w:id="359"/>
      <w:bookmarkEnd w:id="360"/>
      <w:bookmarkEnd w:id="361"/>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by No. 113 of 1965 s. 8; No. 89 of 1994 s. 80; No. 63 of 1996 s. 10; No. 19 of 2010 s. 57(4).]</w:t>
      </w:r>
    </w:p>
    <w:p>
      <w:pPr>
        <w:pStyle w:val="Heading5"/>
        <w:spacing w:before="240"/>
      </w:pPr>
      <w:bookmarkStart w:id="362" w:name="_Toc334449619"/>
      <w:bookmarkStart w:id="363" w:name="_Toc307410780"/>
      <w:bookmarkStart w:id="364" w:name="_Toc3284740"/>
      <w:bookmarkStart w:id="365" w:name="_Toc39550029"/>
      <w:bookmarkStart w:id="366" w:name="_Toc41888873"/>
      <w:bookmarkStart w:id="367" w:name="_Toc59425193"/>
      <w:r>
        <w:rPr>
          <w:rStyle w:val="CharSectno"/>
        </w:rPr>
        <w:t>42</w:t>
      </w:r>
      <w:r>
        <w:t>.</w:t>
      </w:r>
      <w:r>
        <w:tab/>
        <w:t>Apparatus</w:t>
      </w:r>
      <w:bookmarkEnd w:id="362"/>
      <w:bookmarkEnd w:id="363"/>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by No. 33 of 2004 s. 16.]</w:t>
      </w:r>
    </w:p>
    <w:p>
      <w:pPr>
        <w:pStyle w:val="Heading5"/>
        <w:spacing w:before="240"/>
        <w:rPr>
          <w:snapToGrid w:val="0"/>
        </w:rPr>
      </w:pPr>
      <w:bookmarkStart w:id="368" w:name="_Toc334449620"/>
      <w:bookmarkStart w:id="369" w:name="_Toc307410781"/>
      <w:r>
        <w:rPr>
          <w:rStyle w:val="CharSectno"/>
        </w:rPr>
        <w:t>43</w:t>
      </w:r>
      <w:r>
        <w:rPr>
          <w:snapToGrid w:val="0"/>
        </w:rPr>
        <w:t>.</w:t>
      </w:r>
      <w:r>
        <w:rPr>
          <w:snapToGrid w:val="0"/>
        </w:rPr>
        <w:tab/>
        <w:t>Uniform charges and zoning</w:t>
      </w:r>
      <w:bookmarkEnd w:id="364"/>
      <w:bookmarkEnd w:id="365"/>
      <w:bookmarkEnd w:id="366"/>
      <w:bookmarkEnd w:id="367"/>
      <w:bookmarkEnd w:id="368"/>
      <w:bookmarkEnd w:id="369"/>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by No. 113 of 1965 s. 8; No. 89 of 1994 s. 79; No. 63 of 1996 s. 4; No. 19 of 2010 s. 57(4).]</w:t>
      </w:r>
    </w:p>
    <w:p>
      <w:pPr>
        <w:pStyle w:val="Heading5"/>
        <w:rPr>
          <w:snapToGrid w:val="0"/>
        </w:rPr>
      </w:pPr>
      <w:bookmarkStart w:id="370" w:name="_Toc3284741"/>
      <w:bookmarkStart w:id="371" w:name="_Toc39550030"/>
      <w:bookmarkStart w:id="372" w:name="_Toc41888874"/>
      <w:bookmarkStart w:id="373" w:name="_Toc59425194"/>
      <w:bookmarkStart w:id="374" w:name="_Toc334449621"/>
      <w:bookmarkStart w:id="375" w:name="_Toc307410782"/>
      <w:r>
        <w:rPr>
          <w:rStyle w:val="CharSectno"/>
        </w:rPr>
        <w:t>44</w:t>
      </w:r>
      <w:r>
        <w:rPr>
          <w:snapToGrid w:val="0"/>
        </w:rPr>
        <w:t>.</w:t>
      </w:r>
      <w:r>
        <w:rPr>
          <w:snapToGrid w:val="0"/>
        </w:rPr>
        <w:tab/>
        <w:t>Obligation to supply</w:t>
      </w:r>
      <w:bookmarkEnd w:id="370"/>
      <w:bookmarkEnd w:id="371"/>
      <w:bookmarkEnd w:id="372"/>
      <w:bookmarkEnd w:id="373"/>
      <w:bookmarkEnd w:id="374"/>
      <w:bookmarkEnd w:id="375"/>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376" w:name="_Toc3284742"/>
      <w:bookmarkStart w:id="377" w:name="_Toc39550031"/>
      <w:bookmarkStart w:id="378" w:name="_Toc41888875"/>
      <w:bookmarkStart w:id="379" w:name="_Toc59425195"/>
      <w:bookmarkStart w:id="380" w:name="_Toc334449622"/>
      <w:bookmarkStart w:id="381" w:name="_Toc307410783"/>
      <w:r>
        <w:rPr>
          <w:rStyle w:val="CharSectno"/>
        </w:rPr>
        <w:t>45</w:t>
      </w:r>
      <w:r>
        <w:rPr>
          <w:snapToGrid w:val="0"/>
        </w:rPr>
        <w:t>.</w:t>
      </w:r>
      <w:r>
        <w:rPr>
          <w:snapToGrid w:val="0"/>
        </w:rPr>
        <w:tab/>
        <w:t xml:space="preserve">Compensation, damages </w:t>
      </w:r>
      <w:bookmarkEnd w:id="376"/>
      <w:bookmarkEnd w:id="377"/>
      <w:bookmarkEnd w:id="378"/>
      <w:bookmarkEnd w:id="379"/>
      <w:r>
        <w:rPr>
          <w:snapToGrid w:val="0"/>
        </w:rPr>
        <w:t>etc.</w:t>
      </w:r>
      <w:bookmarkEnd w:id="380"/>
      <w:bookmarkEnd w:id="381"/>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by No. 78 of 1995 s. 36; No. 33 of 2004 s. 17; No. 59 of 2004 s. 141.]</w:t>
      </w:r>
    </w:p>
    <w:p>
      <w:pPr>
        <w:pStyle w:val="Ednotesection"/>
      </w:pPr>
      <w:bookmarkStart w:id="382" w:name="_Toc3284744"/>
      <w:bookmarkStart w:id="383" w:name="_Toc39550033"/>
      <w:bookmarkStart w:id="384" w:name="_Toc41888877"/>
      <w:bookmarkStart w:id="385" w:name="_Toc59425197"/>
      <w:r>
        <w:t>[</w:t>
      </w:r>
      <w:r>
        <w:rPr>
          <w:b/>
        </w:rPr>
        <w:t>46.</w:t>
      </w:r>
      <w:r>
        <w:rPr>
          <w:b/>
        </w:rPr>
        <w:tab/>
      </w:r>
      <w:r>
        <w:t>Deleted by No. 33 of 2004 s. 18.]</w:t>
      </w:r>
    </w:p>
    <w:p>
      <w:pPr>
        <w:pStyle w:val="Heading5"/>
        <w:rPr>
          <w:snapToGrid w:val="0"/>
        </w:rPr>
      </w:pPr>
      <w:bookmarkStart w:id="386" w:name="_Toc334449623"/>
      <w:bookmarkStart w:id="387" w:name="_Toc307410784"/>
      <w:r>
        <w:rPr>
          <w:rStyle w:val="CharSectno"/>
        </w:rPr>
        <w:t>47</w:t>
      </w:r>
      <w:r>
        <w:rPr>
          <w:snapToGrid w:val="0"/>
        </w:rPr>
        <w:t>.</w:t>
      </w:r>
      <w:r>
        <w:rPr>
          <w:snapToGrid w:val="0"/>
        </w:rPr>
        <w:tab/>
        <w:t>Illegal interference with works etc.</w:t>
      </w:r>
      <w:bookmarkEnd w:id="382"/>
      <w:bookmarkEnd w:id="383"/>
      <w:bookmarkEnd w:id="384"/>
      <w:bookmarkEnd w:id="385"/>
      <w:bookmarkEnd w:id="386"/>
      <w:bookmarkEnd w:id="38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by No. 113 of 1965 s. 8; No. 63 of 1996 s. 4.]</w:t>
      </w:r>
    </w:p>
    <w:p>
      <w:pPr>
        <w:pStyle w:val="Heading5"/>
        <w:rPr>
          <w:snapToGrid w:val="0"/>
        </w:rPr>
      </w:pPr>
      <w:bookmarkStart w:id="388" w:name="_Toc3284745"/>
      <w:bookmarkStart w:id="389" w:name="_Toc39550034"/>
      <w:bookmarkStart w:id="390" w:name="_Toc41888878"/>
      <w:bookmarkStart w:id="391" w:name="_Toc59425198"/>
      <w:bookmarkStart w:id="392" w:name="_Toc334449624"/>
      <w:bookmarkStart w:id="393" w:name="_Toc307410785"/>
      <w:r>
        <w:rPr>
          <w:rStyle w:val="CharSectno"/>
        </w:rPr>
        <w:t>48</w:t>
      </w:r>
      <w:r>
        <w:rPr>
          <w:snapToGrid w:val="0"/>
        </w:rPr>
        <w:t>.</w:t>
      </w:r>
      <w:r>
        <w:rPr>
          <w:snapToGrid w:val="0"/>
        </w:rPr>
        <w:tab/>
        <w:t>Obtaining supply under false name</w:t>
      </w:r>
      <w:bookmarkEnd w:id="388"/>
      <w:bookmarkEnd w:id="389"/>
      <w:bookmarkEnd w:id="390"/>
      <w:bookmarkEnd w:id="391"/>
      <w:bookmarkEnd w:id="392"/>
      <w:bookmarkEnd w:id="393"/>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by No. 113 of 1965 s. 8; No. 63 of 1996 s. 4.]</w:t>
      </w:r>
    </w:p>
    <w:p>
      <w:pPr>
        <w:pStyle w:val="Heading5"/>
        <w:rPr>
          <w:snapToGrid w:val="0"/>
        </w:rPr>
      </w:pPr>
      <w:bookmarkStart w:id="394" w:name="_Toc3284746"/>
      <w:bookmarkStart w:id="395" w:name="_Toc39550035"/>
      <w:bookmarkStart w:id="396" w:name="_Toc41888879"/>
      <w:bookmarkStart w:id="397" w:name="_Toc59425199"/>
      <w:bookmarkStart w:id="398" w:name="_Toc334449625"/>
      <w:bookmarkStart w:id="399" w:name="_Toc307410786"/>
      <w:r>
        <w:rPr>
          <w:rStyle w:val="CharSectno"/>
        </w:rPr>
        <w:t>49</w:t>
      </w:r>
      <w:r>
        <w:rPr>
          <w:snapToGrid w:val="0"/>
        </w:rPr>
        <w:t>.</w:t>
      </w:r>
      <w:r>
        <w:rPr>
          <w:snapToGrid w:val="0"/>
        </w:rPr>
        <w:tab/>
        <w:t>Unauthorised use</w:t>
      </w:r>
      <w:bookmarkEnd w:id="394"/>
      <w:bookmarkEnd w:id="395"/>
      <w:bookmarkEnd w:id="396"/>
      <w:bookmarkEnd w:id="397"/>
      <w:bookmarkEnd w:id="398"/>
      <w:bookmarkEnd w:id="399"/>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by No. 113 of 1965 s. 8; No. 89 of 1994 s. 79; No. 63 of 1996 s. 6; No. 59 of 2004 s. 141.]</w:t>
      </w:r>
    </w:p>
    <w:p>
      <w:pPr>
        <w:pStyle w:val="Heading5"/>
        <w:rPr>
          <w:snapToGrid w:val="0"/>
        </w:rPr>
      </w:pPr>
      <w:bookmarkStart w:id="400" w:name="_Toc3284747"/>
      <w:bookmarkStart w:id="401" w:name="_Toc39550036"/>
      <w:bookmarkStart w:id="402" w:name="_Toc41888880"/>
      <w:bookmarkStart w:id="403" w:name="_Toc59425200"/>
      <w:bookmarkStart w:id="404" w:name="_Toc334449626"/>
      <w:bookmarkStart w:id="405" w:name="_Toc307410787"/>
      <w:r>
        <w:rPr>
          <w:rStyle w:val="CharSectno"/>
        </w:rPr>
        <w:t>50</w:t>
      </w:r>
      <w:r>
        <w:rPr>
          <w:snapToGrid w:val="0"/>
        </w:rPr>
        <w:t>.</w:t>
      </w:r>
      <w:r>
        <w:rPr>
          <w:snapToGrid w:val="0"/>
        </w:rPr>
        <w:tab/>
        <w:t>Alteration of meter</w:t>
      </w:r>
      <w:bookmarkEnd w:id="400"/>
      <w:bookmarkEnd w:id="401"/>
      <w:bookmarkEnd w:id="402"/>
      <w:bookmarkEnd w:id="403"/>
      <w:bookmarkEnd w:id="404"/>
      <w:bookmarkEnd w:id="405"/>
    </w:p>
    <w:p>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by No. 113 of 1965 s. 8; No. 63 of 1996 s. 4 and 8.]</w:t>
      </w:r>
    </w:p>
    <w:p>
      <w:pPr>
        <w:pStyle w:val="Heading5"/>
        <w:rPr>
          <w:snapToGrid w:val="0"/>
        </w:rPr>
      </w:pPr>
      <w:bookmarkStart w:id="406" w:name="_Toc3284748"/>
      <w:bookmarkStart w:id="407" w:name="_Toc39550037"/>
      <w:bookmarkStart w:id="408" w:name="_Toc41888881"/>
      <w:bookmarkStart w:id="409" w:name="_Toc59425201"/>
      <w:bookmarkStart w:id="410" w:name="_Toc334449627"/>
      <w:bookmarkStart w:id="411" w:name="_Toc307410788"/>
      <w:r>
        <w:rPr>
          <w:rStyle w:val="CharSectno"/>
        </w:rPr>
        <w:t>51</w:t>
      </w:r>
      <w:r>
        <w:rPr>
          <w:snapToGrid w:val="0"/>
        </w:rPr>
        <w:t>.</w:t>
      </w:r>
      <w:r>
        <w:rPr>
          <w:snapToGrid w:val="0"/>
        </w:rPr>
        <w:tab/>
        <w:t>Summary remedy for damage to electric works</w:t>
      </w:r>
      <w:bookmarkEnd w:id="406"/>
      <w:bookmarkEnd w:id="407"/>
      <w:bookmarkEnd w:id="408"/>
      <w:bookmarkEnd w:id="409"/>
      <w:bookmarkEnd w:id="410"/>
      <w:bookmarkEnd w:id="411"/>
    </w:p>
    <w:p>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by No. 113 of 1965 s. 8; No. 89 of 1994 s. 79; No. 63 of 1996 s. 9.]</w:t>
      </w:r>
    </w:p>
    <w:p>
      <w:pPr>
        <w:pStyle w:val="Heading5"/>
        <w:rPr>
          <w:snapToGrid w:val="0"/>
        </w:rPr>
      </w:pPr>
      <w:bookmarkStart w:id="412" w:name="_Toc3284749"/>
      <w:bookmarkStart w:id="413" w:name="_Toc39550038"/>
      <w:bookmarkStart w:id="414" w:name="_Toc41888882"/>
      <w:bookmarkStart w:id="415" w:name="_Toc59425202"/>
      <w:bookmarkStart w:id="416" w:name="_Toc334449628"/>
      <w:bookmarkStart w:id="417" w:name="_Toc307410789"/>
      <w:r>
        <w:rPr>
          <w:rStyle w:val="CharSectno"/>
        </w:rPr>
        <w:t>52</w:t>
      </w:r>
      <w:r>
        <w:rPr>
          <w:snapToGrid w:val="0"/>
        </w:rPr>
        <w:t>.</w:t>
      </w:r>
      <w:r>
        <w:rPr>
          <w:snapToGrid w:val="0"/>
        </w:rPr>
        <w:tab/>
        <w:t>General penalty</w:t>
      </w:r>
      <w:bookmarkEnd w:id="412"/>
      <w:bookmarkEnd w:id="413"/>
      <w:bookmarkEnd w:id="414"/>
      <w:bookmarkEnd w:id="415"/>
      <w:bookmarkEnd w:id="416"/>
      <w:bookmarkEnd w:id="417"/>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by No. 113 of 1965 s. 8; No. 63 of 1996 s. 4; No. 5 of 2007 s. 9.]</w:t>
      </w:r>
    </w:p>
    <w:p>
      <w:pPr>
        <w:pStyle w:val="Heading5"/>
      </w:pPr>
      <w:bookmarkStart w:id="418" w:name="_Toc334449629"/>
      <w:bookmarkStart w:id="419" w:name="_Toc307410790"/>
      <w:r>
        <w:rPr>
          <w:rStyle w:val="CharSectno"/>
        </w:rPr>
        <w:t>53</w:t>
      </w:r>
      <w:r>
        <w:t>.</w:t>
      </w:r>
      <w:r>
        <w:tab/>
        <w:t>Limitation period for offences</w:t>
      </w:r>
      <w:bookmarkEnd w:id="418"/>
      <w:bookmarkEnd w:id="419"/>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by No. 59 of 2004 s. 141.]</w:t>
      </w:r>
    </w:p>
    <w:p>
      <w:pPr>
        <w:pStyle w:val="Ednotesection"/>
      </w:pPr>
      <w:r>
        <w:t>[</w:t>
      </w:r>
      <w:r>
        <w:rPr>
          <w:b/>
        </w:rPr>
        <w:t>54.</w:t>
      </w:r>
      <w:r>
        <w:tab/>
        <w:t>Deleted by No. 89 of 1994 s. 78.]</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20" w:name="_Toc89516161"/>
      <w:bookmarkStart w:id="421" w:name="_Toc89516227"/>
      <w:bookmarkStart w:id="422" w:name="_Toc91486321"/>
      <w:bookmarkStart w:id="423" w:name="_Toc102289694"/>
      <w:bookmarkStart w:id="424" w:name="_Toc117487394"/>
      <w:bookmarkStart w:id="425" w:name="_Toc118707666"/>
      <w:bookmarkStart w:id="426" w:name="_Toc119378502"/>
      <w:bookmarkStart w:id="427" w:name="_Toc119381522"/>
      <w:bookmarkStart w:id="428" w:name="_Toc121723121"/>
      <w:bookmarkStart w:id="429" w:name="_Toc121723364"/>
      <w:bookmarkStart w:id="430" w:name="_Toc122829526"/>
      <w:bookmarkStart w:id="431" w:name="_Toc124061493"/>
      <w:bookmarkStart w:id="432" w:name="_Toc131569411"/>
      <w:bookmarkStart w:id="433" w:name="_Toc131588962"/>
      <w:bookmarkStart w:id="434" w:name="_Toc139272076"/>
      <w:bookmarkStart w:id="435" w:name="_Toc139676712"/>
      <w:bookmarkStart w:id="436" w:name="_Toc157850647"/>
      <w:bookmarkStart w:id="437" w:name="_Toc184113957"/>
      <w:bookmarkStart w:id="438" w:name="_Toc184181163"/>
      <w:bookmarkStart w:id="439" w:name="_Toc190676956"/>
      <w:bookmarkStart w:id="440" w:name="_Toc190741734"/>
      <w:bookmarkStart w:id="441" w:name="_Toc192391916"/>
      <w:bookmarkStart w:id="442" w:name="_Toc197227989"/>
      <w:bookmarkStart w:id="443" w:name="_Toc197845699"/>
      <w:bookmarkStart w:id="444" w:name="_Toc197845922"/>
      <w:bookmarkStart w:id="445" w:name="_Toc198609094"/>
      <w:bookmarkStart w:id="446" w:name="_Toc231020717"/>
      <w:bookmarkStart w:id="447" w:name="_Toc268274642"/>
      <w:bookmarkStart w:id="448" w:name="_Toc268274887"/>
      <w:bookmarkStart w:id="449" w:name="_Toc272135695"/>
      <w:bookmarkStart w:id="450" w:name="_Toc307410791"/>
      <w:bookmarkStart w:id="451" w:name="_Toc334449630"/>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w:t>
      </w:r>
      <w:ins w:id="452" w:author="svcMRProcess" w:date="2015-12-16T18:33: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pPr>
      <w:bookmarkStart w:id="453" w:name="_Toc334449631"/>
      <w:bookmarkStart w:id="454" w:name="_Toc307410792"/>
      <w:r>
        <w:t>Compilation table</w:t>
      </w:r>
      <w:bookmarkEnd w:id="453"/>
      <w:bookmarkEnd w:id="454"/>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trPr>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4" w:type="dxa"/>
            <w:gridSpan w:val="2"/>
          </w:tcPr>
          <w:p>
            <w:pPr>
              <w:pStyle w:val="nTable"/>
              <w:spacing w:after="40"/>
              <w:rPr>
                <w:sz w:val="19"/>
              </w:rPr>
            </w:pPr>
            <w:r>
              <w:rPr>
                <w:i/>
                <w:sz w:val="19"/>
              </w:rPr>
              <w:t>Electricity Act 1945</w:t>
            </w:r>
          </w:p>
        </w:tc>
        <w:tc>
          <w:tcPr>
            <w:tcW w:w="1134" w:type="dxa"/>
            <w:gridSpan w:val="2"/>
          </w:tcPr>
          <w:p>
            <w:pPr>
              <w:pStyle w:val="nTable"/>
              <w:spacing w:after="40"/>
              <w:rPr>
                <w:sz w:val="19"/>
              </w:rPr>
            </w:pPr>
            <w:r>
              <w:rPr>
                <w:sz w:val="19"/>
              </w:rPr>
              <w:t>19 of 1945</w:t>
            </w:r>
            <w:r>
              <w:rPr>
                <w:sz w:val="19"/>
              </w:rPr>
              <w:br/>
              <w:t>(9 and 10 Geo. VI No. 19)</w:t>
            </w:r>
          </w:p>
        </w:tc>
        <w:tc>
          <w:tcPr>
            <w:tcW w:w="1134" w:type="dxa"/>
            <w:gridSpan w:val="2"/>
          </w:tcPr>
          <w:p>
            <w:pPr>
              <w:pStyle w:val="nTable"/>
              <w:spacing w:after="40"/>
              <w:rPr>
                <w:sz w:val="19"/>
              </w:rPr>
            </w:pPr>
            <w:r>
              <w:rPr>
                <w:sz w:val="19"/>
              </w:rPr>
              <w:t>9 Jan 1946</w:t>
            </w:r>
          </w:p>
        </w:tc>
        <w:tc>
          <w:tcPr>
            <w:tcW w:w="2550" w:type="dxa"/>
            <w:gridSpan w:val="3"/>
          </w:tcPr>
          <w:p>
            <w:pPr>
              <w:pStyle w:val="nTable"/>
              <w:spacing w:after="40"/>
              <w:rPr>
                <w:sz w:val="19"/>
              </w:rPr>
            </w:pPr>
            <w:r>
              <w:rPr>
                <w:sz w:val="19"/>
              </w:rPr>
              <w:t xml:space="preserve">29 Mar 1946 (see s. 1 and </w:t>
            </w:r>
            <w:r>
              <w:rPr>
                <w:i/>
                <w:sz w:val="19"/>
              </w:rPr>
              <w:t xml:space="preserve">Gazette </w:t>
            </w:r>
            <w:r>
              <w:rPr>
                <w:sz w:val="19"/>
              </w:rPr>
              <w:t>29 Mar 1946 p. 310)</w:t>
            </w:r>
          </w:p>
        </w:tc>
      </w:tr>
      <w:tr>
        <w:tc>
          <w:tcPr>
            <w:tcW w:w="2264" w:type="dxa"/>
            <w:gridSpan w:val="2"/>
          </w:tcPr>
          <w:p>
            <w:pPr>
              <w:pStyle w:val="nTable"/>
              <w:spacing w:after="40"/>
              <w:rPr>
                <w:sz w:val="19"/>
              </w:rPr>
            </w:pPr>
            <w:r>
              <w:rPr>
                <w:i/>
                <w:sz w:val="19"/>
              </w:rPr>
              <w:t>Electricity Act Amendment Act 1953</w:t>
            </w:r>
          </w:p>
        </w:tc>
        <w:tc>
          <w:tcPr>
            <w:tcW w:w="1134" w:type="dxa"/>
            <w:gridSpan w:val="2"/>
          </w:tcPr>
          <w:p>
            <w:pPr>
              <w:pStyle w:val="nTable"/>
              <w:spacing w:after="40"/>
              <w:rPr>
                <w:sz w:val="19"/>
              </w:rPr>
            </w:pPr>
            <w:r>
              <w:rPr>
                <w:sz w:val="19"/>
              </w:rPr>
              <w:t>72 of 1953</w:t>
            </w:r>
            <w:r>
              <w:rPr>
                <w:sz w:val="19"/>
              </w:rPr>
              <w:br/>
              <w:t>(2 Eliz. II No. 72)</w:t>
            </w:r>
          </w:p>
        </w:tc>
        <w:tc>
          <w:tcPr>
            <w:tcW w:w="1134" w:type="dxa"/>
            <w:gridSpan w:val="2"/>
          </w:tcPr>
          <w:p>
            <w:pPr>
              <w:pStyle w:val="nTable"/>
              <w:spacing w:after="40"/>
              <w:rPr>
                <w:sz w:val="19"/>
              </w:rPr>
            </w:pPr>
            <w:r>
              <w:rPr>
                <w:sz w:val="19"/>
              </w:rPr>
              <w:t>9 Jan 1954</w:t>
            </w:r>
          </w:p>
        </w:tc>
        <w:tc>
          <w:tcPr>
            <w:tcW w:w="2550" w:type="dxa"/>
            <w:gridSpan w:val="3"/>
          </w:tcPr>
          <w:p>
            <w:pPr>
              <w:pStyle w:val="nTable"/>
              <w:spacing w:after="40"/>
              <w:rPr>
                <w:sz w:val="19"/>
              </w:rPr>
            </w:pPr>
            <w:r>
              <w:rPr>
                <w:sz w:val="19"/>
              </w:rPr>
              <w:t>9 Jan 1954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tc>
          <w:tcPr>
            <w:tcW w:w="2264"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0" w:type="dxa"/>
            <w:gridSpan w:val="3"/>
          </w:tcPr>
          <w:p>
            <w:pPr>
              <w:pStyle w:val="nTable"/>
              <w:spacing w:after="40"/>
              <w:rPr>
                <w:sz w:val="19"/>
              </w:rPr>
            </w:pPr>
            <w:r>
              <w:rPr>
                <w:sz w:val="19"/>
              </w:rPr>
              <w:t>Act other than s. 4-9: 21 Dec 1965 (see s. 2(1));</w:t>
            </w:r>
            <w:r>
              <w:rPr>
                <w:sz w:val="19"/>
              </w:rPr>
              <w:br/>
              <w:t>s. 4-9: 14 Feb 1966 (see s. 2(2))</w:t>
            </w:r>
          </w:p>
        </w:tc>
      </w:tr>
      <w:tr>
        <w:tc>
          <w:tcPr>
            <w:tcW w:w="2264" w:type="dxa"/>
            <w:gridSpan w:val="2"/>
          </w:tcPr>
          <w:p>
            <w:pPr>
              <w:pStyle w:val="nTable"/>
              <w:spacing w:after="40"/>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0" w:type="dxa"/>
            <w:gridSpan w:val="3"/>
          </w:tcPr>
          <w:p>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tc>
          <w:tcPr>
            <w:tcW w:w="2264" w:type="dxa"/>
            <w:gridSpan w:val="2"/>
          </w:tcPr>
          <w:p>
            <w:pPr>
              <w:pStyle w:val="nTable"/>
              <w:spacing w:after="40"/>
              <w:rPr>
                <w:sz w:val="19"/>
              </w:rPr>
            </w:pPr>
            <w:r>
              <w:rPr>
                <w:i/>
                <w:sz w:val="19"/>
              </w:rPr>
              <w:t>Electricity Act Amendment Act 1979</w:t>
            </w:r>
          </w:p>
        </w:tc>
        <w:tc>
          <w:tcPr>
            <w:tcW w:w="1134" w:type="dxa"/>
            <w:gridSpan w:val="2"/>
          </w:tcPr>
          <w:p>
            <w:pPr>
              <w:pStyle w:val="nTable"/>
              <w:spacing w:after="40"/>
              <w:rPr>
                <w:sz w:val="19"/>
              </w:rPr>
            </w:pPr>
            <w:r>
              <w:rPr>
                <w:sz w:val="19"/>
              </w:rPr>
              <w:t>86 of 1979</w:t>
            </w:r>
          </w:p>
        </w:tc>
        <w:tc>
          <w:tcPr>
            <w:tcW w:w="1134" w:type="dxa"/>
            <w:gridSpan w:val="2"/>
          </w:tcPr>
          <w:p>
            <w:pPr>
              <w:pStyle w:val="nTable"/>
              <w:spacing w:after="40"/>
              <w:rPr>
                <w:sz w:val="19"/>
              </w:rPr>
            </w:pPr>
            <w:r>
              <w:rPr>
                <w:sz w:val="19"/>
              </w:rPr>
              <w:t>11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tc>
          <w:tcPr>
            <w:tcW w:w="2264"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0" w:type="dxa"/>
            <w:gridSpan w:val="3"/>
          </w:tcPr>
          <w:p>
            <w:pPr>
              <w:pStyle w:val="nTable"/>
              <w:spacing w:after="40"/>
              <w:rPr>
                <w:sz w:val="19"/>
              </w:rPr>
            </w:pPr>
            <w:r>
              <w:rPr>
                <w:sz w:val="19"/>
              </w:rPr>
              <w:t xml:space="preserve">1 Apr 1986 (see s. 2 and </w:t>
            </w:r>
            <w:r>
              <w:rPr>
                <w:i/>
                <w:sz w:val="19"/>
              </w:rPr>
              <w:t xml:space="preserve">Gazette </w:t>
            </w:r>
            <w:r>
              <w:rPr>
                <w:sz w:val="19"/>
              </w:rPr>
              <w:t>28 Feb 1986 p. 605)</w:t>
            </w:r>
          </w:p>
        </w:tc>
      </w:tr>
      <w:tr>
        <w:tc>
          <w:tcPr>
            <w:tcW w:w="2264" w:type="dxa"/>
            <w:gridSpan w:val="2"/>
          </w:tcPr>
          <w:p>
            <w:pPr>
              <w:pStyle w:val="nTable"/>
              <w:spacing w:after="40"/>
              <w:rPr>
                <w:sz w:val="19"/>
              </w:rPr>
            </w:pPr>
            <w:r>
              <w:rPr>
                <w:i/>
                <w:sz w:val="19"/>
              </w:rPr>
              <w:t>Electricity Amendment Act 1988</w:t>
            </w:r>
          </w:p>
        </w:tc>
        <w:tc>
          <w:tcPr>
            <w:tcW w:w="1134" w:type="dxa"/>
            <w:gridSpan w:val="2"/>
          </w:tcPr>
          <w:p>
            <w:pPr>
              <w:pStyle w:val="nTable"/>
              <w:spacing w:after="40"/>
              <w:rPr>
                <w:sz w:val="19"/>
              </w:rPr>
            </w:pPr>
            <w:r>
              <w:rPr>
                <w:sz w:val="19"/>
              </w:rPr>
              <w:t>42 of 1988</w:t>
            </w:r>
          </w:p>
        </w:tc>
        <w:tc>
          <w:tcPr>
            <w:tcW w:w="1134" w:type="dxa"/>
            <w:gridSpan w:val="2"/>
          </w:tcPr>
          <w:p>
            <w:pPr>
              <w:pStyle w:val="nTable"/>
              <w:spacing w:after="40"/>
              <w:rPr>
                <w:sz w:val="19"/>
              </w:rPr>
            </w:pPr>
            <w:r>
              <w:rPr>
                <w:sz w:val="19"/>
              </w:rPr>
              <w:t>30 Nov 1988</w:t>
            </w:r>
          </w:p>
        </w:tc>
        <w:tc>
          <w:tcPr>
            <w:tcW w:w="2550" w:type="dxa"/>
            <w:gridSpan w:val="3"/>
          </w:tcPr>
          <w:p>
            <w:pPr>
              <w:pStyle w:val="nTable"/>
              <w:spacing w:after="40"/>
              <w:rPr>
                <w:sz w:val="19"/>
              </w:rPr>
            </w:pPr>
            <w:r>
              <w:rPr>
                <w:sz w:val="19"/>
              </w:rPr>
              <w:t>30 Nov 1988 (see s. 2)</w:t>
            </w:r>
          </w:p>
        </w:tc>
      </w:tr>
      <w:tr>
        <w:tc>
          <w:tcPr>
            <w:tcW w:w="2264" w:type="dxa"/>
            <w:gridSpan w:val="2"/>
          </w:tcPr>
          <w:p>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0" w:type="dxa"/>
            <w:gridSpan w:val="3"/>
          </w:tcPr>
          <w:p>
            <w:pPr>
              <w:pStyle w:val="nTable"/>
              <w:spacing w:after="40"/>
              <w:rPr>
                <w:sz w:val="19"/>
              </w:rPr>
            </w:pPr>
            <w:r>
              <w:rPr>
                <w:sz w:val="19"/>
              </w:rPr>
              <w:t xml:space="preserve">1 Jan 1995 (see s. 2(2) and </w:t>
            </w:r>
            <w:r>
              <w:rPr>
                <w:i/>
                <w:sz w:val="19"/>
              </w:rPr>
              <w:t xml:space="preserve">Gazette </w:t>
            </w:r>
            <w:r>
              <w:rPr>
                <w:sz w:val="19"/>
              </w:rPr>
              <w:t>23 Dec 1994 p. 7069)</w:t>
            </w:r>
          </w:p>
        </w:tc>
      </w:tr>
      <w:tr>
        <w:tc>
          <w:tcPr>
            <w:tcW w:w="2264" w:type="dxa"/>
            <w:gridSpan w:val="2"/>
          </w:tcPr>
          <w:p>
            <w:pPr>
              <w:pStyle w:val="nTable"/>
              <w:spacing w:after="40"/>
              <w:rPr>
                <w:sz w:val="19"/>
              </w:rPr>
            </w:pPr>
            <w:r>
              <w:rPr>
                <w:i/>
                <w:sz w:val="19"/>
              </w:rPr>
              <w:t>Sentencing (Consequential Provisions) Act 1995</w:t>
            </w:r>
            <w:r>
              <w:rPr>
                <w:sz w:val="19"/>
              </w:rPr>
              <w:t xml:space="preserve"> Pt. 27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c>
          <w:tcPr>
            <w:tcW w:w="2264" w:type="dxa"/>
            <w:gridSpan w:val="2"/>
          </w:tcPr>
          <w:p>
            <w:pPr>
              <w:pStyle w:val="nTable"/>
              <w:spacing w:after="40"/>
              <w:rPr>
                <w:sz w:val="19"/>
              </w:rPr>
            </w:pPr>
            <w:r>
              <w:rPr>
                <w:i/>
                <w:sz w:val="19"/>
              </w:rPr>
              <w:t>Electricity Amendment Act 1996</w:t>
            </w:r>
          </w:p>
        </w:tc>
        <w:tc>
          <w:tcPr>
            <w:tcW w:w="1134" w:type="dxa"/>
            <w:gridSpan w:val="2"/>
          </w:tcPr>
          <w:p>
            <w:pPr>
              <w:pStyle w:val="nTable"/>
              <w:spacing w:after="40"/>
              <w:rPr>
                <w:sz w:val="19"/>
              </w:rPr>
            </w:pPr>
            <w:r>
              <w:rPr>
                <w:sz w:val="19"/>
              </w:rPr>
              <w:t>63 of 1996</w:t>
            </w:r>
          </w:p>
        </w:tc>
        <w:tc>
          <w:tcPr>
            <w:tcW w:w="1134" w:type="dxa"/>
            <w:gridSpan w:val="2"/>
          </w:tcPr>
          <w:p>
            <w:pPr>
              <w:pStyle w:val="nTable"/>
              <w:spacing w:after="40"/>
              <w:rPr>
                <w:sz w:val="19"/>
              </w:rPr>
            </w:pPr>
            <w:r>
              <w:rPr>
                <w:sz w:val="19"/>
              </w:rPr>
              <w:t>11 Nov 1996</w:t>
            </w:r>
          </w:p>
        </w:tc>
        <w:tc>
          <w:tcPr>
            <w:tcW w:w="2550" w:type="dxa"/>
            <w:gridSpan w:val="3"/>
          </w:tcPr>
          <w:p>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trPr>
          <w:cantSplit/>
        </w:trPr>
        <w:tc>
          <w:tcPr>
            <w:tcW w:w="7082" w:type="dxa"/>
            <w:gridSpan w:val="9"/>
          </w:tcPr>
          <w:p>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tc>
          <w:tcPr>
            <w:tcW w:w="2264" w:type="dxa"/>
            <w:gridSpan w:val="2"/>
          </w:tcPr>
          <w:p>
            <w:pPr>
              <w:pStyle w:val="nTable"/>
              <w:spacing w:after="40"/>
              <w:rPr>
                <w:sz w:val="19"/>
              </w:rPr>
            </w:pPr>
            <w:r>
              <w:rPr>
                <w:i/>
                <w:sz w:val="19"/>
              </w:rPr>
              <w:t>Acts Amendment (Land Administration) Act 1997</w:t>
            </w:r>
            <w:r>
              <w:rPr>
                <w:sz w:val="19"/>
              </w:rPr>
              <w:t xml:space="preserve"> Pt. 23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0"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4" w:type="dxa"/>
            <w:gridSpan w:val="2"/>
          </w:tcPr>
          <w:p>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0" w:type="dxa"/>
            <w:gridSpan w:val="3"/>
          </w:tcPr>
          <w:p>
            <w:pPr>
              <w:pStyle w:val="nTable"/>
              <w:spacing w:after="40"/>
              <w:rPr>
                <w:sz w:val="19"/>
              </w:rPr>
            </w:pPr>
            <w:r>
              <w:rPr>
                <w:sz w:val="19"/>
              </w:rPr>
              <w:t>30 Apr 1998 (see s. 2(1))</w:t>
            </w:r>
          </w:p>
        </w:tc>
      </w:tr>
      <w:tr>
        <w:tc>
          <w:tcPr>
            <w:tcW w:w="2264" w:type="dxa"/>
            <w:gridSpan w:val="2"/>
          </w:tcPr>
          <w:p>
            <w:pPr>
              <w:pStyle w:val="nTable"/>
              <w:spacing w:after="4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cantSplit/>
        </w:trPr>
        <w:tc>
          <w:tcPr>
            <w:tcW w:w="7082" w:type="dxa"/>
            <w:gridSpan w:val="9"/>
          </w:tcPr>
          <w:p>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tc>
          <w:tcPr>
            <w:tcW w:w="2264" w:type="dxa"/>
            <w:gridSpan w:val="2"/>
          </w:tcPr>
          <w:p>
            <w:pPr>
              <w:pStyle w:val="nTable"/>
              <w:spacing w:after="40"/>
              <w:rPr>
                <w:i/>
                <w:sz w:val="19"/>
              </w:rPr>
            </w:pPr>
            <w:r>
              <w:rPr>
                <w:i/>
                <w:sz w:val="19"/>
              </w:rPr>
              <w:t xml:space="preserve">Statutes (Repeals and Minor Amendments) Act 2003 </w:t>
            </w:r>
            <w:r>
              <w:rPr>
                <w:sz w:val="19"/>
              </w:rPr>
              <w:t>s. 48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0" w:type="dxa"/>
            <w:gridSpan w:val="3"/>
          </w:tcPr>
          <w:p>
            <w:pPr>
              <w:pStyle w:val="nTable"/>
              <w:spacing w:after="40"/>
              <w:rPr>
                <w:sz w:val="19"/>
              </w:rPr>
            </w:pPr>
            <w:r>
              <w:rPr>
                <w:spacing w:val="-2"/>
                <w:sz w:val="19"/>
              </w:rPr>
              <w:t>15 Dec 2003 (see s. 2)</w:t>
            </w:r>
          </w:p>
        </w:tc>
      </w:tr>
      <w:tr>
        <w:tc>
          <w:tcPr>
            <w:tcW w:w="2264" w:type="dxa"/>
            <w:gridSpan w:val="2"/>
          </w:tcPr>
          <w:p>
            <w:pPr>
              <w:pStyle w:val="nTable"/>
              <w:spacing w:after="40"/>
              <w:rPr>
                <w:sz w:val="19"/>
              </w:rPr>
            </w:pPr>
            <w:r>
              <w:rPr>
                <w:i/>
                <w:sz w:val="19"/>
              </w:rPr>
              <w:t>Electricity Legislation Amendment Act 2004</w:t>
            </w:r>
            <w:r>
              <w:rPr>
                <w:sz w:val="19"/>
              </w:rPr>
              <w:t xml:space="preserve"> Pt. 2 Div. 1</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0" w:type="dxa"/>
            <w:gridSpan w:val="3"/>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4" w:type="dxa"/>
            <w:gridSpan w:val="2"/>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0"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4" w:type="dxa"/>
            <w:gridSpan w:val="2"/>
          </w:tcPr>
          <w:p>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4" w:type="dxa"/>
            <w:gridSpan w:val="2"/>
          </w:tcPr>
          <w:p>
            <w:pPr>
              <w:pStyle w:val="nTable"/>
              <w:spacing w:after="40"/>
              <w:rPr>
                <w:iCs/>
                <w:sz w:val="19"/>
              </w:rPr>
            </w:pPr>
            <w:r>
              <w:rPr>
                <w:i/>
                <w:sz w:val="19"/>
              </w:rPr>
              <w:t>Electricity Corporations Act 2005</w:t>
            </w:r>
            <w:r>
              <w:rPr>
                <w:iCs/>
                <w:sz w:val="19"/>
              </w:rPr>
              <w:t xml:space="preserve"> s. 139</w:t>
            </w:r>
          </w:p>
        </w:tc>
        <w:tc>
          <w:tcPr>
            <w:tcW w:w="1134" w:type="dxa"/>
            <w:gridSpan w:val="2"/>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50" w:type="dxa"/>
            <w:gridSpan w:val="3"/>
          </w:tcPr>
          <w:p>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trPr>
          <w:cantSplit/>
        </w:trPr>
        <w:tc>
          <w:tcPr>
            <w:tcW w:w="7082" w:type="dxa"/>
            <w:gridSpan w:val="9"/>
          </w:tcPr>
          <w:p>
            <w:pPr>
              <w:pStyle w:val="nTable"/>
              <w:spacing w:after="40"/>
              <w:rPr>
                <w:spacing w:val="-2"/>
                <w:sz w:val="19"/>
              </w:rPr>
            </w:pPr>
            <w:r>
              <w:rPr>
                <w:b/>
                <w:sz w:val="19"/>
              </w:rPr>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trPr>
          <w:cantSplit/>
        </w:trPr>
        <w:tc>
          <w:tcPr>
            <w:tcW w:w="2264"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0"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4" w:type="dxa"/>
            <w:gridSpan w:val="2"/>
          </w:tcPr>
          <w:p>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pPr>
              <w:pStyle w:val="nTable"/>
              <w:spacing w:after="40"/>
              <w:rPr>
                <w:snapToGrid w:val="0"/>
                <w:sz w:val="19"/>
                <w:lang w:val="en-US"/>
              </w:rPr>
            </w:pPr>
            <w:r>
              <w:rPr>
                <w:snapToGrid w:val="0"/>
                <w:sz w:val="19"/>
                <w:lang w:val="en-US"/>
              </w:rPr>
              <w:t>5 of 2007</w:t>
            </w:r>
          </w:p>
        </w:tc>
        <w:tc>
          <w:tcPr>
            <w:tcW w:w="1134" w:type="dxa"/>
            <w:gridSpan w:val="2"/>
          </w:tcPr>
          <w:p>
            <w:pPr>
              <w:pStyle w:val="nTable"/>
              <w:spacing w:after="40"/>
              <w:rPr>
                <w:snapToGrid w:val="0"/>
                <w:sz w:val="19"/>
                <w:lang w:val="en-US"/>
              </w:rPr>
            </w:pPr>
            <w:r>
              <w:rPr>
                <w:snapToGrid w:val="0"/>
                <w:sz w:val="19"/>
                <w:lang w:val="en-US"/>
              </w:rPr>
              <w:t>18 Apr 2007</w:t>
            </w:r>
          </w:p>
        </w:tc>
        <w:tc>
          <w:tcPr>
            <w:tcW w:w="2550" w:type="dxa"/>
            <w:gridSpan w:val="3"/>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7082" w:type="dxa"/>
            <w:gridSpan w:val="9"/>
          </w:tcPr>
          <w:p>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trPr>
          <w:gridBefore w:val="1"/>
          <w:gridAfter w:val="1"/>
          <w:wBefore w:w="10" w:type="dxa"/>
          <w:wAfter w:w="20"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21" w:type="dxa"/>
          </w:tcPr>
          <w:p>
            <w:pPr>
              <w:pStyle w:val="nTable"/>
              <w:spacing w:after="40"/>
              <w:rPr>
                <w:sz w:val="19"/>
              </w:rPr>
            </w:pPr>
            <w:r>
              <w:rPr>
                <w:sz w:val="19"/>
              </w:rPr>
              <w:t>22 May 2009 (see s. 2(b))</w:t>
            </w:r>
          </w:p>
        </w:tc>
      </w:tr>
      <w:tr>
        <w:trPr>
          <w:cantSplit/>
        </w:trPr>
        <w:tc>
          <w:tcPr>
            <w:tcW w:w="2264"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0"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4" w:type="dxa"/>
            <w:gridSpan w:val="2"/>
            <w:tcBorders>
              <w:bottom w:val="single" w:sz="8" w:space="0" w:color="auto"/>
            </w:tcBorders>
          </w:tcPr>
          <w:p>
            <w:pPr>
              <w:pStyle w:val="nTable"/>
              <w:spacing w:after="40"/>
              <w:ind w:right="113"/>
            </w:pPr>
            <w:r>
              <w:rPr>
                <w:i/>
                <w:snapToGrid w:val="0"/>
                <w:sz w:val="19"/>
                <w:lang w:val="en-US"/>
              </w:rPr>
              <w:t>Statutes (Repeals and Minor Amendments) Act 2011</w:t>
            </w:r>
            <w:r>
              <w:t xml:space="preserve"> s. 27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25 Oct 2011</w:t>
            </w:r>
          </w:p>
        </w:tc>
        <w:tc>
          <w:tcPr>
            <w:tcW w:w="2550" w:type="dxa"/>
            <w:gridSpan w:val="3"/>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ins w:id="455" w:author="svcMRProcess" w:date="2015-12-16T18:33:00Z"/>
        </w:rPr>
      </w:pPr>
      <w:ins w:id="456" w:author="svcMRProcess" w:date="2015-12-16T18:33:00Z">
        <w:r>
          <w:rPr>
            <w:vertAlign w:val="superscript"/>
          </w:rPr>
          <w:t>1a</w:t>
        </w:r>
        <w:r>
          <w:tab/>
          <w:t>On the date as at which thi</w:t>
        </w:r>
        <w:bookmarkStart w:id="457" w:name="_Hlt507390729"/>
        <w:bookmarkEnd w:id="45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8" w:author="svcMRProcess" w:date="2015-12-16T18:33:00Z"/>
          <w:snapToGrid w:val="0"/>
        </w:rPr>
      </w:pPr>
      <w:bookmarkStart w:id="459" w:name="_Toc511102521"/>
      <w:bookmarkStart w:id="460" w:name="_Toc119920599"/>
      <w:bookmarkStart w:id="461" w:name="_Toc325701716"/>
      <w:bookmarkStart w:id="462" w:name="_Toc334449632"/>
      <w:ins w:id="463" w:author="svcMRProcess" w:date="2015-12-16T18:33:00Z">
        <w:r>
          <w:rPr>
            <w:snapToGrid w:val="0"/>
          </w:rPr>
          <w:t>Provisions that have not come into operation</w:t>
        </w:r>
        <w:bookmarkEnd w:id="459"/>
        <w:bookmarkEnd w:id="460"/>
        <w:bookmarkEnd w:id="461"/>
        <w:bookmarkEnd w:id="462"/>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464" w:author="svcMRProcess" w:date="2015-12-16T18:33:00Z"/>
        </w:trPr>
        <w:tc>
          <w:tcPr>
            <w:tcW w:w="2280" w:type="dxa"/>
            <w:tcBorders>
              <w:top w:val="single" w:sz="8" w:space="0" w:color="auto"/>
              <w:bottom w:val="single" w:sz="8" w:space="0" w:color="auto"/>
            </w:tcBorders>
          </w:tcPr>
          <w:p>
            <w:pPr>
              <w:pStyle w:val="nTable"/>
              <w:keepNext/>
              <w:spacing w:before="60" w:after="60"/>
              <w:ind w:right="113"/>
              <w:rPr>
                <w:ins w:id="465" w:author="svcMRProcess" w:date="2015-12-16T18:33:00Z"/>
                <w:b/>
                <w:sz w:val="19"/>
                <w:szCs w:val="19"/>
              </w:rPr>
            </w:pPr>
            <w:ins w:id="466" w:author="svcMRProcess" w:date="2015-12-16T18:33: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467" w:author="svcMRProcess" w:date="2015-12-16T18:33:00Z"/>
                <w:b/>
                <w:sz w:val="19"/>
                <w:szCs w:val="19"/>
              </w:rPr>
            </w:pPr>
            <w:ins w:id="468" w:author="svcMRProcess" w:date="2015-12-16T18:33: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469" w:author="svcMRProcess" w:date="2015-12-16T18:33:00Z"/>
                <w:b/>
                <w:sz w:val="19"/>
                <w:szCs w:val="19"/>
              </w:rPr>
            </w:pPr>
            <w:ins w:id="470" w:author="svcMRProcess" w:date="2015-12-16T18:33: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471" w:author="svcMRProcess" w:date="2015-12-16T18:33:00Z"/>
                <w:b/>
                <w:sz w:val="19"/>
                <w:szCs w:val="19"/>
              </w:rPr>
            </w:pPr>
            <w:ins w:id="472" w:author="svcMRProcess" w:date="2015-12-16T18:33:00Z">
              <w:r>
                <w:rPr>
                  <w:b/>
                  <w:sz w:val="19"/>
                  <w:szCs w:val="19"/>
                </w:rPr>
                <w:t>Commencement</w:t>
              </w:r>
            </w:ins>
          </w:p>
        </w:tc>
      </w:tr>
      <w:tr>
        <w:trPr>
          <w:cantSplit/>
          <w:ins w:id="473" w:author="svcMRProcess" w:date="2015-12-16T18:33:00Z"/>
        </w:trPr>
        <w:tc>
          <w:tcPr>
            <w:tcW w:w="2280" w:type="dxa"/>
            <w:tcBorders>
              <w:bottom w:val="single" w:sz="4" w:space="0" w:color="auto"/>
            </w:tcBorders>
          </w:tcPr>
          <w:p>
            <w:pPr>
              <w:pStyle w:val="nTable"/>
              <w:spacing w:before="120"/>
              <w:ind w:right="113"/>
              <w:rPr>
                <w:ins w:id="474" w:author="svcMRProcess" w:date="2015-12-16T18:33:00Z"/>
                <w:snapToGrid w:val="0"/>
                <w:sz w:val="19"/>
                <w:szCs w:val="19"/>
              </w:rPr>
            </w:pPr>
            <w:ins w:id="475" w:author="svcMRProcess" w:date="2015-12-16T18:33:00Z">
              <w:r>
                <w:rPr>
                  <w:i/>
                  <w:snapToGrid w:val="0"/>
                  <w:sz w:val="19"/>
                  <w:szCs w:val="19"/>
                </w:rPr>
                <w:t>Commercial Arbitration Act 2012</w:t>
              </w:r>
              <w:r>
                <w:rPr>
                  <w:snapToGrid w:val="0"/>
                  <w:sz w:val="19"/>
                  <w:szCs w:val="19"/>
                </w:rPr>
                <w:t xml:space="preserve"> s. 45 it. 6</w:t>
              </w:r>
              <w:r>
                <w:rPr>
                  <w:snapToGrid w:val="0"/>
                  <w:sz w:val="19"/>
                  <w:szCs w:val="19"/>
                  <w:vertAlign w:val="superscript"/>
                </w:rPr>
                <w:t> 8</w:t>
              </w:r>
            </w:ins>
          </w:p>
        </w:tc>
        <w:tc>
          <w:tcPr>
            <w:tcW w:w="1080" w:type="dxa"/>
            <w:tcBorders>
              <w:bottom w:val="single" w:sz="4" w:space="0" w:color="auto"/>
            </w:tcBorders>
          </w:tcPr>
          <w:p>
            <w:pPr>
              <w:pStyle w:val="nTable"/>
              <w:keepNext/>
              <w:spacing w:before="120"/>
              <w:rPr>
                <w:ins w:id="476" w:author="svcMRProcess" w:date="2015-12-16T18:33:00Z"/>
                <w:snapToGrid w:val="0"/>
                <w:sz w:val="19"/>
                <w:szCs w:val="19"/>
              </w:rPr>
            </w:pPr>
            <w:ins w:id="477" w:author="svcMRProcess" w:date="2015-12-16T18:33:00Z">
              <w:r>
                <w:rPr>
                  <w:snapToGrid w:val="0"/>
                  <w:sz w:val="19"/>
                  <w:szCs w:val="19"/>
                </w:rPr>
                <w:t>23 of 2012</w:t>
              </w:r>
            </w:ins>
          </w:p>
        </w:tc>
        <w:tc>
          <w:tcPr>
            <w:tcW w:w="1200" w:type="dxa"/>
            <w:tcBorders>
              <w:bottom w:val="single" w:sz="4" w:space="0" w:color="auto"/>
            </w:tcBorders>
          </w:tcPr>
          <w:p>
            <w:pPr>
              <w:pStyle w:val="nTable"/>
              <w:keepNext/>
              <w:spacing w:before="120"/>
              <w:rPr>
                <w:ins w:id="478" w:author="svcMRProcess" w:date="2015-12-16T18:33:00Z"/>
                <w:snapToGrid w:val="0"/>
                <w:sz w:val="19"/>
                <w:szCs w:val="19"/>
                <w:lang w:val="en-US"/>
              </w:rPr>
            </w:pPr>
            <w:ins w:id="479" w:author="svcMRProcess" w:date="2015-12-16T18:33:00Z">
              <w:r>
                <w:rPr>
                  <w:snapToGrid w:val="0"/>
                  <w:sz w:val="19"/>
                  <w:szCs w:val="19"/>
                  <w:lang w:val="en-US"/>
                </w:rPr>
                <w:t>29 Aug 2012</w:t>
              </w:r>
            </w:ins>
          </w:p>
        </w:tc>
        <w:tc>
          <w:tcPr>
            <w:tcW w:w="2556" w:type="dxa"/>
            <w:tcBorders>
              <w:bottom w:val="single" w:sz="4" w:space="0" w:color="auto"/>
            </w:tcBorders>
          </w:tcPr>
          <w:p>
            <w:pPr>
              <w:pStyle w:val="nTable"/>
              <w:keepNext/>
              <w:spacing w:before="120"/>
              <w:rPr>
                <w:ins w:id="480" w:author="svcMRProcess" w:date="2015-12-16T18:33:00Z"/>
                <w:snapToGrid w:val="0"/>
                <w:sz w:val="19"/>
                <w:szCs w:val="19"/>
                <w:lang w:val="en-US"/>
              </w:rPr>
            </w:pPr>
            <w:ins w:id="481" w:author="svcMRProcess" w:date="2015-12-16T18:33:00Z">
              <w:r>
                <w:rPr>
                  <w:snapToGrid w:val="0"/>
                  <w:sz w:val="19"/>
                  <w:szCs w:val="19"/>
                  <w:lang w:val="en-US"/>
                </w:rPr>
                <w:t>To be proclaimed (see s. 1B(b))</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p>
    <w:p>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pPr>
        <w:pStyle w:val="MiscOpen"/>
        <w:spacing w:before="40"/>
        <w:rPr>
          <w:snapToGrid w:val="0"/>
        </w:rPr>
      </w:pPr>
      <w:r>
        <w:rPr>
          <w:snapToGrid w:val="0"/>
        </w:rPr>
        <w:t>“</w:t>
      </w: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MiscClose"/>
        <w:rPr>
          <w:snapToGrid w:val="0"/>
        </w:rPr>
      </w:pPr>
      <w:r>
        <w:rPr>
          <w:snapToGrid w:val="0"/>
        </w:rPr>
        <w:t>”.</w:t>
      </w:r>
    </w:p>
    <w:p>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482" w:author="svcMRProcess" w:date="2015-12-16T18:33:00Z"/>
          <w:snapToGrid w:val="0"/>
        </w:rPr>
      </w:pPr>
      <w:ins w:id="483" w:author="svcMRProcess" w:date="2015-12-16T18:33: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6</w:t>
        </w:r>
        <w:r>
          <w:rPr>
            <w:snapToGrid w:val="0"/>
          </w:rPr>
          <w:t xml:space="preserve"> had not come into operation.  It reads as follows:</w:t>
        </w:r>
      </w:ins>
    </w:p>
    <w:p>
      <w:pPr>
        <w:pStyle w:val="BlankOpen"/>
        <w:rPr>
          <w:ins w:id="484" w:author="svcMRProcess" w:date="2015-12-16T18:33:00Z"/>
          <w:snapToGrid w:val="0"/>
        </w:rPr>
      </w:pPr>
    </w:p>
    <w:p>
      <w:pPr>
        <w:pStyle w:val="nzHeading5"/>
        <w:rPr>
          <w:ins w:id="485" w:author="svcMRProcess" w:date="2015-12-16T18:33:00Z"/>
        </w:rPr>
      </w:pPr>
      <w:bookmarkStart w:id="486" w:name="_Toc334103225"/>
      <w:bookmarkStart w:id="487" w:name="_Toc334103326"/>
      <w:ins w:id="488" w:author="svcMRProcess" w:date="2015-12-16T18:33:00Z">
        <w:r>
          <w:rPr>
            <w:rStyle w:val="CharSectno"/>
          </w:rPr>
          <w:t>45</w:t>
        </w:r>
        <w:r>
          <w:t>.</w:t>
        </w:r>
        <w:r>
          <w:tab/>
          <w:t>Acts amended</w:t>
        </w:r>
        <w:bookmarkEnd w:id="486"/>
        <w:bookmarkEnd w:id="487"/>
      </w:ins>
    </w:p>
    <w:p>
      <w:pPr>
        <w:pStyle w:val="nzSubsection"/>
        <w:rPr>
          <w:ins w:id="489" w:author="svcMRProcess" w:date="2015-12-16T18:33:00Z"/>
        </w:rPr>
      </w:pPr>
      <w:ins w:id="490" w:author="svcMRProcess" w:date="2015-12-16T18:33:00Z">
        <w:r>
          <w:tab/>
          <w:t>(1)</w:t>
        </w:r>
        <w:r>
          <w:tab/>
          <w:t>This section amends the Acts listed in the Table.</w:t>
        </w:r>
      </w:ins>
    </w:p>
    <w:p>
      <w:pPr>
        <w:pStyle w:val="nzSubsection"/>
        <w:rPr>
          <w:ins w:id="491" w:author="svcMRProcess" w:date="2015-12-16T18:33:00Z"/>
        </w:rPr>
      </w:pPr>
      <w:ins w:id="492" w:author="svcMRProcess" w:date="2015-12-16T18:33:00Z">
        <w:r>
          <w:tab/>
          <w:t>(2)</w:t>
        </w:r>
        <w:r>
          <w:tab/>
          <w:t>Amend the provisions listed in the Table as set out in the Table.</w:t>
        </w:r>
      </w:ins>
    </w:p>
    <w:p>
      <w:pPr>
        <w:pStyle w:val="THeading"/>
        <w:rPr>
          <w:ins w:id="493" w:author="svcMRProcess" w:date="2015-12-16T18:33:00Z"/>
        </w:rPr>
      </w:pPr>
      <w:ins w:id="494" w:author="svcMRProcess" w:date="2015-12-16T18:33: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495" w:author="svcMRProcess" w:date="2015-12-16T18:33:00Z"/>
        </w:trPr>
        <w:tc>
          <w:tcPr>
            <w:tcW w:w="2267" w:type="dxa"/>
          </w:tcPr>
          <w:p>
            <w:pPr>
              <w:pStyle w:val="TableAm"/>
              <w:keepNext/>
              <w:jc w:val="center"/>
              <w:rPr>
                <w:ins w:id="496" w:author="svcMRProcess" w:date="2015-12-16T18:33:00Z"/>
                <w:b/>
                <w:bCs/>
                <w:sz w:val="20"/>
              </w:rPr>
            </w:pPr>
            <w:ins w:id="497" w:author="svcMRProcess" w:date="2015-12-16T18:33:00Z">
              <w:r>
                <w:rPr>
                  <w:b/>
                  <w:bCs/>
                  <w:sz w:val="20"/>
                </w:rPr>
                <w:t>Provision</w:t>
              </w:r>
            </w:ins>
          </w:p>
        </w:tc>
        <w:tc>
          <w:tcPr>
            <w:tcW w:w="2268" w:type="dxa"/>
          </w:tcPr>
          <w:p>
            <w:pPr>
              <w:pStyle w:val="TableAm"/>
              <w:keepNext/>
              <w:jc w:val="center"/>
              <w:rPr>
                <w:ins w:id="498" w:author="svcMRProcess" w:date="2015-12-16T18:33:00Z"/>
                <w:b/>
                <w:bCs/>
                <w:sz w:val="20"/>
              </w:rPr>
            </w:pPr>
            <w:ins w:id="499" w:author="svcMRProcess" w:date="2015-12-16T18:33:00Z">
              <w:r>
                <w:rPr>
                  <w:b/>
                  <w:bCs/>
                  <w:sz w:val="20"/>
                </w:rPr>
                <w:t>Delete</w:t>
              </w:r>
            </w:ins>
          </w:p>
        </w:tc>
        <w:tc>
          <w:tcPr>
            <w:tcW w:w="2268" w:type="dxa"/>
          </w:tcPr>
          <w:p>
            <w:pPr>
              <w:pStyle w:val="TableAm"/>
              <w:keepNext/>
              <w:jc w:val="center"/>
              <w:rPr>
                <w:ins w:id="500" w:author="svcMRProcess" w:date="2015-12-16T18:33:00Z"/>
                <w:b/>
                <w:bCs/>
                <w:sz w:val="20"/>
              </w:rPr>
            </w:pPr>
            <w:ins w:id="501" w:author="svcMRProcess" w:date="2015-12-16T18:33:00Z">
              <w:r>
                <w:rPr>
                  <w:b/>
                  <w:bCs/>
                  <w:sz w:val="20"/>
                </w:rPr>
                <w:t>Insert</w:t>
              </w:r>
            </w:ins>
          </w:p>
        </w:tc>
      </w:tr>
      <w:tr>
        <w:trPr>
          <w:cantSplit/>
          <w:jc w:val="center"/>
          <w:ins w:id="502" w:author="svcMRProcess" w:date="2015-12-16T18:33:00Z"/>
        </w:trPr>
        <w:tc>
          <w:tcPr>
            <w:tcW w:w="6803" w:type="dxa"/>
            <w:gridSpan w:val="3"/>
          </w:tcPr>
          <w:p>
            <w:pPr>
              <w:pStyle w:val="TableAm"/>
              <w:keepNext/>
              <w:ind w:left="567" w:hanging="567"/>
              <w:rPr>
                <w:ins w:id="503" w:author="svcMRProcess" w:date="2015-12-16T18:33:00Z"/>
                <w:b/>
                <w:bCs/>
                <w:iCs/>
                <w:sz w:val="20"/>
              </w:rPr>
            </w:pPr>
            <w:ins w:id="504" w:author="svcMRProcess" w:date="2015-12-16T18:33:00Z">
              <w:r>
                <w:rPr>
                  <w:b/>
                  <w:bCs/>
                  <w:sz w:val="20"/>
                </w:rPr>
                <w:t>6.</w:t>
              </w:r>
              <w:r>
                <w:rPr>
                  <w:b/>
                  <w:bCs/>
                  <w:i/>
                  <w:iCs/>
                  <w:sz w:val="20"/>
                </w:rPr>
                <w:tab/>
                <w:t>Electricity Act 1945</w:t>
              </w:r>
            </w:ins>
          </w:p>
        </w:tc>
      </w:tr>
      <w:tr>
        <w:trPr>
          <w:cantSplit/>
          <w:jc w:val="center"/>
          <w:ins w:id="505" w:author="svcMRProcess" w:date="2015-12-16T18:33:00Z"/>
        </w:trPr>
        <w:tc>
          <w:tcPr>
            <w:tcW w:w="2267" w:type="dxa"/>
          </w:tcPr>
          <w:p>
            <w:pPr>
              <w:pStyle w:val="TableAm"/>
              <w:rPr>
                <w:ins w:id="506" w:author="svcMRProcess" w:date="2015-12-16T18:33:00Z"/>
                <w:sz w:val="20"/>
              </w:rPr>
            </w:pPr>
            <w:ins w:id="507" w:author="svcMRProcess" w:date="2015-12-16T18:33:00Z">
              <w:r>
                <w:rPr>
                  <w:sz w:val="20"/>
                </w:rPr>
                <w:t>s. 11(2)</w:t>
              </w:r>
            </w:ins>
          </w:p>
        </w:tc>
        <w:tc>
          <w:tcPr>
            <w:tcW w:w="2268" w:type="dxa"/>
          </w:tcPr>
          <w:p>
            <w:pPr>
              <w:pStyle w:val="TableAm"/>
              <w:rPr>
                <w:ins w:id="508" w:author="svcMRProcess" w:date="2015-12-16T18:33:00Z"/>
                <w:iCs/>
                <w:sz w:val="20"/>
              </w:rPr>
            </w:pPr>
            <w:ins w:id="509" w:author="svcMRProcess" w:date="2015-12-16T18:33:00Z">
              <w:r>
                <w:rPr>
                  <w:i/>
                  <w:iCs/>
                  <w:sz w:val="20"/>
                </w:rPr>
                <w:t>Commercial Arbitration Act 1985</w:t>
              </w:r>
            </w:ins>
          </w:p>
        </w:tc>
        <w:tc>
          <w:tcPr>
            <w:tcW w:w="2268" w:type="dxa"/>
          </w:tcPr>
          <w:p>
            <w:pPr>
              <w:pStyle w:val="TableAm"/>
              <w:rPr>
                <w:ins w:id="510" w:author="svcMRProcess" w:date="2015-12-16T18:33:00Z"/>
                <w:sz w:val="20"/>
              </w:rPr>
            </w:pPr>
            <w:ins w:id="511" w:author="svcMRProcess" w:date="2015-12-16T18:33:00Z">
              <w:r>
                <w:rPr>
                  <w:i/>
                  <w:sz w:val="20"/>
                </w:rPr>
                <w:t>Commercial Arbitration Act 2012</w:t>
              </w:r>
            </w:ins>
          </w:p>
        </w:tc>
      </w:tr>
    </w:tbl>
    <w:p>
      <w:pPr>
        <w:pStyle w:val="BlankClose"/>
        <w:rPr>
          <w:ins w:id="512" w:author="svcMRProcess" w:date="2015-12-16T18:33: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Act 1945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Electricity Act 1945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Electricity Act 1945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40"/>
    <w:docVar w:name="WAFER_20151216145840" w:val="RemoveTrackChanges"/>
    <w:docVar w:name="WAFER_20151216145840_GUID" w:val="08de300f-58cf-4c79-8f01-67966e39e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12230</Words>
  <Characters>58093</Characters>
  <Application>Microsoft Office Word</Application>
  <DocSecurity>0</DocSecurity>
  <Lines>1528</Lines>
  <Paragraphs>657</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07-e0-02 - 07-f0-02</dc:title>
  <dc:subject/>
  <dc:creator/>
  <cp:keywords/>
  <dc:description/>
  <cp:lastModifiedBy>svcMRProcess</cp:lastModifiedBy>
  <cp:revision>2</cp:revision>
  <cp:lastPrinted>2008-05-06T06:28:00Z</cp:lastPrinted>
  <dcterms:created xsi:type="dcterms:W3CDTF">2015-12-16T10:32:00Z</dcterms:created>
  <dcterms:modified xsi:type="dcterms:W3CDTF">2015-12-16T10:33:00Z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244</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26 Oct 2011</vt:lpwstr>
  </property>
  <property fmtid="{D5CDD505-2E9C-101B-9397-08002B2CF9AE}" pid="9" name="ToSuffix">
    <vt:lpwstr>07-f0-02</vt:lpwstr>
  </property>
  <property fmtid="{D5CDD505-2E9C-101B-9397-08002B2CF9AE}" pid="10" name="ToAsAtDate">
    <vt:lpwstr>29 Aug 2012</vt:lpwstr>
  </property>
</Properties>
</file>