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Busselton Water Board (Supply of Water to Dunsborough)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Nov 2009</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Busselton Water Board (Supply of Water to Dunsborough) Act 2009</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facilitate the supply of water to the Dunsborough area by — </w:t>
      </w:r>
    </w:p>
    <w:p>
      <w:pPr>
        <w:pStyle w:val="LongTitle"/>
        <w:numPr>
          <w:ilvl w:val="0"/>
          <w:numId w:val="13"/>
        </w:numPr>
        <w:suppressLineNumbers/>
        <w:tabs>
          <w:tab w:val="clear" w:pos="720"/>
          <w:tab w:val="num" w:pos="426"/>
        </w:tabs>
        <w:ind w:left="426" w:hanging="426"/>
        <w:rPr>
          <w:snapToGrid w:val="0"/>
        </w:rPr>
      </w:pPr>
      <w:r>
        <w:rPr>
          <w:snapToGrid w:val="0"/>
        </w:rPr>
        <w:t>enabling the Busselton Water Board to supply water to the Water Corporation; and</w:t>
      </w:r>
    </w:p>
    <w:p>
      <w:pPr>
        <w:pStyle w:val="LongTitle"/>
        <w:numPr>
          <w:ilvl w:val="0"/>
          <w:numId w:val="13"/>
        </w:numPr>
        <w:suppressLineNumbers/>
        <w:tabs>
          <w:tab w:val="clear" w:pos="720"/>
          <w:tab w:val="num" w:pos="426"/>
        </w:tabs>
        <w:ind w:left="426" w:hanging="426"/>
        <w:rPr>
          <w:snapToGrid w:val="0"/>
        </w:rPr>
      </w:pPr>
      <w:r>
        <w:rPr>
          <w:snapToGrid w:val="0"/>
        </w:rPr>
        <w:t xml:space="preserve">extending the application of the </w:t>
      </w:r>
      <w:r>
        <w:rPr>
          <w:i/>
          <w:snapToGrid w:val="0"/>
        </w:rPr>
        <w:t>Water Boards Act 1904</w:t>
      </w:r>
      <w:r>
        <w:rPr>
          <w:snapToGrid w:val="0"/>
        </w:rPr>
        <w:t xml:space="preserve"> in respect of that supply,</w:t>
      </w:r>
    </w:p>
    <w:p>
      <w:pPr>
        <w:pStyle w:val="LongTitle"/>
        <w:suppressLineNumbers/>
        <w:rPr>
          <w:snapToGrid w:val="0"/>
        </w:rPr>
      </w:pPr>
      <w:r>
        <w:rPr>
          <w:snapToGrid w:val="0"/>
        </w:rPr>
        <w:t>and for related purposes.</w:t>
      </w:r>
    </w:p>
    <w:p>
      <w:pPr>
        <w:rPr>
          <w:snapToGrid w:val="0"/>
        </w:rPr>
      </w:pPr>
    </w:p>
    <w:p>
      <w:pPr>
        <w:pStyle w:val="Enactment"/>
        <w:suppressLineNumbers/>
        <w:spacing w:before="160"/>
      </w:pPr>
      <w:r>
        <w:rPr>
          <w:snapToGrid w:val="0"/>
        </w:rP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2" w:name="_Toc232478719"/>
      <w:bookmarkStart w:id="3" w:name="_Toc246817447"/>
      <w:bookmarkStart w:id="4" w:name="_Toc246824081"/>
      <w:bookmarkStart w:id="5" w:name="_Toc335134249"/>
      <w:r>
        <w:rPr>
          <w:rStyle w:val="CharSectno"/>
        </w:rPr>
        <w:t>1</w:t>
      </w:r>
      <w:r>
        <w:t>.</w:t>
      </w:r>
      <w:r>
        <w:tab/>
      </w:r>
      <w:r>
        <w:rPr>
          <w:snapToGrid w:val="0"/>
        </w:rPr>
        <w:t>Short title</w:t>
      </w:r>
      <w:bookmarkEnd w:id="2"/>
      <w:bookmarkEnd w:id="3"/>
      <w:bookmarkEnd w:id="4"/>
      <w:bookmarkEnd w:id="5"/>
    </w:p>
    <w:p>
      <w:pPr>
        <w:pStyle w:val="Subsection"/>
      </w:pPr>
      <w:r>
        <w:tab/>
      </w:r>
      <w:r>
        <w:tab/>
        <w:t>This</w:t>
      </w:r>
      <w:r>
        <w:rPr>
          <w:snapToGrid w:val="0"/>
        </w:rPr>
        <w:t xml:space="preserve"> is the</w:t>
      </w:r>
      <w:r>
        <w:rPr>
          <w:i/>
          <w:snapToGrid w:val="0"/>
        </w:rPr>
        <w:t xml:space="preserve"> Busselton Water Board (Supply of Water to Dunsborough) Act 2009</w:t>
      </w:r>
      <w:r>
        <w:rPr>
          <w:snapToGrid w:val="0"/>
        </w:rPr>
        <w:t>.</w:t>
      </w:r>
    </w:p>
    <w:p>
      <w:pPr>
        <w:pStyle w:val="Heading5"/>
        <w:rPr>
          <w:snapToGrid w:val="0"/>
        </w:rPr>
      </w:pPr>
      <w:bookmarkStart w:id="6" w:name="_Toc232478720"/>
      <w:bookmarkStart w:id="7" w:name="_Toc246817448"/>
      <w:bookmarkStart w:id="8" w:name="_Toc246824082"/>
      <w:bookmarkStart w:id="9" w:name="_Toc335134250"/>
      <w:r>
        <w:rPr>
          <w:rStyle w:val="CharSectno"/>
        </w:rPr>
        <w:t>2</w:t>
      </w:r>
      <w:r>
        <w:rPr>
          <w:snapToGrid w:val="0"/>
        </w:rPr>
        <w:t>.</w:t>
      </w:r>
      <w:r>
        <w:rPr>
          <w:snapToGrid w:val="0"/>
        </w:rPr>
        <w:tab/>
      </w:r>
      <w:r>
        <w:t>Commencement</w:t>
      </w:r>
      <w:bookmarkEnd w:id="6"/>
      <w:bookmarkEnd w:id="7"/>
      <w:bookmarkEnd w:id="8"/>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10" w:name="_Toc232478721"/>
      <w:bookmarkStart w:id="11" w:name="_Toc246817449"/>
      <w:bookmarkStart w:id="12" w:name="_Toc246824083"/>
      <w:bookmarkStart w:id="13" w:name="_Toc335134251"/>
      <w:r>
        <w:rPr>
          <w:rStyle w:val="CharSectno"/>
        </w:rPr>
        <w:t>3</w:t>
      </w:r>
      <w:r>
        <w:rPr>
          <w:snapToGrid w:val="0"/>
        </w:rPr>
        <w:t>.</w:t>
      </w:r>
      <w:r>
        <w:rPr>
          <w:snapToGrid w:val="0"/>
        </w:rPr>
        <w:tab/>
        <w:t>Terms used</w:t>
      </w:r>
      <w:bookmarkEnd w:id="10"/>
      <w:bookmarkEnd w:id="11"/>
      <w:bookmarkEnd w:id="12"/>
      <w:bookmarkEnd w:id="13"/>
    </w:p>
    <w:p>
      <w:pPr>
        <w:pStyle w:val="Subsection"/>
      </w:pPr>
      <w:r>
        <w:tab/>
      </w:r>
      <w:r>
        <w:tab/>
        <w:t xml:space="preserve">In this Act — </w:t>
      </w:r>
    </w:p>
    <w:p>
      <w:pPr>
        <w:pStyle w:val="Defstart"/>
      </w:pPr>
      <w:r>
        <w:tab/>
      </w:r>
      <w:r>
        <w:rPr>
          <w:rStyle w:val="CharDefText"/>
        </w:rPr>
        <w:t>Board</w:t>
      </w:r>
      <w:r>
        <w:t xml:space="preserve"> means the Busselton Water Board constituted under the </w:t>
      </w:r>
      <w:r>
        <w:rPr>
          <w:i/>
        </w:rPr>
        <w:t>Water Boards Act 1904</w:t>
      </w:r>
      <w:r>
        <w:t xml:space="preserve"> for the Busselton Water Area;</w:t>
      </w:r>
    </w:p>
    <w:p>
      <w:pPr>
        <w:pStyle w:val="Defstart"/>
      </w:pPr>
      <w:r>
        <w:tab/>
      </w:r>
      <w:r>
        <w:rPr>
          <w:rStyle w:val="CharDefText"/>
        </w:rPr>
        <w:t>Busselton Water Area</w:t>
      </w:r>
      <w:r>
        <w:t xml:space="preserve"> means the Busselton Water Area constituted under the </w:t>
      </w:r>
      <w:r>
        <w:rPr>
          <w:i/>
        </w:rPr>
        <w:t>Water Boards Act 1904</w:t>
      </w:r>
      <w:r>
        <w:t>;</w:t>
      </w:r>
    </w:p>
    <w:p>
      <w:pPr>
        <w:pStyle w:val="Defstart"/>
      </w:pPr>
      <w:r>
        <w:tab/>
      </w:r>
      <w:r>
        <w:rPr>
          <w:rStyle w:val="CharDefText"/>
        </w:rPr>
        <w:t>Corporation</w:t>
      </w:r>
      <w:r>
        <w:t xml:space="preserve"> means the Water Corporation established by the </w:t>
      </w:r>
      <w:r>
        <w:rPr>
          <w:i/>
        </w:rPr>
        <w:t>Water Corporation Act 1995</w:t>
      </w:r>
      <w:r>
        <w:t xml:space="preserve"> section 4;</w:t>
      </w:r>
    </w:p>
    <w:p>
      <w:pPr>
        <w:pStyle w:val="Defstart"/>
      </w:pPr>
      <w:r>
        <w:tab/>
      </w:r>
      <w:r>
        <w:rPr>
          <w:rStyle w:val="CharDefText"/>
        </w:rPr>
        <w:t>Dunsborough area</w:t>
      </w:r>
      <w:r>
        <w:t xml:space="preserve"> means that part of the Dunsborough operating area (water supply services) of the Water Corporation’s licence (under the </w:t>
      </w:r>
      <w:r>
        <w:rPr>
          <w:i/>
        </w:rPr>
        <w:t>Water Services Licensing Act 1995</w:t>
      </w:r>
      <w:r>
        <w:t>) shown on the map in Schedule 1.</w:t>
      </w:r>
    </w:p>
    <w:p>
      <w:pPr>
        <w:pStyle w:val="Heading5"/>
      </w:pPr>
      <w:bookmarkStart w:id="14" w:name="_Toc232478722"/>
      <w:bookmarkStart w:id="15" w:name="_Toc246817450"/>
      <w:bookmarkStart w:id="16" w:name="_Toc246824084"/>
      <w:bookmarkStart w:id="17" w:name="_Toc335134252"/>
      <w:r>
        <w:rPr>
          <w:rStyle w:val="CharSectno"/>
        </w:rPr>
        <w:t>4</w:t>
      </w:r>
      <w:r>
        <w:t>.</w:t>
      </w:r>
      <w:r>
        <w:tab/>
        <w:t>Busselton Water Board may supply water to the Water Corporation</w:t>
      </w:r>
      <w:bookmarkEnd w:id="14"/>
      <w:bookmarkEnd w:id="15"/>
      <w:bookmarkEnd w:id="16"/>
      <w:bookmarkEnd w:id="17"/>
    </w:p>
    <w:p>
      <w:pPr>
        <w:pStyle w:val="Subsection"/>
      </w:pPr>
      <w:r>
        <w:tab/>
        <w:t>(1)</w:t>
      </w:r>
      <w:r>
        <w:tab/>
        <w:t>The Board may supply water to the Corporation, on such terms and conditions as are agreed, to facilitate the supply of water to the Dunsborough area.</w:t>
      </w:r>
    </w:p>
    <w:p>
      <w:pPr>
        <w:pStyle w:val="Subsection"/>
      </w:pPr>
      <w:r>
        <w:tab/>
        <w:t>(2)</w:t>
      </w:r>
      <w:r>
        <w:tab/>
        <w:t>To the extent to which the Board is not otherwise empowered to do so, the Board may do all things necessary or convenient to be done for or in connection with giving effect to subsection (1).</w:t>
      </w:r>
    </w:p>
    <w:p>
      <w:pPr>
        <w:pStyle w:val="Heading5"/>
        <w:rPr>
          <w:i/>
          <w:iCs/>
        </w:rPr>
      </w:pPr>
      <w:bookmarkStart w:id="18" w:name="_Toc232478723"/>
      <w:bookmarkStart w:id="19" w:name="_Toc246817451"/>
      <w:bookmarkStart w:id="20" w:name="_Toc246824085"/>
      <w:bookmarkStart w:id="21" w:name="_Toc335134253"/>
      <w:r>
        <w:rPr>
          <w:rStyle w:val="CharSectno"/>
        </w:rPr>
        <w:t>5</w:t>
      </w:r>
      <w:r>
        <w:t>.</w:t>
      </w:r>
      <w:r>
        <w:tab/>
        <w:t xml:space="preserve">Application of the </w:t>
      </w:r>
      <w:r>
        <w:rPr>
          <w:i/>
          <w:iCs/>
        </w:rPr>
        <w:t>Water Boards Act 1904</w:t>
      </w:r>
      <w:bookmarkEnd w:id="18"/>
      <w:bookmarkEnd w:id="19"/>
      <w:bookmarkEnd w:id="20"/>
      <w:bookmarkEnd w:id="21"/>
    </w:p>
    <w:p>
      <w:pPr>
        <w:pStyle w:val="Subsection"/>
      </w:pPr>
      <w:r>
        <w:tab/>
      </w:r>
      <w:r>
        <w:tab/>
        <w:t xml:space="preserve">The </w:t>
      </w:r>
      <w:r>
        <w:rPr>
          <w:i/>
          <w:iCs/>
        </w:rPr>
        <w:t>Water Boards Act 1904</w:t>
      </w:r>
      <w:r>
        <w:t xml:space="preserve"> applies to and in relation to the supply of water under section 4 and, for that purpose, the supply is to be taken to be under and for the purposes of that Act.</w:t>
      </w:r>
    </w:p>
    <w:p>
      <w:pPr>
        <w:pStyle w:val="Subsection"/>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22" w:name="_Toc232478278"/>
      <w:bookmarkStart w:id="23" w:name="_Toc232478383"/>
      <w:bookmarkStart w:id="24" w:name="_Toc232478724"/>
      <w:bookmarkStart w:id="25" w:name="_Toc246817452"/>
      <w:bookmarkStart w:id="26" w:name="_Toc246817743"/>
      <w:bookmarkStart w:id="27" w:name="_Toc246818625"/>
      <w:bookmarkStart w:id="28" w:name="_Toc246824086"/>
      <w:bookmarkStart w:id="29" w:name="_Toc334793059"/>
      <w:bookmarkStart w:id="30" w:name="_Toc335129259"/>
      <w:bookmarkStart w:id="31" w:name="_Toc335134254"/>
      <w:r>
        <w:rPr>
          <w:rStyle w:val="CharSchNo"/>
        </w:rPr>
        <w:t>Schedule 1</w:t>
      </w:r>
      <w:r>
        <w:rPr>
          <w:rStyle w:val="CharSDivNo"/>
        </w:rPr>
        <w:t> </w:t>
      </w:r>
      <w:r>
        <w:t>—</w:t>
      </w:r>
      <w:bookmarkStart w:id="32" w:name="AutoSch"/>
      <w:bookmarkEnd w:id="32"/>
      <w:r>
        <w:rPr>
          <w:rStyle w:val="CharSDivText"/>
        </w:rPr>
        <w:t> </w:t>
      </w:r>
      <w:r>
        <w:rPr>
          <w:rStyle w:val="CharSchText"/>
        </w:rPr>
        <w:t>Dunsborough part of the Dunsborough operating area</w:t>
      </w:r>
      <w:bookmarkEnd w:id="22"/>
      <w:bookmarkEnd w:id="23"/>
      <w:bookmarkEnd w:id="24"/>
      <w:bookmarkEnd w:id="25"/>
      <w:bookmarkEnd w:id="26"/>
      <w:bookmarkEnd w:id="27"/>
      <w:bookmarkEnd w:id="28"/>
      <w:bookmarkEnd w:id="29"/>
      <w:bookmarkEnd w:id="30"/>
      <w:bookmarkEnd w:id="31"/>
    </w:p>
    <w:p>
      <w:pPr>
        <w:pStyle w:val="yShoulderClause"/>
        <w:spacing w:before="0"/>
      </w:pPr>
      <w:r>
        <w:t>[s. 3]</w:t>
      </w:r>
    </w:p>
    <w:p>
      <w:pPr>
        <w:pStyle w:val="ySubsection"/>
        <w:spacing w:before="80"/>
        <w:jc w:val="center"/>
        <w:rPr>
          <w:del w:id="33" w:author="svcMRProcess" w:date="2015-10-27T22:57:00Z"/>
        </w:rPr>
      </w:pPr>
      <w:del w:id="34" w:author="svcMRProcess" w:date="2015-10-27T22:57:00Z">
        <w:r>
          <w:rPr>
            <w:noProof/>
            <w:lang w:eastAsia="en-AU"/>
          </w:rPr>
          <w:drawing>
            <wp:inline distT="0" distB="0" distL="0" distR="0">
              <wp:extent cx="3789680" cy="5203825"/>
              <wp:effectExtent l="0" t="0" r="1270" b="0"/>
              <wp:docPr id="2" name="Picture 2" descr="Dunsb area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sb area map.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89680" cy="5203825"/>
                      </a:xfrm>
                      <a:prstGeom prst="rect">
                        <a:avLst/>
                      </a:prstGeom>
                      <a:noFill/>
                      <a:ln>
                        <a:noFill/>
                      </a:ln>
                    </pic:spPr>
                  </pic:pic>
                </a:graphicData>
              </a:graphic>
            </wp:inline>
          </w:drawing>
        </w:r>
      </w:del>
    </w:p>
    <w:p>
      <w:pPr>
        <w:pStyle w:val="ySubsection"/>
        <w:spacing w:before="80"/>
        <w:jc w:val="center"/>
        <w:rPr>
          <w:ins w:id="35" w:author="svcMRProcess" w:date="2015-10-27T22:57:00Z"/>
        </w:rPr>
      </w:pPr>
      <w:ins w:id="36" w:author="svcMRProcess" w:date="2015-10-27T22:57:00Z">
        <w:r>
          <w:rPr>
            <w:noProof/>
            <w:lang w:eastAsia="en-AU"/>
          </w:rPr>
          <w:drawing>
            <wp:inline distT="0" distB="0" distL="0" distR="0">
              <wp:extent cx="3794125" cy="5200015"/>
              <wp:effectExtent l="0" t="0" r="0" b="635"/>
              <wp:docPr id="1" name="Picture 1" descr="Dunsb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sb area ma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94125" cy="5200015"/>
                      </a:xfrm>
                      <a:prstGeom prst="rect">
                        <a:avLst/>
                      </a:prstGeom>
                      <a:noFill/>
                      <a:ln>
                        <a:noFill/>
                      </a:ln>
                    </pic:spPr>
                  </pic:pic>
                </a:graphicData>
              </a:graphic>
            </wp:inline>
          </w:drawing>
        </w:r>
      </w:ins>
    </w:p>
    <w:p>
      <w:pPr>
        <w:pStyle w:val="NotesPerm"/>
        <w:tabs>
          <w:tab w:val="clear" w:pos="879"/>
          <w:tab w:val="left" w:pos="851"/>
        </w:tabs>
        <w:spacing w:before="80"/>
        <w:ind w:left="1418" w:hanging="1418"/>
      </w:pPr>
      <w:r>
        <w:tab/>
        <w:t>Note:</w:t>
      </w:r>
      <w:r>
        <w:tab/>
        <w:t>The Dunsborough operating area also includes an area that includes Jarrahwood. That area is not shown on this map.</w:t>
      </w:r>
      <w:bookmarkStart w:id="37" w:name="_Toc232478725"/>
      <w:bookmarkStart w:id="38" w:name="_Toc246817453"/>
      <w:bookmarkStart w:id="39" w:name="_Toc246817744"/>
    </w:p>
    <w:p>
      <w:pPr>
        <w:pStyle w:val="NotesPerm"/>
        <w:tabs>
          <w:tab w:val="clear" w:pos="879"/>
          <w:tab w:val="left" w:pos="851"/>
        </w:tabs>
        <w:spacing w:before="80"/>
        <w:ind w:left="1418" w:hanging="1418"/>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40" w:name="_Toc119746908"/>
      <w:bookmarkStart w:id="41" w:name="_Toc246818626"/>
      <w:bookmarkStart w:id="42" w:name="_Toc246824087"/>
      <w:bookmarkStart w:id="43" w:name="_Toc334793060"/>
      <w:bookmarkStart w:id="44" w:name="_Toc335129260"/>
      <w:bookmarkStart w:id="45" w:name="_Toc335134255"/>
      <w:r>
        <w:t>Notes</w:t>
      </w:r>
      <w:bookmarkEnd w:id="40"/>
      <w:bookmarkEnd w:id="41"/>
      <w:bookmarkEnd w:id="42"/>
      <w:bookmarkEnd w:id="43"/>
      <w:bookmarkEnd w:id="44"/>
      <w:bookmarkEnd w:id="45"/>
    </w:p>
    <w:p>
      <w:pPr>
        <w:pStyle w:val="nSubsection"/>
        <w:rPr>
          <w:snapToGrid w:val="0"/>
        </w:rPr>
      </w:pPr>
      <w:bookmarkStart w:id="46" w:name="_Toc512403484"/>
      <w:bookmarkStart w:id="47" w:name="_Toc512403627"/>
      <w:bookmarkStart w:id="48" w:name="_Toc36369351"/>
      <w:bookmarkStart w:id="49" w:name="_Toc119746909"/>
      <w:r>
        <w:rPr>
          <w:snapToGrid w:val="0"/>
          <w:vertAlign w:val="superscript"/>
        </w:rPr>
        <w:t>1</w:t>
      </w:r>
      <w:r>
        <w:rPr>
          <w:snapToGrid w:val="0"/>
        </w:rPr>
        <w:tab/>
        <w:t xml:space="preserve">This is a compilation of the </w:t>
      </w:r>
      <w:r>
        <w:rPr>
          <w:i/>
          <w:noProof/>
          <w:snapToGrid w:val="0"/>
        </w:rPr>
        <w:t>Busselton Water Board (Supply of Water to Dunsborough) Act 2009</w:t>
      </w:r>
      <w:r>
        <w:rPr>
          <w:snapToGrid w:val="0"/>
        </w:rPr>
        <w:t>.  The following table contains information about that Act</w:t>
      </w:r>
      <w:ins w:id="50" w:author="svcMRProcess" w:date="2015-10-27T22:57:00Z">
        <w:r>
          <w:rPr>
            <w:snapToGrid w:val="0"/>
            <w:vertAlign w:val="superscript"/>
          </w:rPr>
          <w:t> 1a</w:t>
        </w:r>
      </w:ins>
      <w:r>
        <w:rPr>
          <w:snapToGrid w:val="0"/>
        </w:rPr>
        <w:t xml:space="preserve">. </w:t>
      </w:r>
    </w:p>
    <w:p>
      <w:pPr>
        <w:pStyle w:val="nHeading3"/>
        <w:rPr>
          <w:snapToGrid w:val="0"/>
        </w:rPr>
      </w:pPr>
      <w:bookmarkStart w:id="51" w:name="_Toc246824088"/>
      <w:bookmarkStart w:id="52" w:name="_Toc335134256"/>
      <w:r>
        <w:rPr>
          <w:snapToGrid w:val="0"/>
        </w:rPr>
        <w:t>Compilation table</w:t>
      </w:r>
      <w:bookmarkEnd w:id="46"/>
      <w:bookmarkEnd w:id="47"/>
      <w:bookmarkEnd w:id="48"/>
      <w:bookmarkEnd w:id="49"/>
      <w:bookmarkEnd w:id="51"/>
      <w:bookmarkEnd w:id="5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Pr>
          <w:p>
            <w:pPr>
              <w:pStyle w:val="nTable"/>
              <w:spacing w:after="40"/>
              <w:rPr>
                <w:sz w:val="19"/>
              </w:rPr>
            </w:pPr>
            <w:r>
              <w:rPr>
                <w:i/>
                <w:noProof/>
                <w:snapToGrid w:val="0"/>
                <w:sz w:val="19"/>
              </w:rPr>
              <w:t>Busselton Water Board (Supply of Water to Dunsborough) Act 2009</w:t>
            </w:r>
          </w:p>
        </w:tc>
        <w:tc>
          <w:tcPr>
            <w:tcW w:w="1134" w:type="dxa"/>
          </w:tcPr>
          <w:p>
            <w:pPr>
              <w:pStyle w:val="nTable"/>
              <w:spacing w:after="40"/>
              <w:rPr>
                <w:sz w:val="19"/>
              </w:rPr>
            </w:pPr>
            <w:r>
              <w:rPr>
                <w:sz w:val="19"/>
              </w:rPr>
              <w:t>31 of 2009</w:t>
            </w:r>
          </w:p>
        </w:tc>
        <w:tc>
          <w:tcPr>
            <w:tcW w:w="1134" w:type="dxa"/>
          </w:tcPr>
          <w:p>
            <w:pPr>
              <w:pStyle w:val="nTable"/>
              <w:spacing w:after="40"/>
              <w:rPr>
                <w:sz w:val="19"/>
              </w:rPr>
            </w:pPr>
            <w:r>
              <w:rPr>
                <w:sz w:val="19"/>
              </w:rPr>
              <w:t>23 Nov 2009</w:t>
            </w:r>
          </w:p>
        </w:tc>
        <w:tc>
          <w:tcPr>
            <w:tcW w:w="2552" w:type="dxa"/>
          </w:tcPr>
          <w:p>
            <w:pPr>
              <w:pStyle w:val="nTable"/>
              <w:spacing w:after="40"/>
              <w:rPr>
                <w:sz w:val="19"/>
              </w:rPr>
            </w:pPr>
            <w:r>
              <w:rPr>
                <w:snapToGrid w:val="0"/>
                <w:spacing w:val="-2"/>
                <w:sz w:val="19"/>
                <w:lang w:val="en-US"/>
              </w:rPr>
              <w:t>s. 1 and 2: 23 Nov 2009 (see s. 2(a));</w:t>
            </w:r>
            <w:r>
              <w:rPr>
                <w:snapToGrid w:val="0"/>
                <w:spacing w:val="-2"/>
                <w:sz w:val="19"/>
                <w:lang w:val="en-US"/>
              </w:rPr>
              <w:br/>
              <w:t>Act other than s. 1 and 2: 24 Nov 2009 (see s. 2(b))</w:t>
            </w:r>
          </w:p>
        </w:tc>
      </w:tr>
    </w:tbl>
    <w:p>
      <w:pPr>
        <w:pStyle w:val="nSubsection"/>
        <w:tabs>
          <w:tab w:val="clear" w:pos="454"/>
          <w:tab w:val="left" w:pos="567"/>
        </w:tabs>
        <w:spacing w:before="120"/>
        <w:ind w:left="567" w:hanging="567"/>
        <w:rPr>
          <w:ins w:id="53" w:author="svcMRProcess" w:date="2015-10-27T22:57:00Z"/>
          <w:snapToGrid w:val="0"/>
        </w:rPr>
      </w:pPr>
      <w:ins w:id="54" w:author="svcMRProcess" w:date="2015-10-27T22: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5" w:author="svcMRProcess" w:date="2015-10-27T22:57:00Z"/>
        </w:rPr>
      </w:pPr>
      <w:bookmarkStart w:id="56" w:name="_Toc7405065"/>
      <w:bookmarkStart w:id="57" w:name="_Toc335134257"/>
      <w:ins w:id="58" w:author="svcMRProcess" w:date="2015-10-27T22:57:00Z">
        <w:r>
          <w:t>Provisions that have not come into operation</w:t>
        </w:r>
        <w:bookmarkEnd w:id="56"/>
        <w:bookmarkEnd w:id="57"/>
      </w:ins>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rPr>
          <w:ins w:id="59" w:author="svcMRProcess" w:date="2015-10-27T22:57:00Z"/>
        </w:trPr>
        <w:tc>
          <w:tcPr>
            <w:tcW w:w="2319" w:type="dxa"/>
          </w:tcPr>
          <w:p>
            <w:pPr>
              <w:pStyle w:val="nTable"/>
              <w:spacing w:after="40"/>
              <w:rPr>
                <w:ins w:id="60" w:author="svcMRProcess" w:date="2015-10-27T22:57:00Z"/>
                <w:b/>
                <w:snapToGrid w:val="0"/>
                <w:sz w:val="19"/>
                <w:lang w:val="en-US"/>
              </w:rPr>
            </w:pPr>
            <w:ins w:id="61" w:author="svcMRProcess" w:date="2015-10-27T22:57:00Z">
              <w:r>
                <w:rPr>
                  <w:b/>
                  <w:snapToGrid w:val="0"/>
                  <w:sz w:val="19"/>
                  <w:lang w:val="en-US"/>
                </w:rPr>
                <w:t>Short title</w:t>
              </w:r>
            </w:ins>
          </w:p>
        </w:tc>
        <w:tc>
          <w:tcPr>
            <w:tcW w:w="1118" w:type="dxa"/>
          </w:tcPr>
          <w:p>
            <w:pPr>
              <w:pStyle w:val="nTable"/>
              <w:spacing w:after="40"/>
              <w:rPr>
                <w:ins w:id="62" w:author="svcMRProcess" w:date="2015-10-27T22:57:00Z"/>
                <w:b/>
                <w:snapToGrid w:val="0"/>
                <w:sz w:val="19"/>
                <w:lang w:val="en-US"/>
              </w:rPr>
            </w:pPr>
            <w:ins w:id="63" w:author="svcMRProcess" w:date="2015-10-27T22:57:00Z">
              <w:r>
                <w:rPr>
                  <w:b/>
                  <w:snapToGrid w:val="0"/>
                  <w:sz w:val="19"/>
                  <w:lang w:val="en-US"/>
                </w:rPr>
                <w:t>Number and year</w:t>
              </w:r>
            </w:ins>
          </w:p>
        </w:tc>
        <w:tc>
          <w:tcPr>
            <w:tcW w:w="1134" w:type="dxa"/>
          </w:tcPr>
          <w:p>
            <w:pPr>
              <w:pStyle w:val="nTable"/>
              <w:spacing w:after="40"/>
              <w:rPr>
                <w:ins w:id="64" w:author="svcMRProcess" w:date="2015-10-27T22:57:00Z"/>
                <w:b/>
                <w:snapToGrid w:val="0"/>
                <w:sz w:val="19"/>
                <w:lang w:val="en-US"/>
              </w:rPr>
            </w:pPr>
            <w:ins w:id="65" w:author="svcMRProcess" w:date="2015-10-27T22:57:00Z">
              <w:r>
                <w:rPr>
                  <w:b/>
                  <w:snapToGrid w:val="0"/>
                  <w:sz w:val="19"/>
                  <w:lang w:val="en-US"/>
                </w:rPr>
                <w:t>Assent</w:t>
              </w:r>
            </w:ins>
          </w:p>
        </w:tc>
        <w:tc>
          <w:tcPr>
            <w:tcW w:w="2552" w:type="dxa"/>
          </w:tcPr>
          <w:p>
            <w:pPr>
              <w:pStyle w:val="nTable"/>
              <w:spacing w:after="40"/>
              <w:rPr>
                <w:ins w:id="66" w:author="svcMRProcess" w:date="2015-10-27T22:57:00Z"/>
                <w:b/>
                <w:snapToGrid w:val="0"/>
                <w:sz w:val="19"/>
                <w:lang w:val="en-US"/>
              </w:rPr>
            </w:pPr>
            <w:ins w:id="67" w:author="svcMRProcess" w:date="2015-10-27T22:57:00Z">
              <w:r>
                <w:rPr>
                  <w:b/>
                  <w:snapToGrid w:val="0"/>
                  <w:sz w:val="19"/>
                  <w:lang w:val="en-US"/>
                </w:rPr>
                <w:t>Commencement</w:t>
              </w:r>
            </w:ins>
          </w:p>
        </w:tc>
      </w:tr>
      <w:tr>
        <w:trPr>
          <w:ins w:id="68" w:author="svcMRProcess" w:date="2015-10-27T22:57:00Z"/>
        </w:trPr>
        <w:tc>
          <w:tcPr>
            <w:tcW w:w="2319" w:type="dxa"/>
          </w:tcPr>
          <w:p>
            <w:pPr>
              <w:pStyle w:val="nTable"/>
              <w:spacing w:after="40"/>
              <w:rPr>
                <w:ins w:id="69" w:author="svcMRProcess" w:date="2015-10-27T22:57:00Z"/>
                <w:snapToGrid w:val="0"/>
                <w:sz w:val="19"/>
                <w:lang w:val="en-US"/>
              </w:rPr>
            </w:pPr>
            <w:ins w:id="70" w:author="svcMRProcess" w:date="2015-10-27T22:57:00Z">
              <w:r>
                <w:rPr>
                  <w:i/>
                  <w:snapToGrid w:val="0"/>
                  <w:sz w:val="19"/>
                  <w:lang w:val="en-US"/>
                </w:rPr>
                <w:t>Water Services Legislation Amendment and Repeal Act 2012</w:t>
              </w:r>
              <w:r>
                <w:rPr>
                  <w:snapToGrid w:val="0"/>
                  <w:sz w:val="19"/>
                  <w:lang w:val="en-US"/>
                </w:rPr>
                <w:t xml:space="preserve"> s. 201(b)</w:t>
              </w:r>
              <w:r>
                <w:rPr>
                  <w:snapToGrid w:val="0"/>
                  <w:sz w:val="19"/>
                  <w:vertAlign w:val="superscript"/>
                  <w:lang w:val="en-US"/>
                </w:rPr>
                <w:t> 2</w:t>
              </w:r>
            </w:ins>
          </w:p>
        </w:tc>
        <w:tc>
          <w:tcPr>
            <w:tcW w:w="1118" w:type="dxa"/>
          </w:tcPr>
          <w:p>
            <w:pPr>
              <w:pStyle w:val="nTable"/>
              <w:spacing w:after="40"/>
              <w:rPr>
                <w:ins w:id="71" w:author="svcMRProcess" w:date="2015-10-27T22:57:00Z"/>
                <w:snapToGrid w:val="0"/>
                <w:sz w:val="19"/>
                <w:lang w:val="en-US"/>
              </w:rPr>
            </w:pPr>
            <w:ins w:id="72" w:author="svcMRProcess" w:date="2015-10-27T22:57:00Z">
              <w:r>
                <w:rPr>
                  <w:snapToGrid w:val="0"/>
                  <w:sz w:val="19"/>
                  <w:lang w:val="en-US"/>
                </w:rPr>
                <w:t>25 of 2012</w:t>
              </w:r>
            </w:ins>
          </w:p>
        </w:tc>
        <w:tc>
          <w:tcPr>
            <w:tcW w:w="1134" w:type="dxa"/>
          </w:tcPr>
          <w:p>
            <w:pPr>
              <w:pStyle w:val="nTable"/>
              <w:spacing w:after="40"/>
              <w:rPr>
                <w:ins w:id="73" w:author="svcMRProcess" w:date="2015-10-27T22:57:00Z"/>
                <w:snapToGrid w:val="0"/>
                <w:sz w:val="19"/>
                <w:lang w:val="en-US"/>
              </w:rPr>
            </w:pPr>
            <w:ins w:id="74" w:author="svcMRProcess" w:date="2015-10-27T22:57:00Z">
              <w:r>
                <w:rPr>
                  <w:sz w:val="19"/>
                </w:rPr>
                <w:t>3 Sep 2012</w:t>
              </w:r>
            </w:ins>
          </w:p>
        </w:tc>
        <w:tc>
          <w:tcPr>
            <w:tcW w:w="2552" w:type="dxa"/>
          </w:tcPr>
          <w:p>
            <w:pPr>
              <w:pStyle w:val="nTable"/>
              <w:spacing w:after="40"/>
              <w:rPr>
                <w:ins w:id="75" w:author="svcMRProcess" w:date="2015-10-27T22:57:00Z"/>
                <w:snapToGrid w:val="0"/>
                <w:sz w:val="19"/>
                <w:lang w:val="en-US"/>
              </w:rPr>
            </w:pPr>
            <w:ins w:id="76" w:author="svcMRProcess" w:date="2015-10-27T22:57:00Z">
              <w:r>
                <w:rPr>
                  <w:snapToGrid w:val="0"/>
                  <w:sz w:val="19"/>
                  <w:lang w:val="en-US"/>
                </w:rPr>
                <w:t>To be proclaimed (see s. 2(b))</w:t>
              </w:r>
            </w:ins>
          </w:p>
        </w:tc>
      </w:tr>
    </w:tbl>
    <w:p>
      <w:pPr>
        <w:pStyle w:val="nSubsection"/>
        <w:rPr>
          <w:ins w:id="77" w:author="svcMRProcess" w:date="2015-10-27T22:57:00Z"/>
          <w:snapToGrid w:val="0"/>
        </w:rPr>
      </w:pPr>
      <w:ins w:id="78" w:author="svcMRProcess" w:date="2015-10-27T22:57:00Z">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201(b) had not come into operation.  It reads as follows:</w:t>
        </w:r>
      </w:ins>
    </w:p>
    <w:p>
      <w:pPr>
        <w:pStyle w:val="BlankOpen"/>
        <w:rPr>
          <w:ins w:id="79" w:author="svcMRProcess" w:date="2015-10-27T22:57:00Z"/>
        </w:rPr>
      </w:pPr>
    </w:p>
    <w:p>
      <w:pPr>
        <w:pStyle w:val="nzHeading5"/>
        <w:rPr>
          <w:ins w:id="80" w:author="svcMRProcess" w:date="2015-10-27T22:57:00Z"/>
        </w:rPr>
      </w:pPr>
      <w:bookmarkStart w:id="81" w:name="_Toc334516011"/>
      <w:bookmarkStart w:id="82" w:name="_Toc334695008"/>
      <w:ins w:id="83" w:author="svcMRProcess" w:date="2015-10-27T22:57:00Z">
        <w:r>
          <w:rPr>
            <w:rStyle w:val="CharSectno"/>
          </w:rPr>
          <w:t>201</w:t>
        </w:r>
        <w:r>
          <w:t>.</w:t>
        </w:r>
        <w:r>
          <w:tab/>
          <w:t>Water boards legislation repealed</w:t>
        </w:r>
        <w:bookmarkEnd w:id="81"/>
        <w:bookmarkEnd w:id="82"/>
      </w:ins>
    </w:p>
    <w:p>
      <w:pPr>
        <w:pStyle w:val="nzSubsection"/>
        <w:rPr>
          <w:ins w:id="84" w:author="svcMRProcess" w:date="2015-10-27T22:57:00Z"/>
        </w:rPr>
      </w:pPr>
      <w:ins w:id="85" w:author="svcMRProcess" w:date="2015-10-27T22:57:00Z">
        <w:r>
          <w:tab/>
        </w:r>
        <w:r>
          <w:tab/>
          <w:t>These written laws are repealed:</w:t>
        </w:r>
      </w:ins>
    </w:p>
    <w:p>
      <w:pPr>
        <w:pStyle w:val="nzIndenta"/>
        <w:rPr>
          <w:ins w:id="86" w:author="svcMRProcess" w:date="2015-10-27T22:57:00Z"/>
        </w:rPr>
      </w:pPr>
      <w:ins w:id="87" w:author="svcMRProcess" w:date="2015-10-27T22:57:00Z">
        <w:r>
          <w:tab/>
          <w:t>(b)</w:t>
        </w:r>
        <w:r>
          <w:tab/>
          <w:t xml:space="preserve">the </w:t>
        </w:r>
        <w:r>
          <w:rPr>
            <w:i/>
          </w:rPr>
          <w:t>Busselton Water Board (Supply of Water to Dunsborough) Act 2009</w:t>
        </w:r>
        <w:r>
          <w:t>;</w:t>
        </w:r>
      </w:ins>
    </w:p>
    <w:p>
      <w:pPr>
        <w:pStyle w:val="BlankClose"/>
        <w:rPr>
          <w:ins w:id="88" w:author="svcMRProcess" w:date="2015-10-27T22:57:00Z"/>
        </w:rPr>
      </w:pP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bookmarkEnd w:id="37"/>
    <w:bookmarkEnd w:id="38"/>
    <w:bookmarkEnd w:id="39"/>
    <w:p/>
    <w:p/>
    <w:sectPr>
      <w:headerReference w:type="even" r:id="rId29"/>
      <w:headerReference w:type="default" r:id="rId30"/>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Busselton Water Board (Supply of Water to Dunsborough)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Busselton Water Board (Supply of Water to Dunsborough)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Busselton Water Board (Supply of Water to Dunsborough)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Busselton Water Board (Supply of Water to Dunsborough) Act 2009</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Busselton Water Board (Supply of Water to Dunsborough)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Busselton Water Board (Supply of Water to Dunsborough) Act 2009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Busselton Water Board (Supply of Water to Dunsborough)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Busselton Water Board (Supply of Water to Dunsborough) Act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Busselton Water Board (Supply of Water to Dunsborough) Act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82B5584"/>
    <w:multiLevelType w:val="hybridMultilevel"/>
    <w:tmpl w:val="E1DEAE7C"/>
    <w:lvl w:ilvl="0" w:tplc="C44E62E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624</Words>
  <Characters>2980</Characters>
  <Application>Microsoft Office Word</Application>
  <DocSecurity>0</DocSecurity>
  <Lines>114</Lines>
  <Paragraphs>69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(Bills)</vt:lpstr>
      <vt:lpstr>    Schedule 1 — Dunsborough part of the Dunsborough operating area</vt:lpstr>
      <vt:lpstr>    Notes</vt:lpstr>
      <vt:lpstr>    Defined Terms</vt:lpstr>
    </vt:vector>
  </TitlesOfParts>
  <Manager/>
  <Company/>
  <LinksUpToDate>false</LinksUpToDate>
  <CharactersWithSpaces>3535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Water Board (Supply of Water to Dunsborough) Act 2009 00-a0-01 - 00-b0-02</dc:title>
  <dc:subject/>
  <dc:creator/>
  <cp:keywords/>
  <dc:description/>
  <cp:lastModifiedBy>svcMRProcess</cp:lastModifiedBy>
  <cp:revision>2</cp:revision>
  <cp:lastPrinted>2009-11-17T17:02:00Z</cp:lastPrinted>
  <dcterms:created xsi:type="dcterms:W3CDTF">2015-10-27T14:57:00Z</dcterms:created>
  <dcterms:modified xsi:type="dcterms:W3CDTF">2015-10-27T14:57:00Z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2009</vt:lpwstr>
  </property>
  <property fmtid="{D5CDD505-2E9C-101B-9397-08002B2CF9AE}" pid="3" name="CommencementDate">
    <vt:lpwstr>20120903</vt:lpwstr>
  </property>
  <property fmtid="{D5CDD505-2E9C-101B-9397-08002B2CF9AE}" pid="4" name="OwlsUID">
    <vt:i4>146727</vt:i4>
  </property>
  <property fmtid="{D5CDD505-2E9C-101B-9397-08002B2CF9AE}" pid="5" name="DocumentType">
    <vt:lpwstr>Act</vt:lpwstr>
  </property>
  <property fmtid="{D5CDD505-2E9C-101B-9397-08002B2CF9AE}" pid="6" name="FromSuffix">
    <vt:lpwstr>00-a0-01</vt:lpwstr>
  </property>
  <property fmtid="{D5CDD505-2E9C-101B-9397-08002B2CF9AE}" pid="7" name="FromAsAtDate">
    <vt:lpwstr>24 Nov 2009</vt:lpwstr>
  </property>
  <property fmtid="{D5CDD505-2E9C-101B-9397-08002B2CF9AE}" pid="8" name="ToSuffix">
    <vt:lpwstr>00-b0-02</vt:lpwstr>
  </property>
  <property fmtid="{D5CDD505-2E9C-101B-9397-08002B2CF9AE}" pid="9" name="ToAsAtDate">
    <vt:lpwstr>03 Sep 2012</vt:lpwstr>
  </property>
</Properties>
</file>