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Water Agencies (Charges) By-laws 1987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2012</w:t>
      </w:r>
      <w:r>
        <w:fldChar w:fldCharType="end"/>
      </w:r>
      <w:r>
        <w:t xml:space="preserve">, </w:t>
      </w:r>
      <w:r>
        <w:fldChar w:fldCharType="begin"/>
      </w:r>
      <w:r>
        <w:instrText xml:space="preserve"> DocProperty FromSuffix </w:instrText>
      </w:r>
      <w:r>
        <w:fldChar w:fldCharType="separate"/>
      </w:r>
      <w:r>
        <w:t>06-e0-02</w:t>
      </w:r>
      <w:r>
        <w:fldChar w:fldCharType="end"/>
      </w:r>
      <w:r>
        <w:t>] and [</w:t>
      </w:r>
      <w:r>
        <w:fldChar w:fldCharType="begin"/>
      </w:r>
      <w:r>
        <w:instrText xml:space="preserve"> DocProperty ToAsAtDate</w:instrText>
      </w:r>
      <w:r>
        <w:fldChar w:fldCharType="separate"/>
      </w:r>
      <w:r>
        <w:t>03 Sep 2012</w:t>
      </w:r>
      <w:r>
        <w:fldChar w:fldCharType="end"/>
      </w:r>
      <w:r>
        <w:t xml:space="preserve">, </w:t>
      </w:r>
      <w:r>
        <w:fldChar w:fldCharType="begin"/>
      </w:r>
      <w:r>
        <w:instrText xml:space="preserve"> DocProperty ToSuffix</w:instrText>
      </w:r>
      <w:r>
        <w:fldChar w:fldCharType="separate"/>
      </w:r>
      <w:r>
        <w:t>06-f0-02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Water Agencies (Powers) Act 1984</w:t>
      </w:r>
    </w:p>
    <w:p>
      <w:pPr>
        <w:pStyle w:val="NameofActReg"/>
        <w:spacing w:before="600" w:after="720"/>
      </w:pPr>
      <w:r>
        <w:t>Water Agencies (Charges) By</w:t>
      </w:r>
      <w:r>
        <w:noBreakHyphen/>
        <w:t>laws 1987</w:t>
      </w:r>
    </w:p>
    <w:p>
      <w:pPr>
        <w:pStyle w:val="Heading5"/>
        <w:spacing w:before="160"/>
        <w:rPr>
          <w:snapToGrid w:val="0"/>
        </w:rPr>
      </w:pPr>
      <w:bookmarkStart w:id="0" w:name="_Toc84427924"/>
      <w:bookmarkStart w:id="1" w:name="_Toc487428937"/>
      <w:bookmarkStart w:id="2" w:name="_Toc17278645"/>
      <w:bookmarkStart w:id="3" w:name="_Toc180204742"/>
      <w:bookmarkStart w:id="4" w:name="_Toc328471418"/>
      <w:r>
        <w:rPr>
          <w:rStyle w:val="CharSectno"/>
        </w:rPr>
        <w:t>1</w:t>
      </w:r>
      <w:bookmarkStart w:id="5" w:name="_GoBack"/>
      <w:bookmarkEnd w:id="5"/>
      <w:r>
        <w:rPr>
          <w:snapToGrid w:val="0"/>
        </w:rPr>
        <w:t>.</w:t>
      </w:r>
      <w:r>
        <w:rPr>
          <w:snapToGrid w:val="0"/>
        </w:rPr>
        <w:tab/>
        <w:t>Citation</w:t>
      </w:r>
      <w:bookmarkEnd w:id="0"/>
      <w:bookmarkEnd w:id="1"/>
      <w:bookmarkEnd w:id="2"/>
      <w:bookmarkEnd w:id="3"/>
      <w:bookmarkEnd w:id="4"/>
    </w:p>
    <w:p>
      <w:pPr>
        <w:pStyle w:val="Subsection"/>
        <w:rPr>
          <w:snapToGrid w:val="0"/>
        </w:rPr>
      </w:pPr>
      <w:r>
        <w:rPr>
          <w:snapToGrid w:val="0"/>
        </w:rPr>
        <w:tab/>
      </w:r>
      <w:r>
        <w:rPr>
          <w:snapToGrid w:val="0"/>
        </w:rPr>
        <w:tab/>
        <w:t>These by</w:t>
      </w:r>
      <w:r>
        <w:rPr>
          <w:snapToGrid w:val="0"/>
        </w:rPr>
        <w:noBreakHyphen/>
        <w:t xml:space="preserve">laws may be cited as the </w:t>
      </w:r>
      <w:r>
        <w:rPr>
          <w:i/>
          <w:snapToGrid w:val="0"/>
        </w:rPr>
        <w:t>Water Agencies (Charges) By</w:t>
      </w:r>
      <w:r>
        <w:rPr>
          <w:i/>
          <w:snapToGrid w:val="0"/>
        </w:rPr>
        <w:noBreakHyphen/>
        <w:t>laws 1987</w:t>
      </w:r>
      <w:r>
        <w:rPr>
          <w:i/>
          <w:snapToGrid w:val="0"/>
          <w:vertAlign w:val="superscript"/>
        </w:rPr>
        <w:t xml:space="preserve"> </w:t>
      </w:r>
      <w:r>
        <w:rPr>
          <w:snapToGrid w:val="0"/>
          <w:vertAlign w:val="superscript"/>
        </w:rPr>
        <w:t>1</w:t>
      </w:r>
      <w:r>
        <w:rPr>
          <w:snapToGrid w:val="0"/>
        </w:rPr>
        <w:t>.</w:t>
      </w:r>
    </w:p>
    <w:p>
      <w:pPr>
        <w:pStyle w:val="Footnotesection"/>
      </w:pPr>
      <w:r>
        <w:tab/>
        <w:t>[By</w:t>
      </w:r>
      <w:r>
        <w:noBreakHyphen/>
        <w:t>law 1 amended in Gazette 29 Dec 1995 p. 6330.]</w:t>
      </w:r>
    </w:p>
    <w:p>
      <w:pPr>
        <w:pStyle w:val="Heading5"/>
        <w:rPr>
          <w:snapToGrid w:val="0"/>
        </w:rPr>
      </w:pPr>
      <w:bookmarkStart w:id="6" w:name="_Toc487428938"/>
      <w:bookmarkStart w:id="7" w:name="_Toc17278646"/>
      <w:bookmarkStart w:id="8" w:name="_Toc84427925"/>
      <w:bookmarkStart w:id="9" w:name="_Toc180204743"/>
      <w:bookmarkStart w:id="10" w:name="_Toc328471419"/>
      <w:r>
        <w:rPr>
          <w:rStyle w:val="CharSectno"/>
        </w:rPr>
        <w:t>2</w:t>
      </w:r>
      <w:r>
        <w:rPr>
          <w:snapToGrid w:val="0"/>
        </w:rPr>
        <w:t>.</w:t>
      </w:r>
      <w:r>
        <w:rPr>
          <w:snapToGrid w:val="0"/>
        </w:rPr>
        <w:tab/>
      </w:r>
      <w:bookmarkEnd w:id="6"/>
      <w:bookmarkEnd w:id="7"/>
      <w:r>
        <w:rPr>
          <w:snapToGrid w:val="0"/>
        </w:rPr>
        <w:t>Terms used</w:t>
      </w:r>
      <w:bookmarkEnd w:id="8"/>
      <w:bookmarkEnd w:id="9"/>
      <w:bookmarkEnd w:id="10"/>
    </w:p>
    <w:p>
      <w:pPr>
        <w:pStyle w:val="Subsection"/>
        <w:rPr>
          <w:snapToGrid w:val="0"/>
        </w:rPr>
      </w:pPr>
      <w:r>
        <w:rPr>
          <w:snapToGrid w:val="0"/>
        </w:rPr>
        <w:tab/>
        <w:t>(1)</w:t>
      </w:r>
      <w:r>
        <w:rPr>
          <w:snapToGrid w:val="0"/>
        </w:rPr>
        <w:tab/>
        <w:t>In these by</w:t>
      </w:r>
      <w:r>
        <w:rPr>
          <w:snapToGrid w:val="0"/>
        </w:rPr>
        <w:noBreakHyphen/>
        <w:t>laws, unless the contrary intention appears —</w:t>
      </w:r>
    </w:p>
    <w:p>
      <w:pPr>
        <w:pStyle w:val="Defstart"/>
      </w:pPr>
      <w:r>
        <w:tab/>
      </w:r>
      <w:r>
        <w:rPr>
          <w:rStyle w:val="CharDefText"/>
        </w:rPr>
        <w:t>aged home</w:t>
      </w:r>
      <w:r>
        <w:t xml:space="preserve"> means an institution that, in the opinion of the Corporation — </w:t>
      </w:r>
    </w:p>
    <w:p>
      <w:pPr>
        <w:pStyle w:val="Defpara"/>
      </w:pPr>
      <w:r>
        <w:tab/>
        <w:t>(a)</w:t>
      </w:r>
      <w:r>
        <w:tab/>
        <w:t>provides accommodation for aged persons; and</w:t>
      </w:r>
    </w:p>
    <w:p>
      <w:pPr>
        <w:pStyle w:val="Defpara"/>
      </w:pPr>
      <w:r>
        <w:tab/>
        <w:t>(b)</w:t>
      </w:r>
      <w:r>
        <w:tab/>
        <w:t>is not operated for the purpose of profit or gain;</w:t>
      </w:r>
    </w:p>
    <w:p>
      <w:pPr>
        <w:pStyle w:val="Defstart"/>
      </w:pPr>
      <w:r>
        <w:rPr>
          <w:b/>
        </w:rPr>
        <w:tab/>
      </w:r>
      <w:r>
        <w:rPr>
          <w:rStyle w:val="CharDefText"/>
        </w:rPr>
        <w:t>caravan bay</w:t>
      </w:r>
      <w:r>
        <w:t xml:space="preserve"> means </w:t>
      </w:r>
      <w:r>
        <w:rPr>
          <w:rStyle w:val="CharDefText"/>
        </w:rPr>
        <w:t>site</w:t>
      </w:r>
      <w:r>
        <w:t xml:space="preserve"> as that word is defined in the </w:t>
      </w:r>
      <w:r>
        <w:rPr>
          <w:i/>
        </w:rPr>
        <w:t>Caravan Parks and Camping Grounds Act 1995</w:t>
      </w:r>
      <w:r>
        <w:t>;</w:t>
      </w:r>
    </w:p>
    <w:p>
      <w:pPr>
        <w:pStyle w:val="Defstart"/>
      </w:pPr>
      <w:r>
        <w:tab/>
      </w:r>
      <w:r>
        <w:rPr>
          <w:rStyle w:val="CharDefText"/>
        </w:rPr>
        <w:t>consumption year</w:t>
      </w:r>
      <w:r>
        <w:t>, in relation to a property, means the period determined by the Corporation for the purposes of calculating the quantity charge for the supply of water to the property;</w:t>
      </w:r>
    </w:p>
    <w:p>
      <w:pPr>
        <w:pStyle w:val="Defstart"/>
      </w:pPr>
      <w:r>
        <w:rPr>
          <w:b/>
        </w:rPr>
        <w:tab/>
      </w:r>
      <w:r>
        <w:rPr>
          <w:rStyle w:val="CharDefText"/>
        </w:rPr>
        <w:t>country sewerage area</w:t>
      </w:r>
      <w:r>
        <w:t xml:space="preserve"> means a sewerage area constituted under the </w:t>
      </w:r>
      <w:r>
        <w:rPr>
          <w:i/>
        </w:rPr>
        <w:t>Country Towns Sewerage Act 1948</w:t>
      </w:r>
      <w:r>
        <w:t>;</w:t>
      </w:r>
    </w:p>
    <w:p>
      <w:pPr>
        <w:pStyle w:val="Defstart"/>
      </w:pPr>
      <w:r>
        <w:rPr>
          <w:b/>
        </w:rPr>
        <w:tab/>
      </w:r>
      <w:r>
        <w:rPr>
          <w:rStyle w:val="CharDefText"/>
        </w:rPr>
        <w:t>current year</w:t>
      </w:r>
      <w:r>
        <w:t xml:space="preserve"> means the current financial year;</w:t>
      </w:r>
    </w:p>
    <w:p>
      <w:pPr>
        <w:pStyle w:val="Defstart"/>
        <w:keepNext/>
      </w:pPr>
      <w:r>
        <w:rPr>
          <w:b/>
        </w:rPr>
        <w:tab/>
      </w:r>
      <w:r>
        <w:rPr>
          <w:rStyle w:val="CharDefText"/>
        </w:rPr>
        <w:t>discharge charge</w:t>
      </w:r>
      <w:r>
        <w:t xml:space="preserve"> means —</w:t>
      </w:r>
    </w:p>
    <w:p>
      <w:pPr>
        <w:pStyle w:val="Defpara"/>
      </w:pPr>
      <w:r>
        <w:tab/>
        <w:t>(a)</w:t>
      </w:r>
      <w:r>
        <w:tab/>
        <w:t>when used in a metropolitan context, an amount calculated in accordance with the formula in Schedule 3 item 19; or</w:t>
      </w:r>
    </w:p>
    <w:p>
      <w:pPr>
        <w:pStyle w:val="Defpara"/>
      </w:pPr>
      <w:r>
        <w:tab/>
        <w:t>(b)</w:t>
      </w:r>
      <w:r>
        <w:tab/>
        <w:t>when used in a country context, an amount calculated in accordance with the formula in Schedule 3 item 37; or</w:t>
      </w:r>
    </w:p>
    <w:p>
      <w:pPr>
        <w:pStyle w:val="Defstart"/>
      </w:pPr>
      <w:r>
        <w:rPr>
          <w:b/>
        </w:rPr>
        <w:tab/>
      </w:r>
      <w:r>
        <w:rPr>
          <w:rStyle w:val="CharDefText"/>
        </w:rPr>
        <w:t>discharge factor</w:t>
      </w:r>
      <w:r>
        <w:t xml:space="preserve"> means the estimated percentage of water discharged into the Corporation’s sewer in a discharge period, set for each property by the Corporation —</w:t>
      </w:r>
    </w:p>
    <w:p>
      <w:pPr>
        <w:pStyle w:val="Defpara"/>
      </w:pPr>
      <w:r>
        <w:tab/>
        <w:t>(a)</w:t>
      </w:r>
      <w:r>
        <w:tab/>
        <w:t>by individual assessment and consultation with the consumer; or</w:t>
      </w:r>
    </w:p>
    <w:p>
      <w:pPr>
        <w:pStyle w:val="Defpara"/>
      </w:pPr>
      <w:r>
        <w:tab/>
        <w:t>(b)</w:t>
      </w:r>
      <w:r>
        <w:tab/>
        <w:t>at a default level of 95%;</w:t>
      </w:r>
    </w:p>
    <w:p>
      <w:pPr>
        <w:pStyle w:val="Defstart"/>
      </w:pPr>
      <w:r>
        <w:rPr>
          <w:b/>
        </w:rPr>
        <w:tab/>
      </w:r>
      <w:r>
        <w:rPr>
          <w:rStyle w:val="CharDefText"/>
        </w:rPr>
        <w:t>discharge period</w:t>
      </w:r>
      <w:r>
        <w:t xml:space="preserve"> means the period commencing on a day determined by the Corporation, being a day between 1 January and 29 June in a year and ending on a day determined by the Corporation, being a day within 20 days of the expiration of one year after the commencement of the period;</w:t>
      </w:r>
    </w:p>
    <w:p>
      <w:pPr>
        <w:pStyle w:val="Defstart"/>
      </w:pPr>
      <w:r>
        <w:rPr>
          <w:b/>
        </w:rPr>
        <w:tab/>
      </w:r>
      <w:r>
        <w:rPr>
          <w:rStyle w:val="CharDefText"/>
        </w:rPr>
        <w:t>discharge volume</w:t>
      </w:r>
      <w:r>
        <w:t xml:space="preserve"> means the approximate volume of water in kilolitres discharged into the Corporation’s sewer —</w:t>
      </w:r>
    </w:p>
    <w:p>
      <w:pPr>
        <w:pStyle w:val="Defpara"/>
      </w:pPr>
      <w:r>
        <w:tab/>
        <w:t>(a)</w:t>
      </w:r>
      <w:r>
        <w:tab/>
        <w:t>calculated by multiplying the volume of water delivered to a property (where known) in a discharge period by the discharge factor set for the period;</w:t>
      </w:r>
    </w:p>
    <w:p>
      <w:pPr>
        <w:pStyle w:val="Defpara"/>
      </w:pPr>
      <w:r>
        <w:tab/>
        <w:t>(b)</w:t>
      </w:r>
      <w:r>
        <w:tab/>
        <w:t>where delivery of water by other providers or suppliers means that the actual volume delivered is not known, calculated by multiplying the estimated volume of water delivered to a property in a discharge period by the discharge factor set for the period; or</w:t>
      </w:r>
    </w:p>
    <w:p>
      <w:pPr>
        <w:pStyle w:val="Defpara"/>
      </w:pPr>
      <w:r>
        <w:tab/>
        <w:t>(c)</w:t>
      </w:r>
      <w:r>
        <w:tab/>
        <w:t>where neither paragraph (a) nor (b) are appropriate, the volume estimated by the Corporation for the period;</w:t>
      </w:r>
    </w:p>
    <w:p>
      <w:pPr>
        <w:pStyle w:val="Defstart"/>
        <w:keepNext/>
      </w:pPr>
      <w:r>
        <w:rPr>
          <w:b/>
        </w:rPr>
        <w:tab/>
      </w:r>
      <w:r>
        <w:rPr>
          <w:rStyle w:val="CharDefText"/>
        </w:rPr>
        <w:t>Government trading organisation</w:t>
      </w:r>
      <w:r>
        <w:t xml:space="preserve"> means one of the following organisations —</w:t>
      </w:r>
    </w:p>
    <w:p>
      <w:pPr>
        <w:pStyle w:val="Defpara"/>
      </w:pPr>
      <w:r>
        <w:tab/>
      </w:r>
      <w:r>
        <w:tab/>
        <w:t xml:space="preserve">Albany Port Authority — constituted under the </w:t>
      </w:r>
      <w:r>
        <w:rPr>
          <w:i/>
        </w:rPr>
        <w:t>Albany Port Authority Act 1926</w:t>
      </w:r>
      <w:r>
        <w:t xml:space="preserve"> </w:t>
      </w:r>
      <w:r>
        <w:rPr>
          <w:vertAlign w:val="superscript"/>
        </w:rPr>
        <w:t>2</w:t>
      </w:r>
      <w:r>
        <w:t>;</w:t>
      </w:r>
    </w:p>
    <w:p>
      <w:pPr>
        <w:pStyle w:val="Defpara"/>
      </w:pPr>
      <w:r>
        <w:tab/>
      </w:r>
      <w:r>
        <w:tab/>
        <w:t xml:space="preserve">Bunbury Port Authority — constituted under the </w:t>
      </w:r>
      <w:r>
        <w:rPr>
          <w:i/>
        </w:rPr>
        <w:t>Bunbury Port Authority Act 1909</w:t>
      </w:r>
      <w:r>
        <w:t xml:space="preserve"> </w:t>
      </w:r>
      <w:r>
        <w:rPr>
          <w:vertAlign w:val="superscript"/>
        </w:rPr>
        <w:t>2</w:t>
      </w:r>
      <w:r>
        <w:t>;</w:t>
      </w:r>
    </w:p>
    <w:p>
      <w:pPr>
        <w:pStyle w:val="Defpara"/>
      </w:pPr>
      <w:r>
        <w:tab/>
      </w:r>
      <w:r>
        <w:tab/>
        <w:t xml:space="preserve">Dampier Port Authority — constituted under the </w:t>
      </w:r>
      <w:r>
        <w:rPr>
          <w:i/>
        </w:rPr>
        <w:t>Dampier Port Authority Act 1985</w:t>
      </w:r>
      <w:r>
        <w:t xml:space="preserve"> </w:t>
      </w:r>
      <w:r>
        <w:rPr>
          <w:vertAlign w:val="superscript"/>
        </w:rPr>
        <w:t>2</w:t>
      </w:r>
      <w:r>
        <w:t>;</w:t>
      </w:r>
    </w:p>
    <w:p>
      <w:pPr>
        <w:pStyle w:val="Defpara"/>
      </w:pPr>
      <w:r>
        <w:tab/>
      </w:r>
      <w:r>
        <w:tab/>
        <w:t>Department of Marine and Harbours </w:t>
      </w:r>
      <w:r>
        <w:rPr>
          <w:vertAlign w:val="superscript"/>
        </w:rPr>
        <w:t>3</w:t>
      </w:r>
      <w:r>
        <w:t xml:space="preserve"> — established under section 4 of the </w:t>
      </w:r>
      <w:r>
        <w:rPr>
          <w:i/>
        </w:rPr>
        <w:t>Marine and Harbours Act 1981</w:t>
      </w:r>
      <w:r>
        <w:t>;</w:t>
      </w:r>
    </w:p>
    <w:p>
      <w:pPr>
        <w:pStyle w:val="Defpara"/>
      </w:pPr>
      <w:r>
        <w:tab/>
      </w:r>
      <w:r>
        <w:tab/>
        <w:t xml:space="preserve">Electricity Generation Corporation — established by section 4(1)(a) of the </w:t>
      </w:r>
      <w:r>
        <w:rPr>
          <w:i/>
        </w:rPr>
        <w:t>Electricity Corporations Act 2005</w:t>
      </w:r>
      <w:r>
        <w:t>;</w:t>
      </w:r>
    </w:p>
    <w:p>
      <w:pPr>
        <w:pStyle w:val="Defpara"/>
      </w:pPr>
      <w:r>
        <w:tab/>
      </w:r>
      <w:r>
        <w:tab/>
        <w:t xml:space="preserve">Electricity Networks Corporation — established by section 4(1)(b) of the </w:t>
      </w:r>
      <w:r>
        <w:rPr>
          <w:i/>
        </w:rPr>
        <w:t>Electricity Corporations Act 2005</w:t>
      </w:r>
      <w:r>
        <w:t>;</w:t>
      </w:r>
    </w:p>
    <w:p>
      <w:pPr>
        <w:pStyle w:val="Defpara"/>
      </w:pPr>
      <w:r>
        <w:tab/>
      </w:r>
      <w:r>
        <w:tab/>
        <w:t xml:space="preserve">Electricity Retail Corporation — established by section 4(1)(c) of the </w:t>
      </w:r>
      <w:r>
        <w:rPr>
          <w:i/>
        </w:rPr>
        <w:t>Electricity Corporations Act 2005</w:t>
      </w:r>
      <w:r>
        <w:t>;</w:t>
      </w:r>
    </w:p>
    <w:p>
      <w:pPr>
        <w:pStyle w:val="Defpara"/>
      </w:pPr>
      <w:r>
        <w:tab/>
      </w:r>
      <w:r>
        <w:tab/>
        <w:t xml:space="preserve">Esperance Port Authority — constituted under the </w:t>
      </w:r>
      <w:r>
        <w:rPr>
          <w:i/>
        </w:rPr>
        <w:t>Esperance Port Authority Act 1968</w:t>
      </w:r>
      <w:r>
        <w:t xml:space="preserve"> </w:t>
      </w:r>
      <w:r>
        <w:rPr>
          <w:vertAlign w:val="superscript"/>
        </w:rPr>
        <w:t>2</w:t>
      </w:r>
      <w:r>
        <w:t>;</w:t>
      </w:r>
    </w:p>
    <w:p>
      <w:pPr>
        <w:pStyle w:val="Defpara"/>
      </w:pPr>
      <w:r>
        <w:tab/>
      </w:r>
      <w:r>
        <w:tab/>
        <w:t xml:space="preserve">Fremantle Port Authority — constituted under the </w:t>
      </w:r>
      <w:r>
        <w:rPr>
          <w:i/>
        </w:rPr>
        <w:t>Fremantle Port Authority Act 1902</w:t>
      </w:r>
      <w:r>
        <w:t xml:space="preserve"> </w:t>
      </w:r>
      <w:r>
        <w:rPr>
          <w:vertAlign w:val="superscript"/>
        </w:rPr>
        <w:t>2</w:t>
      </w:r>
      <w:r>
        <w:t>;</w:t>
      </w:r>
    </w:p>
    <w:p>
      <w:pPr>
        <w:pStyle w:val="Defpara"/>
      </w:pPr>
      <w:r>
        <w:tab/>
      </w:r>
      <w:r>
        <w:tab/>
        <w:t xml:space="preserve">Gas Corporation — established under section 4 of the </w:t>
      </w:r>
      <w:r>
        <w:rPr>
          <w:i/>
        </w:rPr>
        <w:t>Gas Corporation Act 1994 </w:t>
      </w:r>
      <w:r>
        <w:rPr>
          <w:vertAlign w:val="superscript"/>
        </w:rPr>
        <w:t>4</w:t>
      </w:r>
      <w:r>
        <w:t>;</w:t>
      </w:r>
    </w:p>
    <w:p>
      <w:pPr>
        <w:pStyle w:val="Defpara"/>
      </w:pPr>
      <w:r>
        <w:tab/>
      </w:r>
      <w:r>
        <w:tab/>
        <w:t xml:space="preserve">Geraldton Port Authority — constituted under the </w:t>
      </w:r>
      <w:r>
        <w:rPr>
          <w:i/>
        </w:rPr>
        <w:t>Geraldton Port Authority Act 1968</w:t>
      </w:r>
      <w:r>
        <w:t xml:space="preserve"> </w:t>
      </w:r>
      <w:r>
        <w:rPr>
          <w:vertAlign w:val="superscript"/>
        </w:rPr>
        <w:t>2</w:t>
      </w:r>
      <w:r>
        <w:t>;</w:t>
      </w:r>
    </w:p>
    <w:p>
      <w:pPr>
        <w:pStyle w:val="Defpara"/>
      </w:pPr>
      <w:r>
        <w:tab/>
      </w:r>
      <w:r>
        <w:tab/>
        <w:t xml:space="preserve">Joondalup Development Corporation — established under the </w:t>
      </w:r>
      <w:r>
        <w:rPr>
          <w:i/>
        </w:rPr>
        <w:t>Joondalup Centre Act 1976</w:t>
      </w:r>
      <w:r>
        <w:t xml:space="preserve"> </w:t>
      </w:r>
      <w:r>
        <w:rPr>
          <w:vertAlign w:val="superscript"/>
        </w:rPr>
        <w:t>5</w:t>
      </w:r>
      <w:r>
        <w:t>;</w:t>
      </w:r>
    </w:p>
    <w:p>
      <w:pPr>
        <w:pStyle w:val="Defpara"/>
      </w:pPr>
      <w:r>
        <w:tab/>
      </w:r>
      <w:r>
        <w:tab/>
        <w:t xml:space="preserve">Lotteries Commission — continued under the </w:t>
      </w:r>
      <w:r>
        <w:rPr>
          <w:i/>
        </w:rPr>
        <w:t>Lotteries Commission Act 1990</w:t>
      </w:r>
      <w:r>
        <w:t>;</w:t>
      </w:r>
    </w:p>
    <w:p>
      <w:pPr>
        <w:pStyle w:val="Defpara"/>
      </w:pPr>
      <w:r>
        <w:tab/>
      </w:r>
      <w:r>
        <w:tab/>
        <w:t xml:space="preserve">Metropolitan Cemeteries Board — established under the </w:t>
      </w:r>
      <w:r>
        <w:rPr>
          <w:i/>
        </w:rPr>
        <w:t>Cemeteries Act 1986</w:t>
      </w:r>
      <w:r>
        <w:t>;</w:t>
      </w:r>
    </w:p>
    <w:p>
      <w:pPr>
        <w:pStyle w:val="Defpara"/>
      </w:pPr>
      <w:r>
        <w:tab/>
      </w:r>
      <w:r>
        <w:tab/>
        <w:t xml:space="preserve">Metropolitan (Perth) Passenger Transport Trust — constituted under the </w:t>
      </w:r>
      <w:r>
        <w:rPr>
          <w:i/>
        </w:rPr>
        <w:t>Metropolitan (Perth) Passenger Transport Trust Act 1957</w:t>
      </w:r>
      <w:r>
        <w:t xml:space="preserve"> </w:t>
      </w:r>
      <w:r>
        <w:rPr>
          <w:vertAlign w:val="superscript"/>
        </w:rPr>
        <w:t>6</w:t>
      </w:r>
      <w:r>
        <w:t>;</w:t>
      </w:r>
    </w:p>
    <w:p>
      <w:pPr>
        <w:pStyle w:val="Defpara"/>
      </w:pPr>
      <w:r>
        <w:tab/>
      </w:r>
      <w:r>
        <w:tab/>
        <w:t xml:space="preserve">Perth Market Authority — preserved and continued under the </w:t>
      </w:r>
      <w:r>
        <w:rPr>
          <w:i/>
        </w:rPr>
        <w:t>Perth Market Act 1926</w:t>
      </w:r>
      <w:r>
        <w:t>;</w:t>
      </w:r>
    </w:p>
    <w:p>
      <w:pPr>
        <w:pStyle w:val="Defpara"/>
      </w:pPr>
      <w:r>
        <w:tab/>
      </w:r>
      <w:r>
        <w:tab/>
        <w:t xml:space="preserve">Perth Theatre Trust — established under the </w:t>
      </w:r>
      <w:r>
        <w:rPr>
          <w:i/>
        </w:rPr>
        <w:t>Perth Theatre Trust Act 1979</w:t>
      </w:r>
      <w:r>
        <w:t>;</w:t>
      </w:r>
    </w:p>
    <w:p>
      <w:pPr>
        <w:pStyle w:val="Defpara"/>
      </w:pPr>
      <w:r>
        <w:tab/>
      </w:r>
      <w:r>
        <w:tab/>
        <w:t xml:space="preserve">Port Hedland Port Authority — constituted under the </w:t>
      </w:r>
      <w:r>
        <w:rPr>
          <w:i/>
        </w:rPr>
        <w:t>Port Hedland Port Authority Act 1970</w:t>
      </w:r>
      <w:r>
        <w:t xml:space="preserve"> </w:t>
      </w:r>
      <w:r>
        <w:rPr>
          <w:vertAlign w:val="superscript"/>
        </w:rPr>
        <w:t>2</w:t>
      </w:r>
      <w:r>
        <w:t>;</w:t>
      </w:r>
    </w:p>
    <w:p>
      <w:pPr>
        <w:pStyle w:val="Defpara"/>
      </w:pPr>
      <w:r>
        <w:tab/>
      </w:r>
      <w:r>
        <w:tab/>
        <w:t xml:space="preserve">Regional Power Corporation — established by section 4(1)(d) of the </w:t>
      </w:r>
      <w:r>
        <w:rPr>
          <w:i/>
        </w:rPr>
        <w:t>Electricity Corporations Act 2005</w:t>
      </w:r>
      <w:r>
        <w:t>;</w:t>
      </w:r>
    </w:p>
    <w:p>
      <w:pPr>
        <w:pStyle w:val="Defpara"/>
      </w:pPr>
      <w:r>
        <w:tab/>
      </w:r>
      <w:r>
        <w:tab/>
        <w:t xml:space="preserve">State Housing Commission (“Homeswest”) — preserved and continued under the </w:t>
      </w:r>
      <w:r>
        <w:rPr>
          <w:i/>
        </w:rPr>
        <w:t>Housing Act 1980</w:t>
      </w:r>
      <w:r>
        <w:t>;</w:t>
      </w:r>
    </w:p>
    <w:p>
      <w:pPr>
        <w:pStyle w:val="Defpara"/>
      </w:pPr>
      <w:r>
        <w:tab/>
      </w:r>
      <w:r>
        <w:tab/>
        <w:t xml:space="preserve">Western Australian Coastal Shipping Commission — established under the </w:t>
      </w:r>
      <w:r>
        <w:rPr>
          <w:i/>
        </w:rPr>
        <w:t>Western Australian Coastal Shipping Commission Act 1965</w:t>
      </w:r>
      <w:r>
        <w:t>;</w:t>
      </w:r>
    </w:p>
    <w:p>
      <w:pPr>
        <w:pStyle w:val="Defpara"/>
      </w:pPr>
      <w:r>
        <w:tab/>
      </w:r>
      <w:r>
        <w:tab/>
        <w:t xml:space="preserve">Western Australian Development Corporation — established by the </w:t>
      </w:r>
      <w:r>
        <w:rPr>
          <w:i/>
        </w:rPr>
        <w:t>Western Australian Development Corporation Act 1983</w:t>
      </w:r>
      <w:r>
        <w:t xml:space="preserve"> </w:t>
      </w:r>
      <w:r>
        <w:rPr>
          <w:vertAlign w:val="superscript"/>
        </w:rPr>
        <w:t>7</w:t>
      </w:r>
      <w:r>
        <w:t>;</w:t>
      </w:r>
    </w:p>
    <w:p>
      <w:pPr>
        <w:pStyle w:val="Defpara"/>
      </w:pPr>
      <w:r>
        <w:tab/>
      </w:r>
      <w:r>
        <w:tab/>
        <w:t xml:space="preserve">Western Australian Land Authority — established by the </w:t>
      </w:r>
      <w:r>
        <w:rPr>
          <w:i/>
        </w:rPr>
        <w:t>Western Australian Land Authority Act 1992</w:t>
      </w:r>
      <w:r>
        <w:t>;</w:t>
      </w:r>
    </w:p>
    <w:p>
      <w:pPr>
        <w:pStyle w:val="Defpara"/>
      </w:pPr>
      <w:r>
        <w:tab/>
      </w:r>
      <w:r>
        <w:tab/>
        <w:t xml:space="preserve">Western Australian Meat Commission — established under the </w:t>
      </w:r>
      <w:r>
        <w:rPr>
          <w:i/>
        </w:rPr>
        <w:t>Abattoirs’ Act 1909</w:t>
      </w:r>
      <w:r>
        <w:t xml:space="preserve"> </w:t>
      </w:r>
      <w:r>
        <w:rPr>
          <w:vertAlign w:val="superscript"/>
        </w:rPr>
        <w:t>8</w:t>
      </w:r>
      <w:r>
        <w:t>;</w:t>
      </w:r>
    </w:p>
    <w:p>
      <w:pPr>
        <w:pStyle w:val="Defpara"/>
      </w:pPr>
      <w:r>
        <w:tab/>
      </w:r>
      <w:r>
        <w:tab/>
        <w:t xml:space="preserve">Western Australian Mint — preserved and continued under the </w:t>
      </w:r>
      <w:r>
        <w:rPr>
          <w:i/>
        </w:rPr>
        <w:t>Gold Corporation Act 1987</w:t>
      </w:r>
      <w:r>
        <w:t>, including —</w:t>
      </w:r>
    </w:p>
    <w:p>
      <w:pPr>
        <w:pStyle w:val="Defsubpara"/>
      </w:pPr>
      <w:r>
        <w:tab/>
        <w:t>(a)</w:t>
      </w:r>
      <w:r>
        <w:tab/>
        <w:t xml:space="preserve">GoldCorp Australia — constituted under the </w:t>
      </w:r>
      <w:r>
        <w:rPr>
          <w:i/>
        </w:rPr>
        <w:t>Gold Corporation Act 1987</w:t>
      </w:r>
      <w:r>
        <w:t>;</w:t>
      </w:r>
    </w:p>
    <w:p>
      <w:pPr>
        <w:pStyle w:val="Defsubpara"/>
      </w:pPr>
      <w:r>
        <w:tab/>
        <w:t>(b)</w:t>
      </w:r>
      <w:r>
        <w:tab/>
        <w:t xml:space="preserve">Gold Corporation — constituted under the </w:t>
      </w:r>
      <w:r>
        <w:rPr>
          <w:i/>
        </w:rPr>
        <w:t>Gold Corporation Act 1987</w:t>
      </w:r>
      <w:r>
        <w:t>; and</w:t>
      </w:r>
    </w:p>
    <w:p>
      <w:pPr>
        <w:pStyle w:val="Defsubpara"/>
      </w:pPr>
      <w:r>
        <w:tab/>
        <w:t>(c)</w:t>
      </w:r>
      <w:r>
        <w:tab/>
        <w:t xml:space="preserve">the Perth Branch of the Royal Mint — established by proclamation under the </w:t>
      </w:r>
      <w:r>
        <w:rPr>
          <w:i/>
        </w:rPr>
        <w:t>Coinage Act 1870</w:t>
      </w:r>
      <w:r>
        <w:t xml:space="preserve"> of the Parliament of the United Kingdom;</w:t>
      </w:r>
    </w:p>
    <w:p>
      <w:pPr>
        <w:pStyle w:val="Defpara"/>
      </w:pPr>
      <w:r>
        <w:tab/>
      </w:r>
      <w:r>
        <w:tab/>
        <w:t xml:space="preserve">Western Australian Government Railways Commission (“Westrail”) — constituted under the </w:t>
      </w:r>
      <w:r>
        <w:rPr>
          <w:i/>
        </w:rPr>
        <w:t>Government Railways Act 1904</w:t>
      </w:r>
      <w:r>
        <w:t xml:space="preserve"> </w:t>
      </w:r>
      <w:r>
        <w:rPr>
          <w:vertAlign w:val="superscript"/>
        </w:rPr>
        <w:t>9</w:t>
      </w:r>
      <w:r>
        <w:t>;</w:t>
      </w:r>
    </w:p>
    <w:p>
      <w:pPr>
        <w:pStyle w:val="Defstart"/>
      </w:pPr>
      <w:r>
        <w:rPr>
          <w:b/>
        </w:rPr>
        <w:tab/>
      </w:r>
      <w:r>
        <w:rPr>
          <w:rStyle w:val="CharDefText"/>
        </w:rPr>
        <w:t>GRV</w:t>
      </w:r>
      <w:r>
        <w:t>, in relation to land, means the gross rental value of the land;</w:t>
      </w:r>
    </w:p>
    <w:p>
      <w:pPr>
        <w:pStyle w:val="Defstart"/>
        <w:keepNext/>
      </w:pPr>
      <w:r>
        <w:rPr>
          <w:b/>
        </w:rPr>
        <w:tab/>
      </w:r>
      <w:r>
        <w:rPr>
          <w:rStyle w:val="CharDefText"/>
        </w:rPr>
        <w:t>holiday accommodation</w:t>
      </w:r>
      <w:r>
        <w:t xml:space="preserve"> means accommodation which, at any time during the year for which a charge is to be assessed —</w:t>
      </w:r>
    </w:p>
    <w:p>
      <w:pPr>
        <w:pStyle w:val="Defpara"/>
      </w:pPr>
      <w:r>
        <w:tab/>
        <w:t>(a)</w:t>
      </w:r>
      <w:r>
        <w:tab/>
        <w:t>is held out by the owner or occupier of the land on which the accommodation is situated as being available; or</w:t>
      </w:r>
    </w:p>
    <w:p>
      <w:pPr>
        <w:pStyle w:val="Defpara"/>
        <w:keepNext/>
      </w:pPr>
      <w:r>
        <w:tab/>
        <w:t>(b)</w:t>
      </w:r>
      <w:r>
        <w:tab/>
        <w:t>is made available by that owner or occupier,</w:t>
      </w:r>
    </w:p>
    <w:p>
      <w:pPr>
        <w:pStyle w:val="Defstart"/>
      </w:pPr>
      <w:r>
        <w:tab/>
        <w:t>for occupation for holiday purposes by persons other than that owner or occupier unless, in the opinion of the Corporation, the accommodation is not so held out or made available substantially by way of trade or business or for the purpose of any trade or business;</w:t>
      </w:r>
    </w:p>
    <w:p>
      <w:pPr>
        <w:pStyle w:val="Defstart"/>
      </w:pPr>
      <w:r>
        <w:rPr>
          <w:b/>
        </w:rPr>
        <w:tab/>
      </w:r>
      <w:r>
        <w:rPr>
          <w:rStyle w:val="CharDefText"/>
        </w:rPr>
        <w:t>irrigation district</w:t>
      </w:r>
      <w:r>
        <w:t xml:space="preserve"> refers to an irrigation district constituted under the </w:t>
      </w:r>
      <w:r>
        <w:rPr>
          <w:i/>
        </w:rPr>
        <w:t>Rights in Water and Irrigation Act 1914</w:t>
      </w:r>
      <w:r>
        <w:t>;</w:t>
      </w:r>
    </w:p>
    <w:p>
      <w:pPr>
        <w:pStyle w:val="Defstart"/>
      </w:pPr>
      <w:r>
        <w:rPr>
          <w:b/>
        </w:rPr>
        <w:tab/>
      </w:r>
      <w:r>
        <w:rPr>
          <w:rStyle w:val="CharDefText"/>
        </w:rPr>
        <w:t>long term residential caravan bay</w:t>
      </w:r>
      <w:r>
        <w:t xml:space="preserve"> means a caravan bay that is rented by a person as the person’s principal place of residence;</w:t>
      </w:r>
    </w:p>
    <w:p>
      <w:pPr>
        <w:pStyle w:val="Defstart"/>
      </w:pPr>
      <w:r>
        <w:rPr>
          <w:b/>
        </w:rPr>
        <w:tab/>
      </w:r>
      <w:r>
        <w:rPr>
          <w:rStyle w:val="CharDefText"/>
        </w:rPr>
        <w:t>major fixture</w:t>
      </w:r>
      <w:r>
        <w:t xml:space="preserve"> means —</w:t>
      </w:r>
    </w:p>
    <w:p>
      <w:pPr>
        <w:pStyle w:val="Defpara"/>
      </w:pPr>
      <w:r>
        <w:tab/>
        <w:t>(a)</w:t>
      </w:r>
      <w:r>
        <w:tab/>
        <w:t>a water closet;</w:t>
      </w:r>
    </w:p>
    <w:p>
      <w:pPr>
        <w:pStyle w:val="Defpara"/>
      </w:pPr>
      <w:r>
        <w:tab/>
        <w:t>(b)</w:t>
      </w:r>
      <w:r>
        <w:tab/>
        <w:t>each urinal outlet contained within a floor mounted urinal;</w:t>
      </w:r>
    </w:p>
    <w:p>
      <w:pPr>
        <w:pStyle w:val="Defpara"/>
      </w:pPr>
      <w:r>
        <w:tab/>
        <w:t>(c)</w:t>
      </w:r>
      <w:r>
        <w:tab/>
        <w:t>each stand of wall</w:t>
      </w:r>
      <w:r>
        <w:noBreakHyphen/>
        <w:t>hung urinals contained within a separate ablution area; and</w:t>
      </w:r>
    </w:p>
    <w:p>
      <w:pPr>
        <w:pStyle w:val="Defpara"/>
      </w:pPr>
      <w:r>
        <w:tab/>
        <w:t>(d)</w:t>
      </w:r>
      <w:r>
        <w:tab/>
        <w:t>a pan washer;</w:t>
      </w:r>
    </w:p>
    <w:p>
      <w:pPr>
        <w:pStyle w:val="Defstart"/>
      </w:pPr>
      <w:r>
        <w:rPr>
          <w:b/>
        </w:rPr>
        <w:tab/>
      </w:r>
      <w:r>
        <w:rPr>
          <w:rStyle w:val="CharDefText"/>
        </w:rPr>
        <w:t>metropolitan area</w:t>
      </w:r>
      <w:r>
        <w:t xml:space="preserve"> means Metropolitan Water, Sewerage, and Drainage Area constituted under the </w:t>
      </w:r>
      <w:r>
        <w:rPr>
          <w:i/>
        </w:rPr>
        <w:t>Metropolitan Water Supply, Sewerage, and Drainage Act 1909</w:t>
      </w:r>
      <w:r>
        <w:t>;</w:t>
      </w:r>
    </w:p>
    <w:p>
      <w:pPr>
        <w:pStyle w:val="Defstart"/>
        <w:keepNext/>
      </w:pPr>
      <w:r>
        <w:rPr>
          <w:b/>
        </w:rPr>
        <w:tab/>
      </w:r>
      <w:r>
        <w:rPr>
          <w:rStyle w:val="CharDefText"/>
        </w:rPr>
        <w:t>non</w:t>
      </w:r>
      <w:r>
        <w:rPr>
          <w:rStyle w:val="CharDefText"/>
        </w:rPr>
        <w:noBreakHyphen/>
        <w:t>commercial Government property</w:t>
      </w:r>
      <w:r>
        <w:t xml:space="preserve"> means property held by a State Government body —</w:t>
      </w:r>
    </w:p>
    <w:p>
      <w:pPr>
        <w:pStyle w:val="Defpara"/>
      </w:pPr>
      <w:r>
        <w:tab/>
        <w:t>(a)</w:t>
      </w:r>
      <w:r>
        <w:tab/>
        <w:t>which is not used wholly or primarily for the provision of community services or public facilities;</w:t>
      </w:r>
    </w:p>
    <w:p>
      <w:pPr>
        <w:pStyle w:val="Defpara"/>
      </w:pPr>
      <w:r>
        <w:tab/>
        <w:t>(b)</w:t>
      </w:r>
      <w:r>
        <w:tab/>
        <w:t>which is not property classified as Government trading organisation property under these by</w:t>
      </w:r>
      <w:r>
        <w:noBreakHyphen/>
        <w:t>laws; and</w:t>
      </w:r>
    </w:p>
    <w:p>
      <w:pPr>
        <w:pStyle w:val="Defpara"/>
      </w:pPr>
      <w:r>
        <w:tab/>
        <w:t>(c)</w:t>
      </w:r>
      <w:r>
        <w:tab/>
        <w:t>upon which revenue may be generated, but not to the extent that it approaches the funding level necessary for the body itself,</w:t>
      </w:r>
    </w:p>
    <w:p>
      <w:pPr>
        <w:pStyle w:val="Defstart"/>
      </w:pPr>
      <w:r>
        <w:tab/>
        <w:t>and includes associated buildings and facilities.</w:t>
      </w:r>
    </w:p>
    <w:p>
      <w:pPr>
        <w:pStyle w:val="Defstart"/>
      </w:pPr>
      <w:r>
        <w:rPr>
          <w:b/>
        </w:rPr>
        <w:tab/>
      </w:r>
      <w:r>
        <w:rPr>
          <w:rStyle w:val="CharDefText"/>
        </w:rPr>
        <w:t>previous year</w:t>
      </w:r>
      <w:r>
        <w:t xml:space="preserve"> means the financial year immediately preceding the current year;</w:t>
      </w:r>
    </w:p>
    <w:p>
      <w:pPr>
        <w:pStyle w:val="Defstart"/>
        <w:keepNext/>
      </w:pPr>
      <w:r>
        <w:rPr>
          <w:b/>
        </w:rPr>
        <w:tab/>
      </w:r>
      <w:r>
        <w:rPr>
          <w:rStyle w:val="CharDefText"/>
        </w:rPr>
        <w:t>quantity charge</w:t>
      </w:r>
      <w:r>
        <w:t xml:space="preserve"> means —</w:t>
      </w:r>
    </w:p>
    <w:p>
      <w:pPr>
        <w:pStyle w:val="Defpara"/>
      </w:pPr>
      <w:r>
        <w:tab/>
        <w:t>(a)</w:t>
      </w:r>
      <w:r>
        <w:tab/>
        <w:t>in relation to the supply of water, a charge prescribed in these by</w:t>
      </w:r>
      <w:r>
        <w:noBreakHyphen/>
        <w:t>laws according to the quantity of water supplied, whether or not for irrigation; or</w:t>
      </w:r>
    </w:p>
    <w:p>
      <w:pPr>
        <w:pStyle w:val="Defpara"/>
      </w:pPr>
      <w:r>
        <w:tab/>
        <w:t>(b)</w:t>
      </w:r>
      <w:r>
        <w:tab/>
        <w:t>in relation to the provision of sewerage, a charge prescribed in these by</w:t>
      </w:r>
      <w:r>
        <w:noBreakHyphen/>
        <w:t>laws according to the discharge volume;</w:t>
      </w:r>
    </w:p>
    <w:p>
      <w:pPr>
        <w:pStyle w:val="Defstart"/>
      </w:pPr>
      <w:r>
        <w:rPr>
          <w:b/>
        </w:rPr>
        <w:tab/>
      </w:r>
      <w:r>
        <w:rPr>
          <w:rStyle w:val="CharDefText"/>
        </w:rPr>
        <w:t>residence</w:t>
      </w:r>
      <w:r>
        <w:t xml:space="preserve"> means a private dwelling house, home unit, or flat, and includes any yard, garden, outhouse, or appurtenance belonging thereto or usually enjoyed therewith;</w:t>
      </w:r>
    </w:p>
    <w:p>
      <w:pPr>
        <w:pStyle w:val="Defstart"/>
      </w:pPr>
      <w:r>
        <w:rPr>
          <w:b/>
        </w:rPr>
        <w:tab/>
      </w:r>
      <w:r>
        <w:rPr>
          <w:rStyle w:val="CharDefText"/>
        </w:rPr>
        <w:t>residential property</w:t>
      </w:r>
      <w:r>
        <w:t>, in relation to a charge, means a piece of land classified for the purposes of the Part or Division under which that charge is made as residential that, in accordance with by</w:t>
      </w:r>
      <w:r>
        <w:noBreakHyphen/>
        <w:t>law 5, is the subject of a separate assessment of a charge;</w:t>
      </w:r>
    </w:p>
    <w:p>
      <w:pPr>
        <w:pStyle w:val="Defstart"/>
      </w:pPr>
      <w:r>
        <w:rPr>
          <w:b/>
        </w:rPr>
        <w:tab/>
      </w:r>
      <w:r>
        <w:rPr>
          <w:rStyle w:val="CharDefText"/>
        </w:rPr>
        <w:t>single capital infrastructure charge</w:t>
      </w:r>
      <w:r>
        <w:t xml:space="preserve"> means a charge set out in Column 2 of the Table to Schedule 1 item 36;</w:t>
      </w:r>
    </w:p>
    <w:p>
      <w:pPr>
        <w:pStyle w:val="Defstart"/>
      </w:pPr>
      <w:r>
        <w:rPr>
          <w:b/>
        </w:rPr>
        <w:tab/>
      </w:r>
      <w:r>
        <w:rPr>
          <w:rStyle w:val="CharDefText"/>
        </w:rPr>
        <w:t>UV</w:t>
      </w:r>
      <w:r>
        <w:t>, in relation to land, means the unimproved value of the land;</w:t>
      </w:r>
    </w:p>
    <w:p>
      <w:pPr>
        <w:pStyle w:val="Defstart"/>
      </w:pPr>
      <w:r>
        <w:rPr>
          <w:b/>
        </w:rPr>
        <w:tab/>
      </w:r>
      <w:r>
        <w:rPr>
          <w:rStyle w:val="CharDefText"/>
        </w:rPr>
        <w:t>water supply</w:t>
      </w:r>
      <w:r>
        <w:t xml:space="preserve"> does not include the supply of water under the </w:t>
      </w:r>
      <w:r>
        <w:rPr>
          <w:i/>
        </w:rPr>
        <w:t>Rights in Water and Irrigation Act 1914</w:t>
      </w:r>
      <w:r>
        <w:t xml:space="preserve"> for irrigation but includes the supply of water under that Act for purposes other than irrigation;</w:t>
      </w:r>
    </w:p>
    <w:p>
      <w:pPr>
        <w:pStyle w:val="Defstart"/>
      </w:pPr>
      <w:r>
        <w:rPr>
          <w:b/>
        </w:rPr>
        <w:tab/>
      </w:r>
      <w:r>
        <w:rPr>
          <w:rStyle w:val="CharDefText"/>
        </w:rPr>
        <w:t>year</w:t>
      </w:r>
      <w:r>
        <w:t>, preceded by a reference to 2 calendar years (for example, 1987/88 or 1999/2000) means —</w:t>
      </w:r>
    </w:p>
    <w:p>
      <w:pPr>
        <w:pStyle w:val="Defpara"/>
      </w:pPr>
      <w:r>
        <w:tab/>
        <w:t>(a)</w:t>
      </w:r>
      <w:r>
        <w:tab/>
        <w:t>in relation to a charge not mentioned in paragraph (b), the period commencing on 1 July in the first of the years referred to and ending immediately before 1 July in the second of those years;</w:t>
      </w:r>
    </w:p>
    <w:p>
      <w:pPr>
        <w:pStyle w:val="Defpara"/>
      </w:pPr>
      <w:r>
        <w:tab/>
        <w:t>(b)</w:t>
      </w:r>
      <w:r>
        <w:tab/>
        <w:t>in relation to a quantity charge —</w:t>
      </w:r>
    </w:p>
    <w:p>
      <w:pPr>
        <w:pStyle w:val="Defsubpara"/>
        <w:keepLines w:val="0"/>
      </w:pPr>
      <w:r>
        <w:tab/>
        <w:t>(i)</w:t>
      </w:r>
      <w:r>
        <w:tab/>
        <w:t xml:space="preserve">that relates to water supplied under the </w:t>
      </w:r>
      <w:r>
        <w:rPr>
          <w:i/>
        </w:rPr>
        <w:t>Country Areas Water Supply Act 1947</w:t>
      </w:r>
      <w:r>
        <w:t>, the period commencing on a day determined by the Corporation, being a day between 1 July and 31 October, inclusive, in the first of the years referred to and ending on a day determined by the Corporation, being a day within 20 days of the expiration of one year after the commencement of the period;</w:t>
      </w:r>
    </w:p>
    <w:p>
      <w:pPr>
        <w:pStyle w:val="Defsubpara"/>
      </w:pPr>
      <w:r>
        <w:tab/>
        <w:t>(ii)</w:t>
      </w:r>
      <w:r>
        <w:tab/>
        <w:t xml:space="preserve">that relates to water supplied under the </w:t>
      </w:r>
      <w:r>
        <w:rPr>
          <w:i/>
        </w:rPr>
        <w:t>Metropolitan Water Supply, Sewerage, and Drainage Act 1909</w:t>
      </w:r>
      <w:r>
        <w:t xml:space="preserve"> or the </w:t>
      </w:r>
      <w:r>
        <w:rPr>
          <w:i/>
        </w:rPr>
        <w:t>Metropolitan Water Authority Act 1982</w:t>
      </w:r>
      <w:r>
        <w:t>, the period commencing on a day determined by the Corporation, being a day between 1 January and 29 June in the first of the years referred to and ending on a day determined by the Corporation, being a day within 20 days of the expiration of one year after the commencement of the period;</w:t>
      </w:r>
    </w:p>
    <w:p>
      <w:pPr>
        <w:pStyle w:val="Defsubpara"/>
        <w:keepLines w:val="0"/>
        <w:rPr>
          <w:spacing w:val="-2"/>
        </w:rPr>
      </w:pPr>
      <w:r>
        <w:tab/>
        <w:t>(iii)</w:t>
      </w:r>
      <w:r>
        <w:tab/>
      </w:r>
      <w:r>
        <w:rPr>
          <w:spacing w:val="-2"/>
        </w:rPr>
        <w:t xml:space="preserve">that relates to industrial waste discharged under the </w:t>
      </w:r>
      <w:r>
        <w:rPr>
          <w:i/>
          <w:spacing w:val="-2"/>
        </w:rPr>
        <w:t>Metropolitan Water Supply, Sewerage, and Drainage Act 1909</w:t>
      </w:r>
      <w:r>
        <w:rPr>
          <w:spacing w:val="-2"/>
        </w:rPr>
        <w:t xml:space="preserve"> or the </w:t>
      </w:r>
      <w:r>
        <w:rPr>
          <w:i/>
          <w:spacing w:val="-2"/>
        </w:rPr>
        <w:t>Country Towns Sewerage Act 1948</w:t>
      </w:r>
      <w:r>
        <w:rPr>
          <w:spacing w:val="-2"/>
        </w:rPr>
        <w:t>, the period commencing on a day determined by the Corporation, being a day between 15 June and 15 July in the first of the years referred to and ending on a day determined by the Corporation, being a day between 15 June and 15 July in the second of the years referred to; and</w:t>
      </w:r>
    </w:p>
    <w:p>
      <w:pPr>
        <w:pStyle w:val="Defsubpara"/>
      </w:pPr>
      <w:r>
        <w:tab/>
        <w:t>(iv)</w:t>
      </w:r>
      <w:r>
        <w:tab/>
        <w:t>that relates to water discharged into the Corporation’s sewer, the period under subparagraphs (i) or (ii).</w:t>
      </w:r>
    </w:p>
    <w:p>
      <w:pPr>
        <w:pStyle w:val="Subsection"/>
        <w:rPr>
          <w:snapToGrid w:val="0"/>
        </w:rPr>
      </w:pPr>
      <w:r>
        <w:rPr>
          <w:snapToGrid w:val="0"/>
        </w:rPr>
        <w:tab/>
        <w:t>(2)</w:t>
      </w:r>
      <w:r>
        <w:rPr>
          <w:snapToGrid w:val="0"/>
        </w:rPr>
        <w:tab/>
      </w:r>
      <w:r>
        <w:rPr>
          <w:snapToGrid w:val="0"/>
          <w:spacing w:val="-4"/>
        </w:rPr>
        <w:t>A reference in these by</w:t>
      </w:r>
      <w:r>
        <w:rPr>
          <w:snapToGrid w:val="0"/>
          <w:spacing w:val="-4"/>
        </w:rPr>
        <w:noBreakHyphen/>
        <w:t xml:space="preserve">laws to a charge includes a reference to an amount in respect of rates under the </w:t>
      </w:r>
      <w:r>
        <w:rPr>
          <w:i/>
          <w:snapToGrid w:val="0"/>
          <w:spacing w:val="-4"/>
        </w:rPr>
        <w:t>Land Drainage Act 1925</w:t>
      </w:r>
      <w:r>
        <w:rPr>
          <w:snapToGrid w:val="0"/>
          <w:spacing w:val="-4"/>
        </w:rPr>
        <w:t>.</w:t>
      </w:r>
    </w:p>
    <w:p>
      <w:pPr>
        <w:pStyle w:val="Subsection"/>
        <w:keepNext/>
        <w:rPr>
          <w:snapToGrid w:val="0"/>
        </w:rPr>
      </w:pPr>
      <w:r>
        <w:rPr>
          <w:snapToGrid w:val="0"/>
        </w:rPr>
        <w:tab/>
        <w:t>(3)</w:t>
      </w:r>
      <w:r>
        <w:rPr>
          <w:snapToGrid w:val="0"/>
        </w:rPr>
        <w:tab/>
        <w:t>For the purposes of a formula in a Schedule —</w:t>
      </w:r>
    </w:p>
    <w:p>
      <w:pPr>
        <w:pStyle w:val="Indenta"/>
        <w:rPr>
          <w:snapToGrid w:val="0"/>
        </w:rPr>
      </w:pPr>
      <w:r>
        <w:rPr>
          <w:snapToGrid w:val="0"/>
        </w:rPr>
        <w:tab/>
        <w:t>(a)</w:t>
      </w:r>
      <w:r>
        <w:rPr>
          <w:snapToGrid w:val="0"/>
        </w:rPr>
        <w:tab/>
        <w:t xml:space="preserve">the symbol </w:t>
      </w:r>
      <w:r>
        <w:rPr>
          <w:rStyle w:val="CharDefText"/>
        </w:rPr>
        <w:t>≤</w:t>
      </w:r>
      <w:r>
        <w:rPr>
          <w:bCs/>
          <w:snapToGrid w:val="0"/>
        </w:rPr>
        <w:t xml:space="preserve">  </w:t>
      </w:r>
      <w:r>
        <w:rPr>
          <w:snapToGrid w:val="0"/>
        </w:rPr>
        <w:t>means less than or equal to; and</w:t>
      </w:r>
    </w:p>
    <w:p>
      <w:pPr>
        <w:pStyle w:val="Indenta"/>
        <w:rPr>
          <w:snapToGrid w:val="0"/>
        </w:rPr>
      </w:pPr>
      <w:r>
        <w:rPr>
          <w:snapToGrid w:val="0"/>
        </w:rPr>
        <w:tab/>
        <w:t>(b)</w:t>
      </w:r>
      <w:r>
        <w:rPr>
          <w:snapToGrid w:val="0"/>
        </w:rPr>
        <w:tab/>
        <w:t xml:space="preserve">the symbol </w:t>
      </w:r>
      <w:r>
        <w:rPr>
          <w:rStyle w:val="CharDefText"/>
        </w:rPr>
        <w:t>&gt;</w:t>
      </w:r>
      <w:r>
        <w:rPr>
          <w:bCs/>
          <w:snapToGrid w:val="0"/>
        </w:rPr>
        <w:t xml:space="preserve"> </w:t>
      </w:r>
      <w:r>
        <w:rPr>
          <w:snapToGrid w:val="0"/>
        </w:rPr>
        <w:t>means greater than.</w:t>
      </w:r>
    </w:p>
    <w:p>
      <w:pPr>
        <w:pStyle w:val="Footnotesection"/>
        <w:keepLines w:val="0"/>
      </w:pPr>
      <w:bookmarkStart w:id="11" w:name="_Toc91580397"/>
      <w:bookmarkStart w:id="12" w:name="_Toc103667082"/>
      <w:bookmarkStart w:id="13" w:name="_Toc103741601"/>
      <w:bookmarkStart w:id="14" w:name="_Toc107981844"/>
      <w:bookmarkStart w:id="15" w:name="_Toc118800011"/>
      <w:bookmarkStart w:id="16" w:name="_Toc118860019"/>
      <w:bookmarkStart w:id="17" w:name="_Toc121545519"/>
      <w:bookmarkStart w:id="18" w:name="_Toc121801042"/>
      <w:bookmarkStart w:id="19" w:name="_Toc121818155"/>
      <w:bookmarkStart w:id="20" w:name="_Toc121880765"/>
      <w:bookmarkStart w:id="21" w:name="_Toc129481836"/>
      <w:bookmarkStart w:id="22" w:name="_Toc130095205"/>
      <w:bookmarkStart w:id="23" w:name="_Toc130273269"/>
      <w:r>
        <w:tab/>
        <w:t>[By</w:t>
      </w:r>
      <w:r>
        <w:noBreakHyphen/>
        <w:t>law 2 amended in Gazette 29 Jun 1988 p. 2112; 29 Jun 1989 p. 1870; 28 Jun 1991 p. 3267</w:t>
      </w:r>
      <w:r>
        <w:noBreakHyphen/>
        <w:t>8; 1 Jul 1993 p. 3215; 29 Jun 1994 p. 3171; 30 Jun 1995 p. 2735; 29 Dec 1995 p. 6331; 28 Jun 1996 p. 3104</w:t>
      </w:r>
      <w:r>
        <w:noBreakHyphen/>
        <w:t>5; 23 Aug 1996 p. 4129; 13 May 1997 p. 2350; 27 Jun 1997 p. 3175 and 3203; 7 May 1999 p. 1859; 29 Jun 1999 p. 2789; 29 Jun 2001 p. 3187; 27 Jun 2003 p. 2285-6; 31 Mar 2006 p. 1357; 29 Jun 2007 p. 3245; 20 Jun 2012 p. 2695</w:t>
      </w:r>
      <w:r>
        <w:noBreakHyphen/>
        <w:t>6.]</w:t>
      </w:r>
    </w:p>
    <w:p>
      <w:pPr>
        <w:pStyle w:val="Heading2"/>
      </w:pPr>
      <w:bookmarkStart w:id="24" w:name="_Toc84427926"/>
      <w:bookmarkStart w:id="25" w:name="_Toc139770942"/>
      <w:bookmarkStart w:id="26" w:name="_Toc139771320"/>
      <w:bookmarkStart w:id="27" w:name="_Toc151191535"/>
      <w:bookmarkStart w:id="28" w:name="_Toc151260428"/>
      <w:bookmarkStart w:id="29" w:name="_Toc164158533"/>
      <w:bookmarkStart w:id="30" w:name="_Toc164220905"/>
      <w:bookmarkStart w:id="31" w:name="_Toc170878864"/>
      <w:bookmarkStart w:id="32" w:name="_Toc170894617"/>
      <w:bookmarkStart w:id="33" w:name="_Toc175712583"/>
      <w:bookmarkStart w:id="34" w:name="_Toc175970524"/>
      <w:bookmarkStart w:id="35" w:name="_Toc176335243"/>
      <w:bookmarkStart w:id="36" w:name="_Toc176338818"/>
      <w:bookmarkStart w:id="37" w:name="_Toc178742843"/>
      <w:bookmarkStart w:id="38" w:name="_Toc179363266"/>
      <w:bookmarkStart w:id="39" w:name="_Toc179604335"/>
      <w:bookmarkStart w:id="40" w:name="_Toc180204528"/>
      <w:bookmarkStart w:id="41" w:name="_Toc180204744"/>
      <w:bookmarkStart w:id="42" w:name="_Toc185844489"/>
      <w:bookmarkStart w:id="43" w:name="_Toc185845109"/>
      <w:bookmarkStart w:id="44" w:name="_Toc185927074"/>
      <w:bookmarkStart w:id="45" w:name="_Toc202505821"/>
      <w:bookmarkStart w:id="46" w:name="_Toc202672607"/>
      <w:bookmarkStart w:id="47" w:name="_Toc202691698"/>
      <w:bookmarkStart w:id="48" w:name="_Toc233448320"/>
      <w:bookmarkStart w:id="49" w:name="_Toc233611634"/>
      <w:bookmarkStart w:id="50" w:name="_Toc234730641"/>
      <w:bookmarkStart w:id="51" w:name="_Toc234733167"/>
      <w:bookmarkStart w:id="52" w:name="_Toc235863904"/>
      <w:bookmarkStart w:id="53" w:name="_Toc235933379"/>
      <w:bookmarkStart w:id="54" w:name="_Toc237164367"/>
      <w:bookmarkStart w:id="55" w:name="_Toc237244250"/>
      <w:bookmarkStart w:id="56" w:name="_Toc237245551"/>
      <w:bookmarkStart w:id="57" w:name="_Toc237245682"/>
      <w:bookmarkStart w:id="58" w:name="_Toc237247790"/>
      <w:bookmarkStart w:id="59" w:name="_Toc237254093"/>
      <w:bookmarkStart w:id="60" w:name="_Toc237309512"/>
      <w:bookmarkStart w:id="61" w:name="_Toc265743451"/>
      <w:bookmarkStart w:id="62" w:name="_Toc297540709"/>
      <w:bookmarkStart w:id="63" w:name="_Toc297541137"/>
      <w:bookmarkStart w:id="64" w:name="_Toc328403371"/>
      <w:bookmarkStart w:id="65" w:name="_Toc328471420"/>
      <w:r>
        <w:rPr>
          <w:rStyle w:val="CharPartNo"/>
        </w:rPr>
        <w:t>Part 1</w:t>
      </w:r>
      <w:r>
        <w:rPr>
          <w:rStyle w:val="CharDivNo"/>
        </w:rPr>
        <w:t> </w:t>
      </w:r>
      <w:r>
        <w:t>—</w:t>
      </w:r>
      <w:r>
        <w:rPr>
          <w:rStyle w:val="CharDivText"/>
        </w:rPr>
        <w:t> </w:t>
      </w:r>
      <w:r>
        <w:rPr>
          <w:rStyle w:val="CharPartText"/>
        </w:rPr>
        <w:t>General</w:t>
      </w:r>
      <w:bookmarkEnd w:id="24"/>
      <w:bookmarkEnd w:id="11"/>
      <w:bookmarkEnd w:id="12"/>
      <w:bookmarkEnd w:id="13"/>
      <w:bookmarkEnd w:id="14"/>
      <w:bookmarkEnd w:id="15"/>
      <w:bookmarkEnd w:id="16"/>
      <w:bookmarkEnd w:id="17"/>
      <w:bookmarkEnd w:id="18"/>
      <w:bookmarkEnd w:id="19"/>
      <w:bookmarkEnd w:id="20"/>
      <w:bookmarkEnd w:id="21"/>
      <w:bookmarkEnd w:id="22"/>
      <w:bookmarkEnd w:id="23"/>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p>
    <w:p>
      <w:pPr>
        <w:pStyle w:val="Heading5"/>
        <w:rPr>
          <w:snapToGrid w:val="0"/>
        </w:rPr>
      </w:pPr>
      <w:bookmarkStart w:id="66" w:name="_Toc84427927"/>
      <w:bookmarkStart w:id="67" w:name="_Toc487428939"/>
      <w:bookmarkStart w:id="68" w:name="_Toc17278647"/>
      <w:bookmarkStart w:id="69" w:name="_Toc180204745"/>
      <w:bookmarkStart w:id="70" w:name="_Toc328471421"/>
      <w:r>
        <w:rPr>
          <w:rStyle w:val="CharSectno"/>
        </w:rPr>
        <w:t>3</w:t>
      </w:r>
      <w:r>
        <w:rPr>
          <w:snapToGrid w:val="0"/>
        </w:rPr>
        <w:t>.</w:t>
      </w:r>
      <w:r>
        <w:rPr>
          <w:snapToGrid w:val="0"/>
        </w:rPr>
        <w:tab/>
        <w:t>Proportionate charges for part of year</w:t>
      </w:r>
      <w:bookmarkEnd w:id="66"/>
      <w:bookmarkEnd w:id="67"/>
      <w:bookmarkEnd w:id="68"/>
      <w:bookmarkEnd w:id="69"/>
      <w:bookmarkEnd w:id="70"/>
    </w:p>
    <w:p>
      <w:pPr>
        <w:pStyle w:val="Subsection"/>
        <w:rPr>
          <w:snapToGrid w:val="0"/>
        </w:rPr>
      </w:pPr>
      <w:r>
        <w:rPr>
          <w:snapToGrid w:val="0"/>
        </w:rPr>
        <w:tab/>
        <w:t>(1)</w:t>
      </w:r>
      <w:r>
        <w:rPr>
          <w:snapToGrid w:val="0"/>
        </w:rPr>
        <w:tab/>
        <w:t>Subject to sub</w:t>
      </w:r>
      <w:r>
        <w:rPr>
          <w:snapToGrid w:val="0"/>
        </w:rPr>
        <w:noBreakHyphen/>
        <w:t>bylaw (3), where —</w:t>
      </w:r>
    </w:p>
    <w:p>
      <w:pPr>
        <w:pStyle w:val="Indenta"/>
      </w:pPr>
      <w:r>
        <w:tab/>
        <w:t>(a)</w:t>
      </w:r>
      <w:r>
        <w:tab/>
        <w:t>a charge, other than a quantity charge, is prescribed for a year; and</w:t>
      </w:r>
    </w:p>
    <w:p>
      <w:pPr>
        <w:pStyle w:val="Indenta"/>
        <w:rPr>
          <w:snapToGrid w:val="0"/>
          <w:spacing w:val="-4"/>
        </w:rPr>
      </w:pPr>
      <w:r>
        <w:rPr>
          <w:snapToGrid w:val="0"/>
          <w:spacing w:val="-4"/>
        </w:rPr>
        <w:tab/>
        <w:t>(b)</w:t>
      </w:r>
      <w:r>
        <w:rPr>
          <w:snapToGrid w:val="0"/>
          <w:spacing w:val="-4"/>
        </w:rPr>
        <w:tab/>
        <w:t>part of the way through that year, land becomes, or ceases to be, land in respect of which that charge applies,</w:t>
      </w:r>
    </w:p>
    <w:p>
      <w:pPr>
        <w:pStyle w:val="Subsection"/>
        <w:rPr>
          <w:snapToGrid w:val="0"/>
        </w:rPr>
      </w:pPr>
      <w:r>
        <w:rPr>
          <w:snapToGrid w:val="0"/>
        </w:rPr>
        <w:tab/>
      </w:r>
      <w:r>
        <w:rPr>
          <w:snapToGrid w:val="0"/>
        </w:rPr>
        <w:tab/>
        <w:t>the amount of the charge in respect of that land applicable for the part of the year concerned shall be an amount that bears to the charge prescribed for a full year the same ratio as the part of the year for which the charge applies bears to the full year.</w:t>
      </w:r>
    </w:p>
    <w:p>
      <w:pPr>
        <w:pStyle w:val="Subsection"/>
        <w:rPr>
          <w:snapToGrid w:val="0"/>
        </w:rPr>
      </w:pPr>
      <w:r>
        <w:rPr>
          <w:snapToGrid w:val="0"/>
        </w:rPr>
        <w:tab/>
        <w:t>(2)</w:t>
      </w:r>
      <w:r>
        <w:rPr>
          <w:snapToGrid w:val="0"/>
        </w:rPr>
        <w:tab/>
        <w:t>Subject to sub</w:t>
      </w:r>
      <w:r>
        <w:rPr>
          <w:snapToGrid w:val="0"/>
        </w:rPr>
        <w:noBreakHyphen/>
        <w:t>bylaw (1), a charge prescribed in respect of land for a year applies for the whole year notwithstanding that the charge may not have been prescribed until after the commencement of the year.</w:t>
      </w:r>
    </w:p>
    <w:p>
      <w:pPr>
        <w:pStyle w:val="Subsection"/>
        <w:rPr>
          <w:snapToGrid w:val="0"/>
        </w:rPr>
      </w:pPr>
      <w:r>
        <w:rPr>
          <w:snapToGrid w:val="0"/>
        </w:rPr>
        <w:tab/>
        <w:t>(3)</w:t>
      </w:r>
      <w:r>
        <w:rPr>
          <w:snapToGrid w:val="0"/>
        </w:rPr>
        <w:tab/>
        <w:t>Sub</w:t>
      </w:r>
      <w:r>
        <w:rPr>
          <w:snapToGrid w:val="0"/>
        </w:rPr>
        <w:noBreakHyphen/>
        <w:t>bylaw (1) does not apply in respect of land used, at any time during the year for which a charge is to be assessed, for the purpose of providing holiday accommodation unless —</w:t>
      </w:r>
    </w:p>
    <w:p>
      <w:pPr>
        <w:pStyle w:val="Indenta"/>
        <w:rPr>
          <w:snapToGrid w:val="0"/>
        </w:rPr>
      </w:pPr>
      <w:r>
        <w:rPr>
          <w:snapToGrid w:val="0"/>
        </w:rPr>
        <w:tab/>
        <w:t>(a)</w:t>
      </w:r>
      <w:r>
        <w:rPr>
          <w:snapToGrid w:val="0"/>
        </w:rPr>
        <w:tab/>
        <w:t>the ownership or occupation of that land changes; and</w:t>
      </w:r>
    </w:p>
    <w:p>
      <w:pPr>
        <w:pStyle w:val="Indenta"/>
        <w:rPr>
          <w:snapToGrid w:val="0"/>
        </w:rPr>
      </w:pPr>
      <w:r>
        <w:rPr>
          <w:snapToGrid w:val="0"/>
        </w:rPr>
        <w:tab/>
        <w:t>(b)</w:t>
      </w:r>
      <w:r>
        <w:rPr>
          <w:snapToGrid w:val="0"/>
        </w:rPr>
        <w:tab/>
        <w:t>the Corporation is of the opinion that the land ceases to be land used in whole or in part for the purpose of providing holiday accommodation.</w:t>
      </w:r>
    </w:p>
    <w:p>
      <w:pPr>
        <w:pStyle w:val="Subsection"/>
        <w:rPr>
          <w:spacing w:val="-4"/>
        </w:rPr>
      </w:pPr>
      <w:r>
        <w:rPr>
          <w:spacing w:val="-4"/>
        </w:rPr>
        <w:tab/>
        <w:t>(4)</w:t>
      </w:r>
      <w:r>
        <w:rPr>
          <w:spacing w:val="-4"/>
        </w:rPr>
        <w:tab/>
        <w:t>Where, part of the way through a year, a property is provided with a new meter and, as a result, there is a change in a meter</w:t>
      </w:r>
      <w:r>
        <w:rPr>
          <w:spacing w:val="-4"/>
        </w:rPr>
        <w:noBreakHyphen/>
        <w:t>based charge applicable to the property, the amount of the meter</w:t>
      </w:r>
      <w:r>
        <w:rPr>
          <w:spacing w:val="-4"/>
        </w:rPr>
        <w:noBreakHyphen/>
        <w:t>based charge for that year is to be calculated on a pro rata basis.</w:t>
      </w:r>
    </w:p>
    <w:p>
      <w:pPr>
        <w:pStyle w:val="Footnotesection"/>
      </w:pPr>
      <w:r>
        <w:tab/>
        <w:t>[By</w:t>
      </w:r>
      <w:r>
        <w:noBreakHyphen/>
        <w:t>law 3 amended in Gazette 29 Jun 1988 p. 2112; 29 Dec 1995 p. 6331; 29 Jun 2000 p. 3323; 29 Jun 2001 p. 3187; 27 Jun 2008 p. 2983.]</w:t>
      </w:r>
    </w:p>
    <w:p>
      <w:pPr>
        <w:pStyle w:val="Heading5"/>
        <w:rPr>
          <w:snapToGrid w:val="0"/>
        </w:rPr>
      </w:pPr>
      <w:bookmarkStart w:id="71" w:name="_Toc84427928"/>
      <w:bookmarkStart w:id="72" w:name="_Toc487428940"/>
      <w:bookmarkStart w:id="73" w:name="_Toc17278648"/>
      <w:bookmarkStart w:id="74" w:name="_Toc180204746"/>
      <w:bookmarkStart w:id="75" w:name="_Toc328471422"/>
      <w:r>
        <w:rPr>
          <w:rStyle w:val="CharSectno"/>
        </w:rPr>
        <w:t>3A</w:t>
      </w:r>
      <w:r>
        <w:rPr>
          <w:snapToGrid w:val="0"/>
        </w:rPr>
        <w:t>.</w:t>
      </w:r>
      <w:r>
        <w:rPr>
          <w:snapToGrid w:val="0"/>
        </w:rPr>
        <w:tab/>
        <w:t>Minimum charge prior to revaluation</w:t>
      </w:r>
      <w:bookmarkEnd w:id="71"/>
      <w:bookmarkEnd w:id="72"/>
      <w:bookmarkEnd w:id="73"/>
      <w:bookmarkEnd w:id="74"/>
      <w:bookmarkEnd w:id="75"/>
    </w:p>
    <w:p>
      <w:pPr>
        <w:pStyle w:val="Subsection"/>
        <w:rPr>
          <w:snapToGrid w:val="0"/>
        </w:rPr>
      </w:pPr>
      <w:r>
        <w:rPr>
          <w:snapToGrid w:val="0"/>
        </w:rPr>
        <w:tab/>
      </w:r>
      <w:r>
        <w:rPr>
          <w:snapToGrid w:val="0"/>
        </w:rPr>
        <w:tab/>
        <w:t>The charges under by</w:t>
      </w:r>
      <w:r>
        <w:rPr>
          <w:snapToGrid w:val="0"/>
        </w:rPr>
        <w:noBreakHyphen/>
        <w:t>laws 11, 21 and 27 for land which —</w:t>
      </w:r>
    </w:p>
    <w:p>
      <w:pPr>
        <w:pStyle w:val="Indenta"/>
        <w:rPr>
          <w:snapToGrid w:val="0"/>
        </w:rPr>
      </w:pPr>
      <w:r>
        <w:rPr>
          <w:snapToGrid w:val="0"/>
        </w:rPr>
        <w:tab/>
        <w:t>(a)</w:t>
      </w:r>
      <w:r>
        <w:rPr>
          <w:snapToGrid w:val="0"/>
        </w:rPr>
        <w:tab/>
        <w:t>is the subject of a subdivision or amalgamation of land, or becomes vacant from some other action in the period prior to a general valuation of that land by the Valuer General;</w:t>
      </w:r>
    </w:p>
    <w:p>
      <w:pPr>
        <w:pStyle w:val="Indenta"/>
        <w:rPr>
          <w:snapToGrid w:val="0"/>
        </w:rPr>
      </w:pPr>
      <w:r>
        <w:rPr>
          <w:snapToGrid w:val="0"/>
        </w:rPr>
        <w:tab/>
        <w:t>(b)</w:t>
      </w:r>
      <w:r>
        <w:rPr>
          <w:snapToGrid w:val="0"/>
        </w:rPr>
        <w:tab/>
        <w:t>is, in the opinion of the Corporation, intended for residential purposes; and</w:t>
      </w:r>
    </w:p>
    <w:p>
      <w:pPr>
        <w:pStyle w:val="Indenta"/>
        <w:rPr>
          <w:snapToGrid w:val="0"/>
        </w:rPr>
      </w:pPr>
      <w:r>
        <w:rPr>
          <w:snapToGrid w:val="0"/>
        </w:rPr>
        <w:tab/>
        <w:t>(c)</w:t>
      </w:r>
      <w:r>
        <w:rPr>
          <w:snapToGrid w:val="0"/>
        </w:rPr>
        <w:tab/>
        <w:t>does not exceed 1 200 m</w:t>
      </w:r>
      <w:r>
        <w:rPr>
          <w:snapToGrid w:val="0"/>
          <w:vertAlign w:val="superscript"/>
        </w:rPr>
        <w:t>2</w:t>
      </w:r>
      <w:r>
        <w:rPr>
          <w:snapToGrid w:val="0"/>
        </w:rPr>
        <w:t xml:space="preserve"> in area,</w:t>
      </w:r>
    </w:p>
    <w:p>
      <w:pPr>
        <w:pStyle w:val="Subsection"/>
        <w:rPr>
          <w:snapToGrid w:val="0"/>
        </w:rPr>
      </w:pPr>
      <w:r>
        <w:rPr>
          <w:snapToGrid w:val="0"/>
        </w:rPr>
        <w:tab/>
      </w:r>
      <w:r>
        <w:rPr>
          <w:snapToGrid w:val="0"/>
        </w:rPr>
        <w:tab/>
        <w:t>until the commencement of the next rating year, are the minimum charges —</w:t>
      </w:r>
    </w:p>
    <w:p>
      <w:pPr>
        <w:pStyle w:val="Indenta"/>
        <w:rPr>
          <w:snapToGrid w:val="0"/>
        </w:rPr>
      </w:pPr>
      <w:r>
        <w:rPr>
          <w:snapToGrid w:val="0"/>
        </w:rPr>
        <w:tab/>
        <w:t>(d)</w:t>
      </w:r>
      <w:r>
        <w:rPr>
          <w:snapToGrid w:val="0"/>
        </w:rPr>
        <w:tab/>
        <w:t>for water supply, set out in</w:t>
      </w:r>
      <w:r>
        <w:t xml:space="preserve"> Schedule 1 item 18</w:t>
      </w:r>
      <w:r>
        <w:rPr>
          <w:snapToGrid w:val="0"/>
        </w:rPr>
        <w:t>;</w:t>
      </w:r>
    </w:p>
    <w:p>
      <w:pPr>
        <w:pStyle w:val="Indenta"/>
        <w:rPr>
          <w:snapToGrid w:val="0"/>
        </w:rPr>
      </w:pPr>
      <w:r>
        <w:rPr>
          <w:snapToGrid w:val="0"/>
        </w:rPr>
        <w:tab/>
        <w:t>(e)</w:t>
      </w:r>
      <w:r>
        <w:rPr>
          <w:snapToGrid w:val="0"/>
        </w:rPr>
        <w:tab/>
        <w:t>for sewerage, set out in</w:t>
      </w:r>
      <w:r>
        <w:t xml:space="preserve"> Schedule 3 item 9 or 10(d)</w:t>
      </w:r>
      <w:r>
        <w:rPr>
          <w:snapToGrid w:val="0"/>
        </w:rPr>
        <w:t>; and</w:t>
      </w:r>
    </w:p>
    <w:p>
      <w:pPr>
        <w:pStyle w:val="Indenta"/>
        <w:rPr>
          <w:snapToGrid w:val="0"/>
        </w:rPr>
      </w:pPr>
      <w:r>
        <w:rPr>
          <w:snapToGrid w:val="0"/>
        </w:rPr>
        <w:tab/>
        <w:t>(f)</w:t>
      </w:r>
      <w:r>
        <w:rPr>
          <w:snapToGrid w:val="0"/>
        </w:rPr>
        <w:tab/>
        <w:t xml:space="preserve">for drainage, set out in </w:t>
      </w:r>
      <w:r>
        <w:t>Schedule 4 item 4</w:t>
      </w:r>
      <w:r>
        <w:rPr>
          <w:snapToGrid w:val="0"/>
        </w:rPr>
        <w:t>,</w:t>
      </w:r>
    </w:p>
    <w:p>
      <w:pPr>
        <w:pStyle w:val="Subsection"/>
        <w:rPr>
          <w:snapToGrid w:val="0"/>
        </w:rPr>
      </w:pPr>
      <w:r>
        <w:rPr>
          <w:snapToGrid w:val="0"/>
        </w:rPr>
        <w:tab/>
      </w:r>
      <w:r>
        <w:rPr>
          <w:snapToGrid w:val="0"/>
        </w:rPr>
        <w:tab/>
        <w:t>which correspond to the location of the land.</w:t>
      </w:r>
    </w:p>
    <w:p>
      <w:pPr>
        <w:pStyle w:val="Footnotesection"/>
      </w:pPr>
      <w:r>
        <w:tab/>
        <w:t>[By</w:t>
      </w:r>
      <w:r>
        <w:noBreakHyphen/>
        <w:t>law 3A inserted in Gazette 20 Sep 1991 p. 4953; amended in Gazette 1 Jul 1993 p. 3215; 29 Dec 1995 p. 6331; 29 Jun 1999 p. 2789</w:t>
      </w:r>
      <w:r>
        <w:noBreakHyphen/>
        <w:t>90; 29 Jun 2001 p. 3187</w:t>
      </w:r>
      <w:r>
        <w:noBreakHyphen/>
        <w:t>8; 1 Jul 2002 p. 3155; 29 Jun 2007 p. 3246.]</w:t>
      </w:r>
    </w:p>
    <w:p>
      <w:pPr>
        <w:pStyle w:val="Heading5"/>
        <w:rPr>
          <w:snapToGrid w:val="0"/>
        </w:rPr>
      </w:pPr>
      <w:bookmarkStart w:id="76" w:name="_Toc84427929"/>
      <w:bookmarkStart w:id="77" w:name="_Toc487428941"/>
      <w:bookmarkStart w:id="78" w:name="_Toc17278649"/>
      <w:bookmarkStart w:id="79" w:name="_Toc180204747"/>
      <w:bookmarkStart w:id="80" w:name="_Toc328471423"/>
      <w:r>
        <w:rPr>
          <w:rStyle w:val="CharSectno"/>
        </w:rPr>
        <w:t>4</w:t>
      </w:r>
      <w:r>
        <w:rPr>
          <w:snapToGrid w:val="0"/>
        </w:rPr>
        <w:t>.</w:t>
      </w:r>
      <w:r>
        <w:rPr>
          <w:snapToGrid w:val="0"/>
        </w:rPr>
        <w:tab/>
        <w:t>Exempt land</w:t>
      </w:r>
      <w:bookmarkEnd w:id="76"/>
      <w:bookmarkEnd w:id="77"/>
      <w:bookmarkEnd w:id="78"/>
      <w:bookmarkEnd w:id="79"/>
      <w:bookmarkEnd w:id="80"/>
    </w:p>
    <w:p>
      <w:pPr>
        <w:pStyle w:val="Subsection"/>
        <w:keepNext/>
        <w:keepLines/>
        <w:rPr>
          <w:snapToGrid w:val="0"/>
        </w:rPr>
      </w:pPr>
      <w:r>
        <w:rPr>
          <w:snapToGrid w:val="0"/>
        </w:rPr>
        <w:tab/>
        <w:t>(1)</w:t>
      </w:r>
      <w:r>
        <w:rPr>
          <w:snapToGrid w:val="0"/>
        </w:rPr>
        <w:tab/>
        <w:t>The exemptions given by by</w:t>
      </w:r>
      <w:r>
        <w:rPr>
          <w:snapToGrid w:val="0"/>
        </w:rPr>
        <w:noBreakHyphen/>
        <w:t>laws 12, 22, 28, and 32 apply, subject in each case to the by</w:t>
      </w:r>
      <w:r>
        <w:rPr>
          <w:snapToGrid w:val="0"/>
        </w:rPr>
        <w:noBreakHyphen/>
        <w:t>law concerned, to —</w:t>
      </w:r>
    </w:p>
    <w:p>
      <w:pPr>
        <w:pStyle w:val="Indenta"/>
        <w:rPr>
          <w:snapToGrid w:val="0"/>
        </w:rPr>
      </w:pPr>
      <w:r>
        <w:rPr>
          <w:snapToGrid w:val="0"/>
        </w:rPr>
        <w:tab/>
        <w:t>(a)</w:t>
      </w:r>
      <w:r>
        <w:rPr>
          <w:snapToGrid w:val="0"/>
        </w:rPr>
        <w:tab/>
        <w:t>land the property of the Crown in right of the State that is used for a public purpose or is unoccupied;</w:t>
      </w:r>
    </w:p>
    <w:p>
      <w:pPr>
        <w:pStyle w:val="Indenta"/>
        <w:rPr>
          <w:snapToGrid w:val="0"/>
        </w:rPr>
      </w:pPr>
      <w:r>
        <w:rPr>
          <w:snapToGrid w:val="0"/>
        </w:rPr>
        <w:tab/>
        <w:t>(b)</w:t>
      </w:r>
      <w:r>
        <w:rPr>
          <w:snapToGrid w:val="0"/>
        </w:rPr>
        <w:tab/>
        <w:t>land vested in or in the use and occupation of a local government, not being land —</w:t>
      </w:r>
    </w:p>
    <w:p>
      <w:pPr>
        <w:pStyle w:val="Indenti"/>
        <w:rPr>
          <w:snapToGrid w:val="0"/>
        </w:rPr>
      </w:pPr>
      <w:r>
        <w:rPr>
          <w:snapToGrid w:val="0"/>
        </w:rPr>
        <w:tab/>
        <w:t>(i)</w:t>
      </w:r>
      <w:r>
        <w:rPr>
          <w:snapToGrid w:val="0"/>
        </w:rPr>
        <w:tab/>
        <w:t>used for the purposes of a trading concern; or</w:t>
      </w:r>
    </w:p>
    <w:p>
      <w:pPr>
        <w:pStyle w:val="Indenti"/>
        <w:rPr>
          <w:snapToGrid w:val="0"/>
        </w:rPr>
      </w:pPr>
      <w:r>
        <w:rPr>
          <w:snapToGrid w:val="0"/>
        </w:rPr>
        <w:tab/>
        <w:t>(ii)</w:t>
      </w:r>
      <w:r>
        <w:rPr>
          <w:snapToGrid w:val="0"/>
        </w:rPr>
        <w:tab/>
        <w:t>held or occupied by any tenant under the local government;</w:t>
      </w:r>
    </w:p>
    <w:p>
      <w:pPr>
        <w:pStyle w:val="Indenta"/>
        <w:rPr>
          <w:snapToGrid w:val="0"/>
          <w:spacing w:val="-4"/>
        </w:rPr>
      </w:pPr>
      <w:r>
        <w:rPr>
          <w:snapToGrid w:val="0"/>
          <w:spacing w:val="-4"/>
        </w:rPr>
        <w:tab/>
        <w:t>(c)</w:t>
      </w:r>
      <w:r>
        <w:rPr>
          <w:snapToGrid w:val="0"/>
          <w:spacing w:val="-4"/>
        </w:rPr>
        <w:tab/>
        <w:t>land belonging to or leased by a religious body, being land used or held exclusively as or for a place of public worship, Sunday</w:t>
      </w:r>
      <w:r>
        <w:rPr>
          <w:snapToGrid w:val="0"/>
          <w:spacing w:val="-4"/>
        </w:rPr>
        <w:noBreakHyphen/>
        <w:t>school, a place of residence of a minister of religion, a convent, nunnery or monastery, or occupied exclusively by a religious brotherhood or sisterhood, and not being land leased or occupied for any private purpose;</w:t>
      </w:r>
    </w:p>
    <w:p>
      <w:pPr>
        <w:pStyle w:val="Indenta"/>
        <w:rPr>
          <w:snapToGrid w:val="0"/>
        </w:rPr>
      </w:pPr>
      <w:r>
        <w:rPr>
          <w:snapToGrid w:val="0"/>
        </w:rPr>
        <w:tab/>
        <w:t>(d)</w:t>
      </w:r>
      <w:r>
        <w:rPr>
          <w:snapToGrid w:val="0"/>
        </w:rPr>
        <w:tab/>
        <w:t>land used exclusively as a public hospital, benevolent asylum, orphanage, public school, private school (being the property of a religious body), public library, public museum, public art gallery, or mechanics’ institute, and not being land leased or occupied for any private purpose;</w:t>
      </w:r>
    </w:p>
    <w:p>
      <w:pPr>
        <w:pStyle w:val="Indenta"/>
        <w:rPr>
          <w:snapToGrid w:val="0"/>
        </w:rPr>
      </w:pPr>
      <w:r>
        <w:rPr>
          <w:snapToGrid w:val="0"/>
        </w:rPr>
        <w:tab/>
        <w:t>(e)</w:t>
      </w:r>
      <w:r>
        <w:rPr>
          <w:snapToGrid w:val="0"/>
        </w:rPr>
        <w:tab/>
        <w:t>land used, occupied, or held exclusively for charitable purposes, not being land leased or occupied for any private purpose;</w:t>
      </w:r>
    </w:p>
    <w:p>
      <w:pPr>
        <w:pStyle w:val="Indenta"/>
        <w:rPr>
          <w:snapToGrid w:val="0"/>
        </w:rPr>
      </w:pPr>
      <w:r>
        <w:rPr>
          <w:snapToGrid w:val="0"/>
        </w:rPr>
        <w:tab/>
        <w:t>(f)</w:t>
      </w:r>
      <w:r>
        <w:rPr>
          <w:snapToGrid w:val="0"/>
        </w:rPr>
        <w:tab/>
        <w:t xml:space="preserve">land vested in any board under the </w:t>
      </w:r>
      <w:r>
        <w:rPr>
          <w:i/>
          <w:snapToGrid w:val="0"/>
        </w:rPr>
        <w:t>Parks and Reserves Act 1895</w:t>
      </w:r>
      <w:r>
        <w:rPr>
          <w:snapToGrid w:val="0"/>
        </w:rPr>
        <w:t>, or in trustees for agricultural or horticultural show purposes, for zoological or acclimatisation gardens or purposes, or for public resort and recreation, and not being land leased or occupied for any private purpose;</w:t>
      </w:r>
    </w:p>
    <w:p>
      <w:pPr>
        <w:pStyle w:val="Indenta"/>
        <w:keepNext/>
        <w:keepLines/>
        <w:rPr>
          <w:snapToGrid w:val="0"/>
        </w:rPr>
      </w:pPr>
      <w:r>
        <w:rPr>
          <w:snapToGrid w:val="0"/>
        </w:rPr>
        <w:tab/>
        <w:t>(fa)</w:t>
      </w:r>
      <w:r>
        <w:rPr>
          <w:snapToGrid w:val="0"/>
        </w:rPr>
        <w:tab/>
        <w:t>land used, occupied or held exclusively for the purposes of societies, clubs, associations and other bodies that —</w:t>
      </w:r>
    </w:p>
    <w:p>
      <w:pPr>
        <w:pStyle w:val="Indenti"/>
        <w:rPr>
          <w:snapToGrid w:val="0"/>
        </w:rPr>
      </w:pPr>
      <w:r>
        <w:rPr>
          <w:snapToGrid w:val="0"/>
        </w:rPr>
        <w:tab/>
        <w:t>(i)</w:t>
      </w:r>
      <w:r>
        <w:rPr>
          <w:snapToGrid w:val="0"/>
        </w:rPr>
        <w:tab/>
        <w:t>conduct sporting, hobby or like activities as their sole or principal activities;</w:t>
      </w:r>
    </w:p>
    <w:p>
      <w:pPr>
        <w:pStyle w:val="Indenti"/>
      </w:pPr>
      <w:r>
        <w:rPr>
          <w:snapToGrid w:val="0"/>
        </w:rPr>
        <w:tab/>
        <w:t>(ii)</w:t>
      </w:r>
      <w:r>
        <w:rPr>
          <w:snapToGrid w:val="0"/>
        </w:rPr>
        <w:tab/>
        <w:t>in the opinion of the Corporation, are not operated for the purpose of profit or gain to individual members, shareholders or owners; and</w:t>
      </w:r>
    </w:p>
    <w:p>
      <w:pPr>
        <w:pStyle w:val="Indenti"/>
        <w:keepNext/>
        <w:rPr>
          <w:snapToGrid w:val="0"/>
        </w:rPr>
      </w:pPr>
      <w:r>
        <w:rPr>
          <w:snapToGrid w:val="0"/>
        </w:rPr>
        <w:tab/>
        <w:t>(iii)</w:t>
      </w:r>
      <w:r>
        <w:rPr>
          <w:snapToGrid w:val="0"/>
        </w:rPr>
        <w:tab/>
        <w:t>are not listed in the following table —</w:t>
      </w:r>
    </w:p>
    <w:p>
      <w:pPr>
        <w:pStyle w:val="THeadingNAm"/>
        <w:rPr>
          <w:snapToGrid w:val="0"/>
        </w:rPr>
      </w:pPr>
      <w:r>
        <w:rPr>
          <w:snapToGrid w:val="0"/>
        </w:rPr>
        <w:t>Table</w:t>
      </w:r>
    </w:p>
    <w:tbl>
      <w:tblPr>
        <w:tblW w:w="0" w:type="auto"/>
        <w:tblInd w:w="2432" w:type="dxa"/>
        <w:tblLayout w:type="fixed"/>
        <w:tblLook w:val="0000" w:firstRow="0" w:lastRow="0" w:firstColumn="0" w:lastColumn="0" w:noHBand="0" w:noVBand="0"/>
      </w:tblPr>
      <w:tblGrid>
        <w:gridCol w:w="4880"/>
      </w:tblGrid>
      <w:tr>
        <w:trPr>
          <w:cantSplit/>
        </w:trPr>
        <w:tc>
          <w:tcPr>
            <w:tcW w:w="4880" w:type="dxa"/>
          </w:tcPr>
          <w:p>
            <w:pPr>
              <w:pStyle w:val="TableNAm"/>
              <w:ind w:left="568" w:hanging="568"/>
              <w:rPr>
                <w:snapToGrid w:val="0"/>
              </w:rPr>
            </w:pPr>
            <w:r>
              <w:rPr>
                <w:snapToGrid w:val="0"/>
              </w:rPr>
              <w:t>1.</w:t>
            </w:r>
            <w:r>
              <w:rPr>
                <w:snapToGrid w:val="0"/>
              </w:rPr>
              <w:tab/>
              <w:t>the body known as The Western Australian Turf Club, and any club or association formed for the conduct or promotion of galloping horse races in Western Australia;</w:t>
            </w:r>
          </w:p>
        </w:tc>
      </w:tr>
      <w:tr>
        <w:trPr>
          <w:cantSplit/>
        </w:trPr>
        <w:tc>
          <w:tcPr>
            <w:tcW w:w="4880" w:type="dxa"/>
          </w:tcPr>
          <w:p>
            <w:pPr>
              <w:pStyle w:val="TableNAm"/>
              <w:ind w:left="568" w:hanging="568"/>
              <w:rPr>
                <w:snapToGrid w:val="0"/>
              </w:rPr>
            </w:pPr>
            <w:r>
              <w:rPr>
                <w:snapToGrid w:val="0"/>
              </w:rPr>
              <w:t>2.</w:t>
            </w:r>
            <w:r>
              <w:rPr>
                <w:snapToGrid w:val="0"/>
              </w:rPr>
              <w:tab/>
              <w:t xml:space="preserve">the Western Australian Trotting Association constituted under the </w:t>
            </w:r>
            <w:r>
              <w:rPr>
                <w:i/>
                <w:snapToGrid w:val="0"/>
              </w:rPr>
              <w:t>Western Australian Trotting Association Act 1946</w:t>
            </w:r>
            <w:r>
              <w:rPr>
                <w:snapToGrid w:val="0"/>
              </w:rPr>
              <w:t xml:space="preserve"> and any trotting club or association formed for the conduct or promotion of trotting or pacing horse races in Western Australia;</w:t>
            </w:r>
          </w:p>
        </w:tc>
      </w:tr>
      <w:tr>
        <w:trPr>
          <w:cantSplit/>
        </w:trPr>
        <w:tc>
          <w:tcPr>
            <w:tcW w:w="4880" w:type="dxa"/>
          </w:tcPr>
          <w:p>
            <w:pPr>
              <w:pStyle w:val="TableNAm"/>
              <w:ind w:left="568" w:hanging="568"/>
              <w:rPr>
                <w:snapToGrid w:val="0"/>
              </w:rPr>
            </w:pPr>
            <w:r>
              <w:rPr>
                <w:snapToGrid w:val="0"/>
              </w:rPr>
              <w:t>3.</w:t>
            </w:r>
            <w:r>
              <w:rPr>
                <w:snapToGrid w:val="0"/>
              </w:rPr>
              <w:tab/>
              <w:t xml:space="preserve">the Western Australian Greyhound Racing Association constituted under the </w:t>
            </w:r>
            <w:r>
              <w:rPr>
                <w:i/>
                <w:snapToGrid w:val="0"/>
              </w:rPr>
              <w:t>Western Australian Greyhound Racing Association Act 1981</w:t>
            </w:r>
            <w:r>
              <w:rPr>
                <w:snapToGrid w:val="0"/>
                <w:vertAlign w:val="superscript"/>
              </w:rPr>
              <w:t> 10</w:t>
            </w:r>
            <w:r>
              <w:rPr>
                <w:snapToGrid w:val="0"/>
              </w:rPr>
              <w:t xml:space="preserve"> and any greyhound club or association formed for the conduct or promotion of greyhound racing in Western Australia;</w:t>
            </w:r>
          </w:p>
        </w:tc>
      </w:tr>
    </w:tbl>
    <w:p>
      <w:pPr>
        <w:pStyle w:val="Indenta"/>
        <w:rPr>
          <w:snapToGrid w:val="0"/>
        </w:rPr>
      </w:pPr>
      <w:r>
        <w:rPr>
          <w:snapToGrid w:val="0"/>
        </w:rPr>
        <w:tab/>
        <w:t>(fb)</w:t>
      </w:r>
      <w:r>
        <w:rPr>
          <w:snapToGrid w:val="0"/>
        </w:rPr>
        <w:tab/>
        <w:t>land used on occasion for horse or greyhound racing if the land is used principally by societies, clubs, associations and other bodies referred to in paragraph (fa) and not listed in the table to that paragraph;</w:t>
      </w:r>
    </w:p>
    <w:p>
      <w:pPr>
        <w:pStyle w:val="Indenta"/>
        <w:keepLines/>
        <w:rPr>
          <w:snapToGrid w:val="0"/>
        </w:rPr>
      </w:pPr>
      <w:r>
        <w:rPr>
          <w:snapToGrid w:val="0"/>
        </w:rPr>
        <w:tab/>
        <w:t>(fc)</w:t>
      </w:r>
      <w:r>
        <w:rPr>
          <w:snapToGrid w:val="0"/>
        </w:rPr>
        <w:tab/>
        <w:t>land used, occupied or held exclusively for the purposes of a club or association referred to in the table to paragraph (fa) if —</w:t>
      </w:r>
    </w:p>
    <w:p>
      <w:pPr>
        <w:pStyle w:val="Indenti"/>
        <w:rPr>
          <w:snapToGrid w:val="0"/>
        </w:rPr>
      </w:pPr>
      <w:r>
        <w:rPr>
          <w:snapToGrid w:val="0"/>
        </w:rPr>
        <w:tab/>
        <w:t>(i)</w:t>
      </w:r>
      <w:r>
        <w:rPr>
          <w:snapToGrid w:val="0"/>
        </w:rPr>
        <w:tab/>
        <w:t>the land is used principally for horse or greyhound racing; and</w:t>
      </w:r>
    </w:p>
    <w:p>
      <w:pPr>
        <w:pStyle w:val="Indenti"/>
        <w:rPr>
          <w:snapToGrid w:val="0"/>
        </w:rPr>
      </w:pPr>
      <w:r>
        <w:rPr>
          <w:snapToGrid w:val="0"/>
        </w:rPr>
        <w:tab/>
        <w:t>(ii)</w:t>
      </w:r>
      <w:r>
        <w:rPr>
          <w:snapToGrid w:val="0"/>
        </w:rPr>
        <w:tab/>
        <w:t>no off</w:t>
      </w:r>
      <w:r>
        <w:rPr>
          <w:snapToGrid w:val="0"/>
        </w:rPr>
        <w:noBreakHyphen/>
        <w:t xml:space="preserve">course betting facilities are provided by the Totalisator Agency Board constituted under the </w:t>
      </w:r>
      <w:r>
        <w:rPr>
          <w:i/>
          <w:snapToGrid w:val="0"/>
        </w:rPr>
        <w:t>Totalisator Agency Board Betting Act 1960</w:t>
      </w:r>
      <w:r>
        <w:rPr>
          <w:snapToGrid w:val="0"/>
          <w:vertAlign w:val="superscript"/>
        </w:rPr>
        <w:t> 11</w:t>
      </w:r>
      <w:r>
        <w:rPr>
          <w:snapToGrid w:val="0"/>
        </w:rPr>
        <w:t xml:space="preserve"> for any of the race meetings conducted on the land;</w:t>
      </w:r>
    </w:p>
    <w:p>
      <w:pPr>
        <w:pStyle w:val="Indenta"/>
        <w:rPr>
          <w:snapToGrid w:val="0"/>
        </w:rPr>
      </w:pPr>
      <w:r>
        <w:rPr>
          <w:snapToGrid w:val="0"/>
        </w:rPr>
        <w:tab/>
        <w:t>(g)</w:t>
      </w:r>
      <w:r>
        <w:rPr>
          <w:snapToGrid w:val="0"/>
        </w:rPr>
        <w:tab/>
        <w:t>land used or held as a cemetery; or</w:t>
      </w:r>
    </w:p>
    <w:p>
      <w:pPr>
        <w:pStyle w:val="Indenta"/>
        <w:rPr>
          <w:snapToGrid w:val="0"/>
        </w:rPr>
      </w:pPr>
      <w:r>
        <w:rPr>
          <w:snapToGrid w:val="0"/>
        </w:rPr>
        <w:tab/>
        <w:t>(h)</w:t>
      </w:r>
      <w:r>
        <w:rPr>
          <w:snapToGrid w:val="0"/>
        </w:rPr>
        <w:tab/>
        <w:t>land that the Corporation may declare under this paragraph to be exempt land for the purposes of this by</w:t>
      </w:r>
      <w:r>
        <w:rPr>
          <w:snapToGrid w:val="0"/>
        </w:rPr>
        <w:noBreakHyphen/>
        <w:t>law.</w:t>
      </w:r>
    </w:p>
    <w:p>
      <w:pPr>
        <w:pStyle w:val="Subsection"/>
        <w:rPr>
          <w:snapToGrid w:val="0"/>
        </w:rPr>
      </w:pPr>
      <w:r>
        <w:rPr>
          <w:snapToGrid w:val="0"/>
        </w:rPr>
        <w:tab/>
        <w:t>(2)</w:t>
      </w:r>
      <w:r>
        <w:rPr>
          <w:snapToGrid w:val="0"/>
        </w:rPr>
        <w:tab/>
        <w:t>Land does not cease to be used exclusively for a purpose mentioned in sub</w:t>
      </w:r>
      <w:r>
        <w:rPr>
          <w:snapToGrid w:val="0"/>
        </w:rPr>
        <w:noBreakHyphen/>
        <w:t>bylaw (1) merely because it is used for the purposes of a bazaar, or as a place of meeting for any religious, charitable, temperance, or benevolent object, or for a polling place at any parliamentary or other election.</w:t>
      </w:r>
    </w:p>
    <w:p>
      <w:pPr>
        <w:pStyle w:val="Subsection"/>
        <w:rPr>
          <w:snapToGrid w:val="0"/>
        </w:rPr>
      </w:pPr>
      <w:r>
        <w:rPr>
          <w:snapToGrid w:val="0"/>
        </w:rPr>
        <w:tab/>
        <w:t>(3)</w:t>
      </w:r>
      <w:r>
        <w:rPr>
          <w:snapToGrid w:val="0"/>
        </w:rPr>
        <w:tab/>
        <w:t>In sub</w:t>
      </w:r>
      <w:r>
        <w:rPr>
          <w:snapToGrid w:val="0"/>
        </w:rPr>
        <w:noBreakHyphen/>
        <w:t xml:space="preserve">bylaw (1)(e) </w:t>
      </w:r>
      <w:r>
        <w:rPr>
          <w:rStyle w:val="CharDefText"/>
        </w:rPr>
        <w:t>charitable purposes</w:t>
      </w:r>
      <w:r>
        <w:rPr>
          <w:snapToGrid w:val="0"/>
        </w:rPr>
        <w:t xml:space="preserve"> means purposes that, in the opinion of the Corporation, involve —</w:t>
      </w:r>
    </w:p>
    <w:p>
      <w:pPr>
        <w:pStyle w:val="Indenta"/>
        <w:rPr>
          <w:snapToGrid w:val="0"/>
        </w:rPr>
      </w:pPr>
      <w:r>
        <w:rPr>
          <w:snapToGrid w:val="0"/>
        </w:rPr>
        <w:tab/>
        <w:t>(a)</w:t>
      </w:r>
      <w:r>
        <w:rPr>
          <w:snapToGrid w:val="0"/>
        </w:rPr>
        <w:tab/>
        <w:t>the provision of relief or assistance to sick, aged, disadvantaged, unemployed or young persons; or</w:t>
      </w:r>
    </w:p>
    <w:p>
      <w:pPr>
        <w:pStyle w:val="Indenta"/>
        <w:rPr>
          <w:snapToGrid w:val="0"/>
        </w:rPr>
      </w:pPr>
      <w:r>
        <w:rPr>
          <w:snapToGrid w:val="0"/>
        </w:rPr>
        <w:tab/>
        <w:t>(b)</w:t>
      </w:r>
      <w:r>
        <w:rPr>
          <w:snapToGrid w:val="0"/>
        </w:rPr>
        <w:tab/>
        <w:t>the conducting of other activities for the benefit of the public or in the interests of social welfare not otherwise mentioned in sub</w:t>
      </w:r>
      <w:r>
        <w:rPr>
          <w:snapToGrid w:val="0"/>
        </w:rPr>
        <w:noBreakHyphen/>
        <w:t>bylaw (1),</w:t>
      </w:r>
    </w:p>
    <w:p>
      <w:pPr>
        <w:pStyle w:val="Subsection"/>
        <w:rPr>
          <w:snapToGrid w:val="0"/>
        </w:rPr>
      </w:pPr>
      <w:r>
        <w:rPr>
          <w:snapToGrid w:val="0"/>
        </w:rPr>
        <w:tab/>
      </w:r>
      <w:r>
        <w:rPr>
          <w:snapToGrid w:val="0"/>
        </w:rPr>
        <w:tab/>
        <w:t>by a private organisation that is not operated for the purpose of profit or gain to individual members, shareholders or owners.</w:t>
      </w:r>
    </w:p>
    <w:p>
      <w:pPr>
        <w:pStyle w:val="Subsection"/>
      </w:pPr>
      <w:r>
        <w:tab/>
        <w:t>(4)</w:t>
      </w:r>
      <w:r>
        <w:tab/>
        <w:t>If, for the provision of relief or assistance referred to in sub</w:t>
      </w:r>
      <w:r>
        <w:noBreakHyphen/>
        <w:t>bylaw (3)(a) land is provided to a person for residential use, then for the purposes of sub</w:t>
      </w:r>
      <w:r>
        <w:noBreakHyphen/>
        <w:t>bylaw (1)(e) the use of that land by that person and any of his or her family for residential purposes shall not be taken to be use for a private purpose.</w:t>
      </w:r>
    </w:p>
    <w:p>
      <w:pPr>
        <w:pStyle w:val="Footnotesection"/>
      </w:pPr>
      <w:r>
        <w:tab/>
        <w:t>[By</w:t>
      </w:r>
      <w:r>
        <w:noBreakHyphen/>
        <w:t>law 4 amended in Gazette 20 Jan 1989 p. 121; 29 Jun 1989 p. 1870; 29 Dec 1995 p. 6331; 28 Jun 1996 p. 3105; 29 Jun 2007 p. 3246; 19 Jun 2009 p. 2321.]</w:t>
      </w:r>
    </w:p>
    <w:p>
      <w:pPr>
        <w:pStyle w:val="Heading5"/>
      </w:pPr>
      <w:bookmarkStart w:id="81" w:name="_Toc84427930"/>
      <w:bookmarkStart w:id="82" w:name="_Toc328471424"/>
      <w:bookmarkStart w:id="83" w:name="_Toc487428942"/>
      <w:bookmarkStart w:id="84" w:name="_Toc17278650"/>
      <w:bookmarkStart w:id="85" w:name="_Toc180204748"/>
      <w:r>
        <w:rPr>
          <w:rStyle w:val="CharSectno"/>
        </w:rPr>
        <w:t>5A</w:t>
      </w:r>
      <w:r>
        <w:t>.</w:t>
      </w:r>
      <w:r>
        <w:tab/>
        <w:t>Exempt land, amount of exemption calculated</w:t>
      </w:r>
      <w:bookmarkEnd w:id="81"/>
      <w:bookmarkEnd w:id="82"/>
    </w:p>
    <w:p>
      <w:pPr>
        <w:pStyle w:val="Subsection"/>
      </w:pPr>
      <w:r>
        <w:tab/>
        <w:t>(1)</w:t>
      </w:r>
      <w:r>
        <w:tab/>
        <w:t>In this by</w:t>
      </w:r>
      <w:r>
        <w:noBreakHyphen/>
        <w:t xml:space="preserve">law — </w:t>
      </w:r>
    </w:p>
    <w:p>
      <w:pPr>
        <w:pStyle w:val="Defstart"/>
      </w:pPr>
      <w:r>
        <w:tab/>
      </w:r>
      <w:r>
        <w:rPr>
          <w:rStyle w:val="CharDefText"/>
        </w:rPr>
        <w:t>exempt land</w:t>
      </w:r>
      <w:r>
        <w:t xml:space="preserve"> means land — </w:t>
      </w:r>
    </w:p>
    <w:p>
      <w:pPr>
        <w:pStyle w:val="Defpara"/>
      </w:pPr>
      <w:r>
        <w:tab/>
        <w:t>(a)</w:t>
      </w:r>
      <w:r>
        <w:tab/>
        <w:t>which is exempt from a charge for a water service; or</w:t>
      </w:r>
    </w:p>
    <w:p>
      <w:pPr>
        <w:pStyle w:val="Defpara"/>
      </w:pPr>
      <w:r>
        <w:tab/>
        <w:t>(b)</w:t>
      </w:r>
      <w:r>
        <w:tab/>
        <w:t>for which a discount is prescribed for a water service.</w:t>
      </w:r>
    </w:p>
    <w:p>
      <w:pPr>
        <w:pStyle w:val="Subsection"/>
      </w:pPr>
      <w:r>
        <w:tab/>
        <w:t>(2)</w:t>
      </w:r>
      <w:r>
        <w:tab/>
        <w:t>The Corporation may provide a person with an account in respect of exempt land showing the charge that would have been payable for a water service if the exemption or discount did not apply.</w:t>
      </w:r>
    </w:p>
    <w:p>
      <w:pPr>
        <w:pStyle w:val="Subsection"/>
      </w:pPr>
      <w:r>
        <w:tab/>
        <w:t>(3)</w:t>
      </w:r>
      <w:r>
        <w:tab/>
        <w:t xml:space="preserve">For the purposes of the definition of </w:t>
      </w:r>
      <w:r>
        <w:rPr>
          <w:b/>
          <w:i/>
        </w:rPr>
        <w:t>exempt land</w:t>
      </w:r>
      <w:r>
        <w:t xml:space="preserve"> paragraph (a) in this by</w:t>
      </w:r>
      <w:r>
        <w:noBreakHyphen/>
        <w:t>law, the amount of the exemption is to be calculated by reference to the quantity of water or wastewater concerned or the gross rental value, unimproved value or area of the land in respect of which the water service is provided.</w:t>
      </w:r>
    </w:p>
    <w:p>
      <w:pPr>
        <w:pStyle w:val="Footnotesection"/>
      </w:pPr>
      <w:r>
        <w:tab/>
        <w:t>[By-law 5A inserted in Gazette 20 Jun 2012 p. 2696-7.]</w:t>
      </w:r>
    </w:p>
    <w:p>
      <w:pPr>
        <w:pStyle w:val="Heading5"/>
        <w:rPr>
          <w:snapToGrid w:val="0"/>
        </w:rPr>
      </w:pPr>
      <w:bookmarkStart w:id="86" w:name="_Toc84427931"/>
      <w:bookmarkStart w:id="87" w:name="_Toc328471425"/>
      <w:r>
        <w:rPr>
          <w:rStyle w:val="CharSectno"/>
        </w:rPr>
        <w:t>5</w:t>
      </w:r>
      <w:r>
        <w:rPr>
          <w:snapToGrid w:val="0"/>
        </w:rPr>
        <w:t>.</w:t>
      </w:r>
      <w:r>
        <w:rPr>
          <w:snapToGrid w:val="0"/>
        </w:rPr>
        <w:tab/>
        <w:t>Separately assessable residential land</w:t>
      </w:r>
      <w:bookmarkEnd w:id="86"/>
      <w:bookmarkEnd w:id="83"/>
      <w:bookmarkEnd w:id="84"/>
      <w:bookmarkEnd w:id="85"/>
      <w:bookmarkEnd w:id="87"/>
    </w:p>
    <w:p>
      <w:pPr>
        <w:pStyle w:val="Subsection"/>
        <w:rPr>
          <w:snapToGrid w:val="0"/>
        </w:rPr>
      </w:pPr>
      <w:r>
        <w:rPr>
          <w:snapToGrid w:val="0"/>
        </w:rPr>
        <w:tab/>
      </w:r>
      <w:r>
        <w:rPr>
          <w:snapToGrid w:val="0"/>
        </w:rPr>
        <w:tab/>
        <w:t>Where a charge prescribed by these by</w:t>
      </w:r>
      <w:r>
        <w:rPr>
          <w:snapToGrid w:val="0"/>
        </w:rPr>
        <w:noBreakHyphen/>
        <w:t>laws is expressed to apply in respect of residential properties, land classified for the purposes of the Part or Division under which the charge is made as residential that is used as a discrete residential unit shall be the subject of a separate assessment of the charge.</w:t>
      </w:r>
    </w:p>
    <w:p>
      <w:pPr>
        <w:pStyle w:val="Footnotesection"/>
      </w:pPr>
      <w:r>
        <w:tab/>
        <w:t>[By</w:t>
      </w:r>
      <w:r>
        <w:noBreakHyphen/>
        <w:t xml:space="preserve">law 5 amended in Gazette 29 Jun 2007 p. 3246.] </w:t>
      </w:r>
    </w:p>
    <w:p>
      <w:pPr>
        <w:pStyle w:val="Heading5"/>
        <w:rPr>
          <w:snapToGrid w:val="0"/>
        </w:rPr>
      </w:pPr>
      <w:bookmarkStart w:id="88" w:name="_Toc84427932"/>
      <w:bookmarkStart w:id="89" w:name="_Toc487428943"/>
      <w:bookmarkStart w:id="90" w:name="_Toc17278651"/>
      <w:bookmarkStart w:id="91" w:name="_Toc180204749"/>
      <w:bookmarkStart w:id="92" w:name="_Toc328471426"/>
      <w:r>
        <w:rPr>
          <w:rStyle w:val="CharSectno"/>
        </w:rPr>
        <w:t>6</w:t>
      </w:r>
      <w:r>
        <w:rPr>
          <w:snapToGrid w:val="0"/>
        </w:rPr>
        <w:t>.</w:t>
      </w:r>
      <w:r>
        <w:rPr>
          <w:snapToGrid w:val="0"/>
        </w:rPr>
        <w:tab/>
        <w:t>Estimation upon meter malfunction or of non</w:t>
      </w:r>
      <w:r>
        <w:rPr>
          <w:snapToGrid w:val="0"/>
        </w:rPr>
        <w:noBreakHyphen/>
        <w:t>metered quantity</w:t>
      </w:r>
      <w:bookmarkEnd w:id="88"/>
      <w:bookmarkEnd w:id="89"/>
      <w:bookmarkEnd w:id="90"/>
      <w:bookmarkEnd w:id="91"/>
      <w:bookmarkEnd w:id="92"/>
    </w:p>
    <w:p>
      <w:pPr>
        <w:pStyle w:val="Subsection"/>
        <w:rPr>
          <w:rFonts w:ascii="Times" w:hAnsi="Times"/>
          <w:snapToGrid w:val="0"/>
        </w:rPr>
      </w:pPr>
      <w:r>
        <w:rPr>
          <w:snapToGrid w:val="0"/>
          <w:spacing w:val="-4"/>
        </w:rPr>
        <w:tab/>
        <w:t>(1)</w:t>
      </w:r>
      <w:r>
        <w:rPr>
          <w:snapToGrid w:val="0"/>
          <w:spacing w:val="-4"/>
        </w:rPr>
        <w:tab/>
      </w:r>
      <w:r>
        <w:rPr>
          <w:rFonts w:ascii="Times" w:hAnsi="Times"/>
          <w:snapToGrid w:val="0"/>
        </w:rPr>
        <w:t>Where a charge is to be assessed by reference to the quantity of water concerned and a meter for measuring that quantity is found not to be in proper order</w:t>
      </w:r>
      <w:r>
        <w:rPr>
          <w:rFonts w:ascii="Times" w:hAnsi="Times"/>
        </w:rPr>
        <w:t xml:space="preserve">, has been removed for repair or a meter reading cannot be obtained </w:t>
      </w:r>
      <w:r>
        <w:t xml:space="preserve">because of a physical obstruction preventing practicable access to the meter or because the face of the meter is obscured by damage, marking, dirt or any other substance, </w:t>
      </w:r>
      <w:r>
        <w:rPr>
          <w:rFonts w:ascii="Times" w:hAnsi="Times"/>
          <w:snapToGrid w:val="0"/>
        </w:rPr>
        <w:t>the Corporation may estimate the quantity of water concerned —</w:t>
      </w:r>
    </w:p>
    <w:p>
      <w:pPr>
        <w:pStyle w:val="Indenta"/>
        <w:rPr>
          <w:snapToGrid w:val="0"/>
        </w:rPr>
      </w:pPr>
      <w:r>
        <w:rPr>
          <w:snapToGrid w:val="0"/>
        </w:rPr>
        <w:tab/>
        <w:t>(a)</w:t>
      </w:r>
      <w:r>
        <w:rPr>
          <w:snapToGrid w:val="0"/>
        </w:rPr>
        <w:tab/>
        <w:t>by reference to a daily average of the quantity of water supplied during another period;</w:t>
      </w:r>
    </w:p>
    <w:p>
      <w:pPr>
        <w:pStyle w:val="Indenta"/>
        <w:spacing w:before="60"/>
        <w:rPr>
          <w:snapToGrid w:val="0"/>
        </w:rPr>
      </w:pPr>
      <w:r>
        <w:rPr>
          <w:snapToGrid w:val="0"/>
        </w:rPr>
        <w:tab/>
        <w:t>(b)</w:t>
      </w:r>
      <w:r>
        <w:rPr>
          <w:snapToGrid w:val="0"/>
        </w:rPr>
        <w:tab/>
        <w:t>by adjusting the quantity registered by the meter to take account of the error found upon testing the meter; or</w:t>
      </w:r>
    </w:p>
    <w:p>
      <w:pPr>
        <w:pStyle w:val="Indenta"/>
        <w:spacing w:before="60"/>
        <w:rPr>
          <w:snapToGrid w:val="0"/>
        </w:rPr>
      </w:pPr>
      <w:r>
        <w:rPr>
          <w:snapToGrid w:val="0"/>
        </w:rPr>
        <w:tab/>
        <w:t>(c)</w:t>
      </w:r>
      <w:r>
        <w:rPr>
          <w:snapToGrid w:val="0"/>
        </w:rPr>
        <w:tab/>
        <w:t>on such other basis as the Corporation may determine,</w:t>
      </w:r>
    </w:p>
    <w:p>
      <w:pPr>
        <w:pStyle w:val="Subsection"/>
        <w:rPr>
          <w:snapToGrid w:val="0"/>
        </w:rPr>
      </w:pPr>
      <w:r>
        <w:rPr>
          <w:snapToGrid w:val="0"/>
        </w:rPr>
        <w:tab/>
      </w:r>
      <w:r>
        <w:rPr>
          <w:snapToGrid w:val="0"/>
        </w:rPr>
        <w:tab/>
        <w:t>and the charge shall be assessed by reference to the quantity so estimated.</w:t>
      </w:r>
    </w:p>
    <w:p>
      <w:pPr>
        <w:pStyle w:val="Subsection"/>
        <w:rPr>
          <w:snapToGrid w:val="0"/>
        </w:rPr>
      </w:pPr>
      <w:r>
        <w:rPr>
          <w:snapToGrid w:val="0"/>
        </w:rPr>
        <w:tab/>
        <w:t>(2)</w:t>
      </w:r>
      <w:r>
        <w:rPr>
          <w:snapToGrid w:val="0"/>
        </w:rPr>
        <w:tab/>
        <w:t>A charge that is to be assessed by reference to the quantity of water supplied for irrigation may, where the water —</w:t>
      </w:r>
    </w:p>
    <w:p>
      <w:pPr>
        <w:pStyle w:val="Indenta"/>
        <w:rPr>
          <w:snapToGrid w:val="0"/>
        </w:rPr>
      </w:pPr>
      <w:r>
        <w:rPr>
          <w:snapToGrid w:val="0"/>
        </w:rPr>
        <w:tab/>
        <w:t>(a)</w:t>
      </w:r>
      <w:r>
        <w:rPr>
          <w:snapToGrid w:val="0"/>
        </w:rPr>
        <w:tab/>
        <w:t>is not supplied through a measuring device; or</w:t>
      </w:r>
    </w:p>
    <w:p>
      <w:pPr>
        <w:pStyle w:val="Indenta"/>
        <w:rPr>
          <w:snapToGrid w:val="0"/>
        </w:rPr>
      </w:pPr>
      <w:r>
        <w:rPr>
          <w:snapToGrid w:val="0"/>
        </w:rPr>
        <w:tab/>
        <w:t>(b)</w:t>
      </w:r>
      <w:r>
        <w:rPr>
          <w:snapToGrid w:val="0"/>
        </w:rPr>
        <w:tab/>
        <w:t>is supplied through a measuring device but the measuring device is not functioning properly,</w:t>
      </w:r>
    </w:p>
    <w:p>
      <w:pPr>
        <w:pStyle w:val="Subsection"/>
        <w:spacing w:before="120"/>
        <w:rPr>
          <w:snapToGrid w:val="0"/>
        </w:rPr>
      </w:pPr>
      <w:r>
        <w:rPr>
          <w:snapToGrid w:val="0"/>
        </w:rPr>
        <w:tab/>
      </w:r>
      <w:r>
        <w:rPr>
          <w:snapToGrid w:val="0"/>
        </w:rPr>
        <w:tab/>
        <w:t>be assessed by reference to the quantity estimated by the Corporation to have been supplied having regard to the rate of flow and the period of supply.</w:t>
      </w:r>
    </w:p>
    <w:p>
      <w:pPr>
        <w:pStyle w:val="Footnotesection"/>
      </w:pPr>
      <w:r>
        <w:tab/>
        <w:t>[By</w:t>
      </w:r>
      <w:r>
        <w:noBreakHyphen/>
        <w:t>law 6 amended in Gazette 29 Dec 1995 p. 6331; 29 Jun 2007 p. 3246; 21 Dec 2007 p. 6349.]</w:t>
      </w:r>
    </w:p>
    <w:p>
      <w:pPr>
        <w:pStyle w:val="Heading5"/>
        <w:rPr>
          <w:snapToGrid w:val="0"/>
        </w:rPr>
      </w:pPr>
      <w:bookmarkStart w:id="93" w:name="_Toc84427933"/>
      <w:bookmarkStart w:id="94" w:name="_Toc487428944"/>
      <w:bookmarkStart w:id="95" w:name="_Toc17278652"/>
      <w:bookmarkStart w:id="96" w:name="_Toc180204750"/>
      <w:bookmarkStart w:id="97" w:name="_Toc328471427"/>
      <w:r>
        <w:rPr>
          <w:rStyle w:val="CharSectno"/>
        </w:rPr>
        <w:t>7</w:t>
      </w:r>
      <w:r>
        <w:rPr>
          <w:snapToGrid w:val="0"/>
        </w:rPr>
        <w:t>.</w:t>
      </w:r>
      <w:r>
        <w:rPr>
          <w:snapToGrid w:val="0"/>
        </w:rPr>
        <w:tab/>
        <w:t>Manner of payment of charges other than quantity and single capital infrastructure charges</w:t>
      </w:r>
      <w:bookmarkEnd w:id="93"/>
      <w:bookmarkEnd w:id="94"/>
      <w:bookmarkEnd w:id="95"/>
      <w:bookmarkEnd w:id="96"/>
      <w:bookmarkEnd w:id="97"/>
    </w:p>
    <w:p>
      <w:pPr>
        <w:pStyle w:val="Subsection"/>
        <w:keepNext/>
        <w:rPr>
          <w:snapToGrid w:val="0"/>
        </w:rPr>
      </w:pPr>
      <w:r>
        <w:rPr>
          <w:snapToGrid w:val="0"/>
        </w:rPr>
        <w:tab/>
        <w:t>(1)</w:t>
      </w:r>
      <w:r>
        <w:rPr>
          <w:snapToGrid w:val="0"/>
        </w:rPr>
        <w:tab/>
        <w:t>In this by</w:t>
      </w:r>
      <w:r>
        <w:rPr>
          <w:snapToGrid w:val="0"/>
        </w:rPr>
        <w:noBreakHyphen/>
        <w:t>law —</w:t>
      </w:r>
    </w:p>
    <w:p>
      <w:pPr>
        <w:pStyle w:val="Defstart"/>
        <w:keepNext/>
      </w:pPr>
      <w:r>
        <w:rPr>
          <w:b/>
        </w:rPr>
        <w:tab/>
      </w:r>
      <w:r>
        <w:rPr>
          <w:rStyle w:val="CharDefText"/>
        </w:rPr>
        <w:t>charge</w:t>
      </w:r>
      <w:r>
        <w:t xml:space="preserve"> means —</w:t>
      </w:r>
    </w:p>
    <w:p>
      <w:pPr>
        <w:pStyle w:val="Defpara"/>
      </w:pPr>
      <w:r>
        <w:tab/>
        <w:t>(a)</w:t>
      </w:r>
      <w:r>
        <w:tab/>
        <w:t>a charge other than —</w:t>
      </w:r>
    </w:p>
    <w:p>
      <w:pPr>
        <w:pStyle w:val="Defsubpara"/>
      </w:pPr>
      <w:r>
        <w:tab/>
        <w:t>(i)</w:t>
      </w:r>
      <w:r>
        <w:tab/>
        <w:t>a quantity charge; or</w:t>
      </w:r>
    </w:p>
    <w:p>
      <w:pPr>
        <w:pStyle w:val="Defsubpara"/>
        <w:keepNext/>
      </w:pPr>
      <w:r>
        <w:tab/>
        <w:t>(ii)</w:t>
      </w:r>
      <w:r>
        <w:tab/>
        <w:t>a single capital infrastructure charge;</w:t>
      </w:r>
    </w:p>
    <w:p>
      <w:pPr>
        <w:pStyle w:val="Defpara"/>
      </w:pPr>
      <w:r>
        <w:tab/>
      </w:r>
      <w:r>
        <w:tab/>
        <w:t>or</w:t>
      </w:r>
    </w:p>
    <w:p>
      <w:pPr>
        <w:pStyle w:val="Defpara"/>
      </w:pPr>
      <w:r>
        <w:tab/>
        <w:t>(b)</w:t>
      </w:r>
      <w:r>
        <w:tab/>
        <w:t xml:space="preserve">an amount payable in respect of rates under the </w:t>
      </w:r>
      <w:r>
        <w:rPr>
          <w:i/>
        </w:rPr>
        <w:t>Land Drainage Act 1925</w:t>
      </w:r>
      <w:r>
        <w:t>.</w:t>
      </w:r>
    </w:p>
    <w:p>
      <w:pPr>
        <w:pStyle w:val="Subsection"/>
        <w:rPr>
          <w:snapToGrid w:val="0"/>
        </w:rPr>
      </w:pPr>
      <w:r>
        <w:rPr>
          <w:snapToGrid w:val="0"/>
        </w:rPr>
        <w:tab/>
        <w:t>(2)</w:t>
      </w:r>
      <w:r>
        <w:rPr>
          <w:snapToGrid w:val="0"/>
        </w:rPr>
        <w:tab/>
        <w:t>Unless, in accordance with by</w:t>
      </w:r>
      <w:r>
        <w:rPr>
          <w:snapToGrid w:val="0"/>
        </w:rPr>
        <w:noBreakHyphen/>
        <w:t>law 8, special arrangements for payment have been made a charge is payable in accordance with this by</w:t>
      </w:r>
      <w:r>
        <w:rPr>
          <w:snapToGrid w:val="0"/>
        </w:rPr>
        <w:noBreakHyphen/>
        <w:t>law.</w:t>
      </w:r>
    </w:p>
    <w:p>
      <w:pPr>
        <w:pStyle w:val="Subsection"/>
        <w:rPr>
          <w:rFonts w:ascii="Times" w:hAnsi="Times"/>
          <w:snapToGrid w:val="0"/>
        </w:rPr>
      </w:pPr>
      <w:r>
        <w:rPr>
          <w:snapToGrid w:val="0"/>
          <w:spacing w:val="-4"/>
        </w:rPr>
        <w:tab/>
        <w:t>(3)</w:t>
      </w:r>
      <w:r>
        <w:rPr>
          <w:snapToGrid w:val="0"/>
          <w:spacing w:val="-4"/>
        </w:rPr>
        <w:tab/>
      </w:r>
      <w:r>
        <w:rPr>
          <w:rFonts w:ascii="Times" w:hAnsi="Times"/>
          <w:snapToGrid w:val="0"/>
        </w:rPr>
        <w:t>Subject to sub</w:t>
      </w:r>
      <w:r>
        <w:rPr>
          <w:rFonts w:ascii="Times" w:hAnsi="Times"/>
          <w:snapToGrid w:val="0"/>
        </w:rPr>
        <w:noBreakHyphen/>
        <w:t>bylaws (4) and (8), a charge is payable to the Corporation in 2 equal instalments due on 31 July and 31 December, respectively, in the year for which the charge is made.</w:t>
      </w:r>
    </w:p>
    <w:p>
      <w:pPr>
        <w:pStyle w:val="Subsection"/>
        <w:keepNext/>
        <w:rPr>
          <w:snapToGrid w:val="0"/>
        </w:rPr>
      </w:pPr>
      <w:r>
        <w:rPr>
          <w:snapToGrid w:val="0"/>
        </w:rPr>
        <w:tab/>
        <w:t>(4)</w:t>
      </w:r>
      <w:r>
        <w:rPr>
          <w:snapToGrid w:val="0"/>
        </w:rPr>
        <w:tab/>
        <w:t>Subject to sub</w:t>
      </w:r>
      <w:r>
        <w:rPr>
          <w:snapToGrid w:val="0"/>
        </w:rPr>
        <w:noBreakHyphen/>
        <w:t>bylaws (5) and (8), a person may elect to pay an account relating to a charge —</w:t>
      </w:r>
    </w:p>
    <w:p>
      <w:pPr>
        <w:pStyle w:val="Indenta"/>
        <w:rPr>
          <w:snapToGrid w:val="0"/>
        </w:rPr>
      </w:pPr>
      <w:r>
        <w:rPr>
          <w:snapToGrid w:val="0"/>
        </w:rPr>
        <w:tab/>
        <w:t>(a)</w:t>
      </w:r>
      <w:r>
        <w:rPr>
          <w:snapToGrid w:val="0"/>
        </w:rPr>
        <w:tab/>
        <w:t>in full (whether or not it also relates to other charges in respect of the same year) on or before 31 July in that year in which case the person is to receive a discount of —</w:t>
      </w:r>
    </w:p>
    <w:p>
      <w:pPr>
        <w:pStyle w:val="Indenti"/>
        <w:rPr>
          <w:snapToGrid w:val="0"/>
        </w:rPr>
      </w:pPr>
      <w:r>
        <w:rPr>
          <w:snapToGrid w:val="0"/>
        </w:rPr>
        <w:tab/>
        <w:t>(i)</w:t>
      </w:r>
      <w:r>
        <w:rPr>
          <w:snapToGrid w:val="0"/>
        </w:rPr>
        <w:tab/>
        <w:t xml:space="preserve">the amount prescribed in </w:t>
      </w:r>
      <w:r>
        <w:t xml:space="preserve">Schedule 7 item 1 </w:t>
      </w:r>
      <w:r>
        <w:rPr>
          <w:snapToGrid w:val="0"/>
        </w:rPr>
        <w:t>in respect of the account (irrespective of whether it relates to one or more charges); and</w:t>
      </w:r>
    </w:p>
    <w:p>
      <w:pPr>
        <w:pStyle w:val="Indenti"/>
        <w:rPr>
          <w:snapToGrid w:val="0"/>
        </w:rPr>
      </w:pPr>
      <w:r>
        <w:rPr>
          <w:snapToGrid w:val="0"/>
        </w:rPr>
        <w:tab/>
        <w:t>(ii)</w:t>
      </w:r>
      <w:r>
        <w:rPr>
          <w:snapToGrid w:val="0"/>
        </w:rPr>
        <w:tab/>
        <w:t xml:space="preserve">interest calculated at the rate prescribed in </w:t>
      </w:r>
      <w:r>
        <w:t xml:space="preserve">Schedule 7 item 3 </w:t>
      </w:r>
      <w:r>
        <w:rPr>
          <w:snapToGrid w:val="0"/>
        </w:rPr>
        <w:t>for a period of 5 months on one</w:t>
      </w:r>
      <w:r>
        <w:rPr>
          <w:snapToGrid w:val="0"/>
        </w:rPr>
        <w:noBreakHyphen/>
        <w:t>half of the charge for the year;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4 equal instalments on or before 31 July, 31 October, 31 December, and 31 March, respectively, in that year, in which case the person is to be liable for an additional charge of —</w:t>
      </w:r>
    </w:p>
    <w:p>
      <w:pPr>
        <w:pStyle w:val="Indenti"/>
        <w:rPr>
          <w:snapToGrid w:val="0"/>
        </w:rPr>
      </w:pPr>
      <w:r>
        <w:rPr>
          <w:snapToGrid w:val="0"/>
        </w:rPr>
        <w:tab/>
        <w:t>(i)</w:t>
      </w:r>
      <w:r>
        <w:rPr>
          <w:snapToGrid w:val="0"/>
        </w:rPr>
        <w:tab/>
        <w:t xml:space="preserve">the amount prescribed in </w:t>
      </w:r>
      <w:r>
        <w:t xml:space="preserve">Schedule 7 item 2 </w:t>
      </w:r>
      <w:r>
        <w:rPr>
          <w:snapToGrid w:val="0"/>
        </w:rPr>
        <w:t>in respect of the account (irrespective of whether it relates to one or more charges); and</w:t>
      </w:r>
    </w:p>
    <w:p>
      <w:pPr>
        <w:pStyle w:val="Indenti"/>
        <w:rPr>
          <w:snapToGrid w:val="0"/>
        </w:rPr>
      </w:pPr>
      <w:r>
        <w:rPr>
          <w:snapToGrid w:val="0"/>
        </w:rPr>
        <w:tab/>
        <w:t>(ii)</w:t>
      </w:r>
      <w:r>
        <w:rPr>
          <w:snapToGrid w:val="0"/>
        </w:rPr>
        <w:tab/>
        <w:t xml:space="preserve">interest calculated at the rate prescribed in </w:t>
      </w:r>
      <w:r>
        <w:t xml:space="preserve">Schedule 7 item 3 </w:t>
      </w:r>
      <w:r>
        <w:rPr>
          <w:snapToGrid w:val="0"/>
        </w:rPr>
        <w:t>for a period of 3 months on one</w:t>
      </w:r>
      <w:r>
        <w:rPr>
          <w:snapToGrid w:val="0"/>
        </w:rPr>
        <w:noBreakHyphen/>
        <w:t>half of the charge for the year.</w:t>
      </w:r>
    </w:p>
    <w:p>
      <w:pPr>
        <w:pStyle w:val="Subsection"/>
        <w:rPr>
          <w:snapToGrid w:val="0"/>
        </w:rPr>
      </w:pPr>
      <w:r>
        <w:rPr>
          <w:snapToGrid w:val="0"/>
        </w:rPr>
        <w:tab/>
        <w:t>(5)</w:t>
      </w:r>
      <w:r>
        <w:rPr>
          <w:snapToGrid w:val="0"/>
        </w:rPr>
        <w:tab/>
        <w:t>The options provided by sub</w:t>
      </w:r>
      <w:r>
        <w:rPr>
          <w:snapToGrid w:val="0"/>
        </w:rPr>
        <w:noBreakHyphen/>
        <w:t>bylaw (4) do not apply where payment of any amount due and payable to the Corporation in relation to any water service in respect of the land concerned is outstanding.</w:t>
      </w:r>
    </w:p>
    <w:p>
      <w:pPr>
        <w:pStyle w:val="Subsection"/>
        <w:rPr>
          <w:snapToGrid w:val="0"/>
        </w:rPr>
      </w:pPr>
      <w:r>
        <w:rPr>
          <w:snapToGrid w:val="0"/>
        </w:rPr>
        <w:tab/>
        <w:t>(6)</w:t>
      </w:r>
      <w:r>
        <w:rPr>
          <w:snapToGrid w:val="0"/>
        </w:rPr>
        <w:tab/>
        <w:t>For the purposes of sub</w:t>
      </w:r>
      <w:r>
        <w:rPr>
          <w:snapToGrid w:val="0"/>
        </w:rPr>
        <w:noBreakHyphen/>
        <w:t xml:space="preserve">bylaw (5), where payment of an amount has been deferred under the </w:t>
      </w:r>
      <w:r>
        <w:rPr>
          <w:i/>
          <w:snapToGrid w:val="0"/>
        </w:rPr>
        <w:t>Rates and Charges (Rebates and Deferments) Act 1992</w:t>
      </w:r>
      <w:r>
        <w:rPr>
          <w:snapToGrid w:val="0"/>
        </w:rPr>
        <w:t xml:space="preserve"> that amount shall not be regarded as due and payable until payment of it is required in accordance with that Act.</w:t>
      </w:r>
    </w:p>
    <w:p>
      <w:pPr>
        <w:pStyle w:val="Subsection"/>
        <w:rPr>
          <w:snapToGrid w:val="0"/>
        </w:rPr>
      </w:pPr>
      <w:r>
        <w:rPr>
          <w:snapToGrid w:val="0"/>
        </w:rPr>
        <w:tab/>
        <w:t>(7)</w:t>
      </w:r>
      <w:r>
        <w:rPr>
          <w:snapToGrid w:val="0"/>
        </w:rPr>
        <w:tab/>
        <w:t>The Corporation may, after having regard to the circumstances in a particular case, allow a person to elect to pay an account in accordance with the options provided in sub</w:t>
      </w:r>
      <w:r>
        <w:rPr>
          <w:snapToGrid w:val="0"/>
        </w:rPr>
        <w:noBreakHyphen/>
        <w:t>bylaw (4), without the requirement for the appropriate amount to be paid on or before 31 July.</w:t>
      </w:r>
    </w:p>
    <w:p>
      <w:pPr>
        <w:pStyle w:val="Subsection"/>
        <w:rPr>
          <w:snapToGrid w:val="0"/>
        </w:rPr>
      </w:pPr>
      <w:r>
        <w:rPr>
          <w:snapToGrid w:val="0"/>
        </w:rPr>
        <w:tab/>
        <w:t>(8)</w:t>
      </w:r>
      <w:r>
        <w:rPr>
          <w:snapToGrid w:val="0"/>
        </w:rPr>
        <w:tab/>
        <w:t>Where —</w:t>
      </w:r>
    </w:p>
    <w:p>
      <w:pPr>
        <w:pStyle w:val="Indenta"/>
        <w:rPr>
          <w:snapToGrid w:val="0"/>
        </w:rPr>
      </w:pPr>
      <w:r>
        <w:rPr>
          <w:snapToGrid w:val="0"/>
        </w:rPr>
        <w:tab/>
        <w:t>(a)</w:t>
      </w:r>
      <w:r>
        <w:rPr>
          <w:snapToGrid w:val="0"/>
        </w:rPr>
        <w:tab/>
        <w:t>a charge is for a period less than a full year; or</w:t>
      </w:r>
    </w:p>
    <w:p>
      <w:pPr>
        <w:pStyle w:val="Indenta"/>
        <w:rPr>
          <w:snapToGrid w:val="0"/>
        </w:rPr>
      </w:pPr>
      <w:r>
        <w:rPr>
          <w:snapToGrid w:val="0"/>
        </w:rPr>
        <w:tab/>
        <w:t>(b)</w:t>
      </w:r>
      <w:r>
        <w:rPr>
          <w:snapToGrid w:val="0"/>
        </w:rPr>
        <w:tab/>
        <w:t>an account for a charge is given after 31 July in the year to which the charge relates,</w:t>
      </w:r>
    </w:p>
    <w:p>
      <w:pPr>
        <w:pStyle w:val="Subsection"/>
        <w:rPr>
          <w:snapToGrid w:val="0"/>
        </w:rPr>
      </w:pPr>
      <w:r>
        <w:rPr>
          <w:snapToGrid w:val="0"/>
        </w:rPr>
        <w:tab/>
      </w:r>
      <w:r>
        <w:rPr>
          <w:snapToGrid w:val="0"/>
        </w:rPr>
        <w:tab/>
        <w:t>the charge is due in full by the date stated in the account.</w:t>
      </w:r>
    </w:p>
    <w:p>
      <w:pPr>
        <w:pStyle w:val="Subsection"/>
        <w:rPr>
          <w:snapToGrid w:val="0"/>
        </w:rPr>
      </w:pPr>
      <w:r>
        <w:rPr>
          <w:snapToGrid w:val="0"/>
        </w:rPr>
        <w:tab/>
        <w:t>(9)</w:t>
      </w:r>
      <w:r>
        <w:rPr>
          <w:snapToGrid w:val="0"/>
        </w:rPr>
        <w:tab/>
        <w:t>For the purposes of sub</w:t>
      </w:r>
      <w:r>
        <w:rPr>
          <w:snapToGrid w:val="0"/>
        </w:rPr>
        <w:noBreakHyphen/>
        <w:t>bylaw (8), a date stated in an account shall be a date not earlier than 28 days after the giving of the account.</w:t>
      </w:r>
    </w:p>
    <w:p>
      <w:pPr>
        <w:pStyle w:val="Footnotesection"/>
      </w:pPr>
      <w:r>
        <w:tab/>
        <w:t>[By</w:t>
      </w:r>
      <w:r>
        <w:noBreakHyphen/>
        <w:t>law 7 inserted in Gazette 13 May 1997 p. 2350</w:t>
      </w:r>
      <w:r>
        <w:noBreakHyphen/>
        <w:t>1; amended in Gazette 29 Jun 2001 p. 3188.]</w:t>
      </w:r>
    </w:p>
    <w:p>
      <w:pPr>
        <w:pStyle w:val="Heading5"/>
        <w:rPr>
          <w:snapToGrid w:val="0"/>
        </w:rPr>
      </w:pPr>
      <w:bookmarkStart w:id="98" w:name="_Toc84427934"/>
      <w:bookmarkStart w:id="99" w:name="_Toc487428945"/>
      <w:bookmarkStart w:id="100" w:name="_Toc17278653"/>
      <w:bookmarkStart w:id="101" w:name="_Toc180204751"/>
      <w:bookmarkStart w:id="102" w:name="_Toc328471428"/>
      <w:r>
        <w:rPr>
          <w:rStyle w:val="CharSectno"/>
        </w:rPr>
        <w:t>7A</w:t>
      </w:r>
      <w:r>
        <w:rPr>
          <w:snapToGrid w:val="0"/>
        </w:rPr>
        <w:t>.</w:t>
      </w:r>
      <w:r>
        <w:rPr>
          <w:snapToGrid w:val="0"/>
        </w:rPr>
        <w:tab/>
        <w:t>Manner of payment of quantity charges</w:t>
      </w:r>
      <w:bookmarkEnd w:id="98"/>
      <w:bookmarkEnd w:id="99"/>
      <w:bookmarkEnd w:id="100"/>
      <w:bookmarkEnd w:id="101"/>
      <w:bookmarkEnd w:id="102"/>
    </w:p>
    <w:p>
      <w:pPr>
        <w:pStyle w:val="Subsection"/>
        <w:rPr>
          <w:snapToGrid w:val="0"/>
        </w:rPr>
      </w:pPr>
      <w:r>
        <w:rPr>
          <w:snapToGrid w:val="0"/>
        </w:rPr>
        <w:tab/>
        <w:t>(1)</w:t>
      </w:r>
      <w:r>
        <w:rPr>
          <w:snapToGrid w:val="0"/>
        </w:rPr>
        <w:tab/>
        <w:t>Unless, in accordance with by</w:t>
      </w:r>
      <w:r>
        <w:rPr>
          <w:snapToGrid w:val="0"/>
        </w:rPr>
        <w:noBreakHyphen/>
        <w:t>law 8, special arrangements for payment have been made a quantity charge is due in full on the date stated in the account given for that charge.</w:t>
      </w:r>
    </w:p>
    <w:p>
      <w:pPr>
        <w:pStyle w:val="Subsection"/>
        <w:rPr>
          <w:snapToGrid w:val="0"/>
        </w:rPr>
      </w:pPr>
      <w:r>
        <w:rPr>
          <w:snapToGrid w:val="0"/>
        </w:rPr>
        <w:tab/>
        <w:t>(2)</w:t>
      </w:r>
      <w:r>
        <w:rPr>
          <w:snapToGrid w:val="0"/>
        </w:rPr>
        <w:tab/>
        <w:t>For the purposes of sub</w:t>
      </w:r>
      <w:r>
        <w:rPr>
          <w:snapToGrid w:val="0"/>
        </w:rPr>
        <w:noBreakHyphen/>
        <w:t>bylaw (1), a date stated in an account shall be a date not earlier than 14 days after the giving of the account.</w:t>
      </w:r>
    </w:p>
    <w:p>
      <w:pPr>
        <w:pStyle w:val="Footnotesection"/>
      </w:pPr>
      <w:r>
        <w:tab/>
        <w:t>[By</w:t>
      </w:r>
      <w:r>
        <w:noBreakHyphen/>
        <w:t>law 7A inserted in Gazette 13 May 1997 p. 2351.]</w:t>
      </w:r>
    </w:p>
    <w:p>
      <w:pPr>
        <w:pStyle w:val="Heading5"/>
        <w:spacing w:before="240"/>
        <w:rPr>
          <w:snapToGrid w:val="0"/>
        </w:rPr>
      </w:pPr>
      <w:bookmarkStart w:id="103" w:name="_Toc84427935"/>
      <w:bookmarkStart w:id="104" w:name="_Toc487428946"/>
      <w:bookmarkStart w:id="105" w:name="_Toc17278654"/>
      <w:bookmarkStart w:id="106" w:name="_Toc180204752"/>
      <w:bookmarkStart w:id="107" w:name="_Toc328471429"/>
      <w:r>
        <w:rPr>
          <w:rStyle w:val="CharSectno"/>
        </w:rPr>
        <w:t>7B</w:t>
      </w:r>
      <w:r>
        <w:rPr>
          <w:snapToGrid w:val="0"/>
        </w:rPr>
        <w:t>.</w:t>
      </w:r>
      <w:r>
        <w:rPr>
          <w:snapToGrid w:val="0"/>
        </w:rPr>
        <w:tab/>
        <w:t>Manner of payment of single capital infrastructure charges</w:t>
      </w:r>
      <w:bookmarkEnd w:id="103"/>
      <w:bookmarkEnd w:id="104"/>
      <w:bookmarkEnd w:id="105"/>
      <w:bookmarkEnd w:id="106"/>
      <w:bookmarkEnd w:id="107"/>
    </w:p>
    <w:p>
      <w:pPr>
        <w:pStyle w:val="Subsection"/>
        <w:spacing w:before="200"/>
        <w:rPr>
          <w:snapToGrid w:val="0"/>
        </w:rPr>
      </w:pPr>
      <w:r>
        <w:rPr>
          <w:snapToGrid w:val="0"/>
        </w:rPr>
        <w:tab/>
        <w:t>(1)</w:t>
      </w:r>
      <w:r>
        <w:rPr>
          <w:snapToGrid w:val="0"/>
        </w:rPr>
        <w:tab/>
        <w:t>A single capital infrastructure charge is due in full on the date stated in the account given for that charge.</w:t>
      </w:r>
    </w:p>
    <w:p>
      <w:pPr>
        <w:pStyle w:val="Subsection"/>
        <w:spacing w:before="200"/>
        <w:rPr>
          <w:snapToGrid w:val="0"/>
        </w:rPr>
      </w:pPr>
      <w:r>
        <w:rPr>
          <w:snapToGrid w:val="0"/>
        </w:rPr>
        <w:tab/>
        <w:t>(2)</w:t>
      </w:r>
      <w:r>
        <w:rPr>
          <w:snapToGrid w:val="0"/>
        </w:rPr>
        <w:tab/>
        <w:t>For the purposes of sub</w:t>
      </w:r>
      <w:r>
        <w:rPr>
          <w:snapToGrid w:val="0"/>
        </w:rPr>
        <w:noBreakHyphen/>
        <w:t>bylaw (1), a date stated in an account shall be a date not earlier than 28 days after the giving of the account.</w:t>
      </w:r>
    </w:p>
    <w:p>
      <w:pPr>
        <w:pStyle w:val="Footnotesection"/>
      </w:pPr>
      <w:r>
        <w:tab/>
        <w:t>[By</w:t>
      </w:r>
      <w:r>
        <w:noBreakHyphen/>
        <w:t>law 7B inserted in Gazette 13 May 1997 p. 2351.]</w:t>
      </w:r>
    </w:p>
    <w:p>
      <w:pPr>
        <w:pStyle w:val="Heading5"/>
      </w:pPr>
      <w:bookmarkStart w:id="108" w:name="_Toc84427936"/>
      <w:bookmarkStart w:id="109" w:name="_Toc328471430"/>
      <w:bookmarkStart w:id="110" w:name="_Toc487428948"/>
      <w:bookmarkStart w:id="111" w:name="_Toc17278656"/>
      <w:bookmarkStart w:id="112" w:name="_Toc180204754"/>
      <w:r>
        <w:rPr>
          <w:rStyle w:val="CharSectno"/>
        </w:rPr>
        <w:t>8</w:t>
      </w:r>
      <w:r>
        <w:t>.</w:t>
      </w:r>
      <w:r>
        <w:tab/>
        <w:t>Special arrangements</w:t>
      </w:r>
      <w:bookmarkEnd w:id="108"/>
      <w:bookmarkEnd w:id="109"/>
    </w:p>
    <w:p>
      <w:pPr>
        <w:pStyle w:val="Subsection"/>
      </w:pPr>
      <w:r>
        <w:tab/>
        <w:t>(1)</w:t>
      </w:r>
      <w:r>
        <w:tab/>
        <w:t>This by</w:t>
      </w:r>
      <w:r>
        <w:noBreakHyphen/>
        <w:t>law does not apply to a single capital infrastructure charge.</w:t>
      </w:r>
    </w:p>
    <w:p>
      <w:pPr>
        <w:pStyle w:val="Subsection"/>
      </w:pPr>
      <w:r>
        <w:tab/>
        <w:t>(2)</w:t>
      </w:r>
      <w:r>
        <w:tab/>
        <w:t>If, in a particular case, the Corporation is satisfied that there is proper cause, the Corporation may enter into a special arrangement with a person for the payment of charges.</w:t>
      </w:r>
    </w:p>
    <w:p>
      <w:pPr>
        <w:pStyle w:val="Subsection"/>
      </w:pPr>
      <w:r>
        <w:tab/>
        <w:t>(3)</w:t>
      </w:r>
      <w:r>
        <w:tab/>
        <w:t>A special arrangement may be on such terms and conditions, including as to the payment of additional charges and interest, as the Corporation, having regard to the person’s circumstances, considers appropriate.</w:t>
      </w:r>
    </w:p>
    <w:p>
      <w:pPr>
        <w:pStyle w:val="Subsection"/>
      </w:pPr>
      <w:r>
        <w:tab/>
        <w:t>(4)</w:t>
      </w:r>
      <w:r>
        <w:tab/>
        <w:t>Despite sub</w:t>
      </w:r>
      <w:r>
        <w:noBreakHyphen/>
        <w:t xml:space="preserve">bylaw (3) — </w:t>
      </w:r>
    </w:p>
    <w:p>
      <w:pPr>
        <w:pStyle w:val="Indenta"/>
      </w:pPr>
      <w:r>
        <w:tab/>
        <w:t>(a)</w:t>
      </w:r>
      <w:r>
        <w:tab/>
        <w:t>a special arrangement must provide for payment by regular instalments; and</w:t>
      </w:r>
    </w:p>
    <w:p>
      <w:pPr>
        <w:pStyle w:val="Indenta"/>
      </w:pPr>
      <w:r>
        <w:tab/>
        <w:t>(b)</w:t>
      </w:r>
      <w:r>
        <w:tab/>
        <w:t>if additional charges are payable under the arrangement — the amount of each additional charge must not exceed the amount set out in Schedule 7 item 2; and</w:t>
      </w:r>
    </w:p>
    <w:p>
      <w:pPr>
        <w:pStyle w:val="Indenta"/>
      </w:pPr>
      <w:r>
        <w:tab/>
        <w:t>(c)</w:t>
      </w:r>
      <w:r>
        <w:tab/>
        <w:t>if interest is payable under the arrangement — the rate at which the interest is calculated must not exceed the amount set out in Schedule 7 item 5.</w:t>
      </w:r>
    </w:p>
    <w:p>
      <w:pPr>
        <w:pStyle w:val="Footnotesection"/>
      </w:pPr>
      <w:r>
        <w:tab/>
        <w:t>[By-law 8 inserted in Gazette 27 Jun 2008 p. 2984.]</w:t>
      </w:r>
    </w:p>
    <w:p>
      <w:pPr>
        <w:pStyle w:val="Heading5"/>
        <w:rPr>
          <w:snapToGrid w:val="0"/>
        </w:rPr>
      </w:pPr>
      <w:bookmarkStart w:id="113" w:name="_Toc84427937"/>
      <w:bookmarkStart w:id="114" w:name="_Toc328471431"/>
      <w:r>
        <w:rPr>
          <w:rStyle w:val="CharSectno"/>
        </w:rPr>
        <w:t>8A</w:t>
      </w:r>
      <w:r>
        <w:rPr>
          <w:snapToGrid w:val="0"/>
        </w:rPr>
        <w:t>.</w:t>
      </w:r>
      <w:r>
        <w:rPr>
          <w:snapToGrid w:val="0"/>
        </w:rPr>
        <w:tab/>
        <w:t>Concessional charges for retirement village residents</w:t>
      </w:r>
      <w:bookmarkEnd w:id="113"/>
      <w:bookmarkEnd w:id="110"/>
      <w:bookmarkEnd w:id="111"/>
      <w:bookmarkEnd w:id="112"/>
      <w:bookmarkEnd w:id="114"/>
    </w:p>
    <w:p>
      <w:pPr>
        <w:pStyle w:val="Subsection"/>
      </w:pPr>
      <w:r>
        <w:tab/>
        <w:t>(1)</w:t>
      </w:r>
      <w:r>
        <w:tab/>
        <w:t>This by-law does not apply —</w:t>
      </w:r>
    </w:p>
    <w:p>
      <w:pPr>
        <w:pStyle w:val="Indenta"/>
      </w:pPr>
      <w:r>
        <w:tab/>
        <w:t>(a)</w:t>
      </w:r>
      <w:r>
        <w:tab/>
        <w:t xml:space="preserve">to a person who registers an entitlement to a rebate under the </w:t>
      </w:r>
      <w:r>
        <w:rPr>
          <w:i/>
        </w:rPr>
        <w:t>Rates and Charges (Rebates and Deferments) Act 1992</w:t>
      </w:r>
      <w:r>
        <w:t xml:space="preserve"> in respect to a unit in a retirement village; or</w:t>
      </w:r>
    </w:p>
    <w:p>
      <w:pPr>
        <w:pStyle w:val="Indenta"/>
      </w:pPr>
      <w:r>
        <w:tab/>
        <w:t>(b)</w:t>
      </w:r>
      <w:r>
        <w:tab/>
        <w:t xml:space="preserve">to a unit in a retirement village once a person has registered an entitlement to a rebate under the </w:t>
      </w:r>
      <w:r>
        <w:rPr>
          <w:i/>
        </w:rPr>
        <w:t>Rates and Charges (Rebates and Deferments) Act 1992.</w:t>
      </w:r>
    </w:p>
    <w:p>
      <w:pPr>
        <w:pStyle w:val="Subsection"/>
      </w:pPr>
      <w:r>
        <w:tab/>
        <w:t>(1a)</w:t>
      </w:r>
      <w:r>
        <w:tab/>
        <w:t>Where a person was liable, immediately prior to 1 July 2005, to pay a charge under —</w:t>
      </w:r>
    </w:p>
    <w:p>
      <w:pPr>
        <w:pStyle w:val="Indenta"/>
      </w:pPr>
      <w:r>
        <w:tab/>
        <w:t>(a)</w:t>
      </w:r>
      <w:r>
        <w:tab/>
        <w:t>Schedule 1 item 1;</w:t>
      </w:r>
    </w:p>
    <w:p>
      <w:pPr>
        <w:pStyle w:val="Indenta"/>
      </w:pPr>
      <w:r>
        <w:tab/>
        <w:t>(b)</w:t>
      </w:r>
      <w:r>
        <w:tab/>
        <w:t>Schedule 3 item 8;</w:t>
      </w:r>
    </w:p>
    <w:p>
      <w:pPr>
        <w:pStyle w:val="Indenta"/>
      </w:pPr>
      <w:r>
        <w:tab/>
        <w:t>(c)</w:t>
      </w:r>
      <w:r>
        <w:tab/>
        <w:t>Schedule 3 item 10(a); or</w:t>
      </w:r>
    </w:p>
    <w:p>
      <w:pPr>
        <w:pStyle w:val="Indenta"/>
      </w:pPr>
      <w:r>
        <w:tab/>
        <w:t>(d)</w:t>
      </w:r>
      <w:r>
        <w:tab/>
        <w:t>Schedule 4 item 3,</w:t>
      </w:r>
    </w:p>
    <w:p>
      <w:pPr>
        <w:pStyle w:val="Subsection"/>
      </w:pPr>
      <w:r>
        <w:tab/>
      </w:r>
      <w:r>
        <w:tab/>
        <w:t>to these by-laws in respect of a unit in a retirement village and that person is liable on or after 1 July 2005 to pay that charge in respect of that unit, the person is to be allowed a concession in respect of the charge in accordance with sub-bylaw (2).</w:t>
      </w:r>
    </w:p>
    <w:p>
      <w:pPr>
        <w:pStyle w:val="Subsection"/>
        <w:spacing w:before="120"/>
        <w:rPr>
          <w:snapToGrid w:val="0"/>
        </w:rPr>
      </w:pPr>
      <w:r>
        <w:rPr>
          <w:snapToGrid w:val="0"/>
        </w:rPr>
        <w:tab/>
        <w:t>(2)</w:t>
      </w:r>
      <w:r>
        <w:rPr>
          <w:snapToGrid w:val="0"/>
        </w:rPr>
        <w:tab/>
        <w:t>The concession to be allowed under this by</w:t>
      </w:r>
      <w:r>
        <w:rPr>
          <w:snapToGrid w:val="0"/>
        </w:rPr>
        <w:noBreakHyphen/>
        <w:t xml:space="preserve">law in respect of a charge referred to </w:t>
      </w:r>
      <w:r>
        <w:t xml:space="preserve">in sub-bylaw (1a) </w:t>
      </w:r>
      <w:r>
        <w:rPr>
          <w:snapToGrid w:val="0"/>
        </w:rPr>
        <w:t xml:space="preserve">is 25% of the charge, or the amount set out in </w:t>
      </w:r>
      <w:r>
        <w:t xml:space="preserve">Schedule 7 item 4 </w:t>
      </w:r>
      <w:r>
        <w:rPr>
          <w:snapToGrid w:val="0"/>
        </w:rPr>
        <w:t>opposite the particular kind of charge, whichever is the lesser amount.</w:t>
      </w:r>
    </w:p>
    <w:p>
      <w:pPr>
        <w:pStyle w:val="Subsection"/>
        <w:spacing w:before="120"/>
      </w:pPr>
      <w:r>
        <w:rPr>
          <w:snapToGrid w:val="0"/>
        </w:rPr>
        <w:tab/>
        <w:t>(3)</w:t>
      </w:r>
      <w:r>
        <w:rPr>
          <w:snapToGrid w:val="0"/>
        </w:rPr>
        <w:tab/>
        <w:t>In this by</w:t>
      </w:r>
      <w:r>
        <w:rPr>
          <w:snapToGrid w:val="0"/>
        </w:rPr>
        <w:noBreakHyphen/>
        <w:t xml:space="preserve">law, </w:t>
      </w:r>
      <w:r>
        <w:rPr>
          <w:rStyle w:val="CharDefText"/>
          <w:spacing w:val="-4"/>
        </w:rPr>
        <w:t>retirement village</w:t>
      </w:r>
      <w:r>
        <w:t xml:space="preserve"> means a number of units, the residents of which have a right to life tenancy under a lease arrangement, or a similar form of lease, and are predominantly —</w:t>
      </w:r>
    </w:p>
    <w:p>
      <w:pPr>
        <w:pStyle w:val="Indenta"/>
      </w:pPr>
      <w:r>
        <w:tab/>
        <w:t>(a)</w:t>
      </w:r>
      <w:r>
        <w:tab/>
        <w:t>over 55 years old and not in full</w:t>
      </w:r>
      <w:r>
        <w:noBreakHyphen/>
        <w:t>time employment; or</w:t>
      </w:r>
    </w:p>
    <w:p>
      <w:pPr>
        <w:pStyle w:val="Indenta"/>
      </w:pPr>
      <w:r>
        <w:tab/>
        <w:t>(b)</w:t>
      </w:r>
      <w:r>
        <w:tab/>
        <w:t>retired.</w:t>
      </w:r>
    </w:p>
    <w:p>
      <w:pPr>
        <w:pStyle w:val="Footnotesection"/>
      </w:pPr>
      <w:r>
        <w:tab/>
        <w:t>[By</w:t>
      </w:r>
      <w:r>
        <w:noBreakHyphen/>
        <w:t>law 8A inserted in Gazette 29 Jun 1990 p. 3227; amended in Gazette 29 Jun 1999 p. 2790; 29 Jun 2001 p. 3189; 1 Jul 2005 p. 3008-9.]</w:t>
      </w:r>
    </w:p>
    <w:p>
      <w:pPr>
        <w:pStyle w:val="Heading5"/>
      </w:pPr>
      <w:bookmarkStart w:id="115" w:name="_Toc84427938"/>
      <w:bookmarkStart w:id="116" w:name="_Toc17278657"/>
      <w:bookmarkStart w:id="117" w:name="_Toc180204755"/>
      <w:bookmarkStart w:id="118" w:name="_Toc328471432"/>
      <w:bookmarkStart w:id="119" w:name="_Toc487428950"/>
      <w:r>
        <w:rPr>
          <w:rStyle w:val="CharSectno"/>
        </w:rPr>
        <w:t>8B</w:t>
      </w:r>
      <w:r>
        <w:t>.</w:t>
      </w:r>
      <w:r>
        <w:tab/>
        <w:t>Government trading organisation and non</w:t>
      </w:r>
      <w:r>
        <w:noBreakHyphen/>
        <w:t>commercial Government property</w:t>
      </w:r>
      <w:bookmarkEnd w:id="115"/>
      <w:bookmarkEnd w:id="116"/>
      <w:bookmarkEnd w:id="117"/>
      <w:bookmarkEnd w:id="118"/>
    </w:p>
    <w:p>
      <w:pPr>
        <w:pStyle w:val="Subsection"/>
      </w:pPr>
      <w:r>
        <w:tab/>
      </w:r>
      <w:r>
        <w:tab/>
        <w:t>Where a body holding non</w:t>
      </w:r>
      <w:r>
        <w:noBreakHyphen/>
        <w:t>commercial Government property, or a Government trading organisation is liable to pay a charge, whether in respect of exempt land or otherwise, under —</w:t>
      </w:r>
    </w:p>
    <w:p>
      <w:pPr>
        <w:pStyle w:val="Indenta"/>
      </w:pPr>
      <w:r>
        <w:tab/>
        <w:t>(a)</w:t>
      </w:r>
      <w:r>
        <w:tab/>
        <w:t>Schedule 1 item 3(b) or 10(a) or (b); or</w:t>
      </w:r>
    </w:p>
    <w:p>
      <w:pPr>
        <w:pStyle w:val="Indenta"/>
      </w:pPr>
      <w:r>
        <w:tab/>
        <w:t>(b)</w:t>
      </w:r>
      <w:r>
        <w:tab/>
        <w:t>Schedule 1 item 25 or 27(a) or (f); or</w:t>
      </w:r>
    </w:p>
    <w:p>
      <w:pPr>
        <w:pStyle w:val="Indenta"/>
        <w:keepNext/>
        <w:keepLines/>
      </w:pPr>
      <w:r>
        <w:tab/>
        <w:t>(c)</w:t>
      </w:r>
      <w:r>
        <w:tab/>
        <w:t>Schedule 1 item 33,</w:t>
      </w:r>
    </w:p>
    <w:p>
      <w:pPr>
        <w:pStyle w:val="Subsection"/>
      </w:pPr>
      <w:r>
        <w:tab/>
      </w:r>
      <w:r>
        <w:tab/>
        <w:t>for each water service provided to property held by that body or organisation, with the exception of services that are provided exclusively for fire fighting purposes and charged as such, and used for commercial (other than community</w:t>
      </w:r>
      <w:r>
        <w:noBreakHyphen/>
        <w:t>related or charitable) purposes, the body or organisation is instead to pay the appropriate charge set out in Schedule 8.</w:t>
      </w:r>
    </w:p>
    <w:p>
      <w:pPr>
        <w:pStyle w:val="Footnotesection"/>
      </w:pPr>
      <w:r>
        <w:tab/>
        <w:t>[By-law 8B inserted in Gazette 29 Jun 2001 p. 3189; amended in Gazette 29 Jun 2007 p. 3246; 27 Jun 2008 p. 2984</w:t>
      </w:r>
      <w:r>
        <w:noBreakHyphen/>
        <w:t>5; 19 Jun 2009 p. 2322.]</w:t>
      </w:r>
    </w:p>
    <w:p>
      <w:pPr>
        <w:pStyle w:val="Heading5"/>
        <w:rPr>
          <w:snapToGrid w:val="0"/>
        </w:rPr>
      </w:pPr>
      <w:bookmarkStart w:id="120" w:name="_Toc84427939"/>
      <w:bookmarkStart w:id="121" w:name="_Toc17278658"/>
      <w:bookmarkStart w:id="122" w:name="_Toc180204756"/>
      <w:bookmarkStart w:id="123" w:name="_Toc328471433"/>
      <w:r>
        <w:rPr>
          <w:rStyle w:val="CharSectno"/>
        </w:rPr>
        <w:t>8BA</w:t>
      </w:r>
      <w:r>
        <w:rPr>
          <w:snapToGrid w:val="0"/>
        </w:rPr>
        <w:t>.</w:t>
      </w:r>
      <w:r>
        <w:rPr>
          <w:snapToGrid w:val="0"/>
        </w:rPr>
        <w:tab/>
        <w:t>Annual charges to Government trading organisations that supply water to lessees or ships</w:t>
      </w:r>
      <w:bookmarkEnd w:id="120"/>
      <w:bookmarkEnd w:id="119"/>
      <w:bookmarkEnd w:id="121"/>
      <w:bookmarkEnd w:id="122"/>
      <w:bookmarkEnd w:id="123"/>
    </w:p>
    <w:p>
      <w:pPr>
        <w:pStyle w:val="Subsection"/>
        <w:rPr>
          <w:snapToGrid w:val="0"/>
        </w:rPr>
      </w:pPr>
      <w:r>
        <w:rPr>
          <w:snapToGrid w:val="0"/>
        </w:rPr>
        <w:tab/>
        <w:t>(1)</w:t>
      </w:r>
      <w:r>
        <w:rPr>
          <w:snapToGrid w:val="0"/>
        </w:rPr>
        <w:tab/>
        <w:t>Where a Government trading organisation —</w:t>
      </w:r>
    </w:p>
    <w:p>
      <w:pPr>
        <w:pStyle w:val="Indenta"/>
        <w:rPr>
          <w:snapToGrid w:val="0"/>
        </w:rPr>
      </w:pPr>
      <w:r>
        <w:rPr>
          <w:snapToGrid w:val="0"/>
        </w:rPr>
        <w:tab/>
        <w:t>(a)</w:t>
      </w:r>
      <w:r>
        <w:rPr>
          <w:snapToGrid w:val="0"/>
        </w:rPr>
        <w:tab/>
        <w:t>holds land that is provided with a water supply by the Corporation; and</w:t>
      </w:r>
    </w:p>
    <w:p>
      <w:pPr>
        <w:pStyle w:val="Indenta"/>
        <w:keepNext/>
        <w:rPr>
          <w:snapToGrid w:val="0"/>
        </w:rPr>
      </w:pPr>
      <w:r>
        <w:rPr>
          <w:snapToGrid w:val="0"/>
        </w:rPr>
        <w:tab/>
        <w:t>(b)</w:t>
      </w:r>
      <w:r>
        <w:rPr>
          <w:snapToGrid w:val="0"/>
        </w:rPr>
        <w:tab/>
        <w:t>supplies through a meter any of the water provided to it by the Corporation —</w:t>
      </w:r>
    </w:p>
    <w:p>
      <w:pPr>
        <w:pStyle w:val="Indenti"/>
        <w:rPr>
          <w:snapToGrid w:val="0"/>
        </w:rPr>
      </w:pPr>
      <w:r>
        <w:rPr>
          <w:snapToGrid w:val="0"/>
        </w:rPr>
        <w:tab/>
        <w:t>(i)</w:t>
      </w:r>
      <w:r>
        <w:rPr>
          <w:snapToGrid w:val="0"/>
        </w:rPr>
        <w:tab/>
        <w:t>to one or more lessees of any of that land; or</w:t>
      </w:r>
    </w:p>
    <w:p>
      <w:pPr>
        <w:pStyle w:val="Indenti"/>
        <w:rPr>
          <w:snapToGrid w:val="0"/>
        </w:rPr>
      </w:pPr>
      <w:r>
        <w:rPr>
          <w:snapToGrid w:val="0"/>
        </w:rPr>
        <w:tab/>
        <w:t>(ii)</w:t>
      </w:r>
      <w:r>
        <w:rPr>
          <w:snapToGrid w:val="0"/>
        </w:rPr>
        <w:tab/>
        <w:t>to a ship in port,</w:t>
      </w:r>
    </w:p>
    <w:p>
      <w:pPr>
        <w:pStyle w:val="Subsection"/>
        <w:spacing w:before="100"/>
        <w:rPr>
          <w:snapToGrid w:val="0"/>
        </w:rPr>
      </w:pPr>
      <w:r>
        <w:rPr>
          <w:snapToGrid w:val="0"/>
        </w:rPr>
        <w:tab/>
      </w:r>
      <w:r>
        <w:rPr>
          <w:snapToGrid w:val="0"/>
        </w:rPr>
        <w:tab/>
        <w:t>the annual charge payable by the Government trading organisation shall be, instead of the charge that would otherwise apply under Schedule 8 item 1, that charge less the charge that would apply under that item for a meter of the size that would be required to supply, in aggregate, water as described in paragraph (b).</w:t>
      </w:r>
    </w:p>
    <w:p>
      <w:pPr>
        <w:pStyle w:val="Subsection"/>
        <w:spacing w:before="100"/>
        <w:rPr>
          <w:snapToGrid w:val="0"/>
        </w:rPr>
      </w:pPr>
      <w:r>
        <w:rPr>
          <w:snapToGrid w:val="0"/>
        </w:rPr>
        <w:tab/>
        <w:t>(2)</w:t>
      </w:r>
      <w:r>
        <w:rPr>
          <w:snapToGrid w:val="0"/>
        </w:rPr>
        <w:tab/>
        <w:t>Sub</w:t>
      </w:r>
      <w:r>
        <w:rPr>
          <w:snapToGrid w:val="0"/>
        </w:rPr>
        <w:noBreakHyphen/>
        <w:t>bylaw (1) does not apply where the meter required by the Government trading organisation for its water supply would be the same for size whether or not it supplied water as described in sub</w:t>
      </w:r>
      <w:r>
        <w:rPr>
          <w:snapToGrid w:val="0"/>
        </w:rPr>
        <w:noBreakHyphen/>
        <w:t>bylaw (1)(b).</w:t>
      </w:r>
    </w:p>
    <w:p>
      <w:pPr>
        <w:pStyle w:val="Subsection"/>
        <w:spacing w:before="100"/>
        <w:rPr>
          <w:snapToGrid w:val="0"/>
        </w:rPr>
      </w:pPr>
      <w:r>
        <w:rPr>
          <w:snapToGrid w:val="0"/>
        </w:rPr>
        <w:tab/>
        <w:t>(3)</w:t>
      </w:r>
      <w:r>
        <w:rPr>
          <w:snapToGrid w:val="0"/>
        </w:rPr>
        <w:tab/>
        <w:t>Where a body —</w:t>
      </w:r>
    </w:p>
    <w:p>
      <w:pPr>
        <w:pStyle w:val="Indenta"/>
        <w:rPr>
          <w:snapToGrid w:val="0"/>
        </w:rPr>
      </w:pPr>
      <w:r>
        <w:rPr>
          <w:snapToGrid w:val="0"/>
        </w:rPr>
        <w:tab/>
        <w:t>(a)</w:t>
      </w:r>
      <w:r>
        <w:rPr>
          <w:snapToGrid w:val="0"/>
        </w:rPr>
        <w:tab/>
        <w:t>holds non</w:t>
      </w:r>
      <w:r>
        <w:rPr>
          <w:snapToGrid w:val="0"/>
        </w:rPr>
        <w:noBreakHyphen/>
        <w:t>commercial Government property that is provided with a water supply by the Corporation; and</w:t>
      </w:r>
    </w:p>
    <w:p>
      <w:pPr>
        <w:pStyle w:val="Indenta"/>
        <w:rPr>
          <w:snapToGrid w:val="0"/>
        </w:rPr>
      </w:pPr>
      <w:r>
        <w:rPr>
          <w:snapToGrid w:val="0"/>
        </w:rPr>
        <w:tab/>
        <w:t>(b)</w:t>
      </w:r>
      <w:r>
        <w:rPr>
          <w:snapToGrid w:val="0"/>
        </w:rPr>
        <w:tab/>
        <w:t>supplies through a meter any of the water provided to it by the Corporation —</w:t>
      </w:r>
    </w:p>
    <w:p>
      <w:pPr>
        <w:pStyle w:val="Indenti"/>
        <w:rPr>
          <w:snapToGrid w:val="0"/>
        </w:rPr>
      </w:pPr>
      <w:r>
        <w:rPr>
          <w:snapToGrid w:val="0"/>
        </w:rPr>
        <w:tab/>
        <w:t>(i)</w:t>
      </w:r>
      <w:r>
        <w:rPr>
          <w:snapToGrid w:val="0"/>
        </w:rPr>
        <w:tab/>
        <w:t>to one or more lessees of any of that property; or</w:t>
      </w:r>
    </w:p>
    <w:p>
      <w:pPr>
        <w:pStyle w:val="Indenti"/>
        <w:keepNext/>
        <w:rPr>
          <w:snapToGrid w:val="0"/>
        </w:rPr>
      </w:pPr>
      <w:r>
        <w:rPr>
          <w:snapToGrid w:val="0"/>
        </w:rPr>
        <w:tab/>
        <w:t>(ii)</w:t>
      </w:r>
      <w:r>
        <w:rPr>
          <w:snapToGrid w:val="0"/>
        </w:rPr>
        <w:tab/>
        <w:t>to a ship in port,</w:t>
      </w:r>
    </w:p>
    <w:p>
      <w:pPr>
        <w:pStyle w:val="Subsection"/>
        <w:spacing w:before="100"/>
        <w:rPr>
          <w:snapToGrid w:val="0"/>
        </w:rPr>
      </w:pPr>
      <w:r>
        <w:rPr>
          <w:snapToGrid w:val="0"/>
        </w:rPr>
        <w:tab/>
      </w:r>
      <w:r>
        <w:rPr>
          <w:snapToGrid w:val="0"/>
        </w:rPr>
        <w:tab/>
        <w:t>the annual charge payable by the body shall be, instead of the charge that would otherwise apply under Schedule 8 item 1, that charge less the charge that would apply under that item for a meter of the size that would be required to supply, in aggregate, water as described in paragraph (b).</w:t>
      </w:r>
    </w:p>
    <w:p>
      <w:pPr>
        <w:pStyle w:val="Subsection"/>
        <w:spacing w:before="100"/>
        <w:rPr>
          <w:snapToGrid w:val="0"/>
        </w:rPr>
      </w:pPr>
      <w:r>
        <w:rPr>
          <w:snapToGrid w:val="0"/>
        </w:rPr>
        <w:tab/>
        <w:t>(4)</w:t>
      </w:r>
      <w:r>
        <w:rPr>
          <w:snapToGrid w:val="0"/>
        </w:rPr>
        <w:tab/>
        <w:t>Sub</w:t>
      </w:r>
      <w:r>
        <w:rPr>
          <w:snapToGrid w:val="0"/>
        </w:rPr>
        <w:noBreakHyphen/>
        <w:t>bylaw (3) does not apply where the meter required by the body holding the non</w:t>
      </w:r>
      <w:r>
        <w:rPr>
          <w:snapToGrid w:val="0"/>
        </w:rPr>
        <w:noBreakHyphen/>
        <w:t>commercial Government property for its water supply would be the same size whether or not it supplied water as described in sub</w:t>
      </w:r>
      <w:r>
        <w:rPr>
          <w:snapToGrid w:val="0"/>
        </w:rPr>
        <w:noBreakHyphen/>
        <w:t>bylaw (3)(b).</w:t>
      </w:r>
    </w:p>
    <w:p>
      <w:pPr>
        <w:pStyle w:val="Footnotesection"/>
      </w:pPr>
      <w:r>
        <w:tab/>
        <w:t>[By</w:t>
      </w:r>
      <w:r>
        <w:noBreakHyphen/>
        <w:t>law 8BA inserted in Gazette 1 May 1992 p. 1864; amended in Gazette 29 Jun 1994 p. 3172; 29 Dec 1995 p. 6331; 29 Jun 2001 p. 3189</w:t>
      </w:r>
      <w:r>
        <w:noBreakHyphen/>
        <w:t>90.]</w:t>
      </w:r>
    </w:p>
    <w:p>
      <w:pPr>
        <w:pStyle w:val="Ednotesection"/>
      </w:pPr>
      <w:r>
        <w:t>[</w:t>
      </w:r>
      <w:r>
        <w:rPr>
          <w:b/>
        </w:rPr>
        <w:t>8C.</w:t>
      </w:r>
      <w:r>
        <w:tab/>
        <w:t>Deleted in Gazette 30 Jun 1995 p. 2735.]</w:t>
      </w:r>
    </w:p>
    <w:p>
      <w:pPr>
        <w:pStyle w:val="Heading5"/>
        <w:rPr>
          <w:snapToGrid w:val="0"/>
        </w:rPr>
      </w:pPr>
      <w:bookmarkStart w:id="124" w:name="_Toc84427940"/>
      <w:bookmarkStart w:id="125" w:name="_Toc487428951"/>
      <w:bookmarkStart w:id="126" w:name="_Toc17278659"/>
      <w:bookmarkStart w:id="127" w:name="_Toc180204757"/>
      <w:bookmarkStart w:id="128" w:name="_Toc328471434"/>
      <w:r>
        <w:rPr>
          <w:rStyle w:val="CharSectno"/>
        </w:rPr>
        <w:t>9</w:t>
      </w:r>
      <w:r>
        <w:rPr>
          <w:snapToGrid w:val="0"/>
        </w:rPr>
        <w:t>.</w:t>
      </w:r>
      <w:r>
        <w:rPr>
          <w:snapToGrid w:val="0"/>
        </w:rPr>
        <w:tab/>
        <w:t>Interest on overdue amounts</w:t>
      </w:r>
      <w:bookmarkEnd w:id="124"/>
      <w:bookmarkEnd w:id="125"/>
      <w:bookmarkEnd w:id="126"/>
      <w:bookmarkEnd w:id="127"/>
      <w:bookmarkEnd w:id="128"/>
    </w:p>
    <w:p>
      <w:pPr>
        <w:pStyle w:val="Subsection"/>
        <w:rPr>
          <w:snapToGrid w:val="0"/>
        </w:rPr>
      </w:pPr>
      <w:r>
        <w:rPr>
          <w:snapToGrid w:val="0"/>
        </w:rPr>
        <w:tab/>
        <w:t>(1)</w:t>
      </w:r>
      <w:r>
        <w:rPr>
          <w:snapToGrid w:val="0"/>
        </w:rPr>
        <w:tab/>
        <w:t xml:space="preserve">For the purposes of section 41L, the time from which interest shall be calculated on overdue amounts is one day after the amount was due and payable, and interest shall be calculated at the rate set out in </w:t>
      </w:r>
      <w:r>
        <w:t xml:space="preserve">Schedule 7 item 5 </w:t>
      </w:r>
      <w:r>
        <w:rPr>
          <w:snapToGrid w:val="0"/>
        </w:rPr>
        <w:t>on a daily basis and becomes due and payable as if it were a charge to which by</w:t>
      </w:r>
      <w:r>
        <w:rPr>
          <w:snapToGrid w:val="0"/>
        </w:rPr>
        <w:noBreakHyphen/>
        <w:t>law 7 applies.</w:t>
      </w:r>
    </w:p>
    <w:p>
      <w:pPr>
        <w:pStyle w:val="Subsection"/>
        <w:rPr>
          <w:snapToGrid w:val="0"/>
        </w:rPr>
      </w:pPr>
      <w:r>
        <w:rPr>
          <w:snapToGrid w:val="0"/>
        </w:rPr>
        <w:tab/>
        <w:t>(2)</w:t>
      </w:r>
      <w:r>
        <w:rPr>
          <w:snapToGrid w:val="0"/>
        </w:rPr>
        <w:tab/>
        <w:t xml:space="preserve">For the purposes of section 100B of the </w:t>
      </w:r>
      <w:r>
        <w:rPr>
          <w:i/>
          <w:snapToGrid w:val="0"/>
        </w:rPr>
        <w:t>Land Drainage Act 1925</w:t>
      </w:r>
      <w:r>
        <w:rPr>
          <w:snapToGrid w:val="0"/>
        </w:rPr>
        <w:t xml:space="preserve">, the period after which interest is payable is prescribed to be one day and interest is prescribed to be payable at the rate set out in </w:t>
      </w:r>
      <w:r>
        <w:t xml:space="preserve">Schedule 7 item 5 </w:t>
      </w:r>
      <w:r>
        <w:rPr>
          <w:snapToGrid w:val="0"/>
        </w:rPr>
        <w:t>on a daily basis and becomes due and payable as if it were a charge to which by</w:t>
      </w:r>
      <w:r>
        <w:rPr>
          <w:snapToGrid w:val="0"/>
        </w:rPr>
        <w:noBreakHyphen/>
        <w:t>law 7 applies.</w:t>
      </w:r>
    </w:p>
    <w:p>
      <w:pPr>
        <w:pStyle w:val="Footnotesection"/>
      </w:pPr>
      <w:r>
        <w:tab/>
        <w:t>[By</w:t>
      </w:r>
      <w:r>
        <w:noBreakHyphen/>
        <w:t>law 9 amended in Gazette 26 Jun 1992 p. 2813; 24 Jul 1992 p. 3661; 9 Apr 1998 p. 2035; 29 Jun 2001 p. 3190.]</w:t>
      </w:r>
    </w:p>
    <w:p>
      <w:pPr>
        <w:pStyle w:val="Heading5"/>
        <w:rPr>
          <w:snapToGrid w:val="0"/>
        </w:rPr>
      </w:pPr>
      <w:bookmarkStart w:id="129" w:name="_Toc84427941"/>
      <w:bookmarkStart w:id="130" w:name="_Toc487428952"/>
      <w:bookmarkStart w:id="131" w:name="_Toc17278660"/>
      <w:bookmarkStart w:id="132" w:name="_Toc180204758"/>
      <w:bookmarkStart w:id="133" w:name="_Toc328471435"/>
      <w:r>
        <w:rPr>
          <w:rStyle w:val="CharSectno"/>
        </w:rPr>
        <w:t>9A</w:t>
      </w:r>
      <w:r>
        <w:rPr>
          <w:snapToGrid w:val="0"/>
        </w:rPr>
        <w:t>.</w:t>
      </w:r>
      <w:r>
        <w:rPr>
          <w:snapToGrid w:val="0"/>
        </w:rPr>
        <w:tab/>
        <w:t>Amounts rounded</w:t>
      </w:r>
      <w:bookmarkEnd w:id="129"/>
      <w:bookmarkEnd w:id="130"/>
      <w:bookmarkEnd w:id="131"/>
      <w:bookmarkEnd w:id="132"/>
      <w:bookmarkEnd w:id="133"/>
    </w:p>
    <w:p>
      <w:pPr>
        <w:pStyle w:val="Subsection"/>
        <w:keepNext/>
        <w:keepLines/>
        <w:rPr>
          <w:snapToGrid w:val="0"/>
        </w:rPr>
      </w:pPr>
      <w:r>
        <w:rPr>
          <w:snapToGrid w:val="0"/>
        </w:rPr>
        <w:tab/>
      </w:r>
      <w:r>
        <w:rPr>
          <w:snapToGrid w:val="0"/>
        </w:rPr>
        <w:tab/>
        <w:t>Where a fee or charge calculated in accordance with these by</w:t>
      </w:r>
      <w:r>
        <w:rPr>
          <w:snapToGrid w:val="0"/>
        </w:rPr>
        <w:noBreakHyphen/>
        <w:t>laws is an amount which is not a whole number multiple of 5 cents the amount shall be rounded up or down, as the case may be, to the nearest whole number multiple of 5 cents.</w:t>
      </w:r>
    </w:p>
    <w:p>
      <w:pPr>
        <w:pStyle w:val="Footnotesection"/>
      </w:pPr>
      <w:r>
        <w:tab/>
        <w:t>[By</w:t>
      </w:r>
      <w:r>
        <w:noBreakHyphen/>
        <w:t>law 9A inserted in Gazette 26 Jun 1992 p. 2813.]</w:t>
      </w:r>
    </w:p>
    <w:p>
      <w:pPr>
        <w:pStyle w:val="Heading5"/>
      </w:pPr>
      <w:bookmarkStart w:id="134" w:name="_Toc84427942"/>
      <w:bookmarkStart w:id="135" w:name="_Toc328471436"/>
      <w:bookmarkStart w:id="136" w:name="_Toc91580413"/>
      <w:bookmarkStart w:id="137" w:name="_Toc103667098"/>
      <w:bookmarkStart w:id="138" w:name="_Toc103741617"/>
      <w:bookmarkStart w:id="139" w:name="_Toc107981860"/>
      <w:bookmarkStart w:id="140" w:name="_Toc118800027"/>
      <w:bookmarkStart w:id="141" w:name="_Toc118860035"/>
      <w:bookmarkStart w:id="142" w:name="_Toc121545535"/>
      <w:bookmarkStart w:id="143" w:name="_Toc121801058"/>
      <w:bookmarkStart w:id="144" w:name="_Toc121818171"/>
      <w:bookmarkStart w:id="145" w:name="_Toc121880781"/>
      <w:bookmarkStart w:id="146" w:name="_Toc129481852"/>
      <w:bookmarkStart w:id="147" w:name="_Toc130095221"/>
      <w:bookmarkStart w:id="148" w:name="_Toc130273285"/>
      <w:bookmarkStart w:id="149" w:name="_Toc139770958"/>
      <w:bookmarkStart w:id="150" w:name="_Toc139771336"/>
      <w:bookmarkStart w:id="151" w:name="_Toc151191551"/>
      <w:bookmarkStart w:id="152" w:name="_Toc151260444"/>
      <w:bookmarkStart w:id="153" w:name="_Toc164158549"/>
      <w:bookmarkStart w:id="154" w:name="_Toc164220921"/>
      <w:bookmarkStart w:id="155" w:name="_Toc170878880"/>
      <w:bookmarkStart w:id="156" w:name="_Toc170894633"/>
      <w:bookmarkStart w:id="157" w:name="_Toc175712599"/>
      <w:bookmarkStart w:id="158" w:name="_Toc175970540"/>
      <w:bookmarkStart w:id="159" w:name="_Toc176335259"/>
      <w:bookmarkStart w:id="160" w:name="_Toc176338834"/>
      <w:bookmarkStart w:id="161" w:name="_Toc178742859"/>
      <w:bookmarkStart w:id="162" w:name="_Toc179363282"/>
      <w:bookmarkStart w:id="163" w:name="_Toc179604351"/>
      <w:bookmarkStart w:id="164" w:name="_Toc180204544"/>
      <w:bookmarkStart w:id="165" w:name="_Toc180204760"/>
      <w:bookmarkStart w:id="166" w:name="_Toc185844505"/>
      <w:bookmarkStart w:id="167" w:name="_Toc185845125"/>
      <w:bookmarkStart w:id="168" w:name="_Toc185927090"/>
      <w:bookmarkStart w:id="169" w:name="_Toc202505838"/>
      <w:bookmarkStart w:id="170" w:name="_Toc202672623"/>
      <w:bookmarkStart w:id="171" w:name="_Toc202691714"/>
      <w:bookmarkStart w:id="172" w:name="_Toc233448336"/>
      <w:bookmarkStart w:id="173" w:name="_Toc233611650"/>
      <w:bookmarkStart w:id="174" w:name="_Toc234730657"/>
      <w:bookmarkStart w:id="175" w:name="_Toc234733183"/>
      <w:bookmarkStart w:id="176" w:name="_Toc235863920"/>
      <w:bookmarkStart w:id="177" w:name="_Toc235933395"/>
      <w:bookmarkStart w:id="178" w:name="_Toc237164383"/>
      <w:bookmarkStart w:id="179" w:name="_Toc237244266"/>
      <w:bookmarkStart w:id="180" w:name="_Toc237245567"/>
      <w:bookmarkStart w:id="181" w:name="_Toc237245698"/>
      <w:bookmarkStart w:id="182" w:name="_Toc237247806"/>
      <w:bookmarkStart w:id="183" w:name="_Toc237254109"/>
      <w:bookmarkStart w:id="184" w:name="_Toc237309528"/>
      <w:r>
        <w:rPr>
          <w:rStyle w:val="CharSectno"/>
        </w:rPr>
        <w:t>9B</w:t>
      </w:r>
      <w:r>
        <w:t>.</w:t>
      </w:r>
      <w:r>
        <w:tab/>
        <w:t>Calculations, including maxima, for various GRV based charges</w:t>
      </w:r>
      <w:bookmarkEnd w:id="134"/>
      <w:bookmarkEnd w:id="135"/>
    </w:p>
    <w:p>
      <w:pPr>
        <w:pStyle w:val="Subsection"/>
      </w:pPr>
      <w:r>
        <w:tab/>
        <w:t>(1)</w:t>
      </w:r>
      <w:r>
        <w:tab/>
        <w:t>Where a charge that is determined by reference to the GRV of the relevant land under Schedule 3 item 8 or 10, or Schedule 4 item 5, for the current year, is more than 13.6% greater than the charge calculated for the same service (and under the same circumstances) in the previous year, the charge is only payable up to that 13.6% increase.</w:t>
      </w:r>
    </w:p>
    <w:p>
      <w:pPr>
        <w:pStyle w:val="Subsection"/>
      </w:pPr>
      <w:r>
        <w:tab/>
        <w:t>(2)</w:t>
      </w:r>
      <w:r>
        <w:tab/>
        <w:t>Where a charge that is determined by reference to the GRV of the relevant land under Schedule 4 item 3 or 4, for the current year, is more than $25.00 greater than the charge calculated for the same service (and under the same circumstances) in the previous year, the charge is only payable up to that $25.00 increase per residential unit in the case of residential land, or per lot in the case of vacant land.</w:t>
      </w:r>
    </w:p>
    <w:p>
      <w:pPr>
        <w:pStyle w:val="Subsection"/>
      </w:pPr>
      <w:r>
        <w:tab/>
        <w:t>(3)</w:t>
      </w:r>
      <w:r>
        <w:tab/>
        <w:t xml:space="preserve">Where, for a portion of the current year (the </w:t>
      </w:r>
      <w:r>
        <w:rPr>
          <w:rStyle w:val="CharDefText"/>
        </w:rPr>
        <w:t>part year</w:t>
      </w:r>
      <w:r>
        <w:t xml:space="preserve">), in respect of property subject to a charge that is determined by reference to the GRV of the relevant land under Schedule 3 item 8 or 10, or Schedule 4 item 3, 4 or 5, there is a change in the circumstances that affects the method of calculating the charge for that property, the charge payable for the part year is to be determined as follows — </w:t>
      </w:r>
    </w:p>
    <w:p>
      <w:pPr>
        <w:pStyle w:val="Indenta"/>
      </w:pPr>
      <w:r>
        <w:tab/>
        <w:t>(a)</w:t>
      </w:r>
      <w:r>
        <w:tab/>
        <w:t>the charge is to be determined for the whole of the current year on the basis of the changed circumstances;</w:t>
      </w:r>
    </w:p>
    <w:p>
      <w:pPr>
        <w:pStyle w:val="Indenta"/>
      </w:pPr>
      <w:r>
        <w:tab/>
        <w:t>(b)</w:t>
      </w:r>
      <w:r>
        <w:tab/>
        <w:t>the Corporation may estimate a notional charge for the previous year in respect of that property, being the charge that would have been payable for that year if the matters and circumstances currently prevailing had prevailed for the whole of that year;</w:t>
      </w:r>
    </w:p>
    <w:p>
      <w:pPr>
        <w:pStyle w:val="Indenta"/>
      </w:pPr>
      <w:r>
        <w:tab/>
        <w:t>(c)</w:t>
      </w:r>
      <w:r>
        <w:tab/>
        <w:t>the charge determined in accordance with paragraph (a) is to be limited (where relevant) in accordance with sub</w:t>
      </w:r>
      <w:r>
        <w:noBreakHyphen/>
        <w:t>bylaw (1) or (2) (whichever is relevant), using the notional charge estimated in accordance with paragraph (b);</w:t>
      </w:r>
    </w:p>
    <w:p>
      <w:pPr>
        <w:pStyle w:val="Indenta"/>
      </w:pPr>
      <w:r>
        <w:tab/>
        <w:t>(d)</w:t>
      </w:r>
      <w:r>
        <w:tab/>
        <w:t>the charge determined in accordance with paragraph (a) (as limited in accordance with paragraph (c) where relevant) is to be reduced by the same proportion that the part year bears to the whole of the current year.</w:t>
      </w:r>
    </w:p>
    <w:p>
      <w:pPr>
        <w:pStyle w:val="Footnotesection"/>
      </w:pPr>
      <w:r>
        <w:tab/>
        <w:t>[By-law 9B inserted in Gazette 25 Jun 2010 p. 2901</w:t>
      </w:r>
      <w:r>
        <w:noBreakHyphen/>
        <w:t>3; amended in Gazette 23 Jun 2011 p. 2417; 20 Jun 2012 p. 2697.]</w:t>
      </w:r>
    </w:p>
    <w:p>
      <w:pPr>
        <w:pStyle w:val="Heading2"/>
      </w:pPr>
      <w:bookmarkStart w:id="185" w:name="_Toc84427943"/>
      <w:bookmarkStart w:id="186" w:name="_Toc265743467"/>
      <w:bookmarkStart w:id="187" w:name="_Toc297540725"/>
      <w:bookmarkStart w:id="188" w:name="_Toc297541153"/>
      <w:bookmarkStart w:id="189" w:name="_Toc328403388"/>
      <w:bookmarkStart w:id="190" w:name="_Toc328471437"/>
      <w:r>
        <w:rPr>
          <w:rStyle w:val="CharPartNo"/>
        </w:rPr>
        <w:t>Part 2</w:t>
      </w:r>
      <w:r>
        <w:t> — </w:t>
      </w:r>
      <w:r>
        <w:rPr>
          <w:rStyle w:val="CharPartText"/>
        </w:rPr>
        <w:t>Water supply</w:t>
      </w:r>
      <w:bookmarkEnd w:id="18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6"/>
      <w:bookmarkEnd w:id="187"/>
      <w:bookmarkEnd w:id="188"/>
      <w:bookmarkEnd w:id="189"/>
      <w:bookmarkEnd w:id="190"/>
    </w:p>
    <w:p>
      <w:pPr>
        <w:pStyle w:val="Heading3"/>
        <w:rPr>
          <w:snapToGrid w:val="0"/>
          <w:spacing w:val="-4"/>
        </w:rPr>
      </w:pPr>
      <w:bookmarkStart w:id="191" w:name="_Toc84427944"/>
      <w:bookmarkStart w:id="192" w:name="_Toc91580414"/>
      <w:bookmarkStart w:id="193" w:name="_Toc103667099"/>
      <w:bookmarkStart w:id="194" w:name="_Toc103741618"/>
      <w:bookmarkStart w:id="195" w:name="_Toc107981861"/>
      <w:bookmarkStart w:id="196" w:name="_Toc118800028"/>
      <w:bookmarkStart w:id="197" w:name="_Toc118860036"/>
      <w:bookmarkStart w:id="198" w:name="_Toc121545536"/>
      <w:bookmarkStart w:id="199" w:name="_Toc121801059"/>
      <w:bookmarkStart w:id="200" w:name="_Toc121818172"/>
      <w:bookmarkStart w:id="201" w:name="_Toc121880782"/>
      <w:bookmarkStart w:id="202" w:name="_Toc129481853"/>
      <w:bookmarkStart w:id="203" w:name="_Toc130095222"/>
      <w:bookmarkStart w:id="204" w:name="_Toc130273286"/>
      <w:bookmarkStart w:id="205" w:name="_Toc139770959"/>
      <w:bookmarkStart w:id="206" w:name="_Toc139771337"/>
      <w:bookmarkStart w:id="207" w:name="_Toc151191552"/>
      <w:bookmarkStart w:id="208" w:name="_Toc151260445"/>
      <w:bookmarkStart w:id="209" w:name="_Toc164158550"/>
      <w:bookmarkStart w:id="210" w:name="_Toc164220922"/>
      <w:bookmarkStart w:id="211" w:name="_Toc170878881"/>
      <w:bookmarkStart w:id="212" w:name="_Toc170894634"/>
      <w:bookmarkStart w:id="213" w:name="_Toc175712600"/>
      <w:bookmarkStart w:id="214" w:name="_Toc175970541"/>
      <w:bookmarkStart w:id="215" w:name="_Toc176335260"/>
      <w:bookmarkStart w:id="216" w:name="_Toc176338835"/>
      <w:bookmarkStart w:id="217" w:name="_Toc178742860"/>
      <w:bookmarkStart w:id="218" w:name="_Toc179363283"/>
      <w:bookmarkStart w:id="219" w:name="_Toc179604352"/>
      <w:bookmarkStart w:id="220" w:name="_Toc180204545"/>
      <w:bookmarkStart w:id="221" w:name="_Toc180204761"/>
      <w:bookmarkStart w:id="222" w:name="_Toc185844506"/>
      <w:bookmarkStart w:id="223" w:name="_Toc185845126"/>
      <w:bookmarkStart w:id="224" w:name="_Toc185927091"/>
      <w:bookmarkStart w:id="225" w:name="_Toc202505839"/>
      <w:bookmarkStart w:id="226" w:name="_Toc202672624"/>
      <w:bookmarkStart w:id="227" w:name="_Toc202691715"/>
      <w:bookmarkStart w:id="228" w:name="_Toc233448337"/>
      <w:bookmarkStart w:id="229" w:name="_Toc233611651"/>
      <w:bookmarkStart w:id="230" w:name="_Toc234730658"/>
      <w:bookmarkStart w:id="231" w:name="_Toc234733184"/>
      <w:bookmarkStart w:id="232" w:name="_Toc235863921"/>
      <w:bookmarkStart w:id="233" w:name="_Toc235933396"/>
      <w:bookmarkStart w:id="234" w:name="_Toc237164384"/>
      <w:bookmarkStart w:id="235" w:name="_Toc237244267"/>
      <w:bookmarkStart w:id="236" w:name="_Toc237245568"/>
      <w:bookmarkStart w:id="237" w:name="_Toc237245699"/>
      <w:bookmarkStart w:id="238" w:name="_Toc237247807"/>
      <w:bookmarkStart w:id="239" w:name="_Toc237254110"/>
      <w:bookmarkStart w:id="240" w:name="_Toc237309529"/>
      <w:bookmarkStart w:id="241" w:name="_Toc265743468"/>
      <w:bookmarkStart w:id="242" w:name="_Toc297540726"/>
      <w:bookmarkStart w:id="243" w:name="_Toc297541154"/>
      <w:bookmarkStart w:id="244" w:name="_Toc328403389"/>
      <w:bookmarkStart w:id="245" w:name="_Toc328471438"/>
      <w:r>
        <w:rPr>
          <w:rStyle w:val="CharDivNo"/>
          <w:spacing w:val="-4"/>
        </w:rPr>
        <w:t>Division 1</w:t>
      </w:r>
      <w:r>
        <w:rPr>
          <w:snapToGrid w:val="0"/>
          <w:spacing w:val="-4"/>
        </w:rPr>
        <w:t> — </w:t>
      </w:r>
      <w:r>
        <w:rPr>
          <w:rStyle w:val="CharDivText"/>
          <w:spacing w:val="-4"/>
        </w:rPr>
        <w:t xml:space="preserve">Water supply other than under </w:t>
      </w:r>
      <w:r>
        <w:rPr>
          <w:rStyle w:val="CharDivText"/>
          <w:i/>
          <w:spacing w:val="-4"/>
        </w:rPr>
        <w:t>Rights in Water and Irrigation Act 1914</w:t>
      </w:r>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p>
    <w:p>
      <w:pPr>
        <w:pStyle w:val="Heading5"/>
        <w:rPr>
          <w:snapToGrid w:val="0"/>
        </w:rPr>
      </w:pPr>
      <w:bookmarkStart w:id="246" w:name="_Toc84427945"/>
      <w:bookmarkStart w:id="247" w:name="_Toc487428954"/>
      <w:bookmarkStart w:id="248" w:name="_Toc17278662"/>
      <w:bookmarkStart w:id="249" w:name="_Toc180204762"/>
      <w:bookmarkStart w:id="250" w:name="_Toc328471439"/>
      <w:r>
        <w:rPr>
          <w:rStyle w:val="CharSectno"/>
        </w:rPr>
        <w:t>10</w:t>
      </w:r>
      <w:r>
        <w:rPr>
          <w:snapToGrid w:val="0"/>
        </w:rPr>
        <w:t>.</w:t>
      </w:r>
      <w:r>
        <w:rPr>
          <w:snapToGrid w:val="0"/>
        </w:rPr>
        <w:tab/>
        <w:t>Certain matters to be disregarded</w:t>
      </w:r>
      <w:bookmarkEnd w:id="246"/>
      <w:bookmarkEnd w:id="247"/>
      <w:bookmarkEnd w:id="248"/>
      <w:bookmarkEnd w:id="249"/>
      <w:bookmarkEnd w:id="250"/>
    </w:p>
    <w:p>
      <w:pPr>
        <w:pStyle w:val="Subsection"/>
        <w:rPr>
          <w:snapToGrid w:val="0"/>
        </w:rPr>
      </w:pPr>
      <w:r>
        <w:rPr>
          <w:snapToGrid w:val="0"/>
        </w:rPr>
        <w:tab/>
      </w:r>
      <w:r>
        <w:rPr>
          <w:snapToGrid w:val="0"/>
        </w:rPr>
        <w:tab/>
        <w:t xml:space="preserve">For the purposes of applying this Division and Schedule 1 the supply of water, or any other thing done or provided, under the </w:t>
      </w:r>
      <w:r>
        <w:rPr>
          <w:i/>
          <w:snapToGrid w:val="0"/>
        </w:rPr>
        <w:t>Rights in Water and Irrigation Act 1914</w:t>
      </w:r>
      <w:r>
        <w:rPr>
          <w:snapToGrid w:val="0"/>
        </w:rPr>
        <w:t>, or the fact that land is capable of being supplied with water under that Act, shall be disregarded.</w:t>
      </w:r>
    </w:p>
    <w:p>
      <w:pPr>
        <w:pStyle w:val="Footnotesection"/>
      </w:pPr>
      <w:r>
        <w:tab/>
        <w:t>[By</w:t>
      </w:r>
      <w:r>
        <w:noBreakHyphen/>
        <w:t>law 10 amended in Gazette 29 Jun 1999 p. 2791; 29 Jun 2001 p. 3190.]</w:t>
      </w:r>
    </w:p>
    <w:p>
      <w:pPr>
        <w:pStyle w:val="Heading5"/>
        <w:rPr>
          <w:snapToGrid w:val="0"/>
        </w:rPr>
      </w:pPr>
      <w:bookmarkStart w:id="251" w:name="_Toc84427946"/>
      <w:bookmarkStart w:id="252" w:name="_Toc487428955"/>
      <w:bookmarkStart w:id="253" w:name="_Toc17278663"/>
      <w:bookmarkStart w:id="254" w:name="_Toc180204763"/>
      <w:bookmarkStart w:id="255" w:name="_Toc328471440"/>
      <w:r>
        <w:rPr>
          <w:rStyle w:val="CharSectno"/>
        </w:rPr>
        <w:t>11</w:t>
      </w:r>
      <w:r>
        <w:rPr>
          <w:snapToGrid w:val="0"/>
        </w:rPr>
        <w:t>.</w:t>
      </w:r>
      <w:r>
        <w:rPr>
          <w:snapToGrid w:val="0"/>
        </w:rPr>
        <w:tab/>
        <w:t>Land subject to water supply charges under this Division</w:t>
      </w:r>
      <w:bookmarkEnd w:id="251"/>
      <w:bookmarkEnd w:id="252"/>
      <w:bookmarkEnd w:id="253"/>
      <w:bookmarkEnd w:id="254"/>
      <w:bookmarkEnd w:id="255"/>
    </w:p>
    <w:p>
      <w:pPr>
        <w:pStyle w:val="Subsection"/>
        <w:rPr>
          <w:snapToGrid w:val="0"/>
        </w:rPr>
      </w:pPr>
      <w:r>
        <w:rPr>
          <w:snapToGrid w:val="0"/>
        </w:rPr>
        <w:tab/>
      </w:r>
      <w:r>
        <w:rPr>
          <w:snapToGrid w:val="0"/>
        </w:rPr>
        <w:tab/>
        <w:t xml:space="preserve">Land that is actually supplied or, although not actually supplied, is in the opinion of the Corporation reasonably capable of being supplied with water by the Corporation shall be taken, in accordance with section 41(1)(b) of the </w:t>
      </w:r>
      <w:r>
        <w:rPr>
          <w:i/>
          <w:snapToGrid w:val="0"/>
        </w:rPr>
        <w:t>Water Agencies (Powers) Act 1984</w:t>
      </w:r>
      <w:r>
        <w:rPr>
          <w:snapToGrid w:val="0"/>
        </w:rPr>
        <w:t>, to be land in respect of which the Corporation provides water supply and, subject to by</w:t>
      </w:r>
      <w:r>
        <w:rPr>
          <w:snapToGrid w:val="0"/>
        </w:rPr>
        <w:noBreakHyphen/>
        <w:t>law 12, charges as set out in Schedule 1 shall apply in respect of that land.</w:t>
      </w:r>
    </w:p>
    <w:p>
      <w:pPr>
        <w:pStyle w:val="Footnotesection"/>
      </w:pPr>
      <w:r>
        <w:tab/>
        <w:t>[By</w:t>
      </w:r>
      <w:r>
        <w:noBreakHyphen/>
        <w:t>law 11 amended in Gazette 29 Dec 1995 p. 6331</w:t>
      </w:r>
      <w:r>
        <w:noBreakHyphen/>
        <w:t>2; 29 Jun 1999 p. 2791; 29 Jun 2001 p. 3190.]</w:t>
      </w:r>
    </w:p>
    <w:p>
      <w:pPr>
        <w:pStyle w:val="Heading5"/>
        <w:rPr>
          <w:snapToGrid w:val="0"/>
        </w:rPr>
      </w:pPr>
      <w:bookmarkStart w:id="256" w:name="_Toc84427947"/>
      <w:bookmarkStart w:id="257" w:name="_Toc487428956"/>
      <w:bookmarkStart w:id="258" w:name="_Toc17278664"/>
      <w:bookmarkStart w:id="259" w:name="_Toc180204764"/>
      <w:bookmarkStart w:id="260" w:name="_Toc328471441"/>
      <w:r>
        <w:rPr>
          <w:rStyle w:val="CharSectno"/>
        </w:rPr>
        <w:t>12</w:t>
      </w:r>
      <w:r>
        <w:rPr>
          <w:snapToGrid w:val="0"/>
        </w:rPr>
        <w:t>.</w:t>
      </w:r>
      <w:r>
        <w:rPr>
          <w:snapToGrid w:val="0"/>
        </w:rPr>
        <w:tab/>
        <w:t>Exempt land</w:t>
      </w:r>
      <w:bookmarkEnd w:id="256"/>
      <w:bookmarkEnd w:id="257"/>
      <w:bookmarkEnd w:id="258"/>
      <w:bookmarkEnd w:id="259"/>
      <w:bookmarkEnd w:id="260"/>
    </w:p>
    <w:p>
      <w:pPr>
        <w:pStyle w:val="Subsection"/>
        <w:rPr>
          <w:snapToGrid w:val="0"/>
        </w:rPr>
      </w:pPr>
      <w:r>
        <w:rPr>
          <w:snapToGrid w:val="0"/>
        </w:rPr>
        <w:tab/>
        <w:t>(1)</w:t>
      </w:r>
      <w:r>
        <w:rPr>
          <w:snapToGrid w:val="0"/>
        </w:rPr>
        <w:tab/>
        <w:t>In this by</w:t>
      </w:r>
      <w:r>
        <w:rPr>
          <w:snapToGrid w:val="0"/>
        </w:rPr>
        <w:noBreakHyphen/>
        <w:t>law —</w:t>
      </w:r>
    </w:p>
    <w:p>
      <w:pPr>
        <w:pStyle w:val="Defstart"/>
      </w:pPr>
      <w:r>
        <w:rPr>
          <w:b/>
        </w:rPr>
        <w:tab/>
      </w:r>
      <w:r>
        <w:rPr>
          <w:rStyle w:val="CharDefText"/>
        </w:rPr>
        <w:t>water supply connection</w:t>
      </w:r>
      <w:r>
        <w:t xml:space="preserve"> does not include a local government standpipe.</w:t>
      </w:r>
    </w:p>
    <w:p>
      <w:pPr>
        <w:pStyle w:val="Subsection"/>
        <w:rPr>
          <w:snapToGrid w:val="0"/>
        </w:rPr>
      </w:pPr>
      <w:r>
        <w:rPr>
          <w:snapToGrid w:val="0"/>
        </w:rPr>
        <w:tab/>
        <w:t>(2)</w:t>
      </w:r>
      <w:r>
        <w:rPr>
          <w:snapToGrid w:val="0"/>
        </w:rPr>
        <w:tab/>
        <w:t>Where —</w:t>
      </w:r>
    </w:p>
    <w:p>
      <w:pPr>
        <w:pStyle w:val="Indenta"/>
        <w:rPr>
          <w:snapToGrid w:val="0"/>
        </w:rPr>
      </w:pPr>
      <w:r>
        <w:rPr>
          <w:snapToGrid w:val="0"/>
        </w:rPr>
        <w:tab/>
        <w:t>(a)</w:t>
      </w:r>
      <w:r>
        <w:rPr>
          <w:snapToGrid w:val="0"/>
        </w:rPr>
        <w:tab/>
        <w:t>land described in by</w:t>
      </w:r>
      <w:r>
        <w:rPr>
          <w:snapToGrid w:val="0"/>
        </w:rPr>
        <w:noBreakHyphen/>
        <w:t>law 4; or</w:t>
      </w:r>
    </w:p>
    <w:p>
      <w:pPr>
        <w:pStyle w:val="Indenta"/>
        <w:rPr>
          <w:snapToGrid w:val="0"/>
        </w:rPr>
      </w:pPr>
      <w:r>
        <w:rPr>
          <w:snapToGrid w:val="0"/>
        </w:rPr>
        <w:tab/>
        <w:t>(b)</w:t>
      </w:r>
      <w:r>
        <w:rPr>
          <w:snapToGrid w:val="0"/>
        </w:rPr>
        <w:tab/>
        <w:t xml:space="preserve">land that is not classified </w:t>
      </w:r>
      <w:r>
        <w:t>capital infrastructure</w:t>
      </w:r>
      <w:r>
        <w:rPr>
          <w:snapToGrid w:val="0"/>
        </w:rPr>
        <w:t xml:space="preserve"> but is reasonably capable of being supplied by the Corporation with water from works provided in relation to land that is so classified,</w:t>
      </w:r>
    </w:p>
    <w:p>
      <w:pPr>
        <w:pStyle w:val="Subsection"/>
        <w:rPr>
          <w:snapToGrid w:val="0"/>
        </w:rPr>
      </w:pPr>
      <w:r>
        <w:rPr>
          <w:snapToGrid w:val="0"/>
        </w:rPr>
        <w:tab/>
      </w:r>
      <w:r>
        <w:rPr>
          <w:snapToGrid w:val="0"/>
        </w:rPr>
        <w:tab/>
        <w:t>is not provided with a water supply connection, the land is exempt from any charge set out in Schedule 1</w:t>
      </w:r>
      <w:r>
        <w:t xml:space="preserve"> to the extent set out in that Schedule</w:t>
      </w:r>
      <w:r>
        <w:rPr>
          <w:snapToGrid w:val="0"/>
        </w:rPr>
        <w:t xml:space="preserve"> other than a charge specifically provided in respect of local government standpipes.</w:t>
      </w:r>
    </w:p>
    <w:p>
      <w:pPr>
        <w:pStyle w:val="Footnotesection"/>
      </w:pPr>
      <w:r>
        <w:tab/>
        <w:t>[By</w:t>
      </w:r>
      <w:r>
        <w:noBreakHyphen/>
        <w:t>law 12 inserted in Gazette 13 May 1997 p. 2352; amended in Gazette 29 Jun 1999 p. 2791; 29 Jun 2001 p. 3190; 29 Jun 2007 p. 3246; 20 Jun 2012 p. 2697.]</w:t>
      </w:r>
    </w:p>
    <w:p>
      <w:pPr>
        <w:pStyle w:val="Heading5"/>
      </w:pPr>
      <w:bookmarkStart w:id="261" w:name="_Toc84427948"/>
      <w:bookmarkStart w:id="262" w:name="_Toc180204765"/>
      <w:bookmarkStart w:id="263" w:name="_Toc328471442"/>
      <w:r>
        <w:rPr>
          <w:rStyle w:val="CharSectno"/>
        </w:rPr>
        <w:t>13</w:t>
      </w:r>
      <w:r>
        <w:t>.</w:t>
      </w:r>
      <w:r>
        <w:tab/>
        <w:t>Classification of land</w:t>
      </w:r>
      <w:bookmarkEnd w:id="261"/>
      <w:bookmarkEnd w:id="262"/>
      <w:bookmarkEnd w:id="263"/>
    </w:p>
    <w:p>
      <w:pPr>
        <w:pStyle w:val="Subsection"/>
      </w:pPr>
      <w:r>
        <w:tab/>
        <w:t>(1)</w:t>
      </w:r>
      <w:r>
        <w:tab/>
        <w:t>For the purposes of this Division, land may, irrespective of any other classification under these by</w:t>
      </w:r>
      <w:r>
        <w:noBreakHyphen/>
        <w:t xml:space="preserve">laws, be classified by the Corporation as follows — </w:t>
      </w:r>
    </w:p>
    <w:p>
      <w:pPr>
        <w:pStyle w:val="Indenta"/>
      </w:pPr>
      <w:r>
        <w:tab/>
        <w:t>(a)</w:t>
      </w:r>
      <w:r>
        <w:tab/>
        <w:t xml:space="preserve">residential, if the land — </w:t>
      </w:r>
    </w:p>
    <w:p>
      <w:pPr>
        <w:pStyle w:val="Indenti"/>
      </w:pPr>
      <w:r>
        <w:tab/>
        <w:t>(i)</w:t>
      </w:r>
      <w:r>
        <w:tab/>
        <w:t>is used wholly or primarily for the purpose of providing the owner or occupier of the land with a residence for himself, his family or servants, or any of them; and</w:t>
      </w:r>
    </w:p>
    <w:p>
      <w:pPr>
        <w:pStyle w:val="Indenti"/>
      </w:pPr>
      <w:r>
        <w:tab/>
        <w:t>(ii)</w:t>
      </w:r>
      <w:r>
        <w:tab/>
        <w:t>in the opinion of the Corporation, is not used in whole or in part for the purpose of providing holiday accommodation;</w:t>
      </w:r>
    </w:p>
    <w:p>
      <w:pPr>
        <w:pStyle w:val="Indenta"/>
      </w:pPr>
      <w:r>
        <w:tab/>
        <w:t>(b)</w:t>
      </w:r>
      <w:r>
        <w:tab/>
        <w:t>commercial residential, if the land, although not used wholly or primarily for the purpose mentioned in paragraph (a), is used for the purpose while also being used for the purpose of a shop, workshop, office, bakery, surgery or another business purpose;</w:t>
      </w:r>
    </w:p>
    <w:p>
      <w:pPr>
        <w:pStyle w:val="Indenta"/>
      </w:pPr>
      <w:r>
        <w:tab/>
        <w:t>(c)</w:t>
      </w:r>
      <w:r>
        <w:tab/>
        <w:t xml:space="preserve">semi-rural residential, if the land is in the metropolitan area and — </w:t>
      </w:r>
    </w:p>
    <w:p>
      <w:pPr>
        <w:pStyle w:val="Indenti"/>
      </w:pPr>
      <w:r>
        <w:tab/>
        <w:t>(i)</w:t>
      </w:r>
      <w:r>
        <w:tab/>
        <w:t>although not used primarily for the purpose mentioned in paragraph (a), is used for that purpose; and</w:t>
      </w:r>
    </w:p>
    <w:p>
      <w:pPr>
        <w:pStyle w:val="Indenti"/>
      </w:pPr>
      <w:r>
        <w:tab/>
        <w:t>(ii)</w:t>
      </w:r>
      <w:r>
        <w:tab/>
        <w:t>is also used for the purpose of primary production (which includes use for the purpose of a farm, market garden, kennel, plant nursery, orchard, stable, vineyard or other similar purpose),</w:t>
      </w:r>
    </w:p>
    <w:p>
      <w:pPr>
        <w:pStyle w:val="Indenta"/>
      </w:pPr>
      <w:r>
        <w:tab/>
      </w:r>
      <w:r>
        <w:tab/>
        <w:t>and water is used on the land wholly or primarily for the purpose mentioned in paragraph (a);</w:t>
      </w:r>
    </w:p>
    <w:p>
      <w:pPr>
        <w:pStyle w:val="Indenta"/>
      </w:pPr>
      <w:r>
        <w:tab/>
        <w:t>(d)</w:t>
      </w:r>
      <w:r>
        <w:tab/>
        <w:t>non</w:t>
      </w:r>
      <w:r>
        <w:noBreakHyphen/>
        <w:t>residential, if the land is used for business, professional, holiday accommodation, manufacturing, processing or other commercial processes that are not the subject of another class prescribed in this by</w:t>
      </w:r>
      <w:r>
        <w:noBreakHyphen/>
        <w:t>law;</w:t>
      </w:r>
    </w:p>
    <w:p>
      <w:pPr>
        <w:pStyle w:val="Indenta"/>
      </w:pPr>
      <w:r>
        <w:tab/>
        <w:t>(e)</w:t>
      </w:r>
      <w:r>
        <w:tab/>
        <w:t>vacant land, if there is no building on the land and it is not appropriate to otherwise classify the land under this by</w:t>
      </w:r>
      <w:r>
        <w:noBreakHyphen/>
        <w:t>law;</w:t>
      </w:r>
    </w:p>
    <w:p>
      <w:pPr>
        <w:pStyle w:val="Indenta"/>
      </w:pPr>
      <w:r>
        <w:tab/>
        <w:t>(f)</w:t>
      </w:r>
      <w:r>
        <w:tab/>
        <w:t xml:space="preserve">farmland, if the land comes within the definition of </w:t>
      </w:r>
      <w:r>
        <w:rPr>
          <w:b/>
          <w:bCs/>
          <w:i/>
          <w:iCs/>
        </w:rPr>
        <w:t>farm land</w:t>
      </w:r>
      <w:r>
        <w:t xml:space="preserve"> in the </w:t>
      </w:r>
      <w:r>
        <w:rPr>
          <w:i/>
          <w:iCs/>
        </w:rPr>
        <w:t>Country Areas Water Supply Act 1947</w:t>
      </w:r>
      <w:r>
        <w:t xml:space="preserve"> section 5(1) and is within 2.5 kilometres of a main or other pipe from which the Corporation is prepared to supply water to the land;</w:t>
      </w:r>
    </w:p>
    <w:p>
      <w:pPr>
        <w:pStyle w:val="Ednotepara"/>
      </w:pPr>
      <w:r>
        <w:tab/>
        <w:t>[(g)</w:t>
      </w:r>
      <w:r>
        <w:tab/>
        <w:t>deleted]</w:t>
      </w:r>
    </w:p>
    <w:p>
      <w:pPr>
        <w:pStyle w:val="Indenta"/>
      </w:pPr>
      <w:r>
        <w:tab/>
        <w:t>(h)</w:t>
      </w:r>
      <w:r>
        <w:tab/>
        <w:t>local government, if the land is not in the metropolitan area and is used by a local government for business, professional, commercial or office purposes, or as a power station, and the classification of the land is not otherwise specifically provided for in this by</w:t>
      </w:r>
      <w:r>
        <w:noBreakHyphen/>
        <w:t>law;</w:t>
      </w:r>
    </w:p>
    <w:p>
      <w:pPr>
        <w:pStyle w:val="Indenta"/>
      </w:pPr>
      <w:r>
        <w:tab/>
        <w:t>(i)</w:t>
      </w:r>
      <w:r>
        <w:tab/>
        <w:t>mining, if the land is not in the metropolitan area and is used for the purposes of mining;</w:t>
      </w:r>
    </w:p>
    <w:p>
      <w:pPr>
        <w:pStyle w:val="Indenta"/>
      </w:pPr>
      <w:r>
        <w:tab/>
        <w:t>(j)</w:t>
      </w:r>
      <w:r>
        <w:tab/>
        <w:t>institutional public, if the land is not in the metropolitan area and is used for such club, institutional or public purpose as the Corporation approves, not being a purpose otherwise specifically provided for in this by</w:t>
      </w:r>
      <w:r>
        <w:noBreakHyphen/>
        <w:t>law;</w:t>
      </w:r>
    </w:p>
    <w:p>
      <w:pPr>
        <w:pStyle w:val="Indenta"/>
      </w:pPr>
      <w:r>
        <w:tab/>
        <w:t>(k)</w:t>
      </w:r>
      <w:r>
        <w:tab/>
        <w:t>community residential, if the land is occupied as a communal property on which several family units dwell at the same time and is managed by the persons dwelling on the land or a committee of them;</w:t>
      </w:r>
    </w:p>
    <w:p>
      <w:pPr>
        <w:pStyle w:val="Indenta"/>
      </w:pPr>
      <w:r>
        <w:tab/>
        <w:t>(l)</w:t>
      </w:r>
      <w:r>
        <w:tab/>
        <w:t>charitable purposes, if, in the opinion of the Corporation, the land is used for the purpose of —</w:t>
      </w:r>
    </w:p>
    <w:p>
      <w:pPr>
        <w:pStyle w:val="Indenti"/>
      </w:pPr>
      <w:r>
        <w:tab/>
        <w:t>(i)</w:t>
      </w:r>
      <w:r>
        <w:tab/>
        <w:t>providing relief or assistance to sick, aged, disadvantaged, unemployed or young persons; or</w:t>
      </w:r>
    </w:p>
    <w:p>
      <w:pPr>
        <w:pStyle w:val="Indenti"/>
      </w:pPr>
      <w:r>
        <w:tab/>
        <w:t>(ii)</w:t>
      </w:r>
      <w:r>
        <w:tab/>
        <w:t>conducting other activities for the benefit of the public or in the interests of social welfare,</w:t>
      </w:r>
    </w:p>
    <w:p>
      <w:pPr>
        <w:pStyle w:val="Indenta"/>
      </w:pPr>
      <w:r>
        <w:tab/>
      </w:r>
      <w:r>
        <w:tab/>
        <w:t>by a private organisation that is not operated for the purpose of profit or gain to individual members, shareholders or owners;</w:t>
      </w:r>
    </w:p>
    <w:p>
      <w:pPr>
        <w:pStyle w:val="Indenta"/>
      </w:pPr>
      <w:r>
        <w:tab/>
        <w:t>(m)</w:t>
      </w:r>
      <w:r>
        <w:tab/>
        <w:t>aged home, if the land is in the metropolitan area and the classification of the land is not otherwise specifically provided for in this by</w:t>
      </w:r>
      <w:r>
        <w:noBreakHyphen/>
        <w:t>law.</w:t>
      </w:r>
    </w:p>
    <w:p>
      <w:pPr>
        <w:pStyle w:val="Subsection"/>
      </w:pPr>
      <w:r>
        <w:tab/>
        <w:t>(2A)</w:t>
      </w:r>
      <w:r>
        <w:tab/>
        <w:t>For the purposes of this Division, land described in by</w:t>
      </w:r>
      <w:r>
        <w:noBreakHyphen/>
        <w:t xml:space="preserve">law 4 that is — </w:t>
      </w:r>
    </w:p>
    <w:p>
      <w:pPr>
        <w:pStyle w:val="Indenta"/>
      </w:pPr>
      <w:r>
        <w:tab/>
        <w:t>(a)</w:t>
      </w:r>
      <w:r>
        <w:tab/>
        <w:t xml:space="preserve">provided with a water supply connection; and </w:t>
      </w:r>
    </w:p>
    <w:p>
      <w:pPr>
        <w:pStyle w:val="Indenta"/>
      </w:pPr>
      <w:r>
        <w:tab/>
        <w:t>(b)</w:t>
      </w:r>
      <w:r>
        <w:tab/>
        <w:t>not otherwise classified under sub</w:t>
      </w:r>
      <w:r>
        <w:noBreakHyphen/>
        <w:t xml:space="preserve">bylaw (1), </w:t>
      </w:r>
    </w:p>
    <w:p>
      <w:pPr>
        <w:pStyle w:val="Subsection"/>
      </w:pPr>
      <w:r>
        <w:tab/>
      </w:r>
      <w:r>
        <w:tab/>
        <w:t>is classified as community purpose irrespective of any other classification under these by</w:t>
      </w:r>
      <w:r>
        <w:noBreakHyphen/>
        <w:t>laws.</w:t>
      </w:r>
    </w:p>
    <w:p>
      <w:pPr>
        <w:pStyle w:val="Subsection"/>
      </w:pPr>
      <w:r>
        <w:tab/>
        <w:t>(2)</w:t>
      </w:r>
      <w:r>
        <w:tab/>
        <w:t>If land satisfies the criteria set out in sub</w:t>
      </w:r>
      <w:r>
        <w:noBreakHyphen/>
        <w:t>bylaw (1)(a), the land may be classified as residential, notwithstanding that it may also satisfy the criteria set out in sub</w:t>
      </w:r>
      <w:r>
        <w:noBreakHyphen/>
        <w:t>bylaw (1)(l).</w:t>
      </w:r>
    </w:p>
    <w:p>
      <w:pPr>
        <w:pStyle w:val="Subsection"/>
      </w:pPr>
      <w:r>
        <w:tab/>
        <w:t>(3)</w:t>
      </w:r>
      <w:r>
        <w:tab/>
        <w:t>For the purposes of this Division, land may, irrespective of any other classification under sub</w:t>
      </w:r>
      <w:r>
        <w:noBreakHyphen/>
        <w:t>bylaw (1), be classified by the Corporation as capital infrastructure if —</w:t>
      </w:r>
    </w:p>
    <w:p>
      <w:pPr>
        <w:pStyle w:val="Indenta"/>
      </w:pPr>
      <w:r>
        <w:tab/>
        <w:t>(a)</w:t>
      </w:r>
      <w:r>
        <w:tab/>
        <w:t>the Corporation determines that the land is in an area specified in Column 1 of the Table to Schedule 1 item 36; and</w:t>
      </w:r>
    </w:p>
    <w:p>
      <w:pPr>
        <w:pStyle w:val="Indenta"/>
      </w:pPr>
      <w:r>
        <w:tab/>
        <w:t>(b)</w:t>
      </w:r>
      <w:r>
        <w:tab/>
        <w:t>the Corporation provides or is to provide works to ensure the supply of water to the land.</w:t>
      </w:r>
    </w:p>
    <w:p>
      <w:pPr>
        <w:pStyle w:val="Footnotesection"/>
      </w:pPr>
      <w:r>
        <w:tab/>
        <w:t>[By</w:t>
      </w:r>
      <w:r>
        <w:noBreakHyphen/>
        <w:t>law 13 inserted in Gazette 29 Jun 2007 p. 3247</w:t>
      </w:r>
      <w:r>
        <w:noBreakHyphen/>
        <w:t>8; amended in Gazette 19 Jun 2009 p. 2322; 25 Jun 2010 p. 2903; 20 Jun 2012 p. 2697</w:t>
      </w:r>
      <w:r>
        <w:noBreakHyphen/>
        <w:t xml:space="preserve">8.] </w:t>
      </w:r>
    </w:p>
    <w:p>
      <w:pPr>
        <w:pStyle w:val="Ednotesection"/>
      </w:pPr>
      <w:r>
        <w:t>[</w:t>
      </w:r>
      <w:r>
        <w:rPr>
          <w:b/>
        </w:rPr>
        <w:t>13A.</w:t>
      </w:r>
      <w:r>
        <w:tab/>
        <w:t>Deleted in Gazette 29 Jun 1988 p. 2113.]</w:t>
      </w:r>
    </w:p>
    <w:p>
      <w:pPr>
        <w:pStyle w:val="Heading5"/>
        <w:rPr>
          <w:snapToGrid w:val="0"/>
        </w:rPr>
      </w:pPr>
      <w:bookmarkStart w:id="264" w:name="_Toc84427949"/>
      <w:bookmarkStart w:id="265" w:name="_Toc487428958"/>
      <w:bookmarkStart w:id="266" w:name="_Toc17278666"/>
      <w:bookmarkStart w:id="267" w:name="_Toc180204766"/>
      <w:bookmarkStart w:id="268" w:name="_Toc328471443"/>
      <w:r>
        <w:rPr>
          <w:rStyle w:val="CharSectno"/>
        </w:rPr>
        <w:t>14</w:t>
      </w:r>
      <w:r>
        <w:rPr>
          <w:snapToGrid w:val="0"/>
        </w:rPr>
        <w:t>.</w:t>
      </w:r>
      <w:r>
        <w:rPr>
          <w:snapToGrid w:val="0"/>
        </w:rPr>
        <w:tab/>
        <w:t>Indexation of certain valuations</w:t>
      </w:r>
      <w:bookmarkEnd w:id="264"/>
      <w:bookmarkEnd w:id="265"/>
      <w:bookmarkEnd w:id="266"/>
      <w:bookmarkEnd w:id="267"/>
      <w:bookmarkEnd w:id="268"/>
    </w:p>
    <w:p>
      <w:pPr>
        <w:pStyle w:val="Subsection"/>
        <w:rPr>
          <w:snapToGrid w:val="0"/>
        </w:rPr>
      </w:pPr>
      <w:r>
        <w:rPr>
          <w:snapToGrid w:val="0"/>
        </w:rPr>
        <w:tab/>
        <w:t>(1)</w:t>
      </w:r>
      <w:r>
        <w:rPr>
          <w:snapToGrid w:val="0"/>
        </w:rPr>
        <w:tab/>
        <w:t>This by</w:t>
      </w:r>
      <w:r>
        <w:rPr>
          <w:snapToGrid w:val="0"/>
        </w:rPr>
        <w:noBreakHyphen/>
        <w:t xml:space="preserve">law does not apply to the assessment of a charge in respect of land if a value was assigned to the land pursuant to a general valuation under the </w:t>
      </w:r>
      <w:r>
        <w:rPr>
          <w:i/>
          <w:snapToGrid w:val="0"/>
        </w:rPr>
        <w:t>Valuation of Land Act 1978</w:t>
      </w:r>
      <w:r>
        <w:rPr>
          <w:snapToGrid w:val="0"/>
        </w:rPr>
        <w:t xml:space="preserve"> that was expressed by a notice under section 21 or 22 of that Act to come into force and came into force for the purposes of this Act, at the commencement of the period for which the charge is to be imposed.</w:t>
      </w:r>
    </w:p>
    <w:p>
      <w:pPr>
        <w:pStyle w:val="Subsection"/>
        <w:rPr>
          <w:snapToGrid w:val="0"/>
        </w:rPr>
      </w:pPr>
      <w:r>
        <w:rPr>
          <w:snapToGrid w:val="0"/>
        </w:rPr>
        <w:tab/>
        <w:t>(2)</w:t>
      </w:r>
      <w:r>
        <w:rPr>
          <w:snapToGrid w:val="0"/>
        </w:rPr>
        <w:tab/>
        <w:t xml:space="preserve">Where a charge in relation to the supply of water under the </w:t>
      </w:r>
      <w:r>
        <w:rPr>
          <w:i/>
          <w:snapToGrid w:val="0"/>
        </w:rPr>
        <w:t>Country Areas Water Supply Act 1947</w:t>
      </w:r>
      <w:r>
        <w:rPr>
          <w:snapToGrid w:val="0"/>
        </w:rPr>
        <w:t xml:space="preserve"> is to be assessed in respect of land by reference to GRV, the GRV for the purposes of assessing that charge shall be an adjusted GRV (</w:t>
      </w:r>
      <w:r>
        <w:rPr>
          <w:rStyle w:val="CharDefText"/>
        </w:rPr>
        <w:t>AGRV</w:t>
      </w:r>
      <w:r>
        <w:rPr>
          <w:snapToGrid w:val="0"/>
        </w:rPr>
        <w:t>) calculated in accordance with the formula in Schedule 6.</w:t>
      </w:r>
    </w:p>
    <w:p>
      <w:pPr>
        <w:pStyle w:val="Footnotesection"/>
      </w:pPr>
      <w:r>
        <w:tab/>
        <w:t>[By</w:t>
      </w:r>
      <w:r>
        <w:noBreakHyphen/>
        <w:t>law 14 amended in Gazette 29 Jun 1999 p. 2791; 29 Jun 2001 p. 3190.]</w:t>
      </w:r>
    </w:p>
    <w:p>
      <w:pPr>
        <w:pStyle w:val="Ednotesection"/>
      </w:pPr>
      <w:r>
        <w:t>[</w:t>
      </w:r>
      <w:r>
        <w:rPr>
          <w:b/>
        </w:rPr>
        <w:t>15.</w:t>
      </w:r>
      <w:r>
        <w:tab/>
        <w:t>Deleted in Gazette 1 Jul 2002 p. 3156.]</w:t>
      </w:r>
    </w:p>
    <w:p>
      <w:pPr>
        <w:pStyle w:val="Heading5"/>
        <w:rPr>
          <w:snapToGrid w:val="0"/>
        </w:rPr>
      </w:pPr>
      <w:bookmarkStart w:id="269" w:name="_Toc84427950"/>
      <w:bookmarkStart w:id="270" w:name="_Toc487428960"/>
      <w:bookmarkStart w:id="271" w:name="_Toc17278667"/>
      <w:bookmarkStart w:id="272" w:name="_Toc180204767"/>
      <w:bookmarkStart w:id="273" w:name="_Toc328471444"/>
      <w:r>
        <w:rPr>
          <w:rStyle w:val="CharSectno"/>
        </w:rPr>
        <w:t>16</w:t>
      </w:r>
      <w:r>
        <w:rPr>
          <w:snapToGrid w:val="0"/>
        </w:rPr>
        <w:t>.</w:t>
      </w:r>
      <w:r>
        <w:rPr>
          <w:snapToGrid w:val="0"/>
        </w:rPr>
        <w:tab/>
        <w:t>Discrete residential units</w:t>
      </w:r>
      <w:bookmarkEnd w:id="269"/>
      <w:bookmarkEnd w:id="270"/>
      <w:bookmarkEnd w:id="271"/>
      <w:bookmarkEnd w:id="272"/>
      <w:bookmarkEnd w:id="273"/>
    </w:p>
    <w:p>
      <w:pPr>
        <w:pStyle w:val="Subsection"/>
        <w:rPr>
          <w:snapToGrid w:val="0"/>
        </w:rPr>
      </w:pPr>
      <w:r>
        <w:rPr>
          <w:snapToGrid w:val="0"/>
        </w:rPr>
        <w:tab/>
      </w:r>
      <w:r>
        <w:rPr>
          <w:snapToGrid w:val="0"/>
        </w:rPr>
        <w:tab/>
        <w:t xml:space="preserve">In respect of land that is classified as </w:t>
      </w:r>
      <w:r>
        <w:t xml:space="preserve">community residential, </w:t>
      </w:r>
      <w:r>
        <w:rPr>
          <w:snapToGrid w:val="0"/>
        </w:rPr>
        <w:t>the Corporation shall determine by reference to the anticipated water supply requirements, the number of discrete residential units to which that land is in its opinion equivalent and the land shall be regarded as including that number of discrete residential units.</w:t>
      </w:r>
    </w:p>
    <w:p>
      <w:pPr>
        <w:pStyle w:val="Footnotesection"/>
      </w:pPr>
      <w:r>
        <w:tab/>
        <w:t>[By</w:t>
      </w:r>
      <w:r>
        <w:noBreakHyphen/>
        <w:t>law 16 amended in Gazette 29 Dec 1995 p. 6331; 29 Jun 2007 p. 3248; 27 Jun 2008 p. 2985.]</w:t>
      </w:r>
    </w:p>
    <w:p>
      <w:pPr>
        <w:pStyle w:val="Heading5"/>
        <w:spacing w:before="240"/>
        <w:rPr>
          <w:snapToGrid w:val="0"/>
        </w:rPr>
      </w:pPr>
      <w:bookmarkStart w:id="274" w:name="_Toc84427951"/>
      <w:bookmarkStart w:id="275" w:name="_Toc487428961"/>
      <w:bookmarkStart w:id="276" w:name="_Toc17278668"/>
      <w:bookmarkStart w:id="277" w:name="_Toc180204768"/>
      <w:bookmarkStart w:id="278" w:name="_Toc328471445"/>
      <w:r>
        <w:rPr>
          <w:rStyle w:val="CharSectno"/>
        </w:rPr>
        <w:t>17</w:t>
      </w:r>
      <w:r>
        <w:rPr>
          <w:snapToGrid w:val="0"/>
        </w:rPr>
        <w:t>.</w:t>
      </w:r>
      <w:r>
        <w:rPr>
          <w:snapToGrid w:val="0"/>
        </w:rPr>
        <w:tab/>
        <w:t>Quantity charges for the supply of water</w:t>
      </w:r>
      <w:bookmarkEnd w:id="274"/>
      <w:bookmarkEnd w:id="275"/>
      <w:bookmarkEnd w:id="276"/>
      <w:bookmarkEnd w:id="277"/>
      <w:bookmarkEnd w:id="278"/>
    </w:p>
    <w:p>
      <w:pPr>
        <w:pStyle w:val="Subsection"/>
        <w:rPr>
          <w:snapToGrid w:val="0"/>
        </w:rPr>
      </w:pPr>
      <w:r>
        <w:rPr>
          <w:snapToGrid w:val="0"/>
        </w:rPr>
        <w:tab/>
        <w:t>(1)</w:t>
      </w:r>
      <w:r>
        <w:rPr>
          <w:snapToGrid w:val="0"/>
        </w:rPr>
        <w:tab/>
        <w:t>Except as provided in this by</w:t>
      </w:r>
      <w:r>
        <w:rPr>
          <w:snapToGrid w:val="0"/>
        </w:rPr>
        <w:noBreakHyphen/>
        <w:t>law, the quantity charge payable for the supply of water to a property is an amount calculated under</w:t>
      </w:r>
      <w:r>
        <w:t xml:space="preserve"> Schedule 1 Division 2</w:t>
      </w:r>
      <w:r>
        <w:rPr>
          <w:snapToGrid w:val="0"/>
        </w:rPr>
        <w:t>.</w:t>
      </w:r>
    </w:p>
    <w:p>
      <w:pPr>
        <w:pStyle w:val="Subsection"/>
        <w:rPr>
          <w:snapToGrid w:val="0"/>
        </w:rPr>
      </w:pPr>
      <w:r>
        <w:rPr>
          <w:snapToGrid w:val="0"/>
        </w:rPr>
        <w:tab/>
        <w:t>(2)</w:t>
      </w:r>
      <w:r>
        <w:rPr>
          <w:snapToGrid w:val="0"/>
        </w:rPr>
        <w:tab/>
        <w:t xml:space="preserve">Where </w:t>
      </w:r>
      <w:r>
        <w:t xml:space="preserve">Schedule 1 Division 2 </w:t>
      </w:r>
      <w:r>
        <w:rPr>
          <w:snapToGrid w:val="0"/>
        </w:rPr>
        <w:t>is amended during a charge period the amount payable for the period is to be calculated as if that amendment had not occurred.</w:t>
      </w:r>
    </w:p>
    <w:p>
      <w:pPr>
        <w:pStyle w:val="Subsection"/>
        <w:rPr>
          <w:snapToGrid w:val="0"/>
        </w:rPr>
      </w:pPr>
      <w:r>
        <w:rPr>
          <w:snapToGrid w:val="0"/>
        </w:rPr>
        <w:tab/>
        <w:t>(3)</w:t>
      </w:r>
      <w:r>
        <w:rPr>
          <w:snapToGrid w:val="0"/>
        </w:rPr>
        <w:tab/>
        <w:t>Where —</w:t>
      </w:r>
    </w:p>
    <w:p>
      <w:pPr>
        <w:pStyle w:val="Indenta"/>
        <w:spacing w:before="60"/>
        <w:rPr>
          <w:snapToGrid w:val="0"/>
        </w:rPr>
      </w:pPr>
      <w:r>
        <w:rPr>
          <w:snapToGrid w:val="0"/>
        </w:rPr>
        <w:tab/>
        <w:t>(a)</w:t>
      </w:r>
      <w:r>
        <w:rPr>
          <w:snapToGrid w:val="0"/>
        </w:rPr>
        <w:tab/>
        <w:t>there is a change in the occupation of a property referred to in</w:t>
      </w:r>
      <w:r>
        <w:t xml:space="preserve"> Schedule 1 item 20, 21, 22 or 23</w:t>
      </w:r>
      <w:r>
        <w:rPr>
          <w:snapToGrid w:val="0"/>
        </w:rPr>
        <w:t>; and</w:t>
      </w:r>
    </w:p>
    <w:p>
      <w:pPr>
        <w:pStyle w:val="Indenta"/>
        <w:keepNext/>
        <w:keepLines/>
        <w:spacing w:before="60"/>
        <w:rPr>
          <w:snapToGrid w:val="0"/>
        </w:rPr>
      </w:pPr>
      <w:r>
        <w:rPr>
          <w:snapToGrid w:val="0"/>
        </w:rPr>
        <w:tab/>
        <w:t>(b)</w:t>
      </w:r>
      <w:r>
        <w:rPr>
          <w:snapToGrid w:val="0"/>
        </w:rPr>
        <w:tab/>
        <w:t>within 10 days before or after the change in occupation the new occupier has obtained a special meter reading from the Corporation,</w:t>
      </w:r>
    </w:p>
    <w:p>
      <w:pPr>
        <w:pStyle w:val="Subsection"/>
        <w:rPr>
          <w:snapToGrid w:val="0"/>
        </w:rPr>
      </w:pPr>
      <w:r>
        <w:rPr>
          <w:snapToGrid w:val="0"/>
        </w:rPr>
        <w:tab/>
      </w:r>
      <w:r>
        <w:rPr>
          <w:snapToGrid w:val="0"/>
        </w:rPr>
        <w:tab/>
        <w:t>the quantity charge payable for the supply of water to the property from that day until the end of the consumption year is the sum of all of the amounts calculated in accordance with the formula in Schedule 1</w:t>
      </w:r>
      <w:r>
        <w:t xml:space="preserve"> item 35</w:t>
      </w:r>
      <w:r>
        <w:rPr>
          <w:snapToGrid w:val="0"/>
        </w:rPr>
        <w:t>.</w:t>
      </w:r>
    </w:p>
    <w:p>
      <w:pPr>
        <w:pStyle w:val="Footnotesection"/>
        <w:ind w:left="890" w:hanging="890"/>
      </w:pPr>
      <w:r>
        <w:tab/>
        <w:t>[By</w:t>
      </w:r>
      <w:r>
        <w:noBreakHyphen/>
        <w:t>law 17 inserted in Gazette 6 Jan 1998 p. 40; amended in Gazette 7 May 1999 p. 1859</w:t>
      </w:r>
      <w:r>
        <w:noBreakHyphen/>
        <w:t>60; 29 Jun 1999 p. 2791</w:t>
      </w:r>
      <w:r>
        <w:noBreakHyphen/>
        <w:t>2; 29 Jun 2001 p. 3191; 29 Jun 2007 p. 3248-9.]</w:t>
      </w:r>
    </w:p>
    <w:p>
      <w:pPr>
        <w:pStyle w:val="Heading5"/>
        <w:spacing w:before="240"/>
        <w:rPr>
          <w:snapToGrid w:val="0"/>
        </w:rPr>
      </w:pPr>
      <w:bookmarkStart w:id="279" w:name="_Toc84427952"/>
      <w:bookmarkStart w:id="280" w:name="_Toc487428962"/>
      <w:bookmarkStart w:id="281" w:name="_Toc17278669"/>
      <w:bookmarkStart w:id="282" w:name="_Toc180204769"/>
      <w:bookmarkStart w:id="283" w:name="_Toc328471446"/>
      <w:r>
        <w:rPr>
          <w:rStyle w:val="CharSectno"/>
        </w:rPr>
        <w:t>17A</w:t>
      </w:r>
      <w:r>
        <w:rPr>
          <w:snapToGrid w:val="0"/>
        </w:rPr>
        <w:t>.</w:t>
      </w:r>
      <w:r>
        <w:rPr>
          <w:snapToGrid w:val="0"/>
        </w:rPr>
        <w:tab/>
        <w:t>Caravan parks</w:t>
      </w:r>
      <w:bookmarkEnd w:id="279"/>
      <w:bookmarkEnd w:id="280"/>
      <w:bookmarkEnd w:id="281"/>
      <w:bookmarkEnd w:id="282"/>
      <w:bookmarkEnd w:id="283"/>
    </w:p>
    <w:p>
      <w:pPr>
        <w:pStyle w:val="Subsection"/>
        <w:rPr>
          <w:snapToGrid w:val="0"/>
        </w:rPr>
      </w:pPr>
      <w:r>
        <w:rPr>
          <w:snapToGrid w:val="0"/>
        </w:rPr>
        <w:tab/>
        <w:t>(1)</w:t>
      </w:r>
      <w:r>
        <w:rPr>
          <w:snapToGrid w:val="0"/>
        </w:rPr>
        <w:tab/>
        <w:t>The charges for water supply to strata titled caravan bays are the annual charge per bay set out in Schedule 1 item 4 together with a quantity charge calculated under by</w:t>
      </w:r>
      <w:r>
        <w:rPr>
          <w:snapToGrid w:val="0"/>
        </w:rPr>
        <w:noBreakHyphen/>
        <w:t>law 17 with the following variations to Schedule 1 —</w:t>
      </w:r>
    </w:p>
    <w:p>
      <w:pPr>
        <w:pStyle w:val="Indenta"/>
        <w:rPr>
          <w:snapToGrid w:val="0"/>
        </w:rPr>
      </w:pPr>
      <w:r>
        <w:rPr>
          <w:snapToGrid w:val="0"/>
        </w:rPr>
        <w:tab/>
        <w:t>(a)</w:t>
      </w:r>
      <w:r>
        <w:rPr>
          <w:snapToGrid w:val="0"/>
        </w:rPr>
        <w:tab/>
        <w:t xml:space="preserve">for bays in the metropolitan area, the first 150 kL of water supplied is charged at the rate for metropolitan residential usage shown in Schedule 1 item 20 and water usage over 150 kL is charged at the maximum rate for metropolitan </w:t>
      </w:r>
      <w:r>
        <w:t>commercial residential usage set out in Schedule 1 item 24(b);</w:t>
      </w:r>
    </w:p>
    <w:p>
      <w:pPr>
        <w:pStyle w:val="Indenta"/>
        <w:rPr>
          <w:snapToGrid w:val="0"/>
        </w:rPr>
      </w:pPr>
      <w:r>
        <w:rPr>
          <w:snapToGrid w:val="0"/>
        </w:rPr>
        <w:tab/>
        <w:t>(b)</w:t>
      </w:r>
      <w:r>
        <w:rPr>
          <w:snapToGrid w:val="0"/>
        </w:rPr>
        <w:tab/>
        <w:t>for bays in the non</w:t>
      </w:r>
      <w:r>
        <w:rPr>
          <w:snapToGrid w:val="0"/>
        </w:rPr>
        <w:noBreakHyphen/>
        <w:t>metropolitan area, the first 150 kL of water supplied is charged at the rate for non</w:t>
      </w:r>
      <w:r>
        <w:rPr>
          <w:snapToGrid w:val="0"/>
        </w:rPr>
        <w:noBreakHyphen/>
        <w:t>metropolitan residential usage shown in</w:t>
      </w:r>
      <w:r>
        <w:t xml:space="preserve"> Schedule 1 item 22</w:t>
      </w:r>
      <w:r>
        <w:rPr>
          <w:snapToGrid w:val="0"/>
        </w:rPr>
        <w:t xml:space="preserve"> </w:t>
      </w:r>
      <w:r>
        <w:t xml:space="preserve">(according to the residential classification of the town/area set out in Schedule 10) </w:t>
      </w:r>
      <w:r>
        <w:rPr>
          <w:snapToGrid w:val="0"/>
        </w:rPr>
        <w:t>and water usage over 150 kL is charged at the maximum rate for non</w:t>
      </w:r>
      <w:r>
        <w:rPr>
          <w:snapToGrid w:val="0"/>
        </w:rPr>
        <w:noBreakHyphen/>
        <w:t>metropolitan</w:t>
      </w:r>
      <w:r>
        <w:t xml:space="preserve"> commercial residential usage set out in Schedule 1 item 27(g) (according to the non</w:t>
      </w:r>
      <w:r>
        <w:noBreakHyphen/>
        <w:t>residential classification of the town/area set out in Schedule 10).</w:t>
      </w:r>
    </w:p>
    <w:p>
      <w:pPr>
        <w:pStyle w:val="Subsection"/>
        <w:keepNext/>
        <w:keepLines/>
        <w:rPr>
          <w:snapToGrid w:val="0"/>
        </w:rPr>
      </w:pPr>
      <w:r>
        <w:rPr>
          <w:snapToGrid w:val="0"/>
        </w:rPr>
        <w:tab/>
        <w:t>(2)</w:t>
      </w:r>
      <w:r>
        <w:rPr>
          <w:snapToGrid w:val="0"/>
        </w:rPr>
        <w:tab/>
        <w:t>Subject to sub</w:t>
      </w:r>
      <w:r>
        <w:rPr>
          <w:snapToGrid w:val="0"/>
        </w:rPr>
        <w:noBreakHyphen/>
        <w:t>bylaw (3), the charges for water supply to a commercial caravan park are calculated in the same manner as for other commercial properties, i.e. —</w:t>
      </w:r>
    </w:p>
    <w:p>
      <w:pPr>
        <w:pStyle w:val="Indenta"/>
        <w:spacing w:before="60"/>
        <w:rPr>
          <w:snapToGrid w:val="0"/>
        </w:rPr>
      </w:pPr>
      <w:r>
        <w:rPr>
          <w:snapToGrid w:val="0"/>
        </w:rPr>
        <w:tab/>
        <w:t>(a)</w:t>
      </w:r>
      <w:r>
        <w:rPr>
          <w:snapToGrid w:val="0"/>
        </w:rPr>
        <w:tab/>
        <w:t>for bays in the metropolitan area, the metropolitan non</w:t>
      </w:r>
      <w:r>
        <w:rPr>
          <w:snapToGrid w:val="0"/>
        </w:rPr>
        <w:noBreakHyphen/>
        <w:t>residential meter</w:t>
      </w:r>
      <w:r>
        <w:rPr>
          <w:snapToGrid w:val="0"/>
        </w:rPr>
        <w:noBreakHyphen/>
        <w:t xml:space="preserve">based charge set out in </w:t>
      </w:r>
      <w:r>
        <w:t>Schedule 1 item 17</w:t>
      </w:r>
      <w:r>
        <w:rPr>
          <w:snapToGrid w:val="0"/>
        </w:rPr>
        <w:t>, together with the metropolitan non</w:t>
      </w:r>
      <w:r>
        <w:rPr>
          <w:snapToGrid w:val="0"/>
        </w:rPr>
        <w:noBreakHyphen/>
        <w:t>residential quantity charge calculated under by</w:t>
      </w:r>
      <w:r>
        <w:rPr>
          <w:snapToGrid w:val="0"/>
        </w:rPr>
        <w:noBreakHyphen/>
        <w:t>law 17 and</w:t>
      </w:r>
      <w:r>
        <w:t xml:space="preserve"> Schedule 1 item 24(a)</w:t>
      </w:r>
      <w:r>
        <w:rPr>
          <w:snapToGrid w:val="0"/>
        </w:rPr>
        <w:t>;</w:t>
      </w:r>
    </w:p>
    <w:p>
      <w:pPr>
        <w:pStyle w:val="Indenta"/>
        <w:spacing w:before="60"/>
        <w:rPr>
          <w:snapToGrid w:val="0"/>
        </w:rPr>
      </w:pPr>
      <w:r>
        <w:rPr>
          <w:snapToGrid w:val="0"/>
        </w:rPr>
        <w:tab/>
        <w:t>(b)</w:t>
      </w:r>
      <w:r>
        <w:rPr>
          <w:snapToGrid w:val="0"/>
        </w:rPr>
        <w:tab/>
        <w:t>for bays in the non</w:t>
      </w:r>
      <w:r>
        <w:rPr>
          <w:snapToGrid w:val="0"/>
        </w:rPr>
        <w:noBreakHyphen/>
        <w:t>metropolitan area, the non</w:t>
      </w:r>
      <w:r>
        <w:rPr>
          <w:snapToGrid w:val="0"/>
        </w:rPr>
        <w:noBreakHyphen/>
        <w:t>metropolitan non</w:t>
      </w:r>
      <w:r>
        <w:rPr>
          <w:snapToGrid w:val="0"/>
        </w:rPr>
        <w:noBreakHyphen/>
        <w:t>residential meter</w:t>
      </w:r>
      <w:r>
        <w:rPr>
          <w:snapToGrid w:val="0"/>
        </w:rPr>
        <w:noBreakHyphen/>
        <w:t xml:space="preserve">based charge set out in </w:t>
      </w:r>
      <w:r>
        <w:t>Schedule 1 item 10(c)</w:t>
      </w:r>
      <w:r>
        <w:rPr>
          <w:snapToGrid w:val="0"/>
        </w:rPr>
        <w:t>, together with the non</w:t>
      </w:r>
      <w:r>
        <w:rPr>
          <w:snapToGrid w:val="0"/>
        </w:rPr>
        <w:noBreakHyphen/>
        <w:t>metropolitan non</w:t>
      </w:r>
      <w:r>
        <w:rPr>
          <w:snapToGrid w:val="0"/>
        </w:rPr>
        <w:noBreakHyphen/>
        <w:t>residential quantity charge calculated under by</w:t>
      </w:r>
      <w:r>
        <w:rPr>
          <w:snapToGrid w:val="0"/>
        </w:rPr>
        <w:noBreakHyphen/>
        <w:t xml:space="preserve">law 17 and </w:t>
      </w:r>
      <w:r>
        <w:t>Schedule 1 item 27(b) (according to the non</w:t>
      </w:r>
      <w:r>
        <w:noBreakHyphen/>
        <w:t>residential classification of the town/area set out in Schedule 10)</w:t>
      </w:r>
      <w:r>
        <w:rPr>
          <w:snapToGrid w:val="0"/>
        </w:rPr>
        <w:t>.</w:t>
      </w:r>
    </w:p>
    <w:p>
      <w:pPr>
        <w:pStyle w:val="Subsection"/>
        <w:spacing w:before="100"/>
        <w:rPr>
          <w:snapToGrid w:val="0"/>
        </w:rPr>
      </w:pPr>
      <w:r>
        <w:rPr>
          <w:snapToGrid w:val="0"/>
        </w:rPr>
        <w:tab/>
        <w:t>(3)</w:t>
      </w:r>
      <w:r>
        <w:rPr>
          <w:snapToGrid w:val="0"/>
        </w:rPr>
        <w:tab/>
        <w:t>The operator of a commercial caravan park may, at his or her option, nominate a number of bays as long term residential caravan bays, and as a consequence —</w:t>
      </w:r>
    </w:p>
    <w:p>
      <w:pPr>
        <w:pStyle w:val="Indenta"/>
        <w:spacing w:before="60"/>
        <w:rPr>
          <w:snapToGrid w:val="0"/>
          <w:spacing w:val="-4"/>
        </w:rPr>
      </w:pPr>
      <w:r>
        <w:rPr>
          <w:snapToGrid w:val="0"/>
          <w:spacing w:val="-4"/>
        </w:rPr>
        <w:tab/>
        <w:t>(a)</w:t>
      </w:r>
      <w:r>
        <w:rPr>
          <w:snapToGrid w:val="0"/>
          <w:spacing w:val="-4"/>
        </w:rPr>
        <w:tab/>
        <w:t>those bays will be treated as if they were strata</w:t>
      </w:r>
      <w:r>
        <w:rPr>
          <w:snapToGrid w:val="0"/>
          <w:spacing w:val="-4"/>
        </w:rPr>
        <w:noBreakHyphen/>
        <w:t>titled bays for the purposes of annual charges, with the charges for the commercial park being adjusted accordingly and proportionally to the number of long term residential caravan bays in that commercial caravan park; and</w:t>
      </w:r>
    </w:p>
    <w:p>
      <w:pPr>
        <w:pStyle w:val="Indenta"/>
        <w:spacing w:before="60"/>
        <w:rPr>
          <w:snapToGrid w:val="0"/>
        </w:rPr>
      </w:pPr>
      <w:r>
        <w:rPr>
          <w:snapToGrid w:val="0"/>
        </w:rPr>
        <w:tab/>
        <w:t>(b)</w:t>
      </w:r>
      <w:r>
        <w:rPr>
          <w:snapToGrid w:val="0"/>
        </w:rPr>
        <w:tab/>
        <w:t>the quantity charges apply for the property as a whole in accordance with sub</w:t>
      </w:r>
      <w:r>
        <w:rPr>
          <w:snapToGrid w:val="0"/>
        </w:rPr>
        <w:noBreakHyphen/>
        <w:t>bylaws (1)(a) and (1)(b), except that the respective rates for residential quantity charges only apply for the first 150 kL per nominated long term residential caravan bay.</w:t>
      </w:r>
    </w:p>
    <w:p>
      <w:pPr>
        <w:pStyle w:val="Footnotesection"/>
        <w:keepLines w:val="0"/>
      </w:pPr>
      <w:r>
        <w:tab/>
        <w:t>[By</w:t>
      </w:r>
      <w:r>
        <w:noBreakHyphen/>
        <w:t>law 17A inserted in Gazette 30 Jun 1995 p. 2735</w:t>
      </w:r>
      <w:r>
        <w:noBreakHyphen/>
        <w:t>6; amended in Gazette 28 Jun 1996 p. 3106; 27 Jun 1997 p. 3176; 6 Jan 1998 p. 40; 26 Jun 1998 p. 3400; 29 Jun 1999 p. 2792</w:t>
      </w:r>
      <w:r>
        <w:noBreakHyphen/>
        <w:t>3; 29 Jun 2001 p. 3191</w:t>
      </w:r>
      <w:r>
        <w:noBreakHyphen/>
        <w:t>2; 1 Jul 2002 p. 3156; 29 Jun 2007 p. 3249; 27 Jun 2008 p. 2985</w:t>
      </w:r>
      <w:r>
        <w:noBreakHyphen/>
        <w:t>6; 25 Jun 2010 p. 2903.]</w:t>
      </w:r>
    </w:p>
    <w:p>
      <w:pPr>
        <w:pStyle w:val="Heading5"/>
        <w:rPr>
          <w:snapToGrid w:val="0"/>
        </w:rPr>
      </w:pPr>
      <w:bookmarkStart w:id="284" w:name="_Toc84427953"/>
      <w:bookmarkStart w:id="285" w:name="_Toc17278670"/>
      <w:bookmarkStart w:id="286" w:name="_Toc180204770"/>
      <w:bookmarkStart w:id="287" w:name="_Toc328471447"/>
      <w:bookmarkStart w:id="288" w:name="_Toc487428964"/>
      <w:r>
        <w:rPr>
          <w:rStyle w:val="CharSectno"/>
        </w:rPr>
        <w:t>17B</w:t>
      </w:r>
      <w:r>
        <w:t>.</w:t>
      </w:r>
      <w:r>
        <w:tab/>
      </w:r>
      <w:r>
        <w:rPr>
          <w:snapToGrid w:val="0"/>
        </w:rPr>
        <w:t>Metropolitan non</w:t>
      </w:r>
      <w:r>
        <w:rPr>
          <w:snapToGrid w:val="0"/>
        </w:rPr>
        <w:noBreakHyphen/>
        <w:t xml:space="preserve">residential </w:t>
      </w:r>
      <w:r>
        <w:t>or commercial residential</w:t>
      </w:r>
      <w:r>
        <w:rPr>
          <w:snapToGrid w:val="0"/>
        </w:rPr>
        <w:t xml:space="preserve"> property water supply charges</w:t>
      </w:r>
      <w:bookmarkEnd w:id="284"/>
      <w:bookmarkEnd w:id="285"/>
      <w:bookmarkEnd w:id="286"/>
      <w:bookmarkEnd w:id="287"/>
    </w:p>
    <w:p>
      <w:pPr>
        <w:pStyle w:val="Subsection"/>
        <w:rPr>
          <w:snapToGrid w:val="0"/>
        </w:rPr>
      </w:pPr>
      <w:r>
        <w:rPr>
          <w:snapToGrid w:val="0"/>
        </w:rPr>
        <w:tab/>
        <w:t>(1)</w:t>
      </w:r>
      <w:r>
        <w:rPr>
          <w:snapToGrid w:val="0"/>
        </w:rPr>
        <w:tab/>
        <w:t>Where a metropolitan non</w:t>
      </w:r>
      <w:r>
        <w:rPr>
          <w:snapToGrid w:val="0"/>
        </w:rPr>
        <w:noBreakHyphen/>
        <w:t xml:space="preserve">residential </w:t>
      </w:r>
      <w:r>
        <w:t>or commercial residential</w:t>
      </w:r>
      <w:r>
        <w:rPr>
          <w:snapToGrid w:val="0"/>
        </w:rPr>
        <w:t xml:space="preserve"> property is metered by the Corporation, the charge payable for the current year for the provision of water supply to the property is the charge payable for the relevant size meter as set out in Schedule 1</w:t>
      </w:r>
      <w:r>
        <w:t xml:space="preserve"> item 17.</w:t>
      </w:r>
    </w:p>
    <w:p>
      <w:pPr>
        <w:pStyle w:val="Subsection"/>
        <w:rPr>
          <w:snapToGrid w:val="0"/>
        </w:rPr>
      </w:pPr>
      <w:r>
        <w:rPr>
          <w:snapToGrid w:val="0"/>
        </w:rPr>
        <w:tab/>
        <w:t>(2)</w:t>
      </w:r>
      <w:r>
        <w:rPr>
          <w:snapToGrid w:val="0"/>
        </w:rPr>
        <w:tab/>
        <w:t>Where a metropolitan non</w:t>
      </w:r>
      <w:r>
        <w:rPr>
          <w:snapToGrid w:val="0"/>
        </w:rPr>
        <w:noBreakHyphen/>
        <w:t xml:space="preserve">residential </w:t>
      </w:r>
      <w:r>
        <w:t>or commercial residential</w:t>
      </w:r>
      <w:r>
        <w:rPr>
          <w:snapToGrid w:val="0"/>
        </w:rPr>
        <w:t xml:space="preserve"> property is not directly served by the Corporation, the charge payable for the current year for the provision of water supply to the property is the charge determined as if the water supply to the property was metered through a 20 mm meter.</w:t>
      </w:r>
    </w:p>
    <w:p>
      <w:pPr>
        <w:pStyle w:val="Subsection"/>
        <w:rPr>
          <w:snapToGrid w:val="0"/>
        </w:rPr>
      </w:pPr>
      <w:r>
        <w:rPr>
          <w:snapToGrid w:val="0"/>
        </w:rPr>
        <w:tab/>
        <w:t>(3)</w:t>
      </w:r>
      <w:r>
        <w:rPr>
          <w:snapToGrid w:val="0"/>
        </w:rPr>
        <w:tab/>
        <w:t>Where a metropolitan non</w:t>
      </w:r>
      <w:r>
        <w:rPr>
          <w:snapToGrid w:val="0"/>
        </w:rPr>
        <w:noBreakHyphen/>
        <w:t>residential property is served but not metered by the Corporation, the charge payable for the current year for the provision of water supply to the property is the charge determined as if the water supply to the property was metered through a meter of a size equal to the diameter of the connecting pipe serving that property.</w:t>
      </w:r>
    </w:p>
    <w:p>
      <w:pPr>
        <w:pStyle w:val="Subsection"/>
        <w:rPr>
          <w:snapToGrid w:val="0"/>
        </w:rPr>
      </w:pPr>
      <w:r>
        <w:tab/>
      </w:r>
      <w:r>
        <w:rPr>
          <w:snapToGrid w:val="0"/>
        </w:rPr>
        <w:t>(4)</w:t>
      </w:r>
      <w:r>
        <w:rPr>
          <w:snapToGrid w:val="0"/>
        </w:rPr>
        <w:tab/>
        <w:t>If a charge determined under this by</w:t>
      </w:r>
      <w:r>
        <w:rPr>
          <w:snapToGrid w:val="0"/>
        </w:rPr>
        <w:noBreakHyphen/>
        <w:t>law for the current year is more than 30% greater than the charge calculated for the same service (and under the same circumstances) in the previous year, the charge is only payable up to that 30% increase.</w:t>
      </w:r>
    </w:p>
    <w:p>
      <w:pPr>
        <w:pStyle w:val="Footnotesection"/>
      </w:pPr>
      <w:r>
        <w:tab/>
        <w:t>[By</w:t>
      </w:r>
      <w:r>
        <w:noBreakHyphen/>
        <w:t>law 17B inserted in Gazette 1 Jul 2002 p. 3156</w:t>
      </w:r>
      <w:r>
        <w:noBreakHyphen/>
        <w:t>7; amended in Gazette 29 Jun 2007 p. 3250.]</w:t>
      </w:r>
    </w:p>
    <w:p>
      <w:pPr>
        <w:pStyle w:val="Heading5"/>
      </w:pPr>
      <w:bookmarkStart w:id="289" w:name="_Toc84427954"/>
      <w:bookmarkStart w:id="290" w:name="_Toc17278671"/>
      <w:bookmarkStart w:id="291" w:name="_Toc180204771"/>
      <w:bookmarkStart w:id="292" w:name="_Toc328471448"/>
      <w:r>
        <w:rPr>
          <w:rStyle w:val="CharSectno"/>
        </w:rPr>
        <w:t>17C</w:t>
      </w:r>
      <w:r>
        <w:t>.</w:t>
      </w:r>
      <w:r>
        <w:tab/>
        <w:t>Non</w:t>
      </w:r>
      <w:r>
        <w:noBreakHyphen/>
        <w:t>metropolitan, non</w:t>
      </w:r>
      <w:r>
        <w:noBreakHyphen/>
        <w:t>strata titled, Commercial or Industrial property water supply charges</w:t>
      </w:r>
      <w:bookmarkEnd w:id="289"/>
      <w:bookmarkEnd w:id="288"/>
      <w:bookmarkEnd w:id="290"/>
      <w:bookmarkEnd w:id="291"/>
      <w:bookmarkEnd w:id="292"/>
    </w:p>
    <w:p>
      <w:pPr>
        <w:pStyle w:val="Subsection"/>
      </w:pPr>
      <w:r>
        <w:tab/>
        <w:t>(1)</w:t>
      </w:r>
      <w:r>
        <w:tab/>
        <w:t>Where a property referred to in Schedule 1 item 10(c) is not directly served by the Corporation, the charge payable for the current year for the provision of water supply to the property is the charge determined as if the water supply to the property was metered through a 20 mm meter.</w:t>
      </w:r>
    </w:p>
    <w:p>
      <w:pPr>
        <w:pStyle w:val="Subsection"/>
      </w:pPr>
      <w:r>
        <w:tab/>
        <w:t>(2)</w:t>
      </w:r>
      <w:r>
        <w:tab/>
        <w:t>Where a property referred to in Schedule 1 item 10(c) is served but not metered by the Corporation, the charge payable for the current year for the provision of water supply to the property is the charge calculated as if the water supply to the property was metered through a meter of a size equal to the diameter of the connecting pipe serving that property.</w:t>
      </w:r>
    </w:p>
    <w:p>
      <w:pPr>
        <w:pStyle w:val="Subsection"/>
      </w:pPr>
      <w:r>
        <w:tab/>
        <w:t>(3)</w:t>
      </w:r>
      <w:r>
        <w:tab/>
        <w:t>Where a charge for the current year under Schedule 1 item 10(c) is more than 13.6% greater than the charge calculated for the same service (and under the same circumstances) in the previous year, the charge is only payable up to that 13.6% increase.</w:t>
      </w:r>
    </w:p>
    <w:p>
      <w:pPr>
        <w:pStyle w:val="Footnotesection"/>
      </w:pPr>
      <w:r>
        <w:tab/>
        <w:t>[By</w:t>
      </w:r>
      <w:r>
        <w:noBreakHyphen/>
        <w:t>law 17C inserted in Gazette 29 Jun 2000 p. 3324; amended in Gazette 29 Jun 2001 p. 3192; 7 Aug 2001 p. 4037; 1 Jul 2002 p. 3157; 27 Jun 2003 p. 2287; 29 Jun 2004 p. 2467-8; 1 Jul 2005 p. 3034; 30 Jun 2006 p. 2416; 29 Jun 2007 p. 3250; 27 Jun 2008 p. 2986; 19 Jun 2009 p. 2322; 25 Jun 2010 p. 2903; 23 Jun 2011 p. 2418; 20 Jun 2012 p. 2698.]</w:t>
      </w:r>
    </w:p>
    <w:p>
      <w:pPr>
        <w:pStyle w:val="Heading5"/>
        <w:rPr>
          <w:snapToGrid w:val="0"/>
        </w:rPr>
      </w:pPr>
      <w:bookmarkStart w:id="293" w:name="_Toc84427955"/>
      <w:bookmarkStart w:id="294" w:name="_Toc487428965"/>
      <w:bookmarkStart w:id="295" w:name="_Toc17278672"/>
      <w:bookmarkStart w:id="296" w:name="_Toc180204772"/>
      <w:bookmarkStart w:id="297" w:name="_Toc328471449"/>
      <w:r>
        <w:rPr>
          <w:rStyle w:val="CharSectno"/>
        </w:rPr>
        <w:t>17D</w:t>
      </w:r>
      <w:r>
        <w:rPr>
          <w:snapToGrid w:val="0"/>
        </w:rPr>
        <w:t>.</w:t>
      </w:r>
      <w:r>
        <w:rPr>
          <w:snapToGrid w:val="0"/>
        </w:rPr>
        <w:tab/>
        <w:t>Various non</w:t>
      </w:r>
      <w:r>
        <w:rPr>
          <w:snapToGrid w:val="0"/>
        </w:rPr>
        <w:noBreakHyphen/>
        <w:t>metropolitan water supply charges and classifications</w:t>
      </w:r>
      <w:bookmarkEnd w:id="293"/>
      <w:bookmarkEnd w:id="294"/>
      <w:bookmarkEnd w:id="295"/>
      <w:bookmarkEnd w:id="296"/>
      <w:bookmarkEnd w:id="297"/>
    </w:p>
    <w:p>
      <w:pPr>
        <w:pStyle w:val="Subsection"/>
        <w:rPr>
          <w:snapToGrid w:val="0"/>
        </w:rPr>
      </w:pPr>
      <w:r>
        <w:rPr>
          <w:snapToGrid w:val="0"/>
        </w:rPr>
        <w:tab/>
        <w:t>(1)</w:t>
      </w:r>
      <w:r>
        <w:rPr>
          <w:snapToGrid w:val="0"/>
        </w:rPr>
        <w:tab/>
        <w:t>The charges for water supplied to non</w:t>
      </w:r>
      <w:r>
        <w:rPr>
          <w:snapToGrid w:val="0"/>
        </w:rPr>
        <w:noBreakHyphen/>
        <w:t>metropolitan residential</w:t>
      </w:r>
      <w:r>
        <w:t>, non</w:t>
      </w:r>
      <w:r>
        <w:noBreakHyphen/>
        <w:t xml:space="preserve">metropolitan community residential </w:t>
      </w:r>
      <w:r>
        <w:rPr>
          <w:snapToGrid w:val="0"/>
        </w:rPr>
        <w:t>and non</w:t>
      </w:r>
      <w:r>
        <w:rPr>
          <w:snapToGrid w:val="0"/>
        </w:rPr>
        <w:noBreakHyphen/>
        <w:t xml:space="preserve">metropolitan </w:t>
      </w:r>
      <w:r>
        <w:t>non</w:t>
      </w:r>
      <w:r>
        <w:noBreakHyphen/>
        <w:t>residential</w:t>
      </w:r>
      <w:r>
        <w:rPr>
          <w:snapToGrid w:val="0"/>
        </w:rPr>
        <w:t xml:space="preserve"> properties (including caravan parks), set out in —</w:t>
      </w:r>
    </w:p>
    <w:p>
      <w:pPr>
        <w:pStyle w:val="Indenta"/>
      </w:pPr>
      <w:r>
        <w:tab/>
        <w:t>(a)</w:t>
      </w:r>
      <w:r>
        <w:tab/>
        <w:t>Schedule 1 item 22; and</w:t>
      </w:r>
    </w:p>
    <w:p>
      <w:pPr>
        <w:pStyle w:val="Indenta"/>
      </w:pPr>
      <w:r>
        <w:tab/>
        <w:t>(ba)</w:t>
      </w:r>
      <w:r>
        <w:tab/>
        <w:t>Schedule 1 item 23(2); and</w:t>
      </w:r>
    </w:p>
    <w:p>
      <w:pPr>
        <w:pStyle w:val="Indenta"/>
      </w:pPr>
      <w:r>
        <w:tab/>
        <w:t>(b)</w:t>
      </w:r>
      <w:r>
        <w:tab/>
        <w:t>Schedule 1 item 27(b); and</w:t>
      </w:r>
    </w:p>
    <w:p>
      <w:pPr>
        <w:pStyle w:val="Indenta"/>
      </w:pPr>
      <w:r>
        <w:tab/>
        <w:t>(c)</w:t>
      </w:r>
      <w:r>
        <w:tab/>
        <w:t>Schedule 1 item 27(g); and</w:t>
      </w:r>
    </w:p>
    <w:p>
      <w:pPr>
        <w:pStyle w:val="Indenta"/>
      </w:pPr>
      <w:r>
        <w:tab/>
        <w:t>(d)</w:t>
      </w:r>
      <w:r>
        <w:tab/>
        <w:t>Schedule 8 item 2(2),</w:t>
      </w:r>
    </w:p>
    <w:p>
      <w:pPr>
        <w:pStyle w:val="Subsection"/>
        <w:rPr>
          <w:snapToGrid w:val="0"/>
        </w:rPr>
      </w:pPr>
      <w:r>
        <w:rPr>
          <w:snapToGrid w:val="0"/>
        </w:rPr>
        <w:tab/>
      </w:r>
      <w:r>
        <w:rPr>
          <w:snapToGrid w:val="0"/>
        </w:rPr>
        <w:tab/>
        <w:t>apply to towns/areas according to the classifications given to the towns/areas by the Corporation.</w:t>
      </w:r>
    </w:p>
    <w:p>
      <w:pPr>
        <w:pStyle w:val="Ednotesubsection"/>
      </w:pPr>
      <w:r>
        <w:tab/>
        <w:t>[(2)</w:t>
      </w:r>
      <w:r>
        <w:tab/>
        <w:t>deleted]</w:t>
      </w:r>
    </w:p>
    <w:p>
      <w:pPr>
        <w:pStyle w:val="Subsection"/>
        <w:rPr>
          <w:snapToGrid w:val="0"/>
        </w:rPr>
      </w:pPr>
      <w:r>
        <w:rPr>
          <w:snapToGrid w:val="0"/>
        </w:rPr>
        <w:tab/>
        <w:t>(3)</w:t>
      </w:r>
      <w:r>
        <w:rPr>
          <w:snapToGrid w:val="0"/>
        </w:rPr>
        <w:tab/>
        <w:t>For the purpose of determining quantity charges in the previous year, the towns/areas and the respective classes to which they are allocated are set out in Schedule 9.</w:t>
      </w:r>
    </w:p>
    <w:p>
      <w:pPr>
        <w:pStyle w:val="Subsection"/>
        <w:spacing w:before="120"/>
        <w:rPr>
          <w:snapToGrid w:val="0"/>
        </w:rPr>
      </w:pPr>
      <w:r>
        <w:rPr>
          <w:snapToGrid w:val="0"/>
        </w:rPr>
        <w:tab/>
        <w:t>(4)</w:t>
      </w:r>
      <w:r>
        <w:rPr>
          <w:snapToGrid w:val="0"/>
        </w:rPr>
        <w:tab/>
        <w:t>For the purpose of determining quantity charges in the current year, the towns/areas and the respective classes to which they are allocated are set out in Schedule 10.</w:t>
      </w:r>
    </w:p>
    <w:p>
      <w:pPr>
        <w:pStyle w:val="Footnotesection"/>
      </w:pPr>
      <w:r>
        <w:tab/>
        <w:t>[By</w:t>
      </w:r>
      <w:r>
        <w:noBreakHyphen/>
        <w:t>law 17D inserted in Gazette 27 Jun 1997 p. 3179</w:t>
      </w:r>
      <w:r>
        <w:noBreakHyphen/>
        <w:t>80; amended in Gazette 6 Jan 1998 p. 40; 26 Jun 1998 p. 3400; 29 Jun 1999 p. 2793; 29 Jun 2001 p. 3192</w:t>
      </w:r>
      <w:r>
        <w:noBreakHyphen/>
        <w:t>3; 5 Oct 2001 p. 5479; 29 Jun 2007 p. 3250; 27 Jun 2008 p. 2986</w:t>
      </w:r>
      <w:r>
        <w:noBreakHyphen/>
        <w:t>7.]</w:t>
      </w:r>
    </w:p>
    <w:p>
      <w:pPr>
        <w:pStyle w:val="Heading5"/>
        <w:rPr>
          <w:snapToGrid w:val="0"/>
        </w:rPr>
      </w:pPr>
      <w:bookmarkStart w:id="298" w:name="_Toc84427956"/>
      <w:bookmarkStart w:id="299" w:name="_Toc487428966"/>
      <w:bookmarkStart w:id="300" w:name="_Toc17278673"/>
      <w:bookmarkStart w:id="301" w:name="_Toc180204773"/>
      <w:bookmarkStart w:id="302" w:name="_Toc328471450"/>
      <w:r>
        <w:rPr>
          <w:rStyle w:val="CharSectno"/>
        </w:rPr>
        <w:t>18</w:t>
      </w:r>
      <w:r>
        <w:rPr>
          <w:snapToGrid w:val="0"/>
        </w:rPr>
        <w:t>.</w:t>
      </w:r>
      <w:r>
        <w:rPr>
          <w:snapToGrid w:val="0"/>
        </w:rPr>
        <w:tab/>
        <w:t>Concessional non</w:t>
      </w:r>
      <w:r>
        <w:rPr>
          <w:snapToGrid w:val="0"/>
        </w:rPr>
        <w:noBreakHyphen/>
        <w:t>metropolitan quantity charge</w:t>
      </w:r>
      <w:bookmarkEnd w:id="298"/>
      <w:bookmarkEnd w:id="299"/>
      <w:bookmarkEnd w:id="300"/>
      <w:bookmarkEnd w:id="301"/>
      <w:bookmarkEnd w:id="302"/>
    </w:p>
    <w:p>
      <w:pPr>
        <w:pStyle w:val="Subsection"/>
        <w:spacing w:before="120"/>
      </w:pPr>
      <w:r>
        <w:tab/>
        <w:t>(1)</w:t>
      </w:r>
      <w:r>
        <w:tab/>
        <w:t>In this by</w:t>
      </w:r>
      <w:r>
        <w:noBreakHyphen/>
        <w:t>law —</w:t>
      </w:r>
    </w:p>
    <w:p>
      <w:pPr>
        <w:pStyle w:val="Defstart"/>
      </w:pPr>
      <w:r>
        <w:tab/>
      </w:r>
      <w:r>
        <w:rPr>
          <w:rStyle w:val="CharDefText"/>
        </w:rPr>
        <w:t>eligible pensioner</w:t>
      </w:r>
      <w:r>
        <w:t xml:space="preserve"> means a person to whom section 23(1), (2) or (3) or section 24 of the </w:t>
      </w:r>
      <w:r>
        <w:rPr>
          <w:i/>
        </w:rPr>
        <w:t>Rates and Charges (Rebates and Deferments) Act 1992</w:t>
      </w:r>
      <w:r>
        <w:t xml:space="preserve"> applies.</w:t>
      </w:r>
    </w:p>
    <w:p>
      <w:pPr>
        <w:pStyle w:val="Subsection"/>
        <w:rPr>
          <w:snapToGrid w:val="0"/>
        </w:rPr>
      </w:pPr>
      <w:r>
        <w:rPr>
          <w:snapToGrid w:val="0"/>
        </w:rPr>
        <w:tab/>
        <w:t>(2)</w:t>
      </w:r>
      <w:r>
        <w:rPr>
          <w:snapToGrid w:val="0"/>
        </w:rPr>
        <w:tab/>
        <w:t>Notwithstanding any other provisions of these by</w:t>
      </w:r>
      <w:r>
        <w:rPr>
          <w:snapToGrid w:val="0"/>
        </w:rPr>
        <w:noBreakHyphen/>
        <w:t>laws, a person who is liable to pay a charge under by</w:t>
      </w:r>
      <w:r>
        <w:rPr>
          <w:snapToGrid w:val="0"/>
        </w:rPr>
        <w:noBreakHyphen/>
        <w:t xml:space="preserve">law 17A(1)(b) or 17A(3)(b) or under </w:t>
      </w:r>
      <w:r>
        <w:t xml:space="preserve">Schedule 1 item 22 </w:t>
      </w:r>
      <w:r>
        <w:rPr>
          <w:snapToGrid w:val="0"/>
        </w:rPr>
        <w:t>in respect of particular land shall be allowed a concession under this by</w:t>
      </w:r>
      <w:r>
        <w:rPr>
          <w:snapToGrid w:val="0"/>
        </w:rPr>
        <w:noBreakHyphen/>
        <w:t xml:space="preserve">law in respect of the charge if — </w:t>
      </w:r>
    </w:p>
    <w:p>
      <w:pPr>
        <w:pStyle w:val="Indenta"/>
        <w:rPr>
          <w:snapToGrid w:val="0"/>
        </w:rPr>
      </w:pPr>
      <w:r>
        <w:rPr>
          <w:snapToGrid w:val="0"/>
        </w:rPr>
        <w:tab/>
        <w:t>(a)</w:t>
      </w:r>
      <w:r>
        <w:rPr>
          <w:snapToGrid w:val="0"/>
        </w:rPr>
        <w:tab/>
        <w:t>the person satisfies the Corporation that he or she was an eligible pensioner at any time during the period to which the charge relates; and</w:t>
      </w:r>
    </w:p>
    <w:p>
      <w:pPr>
        <w:pStyle w:val="Indenta"/>
        <w:rPr>
          <w:snapToGrid w:val="0"/>
        </w:rPr>
      </w:pPr>
      <w:r>
        <w:rPr>
          <w:snapToGrid w:val="0"/>
        </w:rPr>
        <w:tab/>
        <w:t>(b)</w:t>
      </w:r>
      <w:r>
        <w:rPr>
          <w:snapToGrid w:val="0"/>
        </w:rPr>
        <w:tab/>
        <w:t>subject to sub</w:t>
      </w:r>
      <w:r>
        <w:rPr>
          <w:snapToGrid w:val="0"/>
        </w:rPr>
        <w:noBreakHyphen/>
        <w:t>bylaw (3), the land was occupied by the person during the period to which the charge relates, whether or not the land is also occupied by any other person; and</w:t>
      </w:r>
    </w:p>
    <w:p>
      <w:pPr>
        <w:pStyle w:val="Indenta"/>
        <w:rPr>
          <w:snapToGrid w:val="0"/>
        </w:rPr>
      </w:pPr>
      <w:r>
        <w:rPr>
          <w:snapToGrid w:val="0"/>
        </w:rPr>
        <w:tab/>
        <w:t>(c)</w:t>
      </w:r>
      <w:r>
        <w:rPr>
          <w:snapToGrid w:val="0"/>
        </w:rPr>
        <w:tab/>
      </w:r>
      <w:r>
        <w:t>t</w:t>
      </w:r>
      <w:r>
        <w:rPr>
          <w:snapToGrid w:val="0"/>
        </w:rPr>
        <w:t>he person is not liable for the payment of any amount due in respect of a charge assessed according to the quantity of water supplied to that or any other land during a period that commenced before the period to which the charge relates; and</w:t>
      </w:r>
    </w:p>
    <w:p>
      <w:pPr>
        <w:pStyle w:val="Indenta"/>
      </w:pPr>
      <w:r>
        <w:rPr>
          <w:snapToGrid w:val="0"/>
        </w:rPr>
        <w:tab/>
        <w:t>(d)</w:t>
      </w:r>
      <w:r>
        <w:rPr>
          <w:snapToGrid w:val="0"/>
        </w:rPr>
        <w:tab/>
        <w:t>the person has not been allowed a concession under this by</w:t>
      </w:r>
      <w:r>
        <w:rPr>
          <w:snapToGrid w:val="0"/>
        </w:rPr>
        <w:noBreakHyphen/>
        <w:t>law in respect of water supplied to any other land except where the portions of the periods to which the respective concessions relate do not, to any extent, coincide.</w:t>
      </w:r>
    </w:p>
    <w:p>
      <w:pPr>
        <w:pStyle w:val="Subsection"/>
        <w:spacing w:before="120"/>
        <w:rPr>
          <w:snapToGrid w:val="0"/>
        </w:rPr>
      </w:pPr>
      <w:r>
        <w:rPr>
          <w:snapToGrid w:val="0"/>
        </w:rPr>
        <w:tab/>
        <w:t>(3)</w:t>
      </w:r>
      <w:r>
        <w:rPr>
          <w:snapToGrid w:val="0"/>
        </w:rPr>
        <w:tab/>
        <w:t>Where the Corporation, having regard to the circumstances of the case, sees fit, it may dispense with the requirements of sub</w:t>
      </w:r>
      <w:r>
        <w:rPr>
          <w:snapToGrid w:val="0"/>
        </w:rPr>
        <w:noBreakHyphen/>
        <w:t>bylaw (2)(b).</w:t>
      </w:r>
    </w:p>
    <w:p>
      <w:pPr>
        <w:pStyle w:val="Subsection"/>
        <w:spacing w:before="120"/>
        <w:rPr>
          <w:snapToGrid w:val="0"/>
        </w:rPr>
      </w:pPr>
      <w:r>
        <w:rPr>
          <w:snapToGrid w:val="0"/>
        </w:rPr>
        <w:tab/>
        <w:t>(4)</w:t>
      </w:r>
      <w:r>
        <w:rPr>
          <w:snapToGrid w:val="0"/>
        </w:rPr>
        <w:tab/>
        <w:t xml:space="preserve">The </w:t>
      </w:r>
      <w:r>
        <w:t>amount of the concession</w:t>
      </w:r>
      <w:r>
        <w:rPr>
          <w:snapToGrid w:val="0"/>
        </w:rPr>
        <w:t xml:space="preserve"> to be allowed under this by</w:t>
      </w:r>
      <w:r>
        <w:rPr>
          <w:snapToGrid w:val="0"/>
        </w:rPr>
        <w:noBreakHyphen/>
        <w:t>law in respect of a charge under by</w:t>
      </w:r>
      <w:r>
        <w:rPr>
          <w:snapToGrid w:val="0"/>
        </w:rPr>
        <w:noBreakHyphen/>
        <w:t>law 17A(1)(b) or 17A(3)(b) or under by</w:t>
      </w:r>
      <w:r>
        <w:rPr>
          <w:snapToGrid w:val="0"/>
        </w:rPr>
        <w:noBreakHyphen/>
        <w:t xml:space="preserve">law 17 and </w:t>
      </w:r>
      <w:r>
        <w:t xml:space="preserve">Schedule 1 item 22 </w:t>
      </w:r>
      <w:r>
        <w:rPr>
          <w:snapToGrid w:val="0"/>
        </w:rPr>
        <w:t>is 50% of the amount calculated from the annual charge rates applicable —</w:t>
      </w:r>
    </w:p>
    <w:p>
      <w:pPr>
        <w:pStyle w:val="Indenta"/>
        <w:rPr>
          <w:snapToGrid w:val="0"/>
        </w:rPr>
      </w:pPr>
      <w:r>
        <w:rPr>
          <w:snapToGrid w:val="0"/>
        </w:rPr>
        <w:tab/>
        <w:t>(a)</w:t>
      </w:r>
      <w:r>
        <w:rPr>
          <w:snapToGrid w:val="0"/>
        </w:rPr>
        <w:tab/>
        <w:t>where the land concerned is —</w:t>
      </w:r>
    </w:p>
    <w:p>
      <w:pPr>
        <w:pStyle w:val="Indenti"/>
        <w:spacing w:before="90"/>
        <w:rPr>
          <w:snapToGrid w:val="0"/>
        </w:rPr>
      </w:pPr>
      <w:r>
        <w:rPr>
          <w:snapToGrid w:val="0"/>
        </w:rPr>
        <w:tab/>
        <w:t>(i)</w:t>
      </w:r>
      <w:r>
        <w:rPr>
          <w:snapToGrid w:val="0"/>
        </w:rPr>
        <w:tab/>
        <w:t xml:space="preserve">in the town of Cue, Laverton, Leonora, Meekatharra, Menzies, Mt Magnet (from 1995/1996 onwards), </w:t>
      </w:r>
      <w:r>
        <w:t xml:space="preserve">Mullewa (from 2009/2010 onwards), </w:t>
      </w:r>
      <w:r>
        <w:rPr>
          <w:snapToGrid w:val="0"/>
        </w:rPr>
        <w:t>Sandstone, Wiluna or Yalgoo (from 1995/1996 onwards) and where up to 600 kL of water is supplied in one year; or</w:t>
      </w:r>
    </w:p>
    <w:p>
      <w:pPr>
        <w:pStyle w:val="Indenti"/>
        <w:spacing w:before="90"/>
        <w:rPr>
          <w:snapToGrid w:val="0"/>
        </w:rPr>
      </w:pPr>
      <w:r>
        <w:rPr>
          <w:snapToGrid w:val="0"/>
        </w:rPr>
        <w:tab/>
        <w:t>(ii)</w:t>
      </w:r>
      <w:r>
        <w:rPr>
          <w:snapToGrid w:val="0"/>
        </w:rPr>
        <w:tab/>
        <w:t>any other land south of 26° South Latitude and where up to 400 kL of water is supplied in one year;</w:t>
      </w:r>
    </w:p>
    <w:p>
      <w:pPr>
        <w:pStyle w:val="Indenta"/>
        <w:rPr>
          <w:snapToGrid w:val="0"/>
        </w:rPr>
      </w:pPr>
      <w:r>
        <w:rPr>
          <w:snapToGrid w:val="0"/>
        </w:rPr>
        <w:tab/>
        <w:t>(b)</w:t>
      </w:r>
      <w:r>
        <w:rPr>
          <w:snapToGrid w:val="0"/>
        </w:rPr>
        <w:tab/>
        <w:t>where the land concerned is north of 26° South Latitude and where up to 600 kL of water is supplied in one year.</w:t>
      </w:r>
    </w:p>
    <w:p>
      <w:pPr>
        <w:pStyle w:val="Subsection"/>
        <w:spacing w:before="120"/>
        <w:rPr>
          <w:snapToGrid w:val="0"/>
        </w:rPr>
      </w:pPr>
      <w:r>
        <w:rPr>
          <w:snapToGrid w:val="0"/>
        </w:rPr>
        <w:tab/>
        <w:t>(5)</w:t>
      </w:r>
      <w:r>
        <w:rPr>
          <w:snapToGrid w:val="0"/>
        </w:rPr>
        <w:tab/>
        <w:t xml:space="preserve">A person who, in connection with or for the purpose of obtaining a </w:t>
      </w:r>
      <w:r>
        <w:t>concession</w:t>
      </w:r>
      <w:r>
        <w:rPr>
          <w:snapToGrid w:val="0"/>
        </w:rPr>
        <w:t xml:space="preserve"> under this by</w:t>
      </w:r>
      <w:r>
        <w:rPr>
          <w:snapToGrid w:val="0"/>
        </w:rPr>
        <w:noBreakHyphen/>
        <w:t xml:space="preserve">law, gives information that </w:t>
      </w:r>
      <w:r>
        <w:t>he or she</w:t>
      </w:r>
      <w:r>
        <w:rPr>
          <w:snapToGrid w:val="0"/>
        </w:rPr>
        <w:t xml:space="preserve"> knows or has reasonable cause to believe to be false or misleading in any material respect commits an offence.</w:t>
      </w:r>
    </w:p>
    <w:p>
      <w:pPr>
        <w:pStyle w:val="Penstart"/>
        <w:rPr>
          <w:snapToGrid w:val="0"/>
        </w:rPr>
      </w:pPr>
      <w:r>
        <w:rPr>
          <w:snapToGrid w:val="0"/>
        </w:rPr>
        <w:tab/>
        <w:t>Penalty: $1 000.</w:t>
      </w:r>
    </w:p>
    <w:p>
      <w:pPr>
        <w:pStyle w:val="Footnotesection"/>
      </w:pPr>
      <w:r>
        <w:tab/>
        <w:t>[By</w:t>
      </w:r>
      <w:r>
        <w:noBreakHyphen/>
        <w:t>law 18 amended in Gazette 29 Jun 1988 p. 2113; 14 Oct 1988 p. 4174; 31 Dec 1992 p. 6412</w:t>
      </w:r>
      <w:r>
        <w:noBreakHyphen/>
        <w:t>13; 4 Mar 1994 p. 904; 30 Jun 1995 p. 2736</w:t>
      </w:r>
      <w:r>
        <w:noBreakHyphen/>
        <w:t>7; 17 Nov 1995 p. 5344; 29 Dec 1995 p. 6331; 6 Jan 1998 p. 40; 29 Jun 1999 p. 2793</w:t>
      </w:r>
      <w:r>
        <w:noBreakHyphen/>
        <w:t>4; 29 Jun 2001 p. 3193; 7 Aug 2001 p. 4037; 29 Jun 2007 p. 3250; 25 Jun 2010 p. 2903</w:t>
      </w:r>
      <w:r>
        <w:noBreakHyphen/>
        <w:t>5.]</w:t>
      </w:r>
    </w:p>
    <w:p>
      <w:pPr>
        <w:pStyle w:val="Heading5"/>
        <w:rPr>
          <w:snapToGrid w:val="0"/>
        </w:rPr>
      </w:pPr>
      <w:bookmarkStart w:id="303" w:name="_Toc84427957"/>
      <w:bookmarkStart w:id="304" w:name="_Toc487428967"/>
      <w:bookmarkStart w:id="305" w:name="_Toc17278674"/>
      <w:bookmarkStart w:id="306" w:name="_Toc180204774"/>
      <w:bookmarkStart w:id="307" w:name="_Toc328471451"/>
      <w:r>
        <w:rPr>
          <w:rStyle w:val="CharSectno"/>
        </w:rPr>
        <w:t>18A</w:t>
      </w:r>
      <w:r>
        <w:rPr>
          <w:snapToGrid w:val="0"/>
        </w:rPr>
        <w:t>.</w:t>
      </w:r>
      <w:r>
        <w:rPr>
          <w:snapToGrid w:val="0"/>
        </w:rPr>
        <w:tab/>
        <w:t>Concessional metropolitan quantity charge</w:t>
      </w:r>
      <w:bookmarkEnd w:id="303"/>
      <w:bookmarkEnd w:id="304"/>
      <w:bookmarkEnd w:id="305"/>
      <w:bookmarkEnd w:id="306"/>
      <w:bookmarkEnd w:id="307"/>
    </w:p>
    <w:p>
      <w:pPr>
        <w:pStyle w:val="Subsection"/>
      </w:pPr>
      <w:r>
        <w:tab/>
        <w:t>(1)</w:t>
      </w:r>
      <w:r>
        <w:tab/>
        <w:t>In this by</w:t>
      </w:r>
      <w:r>
        <w:noBreakHyphen/>
        <w:t>law —</w:t>
      </w:r>
    </w:p>
    <w:p>
      <w:pPr>
        <w:pStyle w:val="Defstart"/>
      </w:pPr>
      <w:r>
        <w:tab/>
      </w:r>
      <w:r>
        <w:rPr>
          <w:rStyle w:val="CharDefText"/>
        </w:rPr>
        <w:t>eligible pensioner</w:t>
      </w:r>
      <w:r>
        <w:t xml:space="preserve"> means a person to whom section 23(1), (2) or (3) or section 24 of the </w:t>
      </w:r>
      <w:r>
        <w:rPr>
          <w:i/>
        </w:rPr>
        <w:t>Rates and Charges (Rebates and Deferments) Act 1992</w:t>
      </w:r>
      <w:r>
        <w:t xml:space="preserve"> applies.</w:t>
      </w:r>
    </w:p>
    <w:p>
      <w:pPr>
        <w:pStyle w:val="Subsection"/>
        <w:rPr>
          <w:snapToGrid w:val="0"/>
        </w:rPr>
      </w:pPr>
      <w:r>
        <w:rPr>
          <w:snapToGrid w:val="0"/>
        </w:rPr>
        <w:tab/>
        <w:t>(2)</w:t>
      </w:r>
      <w:r>
        <w:rPr>
          <w:snapToGrid w:val="0"/>
        </w:rPr>
        <w:tab/>
        <w:t>Notwithstanding any other provisions of these by</w:t>
      </w:r>
      <w:r>
        <w:rPr>
          <w:snapToGrid w:val="0"/>
        </w:rPr>
        <w:noBreakHyphen/>
        <w:t>laws, a person who is liable to pay a charge under by</w:t>
      </w:r>
      <w:r>
        <w:rPr>
          <w:snapToGrid w:val="0"/>
        </w:rPr>
        <w:noBreakHyphen/>
        <w:t>law 17A(1)(a) or 17A(3)(a) or under by</w:t>
      </w:r>
      <w:r>
        <w:rPr>
          <w:snapToGrid w:val="0"/>
        </w:rPr>
        <w:noBreakHyphen/>
        <w:t xml:space="preserve">law 17 and </w:t>
      </w:r>
      <w:r>
        <w:t xml:space="preserve">Schedule 1 item 20 or 21 </w:t>
      </w:r>
      <w:r>
        <w:rPr>
          <w:snapToGrid w:val="0"/>
        </w:rPr>
        <w:t>in respect of land in the metropolitan area shall be allowed a concession under this by</w:t>
      </w:r>
      <w:r>
        <w:rPr>
          <w:snapToGrid w:val="0"/>
        </w:rPr>
        <w:noBreakHyphen/>
        <w:t xml:space="preserve">law in respect of the charge if — </w:t>
      </w:r>
    </w:p>
    <w:p>
      <w:pPr>
        <w:pStyle w:val="Indenta"/>
        <w:rPr>
          <w:snapToGrid w:val="0"/>
        </w:rPr>
      </w:pPr>
      <w:r>
        <w:rPr>
          <w:snapToGrid w:val="0"/>
        </w:rPr>
        <w:tab/>
        <w:t>(a)</w:t>
      </w:r>
      <w:r>
        <w:rPr>
          <w:snapToGrid w:val="0"/>
        </w:rPr>
        <w:tab/>
        <w:t>the person satisfies the Corporation that he or she was an eligible pensioner at any time during the period to which the charge relates; and</w:t>
      </w:r>
    </w:p>
    <w:p>
      <w:pPr>
        <w:pStyle w:val="Indenta"/>
        <w:rPr>
          <w:snapToGrid w:val="0"/>
        </w:rPr>
      </w:pPr>
      <w:r>
        <w:rPr>
          <w:snapToGrid w:val="0"/>
        </w:rPr>
        <w:tab/>
        <w:t>(b)</w:t>
      </w:r>
      <w:r>
        <w:rPr>
          <w:snapToGrid w:val="0"/>
        </w:rPr>
        <w:tab/>
        <w:t>the land was occupied by the person during the period to which the charge relates, whether or not the land is also occupied by any other person; and</w:t>
      </w:r>
    </w:p>
    <w:p>
      <w:pPr>
        <w:pStyle w:val="Indenta"/>
        <w:rPr>
          <w:snapToGrid w:val="0"/>
        </w:rPr>
      </w:pPr>
      <w:r>
        <w:rPr>
          <w:snapToGrid w:val="0"/>
        </w:rPr>
        <w:tab/>
        <w:t>(c)</w:t>
      </w:r>
      <w:r>
        <w:rPr>
          <w:snapToGrid w:val="0"/>
        </w:rPr>
        <w:tab/>
      </w:r>
      <w:r>
        <w:t>t</w:t>
      </w:r>
      <w:r>
        <w:rPr>
          <w:snapToGrid w:val="0"/>
        </w:rPr>
        <w:t>he person is not liable for the payment of any amount due in respect of a charge assessed according to the quantity of water supplied to that or any other land during a period that commenced before the period to which the charge relates; and</w:t>
      </w:r>
    </w:p>
    <w:p>
      <w:pPr>
        <w:pStyle w:val="Indenta"/>
        <w:rPr>
          <w:snapToGrid w:val="0"/>
        </w:rPr>
      </w:pPr>
      <w:r>
        <w:rPr>
          <w:snapToGrid w:val="0"/>
        </w:rPr>
        <w:tab/>
        <w:t>(d)</w:t>
      </w:r>
      <w:r>
        <w:rPr>
          <w:snapToGrid w:val="0"/>
        </w:rPr>
        <w:tab/>
        <w:t>the person has not been allowed a concession under this by</w:t>
      </w:r>
      <w:r>
        <w:rPr>
          <w:snapToGrid w:val="0"/>
        </w:rPr>
        <w:noBreakHyphen/>
        <w:t>law in respect of water supplied to any other land except where the portions of the periods to which the respective concessions relate do not, to any extent, coincide.</w:t>
      </w:r>
    </w:p>
    <w:p>
      <w:pPr>
        <w:pStyle w:val="Subsection"/>
        <w:spacing w:before="100"/>
        <w:rPr>
          <w:snapToGrid w:val="0"/>
        </w:rPr>
      </w:pPr>
      <w:r>
        <w:rPr>
          <w:snapToGrid w:val="0"/>
        </w:rPr>
        <w:tab/>
        <w:t>(3)</w:t>
      </w:r>
      <w:r>
        <w:rPr>
          <w:snapToGrid w:val="0"/>
        </w:rPr>
        <w:tab/>
        <w:t>The concession to be allowed under this by</w:t>
      </w:r>
      <w:r>
        <w:rPr>
          <w:snapToGrid w:val="0"/>
        </w:rPr>
        <w:noBreakHyphen/>
        <w:t>law in respect of a charge under by</w:t>
      </w:r>
      <w:r>
        <w:rPr>
          <w:snapToGrid w:val="0"/>
        </w:rPr>
        <w:noBreakHyphen/>
        <w:t>law 17A(1)(a) or 17A(3)(a) or under by</w:t>
      </w:r>
      <w:r>
        <w:rPr>
          <w:snapToGrid w:val="0"/>
        </w:rPr>
        <w:noBreakHyphen/>
        <w:t xml:space="preserve">law 17 and </w:t>
      </w:r>
      <w:r>
        <w:t xml:space="preserve">Schedule 1 item 20 or 21 </w:t>
      </w:r>
      <w:r>
        <w:rPr>
          <w:snapToGrid w:val="0"/>
        </w:rPr>
        <w:t>is 50% of the amount calculated from the annual charge rates applicable where up to 150 kL of water is supplied in one year and where the land concerned is in the metropolitan area.</w:t>
      </w:r>
    </w:p>
    <w:p>
      <w:pPr>
        <w:pStyle w:val="Subsection"/>
        <w:spacing w:before="100"/>
        <w:rPr>
          <w:snapToGrid w:val="0"/>
        </w:rPr>
      </w:pPr>
      <w:r>
        <w:rPr>
          <w:snapToGrid w:val="0"/>
        </w:rPr>
        <w:tab/>
        <w:t>(4)</w:t>
      </w:r>
      <w:r>
        <w:rPr>
          <w:snapToGrid w:val="0"/>
        </w:rPr>
        <w:tab/>
        <w:t>A person who, in connection with or for the purpose of being allowed a concession under this by</w:t>
      </w:r>
      <w:r>
        <w:rPr>
          <w:snapToGrid w:val="0"/>
        </w:rPr>
        <w:noBreakHyphen/>
        <w:t xml:space="preserve">law, gives information that </w:t>
      </w:r>
      <w:r>
        <w:t>he or she</w:t>
      </w:r>
      <w:r>
        <w:rPr>
          <w:snapToGrid w:val="0"/>
        </w:rPr>
        <w:t xml:space="preserve"> knows or has reasonable cause to believe to be false or misleading in any material respect commits an offence.</w:t>
      </w:r>
    </w:p>
    <w:p>
      <w:pPr>
        <w:pStyle w:val="Penstart"/>
        <w:rPr>
          <w:snapToGrid w:val="0"/>
        </w:rPr>
      </w:pPr>
      <w:r>
        <w:rPr>
          <w:snapToGrid w:val="0"/>
        </w:rPr>
        <w:tab/>
        <w:t>Penalty: $1 000.</w:t>
      </w:r>
    </w:p>
    <w:p>
      <w:pPr>
        <w:pStyle w:val="Footnotesection"/>
      </w:pPr>
      <w:r>
        <w:tab/>
        <w:t>[By</w:t>
      </w:r>
      <w:r>
        <w:noBreakHyphen/>
        <w:t>law 18A inserted in Gazette 1 Jul 1993 p. 3215; amended in Gazette 30 Jun 1995 p. 2737; 29 Dec 1995 p. 6331; 6 Jan 1998 p. 40; 26 Jun 1998 p. 3400; 29 Jun 1999 p. 2794; 29 Jun 2001 p. 3193; 7 Aug 2001 p. 4038; 29 Jun 2007 p. 3251; 25 Jun 2010 p. 2905</w:t>
      </w:r>
      <w:r>
        <w:noBreakHyphen/>
        <w:t>6.]</w:t>
      </w:r>
    </w:p>
    <w:p>
      <w:pPr>
        <w:pStyle w:val="Heading5"/>
        <w:rPr>
          <w:snapToGrid w:val="0"/>
        </w:rPr>
      </w:pPr>
      <w:bookmarkStart w:id="308" w:name="_Toc84427958"/>
      <w:bookmarkStart w:id="309" w:name="_Toc487428968"/>
      <w:bookmarkStart w:id="310" w:name="_Toc17278675"/>
      <w:bookmarkStart w:id="311" w:name="_Toc180204775"/>
      <w:bookmarkStart w:id="312" w:name="_Toc328471452"/>
      <w:r>
        <w:rPr>
          <w:rStyle w:val="CharSectno"/>
        </w:rPr>
        <w:t>18B</w:t>
      </w:r>
      <w:r>
        <w:rPr>
          <w:snapToGrid w:val="0"/>
        </w:rPr>
        <w:t>.</w:t>
      </w:r>
      <w:r>
        <w:rPr>
          <w:snapToGrid w:val="0"/>
        </w:rPr>
        <w:tab/>
        <w:t>Residential multi</w:t>
      </w:r>
      <w:r>
        <w:rPr>
          <w:snapToGrid w:val="0"/>
        </w:rPr>
        <w:noBreakHyphen/>
        <w:t>unit properties — rebates for eligible pensioners</w:t>
      </w:r>
      <w:bookmarkEnd w:id="308"/>
      <w:bookmarkEnd w:id="309"/>
      <w:bookmarkEnd w:id="310"/>
      <w:bookmarkEnd w:id="311"/>
      <w:bookmarkEnd w:id="312"/>
    </w:p>
    <w:p>
      <w:pPr>
        <w:pStyle w:val="Subsection"/>
      </w:pPr>
      <w:r>
        <w:tab/>
        <w:t>(1)</w:t>
      </w:r>
      <w:r>
        <w:tab/>
        <w:t>In this by-law —</w:t>
      </w:r>
    </w:p>
    <w:p>
      <w:pPr>
        <w:pStyle w:val="Defstart"/>
      </w:pPr>
      <w:r>
        <w:tab/>
      </w:r>
      <w:r>
        <w:rPr>
          <w:rStyle w:val="CharDefText"/>
        </w:rPr>
        <w:t>eligible pensioner</w:t>
      </w:r>
      <w:r>
        <w:t xml:space="preserve"> means a person to whom section 23(1), (2) or (3) or section 24 of the </w:t>
      </w:r>
      <w:r>
        <w:rPr>
          <w:i/>
        </w:rPr>
        <w:t>Rates and Charges (Rebates and Deferments) Act 1992</w:t>
      </w:r>
      <w:r>
        <w:t xml:space="preserve"> applies;</w:t>
      </w:r>
    </w:p>
    <w:p>
      <w:pPr>
        <w:pStyle w:val="Defstart"/>
      </w:pPr>
      <w:r>
        <w:rPr>
          <w:b/>
        </w:rPr>
        <w:tab/>
      </w:r>
      <w:r>
        <w:rPr>
          <w:rStyle w:val="CharDefText"/>
        </w:rPr>
        <w:t>registered</w:t>
      </w:r>
      <w:r>
        <w:t xml:space="preserve"> in the case of an eligible pensioner who is a tenant, means registered or listed with the Corporation for the purposes of assessment under this by</w:t>
      </w:r>
      <w:r>
        <w:noBreakHyphen/>
        <w:t>law.</w:t>
      </w:r>
    </w:p>
    <w:p>
      <w:pPr>
        <w:pStyle w:val="Subsection"/>
        <w:rPr>
          <w:snapToGrid w:val="0"/>
        </w:rPr>
      </w:pPr>
      <w:r>
        <w:rPr>
          <w:snapToGrid w:val="0"/>
        </w:rPr>
        <w:tab/>
        <w:t>(2)</w:t>
      </w:r>
      <w:r>
        <w:rPr>
          <w:snapToGrid w:val="0"/>
        </w:rPr>
        <w:tab/>
      </w:r>
      <w:r>
        <w:rPr>
          <w:snapToGrid w:val="0"/>
          <w:spacing w:val="-4"/>
        </w:rPr>
        <w:t xml:space="preserve">Where land </w:t>
      </w:r>
      <w:r>
        <w:rPr>
          <w:snapToGrid w:val="0"/>
        </w:rPr>
        <w:t>comprises</w:t>
      </w:r>
      <w:r>
        <w:rPr>
          <w:snapToGrid w:val="0"/>
          <w:spacing w:val="-4"/>
        </w:rPr>
        <w:t xml:space="preserve"> a residential multi</w:t>
      </w:r>
      <w:r>
        <w:rPr>
          <w:snapToGrid w:val="0"/>
          <w:spacing w:val="-4"/>
        </w:rPr>
        <w:noBreakHyphen/>
        <w:t>unit property served by a single meter and one or more of those units are occupied by —</w:t>
      </w:r>
    </w:p>
    <w:p>
      <w:pPr>
        <w:pStyle w:val="Indenta"/>
        <w:rPr>
          <w:snapToGrid w:val="0"/>
        </w:rPr>
      </w:pPr>
      <w:r>
        <w:rPr>
          <w:snapToGrid w:val="0"/>
        </w:rPr>
        <w:tab/>
        <w:t>(a)</w:t>
      </w:r>
      <w:r>
        <w:rPr>
          <w:snapToGrid w:val="0"/>
        </w:rPr>
        <w:tab/>
        <w:t xml:space="preserve">an eligible pensioner who has registered an entitlement under the </w:t>
      </w:r>
      <w:r>
        <w:rPr>
          <w:i/>
          <w:snapToGrid w:val="0"/>
        </w:rPr>
        <w:t>Rates and Charges (Rebates and Deferments) Act 1992</w:t>
      </w:r>
      <w:r>
        <w:rPr>
          <w:snapToGrid w:val="0"/>
        </w:rPr>
        <w:t xml:space="preserve"> before the commencement of the period to which a quantity charge applies; or</w:t>
      </w:r>
    </w:p>
    <w:p>
      <w:pPr>
        <w:pStyle w:val="Indenta"/>
        <w:rPr>
          <w:snapToGrid w:val="0"/>
        </w:rPr>
      </w:pPr>
      <w:r>
        <w:rPr>
          <w:snapToGrid w:val="0"/>
        </w:rPr>
        <w:tab/>
        <w:t>(b)</w:t>
      </w:r>
      <w:r>
        <w:rPr>
          <w:snapToGrid w:val="0"/>
        </w:rPr>
        <w:tab/>
        <w:t>an eligible pensioner who is registered as a tenant with the Corporation before the commencement of the period to which a quantity charge applies,</w:t>
      </w:r>
    </w:p>
    <w:p>
      <w:pPr>
        <w:pStyle w:val="Subsection"/>
        <w:rPr>
          <w:snapToGrid w:val="0"/>
        </w:rPr>
      </w:pPr>
      <w:r>
        <w:rPr>
          <w:snapToGrid w:val="0"/>
        </w:rPr>
        <w:tab/>
      </w:r>
      <w:r>
        <w:rPr>
          <w:snapToGrid w:val="0"/>
        </w:rPr>
        <w:tab/>
        <w:t>then sub</w:t>
      </w:r>
      <w:r>
        <w:rPr>
          <w:snapToGrid w:val="0"/>
        </w:rPr>
        <w:noBreakHyphen/>
        <w:t>bylaw (3) applies.</w:t>
      </w:r>
    </w:p>
    <w:p>
      <w:pPr>
        <w:pStyle w:val="Subsection"/>
        <w:rPr>
          <w:snapToGrid w:val="0"/>
        </w:rPr>
      </w:pPr>
      <w:r>
        <w:rPr>
          <w:snapToGrid w:val="0"/>
        </w:rPr>
        <w:tab/>
        <w:t>(3)</w:t>
      </w:r>
      <w:r>
        <w:rPr>
          <w:snapToGrid w:val="0"/>
        </w:rPr>
        <w:tab/>
        <w:t>Where the Corporation is satisfied that a person described in sub</w:t>
      </w:r>
      <w:r>
        <w:rPr>
          <w:snapToGrid w:val="0"/>
        </w:rPr>
        <w:noBreakHyphen/>
        <w:t>bylaw (2)(a) or (b) is liable to pay a charge in relation to the water supplied to the property referred to in that sub</w:t>
      </w:r>
      <w:r>
        <w:rPr>
          <w:snapToGrid w:val="0"/>
        </w:rPr>
        <w:noBreakHyphen/>
        <w:t>bylaw, the person is entitled to a rebate to be calculated as 50% of the amount calculated from the annual charge rates, based on averaged unit consumption —</w:t>
      </w:r>
    </w:p>
    <w:p>
      <w:pPr>
        <w:pStyle w:val="Indenta"/>
        <w:rPr>
          <w:snapToGrid w:val="0"/>
        </w:rPr>
      </w:pPr>
      <w:r>
        <w:rPr>
          <w:snapToGrid w:val="0"/>
        </w:rPr>
        <w:tab/>
        <w:t>(a)</w:t>
      </w:r>
      <w:r>
        <w:rPr>
          <w:snapToGrid w:val="0"/>
        </w:rPr>
        <w:tab/>
        <w:t>where up to 150 kL of water is supplied in one year and where the land concerned is in the metropolitan area and is charged under by</w:t>
      </w:r>
      <w:r>
        <w:rPr>
          <w:snapToGrid w:val="0"/>
        </w:rPr>
        <w:noBreakHyphen/>
        <w:t>law 17A(1)(a), 17A(1)(b), 17A(3)(a) or 17A(3)(b) or under by</w:t>
      </w:r>
      <w:r>
        <w:rPr>
          <w:snapToGrid w:val="0"/>
        </w:rPr>
        <w:noBreakHyphen/>
        <w:t>law 17 and</w:t>
      </w:r>
      <w:r>
        <w:t xml:space="preserve"> Schedule 1 item 20 or 21</w:t>
      </w:r>
      <w:r>
        <w:rPr>
          <w:snapToGrid w:val="0"/>
        </w:rPr>
        <w:t>;</w:t>
      </w:r>
    </w:p>
    <w:p>
      <w:pPr>
        <w:pStyle w:val="Indenta"/>
        <w:keepNext/>
        <w:rPr>
          <w:snapToGrid w:val="0"/>
        </w:rPr>
      </w:pPr>
      <w:r>
        <w:rPr>
          <w:snapToGrid w:val="0"/>
        </w:rPr>
        <w:tab/>
        <w:t>(b)</w:t>
      </w:r>
      <w:r>
        <w:rPr>
          <w:snapToGrid w:val="0"/>
        </w:rPr>
        <w:tab/>
        <w:t>where up to —</w:t>
      </w:r>
    </w:p>
    <w:p>
      <w:pPr>
        <w:pStyle w:val="Indenti"/>
        <w:rPr>
          <w:snapToGrid w:val="0"/>
        </w:rPr>
      </w:pPr>
      <w:r>
        <w:rPr>
          <w:snapToGrid w:val="0"/>
        </w:rPr>
        <w:tab/>
        <w:t>(i)</w:t>
      </w:r>
      <w:r>
        <w:rPr>
          <w:snapToGrid w:val="0"/>
        </w:rPr>
        <w:tab/>
        <w:t xml:space="preserve">600 kL of water is supplied in one year and where the land concerned is in the town of Cue, Laverton, Leonora, Meekatharra, Menzies, Mt Magnet (from 1995/1996 onwards), </w:t>
      </w:r>
      <w:r>
        <w:t xml:space="preserve">Mullewa (from 2009/2010 onwards), </w:t>
      </w:r>
      <w:r>
        <w:rPr>
          <w:snapToGrid w:val="0"/>
        </w:rPr>
        <w:t>Sandstone, Wiluna or Yalgoo (from 1995/1996 onwards); or</w:t>
      </w:r>
    </w:p>
    <w:p>
      <w:pPr>
        <w:pStyle w:val="Indenti"/>
        <w:rPr>
          <w:snapToGrid w:val="0"/>
        </w:rPr>
      </w:pPr>
      <w:r>
        <w:rPr>
          <w:snapToGrid w:val="0"/>
        </w:rPr>
        <w:tab/>
        <w:t>(ii)</w:t>
      </w:r>
      <w:r>
        <w:rPr>
          <w:snapToGrid w:val="0"/>
        </w:rPr>
        <w:tab/>
        <w:t>400 kL of water is supplied in one year and where the land concerned is any other land south of 26° South Latitude,</w:t>
      </w:r>
    </w:p>
    <w:p>
      <w:pPr>
        <w:pStyle w:val="Indenta"/>
        <w:rPr>
          <w:snapToGrid w:val="0"/>
        </w:rPr>
      </w:pPr>
      <w:r>
        <w:rPr>
          <w:snapToGrid w:val="0"/>
        </w:rPr>
        <w:tab/>
      </w:r>
      <w:r>
        <w:rPr>
          <w:snapToGrid w:val="0"/>
        </w:rPr>
        <w:tab/>
        <w:t>and is charged under by</w:t>
      </w:r>
      <w:r>
        <w:rPr>
          <w:snapToGrid w:val="0"/>
        </w:rPr>
        <w:noBreakHyphen/>
        <w:t>law 17A(1)(a), 17A(1)(b), 17A(3)(a) or 17A(3)(b) or under by</w:t>
      </w:r>
      <w:r>
        <w:rPr>
          <w:snapToGrid w:val="0"/>
        </w:rPr>
        <w:noBreakHyphen/>
        <w:t>law 17 and</w:t>
      </w:r>
      <w:r>
        <w:t xml:space="preserve"> Schedule 1 item 22</w:t>
      </w:r>
      <w:r>
        <w:rPr>
          <w:snapToGrid w:val="0"/>
        </w:rPr>
        <w:t>; or</w:t>
      </w:r>
    </w:p>
    <w:p>
      <w:pPr>
        <w:pStyle w:val="Indenta"/>
        <w:rPr>
          <w:snapToGrid w:val="0"/>
        </w:rPr>
      </w:pPr>
      <w:r>
        <w:rPr>
          <w:snapToGrid w:val="0"/>
        </w:rPr>
        <w:tab/>
        <w:t>(c)</w:t>
      </w:r>
      <w:r>
        <w:rPr>
          <w:snapToGrid w:val="0"/>
        </w:rPr>
        <w:tab/>
        <w:t>where up to 600 kL of water is supplied in one year and where the land concerned is land north of 26° South Latitude and is charged under by</w:t>
      </w:r>
      <w:r>
        <w:rPr>
          <w:snapToGrid w:val="0"/>
        </w:rPr>
        <w:noBreakHyphen/>
        <w:t>law 17A(1)(a), 17A(1)(b), 17A(3)(a) or 17A(3)(b) or under by</w:t>
      </w:r>
      <w:r>
        <w:rPr>
          <w:snapToGrid w:val="0"/>
        </w:rPr>
        <w:noBreakHyphen/>
        <w:t>law 17 and</w:t>
      </w:r>
      <w:r>
        <w:t xml:space="preserve"> Schedule 1 item 22</w:t>
      </w:r>
      <w:r>
        <w:rPr>
          <w:snapToGrid w:val="0"/>
        </w:rPr>
        <w:t>,</w:t>
      </w:r>
    </w:p>
    <w:p>
      <w:pPr>
        <w:pStyle w:val="Subsection"/>
        <w:rPr>
          <w:snapToGrid w:val="0"/>
          <w:spacing w:val="-2"/>
        </w:rPr>
      </w:pPr>
      <w:r>
        <w:rPr>
          <w:snapToGrid w:val="0"/>
        </w:rPr>
        <w:tab/>
      </w:r>
      <w:r>
        <w:rPr>
          <w:snapToGrid w:val="0"/>
        </w:rPr>
        <w:tab/>
      </w:r>
      <w:r>
        <w:rPr>
          <w:snapToGrid w:val="0"/>
          <w:spacing w:val="-2"/>
        </w:rPr>
        <w:t>and the rebate is to be credited in accordance with sub</w:t>
      </w:r>
      <w:r>
        <w:rPr>
          <w:snapToGrid w:val="0"/>
          <w:spacing w:val="-2"/>
        </w:rPr>
        <w:noBreakHyphen/>
        <w:t>bylaw (4).</w:t>
      </w:r>
    </w:p>
    <w:p>
      <w:pPr>
        <w:pStyle w:val="Subsection"/>
        <w:rPr>
          <w:snapToGrid w:val="0"/>
        </w:rPr>
      </w:pPr>
      <w:r>
        <w:rPr>
          <w:snapToGrid w:val="0"/>
        </w:rPr>
        <w:tab/>
        <w:t>(4)</w:t>
      </w:r>
      <w:r>
        <w:rPr>
          <w:snapToGrid w:val="0"/>
        </w:rPr>
        <w:tab/>
        <w:t>The rebate set out in sub</w:t>
      </w:r>
      <w:r>
        <w:rPr>
          <w:snapToGrid w:val="0"/>
        </w:rPr>
        <w:noBreakHyphen/>
        <w:t>bylaw (3) can only be given —</w:t>
      </w:r>
    </w:p>
    <w:p>
      <w:pPr>
        <w:pStyle w:val="Indenta"/>
        <w:rPr>
          <w:snapToGrid w:val="0"/>
        </w:rPr>
      </w:pPr>
      <w:r>
        <w:rPr>
          <w:snapToGrid w:val="0"/>
        </w:rPr>
        <w:tab/>
        <w:t>(a)</w:t>
      </w:r>
      <w:r>
        <w:rPr>
          <w:snapToGrid w:val="0"/>
        </w:rPr>
        <w:tab/>
        <w:t>in the case of a person described in sub</w:t>
      </w:r>
      <w:r>
        <w:rPr>
          <w:snapToGrid w:val="0"/>
        </w:rPr>
        <w:noBreakHyphen/>
        <w:t>bylaw (2)(a), by direct credit to that person’s bank account or to his or her Annual Charges assessment;</w:t>
      </w:r>
    </w:p>
    <w:p>
      <w:pPr>
        <w:pStyle w:val="Indenta"/>
        <w:rPr>
          <w:snapToGrid w:val="0"/>
        </w:rPr>
      </w:pPr>
      <w:r>
        <w:rPr>
          <w:snapToGrid w:val="0"/>
        </w:rPr>
        <w:tab/>
        <w:t>(b)</w:t>
      </w:r>
      <w:r>
        <w:rPr>
          <w:snapToGrid w:val="0"/>
        </w:rPr>
        <w:tab/>
      </w:r>
      <w:r>
        <w:rPr>
          <w:snapToGrid w:val="0"/>
          <w:spacing w:val="-2"/>
        </w:rPr>
        <w:t>in the case of a person described in sub</w:t>
      </w:r>
      <w:r>
        <w:rPr>
          <w:snapToGrid w:val="0"/>
          <w:spacing w:val="-2"/>
        </w:rPr>
        <w:noBreakHyphen/>
        <w:t>bylaw (2)(b), by direct credit to that person’s bank account or credit to that person by such other means as the Corporation sees fit.</w:t>
      </w:r>
    </w:p>
    <w:p>
      <w:pPr>
        <w:pStyle w:val="Subsection"/>
        <w:rPr>
          <w:snapToGrid w:val="0"/>
        </w:rPr>
      </w:pPr>
      <w:r>
        <w:rPr>
          <w:snapToGrid w:val="0"/>
        </w:rPr>
        <w:tab/>
        <w:t>(5)</w:t>
      </w:r>
      <w:r>
        <w:rPr>
          <w:snapToGrid w:val="0"/>
        </w:rPr>
        <w:tab/>
        <w:t>The Corporation may, after having regard to the circumstances in a particular case, dispense with the requirement in sub</w:t>
      </w:r>
      <w:r>
        <w:rPr>
          <w:snapToGrid w:val="0"/>
        </w:rPr>
        <w:noBreakHyphen/>
        <w:t>bylaw (2) for a pensioner to register or be listed prior to the commencement of the period to which a quantity charge applies.</w:t>
      </w:r>
    </w:p>
    <w:p>
      <w:pPr>
        <w:pStyle w:val="Subsection"/>
        <w:rPr>
          <w:snapToGrid w:val="0"/>
        </w:rPr>
      </w:pPr>
      <w:r>
        <w:rPr>
          <w:snapToGrid w:val="0"/>
        </w:rPr>
        <w:tab/>
        <w:t>(6)</w:t>
      </w:r>
      <w:r>
        <w:rPr>
          <w:snapToGrid w:val="0"/>
        </w:rPr>
        <w:tab/>
        <w:t>An eligible pensioner registered for the purpose of this by</w:t>
      </w:r>
      <w:r>
        <w:rPr>
          <w:snapToGrid w:val="0"/>
        </w:rPr>
        <w:noBreakHyphen/>
        <w:t>law must advise the Corporation, in writing, if that pensioner —</w:t>
      </w:r>
    </w:p>
    <w:p>
      <w:pPr>
        <w:pStyle w:val="Indenta"/>
        <w:rPr>
          <w:snapToGrid w:val="0"/>
        </w:rPr>
      </w:pPr>
      <w:r>
        <w:rPr>
          <w:snapToGrid w:val="0"/>
        </w:rPr>
        <w:tab/>
        <w:t>(a)</w:t>
      </w:r>
      <w:r>
        <w:rPr>
          <w:snapToGrid w:val="0"/>
        </w:rPr>
        <w:tab/>
        <w:t>ceases to be an eligible pensioner; or</w:t>
      </w:r>
    </w:p>
    <w:p>
      <w:pPr>
        <w:pStyle w:val="Indenta"/>
        <w:rPr>
          <w:snapToGrid w:val="0"/>
        </w:rPr>
      </w:pPr>
      <w:r>
        <w:rPr>
          <w:snapToGrid w:val="0"/>
        </w:rPr>
        <w:tab/>
        <w:t>(b)</w:t>
      </w:r>
      <w:r>
        <w:rPr>
          <w:snapToGrid w:val="0"/>
        </w:rPr>
        <w:tab/>
        <w:t>ceases to occupy the property which is the subject of the registration.</w:t>
      </w:r>
    </w:p>
    <w:p>
      <w:pPr>
        <w:pStyle w:val="Subsection"/>
        <w:rPr>
          <w:snapToGrid w:val="0"/>
        </w:rPr>
      </w:pPr>
      <w:r>
        <w:rPr>
          <w:snapToGrid w:val="0"/>
        </w:rPr>
        <w:tab/>
        <w:t>(7)</w:t>
      </w:r>
      <w:r>
        <w:rPr>
          <w:snapToGrid w:val="0"/>
        </w:rPr>
        <w:tab/>
        <w:t>A person who, in connection with or for the purpose of being eligible to have a rebate credited in accordance with this by</w:t>
      </w:r>
      <w:r>
        <w:rPr>
          <w:snapToGrid w:val="0"/>
        </w:rPr>
        <w:noBreakHyphen/>
        <w:t>law, gives information that he or she knows or has reasonable cause to believe to be false or misleading commits an offence.</w:t>
      </w:r>
    </w:p>
    <w:p>
      <w:pPr>
        <w:pStyle w:val="Penstart"/>
        <w:rPr>
          <w:snapToGrid w:val="0"/>
        </w:rPr>
      </w:pPr>
      <w:r>
        <w:rPr>
          <w:snapToGrid w:val="0"/>
        </w:rPr>
        <w:tab/>
        <w:t>Penalty: $1 000.</w:t>
      </w:r>
    </w:p>
    <w:p>
      <w:pPr>
        <w:pStyle w:val="Footnotesection"/>
        <w:keepLines w:val="0"/>
      </w:pPr>
      <w:r>
        <w:tab/>
        <w:t>[By</w:t>
      </w:r>
      <w:r>
        <w:noBreakHyphen/>
        <w:t>law 18B inserted in Gazette 30 Dec 1994 p. 7351</w:t>
      </w:r>
      <w:r>
        <w:noBreakHyphen/>
        <w:t>3; amended in Gazette 30 Jun 1995 p. 2737; 17 Nov 1995 p. 5344</w:t>
      </w:r>
      <w:r>
        <w:noBreakHyphen/>
        <w:t>5; 29 Dec 1995 p. 6331; 6 Jan 1998 p. 41; 26 Jun 1998 p. 3400; 29 Jun 1999 p. 2794; 29 Jun 2001 p. 3193; 7 Aug 2001 p. 4038; 29 Jun 2007 p. 3251; 25 Jun 2010 p. 2906.]</w:t>
      </w:r>
    </w:p>
    <w:p>
      <w:pPr>
        <w:pStyle w:val="Ednotesection"/>
      </w:pPr>
      <w:r>
        <w:t>[</w:t>
      </w:r>
      <w:r>
        <w:rPr>
          <w:b/>
        </w:rPr>
        <w:t>19.</w:t>
      </w:r>
      <w:r>
        <w:rPr>
          <w:b/>
        </w:rPr>
        <w:tab/>
      </w:r>
      <w:r>
        <w:t>Deleted in Gazette 26 Jun 1998 p. 3400.]</w:t>
      </w:r>
    </w:p>
    <w:p>
      <w:pPr>
        <w:pStyle w:val="Heading5"/>
        <w:rPr>
          <w:snapToGrid w:val="0"/>
        </w:rPr>
      </w:pPr>
      <w:bookmarkStart w:id="313" w:name="_Toc84427959"/>
      <w:bookmarkStart w:id="314" w:name="_Toc487428969"/>
      <w:bookmarkStart w:id="315" w:name="_Toc17278676"/>
      <w:bookmarkStart w:id="316" w:name="_Toc180204776"/>
      <w:bookmarkStart w:id="317" w:name="_Toc328471453"/>
      <w:r>
        <w:rPr>
          <w:rStyle w:val="CharSectno"/>
        </w:rPr>
        <w:t>19A</w:t>
      </w:r>
      <w:r>
        <w:rPr>
          <w:snapToGrid w:val="0"/>
        </w:rPr>
        <w:t>.</w:t>
      </w:r>
      <w:r>
        <w:rPr>
          <w:snapToGrid w:val="0"/>
        </w:rPr>
        <w:tab/>
        <w:t>Capital infrastructure charges</w:t>
      </w:r>
      <w:bookmarkEnd w:id="313"/>
      <w:bookmarkEnd w:id="314"/>
      <w:bookmarkEnd w:id="315"/>
      <w:bookmarkEnd w:id="316"/>
      <w:bookmarkEnd w:id="317"/>
    </w:p>
    <w:p>
      <w:pPr>
        <w:pStyle w:val="Subsection"/>
        <w:rPr>
          <w:snapToGrid w:val="0"/>
        </w:rPr>
      </w:pPr>
      <w:r>
        <w:rPr>
          <w:snapToGrid w:val="0"/>
        </w:rPr>
        <w:tab/>
        <w:t>(1)</w:t>
      </w:r>
      <w:r>
        <w:rPr>
          <w:snapToGrid w:val="0"/>
        </w:rPr>
        <w:tab/>
        <w:t>In this by</w:t>
      </w:r>
      <w:r>
        <w:rPr>
          <w:snapToGrid w:val="0"/>
        </w:rPr>
        <w:noBreakHyphen/>
        <w:t>law —</w:t>
      </w:r>
    </w:p>
    <w:p>
      <w:pPr>
        <w:pStyle w:val="Defstart"/>
      </w:pPr>
      <w:r>
        <w:rPr>
          <w:b/>
        </w:rPr>
        <w:tab/>
      </w:r>
      <w:r>
        <w:rPr>
          <w:rStyle w:val="CharDefText"/>
        </w:rPr>
        <w:t>land</w:t>
      </w:r>
      <w:r>
        <w:t xml:space="preserve"> means a residential property or any other land.</w:t>
      </w:r>
    </w:p>
    <w:p>
      <w:pPr>
        <w:pStyle w:val="Subsection"/>
        <w:rPr>
          <w:snapToGrid w:val="0"/>
        </w:rPr>
      </w:pPr>
      <w:r>
        <w:rPr>
          <w:snapToGrid w:val="0"/>
        </w:rPr>
        <w:tab/>
        <w:t>(2)</w:t>
      </w:r>
      <w:r>
        <w:rPr>
          <w:snapToGrid w:val="0"/>
        </w:rPr>
        <w:tab/>
        <w:t>Subject to sub</w:t>
      </w:r>
      <w:r>
        <w:rPr>
          <w:snapToGrid w:val="0"/>
        </w:rPr>
        <w:noBreakHyphen/>
        <w:t>bylaw (3), if land is classified as</w:t>
      </w:r>
      <w:r>
        <w:t xml:space="preserve"> capital infrastructure</w:t>
      </w:r>
      <w:r>
        <w:rPr>
          <w:snapToGrid w:val="0"/>
        </w:rPr>
        <w:t>, the charge —</w:t>
      </w:r>
    </w:p>
    <w:p>
      <w:pPr>
        <w:pStyle w:val="Indenta"/>
        <w:rPr>
          <w:snapToGrid w:val="0"/>
        </w:rPr>
      </w:pPr>
      <w:r>
        <w:rPr>
          <w:snapToGrid w:val="0"/>
        </w:rPr>
        <w:tab/>
        <w:t>(a)</w:t>
      </w:r>
      <w:r>
        <w:rPr>
          <w:snapToGrid w:val="0"/>
        </w:rPr>
        <w:tab/>
        <w:t>set out in</w:t>
      </w:r>
      <w:r>
        <w:t xml:space="preserve"> Column 3 of the Table to Schedule 1 item 36</w:t>
      </w:r>
      <w:r>
        <w:rPr>
          <w:snapToGrid w:val="0"/>
        </w:rPr>
        <w:t>; and</w:t>
      </w:r>
    </w:p>
    <w:p>
      <w:pPr>
        <w:pStyle w:val="Indenta"/>
        <w:rPr>
          <w:snapToGrid w:val="0"/>
        </w:rPr>
      </w:pPr>
      <w:r>
        <w:rPr>
          <w:snapToGrid w:val="0"/>
        </w:rPr>
        <w:tab/>
        <w:t>(b)</w:t>
      </w:r>
      <w:r>
        <w:rPr>
          <w:snapToGrid w:val="0"/>
        </w:rPr>
        <w:tab/>
        <w:t>corresponding to the area within which the land is situated as specified in</w:t>
      </w:r>
      <w:r>
        <w:t xml:space="preserve"> Column 1 of the Table to Schedule 1 item 36</w:t>
      </w:r>
      <w:r>
        <w:rPr>
          <w:snapToGrid w:val="0"/>
        </w:rPr>
        <w:t>,</w:t>
      </w:r>
    </w:p>
    <w:p>
      <w:pPr>
        <w:pStyle w:val="Subsection"/>
        <w:rPr>
          <w:snapToGrid w:val="0"/>
        </w:rPr>
      </w:pPr>
      <w:r>
        <w:rPr>
          <w:snapToGrid w:val="0"/>
        </w:rPr>
        <w:tab/>
      </w:r>
      <w:r>
        <w:rPr>
          <w:snapToGrid w:val="0"/>
        </w:rPr>
        <w:tab/>
        <w:t>is a charge for a year in respect of that land, applicable for the number of years specified in</w:t>
      </w:r>
      <w:r>
        <w:t xml:space="preserve"> Column 4 of the Table to Schedule 1 item 36</w:t>
      </w:r>
      <w:r>
        <w:rPr>
          <w:snapToGrid w:val="0"/>
        </w:rPr>
        <w:t>.</w:t>
      </w:r>
    </w:p>
    <w:p>
      <w:pPr>
        <w:pStyle w:val="Subsection"/>
        <w:rPr>
          <w:snapToGrid w:val="0"/>
        </w:rPr>
      </w:pPr>
      <w:r>
        <w:rPr>
          <w:snapToGrid w:val="0"/>
        </w:rPr>
        <w:tab/>
        <w:t>(3)</w:t>
      </w:r>
      <w:r>
        <w:rPr>
          <w:snapToGrid w:val="0"/>
        </w:rPr>
        <w:tab/>
        <w:t>A person liable to pay a charge under sub</w:t>
      </w:r>
      <w:r>
        <w:rPr>
          <w:snapToGrid w:val="0"/>
        </w:rPr>
        <w:noBreakHyphen/>
        <w:t>bylaw (2) may, within 28 days of receiving notice of the charge from the Corporation, elect to pay the corresponding single charge specified in Column 2 of</w:t>
      </w:r>
      <w:r>
        <w:t xml:space="preserve"> the Table to Schedule 1 item 36</w:t>
      </w:r>
      <w:r>
        <w:rPr>
          <w:snapToGrid w:val="0"/>
        </w:rPr>
        <w:t>.</w:t>
      </w:r>
    </w:p>
    <w:p>
      <w:pPr>
        <w:pStyle w:val="Subsection"/>
        <w:rPr>
          <w:snapToGrid w:val="0"/>
        </w:rPr>
      </w:pPr>
      <w:r>
        <w:rPr>
          <w:snapToGrid w:val="0"/>
        </w:rPr>
        <w:tab/>
        <w:t>(4)</w:t>
      </w:r>
      <w:r>
        <w:rPr>
          <w:snapToGrid w:val="0"/>
        </w:rPr>
        <w:tab/>
        <w:t>Where a person elects to pay a single charge under sub</w:t>
      </w:r>
      <w:r>
        <w:rPr>
          <w:snapToGrid w:val="0"/>
        </w:rPr>
        <w:noBreakHyphen/>
        <w:t>bylaw (3) the single charge is payable in relation to the land instead of the annual charges specified in</w:t>
      </w:r>
      <w:r>
        <w:t xml:space="preserve"> sub</w:t>
      </w:r>
      <w:r>
        <w:noBreakHyphen/>
        <w:t>bylaw (2)</w:t>
      </w:r>
      <w:r>
        <w:rPr>
          <w:snapToGrid w:val="0"/>
        </w:rPr>
        <w:t>.</w:t>
      </w:r>
    </w:p>
    <w:p>
      <w:pPr>
        <w:pStyle w:val="Subsection"/>
        <w:rPr>
          <w:snapToGrid w:val="0"/>
        </w:rPr>
      </w:pPr>
      <w:r>
        <w:rPr>
          <w:snapToGrid w:val="0"/>
        </w:rPr>
        <w:tab/>
        <w:t>(5)</w:t>
      </w:r>
      <w:r>
        <w:rPr>
          <w:snapToGrid w:val="0"/>
        </w:rPr>
        <w:tab/>
        <w:t xml:space="preserve">A charge set out in </w:t>
      </w:r>
      <w:r>
        <w:t xml:space="preserve">the Table to Schedule 1 item 36 </w:t>
      </w:r>
      <w:r>
        <w:rPr>
          <w:snapToGrid w:val="0"/>
        </w:rPr>
        <w:t>is payable in addition to any other charges payable for water supply under these by</w:t>
      </w:r>
      <w:r>
        <w:rPr>
          <w:snapToGrid w:val="0"/>
        </w:rPr>
        <w:noBreakHyphen/>
        <w:t>laws.</w:t>
      </w:r>
    </w:p>
    <w:p>
      <w:pPr>
        <w:pStyle w:val="Footnotesection"/>
      </w:pPr>
      <w:r>
        <w:tab/>
        <w:t>[By</w:t>
      </w:r>
      <w:r>
        <w:noBreakHyphen/>
        <w:t>law 19A inserted in Gazette 13 May 1997 p. 2352</w:t>
      </w:r>
      <w:r>
        <w:noBreakHyphen/>
        <w:t>3; amended in Gazette 7 May 1999 p. 1860; 29 Jun 1999 p. 2794</w:t>
      </w:r>
      <w:r>
        <w:noBreakHyphen/>
        <w:t>5; 29 Jun 2001 p. 3193; 29 Jun 2007 p. 3251.]</w:t>
      </w:r>
    </w:p>
    <w:p>
      <w:pPr>
        <w:pStyle w:val="Heading3"/>
      </w:pPr>
      <w:bookmarkStart w:id="318" w:name="_Toc84427960"/>
      <w:bookmarkStart w:id="319" w:name="_Toc91580430"/>
      <w:bookmarkStart w:id="320" w:name="_Toc103667115"/>
      <w:bookmarkStart w:id="321" w:name="_Toc103741634"/>
      <w:bookmarkStart w:id="322" w:name="_Toc107981877"/>
      <w:bookmarkStart w:id="323" w:name="_Toc118800044"/>
      <w:bookmarkStart w:id="324" w:name="_Toc118860052"/>
      <w:bookmarkStart w:id="325" w:name="_Toc121545552"/>
      <w:bookmarkStart w:id="326" w:name="_Toc121801075"/>
      <w:bookmarkStart w:id="327" w:name="_Toc121818188"/>
      <w:bookmarkStart w:id="328" w:name="_Toc121880798"/>
      <w:bookmarkStart w:id="329" w:name="_Toc129481869"/>
      <w:bookmarkStart w:id="330" w:name="_Toc130095238"/>
      <w:bookmarkStart w:id="331" w:name="_Toc130273302"/>
      <w:bookmarkStart w:id="332" w:name="_Toc139770975"/>
      <w:bookmarkStart w:id="333" w:name="_Toc139771353"/>
      <w:bookmarkStart w:id="334" w:name="_Toc151191568"/>
      <w:bookmarkStart w:id="335" w:name="_Toc151260461"/>
      <w:bookmarkStart w:id="336" w:name="_Toc164158566"/>
      <w:bookmarkStart w:id="337" w:name="_Toc164220938"/>
      <w:bookmarkStart w:id="338" w:name="_Toc170878898"/>
      <w:bookmarkStart w:id="339" w:name="_Toc170894650"/>
      <w:bookmarkStart w:id="340" w:name="_Toc175712616"/>
      <w:bookmarkStart w:id="341" w:name="_Toc175970557"/>
      <w:bookmarkStart w:id="342" w:name="_Toc176335276"/>
      <w:bookmarkStart w:id="343" w:name="_Toc176338851"/>
      <w:bookmarkStart w:id="344" w:name="_Toc178742876"/>
      <w:bookmarkStart w:id="345" w:name="_Toc179363299"/>
      <w:bookmarkStart w:id="346" w:name="_Toc179604368"/>
      <w:bookmarkStart w:id="347" w:name="_Toc180204561"/>
      <w:bookmarkStart w:id="348" w:name="_Toc180204777"/>
      <w:bookmarkStart w:id="349" w:name="_Toc185844522"/>
      <w:bookmarkStart w:id="350" w:name="_Toc185845142"/>
      <w:bookmarkStart w:id="351" w:name="_Toc185927107"/>
      <w:bookmarkStart w:id="352" w:name="_Toc202505855"/>
      <w:bookmarkStart w:id="353" w:name="_Toc202672640"/>
      <w:bookmarkStart w:id="354" w:name="_Toc202691731"/>
      <w:bookmarkStart w:id="355" w:name="_Toc233448353"/>
      <w:bookmarkStart w:id="356" w:name="_Toc233611667"/>
      <w:bookmarkStart w:id="357" w:name="_Toc234730674"/>
      <w:bookmarkStart w:id="358" w:name="_Toc234733200"/>
      <w:bookmarkStart w:id="359" w:name="_Toc235863937"/>
      <w:bookmarkStart w:id="360" w:name="_Toc235933412"/>
      <w:bookmarkStart w:id="361" w:name="_Toc237164400"/>
      <w:bookmarkStart w:id="362" w:name="_Toc237244283"/>
      <w:bookmarkStart w:id="363" w:name="_Toc237245584"/>
      <w:bookmarkStart w:id="364" w:name="_Toc237245715"/>
      <w:bookmarkStart w:id="365" w:name="_Toc237247823"/>
      <w:bookmarkStart w:id="366" w:name="_Toc237254126"/>
      <w:bookmarkStart w:id="367" w:name="_Toc237309545"/>
      <w:bookmarkStart w:id="368" w:name="_Toc265743484"/>
      <w:bookmarkStart w:id="369" w:name="_Toc297540742"/>
      <w:bookmarkStart w:id="370" w:name="_Toc297541170"/>
      <w:bookmarkStart w:id="371" w:name="_Toc328403405"/>
      <w:bookmarkStart w:id="372" w:name="_Toc328471454"/>
      <w:r>
        <w:rPr>
          <w:rStyle w:val="CharDivNo"/>
        </w:rPr>
        <w:t>Division 2</w:t>
      </w:r>
      <w:r>
        <w:rPr>
          <w:snapToGrid w:val="0"/>
        </w:rPr>
        <w:t> — </w:t>
      </w:r>
      <w:r>
        <w:rPr>
          <w:rStyle w:val="CharDivText"/>
        </w:rPr>
        <w:t xml:space="preserve">Water supply under </w:t>
      </w:r>
      <w:r>
        <w:rPr>
          <w:rStyle w:val="CharDivText"/>
          <w:i/>
        </w:rPr>
        <w:t>Rights in Water and Irrigation Act 1914</w:t>
      </w:r>
      <w:r>
        <w:rPr>
          <w:rStyle w:val="CharDivText"/>
        </w:rPr>
        <w:t xml:space="preserve"> other than for irrigation</w:t>
      </w:r>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p>
    <w:p>
      <w:pPr>
        <w:pStyle w:val="Heading5"/>
        <w:rPr>
          <w:snapToGrid w:val="0"/>
        </w:rPr>
      </w:pPr>
      <w:bookmarkStart w:id="373" w:name="_Toc84427961"/>
      <w:bookmarkStart w:id="374" w:name="_Toc487428970"/>
      <w:bookmarkStart w:id="375" w:name="_Toc17278677"/>
      <w:bookmarkStart w:id="376" w:name="_Toc180204778"/>
      <w:bookmarkStart w:id="377" w:name="_Toc328471455"/>
      <w:r>
        <w:rPr>
          <w:rStyle w:val="CharSectno"/>
        </w:rPr>
        <w:t>20</w:t>
      </w:r>
      <w:r>
        <w:rPr>
          <w:snapToGrid w:val="0"/>
        </w:rPr>
        <w:t>.</w:t>
      </w:r>
      <w:r>
        <w:rPr>
          <w:snapToGrid w:val="0"/>
        </w:rPr>
        <w:tab/>
        <w:t>Land subject to water supply charges under this Division</w:t>
      </w:r>
      <w:bookmarkEnd w:id="373"/>
      <w:bookmarkEnd w:id="374"/>
      <w:bookmarkEnd w:id="375"/>
      <w:bookmarkEnd w:id="376"/>
      <w:bookmarkEnd w:id="377"/>
    </w:p>
    <w:p>
      <w:pPr>
        <w:pStyle w:val="Subsection"/>
        <w:rPr>
          <w:snapToGrid w:val="0"/>
        </w:rPr>
      </w:pPr>
      <w:r>
        <w:rPr>
          <w:snapToGrid w:val="0"/>
        </w:rPr>
        <w:tab/>
      </w:r>
      <w:r>
        <w:rPr>
          <w:snapToGrid w:val="0"/>
        </w:rPr>
        <w:tab/>
        <w:t xml:space="preserve">Land that is actually supplied by the Corporation under the </w:t>
      </w:r>
      <w:r>
        <w:rPr>
          <w:i/>
          <w:snapToGrid w:val="0"/>
        </w:rPr>
        <w:t>Rights in Water and Irrigation Act 1914</w:t>
      </w:r>
      <w:r>
        <w:rPr>
          <w:snapToGrid w:val="0"/>
        </w:rPr>
        <w:t xml:space="preserve"> with water for purposes other than irrigation shall be taken, in accordance with section 41(1)(b) of the </w:t>
      </w:r>
      <w:r>
        <w:rPr>
          <w:i/>
          <w:snapToGrid w:val="0"/>
        </w:rPr>
        <w:t>Water Agencies (Powers) Act 1984</w:t>
      </w:r>
      <w:r>
        <w:rPr>
          <w:snapToGrid w:val="0"/>
        </w:rPr>
        <w:t xml:space="preserve">, to be land in respect of which the Corporation provides water supply and charges under </w:t>
      </w:r>
      <w:r>
        <w:t xml:space="preserve">Schedule 2 </w:t>
      </w:r>
      <w:r>
        <w:rPr>
          <w:snapToGrid w:val="0"/>
        </w:rPr>
        <w:t>shall apply in respect of that land.</w:t>
      </w:r>
    </w:p>
    <w:p>
      <w:pPr>
        <w:pStyle w:val="Footnotesection"/>
      </w:pPr>
      <w:r>
        <w:tab/>
        <w:t>[By</w:t>
      </w:r>
      <w:r>
        <w:noBreakHyphen/>
        <w:t>law 20 amended in Gazette 29 Dec 1995 p. 6331</w:t>
      </w:r>
      <w:r>
        <w:noBreakHyphen/>
        <w:t>2; 29 Jun 1999 p. 2795; 29 Jun 2001 p. 3194.]</w:t>
      </w:r>
    </w:p>
    <w:p>
      <w:pPr>
        <w:pStyle w:val="Ednotedivision"/>
      </w:pPr>
      <w:r>
        <w:t>[Divisions 3 and 4 deleted in Gazette 27 Jun 1997 p. 3180.]</w:t>
      </w:r>
    </w:p>
    <w:p>
      <w:pPr>
        <w:pStyle w:val="Heading2"/>
      </w:pPr>
      <w:bookmarkStart w:id="378" w:name="_Toc84427962"/>
      <w:bookmarkStart w:id="379" w:name="_Toc91580432"/>
      <w:bookmarkStart w:id="380" w:name="_Toc103667117"/>
      <w:bookmarkStart w:id="381" w:name="_Toc103741636"/>
      <w:bookmarkStart w:id="382" w:name="_Toc107981879"/>
      <w:bookmarkStart w:id="383" w:name="_Toc118800046"/>
      <w:bookmarkStart w:id="384" w:name="_Toc118860054"/>
      <w:bookmarkStart w:id="385" w:name="_Toc121545554"/>
      <w:bookmarkStart w:id="386" w:name="_Toc121801077"/>
      <w:bookmarkStart w:id="387" w:name="_Toc121818190"/>
      <w:bookmarkStart w:id="388" w:name="_Toc121880800"/>
      <w:bookmarkStart w:id="389" w:name="_Toc129481871"/>
      <w:bookmarkStart w:id="390" w:name="_Toc130095240"/>
      <w:bookmarkStart w:id="391" w:name="_Toc130273304"/>
      <w:bookmarkStart w:id="392" w:name="_Toc139770977"/>
      <w:bookmarkStart w:id="393" w:name="_Toc139771355"/>
      <w:bookmarkStart w:id="394" w:name="_Toc151191570"/>
      <w:bookmarkStart w:id="395" w:name="_Toc151260463"/>
      <w:bookmarkStart w:id="396" w:name="_Toc164158568"/>
      <w:bookmarkStart w:id="397" w:name="_Toc164220940"/>
      <w:bookmarkStart w:id="398" w:name="_Toc170878900"/>
      <w:bookmarkStart w:id="399" w:name="_Toc170894652"/>
      <w:bookmarkStart w:id="400" w:name="_Toc175712618"/>
      <w:bookmarkStart w:id="401" w:name="_Toc175970559"/>
      <w:bookmarkStart w:id="402" w:name="_Toc176335278"/>
      <w:bookmarkStart w:id="403" w:name="_Toc176338853"/>
      <w:bookmarkStart w:id="404" w:name="_Toc178742878"/>
      <w:bookmarkStart w:id="405" w:name="_Toc179363301"/>
      <w:bookmarkStart w:id="406" w:name="_Toc179604370"/>
      <w:bookmarkStart w:id="407" w:name="_Toc180204563"/>
      <w:bookmarkStart w:id="408" w:name="_Toc180204779"/>
      <w:bookmarkStart w:id="409" w:name="_Toc185844524"/>
      <w:bookmarkStart w:id="410" w:name="_Toc185845144"/>
      <w:bookmarkStart w:id="411" w:name="_Toc185927109"/>
      <w:bookmarkStart w:id="412" w:name="_Toc202505857"/>
      <w:bookmarkStart w:id="413" w:name="_Toc202672642"/>
      <w:bookmarkStart w:id="414" w:name="_Toc202691733"/>
      <w:bookmarkStart w:id="415" w:name="_Toc233448355"/>
      <w:bookmarkStart w:id="416" w:name="_Toc233611669"/>
      <w:bookmarkStart w:id="417" w:name="_Toc234730676"/>
      <w:bookmarkStart w:id="418" w:name="_Toc234733202"/>
      <w:bookmarkStart w:id="419" w:name="_Toc235863939"/>
      <w:bookmarkStart w:id="420" w:name="_Toc235933414"/>
      <w:bookmarkStart w:id="421" w:name="_Toc237164402"/>
      <w:bookmarkStart w:id="422" w:name="_Toc237244285"/>
      <w:bookmarkStart w:id="423" w:name="_Toc237245586"/>
      <w:bookmarkStart w:id="424" w:name="_Toc237245717"/>
      <w:bookmarkStart w:id="425" w:name="_Toc237247825"/>
      <w:bookmarkStart w:id="426" w:name="_Toc237254128"/>
      <w:bookmarkStart w:id="427" w:name="_Toc237309547"/>
      <w:bookmarkStart w:id="428" w:name="_Toc265743486"/>
      <w:bookmarkStart w:id="429" w:name="_Toc297540744"/>
      <w:bookmarkStart w:id="430" w:name="_Toc297541172"/>
      <w:bookmarkStart w:id="431" w:name="_Toc328403407"/>
      <w:bookmarkStart w:id="432" w:name="_Toc328471456"/>
      <w:r>
        <w:rPr>
          <w:rStyle w:val="CharPartNo"/>
        </w:rPr>
        <w:t>Part 3</w:t>
      </w:r>
      <w:r>
        <w:rPr>
          <w:rStyle w:val="CharDivNo"/>
        </w:rPr>
        <w:t> </w:t>
      </w:r>
      <w:r>
        <w:t>—</w:t>
      </w:r>
      <w:r>
        <w:rPr>
          <w:rStyle w:val="CharDivText"/>
        </w:rPr>
        <w:t> </w:t>
      </w:r>
      <w:r>
        <w:rPr>
          <w:rStyle w:val="CharPartText"/>
        </w:rPr>
        <w:t>Sewerage</w:t>
      </w:r>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p>
    <w:p>
      <w:pPr>
        <w:pStyle w:val="Heading5"/>
      </w:pPr>
      <w:bookmarkStart w:id="433" w:name="_Toc84427963"/>
      <w:bookmarkStart w:id="434" w:name="_Toc180204780"/>
      <w:bookmarkStart w:id="435" w:name="_Toc328471457"/>
      <w:bookmarkStart w:id="436" w:name="_Toc487428972"/>
      <w:bookmarkStart w:id="437" w:name="_Toc17278679"/>
      <w:r>
        <w:rPr>
          <w:rStyle w:val="CharSectno"/>
        </w:rPr>
        <w:t>21A</w:t>
      </w:r>
      <w:r>
        <w:t>.</w:t>
      </w:r>
      <w:r>
        <w:tab/>
        <w:t>Terms used</w:t>
      </w:r>
      <w:bookmarkEnd w:id="433"/>
      <w:bookmarkEnd w:id="434"/>
      <w:bookmarkEnd w:id="435"/>
    </w:p>
    <w:p>
      <w:pPr>
        <w:pStyle w:val="Subsection"/>
      </w:pPr>
      <w:r>
        <w:tab/>
      </w:r>
      <w:r>
        <w:tab/>
        <w:t>In this Part —</w:t>
      </w:r>
    </w:p>
    <w:p>
      <w:pPr>
        <w:pStyle w:val="Defstart"/>
      </w:pPr>
      <w:r>
        <w:rPr>
          <w:b/>
        </w:rPr>
        <w:tab/>
      </w:r>
      <w:r>
        <w:rPr>
          <w:rStyle w:val="CharDefText"/>
        </w:rPr>
        <w:t>country non</w:t>
      </w:r>
      <w:r>
        <w:rPr>
          <w:rStyle w:val="CharDefText"/>
        </w:rPr>
        <w:noBreakHyphen/>
        <w:t>residential or commercial residential property</w:t>
      </w:r>
      <w:r>
        <w:t xml:space="preserve"> means land referred to in Schedule 3 item 31;</w:t>
      </w:r>
    </w:p>
    <w:p>
      <w:pPr>
        <w:pStyle w:val="Defstart"/>
      </w:pPr>
      <w:r>
        <w:rPr>
          <w:b/>
        </w:rPr>
        <w:tab/>
      </w:r>
      <w:r>
        <w:rPr>
          <w:rStyle w:val="CharDefText"/>
        </w:rPr>
        <w:t>formula</w:t>
      </w:r>
      <w:r>
        <w:t xml:space="preserve"> means —</w:t>
      </w:r>
    </w:p>
    <w:p>
      <w:pPr>
        <w:pStyle w:val="Defpara"/>
        <w:spacing w:before="120"/>
      </w:pPr>
      <w:r>
        <w:tab/>
        <w:t>(a)</w:t>
      </w:r>
      <w:r>
        <w:tab/>
        <w:t>in a metropolitan context, the formula set out in Schedule 3 item 18; or</w:t>
      </w:r>
    </w:p>
    <w:p>
      <w:pPr>
        <w:pStyle w:val="Defpara"/>
        <w:spacing w:before="120"/>
      </w:pPr>
      <w:r>
        <w:tab/>
        <w:t>(b)</w:t>
      </w:r>
      <w:r>
        <w:tab/>
        <w:t>in a country context, the formula set out in Schedule 3 item 36;</w:t>
      </w:r>
    </w:p>
    <w:p>
      <w:pPr>
        <w:pStyle w:val="Defstart"/>
      </w:pPr>
      <w:r>
        <w:rPr>
          <w:b/>
        </w:rPr>
        <w:tab/>
      </w:r>
      <w:r>
        <w:rPr>
          <w:rStyle w:val="CharDefText"/>
        </w:rPr>
        <w:t>metropolitan non</w:t>
      </w:r>
      <w:r>
        <w:rPr>
          <w:rStyle w:val="CharDefText"/>
        </w:rPr>
        <w:noBreakHyphen/>
        <w:t>residential property</w:t>
      </w:r>
      <w:r>
        <w:t xml:space="preserve"> means land referred to in Schedule 3 item 13;</w:t>
      </w:r>
    </w:p>
    <w:p>
      <w:pPr>
        <w:pStyle w:val="Defstart"/>
      </w:pPr>
      <w:r>
        <w:tab/>
      </w:r>
      <w:r>
        <w:rPr>
          <w:rStyle w:val="CharDefText"/>
        </w:rPr>
        <w:t>Table</w:t>
      </w:r>
      <w:r>
        <w:t xml:space="preserve"> means —</w:t>
      </w:r>
    </w:p>
    <w:p>
      <w:pPr>
        <w:pStyle w:val="Defpara"/>
        <w:spacing w:before="120"/>
      </w:pPr>
      <w:r>
        <w:tab/>
        <w:t>(a)</w:t>
      </w:r>
      <w:r>
        <w:tab/>
        <w:t>in a metropolitan context, the Table to Schedule 3 item 18; or</w:t>
      </w:r>
    </w:p>
    <w:p>
      <w:pPr>
        <w:pStyle w:val="Defpara"/>
        <w:spacing w:before="120"/>
      </w:pPr>
      <w:r>
        <w:tab/>
        <w:t>(b)</w:t>
      </w:r>
      <w:r>
        <w:tab/>
        <w:t>in a country context, the Table to Schedule 3 item 36.</w:t>
      </w:r>
    </w:p>
    <w:p>
      <w:pPr>
        <w:pStyle w:val="Footnotesection"/>
      </w:pPr>
      <w:r>
        <w:tab/>
        <w:t>[By</w:t>
      </w:r>
      <w:r>
        <w:noBreakHyphen/>
        <w:t>law 21A inserted in Gazette 27 Jun 2003 p. 2287; amended in Gazette 29 Jun 2007 p. 3251</w:t>
      </w:r>
      <w:r>
        <w:noBreakHyphen/>
        <w:t>2.]</w:t>
      </w:r>
    </w:p>
    <w:p>
      <w:pPr>
        <w:pStyle w:val="Heading5"/>
        <w:rPr>
          <w:snapToGrid w:val="0"/>
        </w:rPr>
      </w:pPr>
      <w:bookmarkStart w:id="438" w:name="_Toc84427964"/>
      <w:bookmarkStart w:id="439" w:name="_Toc180204781"/>
      <w:bookmarkStart w:id="440" w:name="_Toc328471458"/>
      <w:r>
        <w:rPr>
          <w:rStyle w:val="CharSectno"/>
        </w:rPr>
        <w:t>21</w:t>
      </w:r>
      <w:r>
        <w:rPr>
          <w:snapToGrid w:val="0"/>
        </w:rPr>
        <w:t>.</w:t>
      </w:r>
      <w:r>
        <w:rPr>
          <w:snapToGrid w:val="0"/>
        </w:rPr>
        <w:tab/>
        <w:t>Land subject to sewerage charges</w:t>
      </w:r>
      <w:bookmarkEnd w:id="438"/>
      <w:bookmarkEnd w:id="436"/>
      <w:bookmarkEnd w:id="437"/>
      <w:bookmarkEnd w:id="439"/>
      <w:bookmarkEnd w:id="440"/>
    </w:p>
    <w:p>
      <w:pPr>
        <w:pStyle w:val="Subsection"/>
        <w:rPr>
          <w:snapToGrid w:val="0"/>
        </w:rPr>
      </w:pPr>
      <w:r>
        <w:rPr>
          <w:snapToGrid w:val="0"/>
        </w:rPr>
        <w:tab/>
      </w:r>
      <w:r>
        <w:rPr>
          <w:snapToGrid w:val="0"/>
        </w:rPr>
        <w:tab/>
        <w:t>Land that is connected with a sewer or, although not connected —</w:t>
      </w:r>
    </w:p>
    <w:p>
      <w:pPr>
        <w:pStyle w:val="Indenta"/>
        <w:spacing w:before="120"/>
        <w:rPr>
          <w:snapToGrid w:val="0"/>
        </w:rPr>
      </w:pPr>
      <w:r>
        <w:rPr>
          <w:snapToGrid w:val="0"/>
        </w:rPr>
        <w:tab/>
        <w:t>(a)</w:t>
      </w:r>
      <w:r>
        <w:rPr>
          <w:snapToGrid w:val="0"/>
        </w:rPr>
        <w:tab/>
        <w:t>is in the opinion of the Corporation reasonably capable of being connected with a sewer; and</w:t>
      </w:r>
    </w:p>
    <w:p>
      <w:pPr>
        <w:pStyle w:val="Indenta"/>
        <w:spacing w:before="120"/>
        <w:rPr>
          <w:snapToGrid w:val="0"/>
        </w:rPr>
      </w:pPr>
      <w:r>
        <w:rPr>
          <w:snapToGrid w:val="0"/>
        </w:rPr>
        <w:tab/>
        <w:t>(b)</w:t>
      </w:r>
      <w:r>
        <w:rPr>
          <w:snapToGrid w:val="0"/>
        </w:rPr>
        <w:tab/>
        <w:t>has been the subject of a notice advising the owner or occupier of the land that it is reasonably capable of being connected with a sewer,</w:t>
      </w:r>
    </w:p>
    <w:p>
      <w:pPr>
        <w:pStyle w:val="Subsection"/>
        <w:rPr>
          <w:snapToGrid w:val="0"/>
        </w:rPr>
      </w:pPr>
      <w:r>
        <w:rPr>
          <w:snapToGrid w:val="0"/>
        </w:rPr>
        <w:tab/>
      </w:r>
      <w:r>
        <w:rPr>
          <w:snapToGrid w:val="0"/>
        </w:rPr>
        <w:tab/>
        <w:t xml:space="preserve">shall be taken, in accordance with section 41(1)(b) of the </w:t>
      </w:r>
      <w:r>
        <w:rPr>
          <w:i/>
          <w:snapToGrid w:val="0"/>
        </w:rPr>
        <w:t>Water Agencies (Powers) Act 1984</w:t>
      </w:r>
      <w:r>
        <w:rPr>
          <w:snapToGrid w:val="0"/>
        </w:rPr>
        <w:t>, to be land in respect of which the Corporation provides sewerage and, subject to by</w:t>
      </w:r>
      <w:r>
        <w:rPr>
          <w:snapToGrid w:val="0"/>
        </w:rPr>
        <w:noBreakHyphen/>
        <w:t>law 22, charges as set out in Schedule 3, shall apply in respect of that land.</w:t>
      </w:r>
    </w:p>
    <w:p>
      <w:pPr>
        <w:pStyle w:val="Footnotesection"/>
        <w:spacing w:before="100"/>
        <w:ind w:left="890" w:hanging="890"/>
      </w:pPr>
      <w:r>
        <w:tab/>
        <w:t>[By</w:t>
      </w:r>
      <w:r>
        <w:noBreakHyphen/>
        <w:t>law 21 amended in Gazette 29 Dec 1995 p. 6331</w:t>
      </w:r>
      <w:r>
        <w:noBreakHyphen/>
        <w:t>2; 29 Jun 2001 p. 3194.]</w:t>
      </w:r>
    </w:p>
    <w:p>
      <w:pPr>
        <w:pStyle w:val="Heading5"/>
        <w:rPr>
          <w:snapToGrid w:val="0"/>
        </w:rPr>
      </w:pPr>
      <w:bookmarkStart w:id="441" w:name="_Toc84427965"/>
      <w:bookmarkStart w:id="442" w:name="_Toc487428973"/>
      <w:bookmarkStart w:id="443" w:name="_Toc17278680"/>
      <w:bookmarkStart w:id="444" w:name="_Toc180204782"/>
      <w:bookmarkStart w:id="445" w:name="_Toc328471459"/>
      <w:r>
        <w:rPr>
          <w:rStyle w:val="CharSectno"/>
        </w:rPr>
        <w:t>22</w:t>
      </w:r>
      <w:r>
        <w:rPr>
          <w:snapToGrid w:val="0"/>
        </w:rPr>
        <w:t>.</w:t>
      </w:r>
      <w:r>
        <w:rPr>
          <w:snapToGrid w:val="0"/>
        </w:rPr>
        <w:tab/>
        <w:t>Exempt land</w:t>
      </w:r>
      <w:bookmarkEnd w:id="441"/>
      <w:bookmarkEnd w:id="442"/>
      <w:bookmarkEnd w:id="443"/>
      <w:bookmarkEnd w:id="444"/>
      <w:bookmarkEnd w:id="445"/>
    </w:p>
    <w:p>
      <w:pPr>
        <w:pStyle w:val="Subsection"/>
        <w:rPr>
          <w:snapToGrid w:val="0"/>
        </w:rPr>
      </w:pPr>
      <w:r>
        <w:rPr>
          <w:snapToGrid w:val="0"/>
        </w:rPr>
        <w:tab/>
      </w:r>
      <w:r>
        <w:rPr>
          <w:snapToGrid w:val="0"/>
        </w:rPr>
        <w:tab/>
        <w:t>Where land described in by</w:t>
      </w:r>
      <w:r>
        <w:rPr>
          <w:snapToGrid w:val="0"/>
        </w:rPr>
        <w:noBreakHyphen/>
        <w:t>law 4 is not connected with a sewer, it is exempt from any charge set out in</w:t>
      </w:r>
      <w:r>
        <w:t xml:space="preserve"> Schedule 3 to the extent set out in that Schedule.</w:t>
      </w:r>
    </w:p>
    <w:p>
      <w:pPr>
        <w:pStyle w:val="Footnotesection"/>
        <w:spacing w:before="100"/>
        <w:ind w:left="890" w:hanging="890"/>
      </w:pPr>
      <w:r>
        <w:tab/>
        <w:t>[By</w:t>
      </w:r>
      <w:r>
        <w:noBreakHyphen/>
        <w:t>law 22 amended in Gazette 29 Jun 2001 p. 3194; 20 Jun 2012 p. 2699.]</w:t>
      </w:r>
    </w:p>
    <w:p>
      <w:pPr>
        <w:pStyle w:val="Heading5"/>
        <w:rPr>
          <w:rStyle w:val="CharSectno"/>
        </w:rPr>
      </w:pPr>
      <w:bookmarkStart w:id="446" w:name="_Toc84427966"/>
      <w:bookmarkStart w:id="447" w:name="_Toc180204783"/>
      <w:bookmarkStart w:id="448" w:name="_Toc328471460"/>
      <w:bookmarkStart w:id="449" w:name="_Toc487428975"/>
      <w:bookmarkStart w:id="450" w:name="_Toc17278682"/>
      <w:r>
        <w:rPr>
          <w:rStyle w:val="CharSectno"/>
        </w:rPr>
        <w:t>23.</w:t>
      </w:r>
      <w:r>
        <w:rPr>
          <w:rStyle w:val="CharSectno"/>
        </w:rPr>
        <w:tab/>
        <w:t>Classification of land</w:t>
      </w:r>
      <w:bookmarkEnd w:id="446"/>
      <w:bookmarkEnd w:id="447"/>
      <w:bookmarkEnd w:id="448"/>
    </w:p>
    <w:p>
      <w:pPr>
        <w:pStyle w:val="Subsection"/>
      </w:pPr>
      <w:r>
        <w:rPr>
          <w:snapToGrid w:val="0"/>
        </w:rPr>
        <w:tab/>
        <w:t>(1)</w:t>
      </w:r>
      <w:r>
        <w:rPr>
          <w:snapToGrid w:val="0"/>
        </w:rPr>
        <w:tab/>
        <w:t>For the purposes of this Part, land described in by</w:t>
      </w:r>
      <w:r>
        <w:rPr>
          <w:snapToGrid w:val="0"/>
        </w:rPr>
        <w:noBreakHyphen/>
        <w:t>law 4 that is</w:t>
      </w:r>
      <w:r>
        <w:t xml:space="preserve"> in a country sewerage area and is connected with a sewer may, irrespective of any other classification under these by</w:t>
      </w:r>
      <w:r>
        <w:noBreakHyphen/>
        <w:t xml:space="preserve">laws, be classified by the Corporation as follows — </w:t>
      </w:r>
    </w:p>
    <w:p>
      <w:pPr>
        <w:pStyle w:val="Indenta"/>
        <w:spacing w:before="100"/>
      </w:pPr>
      <w:r>
        <w:tab/>
        <w:t>(a)</w:t>
      </w:r>
      <w:r>
        <w:tab/>
        <w:t>institutional public, if the land is used for such club, institutional or public purpose as the Corporation approves, not being a purpose mentioned in paragraph (b);</w:t>
      </w:r>
    </w:p>
    <w:p>
      <w:pPr>
        <w:pStyle w:val="Indenta"/>
        <w:spacing w:before="100"/>
      </w:pPr>
      <w:r>
        <w:tab/>
        <w:t>(b)</w:t>
      </w:r>
      <w:r>
        <w:tab/>
        <w:t xml:space="preserve">charitable purposes, if, in the opinion of the Corporation, the land is used for the purpose of — </w:t>
      </w:r>
    </w:p>
    <w:p>
      <w:pPr>
        <w:pStyle w:val="Indenti"/>
        <w:spacing w:before="100"/>
      </w:pPr>
      <w:r>
        <w:tab/>
        <w:t>(i)</w:t>
      </w:r>
      <w:r>
        <w:tab/>
        <w:t>providing relief or assistance to sick, aged, disadvantaged, unemployed or young persons; or</w:t>
      </w:r>
    </w:p>
    <w:p>
      <w:pPr>
        <w:pStyle w:val="Indenti"/>
        <w:spacing w:before="100"/>
      </w:pPr>
      <w:r>
        <w:tab/>
        <w:t>(ii)</w:t>
      </w:r>
      <w:r>
        <w:tab/>
        <w:t>conducting other activities for the benefit of the public or in the interests of social welfare,</w:t>
      </w:r>
    </w:p>
    <w:p>
      <w:pPr>
        <w:pStyle w:val="Indenta"/>
        <w:spacing w:before="100"/>
      </w:pPr>
      <w:r>
        <w:tab/>
      </w:r>
      <w:r>
        <w:tab/>
        <w:t>by a private organisation that is not operated for the purpose of profit or gain to individual members, shareholders or owners;</w:t>
      </w:r>
    </w:p>
    <w:p>
      <w:pPr>
        <w:pStyle w:val="Indenta"/>
        <w:spacing w:before="100"/>
      </w:pPr>
      <w:r>
        <w:tab/>
        <w:t>(c)</w:t>
      </w:r>
      <w:r>
        <w:tab/>
        <w:t>community residential, if the land is occupied as a communal property on which several family units dwell at the same time and is managed by the persons dwelling on the land or a committee of them;</w:t>
      </w:r>
    </w:p>
    <w:p>
      <w:pPr>
        <w:pStyle w:val="Indenta"/>
      </w:pPr>
      <w:r>
        <w:tab/>
        <w:t>(d)</w:t>
      </w:r>
      <w:r>
        <w:tab/>
        <w:t>local government, if the land is not in the metropolitan area and is used by the local government for business, professional, commercial or office purposes, or as a power station, and the classification of the land is not otherwise specifically provided for in this by</w:t>
      </w:r>
      <w:r>
        <w:noBreakHyphen/>
        <w:t>law;</w:t>
      </w:r>
    </w:p>
    <w:p>
      <w:pPr>
        <w:pStyle w:val="Indenta"/>
      </w:pPr>
      <w:r>
        <w:tab/>
        <w:t>(e)</w:t>
      </w:r>
      <w:r>
        <w:tab/>
        <w:t>aged home, if the land is in the metropolitan area and the classification of the land is not otherwise specifically provided for in this by</w:t>
      </w:r>
      <w:r>
        <w:noBreakHyphen/>
        <w:t>law,</w:t>
      </w:r>
    </w:p>
    <w:p>
      <w:pPr>
        <w:pStyle w:val="Subsection"/>
        <w:spacing w:before="120"/>
      </w:pPr>
      <w:r>
        <w:tab/>
      </w:r>
      <w:r>
        <w:tab/>
        <w:t>and, where it is not classified under paragraph (a), (b), (c), (d) or (e), shall be taken to have been classified as community purpose.</w:t>
      </w:r>
    </w:p>
    <w:p>
      <w:pPr>
        <w:pStyle w:val="Subsection"/>
      </w:pPr>
      <w:r>
        <w:tab/>
        <w:t>(2)</w:t>
      </w:r>
      <w:r>
        <w:tab/>
        <w:t>For the purposes of this Part, land, not being land mentioned in sub</w:t>
      </w:r>
      <w:r>
        <w:noBreakHyphen/>
        <w:t>bylaw (1), may, irrespective of any other classification under these by</w:t>
      </w:r>
      <w:r>
        <w:noBreakHyphen/>
        <w:t xml:space="preserve">laws, be classified by the Corporation as follows — </w:t>
      </w:r>
    </w:p>
    <w:p>
      <w:pPr>
        <w:pStyle w:val="Indenta"/>
      </w:pPr>
      <w:r>
        <w:tab/>
        <w:t>(a)</w:t>
      </w:r>
      <w:r>
        <w:tab/>
        <w:t>residential, if the land is used wholly or primarily for the purpose of providing the owner or occupier of the land with a residence for himself, his family or servants, or any of them;</w:t>
      </w:r>
    </w:p>
    <w:p>
      <w:pPr>
        <w:pStyle w:val="Indenta"/>
      </w:pPr>
      <w:r>
        <w:tab/>
        <w:t>(b)</w:t>
      </w:r>
      <w:r>
        <w:tab/>
        <w:t>non</w:t>
      </w:r>
      <w:r>
        <w:noBreakHyphen/>
        <w:t>residential property, if the land is used for business, professional, holiday accommodation, manufacturing, processing or other commercial processes that are not the subject of another class prescribed in this by</w:t>
      </w:r>
      <w:r>
        <w:noBreakHyphen/>
        <w:t>law;</w:t>
      </w:r>
    </w:p>
    <w:p>
      <w:pPr>
        <w:pStyle w:val="Indenta"/>
      </w:pPr>
      <w:r>
        <w:tab/>
        <w:t>(c)</w:t>
      </w:r>
      <w:r>
        <w:tab/>
        <w:t>vacant land, if there is no building on the land.</w:t>
      </w:r>
    </w:p>
    <w:p>
      <w:pPr>
        <w:pStyle w:val="Footnotesection"/>
      </w:pPr>
      <w:r>
        <w:tab/>
        <w:t>[By</w:t>
      </w:r>
      <w:r>
        <w:noBreakHyphen/>
        <w:t xml:space="preserve">law 23 inserted in Gazette 29 Jun 2007 p. 3252-3; amended in Gazette 19 Jun 2009 p. 2322; 20 Jun 2012 p. 2699.] </w:t>
      </w:r>
    </w:p>
    <w:p>
      <w:pPr>
        <w:pStyle w:val="Heading5"/>
        <w:rPr>
          <w:snapToGrid w:val="0"/>
        </w:rPr>
      </w:pPr>
      <w:bookmarkStart w:id="451" w:name="_Toc84427967"/>
      <w:bookmarkStart w:id="452" w:name="_Toc180204784"/>
      <w:bookmarkStart w:id="453" w:name="_Toc328471461"/>
      <w:r>
        <w:rPr>
          <w:rStyle w:val="CharSectno"/>
        </w:rPr>
        <w:t>24</w:t>
      </w:r>
      <w:r>
        <w:rPr>
          <w:snapToGrid w:val="0"/>
        </w:rPr>
        <w:t>.</w:t>
      </w:r>
      <w:r>
        <w:rPr>
          <w:snapToGrid w:val="0"/>
        </w:rPr>
        <w:tab/>
        <w:t>Indexation of certain valuations</w:t>
      </w:r>
      <w:bookmarkEnd w:id="451"/>
      <w:bookmarkEnd w:id="449"/>
      <w:bookmarkEnd w:id="450"/>
      <w:bookmarkEnd w:id="452"/>
      <w:bookmarkEnd w:id="453"/>
    </w:p>
    <w:p>
      <w:pPr>
        <w:pStyle w:val="Subsection"/>
        <w:rPr>
          <w:snapToGrid w:val="0"/>
        </w:rPr>
      </w:pPr>
      <w:r>
        <w:rPr>
          <w:snapToGrid w:val="0"/>
        </w:rPr>
        <w:tab/>
        <w:t>(1)</w:t>
      </w:r>
      <w:r>
        <w:rPr>
          <w:snapToGrid w:val="0"/>
        </w:rPr>
        <w:tab/>
        <w:t>This by</w:t>
      </w:r>
      <w:r>
        <w:rPr>
          <w:snapToGrid w:val="0"/>
        </w:rPr>
        <w:noBreakHyphen/>
        <w:t xml:space="preserve">law does not apply to the assessment of a charge in respect of land if a value was assigned to the land pursuant to a general valuation under the </w:t>
      </w:r>
      <w:r>
        <w:rPr>
          <w:i/>
          <w:snapToGrid w:val="0"/>
        </w:rPr>
        <w:t>Valuation of Land Act 1978</w:t>
      </w:r>
      <w:r>
        <w:rPr>
          <w:snapToGrid w:val="0"/>
        </w:rPr>
        <w:t xml:space="preserve"> that was expressed by a notice under section 21 or 22 of that Act to come into force and came into force for the purposes of this Act, at the commencement of the period for which the charge is to be imposed.</w:t>
      </w:r>
    </w:p>
    <w:p>
      <w:pPr>
        <w:pStyle w:val="Subsection"/>
        <w:rPr>
          <w:snapToGrid w:val="0"/>
        </w:rPr>
      </w:pPr>
      <w:r>
        <w:rPr>
          <w:snapToGrid w:val="0"/>
        </w:rPr>
        <w:tab/>
        <w:t>(2)</w:t>
      </w:r>
      <w:r>
        <w:rPr>
          <w:snapToGrid w:val="0"/>
        </w:rPr>
        <w:tab/>
        <w:t xml:space="preserve">Where a charge in relation to the provision of sewerage under the </w:t>
      </w:r>
      <w:r>
        <w:rPr>
          <w:i/>
          <w:snapToGrid w:val="0"/>
        </w:rPr>
        <w:t>Country Towns Sewerage Act 1948</w:t>
      </w:r>
      <w:r>
        <w:rPr>
          <w:snapToGrid w:val="0"/>
        </w:rPr>
        <w:t xml:space="preserve"> is to be assessed in respect of land by reference to GRV, the GRV for the purposes of assessing that charge shall be an adjusted GRV (</w:t>
      </w:r>
      <w:r>
        <w:rPr>
          <w:rStyle w:val="CharDefText"/>
        </w:rPr>
        <w:t>AGRV</w:t>
      </w:r>
      <w:r>
        <w:rPr>
          <w:snapToGrid w:val="0"/>
        </w:rPr>
        <w:t>) calculated in accordance with the formula in</w:t>
      </w:r>
      <w:r>
        <w:t xml:space="preserve"> Schedule 6</w:t>
      </w:r>
      <w:r>
        <w:rPr>
          <w:snapToGrid w:val="0"/>
        </w:rPr>
        <w:t>.</w:t>
      </w:r>
    </w:p>
    <w:p>
      <w:pPr>
        <w:pStyle w:val="Footnotesection"/>
      </w:pPr>
      <w:r>
        <w:tab/>
        <w:t>[By</w:t>
      </w:r>
      <w:r>
        <w:noBreakHyphen/>
        <w:t>law 24 amended in Gazette 29 Jun 1999 p. 2795; 29 Jun 2001 p. 3194.]</w:t>
      </w:r>
    </w:p>
    <w:p>
      <w:pPr>
        <w:pStyle w:val="Ednotesection"/>
      </w:pPr>
      <w:r>
        <w:t>[</w:t>
      </w:r>
      <w:r>
        <w:rPr>
          <w:b/>
        </w:rPr>
        <w:t>25.</w:t>
      </w:r>
      <w:r>
        <w:tab/>
        <w:t>Deleted in Gazette 1 Jul 2002 p. 3157.]</w:t>
      </w:r>
    </w:p>
    <w:p>
      <w:pPr>
        <w:pStyle w:val="Heading5"/>
        <w:rPr>
          <w:snapToGrid w:val="0"/>
        </w:rPr>
      </w:pPr>
      <w:bookmarkStart w:id="454" w:name="_Toc84427968"/>
      <w:bookmarkStart w:id="455" w:name="_Toc487428977"/>
      <w:bookmarkStart w:id="456" w:name="_Toc17278683"/>
      <w:bookmarkStart w:id="457" w:name="_Toc180204785"/>
      <w:bookmarkStart w:id="458" w:name="_Toc328471462"/>
      <w:r>
        <w:rPr>
          <w:rStyle w:val="CharSectno"/>
        </w:rPr>
        <w:t>25A</w:t>
      </w:r>
      <w:r>
        <w:rPr>
          <w:snapToGrid w:val="0"/>
        </w:rPr>
        <w:t>.</w:t>
      </w:r>
      <w:r>
        <w:rPr>
          <w:snapToGrid w:val="0"/>
        </w:rPr>
        <w:tab/>
        <w:t>Metered metropolitan non</w:t>
      </w:r>
      <w:r>
        <w:rPr>
          <w:snapToGrid w:val="0"/>
        </w:rPr>
        <w:noBreakHyphen/>
        <w:t>residential property sewerage charges</w:t>
      </w:r>
      <w:bookmarkEnd w:id="454"/>
      <w:bookmarkEnd w:id="455"/>
      <w:bookmarkEnd w:id="456"/>
      <w:bookmarkEnd w:id="457"/>
      <w:bookmarkEnd w:id="458"/>
    </w:p>
    <w:p>
      <w:pPr>
        <w:pStyle w:val="Subsection"/>
        <w:rPr>
          <w:snapToGrid w:val="0"/>
        </w:rPr>
      </w:pPr>
      <w:r>
        <w:rPr>
          <w:snapToGrid w:val="0"/>
        </w:rPr>
        <w:tab/>
        <w:t>(1)</w:t>
      </w:r>
      <w:r>
        <w:rPr>
          <w:snapToGrid w:val="0"/>
        </w:rPr>
        <w:tab/>
        <w:t>Subject to sub</w:t>
      </w:r>
      <w:r>
        <w:rPr>
          <w:snapToGrid w:val="0"/>
        </w:rPr>
        <w:noBreakHyphen/>
        <w:t>bylaws (3), (5) and (6) and notwithstanding any other provision of these by</w:t>
      </w:r>
      <w:r>
        <w:rPr>
          <w:snapToGrid w:val="0"/>
        </w:rPr>
        <w:noBreakHyphen/>
        <w:t>laws, the minimum charge payable for the current year for the provision of sewerage to metropolitan non</w:t>
      </w:r>
      <w:r>
        <w:rPr>
          <w:snapToGrid w:val="0"/>
        </w:rPr>
        <w:noBreakHyphen/>
        <w:t>residential property that has metered water supply is —</w:t>
      </w:r>
    </w:p>
    <w:p>
      <w:pPr>
        <w:pStyle w:val="Indenta"/>
        <w:rPr>
          <w:snapToGrid w:val="0"/>
        </w:rPr>
      </w:pPr>
      <w:r>
        <w:rPr>
          <w:snapToGrid w:val="0"/>
        </w:rPr>
        <w:tab/>
        <w:t>(a)</w:t>
      </w:r>
      <w:r>
        <w:rPr>
          <w:snapToGrid w:val="0"/>
        </w:rPr>
        <w:tab/>
        <w:t>the charge calculated in accordance with the formula; or</w:t>
      </w:r>
    </w:p>
    <w:p>
      <w:pPr>
        <w:pStyle w:val="Indenta"/>
        <w:rPr>
          <w:snapToGrid w:val="0"/>
        </w:rPr>
      </w:pPr>
      <w:r>
        <w:rPr>
          <w:snapToGrid w:val="0"/>
        </w:rPr>
        <w:tab/>
        <w:t>(b)</w:t>
      </w:r>
      <w:r>
        <w:rPr>
          <w:snapToGrid w:val="0"/>
        </w:rPr>
        <w:tab/>
        <w:t>the minimum charge payable for relevant number of major fixtures in the current year, as set out in the Table,</w:t>
      </w:r>
    </w:p>
    <w:p>
      <w:pPr>
        <w:pStyle w:val="Subsection"/>
        <w:spacing w:before="100"/>
        <w:rPr>
          <w:snapToGrid w:val="0"/>
        </w:rPr>
      </w:pPr>
      <w:r>
        <w:rPr>
          <w:snapToGrid w:val="0"/>
        </w:rPr>
        <w:tab/>
      </w:r>
      <w:r>
        <w:rPr>
          <w:snapToGrid w:val="0"/>
        </w:rPr>
        <w:tab/>
        <w:t>whichever is the greater.</w:t>
      </w:r>
    </w:p>
    <w:p>
      <w:pPr>
        <w:pStyle w:val="Subsection"/>
        <w:rPr>
          <w:snapToGrid w:val="0"/>
        </w:rPr>
      </w:pPr>
      <w:r>
        <w:rPr>
          <w:snapToGrid w:val="0"/>
        </w:rPr>
        <w:tab/>
        <w:t>(2)</w:t>
      </w:r>
      <w:r>
        <w:rPr>
          <w:snapToGrid w:val="0"/>
        </w:rPr>
        <w:tab/>
        <w:t>Where land classified as metropolitan non</w:t>
      </w:r>
      <w:r>
        <w:rPr>
          <w:snapToGrid w:val="0"/>
        </w:rPr>
        <w:noBreakHyphen/>
        <w:t>residential property for the whole or part of the current year was not so classified for the whole of the previous year, the Corporation may estimate a notional charge for the previous year, being a charge that would have been payable for that year if —</w:t>
      </w:r>
    </w:p>
    <w:p>
      <w:pPr>
        <w:pStyle w:val="Indenta"/>
        <w:rPr>
          <w:snapToGrid w:val="0"/>
        </w:rPr>
      </w:pPr>
      <w:r>
        <w:rPr>
          <w:snapToGrid w:val="0"/>
        </w:rPr>
        <w:tab/>
        <w:t>(a)</w:t>
      </w:r>
      <w:r>
        <w:rPr>
          <w:snapToGrid w:val="0"/>
        </w:rPr>
        <w:tab/>
        <w:t>the land had been classified as metropolitan non</w:t>
      </w:r>
      <w:r>
        <w:rPr>
          <w:snapToGrid w:val="0"/>
        </w:rPr>
        <w:noBreakHyphen/>
        <w:t>residential; and</w:t>
      </w:r>
    </w:p>
    <w:p>
      <w:pPr>
        <w:pStyle w:val="Indenta"/>
        <w:rPr>
          <w:snapToGrid w:val="0"/>
        </w:rPr>
      </w:pPr>
      <w:r>
        <w:rPr>
          <w:snapToGrid w:val="0"/>
        </w:rPr>
        <w:tab/>
        <w:t>(b)</w:t>
      </w:r>
      <w:r>
        <w:rPr>
          <w:snapToGrid w:val="0"/>
        </w:rPr>
        <w:tab/>
        <w:t>the matters and circumstances currently prevailing had prevailed,</w:t>
      </w:r>
    </w:p>
    <w:p>
      <w:pPr>
        <w:pStyle w:val="Subsection"/>
        <w:spacing w:before="100"/>
        <w:rPr>
          <w:snapToGrid w:val="0"/>
        </w:rPr>
      </w:pPr>
      <w:r>
        <w:rPr>
          <w:snapToGrid w:val="0"/>
        </w:rPr>
        <w:tab/>
      </w:r>
      <w:r>
        <w:rPr>
          <w:snapToGrid w:val="0"/>
        </w:rPr>
        <w:tab/>
        <w:t xml:space="preserve">for the whole of the previous year, and that notional charge shall be regarded as the charge payable in the previous year as set out for the purposes of variable </w:t>
      </w:r>
      <w:r>
        <w:rPr>
          <w:b/>
          <w:snapToGrid w:val="0"/>
        </w:rPr>
        <w:t>“A”</w:t>
      </w:r>
      <w:r>
        <w:rPr>
          <w:snapToGrid w:val="0"/>
        </w:rPr>
        <w:t xml:space="preserve"> of the formula.</w:t>
      </w:r>
    </w:p>
    <w:p>
      <w:pPr>
        <w:pStyle w:val="Subsection"/>
        <w:rPr>
          <w:snapToGrid w:val="0"/>
        </w:rPr>
      </w:pPr>
      <w:r>
        <w:rPr>
          <w:snapToGrid w:val="0"/>
        </w:rPr>
        <w:tab/>
        <w:t>(3)</w:t>
      </w:r>
      <w:r>
        <w:rPr>
          <w:snapToGrid w:val="0"/>
        </w:rPr>
        <w:tab/>
        <w:t>Where part of the way through the current year land ceases to be, or becomes, metropolitan non</w:t>
      </w:r>
      <w:r>
        <w:rPr>
          <w:snapToGrid w:val="0"/>
        </w:rPr>
        <w:noBreakHyphen/>
        <w:t>residential property, the charge payable in respect of that land shall be payable in the same ratio as the part of the year for which the charge applies bears to the full year.</w:t>
      </w:r>
    </w:p>
    <w:p>
      <w:pPr>
        <w:pStyle w:val="Subsection"/>
        <w:rPr>
          <w:snapToGrid w:val="0"/>
        </w:rPr>
      </w:pPr>
      <w:r>
        <w:rPr>
          <w:snapToGrid w:val="0"/>
        </w:rPr>
        <w:tab/>
        <w:t>(4)</w:t>
      </w:r>
      <w:r>
        <w:rPr>
          <w:snapToGrid w:val="0"/>
        </w:rPr>
        <w:tab/>
        <w:t>Where, for a portion of the current year, in respect of metropolitan non</w:t>
      </w:r>
      <w:r>
        <w:rPr>
          <w:snapToGrid w:val="0"/>
        </w:rPr>
        <w:noBreakHyphen/>
        <w:t>residential property, there is —</w:t>
      </w:r>
    </w:p>
    <w:p>
      <w:pPr>
        <w:pStyle w:val="Indenta"/>
        <w:rPr>
          <w:snapToGrid w:val="0"/>
        </w:rPr>
      </w:pPr>
      <w:r>
        <w:rPr>
          <w:snapToGrid w:val="0"/>
        </w:rPr>
        <w:tab/>
        <w:t>(a)</w:t>
      </w:r>
      <w:r>
        <w:rPr>
          <w:snapToGrid w:val="0"/>
        </w:rPr>
        <w:tab/>
        <w:t>a change in the amount of the charges for the current year as a result of an alteration in the method in which the discharge charge is calculated for that property;</w:t>
      </w:r>
    </w:p>
    <w:p>
      <w:pPr>
        <w:pStyle w:val="Indenta"/>
        <w:spacing w:before="60"/>
        <w:rPr>
          <w:snapToGrid w:val="0"/>
        </w:rPr>
      </w:pPr>
      <w:r>
        <w:rPr>
          <w:snapToGrid w:val="0"/>
        </w:rPr>
        <w:tab/>
        <w:t>(b)</w:t>
      </w:r>
      <w:r>
        <w:rPr>
          <w:snapToGrid w:val="0"/>
        </w:rPr>
        <w:tab/>
        <w:t>a change in the amount of the charges for the current year as a result of a change in the number of major fixtures relevant to that property; or</w:t>
      </w:r>
    </w:p>
    <w:p>
      <w:pPr>
        <w:pStyle w:val="Indenta"/>
        <w:spacing w:before="60"/>
        <w:rPr>
          <w:snapToGrid w:val="0"/>
          <w:spacing w:val="-4"/>
        </w:rPr>
      </w:pPr>
      <w:r>
        <w:rPr>
          <w:snapToGrid w:val="0"/>
          <w:spacing w:val="-4"/>
        </w:rPr>
        <w:tab/>
        <w:t>(c)</w:t>
      </w:r>
      <w:r>
        <w:rPr>
          <w:snapToGrid w:val="0"/>
          <w:spacing w:val="-4"/>
        </w:rPr>
        <w:tab/>
        <w:t xml:space="preserve">an interim valuation under the </w:t>
      </w:r>
      <w:r>
        <w:rPr>
          <w:i/>
          <w:snapToGrid w:val="0"/>
          <w:spacing w:val="-4"/>
        </w:rPr>
        <w:t>Valuation of Land Act 1978</w:t>
      </w:r>
      <w:r>
        <w:rPr>
          <w:snapToGrid w:val="0"/>
          <w:spacing w:val="-4"/>
        </w:rPr>
        <w:t xml:space="preserve"> reflecting any development or change of use of that land,</w:t>
      </w:r>
    </w:p>
    <w:p>
      <w:pPr>
        <w:pStyle w:val="Subsection"/>
        <w:rPr>
          <w:rFonts w:ascii="Times" w:hAnsi="Times"/>
          <w:snapToGrid w:val="0"/>
        </w:rPr>
      </w:pPr>
      <w:r>
        <w:rPr>
          <w:rFonts w:ascii="Times" w:hAnsi="Times"/>
          <w:snapToGrid w:val="0"/>
        </w:rPr>
        <w:tab/>
      </w:r>
      <w:r>
        <w:rPr>
          <w:rFonts w:ascii="Times" w:hAnsi="Times"/>
          <w:snapToGrid w:val="0"/>
        </w:rPr>
        <w:tab/>
        <w:t>the Corporation may, for the purposes of sub</w:t>
      </w:r>
      <w:r>
        <w:rPr>
          <w:rFonts w:ascii="Times" w:hAnsi="Times"/>
          <w:snapToGrid w:val="0"/>
        </w:rPr>
        <w:noBreakHyphen/>
        <w:t>bylaw (5), estimate a notional charge for the previous year in respect of that property, being the charge that would have been payable for that year if —</w:t>
      </w:r>
    </w:p>
    <w:p>
      <w:pPr>
        <w:pStyle w:val="Indenta"/>
        <w:spacing w:before="60"/>
        <w:rPr>
          <w:snapToGrid w:val="0"/>
        </w:rPr>
      </w:pPr>
      <w:r>
        <w:rPr>
          <w:snapToGrid w:val="0"/>
        </w:rPr>
        <w:tab/>
        <w:t>(d)</w:t>
      </w:r>
      <w:r>
        <w:rPr>
          <w:snapToGrid w:val="0"/>
        </w:rPr>
        <w:tab/>
        <w:t>the matters and circumstances currently prevailing had prevailed;</w:t>
      </w:r>
    </w:p>
    <w:p>
      <w:pPr>
        <w:pStyle w:val="Indenta"/>
        <w:spacing w:before="60"/>
        <w:rPr>
          <w:snapToGrid w:val="0"/>
        </w:rPr>
      </w:pPr>
      <w:r>
        <w:rPr>
          <w:snapToGrid w:val="0"/>
        </w:rPr>
        <w:tab/>
        <w:t>(e)</w:t>
      </w:r>
      <w:r>
        <w:rPr>
          <w:snapToGrid w:val="0"/>
        </w:rPr>
        <w:tab/>
        <w:t>the method of calculation of the discharge charge currently prevailing had been used;</w:t>
      </w:r>
    </w:p>
    <w:p>
      <w:pPr>
        <w:pStyle w:val="Indenta"/>
        <w:spacing w:before="60"/>
        <w:rPr>
          <w:snapToGrid w:val="0"/>
        </w:rPr>
      </w:pPr>
      <w:r>
        <w:rPr>
          <w:snapToGrid w:val="0"/>
        </w:rPr>
        <w:tab/>
        <w:t>(f)</w:t>
      </w:r>
      <w:r>
        <w:rPr>
          <w:snapToGrid w:val="0"/>
        </w:rPr>
        <w:tab/>
        <w:t>any changed number of major fixtures referred to in paragraph (b) had been provided; and</w:t>
      </w:r>
    </w:p>
    <w:p>
      <w:pPr>
        <w:pStyle w:val="Indenta"/>
        <w:spacing w:before="60"/>
        <w:rPr>
          <w:snapToGrid w:val="0"/>
        </w:rPr>
      </w:pPr>
      <w:r>
        <w:rPr>
          <w:snapToGrid w:val="0"/>
        </w:rPr>
        <w:tab/>
        <w:t>(g)</w:t>
      </w:r>
      <w:r>
        <w:rPr>
          <w:snapToGrid w:val="0"/>
        </w:rPr>
        <w:tab/>
        <w:t>any interim valuation reflecting any development or change in use referred to in paragraph (c) had been made and in force,</w:t>
      </w:r>
    </w:p>
    <w:p>
      <w:pPr>
        <w:pStyle w:val="Subsection"/>
        <w:rPr>
          <w:snapToGrid w:val="0"/>
        </w:rPr>
      </w:pPr>
      <w:r>
        <w:rPr>
          <w:snapToGrid w:val="0"/>
        </w:rPr>
        <w:tab/>
      </w:r>
      <w:r>
        <w:rPr>
          <w:snapToGrid w:val="0"/>
        </w:rPr>
        <w:tab/>
        <w:t>for the whole of that year.</w:t>
      </w:r>
    </w:p>
    <w:p>
      <w:pPr>
        <w:pStyle w:val="Subsection"/>
        <w:rPr>
          <w:snapToGrid w:val="0"/>
        </w:rPr>
      </w:pPr>
      <w:r>
        <w:rPr>
          <w:snapToGrid w:val="0"/>
        </w:rPr>
        <w:tab/>
        <w:t>(5)</w:t>
      </w:r>
      <w:r>
        <w:rPr>
          <w:snapToGrid w:val="0"/>
        </w:rPr>
        <w:tab/>
        <w:t>A charge payable for the portion of the current year referred to in sub</w:t>
      </w:r>
      <w:r>
        <w:rPr>
          <w:snapToGrid w:val="0"/>
        </w:rPr>
        <w:noBreakHyphen/>
        <w:t>bylaw (4) is payable in the same ratio as the portion bears to the full year.</w:t>
      </w:r>
    </w:p>
    <w:p>
      <w:pPr>
        <w:pStyle w:val="Subsection"/>
        <w:rPr>
          <w:snapToGrid w:val="0"/>
        </w:rPr>
      </w:pPr>
      <w:r>
        <w:rPr>
          <w:snapToGrid w:val="0"/>
        </w:rPr>
        <w:tab/>
        <w:t>(6)</w:t>
      </w:r>
      <w:r>
        <w:rPr>
          <w:snapToGrid w:val="0"/>
        </w:rPr>
        <w:tab/>
        <w:t>If a charge calculated under this by</w:t>
      </w:r>
      <w:r>
        <w:rPr>
          <w:snapToGrid w:val="0"/>
        </w:rPr>
        <w:noBreakHyphen/>
        <w:t xml:space="preserve">law for the current year is more than </w:t>
      </w:r>
      <w:r>
        <w:t xml:space="preserve">13.6% </w:t>
      </w:r>
      <w:r>
        <w:rPr>
          <w:snapToGrid w:val="0"/>
        </w:rPr>
        <w:t xml:space="preserve">greater than the charge calculated for the same service (and under the same circumstances) in the previous year, the charge is only payable up to that </w:t>
      </w:r>
      <w:r>
        <w:t xml:space="preserve">13.6% </w:t>
      </w:r>
      <w:r>
        <w:rPr>
          <w:snapToGrid w:val="0"/>
        </w:rPr>
        <w:t>increase.</w:t>
      </w:r>
    </w:p>
    <w:p>
      <w:pPr>
        <w:pStyle w:val="Footnotesection"/>
        <w:spacing w:before="80"/>
        <w:ind w:left="890" w:hanging="890"/>
      </w:pPr>
      <w:r>
        <w:tab/>
        <w:t>[By</w:t>
      </w:r>
      <w:r>
        <w:noBreakHyphen/>
        <w:t>law 25A inserted in Gazette 28 Jun 1996 p. 3110</w:t>
      </w:r>
      <w:r>
        <w:noBreakHyphen/>
        <w:t>11 (correction 9 Jul 1996 p. 3281); amended in Gazette 27 Jun 1997 p. 3180 and 3203; 26 Jun 1998 p. 3400; 29 Jun 1999 p. 2795; 29 Jun 2001 p. 3194; 1 Jul 2002 p. 3157; 27 Jun 2003 p. 2288; 29 Jun 2004 p. 2468; 1 Jul 2005 p. 3034; 30 Jun 2006 p. 2417; 29 Jun 2007 p. 3253; 27 Jun 2008 p. 2987; 19 Jun 2009 p. 2323; 25 Jun 2010 p. 2906; 23 Jun 2011 p. 2418; 20 Jun 2012 p. 2700.]</w:t>
      </w:r>
    </w:p>
    <w:p>
      <w:pPr>
        <w:pStyle w:val="Heading5"/>
        <w:keepLines w:val="0"/>
        <w:spacing w:before="180"/>
        <w:rPr>
          <w:snapToGrid w:val="0"/>
        </w:rPr>
      </w:pPr>
      <w:bookmarkStart w:id="459" w:name="_Toc84427969"/>
      <w:bookmarkStart w:id="460" w:name="_Toc487428978"/>
      <w:bookmarkStart w:id="461" w:name="_Toc17278684"/>
      <w:bookmarkStart w:id="462" w:name="_Toc180204786"/>
      <w:bookmarkStart w:id="463" w:name="_Toc328471463"/>
      <w:r>
        <w:rPr>
          <w:rStyle w:val="CharSectno"/>
        </w:rPr>
        <w:t>25B</w:t>
      </w:r>
      <w:r>
        <w:rPr>
          <w:snapToGrid w:val="0"/>
        </w:rPr>
        <w:t>.</w:t>
      </w:r>
      <w:r>
        <w:rPr>
          <w:snapToGrid w:val="0"/>
        </w:rPr>
        <w:tab/>
        <w:t>Un</w:t>
      </w:r>
      <w:r>
        <w:rPr>
          <w:snapToGrid w:val="0"/>
        </w:rPr>
        <w:noBreakHyphen/>
        <w:t>metered or unconnected metropolitan non</w:t>
      </w:r>
      <w:r>
        <w:rPr>
          <w:snapToGrid w:val="0"/>
        </w:rPr>
        <w:noBreakHyphen/>
        <w:t>residential property sewerage charges</w:t>
      </w:r>
      <w:bookmarkEnd w:id="459"/>
      <w:bookmarkEnd w:id="460"/>
      <w:bookmarkEnd w:id="461"/>
      <w:bookmarkEnd w:id="462"/>
      <w:bookmarkEnd w:id="463"/>
    </w:p>
    <w:p>
      <w:pPr>
        <w:pStyle w:val="Subsection"/>
        <w:rPr>
          <w:snapToGrid w:val="0"/>
        </w:rPr>
      </w:pPr>
      <w:r>
        <w:rPr>
          <w:snapToGrid w:val="0"/>
        </w:rPr>
        <w:tab/>
        <w:t>(1)</w:t>
      </w:r>
      <w:r>
        <w:rPr>
          <w:snapToGrid w:val="0"/>
        </w:rPr>
        <w:tab/>
        <w:t>Subject to sub</w:t>
      </w:r>
      <w:r>
        <w:rPr>
          <w:snapToGrid w:val="0"/>
        </w:rPr>
        <w:noBreakHyphen/>
        <w:t>bylaw (2), the minimum charge payable for the current year for the provision of sewerage to a metropolitan non</w:t>
      </w:r>
      <w:r>
        <w:rPr>
          <w:snapToGrid w:val="0"/>
        </w:rPr>
        <w:noBreakHyphen/>
        <w:t xml:space="preserve">residential property which has sewerage available but not connected is calculated in accordance with the formula, with the variable </w:t>
      </w:r>
      <w:r>
        <w:rPr>
          <w:b/>
          <w:snapToGrid w:val="0"/>
        </w:rPr>
        <w:t>“Q”</w:t>
      </w:r>
      <w:r>
        <w:rPr>
          <w:snapToGrid w:val="0"/>
        </w:rPr>
        <w:t xml:space="preserve"> in the formula having a value of nil.</w:t>
      </w:r>
    </w:p>
    <w:p>
      <w:pPr>
        <w:pStyle w:val="Subsection"/>
        <w:rPr>
          <w:snapToGrid w:val="0"/>
        </w:rPr>
      </w:pPr>
      <w:r>
        <w:rPr>
          <w:snapToGrid w:val="0"/>
        </w:rPr>
        <w:tab/>
        <w:t>(2)</w:t>
      </w:r>
      <w:r>
        <w:rPr>
          <w:snapToGrid w:val="0"/>
        </w:rPr>
        <w:tab/>
        <w:t>Where a metropolitan non</w:t>
      </w:r>
      <w:r>
        <w:rPr>
          <w:snapToGrid w:val="0"/>
        </w:rPr>
        <w:noBreakHyphen/>
        <w:t>residential property has no major fixtures, or no shared major fixtures as described in by</w:t>
      </w:r>
      <w:r>
        <w:rPr>
          <w:snapToGrid w:val="0"/>
        </w:rPr>
        <w:noBreakHyphen/>
        <w:t xml:space="preserve">law 25C, the minimum charge payable for the current year for one major fixture, as set out in the Table, is the value of the variable </w:t>
      </w:r>
      <w:r>
        <w:rPr>
          <w:b/>
          <w:snapToGrid w:val="0"/>
        </w:rPr>
        <w:t>“P”</w:t>
      </w:r>
      <w:r>
        <w:rPr>
          <w:snapToGrid w:val="0"/>
        </w:rPr>
        <w:t xml:space="preserve"> in the formula.</w:t>
      </w:r>
    </w:p>
    <w:p>
      <w:pPr>
        <w:pStyle w:val="Subsection"/>
        <w:rPr>
          <w:snapToGrid w:val="0"/>
        </w:rPr>
      </w:pPr>
      <w:r>
        <w:rPr>
          <w:snapToGrid w:val="0"/>
        </w:rPr>
        <w:tab/>
        <w:t>(3)</w:t>
      </w:r>
      <w:r>
        <w:rPr>
          <w:snapToGrid w:val="0"/>
        </w:rPr>
        <w:tab/>
        <w:t>The minimum charge payable for the current year for the provision of sewerage to a metropolitan non</w:t>
      </w:r>
      <w:r>
        <w:rPr>
          <w:snapToGrid w:val="0"/>
        </w:rPr>
        <w:noBreakHyphen/>
        <w:t>residential property which is sewered but where any water supply to the property is not separately metered by the Corporation, is calculated in accordance with the formula, and, for the purposes of the calculation, the discharge charge has a value of nil.</w:t>
      </w:r>
    </w:p>
    <w:p>
      <w:pPr>
        <w:pStyle w:val="Footnotesection"/>
        <w:spacing w:before="80"/>
        <w:ind w:left="890" w:hanging="890"/>
      </w:pPr>
      <w:r>
        <w:tab/>
        <w:t>[By</w:t>
      </w:r>
      <w:r>
        <w:noBreakHyphen/>
        <w:t>law 25B inserted in Gazette 28 Jun 1996 p. 3111; amended in Gazette 27 Jun 1997 p. 3180 and 3203.]</w:t>
      </w:r>
    </w:p>
    <w:p>
      <w:pPr>
        <w:pStyle w:val="Heading5"/>
        <w:rPr>
          <w:snapToGrid w:val="0"/>
        </w:rPr>
      </w:pPr>
      <w:bookmarkStart w:id="464" w:name="_Toc84427970"/>
      <w:bookmarkStart w:id="465" w:name="_Toc487428979"/>
      <w:bookmarkStart w:id="466" w:name="_Toc17278685"/>
      <w:bookmarkStart w:id="467" w:name="_Toc180204787"/>
      <w:bookmarkStart w:id="468" w:name="_Toc328471464"/>
      <w:r>
        <w:rPr>
          <w:rStyle w:val="CharSectno"/>
        </w:rPr>
        <w:t>25C</w:t>
      </w:r>
      <w:r>
        <w:rPr>
          <w:snapToGrid w:val="0"/>
        </w:rPr>
        <w:t>.</w:t>
      </w:r>
      <w:r>
        <w:rPr>
          <w:snapToGrid w:val="0"/>
        </w:rPr>
        <w:tab/>
        <w:t>Charging for shared sewerage fixtures on metropolitan non</w:t>
      </w:r>
      <w:r>
        <w:rPr>
          <w:snapToGrid w:val="0"/>
        </w:rPr>
        <w:noBreakHyphen/>
        <w:t>residential property</w:t>
      </w:r>
      <w:bookmarkEnd w:id="464"/>
      <w:bookmarkEnd w:id="465"/>
      <w:bookmarkEnd w:id="466"/>
      <w:bookmarkEnd w:id="467"/>
      <w:bookmarkEnd w:id="468"/>
    </w:p>
    <w:p>
      <w:pPr>
        <w:pStyle w:val="Subsection"/>
        <w:rPr>
          <w:snapToGrid w:val="0"/>
        </w:rPr>
      </w:pPr>
      <w:r>
        <w:rPr>
          <w:snapToGrid w:val="0"/>
        </w:rPr>
        <w:tab/>
      </w:r>
      <w:r>
        <w:rPr>
          <w:snapToGrid w:val="0"/>
        </w:rPr>
        <w:tab/>
        <w:t>Where all or some major sewerage fixtures are shared between metropolitan non</w:t>
      </w:r>
      <w:r>
        <w:rPr>
          <w:snapToGrid w:val="0"/>
        </w:rPr>
        <w:noBreakHyphen/>
        <w:t>residential properties the number of major fixtures for a single property shall be calculated as —</w:t>
      </w:r>
    </w:p>
    <w:p>
      <w:pPr>
        <w:pStyle w:val="Indenta"/>
        <w:spacing w:before="60"/>
        <w:rPr>
          <w:snapToGrid w:val="0"/>
        </w:rPr>
      </w:pPr>
      <w:r>
        <w:rPr>
          <w:snapToGrid w:val="0"/>
        </w:rPr>
        <w:tab/>
      </w:r>
      <w:r>
        <w:rPr>
          <w:snapToGrid w:val="0"/>
        </w:rPr>
        <w:tab/>
        <w:t>the number of major fixtures exclusive to that property (if any)</w:t>
      </w:r>
    </w:p>
    <w:p>
      <w:pPr>
        <w:pStyle w:val="Indenta"/>
        <w:rPr>
          <w:snapToGrid w:val="0"/>
        </w:rPr>
      </w:pPr>
      <w:r>
        <w:rPr>
          <w:snapToGrid w:val="0"/>
        </w:rPr>
        <w:tab/>
      </w:r>
      <w:r>
        <w:rPr>
          <w:snapToGrid w:val="0"/>
        </w:rPr>
        <w:tab/>
        <w:t>plus</w:t>
      </w:r>
    </w:p>
    <w:p>
      <w:pPr>
        <w:pStyle w:val="Indenta"/>
        <w:spacing w:before="60"/>
        <w:rPr>
          <w:snapToGrid w:val="0"/>
        </w:rPr>
      </w:pPr>
      <w:r>
        <w:rPr>
          <w:snapToGrid w:val="0"/>
        </w:rPr>
        <w:tab/>
      </w:r>
      <w:r>
        <w:rPr>
          <w:snapToGrid w:val="0"/>
        </w:rPr>
        <w:tab/>
        <w:t>the number of major fixtures divided by the number of properties sharing those fixtures, rounded down to the nearest whole number but with a minimum of one additional fixture per property.</w:t>
      </w:r>
    </w:p>
    <w:p>
      <w:pPr>
        <w:pStyle w:val="Footnotesection"/>
        <w:spacing w:before="80"/>
        <w:ind w:left="890" w:hanging="890"/>
      </w:pPr>
      <w:r>
        <w:tab/>
        <w:t>[By</w:t>
      </w:r>
      <w:r>
        <w:noBreakHyphen/>
        <w:t>law 25C inserted in Gazette 30 Jun 1995 p. 2743</w:t>
      </w:r>
      <w:r>
        <w:noBreakHyphen/>
        <w:t>4.]</w:t>
      </w:r>
    </w:p>
    <w:p>
      <w:pPr>
        <w:pStyle w:val="Heading5"/>
        <w:rPr>
          <w:snapToGrid w:val="0"/>
        </w:rPr>
      </w:pPr>
      <w:bookmarkStart w:id="469" w:name="_Toc84427971"/>
      <w:bookmarkStart w:id="470" w:name="_Toc180204788"/>
      <w:bookmarkStart w:id="471" w:name="_Toc328471465"/>
      <w:r>
        <w:rPr>
          <w:rStyle w:val="CharSectno"/>
        </w:rPr>
        <w:t>26</w:t>
      </w:r>
      <w:r>
        <w:t>.</w:t>
      </w:r>
      <w:r>
        <w:tab/>
      </w:r>
      <w:bookmarkStart w:id="472" w:name="_Toc43099247"/>
      <w:r>
        <w:rPr>
          <w:snapToGrid w:val="0"/>
        </w:rPr>
        <w:t xml:space="preserve">Metered country </w:t>
      </w:r>
      <w:r>
        <w:t>non</w:t>
      </w:r>
      <w:r>
        <w:noBreakHyphen/>
        <w:t>residential or commercial residential</w:t>
      </w:r>
      <w:r>
        <w:rPr>
          <w:snapToGrid w:val="0"/>
        </w:rPr>
        <w:t xml:space="preserve"> property sewerage charges</w:t>
      </w:r>
      <w:bookmarkEnd w:id="469"/>
      <w:bookmarkEnd w:id="470"/>
      <w:bookmarkEnd w:id="471"/>
      <w:bookmarkEnd w:id="472"/>
    </w:p>
    <w:p>
      <w:pPr>
        <w:pStyle w:val="Subsection"/>
        <w:spacing w:before="200"/>
      </w:pPr>
      <w:r>
        <w:tab/>
        <w:t>(1)</w:t>
      </w:r>
      <w:r>
        <w:tab/>
        <w:t>Subject to sub</w:t>
      </w:r>
      <w:r>
        <w:noBreakHyphen/>
        <w:t>bylaws (3) and (5) and notwithstanding any other provision of these by</w:t>
      </w:r>
      <w:r>
        <w:noBreakHyphen/>
        <w:t>laws, the minimum charge payable for the current year for the provision of sewerage to a country non</w:t>
      </w:r>
      <w:r>
        <w:noBreakHyphen/>
        <w:t>residential or commercial residential property that has metered water supply is —</w:t>
      </w:r>
    </w:p>
    <w:p>
      <w:pPr>
        <w:pStyle w:val="Indenta"/>
      </w:pPr>
      <w:r>
        <w:tab/>
        <w:t>(a)</w:t>
      </w:r>
      <w:r>
        <w:tab/>
        <w:t>the charge calculated in accordance with the formula; or</w:t>
      </w:r>
    </w:p>
    <w:p>
      <w:pPr>
        <w:pStyle w:val="Indenta"/>
      </w:pPr>
      <w:r>
        <w:tab/>
        <w:t>(b)</w:t>
      </w:r>
      <w:r>
        <w:tab/>
        <w:t>the minimum charge payable for relevant number of major fixtures in the current year, as set out in the Table,</w:t>
      </w:r>
    </w:p>
    <w:p>
      <w:pPr>
        <w:pStyle w:val="Subsection"/>
      </w:pPr>
      <w:r>
        <w:tab/>
      </w:r>
      <w:r>
        <w:tab/>
        <w:t>whichever is the greater.</w:t>
      </w:r>
    </w:p>
    <w:p>
      <w:pPr>
        <w:pStyle w:val="Subsection"/>
        <w:spacing w:before="200"/>
      </w:pPr>
      <w:r>
        <w:tab/>
        <w:t>(2)</w:t>
      </w:r>
      <w:r>
        <w:tab/>
        <w:t xml:space="preserve">Where land classified as </w:t>
      </w:r>
      <w:r>
        <w:rPr>
          <w:snapToGrid w:val="0"/>
        </w:rPr>
        <w:t xml:space="preserve">country </w:t>
      </w:r>
      <w:r>
        <w:t>non</w:t>
      </w:r>
      <w:r>
        <w:noBreakHyphen/>
        <w:t>residential or commercial residential property for the whole or part of the current year was not so classified for the whole of the previous year, the Corporation may estimate a notional charge for the previous year, being a charge that would have been payable for that year if —</w:t>
      </w:r>
    </w:p>
    <w:p>
      <w:pPr>
        <w:pStyle w:val="Indenta"/>
      </w:pPr>
      <w:r>
        <w:tab/>
        <w:t>(a)</w:t>
      </w:r>
      <w:r>
        <w:tab/>
        <w:t xml:space="preserve">the land had been classified as </w:t>
      </w:r>
      <w:r>
        <w:rPr>
          <w:snapToGrid w:val="0"/>
        </w:rPr>
        <w:t xml:space="preserve">country </w:t>
      </w:r>
      <w:r>
        <w:t>non</w:t>
      </w:r>
      <w:r>
        <w:noBreakHyphen/>
        <w:t>residential or commercial residential; and</w:t>
      </w:r>
    </w:p>
    <w:p>
      <w:pPr>
        <w:pStyle w:val="Indenta"/>
      </w:pPr>
      <w:r>
        <w:tab/>
        <w:t>(b)</w:t>
      </w:r>
      <w:r>
        <w:tab/>
        <w:t>the matters and circumstances currently prevailing had prevailed,</w:t>
      </w:r>
    </w:p>
    <w:p>
      <w:pPr>
        <w:pStyle w:val="Subsection"/>
        <w:spacing w:before="100"/>
      </w:pPr>
      <w:r>
        <w:tab/>
      </w:r>
      <w:r>
        <w:tab/>
        <w:t xml:space="preserve">for the </w:t>
      </w:r>
      <w:r>
        <w:rPr>
          <w:snapToGrid w:val="0"/>
        </w:rPr>
        <w:t>whole</w:t>
      </w:r>
      <w:r>
        <w:t xml:space="preserve"> of the previous year, and that notional charge shall be regarded as the charge payable in the previous year as set out for the purposes of variable </w:t>
      </w:r>
      <w:r>
        <w:rPr>
          <w:b/>
        </w:rPr>
        <w:t>“A”</w:t>
      </w:r>
      <w:r>
        <w:t xml:space="preserve"> of the formula.</w:t>
      </w:r>
    </w:p>
    <w:p>
      <w:pPr>
        <w:pStyle w:val="Subsection"/>
      </w:pPr>
      <w:r>
        <w:tab/>
        <w:t>(3)</w:t>
      </w:r>
      <w:r>
        <w:tab/>
        <w:t xml:space="preserve">Where part of the way through the current year land </w:t>
      </w:r>
      <w:r>
        <w:rPr>
          <w:spacing w:val="-4"/>
        </w:rPr>
        <w:t xml:space="preserve">ceases to be, or becomes, </w:t>
      </w:r>
      <w:r>
        <w:rPr>
          <w:snapToGrid w:val="0"/>
          <w:spacing w:val="-4"/>
        </w:rPr>
        <w:t>country</w:t>
      </w:r>
      <w:r>
        <w:t xml:space="preserve"> non</w:t>
      </w:r>
      <w:r>
        <w:noBreakHyphen/>
        <w:t>residential or commercial residential</w:t>
      </w:r>
      <w:r>
        <w:rPr>
          <w:snapToGrid w:val="0"/>
        </w:rPr>
        <w:t xml:space="preserve"> </w:t>
      </w:r>
      <w:r>
        <w:t>property, the charge payable in respect of that land shall be payable in the same ratio as the part of the year for which the charge applies bears to the full year.</w:t>
      </w:r>
    </w:p>
    <w:p>
      <w:pPr>
        <w:pStyle w:val="Subsection"/>
        <w:keepNext/>
        <w:keepLines/>
      </w:pPr>
      <w:r>
        <w:tab/>
        <w:t>(4)</w:t>
      </w:r>
      <w:r>
        <w:tab/>
        <w:t xml:space="preserve">Where, for a portion of the current year, in respect of </w:t>
      </w:r>
      <w:r>
        <w:rPr>
          <w:snapToGrid w:val="0"/>
        </w:rPr>
        <w:t xml:space="preserve">country </w:t>
      </w:r>
      <w:r>
        <w:t>non</w:t>
      </w:r>
      <w:r>
        <w:noBreakHyphen/>
        <w:t>residential or commercial residential property, there is —</w:t>
      </w:r>
    </w:p>
    <w:p>
      <w:pPr>
        <w:pStyle w:val="Indenta"/>
      </w:pPr>
      <w:r>
        <w:tab/>
        <w:t>(a)</w:t>
      </w:r>
      <w:r>
        <w:tab/>
        <w:t>a change in the amount of the charges for the current year as a result of an alteration in the method in which the discharge charge is calculated for that property;</w:t>
      </w:r>
    </w:p>
    <w:p>
      <w:pPr>
        <w:pStyle w:val="Indenta"/>
      </w:pPr>
      <w:r>
        <w:tab/>
        <w:t>(b)</w:t>
      </w:r>
      <w:r>
        <w:tab/>
        <w:t>a change in the amount of the charges for the current year as a result of a change in the number of major fixtures relevant to that property; or</w:t>
      </w:r>
    </w:p>
    <w:p>
      <w:pPr>
        <w:pStyle w:val="Indenta"/>
      </w:pPr>
      <w:r>
        <w:tab/>
        <w:t>(c)</w:t>
      </w:r>
      <w:r>
        <w:tab/>
        <w:t xml:space="preserve">an interim valuation under the </w:t>
      </w:r>
      <w:r>
        <w:rPr>
          <w:i/>
        </w:rPr>
        <w:t>Valuation of Land Act 1978</w:t>
      </w:r>
      <w:r>
        <w:t xml:space="preserve"> reflecting any development or change of use of that land,</w:t>
      </w:r>
    </w:p>
    <w:p>
      <w:pPr>
        <w:pStyle w:val="Subsection"/>
      </w:pPr>
      <w:r>
        <w:tab/>
      </w:r>
      <w:r>
        <w:tab/>
        <w:t>the Corporation may, for the purposes of sub</w:t>
      </w:r>
      <w:r>
        <w:noBreakHyphen/>
        <w:t>bylaw (5), estimate a notional charge for the previous year in respect of that property, being the charge that would have been payable for that year if —</w:t>
      </w:r>
    </w:p>
    <w:p>
      <w:pPr>
        <w:pStyle w:val="Indenta"/>
      </w:pPr>
      <w:r>
        <w:tab/>
        <w:t>(d)</w:t>
      </w:r>
      <w:r>
        <w:tab/>
        <w:t>the matters and circumstances currently prevailing had prevailed;</w:t>
      </w:r>
    </w:p>
    <w:p>
      <w:pPr>
        <w:pStyle w:val="Indenta"/>
      </w:pPr>
      <w:r>
        <w:tab/>
        <w:t>(e)</w:t>
      </w:r>
      <w:r>
        <w:tab/>
        <w:t>the method of calculation of the discharge charge currently prevailing had been used;</w:t>
      </w:r>
    </w:p>
    <w:p>
      <w:pPr>
        <w:pStyle w:val="Indenta"/>
      </w:pPr>
      <w:r>
        <w:tab/>
        <w:t>(f)</w:t>
      </w:r>
      <w:r>
        <w:tab/>
        <w:t>any changed number of major fixtures referred to in paragraph (b) had been provided; and</w:t>
      </w:r>
    </w:p>
    <w:p>
      <w:pPr>
        <w:pStyle w:val="Indenta"/>
      </w:pPr>
      <w:r>
        <w:tab/>
        <w:t>(g)</w:t>
      </w:r>
      <w:r>
        <w:tab/>
        <w:t>any interim valuation reflecting any development or change in use referred to in paragraph (c) had been made and in force,</w:t>
      </w:r>
    </w:p>
    <w:p>
      <w:pPr>
        <w:pStyle w:val="Subsection"/>
      </w:pPr>
      <w:r>
        <w:tab/>
      </w:r>
      <w:r>
        <w:tab/>
        <w:t>for the whole of that year.</w:t>
      </w:r>
    </w:p>
    <w:p>
      <w:pPr>
        <w:pStyle w:val="Subsection"/>
      </w:pPr>
      <w:r>
        <w:tab/>
        <w:t>(5)</w:t>
      </w:r>
      <w:r>
        <w:tab/>
        <w:t>A charge payable for the portion of the current year referred to in sub</w:t>
      </w:r>
      <w:r>
        <w:noBreakHyphen/>
        <w:t>bylaw (4) is payable in the same ratio as the portion bears to the full year.</w:t>
      </w:r>
    </w:p>
    <w:p>
      <w:pPr>
        <w:pStyle w:val="Footnotesection"/>
      </w:pPr>
      <w:bookmarkStart w:id="473" w:name="_Toc43099248"/>
      <w:r>
        <w:tab/>
        <w:t>[By</w:t>
      </w:r>
      <w:r>
        <w:noBreakHyphen/>
        <w:t>law 26 inserted in Gazette 27 Jun 2003 p. 2288-90; amended in Gazette 29 Jun 2007 p. 3253.]</w:t>
      </w:r>
    </w:p>
    <w:p>
      <w:pPr>
        <w:pStyle w:val="Heading5"/>
      </w:pPr>
      <w:bookmarkStart w:id="474" w:name="_Toc84427972"/>
      <w:bookmarkStart w:id="475" w:name="_Toc180204789"/>
      <w:bookmarkStart w:id="476" w:name="_Toc328471466"/>
      <w:r>
        <w:rPr>
          <w:rStyle w:val="CharSectno"/>
        </w:rPr>
        <w:t>26A</w:t>
      </w:r>
      <w:r>
        <w:t>.</w:t>
      </w:r>
      <w:r>
        <w:tab/>
        <w:t>Un</w:t>
      </w:r>
      <w:r>
        <w:noBreakHyphen/>
        <w:t xml:space="preserve">metered or unconnected </w:t>
      </w:r>
      <w:r>
        <w:rPr>
          <w:snapToGrid w:val="0"/>
        </w:rPr>
        <w:t>country non</w:t>
      </w:r>
      <w:r>
        <w:rPr>
          <w:snapToGrid w:val="0"/>
        </w:rPr>
        <w:noBreakHyphen/>
        <w:t>residential or commercial residential</w:t>
      </w:r>
      <w:r>
        <w:t xml:space="preserve"> property sewerage charges</w:t>
      </w:r>
      <w:bookmarkEnd w:id="474"/>
      <w:bookmarkEnd w:id="473"/>
      <w:bookmarkEnd w:id="475"/>
      <w:bookmarkEnd w:id="476"/>
    </w:p>
    <w:p>
      <w:pPr>
        <w:pStyle w:val="Subsection"/>
      </w:pPr>
      <w:r>
        <w:tab/>
        <w:t>(1)</w:t>
      </w:r>
      <w:r>
        <w:tab/>
        <w:t>Subject to sub</w:t>
      </w:r>
      <w:r>
        <w:noBreakHyphen/>
        <w:t xml:space="preserve">bylaw (2), the minimum charge payable for the current year for the provision of sewerage to a </w:t>
      </w:r>
      <w:r>
        <w:rPr>
          <w:snapToGrid w:val="0"/>
        </w:rPr>
        <w:t xml:space="preserve">country </w:t>
      </w:r>
      <w:r>
        <w:t>non</w:t>
      </w:r>
      <w:r>
        <w:noBreakHyphen/>
        <w:t xml:space="preserve">residential or commercial residential property which has sewerage available but not connected is calculated in accordance with the formula, with the variable </w:t>
      </w:r>
      <w:r>
        <w:rPr>
          <w:b/>
        </w:rPr>
        <w:t>“Q”</w:t>
      </w:r>
      <w:r>
        <w:t xml:space="preserve"> in the formula having a value of nil.</w:t>
      </w:r>
    </w:p>
    <w:p>
      <w:pPr>
        <w:pStyle w:val="Subsection"/>
      </w:pPr>
      <w:r>
        <w:tab/>
        <w:t>(2)</w:t>
      </w:r>
      <w:r>
        <w:tab/>
        <w:t xml:space="preserve">Where a </w:t>
      </w:r>
      <w:r>
        <w:rPr>
          <w:snapToGrid w:val="0"/>
        </w:rPr>
        <w:t xml:space="preserve">country </w:t>
      </w:r>
      <w:r>
        <w:t>non</w:t>
      </w:r>
      <w:r>
        <w:noBreakHyphen/>
        <w:t>residential or commercial residential property has no major fixtures, or no shared major fixtures as described in by</w:t>
      </w:r>
      <w:r>
        <w:noBreakHyphen/>
        <w:t xml:space="preserve">law 26B, the minimum charge payable for the current year for one major fixture, as set out in the Table, is the value of the variable </w:t>
      </w:r>
      <w:r>
        <w:rPr>
          <w:b/>
        </w:rPr>
        <w:t>“P”</w:t>
      </w:r>
      <w:r>
        <w:t xml:space="preserve"> in the formula.</w:t>
      </w:r>
    </w:p>
    <w:p>
      <w:pPr>
        <w:pStyle w:val="Subsection"/>
      </w:pPr>
      <w:r>
        <w:tab/>
        <w:t>(3)</w:t>
      </w:r>
      <w:r>
        <w:tab/>
        <w:t xml:space="preserve">The minimum charge payable for the current year for the provision of sewerage to a </w:t>
      </w:r>
      <w:r>
        <w:rPr>
          <w:snapToGrid w:val="0"/>
        </w:rPr>
        <w:t xml:space="preserve">country </w:t>
      </w:r>
      <w:r>
        <w:t>non</w:t>
      </w:r>
      <w:r>
        <w:noBreakHyphen/>
        <w:t>residential or commercial residential property which is sewered but where any water supply to the property —</w:t>
      </w:r>
    </w:p>
    <w:p>
      <w:pPr>
        <w:pStyle w:val="Indenta"/>
      </w:pPr>
      <w:r>
        <w:tab/>
        <w:t>(a)</w:t>
      </w:r>
      <w:r>
        <w:tab/>
        <w:t>is not separately metered by the Corporation but is supplied solely by the Corporation — is calculated in accordance with the formula; or</w:t>
      </w:r>
    </w:p>
    <w:p>
      <w:pPr>
        <w:pStyle w:val="Indenta"/>
      </w:pPr>
      <w:r>
        <w:tab/>
        <w:t>(b)</w:t>
      </w:r>
      <w:r>
        <w:tab/>
        <w:t>is not separately metered by the Corporation and is partially or fully supplied by a supplier other than the Corporation — is calculated, based on an estimate of water volume delivered or using an estimate of the water volume discharged, in accordance with the formula,</w:t>
      </w:r>
    </w:p>
    <w:p>
      <w:pPr>
        <w:pStyle w:val="Subsection"/>
      </w:pPr>
      <w:r>
        <w:tab/>
      </w:r>
      <w:r>
        <w:tab/>
        <w:t>and the discharge charge will be applied accordingly.</w:t>
      </w:r>
    </w:p>
    <w:p>
      <w:pPr>
        <w:pStyle w:val="Footnotesection"/>
      </w:pPr>
      <w:bookmarkStart w:id="477" w:name="_Toc43099249"/>
      <w:r>
        <w:tab/>
        <w:t>[By</w:t>
      </w:r>
      <w:r>
        <w:noBreakHyphen/>
        <w:t>law 26A inserted in Gazette 27 Jun 2003 p. 2290-1; amended in Gazette 29 Jun 2007 p. 3253.]</w:t>
      </w:r>
    </w:p>
    <w:p>
      <w:pPr>
        <w:pStyle w:val="Heading5"/>
      </w:pPr>
      <w:bookmarkStart w:id="478" w:name="_Toc84427973"/>
      <w:bookmarkStart w:id="479" w:name="_Toc180204790"/>
      <w:bookmarkStart w:id="480" w:name="_Toc328471467"/>
      <w:r>
        <w:rPr>
          <w:rStyle w:val="CharSectno"/>
        </w:rPr>
        <w:t>26B</w:t>
      </w:r>
      <w:r>
        <w:t>.</w:t>
      </w:r>
      <w:r>
        <w:tab/>
        <w:t xml:space="preserve">Charging for shared sewerage fixtures on </w:t>
      </w:r>
      <w:r>
        <w:rPr>
          <w:snapToGrid w:val="0"/>
        </w:rPr>
        <w:t xml:space="preserve">country </w:t>
      </w:r>
      <w:r>
        <w:t>non</w:t>
      </w:r>
      <w:r>
        <w:noBreakHyphen/>
        <w:t>residential or commercial residential property</w:t>
      </w:r>
      <w:bookmarkEnd w:id="478"/>
      <w:bookmarkEnd w:id="477"/>
      <w:bookmarkEnd w:id="479"/>
      <w:bookmarkEnd w:id="480"/>
    </w:p>
    <w:p>
      <w:pPr>
        <w:pStyle w:val="Subsection"/>
      </w:pPr>
      <w:r>
        <w:tab/>
      </w:r>
      <w:r>
        <w:tab/>
        <w:t xml:space="preserve">Where all or some major sewerage fixtures are shared between </w:t>
      </w:r>
      <w:r>
        <w:rPr>
          <w:snapToGrid w:val="0"/>
        </w:rPr>
        <w:t xml:space="preserve">country </w:t>
      </w:r>
      <w:r>
        <w:t>non</w:t>
      </w:r>
      <w:r>
        <w:noBreakHyphen/>
        <w:t>residential or commercial residential properties the number of major fixtures for a single property shall be calculated as —</w:t>
      </w:r>
    </w:p>
    <w:p>
      <w:pPr>
        <w:pStyle w:val="Indenta"/>
      </w:pPr>
      <w:r>
        <w:tab/>
      </w:r>
      <w:r>
        <w:tab/>
        <w:t>the number of major fixtures exclusive to that property (if any)</w:t>
      </w:r>
    </w:p>
    <w:p>
      <w:pPr>
        <w:pStyle w:val="Indenta"/>
      </w:pPr>
      <w:r>
        <w:tab/>
      </w:r>
      <w:r>
        <w:tab/>
      </w:r>
      <w:r>
        <w:tab/>
      </w:r>
      <w:r>
        <w:tab/>
        <w:t>plus</w:t>
      </w:r>
    </w:p>
    <w:p>
      <w:pPr>
        <w:pStyle w:val="Indenta"/>
      </w:pPr>
      <w:r>
        <w:tab/>
      </w:r>
      <w:r>
        <w:tab/>
        <w:t>the number of major fixtures divided by the number of properties sharing those fixtures, rounded down to the nearest whole number but with a minimum of one additional fixture per property.</w:t>
      </w:r>
    </w:p>
    <w:p>
      <w:pPr>
        <w:pStyle w:val="Footnotesection"/>
      </w:pPr>
      <w:r>
        <w:tab/>
        <w:t>[By</w:t>
      </w:r>
      <w:r>
        <w:noBreakHyphen/>
        <w:t>law 26B inserted in Gazette 27 Jun 2003 p. 2291-2; amended in Gazette 29 Jun 2007 p. 3253.]</w:t>
      </w:r>
    </w:p>
    <w:p>
      <w:pPr>
        <w:pStyle w:val="Heading2"/>
      </w:pPr>
      <w:bookmarkStart w:id="481" w:name="_Toc84427974"/>
      <w:bookmarkStart w:id="482" w:name="_Toc91580444"/>
      <w:bookmarkStart w:id="483" w:name="_Toc103667129"/>
      <w:bookmarkStart w:id="484" w:name="_Toc103741648"/>
      <w:bookmarkStart w:id="485" w:name="_Toc107981891"/>
      <w:bookmarkStart w:id="486" w:name="_Toc118800058"/>
      <w:bookmarkStart w:id="487" w:name="_Toc118860066"/>
      <w:bookmarkStart w:id="488" w:name="_Toc121545566"/>
      <w:bookmarkStart w:id="489" w:name="_Toc121801089"/>
      <w:bookmarkStart w:id="490" w:name="_Toc121818202"/>
      <w:bookmarkStart w:id="491" w:name="_Toc121880812"/>
      <w:bookmarkStart w:id="492" w:name="_Toc129481883"/>
      <w:bookmarkStart w:id="493" w:name="_Toc130095252"/>
      <w:bookmarkStart w:id="494" w:name="_Toc130273316"/>
      <w:bookmarkStart w:id="495" w:name="_Toc139770989"/>
      <w:bookmarkStart w:id="496" w:name="_Toc139771367"/>
      <w:bookmarkStart w:id="497" w:name="_Toc151191582"/>
      <w:bookmarkStart w:id="498" w:name="_Toc151260475"/>
      <w:bookmarkStart w:id="499" w:name="_Toc164158580"/>
      <w:bookmarkStart w:id="500" w:name="_Toc164220952"/>
      <w:bookmarkStart w:id="501" w:name="_Toc170878913"/>
      <w:bookmarkStart w:id="502" w:name="_Toc170894664"/>
      <w:bookmarkStart w:id="503" w:name="_Toc175712630"/>
      <w:bookmarkStart w:id="504" w:name="_Toc175970571"/>
      <w:bookmarkStart w:id="505" w:name="_Toc176335290"/>
      <w:bookmarkStart w:id="506" w:name="_Toc176338865"/>
      <w:bookmarkStart w:id="507" w:name="_Toc178742890"/>
      <w:bookmarkStart w:id="508" w:name="_Toc179363313"/>
      <w:bookmarkStart w:id="509" w:name="_Toc179604382"/>
      <w:bookmarkStart w:id="510" w:name="_Toc180204575"/>
      <w:bookmarkStart w:id="511" w:name="_Toc180204791"/>
      <w:bookmarkStart w:id="512" w:name="_Toc185844536"/>
      <w:bookmarkStart w:id="513" w:name="_Toc185845156"/>
      <w:bookmarkStart w:id="514" w:name="_Toc185927121"/>
      <w:bookmarkStart w:id="515" w:name="_Toc202505869"/>
      <w:bookmarkStart w:id="516" w:name="_Toc202672654"/>
      <w:bookmarkStart w:id="517" w:name="_Toc202691745"/>
      <w:bookmarkStart w:id="518" w:name="_Toc233448367"/>
      <w:bookmarkStart w:id="519" w:name="_Toc233611681"/>
      <w:bookmarkStart w:id="520" w:name="_Toc234730688"/>
      <w:bookmarkStart w:id="521" w:name="_Toc234733214"/>
      <w:bookmarkStart w:id="522" w:name="_Toc235863951"/>
      <w:bookmarkStart w:id="523" w:name="_Toc235933426"/>
      <w:bookmarkStart w:id="524" w:name="_Toc237164414"/>
      <w:bookmarkStart w:id="525" w:name="_Toc237244297"/>
      <w:bookmarkStart w:id="526" w:name="_Toc237245598"/>
      <w:bookmarkStart w:id="527" w:name="_Toc237245729"/>
      <w:bookmarkStart w:id="528" w:name="_Toc237247837"/>
      <w:bookmarkStart w:id="529" w:name="_Toc237254140"/>
      <w:bookmarkStart w:id="530" w:name="_Toc237309559"/>
      <w:bookmarkStart w:id="531" w:name="_Toc265743498"/>
      <w:bookmarkStart w:id="532" w:name="_Toc297540756"/>
      <w:bookmarkStart w:id="533" w:name="_Toc297541184"/>
      <w:bookmarkStart w:id="534" w:name="_Toc328403419"/>
      <w:bookmarkStart w:id="535" w:name="_Toc328471468"/>
      <w:r>
        <w:rPr>
          <w:rStyle w:val="CharPartNo"/>
        </w:rPr>
        <w:t>Part 4</w:t>
      </w:r>
      <w:r>
        <w:rPr>
          <w:rStyle w:val="CharDivNo"/>
        </w:rPr>
        <w:t> </w:t>
      </w:r>
      <w:r>
        <w:t>—</w:t>
      </w:r>
      <w:r>
        <w:rPr>
          <w:rStyle w:val="CharDivText"/>
        </w:rPr>
        <w:t> </w:t>
      </w:r>
      <w:r>
        <w:rPr>
          <w:rStyle w:val="CharPartText"/>
        </w:rPr>
        <w:t>Drainage</w:t>
      </w:r>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p>
    <w:p>
      <w:pPr>
        <w:pStyle w:val="Heading5"/>
        <w:rPr>
          <w:snapToGrid w:val="0"/>
        </w:rPr>
      </w:pPr>
      <w:bookmarkStart w:id="536" w:name="_Toc84427975"/>
      <w:bookmarkStart w:id="537" w:name="_Toc487428980"/>
      <w:bookmarkStart w:id="538" w:name="_Toc17278686"/>
      <w:bookmarkStart w:id="539" w:name="_Toc180204792"/>
      <w:bookmarkStart w:id="540" w:name="_Toc328471469"/>
      <w:r>
        <w:rPr>
          <w:rStyle w:val="CharSectno"/>
        </w:rPr>
        <w:t>27</w:t>
      </w:r>
      <w:r>
        <w:rPr>
          <w:snapToGrid w:val="0"/>
        </w:rPr>
        <w:t>.</w:t>
      </w:r>
      <w:r>
        <w:rPr>
          <w:snapToGrid w:val="0"/>
        </w:rPr>
        <w:tab/>
        <w:t>Land subject to drainage charges</w:t>
      </w:r>
      <w:bookmarkEnd w:id="536"/>
      <w:bookmarkEnd w:id="537"/>
      <w:bookmarkEnd w:id="538"/>
      <w:bookmarkEnd w:id="539"/>
      <w:bookmarkEnd w:id="540"/>
    </w:p>
    <w:p>
      <w:pPr>
        <w:pStyle w:val="Subsection"/>
        <w:rPr>
          <w:snapToGrid w:val="0"/>
        </w:rPr>
      </w:pPr>
      <w:r>
        <w:rPr>
          <w:snapToGrid w:val="0"/>
        </w:rPr>
        <w:tab/>
      </w:r>
      <w:r>
        <w:rPr>
          <w:snapToGrid w:val="0"/>
        </w:rPr>
        <w:tab/>
        <w:t xml:space="preserve">Land in a drainage area within the meaning of the </w:t>
      </w:r>
      <w:r>
        <w:rPr>
          <w:i/>
          <w:snapToGrid w:val="0"/>
        </w:rPr>
        <w:t>Metropolitan Water Authority Act 1982</w:t>
      </w:r>
      <w:r>
        <w:rPr>
          <w:snapToGrid w:val="0"/>
        </w:rPr>
        <w:t xml:space="preserve"> shall be taken, in accordance with section 41(1)(b) of the </w:t>
      </w:r>
      <w:r>
        <w:rPr>
          <w:i/>
          <w:snapToGrid w:val="0"/>
        </w:rPr>
        <w:t>Water Agencies (Powers) Act 1984</w:t>
      </w:r>
      <w:r>
        <w:rPr>
          <w:snapToGrid w:val="0"/>
        </w:rPr>
        <w:t>, to be land in respect of which the Corporation provides drainage and, subject to by</w:t>
      </w:r>
      <w:r>
        <w:rPr>
          <w:snapToGrid w:val="0"/>
        </w:rPr>
        <w:noBreakHyphen/>
        <w:t xml:space="preserve">law 28, charges as set out in </w:t>
      </w:r>
      <w:r>
        <w:t xml:space="preserve">Schedule 4 </w:t>
      </w:r>
      <w:r>
        <w:rPr>
          <w:snapToGrid w:val="0"/>
        </w:rPr>
        <w:t>shall apply in respect of that land.</w:t>
      </w:r>
    </w:p>
    <w:p>
      <w:pPr>
        <w:pStyle w:val="Footnotesection"/>
        <w:spacing w:before="80"/>
        <w:ind w:left="890" w:hanging="890"/>
      </w:pPr>
      <w:r>
        <w:tab/>
        <w:t>[By</w:t>
      </w:r>
      <w:r>
        <w:noBreakHyphen/>
        <w:t>law 27 amended in Gazette 29 Dec 1995 p. 6331</w:t>
      </w:r>
      <w:r>
        <w:noBreakHyphen/>
        <w:t>2; 29 Jun 2001 p. 3194; 19 Jun 2009 p. 2323.]</w:t>
      </w:r>
    </w:p>
    <w:p>
      <w:pPr>
        <w:pStyle w:val="Heading5"/>
        <w:rPr>
          <w:snapToGrid w:val="0"/>
        </w:rPr>
      </w:pPr>
      <w:bookmarkStart w:id="541" w:name="_Toc84427976"/>
      <w:bookmarkStart w:id="542" w:name="_Toc487428981"/>
      <w:bookmarkStart w:id="543" w:name="_Toc17278687"/>
      <w:bookmarkStart w:id="544" w:name="_Toc180204793"/>
      <w:bookmarkStart w:id="545" w:name="_Toc328471470"/>
      <w:r>
        <w:rPr>
          <w:rStyle w:val="CharSectno"/>
        </w:rPr>
        <w:t>28</w:t>
      </w:r>
      <w:r>
        <w:rPr>
          <w:snapToGrid w:val="0"/>
        </w:rPr>
        <w:t>.</w:t>
      </w:r>
      <w:r>
        <w:rPr>
          <w:snapToGrid w:val="0"/>
        </w:rPr>
        <w:tab/>
        <w:t>Exempt land</w:t>
      </w:r>
      <w:bookmarkEnd w:id="541"/>
      <w:bookmarkEnd w:id="542"/>
      <w:bookmarkEnd w:id="543"/>
      <w:bookmarkEnd w:id="544"/>
      <w:bookmarkEnd w:id="545"/>
    </w:p>
    <w:p>
      <w:pPr>
        <w:pStyle w:val="Subsection"/>
        <w:rPr>
          <w:snapToGrid w:val="0"/>
        </w:rPr>
      </w:pPr>
      <w:r>
        <w:rPr>
          <w:snapToGrid w:val="0"/>
        </w:rPr>
        <w:tab/>
        <w:t>(1)</w:t>
      </w:r>
      <w:r>
        <w:rPr>
          <w:snapToGrid w:val="0"/>
        </w:rPr>
        <w:tab/>
        <w:t>Land described in by</w:t>
      </w:r>
      <w:r>
        <w:rPr>
          <w:snapToGrid w:val="0"/>
        </w:rPr>
        <w:noBreakHyphen/>
        <w:t>law 4 is exempt from any charge set out in</w:t>
      </w:r>
      <w:r>
        <w:t xml:space="preserve"> Schedule 4</w:t>
      </w:r>
      <w:r>
        <w:rPr>
          <w:snapToGrid w:val="0"/>
        </w:rPr>
        <w:t>.</w:t>
      </w:r>
    </w:p>
    <w:p>
      <w:pPr>
        <w:pStyle w:val="Subsection"/>
      </w:pPr>
      <w:r>
        <w:tab/>
        <w:t>(2)</w:t>
      </w:r>
      <w:r>
        <w:tab/>
        <w:t xml:space="preserve">A lot that is — </w:t>
      </w:r>
    </w:p>
    <w:p>
      <w:pPr>
        <w:pStyle w:val="Indenta"/>
      </w:pPr>
      <w:r>
        <w:tab/>
        <w:t>(a)</w:t>
      </w:r>
      <w:r>
        <w:tab/>
        <w:t>greater than one hectare in area; and</w:t>
      </w:r>
    </w:p>
    <w:p>
      <w:pPr>
        <w:pStyle w:val="Indenta"/>
      </w:pPr>
      <w:r>
        <w:tab/>
        <w:t>(b)</w:t>
      </w:r>
      <w:r>
        <w:tab/>
        <w:t xml:space="preserve">comprised wholly of — </w:t>
      </w:r>
    </w:p>
    <w:p>
      <w:pPr>
        <w:pStyle w:val="Indenti"/>
      </w:pPr>
      <w:r>
        <w:tab/>
        <w:t>(i)</w:t>
      </w:r>
      <w:r>
        <w:tab/>
        <w:t>rural land; or</w:t>
      </w:r>
    </w:p>
    <w:p>
      <w:pPr>
        <w:pStyle w:val="Indenti"/>
      </w:pPr>
      <w:r>
        <w:tab/>
        <w:t>(ii)</w:t>
      </w:r>
      <w:r>
        <w:tab/>
        <w:t>land that has not been the subject of development,</w:t>
      </w:r>
    </w:p>
    <w:p>
      <w:pPr>
        <w:pStyle w:val="Subsection"/>
      </w:pPr>
      <w:r>
        <w:tab/>
      </w:r>
      <w:r>
        <w:tab/>
        <w:t>is exempt from any charge set out in Schedule 4.</w:t>
      </w:r>
    </w:p>
    <w:p>
      <w:pPr>
        <w:pStyle w:val="Subsection"/>
      </w:pPr>
      <w:r>
        <w:tab/>
        <w:t>(3)</w:t>
      </w:r>
      <w:r>
        <w:tab/>
        <w:t>In sub</w:t>
      </w:r>
      <w:r>
        <w:noBreakHyphen/>
        <w:t xml:space="preserve">bylaw (2) — </w:t>
      </w:r>
    </w:p>
    <w:p>
      <w:pPr>
        <w:pStyle w:val="Defstart"/>
      </w:pPr>
      <w:r>
        <w:rPr>
          <w:b/>
        </w:rPr>
        <w:tab/>
      </w:r>
      <w:r>
        <w:rPr>
          <w:rStyle w:val="CharDefText"/>
        </w:rPr>
        <w:t>development</w:t>
      </w:r>
      <w:r>
        <w:t xml:space="preserve"> has the meaning given in the </w:t>
      </w:r>
      <w:r>
        <w:rPr>
          <w:i/>
        </w:rPr>
        <w:t>Planning and Development Act 2005</w:t>
      </w:r>
      <w:r>
        <w:t>;</w:t>
      </w:r>
    </w:p>
    <w:p>
      <w:pPr>
        <w:pStyle w:val="Defstart"/>
      </w:pPr>
      <w:r>
        <w:rPr>
          <w:b/>
        </w:rPr>
        <w:tab/>
      </w:r>
      <w:r>
        <w:rPr>
          <w:rStyle w:val="CharDefText"/>
        </w:rPr>
        <w:t>lot</w:t>
      </w:r>
      <w:r>
        <w:t xml:space="preserve"> has the meaning given in the </w:t>
      </w:r>
      <w:r>
        <w:rPr>
          <w:i/>
        </w:rPr>
        <w:t>Planning and Development Act 2005</w:t>
      </w:r>
      <w:r>
        <w:t>;</w:t>
      </w:r>
    </w:p>
    <w:p>
      <w:pPr>
        <w:pStyle w:val="Defstart"/>
      </w:pPr>
      <w:r>
        <w:rPr>
          <w:b/>
        </w:rPr>
        <w:tab/>
      </w:r>
      <w:r>
        <w:rPr>
          <w:rStyle w:val="CharDefText"/>
        </w:rPr>
        <w:t>rural land</w:t>
      </w:r>
      <w:r>
        <w:t xml:space="preserve"> means land zoned for agricultural or rural use under a local planning scheme made under the </w:t>
      </w:r>
      <w:r>
        <w:rPr>
          <w:i/>
        </w:rPr>
        <w:t>Planning and Development Act 2005</w:t>
      </w:r>
      <w:r>
        <w:t>.</w:t>
      </w:r>
    </w:p>
    <w:p>
      <w:pPr>
        <w:pStyle w:val="Footnotesection"/>
      </w:pPr>
      <w:r>
        <w:tab/>
        <w:t>[By</w:t>
      </w:r>
      <w:r>
        <w:noBreakHyphen/>
        <w:t>law 28 amended in Gazette 29 Jun 2001 p. 3194; 27 Jun 2008 p. 2987.]</w:t>
      </w:r>
    </w:p>
    <w:p>
      <w:pPr>
        <w:pStyle w:val="Heading5"/>
      </w:pPr>
      <w:bookmarkStart w:id="546" w:name="_Toc84427977"/>
      <w:bookmarkStart w:id="547" w:name="_Toc180204794"/>
      <w:bookmarkStart w:id="548" w:name="_Toc328471471"/>
      <w:r>
        <w:rPr>
          <w:rStyle w:val="CharSectno"/>
        </w:rPr>
        <w:t>29</w:t>
      </w:r>
      <w:r>
        <w:t>.</w:t>
      </w:r>
      <w:r>
        <w:tab/>
        <w:t>Classification of land</w:t>
      </w:r>
      <w:bookmarkEnd w:id="546"/>
      <w:bookmarkEnd w:id="547"/>
      <w:bookmarkEnd w:id="548"/>
    </w:p>
    <w:p>
      <w:pPr>
        <w:pStyle w:val="Subsection"/>
      </w:pPr>
      <w:r>
        <w:tab/>
      </w:r>
      <w:r>
        <w:tab/>
        <w:t>For the purposes of this Part, land may, irrespective of any other classification under these by</w:t>
      </w:r>
      <w:r>
        <w:noBreakHyphen/>
        <w:t xml:space="preserve">laws, be classified by the Corporation as follows — </w:t>
      </w:r>
    </w:p>
    <w:p>
      <w:pPr>
        <w:pStyle w:val="Indenta"/>
      </w:pPr>
      <w:r>
        <w:tab/>
        <w:t>(a)</w:t>
      </w:r>
      <w:r>
        <w:tab/>
        <w:t>residential, if the land is used wholly or primarily for the purpose of providing the owner or occupier of the land with a residence for himself, his family or servants, or any of them;</w:t>
      </w:r>
    </w:p>
    <w:p>
      <w:pPr>
        <w:pStyle w:val="Indenta"/>
      </w:pPr>
      <w:r>
        <w:tab/>
        <w:t>(b)</w:t>
      </w:r>
      <w:r>
        <w:tab/>
        <w:t>non</w:t>
      </w:r>
      <w:r>
        <w:noBreakHyphen/>
        <w:t>residential property, if the land is used for business, professional, holiday accommodation, manufacturing, processing or other commercial processes that are not the subject of another class prescribed in this by</w:t>
      </w:r>
      <w:r>
        <w:noBreakHyphen/>
        <w:t>law;</w:t>
      </w:r>
    </w:p>
    <w:p>
      <w:pPr>
        <w:pStyle w:val="Indenta"/>
      </w:pPr>
      <w:r>
        <w:tab/>
        <w:t>(c)</w:t>
      </w:r>
      <w:r>
        <w:tab/>
        <w:t>vacant land, if there is no building on the land.</w:t>
      </w:r>
    </w:p>
    <w:p>
      <w:pPr>
        <w:pStyle w:val="Footnotesection"/>
      </w:pPr>
      <w:r>
        <w:tab/>
        <w:t>[By</w:t>
      </w:r>
      <w:r>
        <w:noBreakHyphen/>
        <w:t xml:space="preserve">law 29 inserted in Gazette 29 Jun 2007 p. 3254; amended in Gazette 19 Jun 2009 p. 2323.] </w:t>
      </w:r>
    </w:p>
    <w:p>
      <w:pPr>
        <w:pStyle w:val="Ednotesection"/>
      </w:pPr>
      <w:r>
        <w:t>[</w:t>
      </w:r>
      <w:r>
        <w:rPr>
          <w:b/>
        </w:rPr>
        <w:t>30.</w:t>
      </w:r>
      <w:r>
        <w:tab/>
        <w:t>Deleted in Gazette 1 Jul 2002 p. 3157.]</w:t>
      </w:r>
    </w:p>
    <w:p>
      <w:pPr>
        <w:pStyle w:val="Heading2"/>
      </w:pPr>
      <w:bookmarkStart w:id="549" w:name="_Toc84427978"/>
      <w:bookmarkStart w:id="550" w:name="_Toc91580448"/>
      <w:bookmarkStart w:id="551" w:name="_Toc103667133"/>
      <w:bookmarkStart w:id="552" w:name="_Toc103741652"/>
      <w:bookmarkStart w:id="553" w:name="_Toc107981895"/>
      <w:bookmarkStart w:id="554" w:name="_Toc118800062"/>
      <w:bookmarkStart w:id="555" w:name="_Toc118860070"/>
      <w:bookmarkStart w:id="556" w:name="_Toc121545570"/>
      <w:bookmarkStart w:id="557" w:name="_Toc121801093"/>
      <w:bookmarkStart w:id="558" w:name="_Toc121818206"/>
      <w:bookmarkStart w:id="559" w:name="_Toc121880816"/>
      <w:bookmarkStart w:id="560" w:name="_Toc129481887"/>
      <w:bookmarkStart w:id="561" w:name="_Toc130095256"/>
      <w:bookmarkStart w:id="562" w:name="_Toc130273320"/>
      <w:bookmarkStart w:id="563" w:name="_Toc139770993"/>
      <w:bookmarkStart w:id="564" w:name="_Toc139771371"/>
      <w:bookmarkStart w:id="565" w:name="_Toc151191586"/>
      <w:bookmarkStart w:id="566" w:name="_Toc151260479"/>
      <w:bookmarkStart w:id="567" w:name="_Toc164158584"/>
      <w:bookmarkStart w:id="568" w:name="_Toc164220956"/>
      <w:bookmarkStart w:id="569" w:name="_Toc170878918"/>
      <w:bookmarkStart w:id="570" w:name="_Toc170894668"/>
      <w:bookmarkStart w:id="571" w:name="_Toc175712634"/>
      <w:bookmarkStart w:id="572" w:name="_Toc175970575"/>
      <w:bookmarkStart w:id="573" w:name="_Toc176335294"/>
      <w:bookmarkStart w:id="574" w:name="_Toc176338869"/>
      <w:bookmarkStart w:id="575" w:name="_Toc178742894"/>
      <w:bookmarkStart w:id="576" w:name="_Toc179363317"/>
      <w:bookmarkStart w:id="577" w:name="_Toc179604386"/>
      <w:bookmarkStart w:id="578" w:name="_Toc180204579"/>
      <w:bookmarkStart w:id="579" w:name="_Toc180204795"/>
      <w:bookmarkStart w:id="580" w:name="_Toc185844540"/>
      <w:bookmarkStart w:id="581" w:name="_Toc185845160"/>
      <w:bookmarkStart w:id="582" w:name="_Toc185927125"/>
      <w:bookmarkStart w:id="583" w:name="_Toc202505873"/>
      <w:bookmarkStart w:id="584" w:name="_Toc202672658"/>
      <w:bookmarkStart w:id="585" w:name="_Toc202691749"/>
      <w:bookmarkStart w:id="586" w:name="_Toc233448371"/>
      <w:bookmarkStart w:id="587" w:name="_Toc233611685"/>
      <w:bookmarkStart w:id="588" w:name="_Toc234730692"/>
      <w:bookmarkStart w:id="589" w:name="_Toc234733218"/>
      <w:bookmarkStart w:id="590" w:name="_Toc235863955"/>
      <w:bookmarkStart w:id="591" w:name="_Toc235933430"/>
      <w:bookmarkStart w:id="592" w:name="_Toc237164418"/>
      <w:bookmarkStart w:id="593" w:name="_Toc237244301"/>
      <w:bookmarkStart w:id="594" w:name="_Toc237245602"/>
      <w:bookmarkStart w:id="595" w:name="_Toc237245733"/>
      <w:bookmarkStart w:id="596" w:name="_Toc237247841"/>
      <w:bookmarkStart w:id="597" w:name="_Toc237254144"/>
      <w:bookmarkStart w:id="598" w:name="_Toc237309563"/>
      <w:bookmarkStart w:id="599" w:name="_Toc265743502"/>
      <w:bookmarkStart w:id="600" w:name="_Toc297540760"/>
      <w:bookmarkStart w:id="601" w:name="_Toc297541188"/>
      <w:bookmarkStart w:id="602" w:name="_Toc328403423"/>
      <w:bookmarkStart w:id="603" w:name="_Toc328471472"/>
      <w:r>
        <w:rPr>
          <w:rStyle w:val="CharPartNo"/>
        </w:rPr>
        <w:t>Part 5</w:t>
      </w:r>
      <w:r>
        <w:rPr>
          <w:rStyle w:val="CharDivNo"/>
        </w:rPr>
        <w:t> </w:t>
      </w:r>
      <w:r>
        <w:t>—</w:t>
      </w:r>
      <w:r>
        <w:rPr>
          <w:rStyle w:val="CharDivText"/>
        </w:rPr>
        <w:t> </w:t>
      </w:r>
      <w:r>
        <w:rPr>
          <w:rStyle w:val="CharPartText"/>
        </w:rPr>
        <w:t>Irrigation</w:t>
      </w:r>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p>
    <w:p>
      <w:pPr>
        <w:pStyle w:val="Heading5"/>
        <w:rPr>
          <w:snapToGrid w:val="0"/>
        </w:rPr>
      </w:pPr>
      <w:bookmarkStart w:id="604" w:name="_Toc84427979"/>
      <w:bookmarkStart w:id="605" w:name="_Toc487428984"/>
      <w:bookmarkStart w:id="606" w:name="_Toc17278689"/>
      <w:bookmarkStart w:id="607" w:name="_Toc180204796"/>
      <w:bookmarkStart w:id="608" w:name="_Toc328471473"/>
      <w:r>
        <w:rPr>
          <w:rStyle w:val="CharSectno"/>
        </w:rPr>
        <w:t>31</w:t>
      </w:r>
      <w:r>
        <w:rPr>
          <w:snapToGrid w:val="0"/>
        </w:rPr>
        <w:t>.</w:t>
      </w:r>
      <w:r>
        <w:rPr>
          <w:snapToGrid w:val="0"/>
        </w:rPr>
        <w:tab/>
        <w:t>Land subject to irrigation charges</w:t>
      </w:r>
      <w:bookmarkEnd w:id="604"/>
      <w:bookmarkEnd w:id="605"/>
      <w:bookmarkEnd w:id="606"/>
      <w:bookmarkEnd w:id="607"/>
      <w:bookmarkEnd w:id="608"/>
    </w:p>
    <w:p>
      <w:pPr>
        <w:pStyle w:val="Subsection"/>
        <w:rPr>
          <w:snapToGrid w:val="0"/>
        </w:rPr>
      </w:pPr>
      <w:r>
        <w:rPr>
          <w:snapToGrid w:val="0"/>
        </w:rPr>
        <w:tab/>
      </w:r>
      <w:r>
        <w:rPr>
          <w:snapToGrid w:val="0"/>
        </w:rPr>
        <w:tab/>
        <w:t xml:space="preserve">Land that is actually supplied under the </w:t>
      </w:r>
      <w:r>
        <w:rPr>
          <w:i/>
          <w:snapToGrid w:val="0"/>
        </w:rPr>
        <w:t>Rights in Water and Irrigation Act 1914</w:t>
      </w:r>
      <w:r>
        <w:rPr>
          <w:snapToGrid w:val="0"/>
        </w:rPr>
        <w:t xml:space="preserve"> with water for irrigation or, although not actually so supplied, is land —</w:t>
      </w:r>
    </w:p>
    <w:p>
      <w:pPr>
        <w:pStyle w:val="Indenta"/>
        <w:rPr>
          <w:snapToGrid w:val="0"/>
        </w:rPr>
      </w:pPr>
      <w:r>
        <w:rPr>
          <w:snapToGrid w:val="0"/>
        </w:rPr>
        <w:tab/>
        <w:t>(a)</w:t>
      </w:r>
      <w:r>
        <w:rPr>
          <w:snapToGrid w:val="0"/>
        </w:rPr>
        <w:tab/>
        <w:t>that is, in the opinion of the Corporation —</w:t>
      </w:r>
    </w:p>
    <w:p>
      <w:pPr>
        <w:pStyle w:val="Indenti"/>
        <w:rPr>
          <w:snapToGrid w:val="0"/>
        </w:rPr>
      </w:pPr>
      <w:r>
        <w:rPr>
          <w:snapToGrid w:val="0"/>
        </w:rPr>
        <w:tab/>
        <w:t>(i)</w:t>
      </w:r>
      <w:r>
        <w:rPr>
          <w:snapToGrid w:val="0"/>
        </w:rPr>
        <w:tab/>
        <w:t>suitable for irrigation; and</w:t>
      </w:r>
    </w:p>
    <w:p>
      <w:pPr>
        <w:pStyle w:val="Indenti"/>
        <w:rPr>
          <w:snapToGrid w:val="0"/>
        </w:rPr>
      </w:pPr>
      <w:r>
        <w:rPr>
          <w:snapToGrid w:val="0"/>
        </w:rPr>
        <w:tab/>
        <w:t>(ii)</w:t>
      </w:r>
      <w:r>
        <w:rPr>
          <w:snapToGrid w:val="0"/>
        </w:rPr>
        <w:tab/>
        <w:t>reasonably capable of being supplied under that Act with water for irrigation;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to which the Corporation is prepared to supply water under that Act for irrigation,</w:t>
      </w:r>
    </w:p>
    <w:p>
      <w:pPr>
        <w:pStyle w:val="Subsection"/>
        <w:rPr>
          <w:snapToGrid w:val="0"/>
        </w:rPr>
      </w:pPr>
      <w:r>
        <w:rPr>
          <w:snapToGrid w:val="0"/>
        </w:rPr>
        <w:tab/>
      </w:r>
      <w:r>
        <w:rPr>
          <w:snapToGrid w:val="0"/>
        </w:rPr>
        <w:tab/>
        <w:t xml:space="preserve">shall be taken, in accordance with section 41(1)(b) of the </w:t>
      </w:r>
      <w:r>
        <w:rPr>
          <w:i/>
          <w:snapToGrid w:val="0"/>
        </w:rPr>
        <w:t>Water Agencies (Powers) Act 1984</w:t>
      </w:r>
      <w:r>
        <w:rPr>
          <w:snapToGrid w:val="0"/>
        </w:rPr>
        <w:t>, to be land in respect of which the Corporation provides irrigation and, subject to by</w:t>
      </w:r>
      <w:r>
        <w:rPr>
          <w:snapToGrid w:val="0"/>
        </w:rPr>
        <w:noBreakHyphen/>
        <w:t xml:space="preserve">law 32, charges as set out in </w:t>
      </w:r>
      <w:r>
        <w:t xml:space="preserve">Schedule 5 </w:t>
      </w:r>
      <w:r>
        <w:rPr>
          <w:snapToGrid w:val="0"/>
        </w:rPr>
        <w:t>shall apply in respect of that land.</w:t>
      </w:r>
    </w:p>
    <w:p>
      <w:pPr>
        <w:pStyle w:val="Footnotesection"/>
      </w:pPr>
      <w:r>
        <w:tab/>
        <w:t>[By</w:t>
      </w:r>
      <w:r>
        <w:noBreakHyphen/>
        <w:t>law 31 inserted in Gazette 26 Jun 1992 p. 2813; amended in Gazette 29 Dec 1995 p. 6331</w:t>
      </w:r>
      <w:r>
        <w:noBreakHyphen/>
        <w:t>2; 29 Jun 2001 p. 3195.]</w:t>
      </w:r>
    </w:p>
    <w:p>
      <w:pPr>
        <w:pStyle w:val="Heading5"/>
        <w:rPr>
          <w:snapToGrid w:val="0"/>
        </w:rPr>
      </w:pPr>
      <w:bookmarkStart w:id="609" w:name="_Toc84427980"/>
      <w:bookmarkStart w:id="610" w:name="_Toc487428985"/>
      <w:bookmarkStart w:id="611" w:name="_Toc17278690"/>
      <w:bookmarkStart w:id="612" w:name="_Toc180204797"/>
      <w:bookmarkStart w:id="613" w:name="_Toc328471474"/>
      <w:r>
        <w:rPr>
          <w:rStyle w:val="CharSectno"/>
        </w:rPr>
        <w:t>32</w:t>
      </w:r>
      <w:r>
        <w:rPr>
          <w:snapToGrid w:val="0"/>
        </w:rPr>
        <w:t>.</w:t>
      </w:r>
      <w:r>
        <w:rPr>
          <w:snapToGrid w:val="0"/>
        </w:rPr>
        <w:tab/>
        <w:t>Exempt land</w:t>
      </w:r>
      <w:bookmarkEnd w:id="609"/>
      <w:bookmarkEnd w:id="610"/>
      <w:bookmarkEnd w:id="611"/>
      <w:bookmarkEnd w:id="612"/>
      <w:bookmarkEnd w:id="613"/>
    </w:p>
    <w:p>
      <w:pPr>
        <w:pStyle w:val="Subsection"/>
        <w:rPr>
          <w:snapToGrid w:val="0"/>
        </w:rPr>
      </w:pPr>
      <w:r>
        <w:rPr>
          <w:snapToGrid w:val="0"/>
        </w:rPr>
        <w:tab/>
      </w:r>
      <w:r>
        <w:rPr>
          <w:snapToGrid w:val="0"/>
        </w:rPr>
        <w:tab/>
        <w:t>Land described in by</w:t>
      </w:r>
      <w:r>
        <w:rPr>
          <w:snapToGrid w:val="0"/>
        </w:rPr>
        <w:noBreakHyphen/>
        <w:t>law 4 is exempt from any charge set out in</w:t>
      </w:r>
      <w:r>
        <w:t xml:space="preserve"> Schedule 5</w:t>
      </w:r>
      <w:r>
        <w:rPr>
          <w:snapToGrid w:val="0"/>
        </w:rPr>
        <w:t>.</w:t>
      </w:r>
    </w:p>
    <w:p>
      <w:pPr>
        <w:pStyle w:val="Footnotesection"/>
      </w:pPr>
      <w:r>
        <w:tab/>
        <w:t>[By</w:t>
      </w:r>
      <w:r>
        <w:noBreakHyphen/>
        <w:t>law 32 amended in Gazette 29 Jun 2001 p. 3195.]</w:t>
      </w:r>
    </w:p>
    <w:p>
      <w:pPr>
        <w:pStyle w:val="Heading5"/>
      </w:pPr>
      <w:bookmarkStart w:id="614" w:name="_Toc84427981"/>
      <w:bookmarkStart w:id="615" w:name="_Toc17278691"/>
      <w:bookmarkStart w:id="616" w:name="_Toc180204798"/>
      <w:bookmarkStart w:id="617" w:name="_Toc328471475"/>
      <w:r>
        <w:rPr>
          <w:rStyle w:val="CharSectno"/>
        </w:rPr>
        <w:t>33</w:t>
      </w:r>
      <w:r>
        <w:t>.</w:t>
      </w:r>
      <w:r>
        <w:tab/>
        <w:t>Charge options for land in Carnarvon Irrigation District</w:t>
      </w:r>
      <w:bookmarkEnd w:id="614"/>
      <w:bookmarkEnd w:id="615"/>
      <w:bookmarkEnd w:id="616"/>
      <w:bookmarkEnd w:id="617"/>
    </w:p>
    <w:p>
      <w:pPr>
        <w:pStyle w:val="Subsection"/>
      </w:pPr>
      <w:r>
        <w:tab/>
        <w:t>(1)</w:t>
      </w:r>
      <w:r>
        <w:tab/>
        <w:t>In this by</w:t>
      </w:r>
      <w:r>
        <w:noBreakHyphen/>
        <w:t>law —</w:t>
      </w:r>
    </w:p>
    <w:p>
      <w:pPr>
        <w:pStyle w:val="Defstart"/>
      </w:pPr>
      <w:r>
        <w:tab/>
      </w:r>
      <w:r>
        <w:rPr>
          <w:rStyle w:val="CharDefText"/>
        </w:rPr>
        <w:t>customer</w:t>
      </w:r>
      <w:r>
        <w:t xml:space="preserve"> means an owner or occupier of land in the Carnarvon Irrigation District who is entitled under the</w:t>
      </w:r>
      <w:r>
        <w:rPr>
          <w:i/>
        </w:rPr>
        <w:t xml:space="preserve"> Rights in Water and Irrigation Act 1914</w:t>
      </w:r>
      <w:r>
        <w:t xml:space="preserve"> to the supply to the land of water for irrigation purposes.</w:t>
      </w:r>
    </w:p>
    <w:p>
      <w:pPr>
        <w:pStyle w:val="Subsection"/>
      </w:pPr>
      <w:r>
        <w:tab/>
        <w:t>(2)</w:t>
      </w:r>
      <w:r>
        <w:tab/>
        <w:t>A customer is to select whether the charges for the supply to the land of water for irrigation purpose are to be made in accordance with —</w:t>
      </w:r>
    </w:p>
    <w:p>
      <w:pPr>
        <w:pStyle w:val="Indenta"/>
      </w:pPr>
      <w:r>
        <w:tab/>
        <w:t>(a)</w:t>
      </w:r>
      <w:r>
        <w:tab/>
        <w:t>Schedule 5 clause 1(1)(a) (</w:t>
      </w:r>
      <w:r>
        <w:rPr>
          <w:rStyle w:val="CharDefText"/>
        </w:rPr>
        <w:t>option A</w:t>
      </w:r>
      <w:r>
        <w:t>); or</w:t>
      </w:r>
    </w:p>
    <w:p>
      <w:pPr>
        <w:pStyle w:val="Indenta"/>
      </w:pPr>
      <w:r>
        <w:tab/>
        <w:t>(b)</w:t>
      </w:r>
      <w:r>
        <w:tab/>
        <w:t>Schedule 5 clause 1(1)(b) (</w:t>
      </w:r>
      <w:r>
        <w:rPr>
          <w:rStyle w:val="CharDefText"/>
        </w:rPr>
        <w:t>option B</w:t>
      </w:r>
      <w:r>
        <w:t>).</w:t>
      </w:r>
    </w:p>
    <w:p>
      <w:pPr>
        <w:pStyle w:val="Subsection"/>
      </w:pPr>
      <w:r>
        <w:tab/>
        <w:t>(3)</w:t>
      </w:r>
      <w:r>
        <w:tab/>
        <w:t>Until a customer selects otherwise, the customer is taken to have selected option A.</w:t>
      </w:r>
    </w:p>
    <w:p>
      <w:pPr>
        <w:pStyle w:val="Subsection"/>
      </w:pPr>
      <w:r>
        <w:tab/>
        <w:t>(4)</w:t>
      </w:r>
      <w:r>
        <w:tab/>
        <w:t>A customer may change the customer’s selection by giving notice in writing to the Corporation.</w:t>
      </w:r>
    </w:p>
    <w:p>
      <w:pPr>
        <w:pStyle w:val="Subsection"/>
      </w:pPr>
      <w:r>
        <w:tab/>
        <w:t>(5)</w:t>
      </w:r>
      <w:r>
        <w:tab/>
        <w:t>If notice of a change of selection is received by the Corporation before 1 June in a calendar year, the change has effect with respect to water supplied on or after 1 July in that year.</w:t>
      </w:r>
    </w:p>
    <w:p>
      <w:pPr>
        <w:pStyle w:val="Subsection"/>
      </w:pPr>
      <w:r>
        <w:tab/>
        <w:t>(6)</w:t>
      </w:r>
      <w:r>
        <w:tab/>
        <w:t>If notice of a change of selection is received by the Corporation on or after 1 June in a calendar year, the change has effect with respect to water supplied on or after 1 July in the next year.</w:t>
      </w:r>
    </w:p>
    <w:p>
      <w:pPr>
        <w:pStyle w:val="Subsection"/>
      </w:pPr>
      <w:r>
        <w:tab/>
        <w:t>(7)</w:t>
      </w:r>
      <w:r>
        <w:tab/>
        <w:t>If there is a change in the person who is the customer in respect of land, then until the new customer selects otherwise, the new customer is taken to have selected the option that applied in relation to the old customer immediately before the change.</w:t>
      </w:r>
    </w:p>
    <w:p>
      <w:pPr>
        <w:pStyle w:val="Footnotesection"/>
      </w:pPr>
      <w:r>
        <w:tab/>
        <w:t>[By</w:t>
      </w:r>
      <w:r>
        <w:noBreakHyphen/>
        <w:t>law 33 inserted in Gazette 22 Feb 2002 p. 767</w:t>
      </w:r>
      <w:r>
        <w:noBreakHyphen/>
        <w:t>8.]</w:t>
      </w:r>
    </w:p>
    <w:p>
      <w:pPr>
        <w:pStyle w:val="Ednotepart"/>
      </w:pPr>
      <w:r>
        <w:t>[Part 6 deleted in Gazette 29 Jun 1989 p. 1871.]</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yScheduleHeading"/>
      </w:pPr>
      <w:bookmarkStart w:id="618" w:name="_Toc84427982"/>
      <w:bookmarkStart w:id="619" w:name="_Toc328403427"/>
      <w:bookmarkStart w:id="620" w:name="_Toc328471476"/>
      <w:bookmarkStart w:id="621" w:name="_Toc103741755"/>
      <w:bookmarkStart w:id="622" w:name="_Toc139771095"/>
      <w:bookmarkStart w:id="623" w:name="_Toc139771473"/>
      <w:bookmarkStart w:id="624" w:name="_Toc151191688"/>
      <w:bookmarkStart w:id="625" w:name="_Toc151260581"/>
      <w:bookmarkStart w:id="626" w:name="_Toc164158688"/>
      <w:bookmarkStart w:id="627" w:name="_Toc164221060"/>
      <w:bookmarkStart w:id="628" w:name="_Toc170879115"/>
      <w:bookmarkStart w:id="629" w:name="_Toc170894765"/>
      <w:bookmarkStart w:id="630" w:name="_Toc175712731"/>
      <w:bookmarkStart w:id="631" w:name="_Toc175970672"/>
      <w:bookmarkStart w:id="632" w:name="_Toc176335391"/>
      <w:bookmarkStart w:id="633" w:name="_Toc176338966"/>
      <w:bookmarkStart w:id="634" w:name="_Toc178742991"/>
      <w:bookmarkStart w:id="635" w:name="_Toc179363414"/>
      <w:bookmarkStart w:id="636" w:name="_Toc179604483"/>
      <w:bookmarkStart w:id="637" w:name="_Toc180204676"/>
      <w:bookmarkStart w:id="638" w:name="_Toc180204892"/>
      <w:bookmarkStart w:id="639" w:name="_Toc185844637"/>
      <w:bookmarkStart w:id="640" w:name="_Toc185845257"/>
      <w:bookmarkStart w:id="641" w:name="_Toc185927222"/>
      <w:bookmarkStart w:id="642" w:name="_Toc202506016"/>
      <w:bookmarkStart w:id="643" w:name="_Toc202672748"/>
      <w:bookmarkStart w:id="644" w:name="_Toc202691763"/>
      <w:bookmarkStart w:id="645" w:name="_Toc265743581"/>
      <w:bookmarkStart w:id="646" w:name="_Toc297540764"/>
      <w:bookmarkStart w:id="647" w:name="_Toc297541192"/>
      <w:bookmarkStart w:id="648" w:name="_Toc121801198"/>
      <w:bookmarkStart w:id="649" w:name="_Toc121818311"/>
      <w:bookmarkStart w:id="650" w:name="_Toc121880921"/>
      <w:bookmarkStart w:id="651" w:name="_Toc129481992"/>
      <w:bookmarkStart w:id="652" w:name="_Toc130095361"/>
      <w:bookmarkStart w:id="653" w:name="_Toc130273425"/>
      <w:r>
        <w:rPr>
          <w:rStyle w:val="CharSchNo"/>
        </w:rPr>
        <w:t>Schedule 1</w:t>
      </w:r>
      <w:r>
        <w:t> — </w:t>
      </w:r>
      <w:r>
        <w:rPr>
          <w:rStyle w:val="CharSchText"/>
        </w:rPr>
        <w:t xml:space="preserve">Charges for water supply other than under the </w:t>
      </w:r>
      <w:r>
        <w:rPr>
          <w:rStyle w:val="CharSchText"/>
          <w:i/>
        </w:rPr>
        <w:t>Rights in Water and Irrigation Act 1914</w:t>
      </w:r>
      <w:r>
        <w:rPr>
          <w:rStyle w:val="CharSchText"/>
        </w:rPr>
        <w:t xml:space="preserve"> for 2012/2013</w:t>
      </w:r>
      <w:bookmarkEnd w:id="618"/>
      <w:bookmarkEnd w:id="619"/>
      <w:bookmarkEnd w:id="620"/>
    </w:p>
    <w:p>
      <w:pPr>
        <w:pStyle w:val="yShoulderClause"/>
      </w:pPr>
      <w:r>
        <w:t xml:space="preserve">[bl. </w:t>
      </w:r>
      <w:r>
        <w:rPr>
          <w:snapToGrid w:val="0"/>
        </w:rPr>
        <w:t>11, 17B, 17C and 19A</w:t>
      </w:r>
      <w:r>
        <w:t>]</w:t>
      </w:r>
    </w:p>
    <w:p>
      <w:pPr>
        <w:pStyle w:val="yFootnoteheading"/>
        <w:spacing w:after="60"/>
      </w:pPr>
      <w:r>
        <w:tab/>
        <w:t>[Heading inserted in Gazette 20 Jun 2012 p. 2700.]</w:t>
      </w:r>
    </w:p>
    <w:p>
      <w:pPr>
        <w:pStyle w:val="yHeading3"/>
      </w:pPr>
      <w:bookmarkStart w:id="654" w:name="_Toc84427983"/>
      <w:bookmarkStart w:id="655" w:name="_Toc328403428"/>
      <w:bookmarkStart w:id="656" w:name="_Toc328471477"/>
      <w:r>
        <w:rPr>
          <w:rStyle w:val="CharSDivNo"/>
        </w:rPr>
        <w:t>Division 1</w:t>
      </w:r>
      <w:r>
        <w:rPr>
          <w:b w:val="0"/>
        </w:rPr>
        <w:t> — </w:t>
      </w:r>
      <w:r>
        <w:rPr>
          <w:rStyle w:val="CharSDivText"/>
        </w:rPr>
        <w:t>Fixed charges</w:t>
      </w:r>
      <w:bookmarkEnd w:id="654"/>
      <w:bookmarkEnd w:id="655"/>
      <w:bookmarkEnd w:id="656"/>
    </w:p>
    <w:p>
      <w:pPr>
        <w:pStyle w:val="yFootnoteheading"/>
        <w:spacing w:after="60"/>
      </w:pPr>
      <w:r>
        <w:tab/>
        <w:t>[Heading inserted in Gazette 20 Jun 2012 p. 2700.]</w:t>
      </w:r>
    </w:p>
    <w:tbl>
      <w:tblPr>
        <w:tblW w:w="0" w:type="auto"/>
        <w:tblInd w:w="534" w:type="dxa"/>
        <w:tblLook w:val="0000" w:firstRow="0" w:lastRow="0" w:firstColumn="0" w:lastColumn="0" w:noHBand="0" w:noVBand="0"/>
      </w:tblPr>
      <w:tblGrid>
        <w:gridCol w:w="850"/>
        <w:gridCol w:w="4235"/>
        <w:gridCol w:w="1152"/>
      </w:tblGrid>
      <w:tr>
        <w:trPr>
          <w:cantSplit/>
        </w:trPr>
        <w:tc>
          <w:tcPr>
            <w:tcW w:w="850" w:type="dxa"/>
          </w:tcPr>
          <w:p>
            <w:pPr>
              <w:pStyle w:val="yTableNAm"/>
            </w:pPr>
            <w:r>
              <w:rPr>
                <w:b/>
                <w:bCs/>
              </w:rPr>
              <w:t>1.</w:t>
            </w:r>
          </w:p>
        </w:tc>
        <w:tc>
          <w:tcPr>
            <w:tcW w:w="4235" w:type="dxa"/>
          </w:tcPr>
          <w:p>
            <w:pPr>
              <w:pStyle w:val="yTableNAm"/>
              <w:tabs>
                <w:tab w:val="left" w:pos="1016"/>
                <w:tab w:val="left" w:pos="1323"/>
                <w:tab w:val="left" w:leader="dot" w:pos="4876"/>
              </w:tabs>
            </w:pPr>
            <w:r>
              <w:rPr>
                <w:b/>
                <w:bCs/>
              </w:rPr>
              <w:t>Residential</w:t>
            </w:r>
          </w:p>
        </w:tc>
        <w:tc>
          <w:tcPr>
            <w:tcW w:w="1152" w:type="dxa"/>
            <w:vAlign w:val="bottom"/>
          </w:tcPr>
          <w:p>
            <w:pPr>
              <w:pStyle w:val="yTableNAm"/>
            </w:pPr>
          </w:p>
        </w:tc>
      </w:tr>
      <w:tr>
        <w:trPr>
          <w:cantSplit/>
        </w:trPr>
        <w:tc>
          <w:tcPr>
            <w:tcW w:w="850" w:type="dxa"/>
          </w:tcPr>
          <w:p>
            <w:pPr>
              <w:pStyle w:val="zyTableNAm"/>
            </w:pPr>
          </w:p>
        </w:tc>
        <w:tc>
          <w:tcPr>
            <w:tcW w:w="4235" w:type="dxa"/>
          </w:tcPr>
          <w:p>
            <w:pPr>
              <w:pStyle w:val="yTableNAm"/>
              <w:tabs>
                <w:tab w:val="clear" w:pos="567"/>
                <w:tab w:val="right" w:leader="dot" w:pos="4019"/>
              </w:tabs>
            </w:pPr>
            <w:r>
              <w:t xml:space="preserve">In respect of each residential property, not being land mentioned in item 3, 4, 7, 8 or 9 </w:t>
            </w:r>
            <w:r>
              <w:tab/>
            </w:r>
          </w:p>
        </w:tc>
        <w:tc>
          <w:tcPr>
            <w:tcW w:w="1152" w:type="dxa"/>
            <w:vAlign w:val="bottom"/>
          </w:tcPr>
          <w:p>
            <w:pPr>
              <w:pStyle w:val="yTableNAm"/>
            </w:pPr>
            <w:r>
              <w:t>$188.10</w:t>
            </w:r>
          </w:p>
        </w:tc>
      </w:tr>
      <w:tr>
        <w:trPr>
          <w:cantSplit/>
        </w:trPr>
        <w:tc>
          <w:tcPr>
            <w:tcW w:w="850" w:type="dxa"/>
          </w:tcPr>
          <w:p>
            <w:pPr>
              <w:pStyle w:val="yTableNAm"/>
            </w:pPr>
            <w:r>
              <w:rPr>
                <w:b/>
                <w:bCs/>
              </w:rPr>
              <w:t>2.</w:t>
            </w:r>
          </w:p>
        </w:tc>
        <w:tc>
          <w:tcPr>
            <w:tcW w:w="4235" w:type="dxa"/>
          </w:tcPr>
          <w:p>
            <w:pPr>
              <w:pStyle w:val="yTableNAm"/>
              <w:tabs>
                <w:tab w:val="left" w:pos="1016"/>
                <w:tab w:val="left" w:pos="1323"/>
                <w:tab w:val="left" w:leader="dot" w:pos="4876"/>
              </w:tabs>
            </w:pPr>
            <w:r>
              <w:rPr>
                <w:b/>
                <w:bCs/>
              </w:rPr>
              <w:t>Metropolitan residential garden supply</w:t>
            </w:r>
          </w:p>
        </w:tc>
        <w:tc>
          <w:tcPr>
            <w:tcW w:w="1152" w:type="dxa"/>
            <w:vAlign w:val="bottom"/>
          </w:tcPr>
          <w:p>
            <w:pPr>
              <w:pStyle w:val="yTableNAm"/>
            </w:pPr>
          </w:p>
        </w:tc>
      </w:tr>
      <w:tr>
        <w:trPr>
          <w:cantSplit/>
        </w:trPr>
        <w:tc>
          <w:tcPr>
            <w:tcW w:w="850" w:type="dxa"/>
          </w:tcPr>
          <w:p>
            <w:pPr>
              <w:pStyle w:val="zyTableNAm"/>
              <w:keepNext/>
              <w:keepLines/>
            </w:pPr>
          </w:p>
        </w:tc>
        <w:tc>
          <w:tcPr>
            <w:tcW w:w="4235" w:type="dxa"/>
          </w:tcPr>
          <w:p>
            <w:pPr>
              <w:pStyle w:val="yTableNAm"/>
              <w:tabs>
                <w:tab w:val="left" w:pos="1016"/>
                <w:tab w:val="left" w:pos="1323"/>
                <w:tab w:val="left" w:leader="dot" w:pos="4876"/>
              </w:tabs>
            </w:pPr>
            <w:r>
              <w:t xml:space="preserve">In respect of each residential property in the metropolitan area, not being land mentioned in item 3, 4, 7 or 8, that is provided with a water supply that is reticulated separately from any other water supply provided in respect of the land and is provided solely for garden purposes as defined in the </w:t>
            </w:r>
            <w:r>
              <w:rPr>
                <w:i/>
                <w:iCs/>
              </w:rPr>
              <w:t>Metropolitan Water Supply, Sewerage and Drainage By</w:t>
            </w:r>
            <w:r>
              <w:rPr>
                <w:i/>
                <w:iCs/>
              </w:rPr>
              <w:noBreakHyphen/>
              <w:t>laws 1981</w:t>
            </w:r>
            <w:r>
              <w:t xml:space="preserve"> by</w:t>
            </w:r>
            <w:r>
              <w:noBreakHyphen/>
              <w:t xml:space="preserve">law 1.1 — </w:t>
            </w:r>
          </w:p>
        </w:tc>
        <w:tc>
          <w:tcPr>
            <w:tcW w:w="1152" w:type="dxa"/>
            <w:vAlign w:val="bottom"/>
          </w:tcPr>
          <w:p>
            <w:pPr>
              <w:pStyle w:val="yTableNAm"/>
            </w:pPr>
          </w:p>
        </w:tc>
      </w:tr>
      <w:tr>
        <w:trPr>
          <w:cantSplit/>
        </w:trPr>
        <w:tc>
          <w:tcPr>
            <w:tcW w:w="850" w:type="dxa"/>
          </w:tcPr>
          <w:p>
            <w:pPr>
              <w:pStyle w:val="zyTableNAm"/>
            </w:pPr>
          </w:p>
        </w:tc>
        <w:tc>
          <w:tcPr>
            <w:tcW w:w="4235" w:type="dxa"/>
          </w:tcPr>
          <w:p>
            <w:pPr>
              <w:pStyle w:val="yTableNAm"/>
              <w:tabs>
                <w:tab w:val="clear" w:pos="567"/>
                <w:tab w:val="left" w:pos="296"/>
                <w:tab w:val="left" w:pos="776"/>
              </w:tabs>
              <w:ind w:left="776" w:hanging="776"/>
            </w:pPr>
            <w:r>
              <w:tab/>
              <w:t>(a)</w:t>
            </w:r>
            <w:r>
              <w:tab/>
              <w:t>if the area of land is less than 400 m</w:t>
            </w:r>
            <w:r>
              <w:rPr>
                <w:vertAlign w:val="superscript"/>
              </w:rPr>
              <w:t>2</w:t>
            </w:r>
            <w:r>
              <w:t xml:space="preserve">, in addition to any other charge applicable to the land under this Schedule, a charge of — </w:t>
            </w:r>
          </w:p>
        </w:tc>
        <w:tc>
          <w:tcPr>
            <w:tcW w:w="1152" w:type="dxa"/>
            <w:vAlign w:val="bottom"/>
          </w:tcPr>
          <w:p>
            <w:pPr>
              <w:pStyle w:val="yTableNAm"/>
            </w:pPr>
          </w:p>
        </w:tc>
      </w:tr>
      <w:tr>
        <w:trPr>
          <w:cantSplit/>
        </w:trPr>
        <w:tc>
          <w:tcPr>
            <w:tcW w:w="850" w:type="dxa"/>
          </w:tcPr>
          <w:p>
            <w:pPr>
              <w:pStyle w:val="zyTableNAm"/>
            </w:pPr>
          </w:p>
        </w:tc>
        <w:tc>
          <w:tcPr>
            <w:tcW w:w="4235" w:type="dxa"/>
          </w:tcPr>
          <w:p>
            <w:pPr>
              <w:pStyle w:val="yTableNAm"/>
              <w:tabs>
                <w:tab w:val="clear" w:pos="567"/>
                <w:tab w:val="left" w:pos="814"/>
                <w:tab w:val="left" w:pos="1323"/>
                <w:tab w:val="right" w:leader="dot" w:pos="4020"/>
              </w:tabs>
              <w:ind w:left="1318" w:hanging="1318"/>
            </w:pPr>
            <w:r>
              <w:tab/>
              <w:t>(i)</w:t>
            </w:r>
            <w:r>
              <w:tab/>
              <w:t>in the suburb of Butler</w:t>
            </w:r>
            <w:r>
              <w:tab/>
            </w:r>
          </w:p>
        </w:tc>
        <w:tc>
          <w:tcPr>
            <w:tcW w:w="1152" w:type="dxa"/>
            <w:vAlign w:val="bottom"/>
          </w:tcPr>
          <w:p>
            <w:pPr>
              <w:pStyle w:val="yTableNAm"/>
            </w:pPr>
            <w:r>
              <w:t>$74.00</w:t>
            </w:r>
          </w:p>
        </w:tc>
      </w:tr>
      <w:tr>
        <w:trPr>
          <w:cantSplit/>
        </w:trPr>
        <w:tc>
          <w:tcPr>
            <w:tcW w:w="850" w:type="dxa"/>
          </w:tcPr>
          <w:p>
            <w:pPr>
              <w:pStyle w:val="zyTableNAm"/>
            </w:pPr>
          </w:p>
        </w:tc>
        <w:tc>
          <w:tcPr>
            <w:tcW w:w="4235" w:type="dxa"/>
          </w:tcPr>
          <w:p>
            <w:pPr>
              <w:pStyle w:val="yTableNAm"/>
              <w:tabs>
                <w:tab w:val="clear" w:pos="567"/>
                <w:tab w:val="left" w:pos="814"/>
                <w:tab w:val="left" w:pos="1323"/>
                <w:tab w:val="right" w:leader="dot" w:pos="4020"/>
              </w:tabs>
              <w:ind w:left="1318" w:hanging="1318"/>
            </w:pPr>
            <w:r>
              <w:tab/>
              <w:t>(ii)</w:t>
            </w:r>
            <w:r>
              <w:tab/>
              <w:t>in the suburb of Baldivis</w:t>
            </w:r>
            <w:r>
              <w:tab/>
            </w:r>
          </w:p>
        </w:tc>
        <w:tc>
          <w:tcPr>
            <w:tcW w:w="1152" w:type="dxa"/>
            <w:vAlign w:val="bottom"/>
          </w:tcPr>
          <w:p>
            <w:pPr>
              <w:pStyle w:val="yTableNAm"/>
            </w:pPr>
            <w:r>
              <w:t>$119.30</w:t>
            </w:r>
          </w:p>
        </w:tc>
      </w:tr>
      <w:tr>
        <w:trPr>
          <w:cantSplit/>
        </w:trPr>
        <w:tc>
          <w:tcPr>
            <w:tcW w:w="850" w:type="dxa"/>
          </w:tcPr>
          <w:p>
            <w:pPr>
              <w:pStyle w:val="zyTableNAm"/>
            </w:pPr>
          </w:p>
        </w:tc>
        <w:tc>
          <w:tcPr>
            <w:tcW w:w="4235" w:type="dxa"/>
          </w:tcPr>
          <w:p>
            <w:pPr>
              <w:pStyle w:val="yTableNAm"/>
              <w:tabs>
                <w:tab w:val="clear" w:pos="567"/>
                <w:tab w:val="left" w:pos="296"/>
                <w:tab w:val="left" w:pos="776"/>
              </w:tabs>
              <w:ind w:left="776" w:hanging="776"/>
            </w:pPr>
            <w:r>
              <w:tab/>
              <w:t>(b)</w:t>
            </w:r>
            <w:r>
              <w:tab/>
              <w:t>if the area of land is equal to or greater than 400 m</w:t>
            </w:r>
            <w:r>
              <w:rPr>
                <w:vertAlign w:val="superscript"/>
              </w:rPr>
              <w:t>2</w:t>
            </w:r>
            <w:r>
              <w:t xml:space="preserve">, in addition to any other charge applicable to the land under this Schedule, a charge of — </w:t>
            </w:r>
          </w:p>
        </w:tc>
        <w:tc>
          <w:tcPr>
            <w:tcW w:w="1152" w:type="dxa"/>
            <w:vAlign w:val="bottom"/>
          </w:tcPr>
          <w:p>
            <w:pPr>
              <w:pStyle w:val="yTableNAm"/>
            </w:pPr>
          </w:p>
        </w:tc>
      </w:tr>
      <w:tr>
        <w:trPr>
          <w:cantSplit/>
        </w:trPr>
        <w:tc>
          <w:tcPr>
            <w:tcW w:w="850" w:type="dxa"/>
          </w:tcPr>
          <w:p>
            <w:pPr>
              <w:pStyle w:val="zyTableNAm"/>
            </w:pPr>
          </w:p>
        </w:tc>
        <w:tc>
          <w:tcPr>
            <w:tcW w:w="4235" w:type="dxa"/>
          </w:tcPr>
          <w:p>
            <w:pPr>
              <w:pStyle w:val="yTableNAm"/>
              <w:tabs>
                <w:tab w:val="clear" w:pos="567"/>
                <w:tab w:val="left" w:pos="814"/>
                <w:tab w:val="left" w:pos="1323"/>
                <w:tab w:val="right" w:leader="dot" w:pos="4020"/>
              </w:tabs>
              <w:ind w:left="1318" w:hanging="1318"/>
            </w:pPr>
            <w:r>
              <w:tab/>
              <w:t>(i)</w:t>
            </w:r>
            <w:r>
              <w:tab/>
              <w:t xml:space="preserve">in the suburb of Butler </w:t>
            </w:r>
            <w:r>
              <w:tab/>
            </w:r>
          </w:p>
        </w:tc>
        <w:tc>
          <w:tcPr>
            <w:tcW w:w="1152" w:type="dxa"/>
            <w:vAlign w:val="bottom"/>
          </w:tcPr>
          <w:p>
            <w:pPr>
              <w:pStyle w:val="yTableNAm"/>
            </w:pPr>
            <w:r>
              <w:t>$148.00</w:t>
            </w:r>
          </w:p>
        </w:tc>
      </w:tr>
      <w:tr>
        <w:trPr>
          <w:cantSplit/>
        </w:trPr>
        <w:tc>
          <w:tcPr>
            <w:tcW w:w="850" w:type="dxa"/>
          </w:tcPr>
          <w:p>
            <w:pPr>
              <w:pStyle w:val="zyTableNAm"/>
            </w:pPr>
          </w:p>
        </w:tc>
        <w:tc>
          <w:tcPr>
            <w:tcW w:w="4235" w:type="dxa"/>
          </w:tcPr>
          <w:p>
            <w:pPr>
              <w:pStyle w:val="yTableNAm"/>
              <w:tabs>
                <w:tab w:val="clear" w:pos="567"/>
                <w:tab w:val="left" w:pos="814"/>
                <w:tab w:val="left" w:pos="1323"/>
                <w:tab w:val="right" w:leader="dot" w:pos="4020"/>
              </w:tabs>
              <w:ind w:left="1318" w:hanging="1318"/>
            </w:pPr>
            <w:r>
              <w:tab/>
              <w:t>(ii)</w:t>
            </w:r>
            <w:r>
              <w:tab/>
              <w:t xml:space="preserve">in the suburb of Baldivis </w:t>
            </w:r>
            <w:r>
              <w:tab/>
            </w:r>
          </w:p>
        </w:tc>
        <w:tc>
          <w:tcPr>
            <w:tcW w:w="1152" w:type="dxa"/>
            <w:vAlign w:val="bottom"/>
          </w:tcPr>
          <w:p>
            <w:pPr>
              <w:pStyle w:val="yTableNAm"/>
            </w:pPr>
            <w:r>
              <w:t>$238.60</w:t>
            </w:r>
          </w:p>
        </w:tc>
      </w:tr>
      <w:tr>
        <w:trPr>
          <w:cantSplit/>
        </w:trPr>
        <w:tc>
          <w:tcPr>
            <w:tcW w:w="850" w:type="dxa"/>
          </w:tcPr>
          <w:p>
            <w:pPr>
              <w:pStyle w:val="yTableNAm"/>
            </w:pPr>
            <w:r>
              <w:rPr>
                <w:b/>
                <w:bCs/>
              </w:rPr>
              <w:t>3.</w:t>
            </w:r>
          </w:p>
        </w:tc>
        <w:tc>
          <w:tcPr>
            <w:tcW w:w="4235" w:type="dxa"/>
          </w:tcPr>
          <w:p>
            <w:pPr>
              <w:pStyle w:val="yTableNAm"/>
              <w:tabs>
                <w:tab w:val="left" w:pos="1016"/>
                <w:tab w:val="left" w:pos="1323"/>
                <w:tab w:val="left" w:leader="dot" w:pos="4876"/>
              </w:tabs>
            </w:pPr>
            <w:r>
              <w:rPr>
                <w:b/>
                <w:bCs/>
              </w:rPr>
              <w:t xml:space="preserve">Connected metropolitan exempt </w:t>
            </w:r>
          </w:p>
        </w:tc>
        <w:tc>
          <w:tcPr>
            <w:tcW w:w="1152" w:type="dxa"/>
            <w:vAlign w:val="bottom"/>
          </w:tcPr>
          <w:p>
            <w:pPr>
              <w:pStyle w:val="yTableNAm"/>
            </w:pPr>
          </w:p>
        </w:tc>
      </w:tr>
      <w:tr>
        <w:trPr>
          <w:cantSplit/>
        </w:trPr>
        <w:tc>
          <w:tcPr>
            <w:tcW w:w="850" w:type="dxa"/>
          </w:tcPr>
          <w:p>
            <w:pPr>
              <w:pStyle w:val="zyTableNAm"/>
            </w:pPr>
          </w:p>
        </w:tc>
        <w:tc>
          <w:tcPr>
            <w:tcW w:w="4235" w:type="dxa"/>
          </w:tcPr>
          <w:p>
            <w:pPr>
              <w:pStyle w:val="yTableNAm"/>
              <w:tabs>
                <w:tab w:val="left" w:pos="1016"/>
                <w:tab w:val="left" w:pos="1323"/>
                <w:tab w:val="left" w:leader="dot" w:pos="4876"/>
              </w:tabs>
            </w:pPr>
            <w:r>
              <w:t xml:space="preserve">In respect of land </w:t>
            </w:r>
            <w:r>
              <w:rPr>
                <w:szCs w:val="22"/>
              </w:rPr>
              <w:t>that is in the metropolitan area and is</w:t>
            </w:r>
            <w:r>
              <w:t xml:space="preserve"> — </w:t>
            </w:r>
          </w:p>
        </w:tc>
        <w:tc>
          <w:tcPr>
            <w:tcW w:w="1152" w:type="dxa"/>
            <w:vAlign w:val="bottom"/>
          </w:tcPr>
          <w:p>
            <w:pPr>
              <w:pStyle w:val="yTableNAm"/>
            </w:pPr>
          </w:p>
        </w:tc>
      </w:tr>
      <w:tr>
        <w:trPr>
          <w:cantSplit/>
        </w:trPr>
        <w:tc>
          <w:tcPr>
            <w:tcW w:w="850" w:type="dxa"/>
          </w:tcPr>
          <w:p>
            <w:pPr>
              <w:pStyle w:val="zyTableNAm"/>
            </w:pPr>
          </w:p>
        </w:tc>
        <w:tc>
          <w:tcPr>
            <w:tcW w:w="4235" w:type="dxa"/>
          </w:tcPr>
          <w:p>
            <w:pPr>
              <w:pStyle w:val="yTableNAm"/>
              <w:tabs>
                <w:tab w:val="clear" w:pos="567"/>
                <w:tab w:val="left" w:pos="296"/>
                <w:tab w:val="left" w:pos="776"/>
              </w:tabs>
              <w:ind w:left="776" w:hanging="776"/>
            </w:pPr>
            <w:r>
              <w:tab/>
              <w:t>(a)</w:t>
            </w:r>
            <w:r>
              <w:tab/>
              <w:t>described in by</w:t>
            </w:r>
            <w:r>
              <w:noBreakHyphen/>
              <w:t>law 4; or</w:t>
            </w:r>
          </w:p>
        </w:tc>
        <w:tc>
          <w:tcPr>
            <w:tcW w:w="1152" w:type="dxa"/>
            <w:vAlign w:val="bottom"/>
          </w:tcPr>
          <w:p>
            <w:pPr>
              <w:pStyle w:val="yTableNAm"/>
            </w:pPr>
          </w:p>
        </w:tc>
      </w:tr>
      <w:tr>
        <w:trPr>
          <w:cantSplit/>
        </w:trPr>
        <w:tc>
          <w:tcPr>
            <w:tcW w:w="850" w:type="dxa"/>
          </w:tcPr>
          <w:p>
            <w:pPr>
              <w:pStyle w:val="yTableNAm"/>
            </w:pPr>
          </w:p>
        </w:tc>
        <w:tc>
          <w:tcPr>
            <w:tcW w:w="4235" w:type="dxa"/>
          </w:tcPr>
          <w:p>
            <w:pPr>
              <w:pStyle w:val="yTableNAm"/>
              <w:tabs>
                <w:tab w:val="clear" w:pos="567"/>
                <w:tab w:val="left" w:pos="296"/>
                <w:tab w:val="left" w:pos="776"/>
              </w:tabs>
              <w:ind w:left="776" w:hanging="776"/>
            </w:pPr>
            <w:r>
              <w:tab/>
              <w:t>(b)</w:t>
            </w:r>
            <w:r>
              <w:tab/>
              <w:t>classified as aged home or charitable purposes,</w:t>
            </w:r>
          </w:p>
        </w:tc>
        <w:tc>
          <w:tcPr>
            <w:tcW w:w="1152" w:type="dxa"/>
            <w:vAlign w:val="bottom"/>
          </w:tcPr>
          <w:p>
            <w:pPr>
              <w:pStyle w:val="yTableNAm"/>
            </w:pPr>
          </w:p>
        </w:tc>
      </w:tr>
      <w:tr>
        <w:trPr>
          <w:cantSplit/>
        </w:trPr>
        <w:tc>
          <w:tcPr>
            <w:tcW w:w="850" w:type="dxa"/>
          </w:tcPr>
          <w:p>
            <w:pPr>
              <w:pStyle w:val="yTableNAm"/>
            </w:pPr>
          </w:p>
        </w:tc>
        <w:tc>
          <w:tcPr>
            <w:tcW w:w="4235" w:type="dxa"/>
          </w:tcPr>
          <w:p>
            <w:pPr>
              <w:pStyle w:val="yTableNAm"/>
              <w:tabs>
                <w:tab w:val="clear" w:pos="567"/>
                <w:tab w:val="left" w:pos="1016"/>
                <w:tab w:val="left" w:pos="1323"/>
                <w:tab w:val="left" w:leader="dot" w:pos="4876"/>
              </w:tabs>
            </w:pPr>
            <w:r>
              <w:rPr>
                <w:szCs w:val="22"/>
              </w:rPr>
              <w:t xml:space="preserve">a charge for each connection, not being a connection the subject of a charge under item 15, determined by meter size minus the discount as set out in the following Table — </w:t>
            </w:r>
          </w:p>
        </w:tc>
        <w:tc>
          <w:tcPr>
            <w:tcW w:w="1152" w:type="dxa"/>
            <w:vAlign w:val="bottom"/>
          </w:tcPr>
          <w:p>
            <w:pPr>
              <w:pStyle w:val="yTableNAm"/>
            </w:pPr>
          </w:p>
        </w:tc>
      </w:tr>
    </w:tbl>
    <w:p>
      <w:pPr>
        <w:pStyle w:val="yTHeadingNAm"/>
      </w:pPr>
      <w:r>
        <w:t>Table of meter</w:t>
      </w:r>
      <w:r>
        <w:noBreakHyphen/>
        <w:t>based fixed charges</w:t>
      </w:r>
    </w:p>
    <w:tbl>
      <w:tblPr>
        <w:tblW w:w="4281" w:type="pct"/>
        <w:jc w:val="center"/>
        <w:tblLook w:val="0000" w:firstRow="0" w:lastRow="0" w:firstColumn="0" w:lastColumn="0" w:noHBand="0" w:noVBand="0"/>
      </w:tblPr>
      <w:tblGrid>
        <w:gridCol w:w="2025"/>
        <w:gridCol w:w="2026"/>
        <w:gridCol w:w="2025"/>
      </w:tblGrid>
      <w:tr>
        <w:trPr>
          <w:cantSplit/>
          <w:tblHeader/>
          <w:jc w:val="center"/>
        </w:trPr>
        <w:tc>
          <w:tcPr>
            <w:tcW w:w="1667" w:type="pct"/>
            <w:tcBorders>
              <w:top w:val="single" w:sz="4" w:space="0" w:color="auto"/>
              <w:bottom w:val="single" w:sz="4" w:space="0" w:color="auto"/>
            </w:tcBorders>
          </w:tcPr>
          <w:p>
            <w:pPr>
              <w:pStyle w:val="yTableNAm"/>
              <w:jc w:val="center"/>
            </w:pPr>
            <w:r>
              <w:rPr>
                <w:b/>
                <w:bCs/>
              </w:rPr>
              <w:t>Meter size</w:t>
            </w:r>
            <w:r>
              <w:rPr>
                <w:b/>
                <w:bCs/>
              </w:rPr>
              <w:br/>
              <w:t>mm</w:t>
            </w:r>
          </w:p>
        </w:tc>
        <w:tc>
          <w:tcPr>
            <w:tcW w:w="1667" w:type="pct"/>
            <w:tcBorders>
              <w:top w:val="single" w:sz="4" w:space="0" w:color="auto"/>
              <w:bottom w:val="single" w:sz="4" w:space="0" w:color="auto"/>
            </w:tcBorders>
          </w:tcPr>
          <w:p>
            <w:pPr>
              <w:pStyle w:val="yTableNAm"/>
              <w:jc w:val="center"/>
            </w:pPr>
            <w:r>
              <w:rPr>
                <w:b/>
                <w:bCs/>
              </w:rPr>
              <w:t>Charge</w:t>
            </w:r>
            <w:r>
              <w:rPr>
                <w:b/>
                <w:bCs/>
              </w:rPr>
              <w:br/>
              <w:t>$</w:t>
            </w:r>
          </w:p>
        </w:tc>
        <w:tc>
          <w:tcPr>
            <w:tcW w:w="1666" w:type="pct"/>
            <w:tcBorders>
              <w:top w:val="single" w:sz="4" w:space="0" w:color="auto"/>
              <w:bottom w:val="single" w:sz="4" w:space="0" w:color="auto"/>
            </w:tcBorders>
          </w:tcPr>
          <w:p>
            <w:pPr>
              <w:pStyle w:val="yTableNAm"/>
              <w:jc w:val="center"/>
            </w:pPr>
            <w:r>
              <w:rPr>
                <w:b/>
                <w:bCs/>
              </w:rPr>
              <w:t>Discount</w:t>
            </w:r>
            <w:r>
              <w:rPr>
                <w:b/>
                <w:bCs/>
              </w:rPr>
              <w:br/>
              <w:t>%</w:t>
            </w:r>
          </w:p>
        </w:tc>
      </w:tr>
      <w:tr>
        <w:trPr>
          <w:cantSplit/>
          <w:jc w:val="center"/>
        </w:trPr>
        <w:tc>
          <w:tcPr>
            <w:tcW w:w="1667" w:type="pct"/>
          </w:tcPr>
          <w:p>
            <w:pPr>
              <w:pStyle w:val="yTableNAm"/>
              <w:jc w:val="center"/>
            </w:pPr>
            <w:r>
              <w:t>20</w:t>
            </w:r>
          </w:p>
        </w:tc>
        <w:tc>
          <w:tcPr>
            <w:tcW w:w="1667" w:type="pct"/>
            <w:vAlign w:val="bottom"/>
          </w:tcPr>
          <w:p>
            <w:pPr>
              <w:pStyle w:val="yTableNAm"/>
              <w:jc w:val="center"/>
            </w:pPr>
            <w:r>
              <w:t>188.10</w:t>
            </w:r>
          </w:p>
        </w:tc>
        <w:tc>
          <w:tcPr>
            <w:tcW w:w="1666" w:type="pct"/>
          </w:tcPr>
          <w:p>
            <w:pPr>
              <w:pStyle w:val="yTableNAm"/>
              <w:jc w:val="center"/>
            </w:pPr>
            <w:r>
              <w:t>100</w:t>
            </w:r>
          </w:p>
        </w:tc>
      </w:tr>
      <w:tr>
        <w:trPr>
          <w:cantSplit/>
          <w:jc w:val="center"/>
        </w:trPr>
        <w:tc>
          <w:tcPr>
            <w:tcW w:w="1667" w:type="pct"/>
          </w:tcPr>
          <w:p>
            <w:pPr>
              <w:pStyle w:val="yTableNAm"/>
              <w:jc w:val="center"/>
            </w:pPr>
            <w:r>
              <w:t>25</w:t>
            </w:r>
          </w:p>
        </w:tc>
        <w:tc>
          <w:tcPr>
            <w:tcW w:w="1667" w:type="pct"/>
            <w:vAlign w:val="bottom"/>
          </w:tcPr>
          <w:p>
            <w:pPr>
              <w:pStyle w:val="yTableNAm"/>
              <w:jc w:val="center"/>
            </w:pPr>
            <w:r>
              <w:t>293.90</w:t>
            </w:r>
          </w:p>
        </w:tc>
        <w:tc>
          <w:tcPr>
            <w:tcW w:w="1666" w:type="pct"/>
          </w:tcPr>
          <w:p>
            <w:pPr>
              <w:pStyle w:val="yTableNAm"/>
              <w:jc w:val="center"/>
            </w:pPr>
            <w:r>
              <w:t>100</w:t>
            </w:r>
          </w:p>
        </w:tc>
      </w:tr>
      <w:tr>
        <w:trPr>
          <w:cantSplit/>
          <w:jc w:val="center"/>
        </w:trPr>
        <w:tc>
          <w:tcPr>
            <w:tcW w:w="1667" w:type="pct"/>
          </w:tcPr>
          <w:p>
            <w:pPr>
              <w:pStyle w:val="yTableNAm"/>
              <w:jc w:val="center"/>
            </w:pPr>
            <w:r>
              <w:t>30</w:t>
            </w:r>
          </w:p>
        </w:tc>
        <w:tc>
          <w:tcPr>
            <w:tcW w:w="1667" w:type="pct"/>
            <w:vAlign w:val="bottom"/>
          </w:tcPr>
          <w:p>
            <w:pPr>
              <w:pStyle w:val="yTableNAm"/>
              <w:jc w:val="center"/>
            </w:pPr>
            <w:r>
              <w:t>423.20</w:t>
            </w:r>
          </w:p>
        </w:tc>
        <w:tc>
          <w:tcPr>
            <w:tcW w:w="1666" w:type="pct"/>
          </w:tcPr>
          <w:p>
            <w:pPr>
              <w:pStyle w:val="yTableNAm"/>
              <w:jc w:val="center"/>
            </w:pPr>
            <w:r>
              <w:t>100</w:t>
            </w:r>
          </w:p>
        </w:tc>
      </w:tr>
      <w:tr>
        <w:trPr>
          <w:cantSplit/>
          <w:jc w:val="center"/>
        </w:trPr>
        <w:tc>
          <w:tcPr>
            <w:tcW w:w="1667" w:type="pct"/>
          </w:tcPr>
          <w:p>
            <w:pPr>
              <w:pStyle w:val="yTableNAm"/>
              <w:jc w:val="center"/>
            </w:pPr>
            <w:r>
              <w:t>40</w:t>
            </w:r>
          </w:p>
        </w:tc>
        <w:tc>
          <w:tcPr>
            <w:tcW w:w="1667" w:type="pct"/>
            <w:vAlign w:val="bottom"/>
          </w:tcPr>
          <w:p>
            <w:pPr>
              <w:pStyle w:val="yTableNAm"/>
              <w:jc w:val="center"/>
            </w:pPr>
            <w:r>
              <w:t>752.40</w:t>
            </w:r>
          </w:p>
        </w:tc>
        <w:tc>
          <w:tcPr>
            <w:tcW w:w="1666" w:type="pct"/>
          </w:tcPr>
          <w:p>
            <w:pPr>
              <w:pStyle w:val="yTableNAm"/>
              <w:jc w:val="center"/>
            </w:pPr>
            <w:r>
              <w:t>100</w:t>
            </w:r>
          </w:p>
        </w:tc>
      </w:tr>
      <w:tr>
        <w:trPr>
          <w:cantSplit/>
          <w:jc w:val="center"/>
        </w:trPr>
        <w:tc>
          <w:tcPr>
            <w:tcW w:w="1667" w:type="pct"/>
          </w:tcPr>
          <w:p>
            <w:pPr>
              <w:pStyle w:val="yTableNAm"/>
              <w:jc w:val="center"/>
            </w:pPr>
            <w:r>
              <w:t>50</w:t>
            </w:r>
          </w:p>
        </w:tc>
        <w:tc>
          <w:tcPr>
            <w:tcW w:w="1667" w:type="pct"/>
            <w:vAlign w:val="bottom"/>
          </w:tcPr>
          <w:p>
            <w:pPr>
              <w:pStyle w:val="yTableNAm"/>
              <w:jc w:val="center"/>
            </w:pPr>
            <w:r>
              <w:t>1 175.60</w:t>
            </w:r>
          </w:p>
        </w:tc>
        <w:tc>
          <w:tcPr>
            <w:tcW w:w="1666" w:type="pct"/>
          </w:tcPr>
          <w:p>
            <w:pPr>
              <w:pStyle w:val="yTableNAm"/>
              <w:jc w:val="center"/>
            </w:pPr>
            <w:r>
              <w:t>100</w:t>
            </w:r>
          </w:p>
        </w:tc>
      </w:tr>
      <w:tr>
        <w:trPr>
          <w:cantSplit/>
          <w:jc w:val="center"/>
        </w:trPr>
        <w:tc>
          <w:tcPr>
            <w:tcW w:w="1667" w:type="pct"/>
          </w:tcPr>
          <w:p>
            <w:pPr>
              <w:pStyle w:val="yTableNAm"/>
              <w:jc w:val="center"/>
            </w:pPr>
            <w:r>
              <w:t>80</w:t>
            </w:r>
          </w:p>
        </w:tc>
        <w:tc>
          <w:tcPr>
            <w:tcW w:w="1667" w:type="pct"/>
            <w:vAlign w:val="bottom"/>
          </w:tcPr>
          <w:p>
            <w:pPr>
              <w:pStyle w:val="yTableNAm"/>
              <w:jc w:val="center"/>
            </w:pPr>
            <w:r>
              <w:t>3 009.60</w:t>
            </w:r>
          </w:p>
        </w:tc>
        <w:tc>
          <w:tcPr>
            <w:tcW w:w="1666" w:type="pct"/>
          </w:tcPr>
          <w:p>
            <w:pPr>
              <w:pStyle w:val="yTableNAm"/>
              <w:jc w:val="center"/>
            </w:pPr>
            <w:r>
              <w:t>100</w:t>
            </w:r>
          </w:p>
        </w:tc>
      </w:tr>
      <w:tr>
        <w:trPr>
          <w:cantSplit/>
          <w:jc w:val="center"/>
        </w:trPr>
        <w:tc>
          <w:tcPr>
            <w:tcW w:w="1667" w:type="pct"/>
          </w:tcPr>
          <w:p>
            <w:pPr>
              <w:pStyle w:val="yTableNAm"/>
              <w:jc w:val="center"/>
            </w:pPr>
            <w:r>
              <w:t>100</w:t>
            </w:r>
          </w:p>
        </w:tc>
        <w:tc>
          <w:tcPr>
            <w:tcW w:w="1667" w:type="pct"/>
            <w:vAlign w:val="bottom"/>
          </w:tcPr>
          <w:p>
            <w:pPr>
              <w:pStyle w:val="yTableNAm"/>
              <w:jc w:val="center"/>
            </w:pPr>
            <w:r>
              <w:t>4 702.50</w:t>
            </w:r>
          </w:p>
        </w:tc>
        <w:tc>
          <w:tcPr>
            <w:tcW w:w="1666" w:type="pct"/>
          </w:tcPr>
          <w:p>
            <w:pPr>
              <w:pStyle w:val="yTableNAm"/>
              <w:jc w:val="center"/>
            </w:pPr>
            <w:r>
              <w:t>100</w:t>
            </w:r>
          </w:p>
        </w:tc>
      </w:tr>
      <w:tr>
        <w:trPr>
          <w:cantSplit/>
          <w:jc w:val="center"/>
        </w:trPr>
        <w:tc>
          <w:tcPr>
            <w:tcW w:w="1667" w:type="pct"/>
          </w:tcPr>
          <w:p>
            <w:pPr>
              <w:pStyle w:val="yTableNAm"/>
              <w:jc w:val="center"/>
            </w:pPr>
            <w:r>
              <w:t>150</w:t>
            </w:r>
          </w:p>
        </w:tc>
        <w:tc>
          <w:tcPr>
            <w:tcW w:w="1667" w:type="pct"/>
            <w:vAlign w:val="bottom"/>
          </w:tcPr>
          <w:p>
            <w:pPr>
              <w:pStyle w:val="yTableNAm"/>
              <w:jc w:val="center"/>
            </w:pPr>
            <w:r>
              <w:t>10 580.60</w:t>
            </w:r>
          </w:p>
        </w:tc>
        <w:tc>
          <w:tcPr>
            <w:tcW w:w="1666" w:type="pct"/>
          </w:tcPr>
          <w:p>
            <w:pPr>
              <w:pStyle w:val="yTableNAm"/>
              <w:jc w:val="center"/>
            </w:pPr>
            <w:r>
              <w:t>100</w:t>
            </w:r>
          </w:p>
        </w:tc>
      </w:tr>
      <w:tr>
        <w:trPr>
          <w:cantSplit/>
          <w:jc w:val="center"/>
        </w:trPr>
        <w:tc>
          <w:tcPr>
            <w:tcW w:w="1667" w:type="pct"/>
          </w:tcPr>
          <w:p>
            <w:pPr>
              <w:pStyle w:val="yTableNAm"/>
              <w:jc w:val="center"/>
            </w:pPr>
            <w:r>
              <w:t>200</w:t>
            </w:r>
          </w:p>
        </w:tc>
        <w:tc>
          <w:tcPr>
            <w:tcW w:w="1667" w:type="pct"/>
            <w:vAlign w:val="bottom"/>
          </w:tcPr>
          <w:p>
            <w:pPr>
              <w:pStyle w:val="yTableNAm"/>
              <w:jc w:val="center"/>
            </w:pPr>
            <w:r>
              <w:t>18 810.00</w:t>
            </w:r>
          </w:p>
        </w:tc>
        <w:tc>
          <w:tcPr>
            <w:tcW w:w="1666" w:type="pct"/>
          </w:tcPr>
          <w:p>
            <w:pPr>
              <w:pStyle w:val="yTableNAm"/>
              <w:jc w:val="center"/>
            </w:pPr>
            <w:r>
              <w:t>100</w:t>
            </w:r>
          </w:p>
        </w:tc>
      </w:tr>
      <w:tr>
        <w:trPr>
          <w:cantSplit/>
          <w:jc w:val="center"/>
        </w:trPr>
        <w:tc>
          <w:tcPr>
            <w:tcW w:w="1667" w:type="pct"/>
          </w:tcPr>
          <w:p>
            <w:pPr>
              <w:pStyle w:val="yTableNAm"/>
              <w:jc w:val="center"/>
            </w:pPr>
            <w:r>
              <w:t>250</w:t>
            </w:r>
          </w:p>
        </w:tc>
        <w:tc>
          <w:tcPr>
            <w:tcW w:w="1667" w:type="pct"/>
            <w:vAlign w:val="bottom"/>
          </w:tcPr>
          <w:p>
            <w:pPr>
              <w:pStyle w:val="yTableNAm"/>
              <w:jc w:val="center"/>
            </w:pPr>
            <w:r>
              <w:t>29 390.60</w:t>
            </w:r>
          </w:p>
        </w:tc>
        <w:tc>
          <w:tcPr>
            <w:tcW w:w="1666" w:type="pct"/>
          </w:tcPr>
          <w:p>
            <w:pPr>
              <w:pStyle w:val="yTableNAm"/>
              <w:jc w:val="center"/>
            </w:pPr>
            <w:r>
              <w:t>100</w:t>
            </w:r>
          </w:p>
        </w:tc>
      </w:tr>
      <w:tr>
        <w:trPr>
          <w:cantSplit/>
          <w:jc w:val="center"/>
        </w:trPr>
        <w:tc>
          <w:tcPr>
            <w:tcW w:w="1667" w:type="pct"/>
          </w:tcPr>
          <w:p>
            <w:pPr>
              <w:pStyle w:val="yTableNAm"/>
              <w:jc w:val="center"/>
            </w:pPr>
            <w:r>
              <w:t>300</w:t>
            </w:r>
          </w:p>
        </w:tc>
        <w:tc>
          <w:tcPr>
            <w:tcW w:w="1667" w:type="pct"/>
            <w:vAlign w:val="bottom"/>
          </w:tcPr>
          <w:p>
            <w:pPr>
              <w:pStyle w:val="yTableNAm"/>
              <w:jc w:val="center"/>
            </w:pPr>
            <w:r>
              <w:t>42 322.50</w:t>
            </w:r>
          </w:p>
        </w:tc>
        <w:tc>
          <w:tcPr>
            <w:tcW w:w="1666" w:type="pct"/>
          </w:tcPr>
          <w:p>
            <w:pPr>
              <w:pStyle w:val="yTableNAm"/>
              <w:jc w:val="center"/>
            </w:pPr>
            <w:r>
              <w:t>100</w:t>
            </w:r>
          </w:p>
        </w:tc>
      </w:tr>
      <w:tr>
        <w:trPr>
          <w:cantSplit/>
          <w:jc w:val="center"/>
        </w:trPr>
        <w:tc>
          <w:tcPr>
            <w:tcW w:w="1667" w:type="pct"/>
            <w:tcBorders>
              <w:bottom w:val="single" w:sz="4" w:space="0" w:color="auto"/>
            </w:tcBorders>
          </w:tcPr>
          <w:p>
            <w:pPr>
              <w:pStyle w:val="yTableNAm"/>
              <w:jc w:val="center"/>
            </w:pPr>
            <w:r>
              <w:t>350</w:t>
            </w:r>
          </w:p>
        </w:tc>
        <w:tc>
          <w:tcPr>
            <w:tcW w:w="1667" w:type="pct"/>
            <w:tcBorders>
              <w:bottom w:val="single" w:sz="4" w:space="0" w:color="auto"/>
            </w:tcBorders>
            <w:vAlign w:val="bottom"/>
          </w:tcPr>
          <w:p>
            <w:pPr>
              <w:pStyle w:val="yTableNAm"/>
              <w:jc w:val="center"/>
            </w:pPr>
            <w:r>
              <w:t>57 605.60</w:t>
            </w:r>
          </w:p>
        </w:tc>
        <w:tc>
          <w:tcPr>
            <w:tcW w:w="1666" w:type="pct"/>
            <w:tcBorders>
              <w:bottom w:val="single" w:sz="4" w:space="0" w:color="auto"/>
            </w:tcBorders>
          </w:tcPr>
          <w:p>
            <w:pPr>
              <w:pStyle w:val="yTableNAm"/>
              <w:jc w:val="center"/>
            </w:pPr>
            <w:r>
              <w:t>100</w:t>
            </w:r>
          </w:p>
        </w:tc>
      </w:tr>
    </w:tbl>
    <w:p>
      <w:pPr>
        <w:pStyle w:val="yMiscellaneousBody"/>
      </w:pPr>
    </w:p>
    <w:tbl>
      <w:tblPr>
        <w:tblW w:w="0" w:type="auto"/>
        <w:tblInd w:w="534" w:type="dxa"/>
        <w:tblLook w:val="0000" w:firstRow="0" w:lastRow="0" w:firstColumn="0" w:lastColumn="0" w:noHBand="0" w:noVBand="0"/>
      </w:tblPr>
      <w:tblGrid>
        <w:gridCol w:w="850"/>
        <w:gridCol w:w="4235"/>
        <w:gridCol w:w="1152"/>
      </w:tblGrid>
      <w:tr>
        <w:trPr>
          <w:cantSplit/>
        </w:trPr>
        <w:tc>
          <w:tcPr>
            <w:tcW w:w="850" w:type="dxa"/>
          </w:tcPr>
          <w:p>
            <w:pPr>
              <w:pStyle w:val="yTableNAm"/>
              <w:keepNext/>
            </w:pPr>
            <w:r>
              <w:rPr>
                <w:b/>
                <w:bCs/>
              </w:rPr>
              <w:t>4.</w:t>
            </w:r>
          </w:p>
        </w:tc>
        <w:tc>
          <w:tcPr>
            <w:tcW w:w="4235" w:type="dxa"/>
          </w:tcPr>
          <w:p>
            <w:pPr>
              <w:pStyle w:val="yTableNAm"/>
              <w:keepNext/>
              <w:tabs>
                <w:tab w:val="left" w:leader="dot" w:pos="4876"/>
              </w:tabs>
            </w:pPr>
            <w:r>
              <w:rPr>
                <w:b/>
                <w:bCs/>
              </w:rPr>
              <w:t>Strata</w:t>
            </w:r>
            <w:r>
              <w:rPr>
                <w:b/>
                <w:bCs/>
              </w:rPr>
              <w:noBreakHyphen/>
              <w:t>titled (or long</w:t>
            </w:r>
            <w:r>
              <w:rPr>
                <w:b/>
                <w:bCs/>
              </w:rPr>
              <w:noBreakHyphen/>
              <w:t>term residential) caravan bays</w:t>
            </w:r>
          </w:p>
        </w:tc>
        <w:tc>
          <w:tcPr>
            <w:tcW w:w="1152" w:type="dxa"/>
            <w:vAlign w:val="bottom"/>
          </w:tcPr>
          <w:p>
            <w:pPr>
              <w:pStyle w:val="yTableNAm"/>
              <w:keepNext/>
            </w:pPr>
          </w:p>
        </w:tc>
      </w:tr>
      <w:tr>
        <w:trPr>
          <w:cantSplit/>
        </w:trPr>
        <w:tc>
          <w:tcPr>
            <w:tcW w:w="850" w:type="dxa"/>
          </w:tcPr>
          <w:p>
            <w:pPr>
              <w:pStyle w:val="zyTableNAm"/>
              <w:keepNext/>
              <w:keepLines/>
            </w:pPr>
          </w:p>
        </w:tc>
        <w:tc>
          <w:tcPr>
            <w:tcW w:w="4235" w:type="dxa"/>
          </w:tcPr>
          <w:p>
            <w:pPr>
              <w:pStyle w:val="yTableNAm"/>
              <w:tabs>
                <w:tab w:val="clear" w:pos="567"/>
                <w:tab w:val="right" w:leader="dot" w:pos="4019"/>
              </w:tabs>
            </w:pPr>
            <w:r>
              <w:t xml:space="preserve">In respect of each caravan bay that is a residential property and a lot within the meaning of the </w:t>
            </w:r>
            <w:r>
              <w:rPr>
                <w:i/>
                <w:iCs/>
              </w:rPr>
              <w:t>Strata Titles Act 1985</w:t>
            </w:r>
            <w:r>
              <w:t>, or a caravan bay designated as a long</w:t>
            </w:r>
            <w:r>
              <w:noBreakHyphen/>
              <w:t xml:space="preserve">term residential caravan bay </w:t>
            </w:r>
            <w:r>
              <w:tab/>
            </w:r>
          </w:p>
        </w:tc>
        <w:tc>
          <w:tcPr>
            <w:tcW w:w="1152" w:type="dxa"/>
            <w:vAlign w:val="bottom"/>
          </w:tcPr>
          <w:p>
            <w:pPr>
              <w:pStyle w:val="yTableNAm"/>
            </w:pPr>
            <w:r>
              <w:t>$132.20</w:t>
            </w:r>
          </w:p>
        </w:tc>
      </w:tr>
      <w:tr>
        <w:trPr>
          <w:cantSplit/>
        </w:trPr>
        <w:tc>
          <w:tcPr>
            <w:tcW w:w="850" w:type="dxa"/>
          </w:tcPr>
          <w:p>
            <w:pPr>
              <w:pStyle w:val="yTableNAm"/>
            </w:pPr>
            <w:r>
              <w:rPr>
                <w:b/>
                <w:bCs/>
              </w:rPr>
              <w:t>5.</w:t>
            </w:r>
          </w:p>
        </w:tc>
        <w:tc>
          <w:tcPr>
            <w:tcW w:w="4235" w:type="dxa"/>
          </w:tcPr>
          <w:p>
            <w:pPr>
              <w:pStyle w:val="yTableNAm"/>
              <w:tabs>
                <w:tab w:val="left" w:leader="dot" w:pos="4876"/>
              </w:tabs>
            </w:pPr>
            <w:r>
              <w:rPr>
                <w:b/>
                <w:bCs/>
              </w:rPr>
              <w:t>Strata</w:t>
            </w:r>
            <w:r>
              <w:rPr>
                <w:b/>
                <w:bCs/>
              </w:rPr>
              <w:noBreakHyphen/>
              <w:t>titled storage unit and strata</w:t>
            </w:r>
            <w:r>
              <w:rPr>
                <w:b/>
                <w:bCs/>
              </w:rPr>
              <w:noBreakHyphen/>
              <w:t>titled parking bay</w:t>
            </w:r>
          </w:p>
        </w:tc>
        <w:tc>
          <w:tcPr>
            <w:tcW w:w="1152" w:type="dxa"/>
            <w:vAlign w:val="bottom"/>
          </w:tcPr>
          <w:p>
            <w:pPr>
              <w:pStyle w:val="yTableNAm"/>
            </w:pPr>
          </w:p>
        </w:tc>
      </w:tr>
      <w:tr>
        <w:trPr>
          <w:cantSplit/>
        </w:trPr>
        <w:tc>
          <w:tcPr>
            <w:tcW w:w="850" w:type="dxa"/>
          </w:tcPr>
          <w:p>
            <w:pPr>
              <w:pStyle w:val="zyTableNAm"/>
            </w:pPr>
          </w:p>
        </w:tc>
        <w:tc>
          <w:tcPr>
            <w:tcW w:w="4235" w:type="dxa"/>
          </w:tcPr>
          <w:p>
            <w:pPr>
              <w:pStyle w:val="yTableNAm"/>
              <w:tabs>
                <w:tab w:val="clear" w:pos="567"/>
                <w:tab w:val="right" w:leader="dot" w:pos="4019"/>
              </w:tabs>
            </w:pPr>
            <w:r>
              <w:t xml:space="preserve">In respect of land comprised in a unit used for storage purposes or as a parking bay that is a lot within the meaning of the </w:t>
            </w:r>
            <w:r>
              <w:rPr>
                <w:i/>
                <w:iCs/>
              </w:rPr>
              <w:t>Strata Titles Act 1985</w:t>
            </w:r>
            <w:r>
              <w:t xml:space="preserve"> </w:t>
            </w:r>
            <w:r>
              <w:tab/>
            </w:r>
          </w:p>
        </w:tc>
        <w:tc>
          <w:tcPr>
            <w:tcW w:w="1152" w:type="dxa"/>
            <w:vAlign w:val="bottom"/>
          </w:tcPr>
          <w:p>
            <w:pPr>
              <w:pStyle w:val="yTableNAm"/>
            </w:pPr>
            <w:r>
              <w:t>$66.20</w:t>
            </w:r>
          </w:p>
        </w:tc>
      </w:tr>
      <w:tr>
        <w:trPr>
          <w:cantSplit/>
        </w:trPr>
        <w:tc>
          <w:tcPr>
            <w:tcW w:w="850" w:type="dxa"/>
          </w:tcPr>
          <w:p>
            <w:pPr>
              <w:pStyle w:val="yTableNAm"/>
            </w:pPr>
            <w:r>
              <w:rPr>
                <w:b/>
                <w:bCs/>
              </w:rPr>
              <w:t>6.</w:t>
            </w:r>
          </w:p>
        </w:tc>
        <w:tc>
          <w:tcPr>
            <w:tcW w:w="4235" w:type="dxa"/>
          </w:tcPr>
          <w:p>
            <w:pPr>
              <w:pStyle w:val="yTableNAm"/>
              <w:tabs>
                <w:tab w:val="left" w:leader="dot" w:pos="4876"/>
              </w:tabs>
            </w:pPr>
            <w:r>
              <w:rPr>
                <w:b/>
                <w:bCs/>
              </w:rPr>
              <w:t>Non</w:t>
            </w:r>
            <w:r>
              <w:rPr>
                <w:b/>
                <w:bCs/>
              </w:rPr>
              <w:noBreakHyphen/>
              <w:t>residential strata</w:t>
            </w:r>
            <w:r>
              <w:rPr>
                <w:b/>
                <w:bCs/>
              </w:rPr>
              <w:noBreakHyphen/>
              <w:t>titled units that share a service</w:t>
            </w:r>
          </w:p>
        </w:tc>
        <w:tc>
          <w:tcPr>
            <w:tcW w:w="1152" w:type="dxa"/>
            <w:vAlign w:val="bottom"/>
          </w:tcPr>
          <w:p>
            <w:pPr>
              <w:pStyle w:val="yTableNAm"/>
            </w:pPr>
          </w:p>
        </w:tc>
      </w:tr>
      <w:tr>
        <w:trPr>
          <w:cantSplit/>
        </w:trPr>
        <w:tc>
          <w:tcPr>
            <w:tcW w:w="850" w:type="dxa"/>
          </w:tcPr>
          <w:p>
            <w:pPr>
              <w:pStyle w:val="zyTableNAm"/>
              <w:keepNext/>
            </w:pPr>
          </w:p>
        </w:tc>
        <w:tc>
          <w:tcPr>
            <w:tcW w:w="4235" w:type="dxa"/>
          </w:tcPr>
          <w:p>
            <w:pPr>
              <w:pStyle w:val="yTableNAm"/>
              <w:tabs>
                <w:tab w:val="left" w:leader="dot" w:pos="4876"/>
              </w:tabs>
            </w:pPr>
            <w:r>
              <w:t>In respect of land that —</w:t>
            </w:r>
          </w:p>
        </w:tc>
        <w:tc>
          <w:tcPr>
            <w:tcW w:w="1152" w:type="dxa"/>
            <w:vAlign w:val="bottom"/>
          </w:tcPr>
          <w:p>
            <w:pPr>
              <w:pStyle w:val="yTableNAm"/>
            </w:pPr>
          </w:p>
        </w:tc>
      </w:tr>
      <w:tr>
        <w:trPr>
          <w:cantSplit/>
        </w:trPr>
        <w:tc>
          <w:tcPr>
            <w:tcW w:w="850" w:type="dxa"/>
          </w:tcPr>
          <w:p>
            <w:pPr>
              <w:pStyle w:val="zyTableNAm"/>
            </w:pPr>
          </w:p>
        </w:tc>
        <w:tc>
          <w:tcPr>
            <w:tcW w:w="4235" w:type="dxa"/>
          </w:tcPr>
          <w:p>
            <w:pPr>
              <w:pStyle w:val="yTableNAm"/>
              <w:tabs>
                <w:tab w:val="clear" w:pos="567"/>
                <w:tab w:val="left" w:pos="296"/>
                <w:tab w:val="left" w:pos="776"/>
              </w:tabs>
              <w:ind w:left="776" w:hanging="776"/>
            </w:pPr>
            <w:r>
              <w:tab/>
              <w:t>(a)</w:t>
            </w:r>
            <w:r>
              <w:tab/>
              <w:t>is not referred to in item 4 or 5; and</w:t>
            </w:r>
          </w:p>
        </w:tc>
        <w:tc>
          <w:tcPr>
            <w:tcW w:w="1152" w:type="dxa"/>
            <w:vAlign w:val="bottom"/>
          </w:tcPr>
          <w:p>
            <w:pPr>
              <w:pStyle w:val="yTableNAm"/>
            </w:pPr>
          </w:p>
        </w:tc>
      </w:tr>
      <w:tr>
        <w:trPr>
          <w:cantSplit/>
        </w:trPr>
        <w:tc>
          <w:tcPr>
            <w:tcW w:w="850" w:type="dxa"/>
          </w:tcPr>
          <w:p>
            <w:pPr>
              <w:pStyle w:val="zyTableNAm"/>
            </w:pPr>
          </w:p>
        </w:tc>
        <w:tc>
          <w:tcPr>
            <w:tcW w:w="4235" w:type="dxa"/>
          </w:tcPr>
          <w:p>
            <w:pPr>
              <w:pStyle w:val="yTableNAm"/>
              <w:tabs>
                <w:tab w:val="clear" w:pos="567"/>
                <w:tab w:val="left" w:pos="296"/>
                <w:tab w:val="left" w:pos="776"/>
              </w:tabs>
              <w:ind w:left="776" w:hanging="776"/>
            </w:pPr>
            <w:r>
              <w:tab/>
              <w:t>(b)</w:t>
            </w:r>
            <w:r>
              <w:tab/>
              <w:t xml:space="preserve">comprises a unit that is a lot within the meaning of the </w:t>
            </w:r>
            <w:r>
              <w:rPr>
                <w:i/>
                <w:iCs/>
              </w:rPr>
              <w:t>Strata Titles Act 1985</w:t>
            </w:r>
            <w:r>
              <w:t>; and</w:t>
            </w:r>
          </w:p>
        </w:tc>
        <w:tc>
          <w:tcPr>
            <w:tcW w:w="1152" w:type="dxa"/>
            <w:vAlign w:val="bottom"/>
          </w:tcPr>
          <w:p>
            <w:pPr>
              <w:pStyle w:val="yTableNAm"/>
            </w:pPr>
          </w:p>
        </w:tc>
      </w:tr>
      <w:tr>
        <w:trPr>
          <w:cantSplit/>
        </w:trPr>
        <w:tc>
          <w:tcPr>
            <w:tcW w:w="850" w:type="dxa"/>
          </w:tcPr>
          <w:p>
            <w:pPr>
              <w:pStyle w:val="zyTableNAm"/>
            </w:pPr>
          </w:p>
        </w:tc>
        <w:tc>
          <w:tcPr>
            <w:tcW w:w="4235" w:type="dxa"/>
          </w:tcPr>
          <w:p>
            <w:pPr>
              <w:pStyle w:val="yTableNAm"/>
              <w:tabs>
                <w:tab w:val="clear" w:pos="567"/>
                <w:tab w:val="left" w:pos="296"/>
                <w:tab w:val="left" w:pos="776"/>
                <w:tab w:val="right" w:leader="dot" w:pos="4020"/>
              </w:tabs>
              <w:ind w:left="776" w:hanging="776"/>
            </w:pPr>
            <w:r>
              <w:tab/>
              <w:t>(c)</w:t>
            </w:r>
            <w:r>
              <w:tab/>
              <w:t xml:space="preserve">shares a service with another unit described in paragraph (b) </w:t>
            </w:r>
            <w:r>
              <w:tab/>
            </w:r>
          </w:p>
        </w:tc>
        <w:tc>
          <w:tcPr>
            <w:tcW w:w="1152" w:type="dxa"/>
            <w:vAlign w:val="bottom"/>
          </w:tcPr>
          <w:p>
            <w:pPr>
              <w:pStyle w:val="yTableNAm"/>
            </w:pPr>
            <w:r>
              <w:t>$188.10</w:t>
            </w:r>
          </w:p>
        </w:tc>
      </w:tr>
    </w:tbl>
    <w:p>
      <w:pPr>
        <w:pStyle w:val="yHeading5"/>
        <w:tabs>
          <w:tab w:val="clear" w:pos="879"/>
        </w:tabs>
        <w:ind w:left="1400" w:hanging="868"/>
      </w:pPr>
      <w:bookmarkStart w:id="657" w:name="_Toc84427984"/>
      <w:bookmarkStart w:id="658" w:name="_Toc328471478"/>
      <w:r>
        <w:t>7.</w:t>
      </w:r>
      <w:r>
        <w:tab/>
        <w:t>Community residential</w:t>
      </w:r>
      <w:bookmarkEnd w:id="657"/>
      <w:bookmarkEnd w:id="658"/>
    </w:p>
    <w:p>
      <w:pPr>
        <w:pStyle w:val="ySubsection"/>
        <w:tabs>
          <w:tab w:val="clear" w:pos="879"/>
        </w:tabs>
        <w:ind w:left="1400" w:hanging="908"/>
      </w:pPr>
      <w:r>
        <w:tab/>
      </w:r>
      <w:r>
        <w:tab/>
        <w:t>In respect of each discrete residential unit as determined under by</w:t>
      </w:r>
      <w:r>
        <w:noBreakHyphen/>
        <w:t xml:space="preserve">law 16 the charge payable in accordance with the following formula — </w:t>
      </w:r>
    </w:p>
    <w:p>
      <w:pPr>
        <w:pStyle w:val="ySubsection"/>
        <w:tabs>
          <w:tab w:val="clear" w:pos="879"/>
        </w:tabs>
        <w:ind w:left="1414" w:hanging="908"/>
      </w:pPr>
      <w:r>
        <w:rPr>
          <w:b/>
        </w:rPr>
        <w:tab/>
      </w:r>
      <w:r>
        <w:rPr>
          <w:b/>
        </w:rPr>
        <w:tab/>
        <w:t>A</w:t>
      </w:r>
      <w:r>
        <w:t xml:space="preserve"> </w:t>
      </w:r>
      <w:r>
        <w:sym w:font="Symbol" w:char="F02D"/>
      </w:r>
      <w:r>
        <w:t xml:space="preserve"> (</w:t>
      </w:r>
      <w:r>
        <w:rPr>
          <w:b/>
        </w:rPr>
        <w:t>A</w:t>
      </w:r>
      <w:r>
        <w:t xml:space="preserve"> </w:t>
      </w:r>
      <w:r>
        <w:sym w:font="Symbol" w:char="F0B4"/>
      </w:r>
      <w:r>
        <w:t xml:space="preserve"> </w:t>
      </w:r>
      <w:r>
        <w:rPr>
          <w:b/>
        </w:rPr>
        <w:t>B</w:t>
      </w:r>
      <w:r>
        <w:t>)</w:t>
      </w:r>
    </w:p>
    <w:p>
      <w:pPr>
        <w:pStyle w:val="ySubsection"/>
        <w:tabs>
          <w:tab w:val="clear" w:pos="879"/>
        </w:tabs>
        <w:ind w:left="1440" w:hanging="908"/>
      </w:pPr>
      <w:r>
        <w:tab/>
      </w:r>
      <w:r>
        <w:tab/>
        <w:t xml:space="preserve">where — </w:t>
      </w:r>
    </w:p>
    <w:p>
      <w:pPr>
        <w:pStyle w:val="yIndenta"/>
        <w:tabs>
          <w:tab w:val="clear" w:pos="1332"/>
          <w:tab w:val="clear" w:pos="1616"/>
          <w:tab w:val="left" w:pos="1680"/>
        </w:tabs>
        <w:ind w:left="1320" w:hanging="668"/>
      </w:pPr>
      <w:r>
        <w:rPr>
          <w:b/>
        </w:rPr>
        <w:tab/>
      </w:r>
      <w:r>
        <w:rPr>
          <w:b/>
        </w:rPr>
        <w:tab/>
        <w:t>A</w:t>
      </w:r>
      <w:r>
        <w:t xml:space="preserve"> =</w:t>
      </w:r>
      <w:r>
        <w:tab/>
        <w:t>$188.10;</w:t>
      </w:r>
    </w:p>
    <w:p>
      <w:pPr>
        <w:pStyle w:val="yIndenta"/>
        <w:tabs>
          <w:tab w:val="clear" w:pos="1332"/>
          <w:tab w:val="clear" w:pos="1616"/>
          <w:tab w:val="left" w:pos="1680"/>
        </w:tabs>
        <w:ind w:left="1560" w:hanging="908"/>
      </w:pPr>
      <w:r>
        <w:rPr>
          <w:b/>
        </w:rPr>
        <w:tab/>
      </w:r>
      <w:r>
        <w:rPr>
          <w:b/>
        </w:rPr>
        <w:tab/>
        <w:t>B</w:t>
      </w:r>
      <w:r>
        <w:t xml:space="preserve"> =</w:t>
      </w:r>
      <w:r>
        <w:tab/>
        <w:t>50%.</w:t>
      </w:r>
    </w:p>
    <w:tbl>
      <w:tblPr>
        <w:tblW w:w="0" w:type="auto"/>
        <w:tblInd w:w="534" w:type="dxa"/>
        <w:tblLook w:val="0000" w:firstRow="0" w:lastRow="0" w:firstColumn="0" w:lastColumn="0" w:noHBand="0" w:noVBand="0"/>
      </w:tblPr>
      <w:tblGrid>
        <w:gridCol w:w="850"/>
        <w:gridCol w:w="4235"/>
        <w:gridCol w:w="1152"/>
      </w:tblGrid>
      <w:tr>
        <w:trPr>
          <w:cantSplit/>
        </w:trPr>
        <w:tc>
          <w:tcPr>
            <w:tcW w:w="850" w:type="dxa"/>
          </w:tcPr>
          <w:p>
            <w:pPr>
              <w:pStyle w:val="yTableNAm"/>
              <w:keepNext/>
            </w:pPr>
            <w:r>
              <w:rPr>
                <w:b/>
                <w:bCs/>
              </w:rPr>
              <w:t>8.</w:t>
            </w:r>
          </w:p>
        </w:tc>
        <w:tc>
          <w:tcPr>
            <w:tcW w:w="4235" w:type="dxa"/>
          </w:tcPr>
          <w:p>
            <w:pPr>
              <w:pStyle w:val="yTableNAm"/>
              <w:keepNext/>
              <w:tabs>
                <w:tab w:val="left" w:leader="dot" w:pos="4876"/>
              </w:tabs>
            </w:pPr>
            <w:r>
              <w:rPr>
                <w:b/>
                <w:bCs/>
              </w:rPr>
              <w:t>Semi</w:t>
            </w:r>
            <w:r>
              <w:rPr>
                <w:b/>
                <w:bCs/>
              </w:rPr>
              <w:noBreakHyphen/>
              <w:t>rural residential</w:t>
            </w:r>
          </w:p>
        </w:tc>
        <w:tc>
          <w:tcPr>
            <w:tcW w:w="1152" w:type="dxa"/>
            <w:vAlign w:val="bottom"/>
          </w:tcPr>
          <w:p>
            <w:pPr>
              <w:pStyle w:val="yTableNAm"/>
              <w:keepNext/>
            </w:pPr>
          </w:p>
        </w:tc>
      </w:tr>
      <w:tr>
        <w:trPr>
          <w:cantSplit/>
        </w:trPr>
        <w:tc>
          <w:tcPr>
            <w:tcW w:w="850" w:type="dxa"/>
          </w:tcPr>
          <w:p>
            <w:pPr>
              <w:pStyle w:val="zyTableNAm"/>
              <w:keepNext/>
              <w:keepLines/>
            </w:pPr>
          </w:p>
        </w:tc>
        <w:tc>
          <w:tcPr>
            <w:tcW w:w="4235" w:type="dxa"/>
          </w:tcPr>
          <w:p>
            <w:pPr>
              <w:pStyle w:val="yTableNAm"/>
              <w:tabs>
                <w:tab w:val="clear" w:pos="567"/>
                <w:tab w:val="right" w:leader="dot" w:pos="4019"/>
              </w:tabs>
            </w:pPr>
            <w:r>
              <w:t>In respect of each semi</w:t>
            </w:r>
            <w:r>
              <w:noBreakHyphen/>
              <w:t xml:space="preserve">rural residential property not being land mentioned in item 3 </w:t>
            </w:r>
            <w:r>
              <w:tab/>
            </w:r>
          </w:p>
        </w:tc>
        <w:tc>
          <w:tcPr>
            <w:tcW w:w="1152" w:type="dxa"/>
            <w:vAlign w:val="bottom"/>
          </w:tcPr>
          <w:p>
            <w:pPr>
              <w:pStyle w:val="yTableNAm"/>
            </w:pPr>
            <w:r>
              <w:t>$188.10</w:t>
            </w:r>
          </w:p>
        </w:tc>
      </w:tr>
      <w:tr>
        <w:trPr>
          <w:cantSplit/>
        </w:trPr>
        <w:tc>
          <w:tcPr>
            <w:tcW w:w="850" w:type="dxa"/>
          </w:tcPr>
          <w:p>
            <w:pPr>
              <w:pStyle w:val="yTableNAm"/>
            </w:pPr>
            <w:r>
              <w:rPr>
                <w:b/>
                <w:bCs/>
              </w:rPr>
              <w:t>9.</w:t>
            </w:r>
          </w:p>
        </w:tc>
        <w:tc>
          <w:tcPr>
            <w:tcW w:w="4235" w:type="dxa"/>
          </w:tcPr>
          <w:p>
            <w:pPr>
              <w:pStyle w:val="yTableNAm"/>
              <w:tabs>
                <w:tab w:val="left" w:leader="dot" w:pos="4876"/>
              </w:tabs>
            </w:pPr>
            <w:r>
              <w:rPr>
                <w:b/>
                <w:bCs/>
              </w:rPr>
              <w:t>Connected non</w:t>
            </w:r>
            <w:r>
              <w:rPr>
                <w:b/>
                <w:bCs/>
              </w:rPr>
              <w:noBreakHyphen/>
              <w:t>metropolitan exempt</w:t>
            </w:r>
          </w:p>
        </w:tc>
        <w:tc>
          <w:tcPr>
            <w:tcW w:w="1152" w:type="dxa"/>
            <w:vAlign w:val="bottom"/>
          </w:tcPr>
          <w:p>
            <w:pPr>
              <w:pStyle w:val="yTableNAm"/>
            </w:pPr>
          </w:p>
        </w:tc>
      </w:tr>
      <w:tr>
        <w:trPr>
          <w:cantSplit/>
        </w:trPr>
        <w:tc>
          <w:tcPr>
            <w:tcW w:w="850" w:type="dxa"/>
          </w:tcPr>
          <w:p>
            <w:pPr>
              <w:pStyle w:val="zyTableNAm"/>
              <w:keepLines/>
            </w:pPr>
          </w:p>
        </w:tc>
        <w:tc>
          <w:tcPr>
            <w:tcW w:w="4235" w:type="dxa"/>
          </w:tcPr>
          <w:p>
            <w:pPr>
              <w:pStyle w:val="yTableNAm"/>
              <w:tabs>
                <w:tab w:val="left" w:leader="dot" w:pos="4876"/>
              </w:tabs>
            </w:pPr>
            <w:r>
              <w:t xml:space="preserve">In respect of land — </w:t>
            </w:r>
          </w:p>
        </w:tc>
        <w:tc>
          <w:tcPr>
            <w:tcW w:w="1152" w:type="dxa"/>
            <w:vAlign w:val="bottom"/>
          </w:tcPr>
          <w:p>
            <w:pPr>
              <w:pStyle w:val="yTableNAm"/>
            </w:pPr>
          </w:p>
        </w:tc>
      </w:tr>
      <w:tr>
        <w:trPr>
          <w:cantSplit/>
        </w:trPr>
        <w:tc>
          <w:tcPr>
            <w:tcW w:w="850" w:type="dxa"/>
          </w:tcPr>
          <w:p>
            <w:pPr>
              <w:pStyle w:val="zyTableNAm"/>
              <w:keepLines/>
            </w:pPr>
          </w:p>
        </w:tc>
        <w:tc>
          <w:tcPr>
            <w:tcW w:w="4235" w:type="dxa"/>
          </w:tcPr>
          <w:p>
            <w:pPr>
              <w:pStyle w:val="yTableNAm"/>
              <w:tabs>
                <w:tab w:val="clear" w:pos="567"/>
                <w:tab w:val="left" w:pos="296"/>
                <w:tab w:val="left" w:pos="776"/>
              </w:tabs>
              <w:ind w:left="776" w:hanging="776"/>
            </w:pPr>
            <w:r>
              <w:tab/>
              <w:t>(a)</w:t>
            </w:r>
            <w:r>
              <w:tab/>
              <w:t>described in by</w:t>
            </w:r>
            <w:r>
              <w:noBreakHyphen/>
              <w:t>law 4 that is comprised in a residential property and is not in the metropolitan area;</w:t>
            </w:r>
          </w:p>
        </w:tc>
        <w:tc>
          <w:tcPr>
            <w:tcW w:w="1152" w:type="dxa"/>
            <w:vAlign w:val="bottom"/>
          </w:tcPr>
          <w:p>
            <w:pPr>
              <w:pStyle w:val="yTableNAm"/>
            </w:pPr>
          </w:p>
        </w:tc>
      </w:tr>
      <w:tr>
        <w:trPr>
          <w:cantSplit/>
        </w:trPr>
        <w:tc>
          <w:tcPr>
            <w:tcW w:w="850" w:type="dxa"/>
          </w:tcPr>
          <w:p>
            <w:pPr>
              <w:pStyle w:val="zyTableNAm"/>
              <w:keepNext/>
              <w:keepLines/>
            </w:pPr>
          </w:p>
        </w:tc>
        <w:tc>
          <w:tcPr>
            <w:tcW w:w="4235" w:type="dxa"/>
          </w:tcPr>
          <w:p>
            <w:pPr>
              <w:pStyle w:val="yTableNAm"/>
              <w:tabs>
                <w:tab w:val="clear" w:pos="567"/>
                <w:tab w:val="left" w:pos="296"/>
                <w:tab w:val="left" w:pos="776"/>
              </w:tabs>
              <w:ind w:left="776" w:hanging="776"/>
            </w:pPr>
            <w:r>
              <w:tab/>
              <w:t>(b)</w:t>
            </w:r>
            <w:r>
              <w:tab/>
              <w:t>classified as local government, charitable purposes or institutional public that is neither in the metropolitan area or comprised in a residential property,</w:t>
            </w:r>
          </w:p>
        </w:tc>
        <w:tc>
          <w:tcPr>
            <w:tcW w:w="1152" w:type="dxa"/>
            <w:vAlign w:val="bottom"/>
          </w:tcPr>
          <w:p>
            <w:pPr>
              <w:pStyle w:val="yTableNAm"/>
            </w:pPr>
          </w:p>
        </w:tc>
      </w:tr>
      <w:tr>
        <w:trPr>
          <w:cantSplit/>
        </w:trPr>
        <w:tc>
          <w:tcPr>
            <w:tcW w:w="850" w:type="dxa"/>
          </w:tcPr>
          <w:p>
            <w:pPr>
              <w:pStyle w:val="zyTableNAm"/>
              <w:keepNext/>
              <w:keepLines/>
            </w:pPr>
          </w:p>
        </w:tc>
        <w:tc>
          <w:tcPr>
            <w:tcW w:w="4235" w:type="dxa"/>
          </w:tcPr>
          <w:p>
            <w:pPr>
              <w:pStyle w:val="yTableNAm"/>
              <w:tabs>
                <w:tab w:val="left" w:leader="dot" w:pos="4876"/>
              </w:tabs>
            </w:pPr>
            <w:r>
              <w:rPr>
                <w:szCs w:val="22"/>
              </w:rPr>
              <w:t>a charge, not being a connection the subject of a charge under item 15, determined by meter size minus the discount as set out in the following Table —</w:t>
            </w:r>
          </w:p>
        </w:tc>
        <w:tc>
          <w:tcPr>
            <w:tcW w:w="1152" w:type="dxa"/>
            <w:vAlign w:val="bottom"/>
          </w:tcPr>
          <w:p>
            <w:pPr>
              <w:pStyle w:val="yTableNAm"/>
            </w:pPr>
          </w:p>
        </w:tc>
      </w:tr>
    </w:tbl>
    <w:p>
      <w:pPr>
        <w:pStyle w:val="yTHeadingNAm"/>
      </w:pPr>
      <w:r>
        <w:t>Table of meter</w:t>
      </w:r>
      <w:r>
        <w:noBreakHyphen/>
        <w:t>based fixed charges</w:t>
      </w:r>
    </w:p>
    <w:tbl>
      <w:tblPr>
        <w:tblW w:w="62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4"/>
        <w:gridCol w:w="2094"/>
        <w:gridCol w:w="2095"/>
      </w:tblGrid>
      <w:tr>
        <w:trPr>
          <w:cantSplit/>
          <w:tblHeader/>
          <w:jc w:val="center"/>
        </w:trPr>
        <w:tc>
          <w:tcPr>
            <w:tcW w:w="2094" w:type="dxa"/>
            <w:tcBorders>
              <w:top w:val="single" w:sz="4" w:space="0" w:color="auto"/>
              <w:left w:val="nil"/>
              <w:bottom w:val="single" w:sz="4" w:space="0" w:color="auto"/>
              <w:right w:val="nil"/>
            </w:tcBorders>
          </w:tcPr>
          <w:p>
            <w:pPr>
              <w:pStyle w:val="yTableNAm"/>
              <w:jc w:val="center"/>
            </w:pPr>
            <w:r>
              <w:rPr>
                <w:b/>
                <w:bCs/>
              </w:rPr>
              <w:t>Meter size</w:t>
            </w:r>
            <w:r>
              <w:rPr>
                <w:b/>
                <w:bCs/>
              </w:rPr>
              <w:br/>
              <w:t>mm</w:t>
            </w:r>
          </w:p>
        </w:tc>
        <w:tc>
          <w:tcPr>
            <w:tcW w:w="2094" w:type="dxa"/>
            <w:tcBorders>
              <w:top w:val="single" w:sz="4" w:space="0" w:color="auto"/>
              <w:left w:val="nil"/>
              <w:bottom w:val="single" w:sz="4" w:space="0" w:color="auto"/>
              <w:right w:val="nil"/>
            </w:tcBorders>
          </w:tcPr>
          <w:p>
            <w:pPr>
              <w:pStyle w:val="yTableNAm"/>
              <w:jc w:val="center"/>
            </w:pPr>
            <w:r>
              <w:rPr>
                <w:b/>
                <w:bCs/>
              </w:rPr>
              <w:t>Charge</w:t>
            </w:r>
            <w:r>
              <w:rPr>
                <w:b/>
                <w:bCs/>
              </w:rPr>
              <w:br/>
              <w:t>$</w:t>
            </w:r>
          </w:p>
        </w:tc>
        <w:tc>
          <w:tcPr>
            <w:tcW w:w="2095" w:type="dxa"/>
            <w:tcBorders>
              <w:top w:val="single" w:sz="4" w:space="0" w:color="auto"/>
              <w:left w:val="nil"/>
              <w:bottom w:val="single" w:sz="4" w:space="0" w:color="auto"/>
              <w:right w:val="nil"/>
            </w:tcBorders>
          </w:tcPr>
          <w:p>
            <w:pPr>
              <w:pStyle w:val="yTableNAm"/>
              <w:jc w:val="center"/>
            </w:pPr>
            <w:r>
              <w:rPr>
                <w:b/>
                <w:bCs/>
              </w:rPr>
              <w:t>Discount</w:t>
            </w:r>
            <w:r>
              <w:rPr>
                <w:b/>
                <w:bCs/>
              </w:rPr>
              <w:br/>
              <w:t>%</w:t>
            </w:r>
          </w:p>
        </w:tc>
      </w:tr>
      <w:tr>
        <w:trPr>
          <w:cantSplit/>
          <w:jc w:val="center"/>
        </w:trPr>
        <w:tc>
          <w:tcPr>
            <w:tcW w:w="2094" w:type="dxa"/>
            <w:tcBorders>
              <w:top w:val="nil"/>
              <w:left w:val="nil"/>
              <w:bottom w:val="nil"/>
              <w:right w:val="nil"/>
            </w:tcBorders>
          </w:tcPr>
          <w:p>
            <w:pPr>
              <w:pStyle w:val="yTableNAm"/>
              <w:jc w:val="center"/>
            </w:pPr>
            <w:r>
              <w:t>15, 20</w:t>
            </w:r>
          </w:p>
        </w:tc>
        <w:tc>
          <w:tcPr>
            <w:tcW w:w="2094" w:type="dxa"/>
            <w:tcBorders>
              <w:top w:val="nil"/>
              <w:left w:val="nil"/>
              <w:bottom w:val="nil"/>
              <w:right w:val="nil"/>
            </w:tcBorders>
            <w:vAlign w:val="bottom"/>
          </w:tcPr>
          <w:p>
            <w:pPr>
              <w:pStyle w:val="yTableNAm"/>
              <w:jc w:val="center"/>
            </w:pPr>
            <w:r>
              <w:t>188.10</w:t>
            </w:r>
          </w:p>
        </w:tc>
        <w:tc>
          <w:tcPr>
            <w:tcW w:w="2095" w:type="dxa"/>
            <w:tcBorders>
              <w:top w:val="nil"/>
              <w:left w:val="nil"/>
              <w:bottom w:val="nil"/>
              <w:right w:val="nil"/>
            </w:tcBorders>
          </w:tcPr>
          <w:p>
            <w:pPr>
              <w:pStyle w:val="yTableNAm"/>
              <w:jc w:val="center"/>
            </w:pPr>
            <w:r>
              <w:t>100</w:t>
            </w:r>
          </w:p>
        </w:tc>
      </w:tr>
      <w:tr>
        <w:trPr>
          <w:cantSplit/>
          <w:jc w:val="center"/>
        </w:trPr>
        <w:tc>
          <w:tcPr>
            <w:tcW w:w="2094" w:type="dxa"/>
            <w:tcBorders>
              <w:top w:val="nil"/>
              <w:left w:val="nil"/>
              <w:bottom w:val="nil"/>
              <w:right w:val="nil"/>
            </w:tcBorders>
          </w:tcPr>
          <w:p>
            <w:pPr>
              <w:pStyle w:val="yTableNAm"/>
              <w:jc w:val="center"/>
            </w:pPr>
            <w:r>
              <w:t>25</w:t>
            </w:r>
          </w:p>
        </w:tc>
        <w:tc>
          <w:tcPr>
            <w:tcW w:w="2094" w:type="dxa"/>
            <w:tcBorders>
              <w:top w:val="nil"/>
              <w:left w:val="nil"/>
              <w:bottom w:val="nil"/>
              <w:right w:val="nil"/>
            </w:tcBorders>
            <w:vAlign w:val="bottom"/>
          </w:tcPr>
          <w:p>
            <w:pPr>
              <w:pStyle w:val="yTableNAm"/>
              <w:jc w:val="center"/>
            </w:pPr>
            <w:r>
              <w:t>293.90</w:t>
            </w:r>
          </w:p>
        </w:tc>
        <w:tc>
          <w:tcPr>
            <w:tcW w:w="2095" w:type="dxa"/>
            <w:tcBorders>
              <w:top w:val="nil"/>
              <w:left w:val="nil"/>
              <w:bottom w:val="nil"/>
              <w:right w:val="nil"/>
            </w:tcBorders>
          </w:tcPr>
          <w:p>
            <w:pPr>
              <w:pStyle w:val="yTableNAm"/>
              <w:jc w:val="center"/>
            </w:pPr>
            <w:r>
              <w:t>100</w:t>
            </w:r>
          </w:p>
        </w:tc>
      </w:tr>
      <w:tr>
        <w:trPr>
          <w:cantSplit/>
          <w:jc w:val="center"/>
        </w:trPr>
        <w:tc>
          <w:tcPr>
            <w:tcW w:w="2094" w:type="dxa"/>
            <w:tcBorders>
              <w:top w:val="nil"/>
              <w:left w:val="nil"/>
              <w:bottom w:val="nil"/>
              <w:right w:val="nil"/>
            </w:tcBorders>
          </w:tcPr>
          <w:p>
            <w:pPr>
              <w:pStyle w:val="yTableNAm"/>
              <w:jc w:val="center"/>
            </w:pPr>
            <w:r>
              <w:t>30</w:t>
            </w:r>
          </w:p>
        </w:tc>
        <w:tc>
          <w:tcPr>
            <w:tcW w:w="2094" w:type="dxa"/>
            <w:tcBorders>
              <w:top w:val="nil"/>
              <w:left w:val="nil"/>
              <w:bottom w:val="nil"/>
              <w:right w:val="nil"/>
            </w:tcBorders>
            <w:vAlign w:val="bottom"/>
          </w:tcPr>
          <w:p>
            <w:pPr>
              <w:pStyle w:val="yTableNAm"/>
              <w:jc w:val="center"/>
            </w:pPr>
            <w:r>
              <w:t>423.20</w:t>
            </w:r>
          </w:p>
        </w:tc>
        <w:tc>
          <w:tcPr>
            <w:tcW w:w="2095" w:type="dxa"/>
            <w:tcBorders>
              <w:top w:val="nil"/>
              <w:left w:val="nil"/>
              <w:bottom w:val="nil"/>
              <w:right w:val="nil"/>
            </w:tcBorders>
          </w:tcPr>
          <w:p>
            <w:pPr>
              <w:pStyle w:val="yTableNAm"/>
              <w:jc w:val="center"/>
            </w:pPr>
            <w:r>
              <w:t>100</w:t>
            </w:r>
          </w:p>
        </w:tc>
      </w:tr>
      <w:tr>
        <w:trPr>
          <w:cantSplit/>
          <w:jc w:val="center"/>
        </w:trPr>
        <w:tc>
          <w:tcPr>
            <w:tcW w:w="2094" w:type="dxa"/>
            <w:tcBorders>
              <w:top w:val="nil"/>
              <w:left w:val="nil"/>
              <w:bottom w:val="nil"/>
              <w:right w:val="nil"/>
            </w:tcBorders>
          </w:tcPr>
          <w:p>
            <w:pPr>
              <w:pStyle w:val="yTableNAm"/>
              <w:jc w:val="center"/>
            </w:pPr>
            <w:r>
              <w:t>35, 38, 40</w:t>
            </w:r>
          </w:p>
        </w:tc>
        <w:tc>
          <w:tcPr>
            <w:tcW w:w="2094" w:type="dxa"/>
            <w:tcBorders>
              <w:top w:val="nil"/>
              <w:left w:val="nil"/>
              <w:bottom w:val="nil"/>
              <w:right w:val="nil"/>
            </w:tcBorders>
            <w:vAlign w:val="bottom"/>
          </w:tcPr>
          <w:p>
            <w:pPr>
              <w:pStyle w:val="yTableNAm"/>
              <w:jc w:val="center"/>
            </w:pPr>
            <w:r>
              <w:t>752.40</w:t>
            </w:r>
          </w:p>
        </w:tc>
        <w:tc>
          <w:tcPr>
            <w:tcW w:w="2095" w:type="dxa"/>
            <w:tcBorders>
              <w:top w:val="nil"/>
              <w:left w:val="nil"/>
              <w:bottom w:val="nil"/>
              <w:right w:val="nil"/>
            </w:tcBorders>
          </w:tcPr>
          <w:p>
            <w:pPr>
              <w:pStyle w:val="yTableNAm"/>
              <w:jc w:val="center"/>
            </w:pPr>
            <w:r>
              <w:t>100</w:t>
            </w:r>
          </w:p>
        </w:tc>
      </w:tr>
      <w:tr>
        <w:trPr>
          <w:cantSplit/>
          <w:jc w:val="center"/>
        </w:trPr>
        <w:tc>
          <w:tcPr>
            <w:tcW w:w="2094" w:type="dxa"/>
            <w:tcBorders>
              <w:top w:val="nil"/>
              <w:left w:val="nil"/>
              <w:bottom w:val="nil"/>
              <w:right w:val="nil"/>
            </w:tcBorders>
          </w:tcPr>
          <w:p>
            <w:pPr>
              <w:pStyle w:val="yTableNAm"/>
              <w:jc w:val="center"/>
            </w:pPr>
            <w:r>
              <w:t>50</w:t>
            </w:r>
          </w:p>
        </w:tc>
        <w:tc>
          <w:tcPr>
            <w:tcW w:w="2094" w:type="dxa"/>
            <w:tcBorders>
              <w:top w:val="nil"/>
              <w:left w:val="nil"/>
              <w:bottom w:val="nil"/>
              <w:right w:val="nil"/>
            </w:tcBorders>
            <w:vAlign w:val="bottom"/>
          </w:tcPr>
          <w:p>
            <w:pPr>
              <w:pStyle w:val="yTableNAm"/>
              <w:jc w:val="center"/>
            </w:pPr>
            <w:r>
              <w:t>1 175.60</w:t>
            </w:r>
          </w:p>
        </w:tc>
        <w:tc>
          <w:tcPr>
            <w:tcW w:w="2095" w:type="dxa"/>
            <w:tcBorders>
              <w:top w:val="nil"/>
              <w:left w:val="nil"/>
              <w:bottom w:val="nil"/>
              <w:right w:val="nil"/>
            </w:tcBorders>
          </w:tcPr>
          <w:p>
            <w:pPr>
              <w:pStyle w:val="yTableNAm"/>
              <w:jc w:val="center"/>
            </w:pPr>
            <w:r>
              <w:t>100</w:t>
            </w:r>
          </w:p>
        </w:tc>
      </w:tr>
      <w:tr>
        <w:trPr>
          <w:cantSplit/>
          <w:jc w:val="center"/>
        </w:trPr>
        <w:tc>
          <w:tcPr>
            <w:tcW w:w="2094" w:type="dxa"/>
            <w:tcBorders>
              <w:top w:val="nil"/>
              <w:left w:val="nil"/>
              <w:bottom w:val="nil"/>
              <w:right w:val="nil"/>
            </w:tcBorders>
          </w:tcPr>
          <w:p>
            <w:pPr>
              <w:pStyle w:val="yTableNAm"/>
              <w:jc w:val="center"/>
            </w:pPr>
            <w:r>
              <w:t>70, 75, 80</w:t>
            </w:r>
          </w:p>
        </w:tc>
        <w:tc>
          <w:tcPr>
            <w:tcW w:w="2094" w:type="dxa"/>
            <w:tcBorders>
              <w:top w:val="nil"/>
              <w:left w:val="nil"/>
              <w:bottom w:val="nil"/>
              <w:right w:val="nil"/>
            </w:tcBorders>
            <w:vAlign w:val="bottom"/>
          </w:tcPr>
          <w:p>
            <w:pPr>
              <w:pStyle w:val="yTableNAm"/>
              <w:jc w:val="center"/>
            </w:pPr>
            <w:r>
              <w:t>3 009.60</w:t>
            </w:r>
          </w:p>
        </w:tc>
        <w:tc>
          <w:tcPr>
            <w:tcW w:w="2095" w:type="dxa"/>
            <w:tcBorders>
              <w:top w:val="nil"/>
              <w:left w:val="nil"/>
              <w:bottom w:val="nil"/>
              <w:right w:val="nil"/>
            </w:tcBorders>
          </w:tcPr>
          <w:p>
            <w:pPr>
              <w:pStyle w:val="yTableNAm"/>
              <w:jc w:val="center"/>
            </w:pPr>
            <w:r>
              <w:t>100</w:t>
            </w:r>
          </w:p>
        </w:tc>
      </w:tr>
      <w:tr>
        <w:trPr>
          <w:cantSplit/>
          <w:jc w:val="center"/>
        </w:trPr>
        <w:tc>
          <w:tcPr>
            <w:tcW w:w="2094" w:type="dxa"/>
            <w:tcBorders>
              <w:top w:val="nil"/>
              <w:left w:val="nil"/>
              <w:bottom w:val="nil"/>
              <w:right w:val="nil"/>
            </w:tcBorders>
          </w:tcPr>
          <w:p>
            <w:pPr>
              <w:pStyle w:val="yTableNAm"/>
              <w:jc w:val="center"/>
            </w:pPr>
            <w:r>
              <w:t>100</w:t>
            </w:r>
          </w:p>
        </w:tc>
        <w:tc>
          <w:tcPr>
            <w:tcW w:w="2094" w:type="dxa"/>
            <w:tcBorders>
              <w:top w:val="nil"/>
              <w:left w:val="nil"/>
              <w:bottom w:val="nil"/>
              <w:right w:val="nil"/>
            </w:tcBorders>
            <w:vAlign w:val="bottom"/>
          </w:tcPr>
          <w:p>
            <w:pPr>
              <w:pStyle w:val="yTableNAm"/>
              <w:jc w:val="center"/>
            </w:pPr>
            <w:r>
              <w:t>4 702.50</w:t>
            </w:r>
          </w:p>
        </w:tc>
        <w:tc>
          <w:tcPr>
            <w:tcW w:w="2095" w:type="dxa"/>
            <w:tcBorders>
              <w:top w:val="nil"/>
              <w:left w:val="nil"/>
              <w:bottom w:val="nil"/>
              <w:right w:val="nil"/>
            </w:tcBorders>
          </w:tcPr>
          <w:p>
            <w:pPr>
              <w:pStyle w:val="yTableNAm"/>
              <w:jc w:val="center"/>
            </w:pPr>
            <w:r>
              <w:t>100</w:t>
            </w:r>
          </w:p>
        </w:tc>
      </w:tr>
      <w:tr>
        <w:trPr>
          <w:cantSplit/>
          <w:jc w:val="center"/>
        </w:trPr>
        <w:tc>
          <w:tcPr>
            <w:tcW w:w="2094" w:type="dxa"/>
            <w:tcBorders>
              <w:top w:val="nil"/>
              <w:left w:val="nil"/>
              <w:bottom w:val="single" w:sz="4" w:space="0" w:color="auto"/>
              <w:right w:val="nil"/>
            </w:tcBorders>
          </w:tcPr>
          <w:p>
            <w:pPr>
              <w:pStyle w:val="yTableNAm"/>
              <w:jc w:val="center"/>
            </w:pPr>
            <w:r>
              <w:t>140, 150</w:t>
            </w:r>
          </w:p>
        </w:tc>
        <w:tc>
          <w:tcPr>
            <w:tcW w:w="2094" w:type="dxa"/>
            <w:tcBorders>
              <w:top w:val="nil"/>
              <w:left w:val="nil"/>
              <w:bottom w:val="single" w:sz="4" w:space="0" w:color="auto"/>
              <w:right w:val="nil"/>
            </w:tcBorders>
            <w:vAlign w:val="bottom"/>
          </w:tcPr>
          <w:p>
            <w:pPr>
              <w:pStyle w:val="yTableNAm"/>
              <w:jc w:val="center"/>
            </w:pPr>
            <w:r>
              <w:t>10 580.60</w:t>
            </w:r>
          </w:p>
        </w:tc>
        <w:tc>
          <w:tcPr>
            <w:tcW w:w="2095" w:type="dxa"/>
            <w:tcBorders>
              <w:top w:val="nil"/>
              <w:left w:val="nil"/>
              <w:bottom w:val="single" w:sz="4" w:space="0" w:color="auto"/>
              <w:right w:val="nil"/>
            </w:tcBorders>
          </w:tcPr>
          <w:p>
            <w:pPr>
              <w:pStyle w:val="yTableNAm"/>
              <w:jc w:val="center"/>
            </w:pPr>
            <w:r>
              <w:t>100</w:t>
            </w:r>
          </w:p>
        </w:tc>
      </w:tr>
    </w:tbl>
    <w:p>
      <w:pPr>
        <w:pStyle w:val="yMiscellaneousBody"/>
      </w:pPr>
    </w:p>
    <w:tbl>
      <w:tblPr>
        <w:tblW w:w="0" w:type="auto"/>
        <w:tblInd w:w="534" w:type="dxa"/>
        <w:tblLook w:val="0000" w:firstRow="0" w:lastRow="0" w:firstColumn="0" w:lastColumn="0" w:noHBand="0" w:noVBand="0"/>
      </w:tblPr>
      <w:tblGrid>
        <w:gridCol w:w="850"/>
        <w:gridCol w:w="4235"/>
        <w:gridCol w:w="1152"/>
      </w:tblGrid>
      <w:tr>
        <w:trPr>
          <w:cantSplit/>
        </w:trPr>
        <w:tc>
          <w:tcPr>
            <w:tcW w:w="850" w:type="dxa"/>
          </w:tcPr>
          <w:p>
            <w:pPr>
              <w:pStyle w:val="yTableNAm"/>
              <w:keepNext/>
            </w:pPr>
            <w:r>
              <w:rPr>
                <w:b/>
                <w:bCs/>
              </w:rPr>
              <w:t>10.</w:t>
            </w:r>
          </w:p>
        </w:tc>
        <w:tc>
          <w:tcPr>
            <w:tcW w:w="4235" w:type="dxa"/>
          </w:tcPr>
          <w:p>
            <w:pPr>
              <w:pStyle w:val="yTableNAm"/>
              <w:keepNext/>
              <w:tabs>
                <w:tab w:val="left" w:leader="dot" w:pos="4876"/>
              </w:tabs>
            </w:pPr>
            <w:r>
              <w:rPr>
                <w:b/>
                <w:bCs/>
              </w:rPr>
              <w:t>Non</w:t>
            </w:r>
            <w:r>
              <w:rPr>
                <w:b/>
                <w:bCs/>
              </w:rPr>
              <w:noBreakHyphen/>
              <w:t>metropolitan non</w:t>
            </w:r>
            <w:r>
              <w:rPr>
                <w:b/>
                <w:bCs/>
              </w:rPr>
              <w:noBreakHyphen/>
              <w:t>residential or commercial residential</w:t>
            </w:r>
          </w:p>
        </w:tc>
        <w:tc>
          <w:tcPr>
            <w:tcW w:w="1152" w:type="dxa"/>
            <w:vAlign w:val="bottom"/>
          </w:tcPr>
          <w:p>
            <w:pPr>
              <w:pStyle w:val="yTableNAm"/>
              <w:keepNext/>
            </w:pPr>
          </w:p>
        </w:tc>
      </w:tr>
      <w:tr>
        <w:trPr>
          <w:cantSplit/>
        </w:trPr>
        <w:tc>
          <w:tcPr>
            <w:tcW w:w="850" w:type="dxa"/>
          </w:tcPr>
          <w:p>
            <w:pPr>
              <w:pStyle w:val="zyTableNAm"/>
              <w:keepNext/>
              <w:keepLines/>
            </w:pPr>
          </w:p>
        </w:tc>
        <w:tc>
          <w:tcPr>
            <w:tcW w:w="4235" w:type="dxa"/>
          </w:tcPr>
          <w:p>
            <w:pPr>
              <w:pStyle w:val="yTableNAm"/>
              <w:tabs>
                <w:tab w:val="left" w:leader="dot" w:pos="4876"/>
              </w:tabs>
            </w:pPr>
            <w:r>
              <w:t>In respect of land that is neither in the metropolitan area nor comprised in a residential property, where the land —</w:t>
            </w:r>
          </w:p>
        </w:tc>
        <w:tc>
          <w:tcPr>
            <w:tcW w:w="1152" w:type="dxa"/>
            <w:vAlign w:val="bottom"/>
          </w:tcPr>
          <w:p>
            <w:pPr>
              <w:pStyle w:val="yTableNAm"/>
            </w:pPr>
          </w:p>
        </w:tc>
      </w:tr>
      <w:tr>
        <w:trPr>
          <w:cantSplit/>
        </w:trPr>
        <w:tc>
          <w:tcPr>
            <w:tcW w:w="850" w:type="dxa"/>
          </w:tcPr>
          <w:p>
            <w:pPr>
              <w:pStyle w:val="zyTableNAm"/>
            </w:pPr>
          </w:p>
        </w:tc>
        <w:tc>
          <w:tcPr>
            <w:tcW w:w="4235" w:type="dxa"/>
          </w:tcPr>
          <w:p>
            <w:pPr>
              <w:pStyle w:val="yTableNAm"/>
              <w:tabs>
                <w:tab w:val="clear" w:pos="567"/>
                <w:tab w:val="left" w:pos="296"/>
                <w:tab w:val="left" w:pos="776"/>
              </w:tabs>
              <w:ind w:left="776" w:hanging="776"/>
            </w:pPr>
            <w:r>
              <w:tab/>
              <w:t>(a)</w:t>
            </w:r>
            <w:r>
              <w:tab/>
              <w:t>is classified as non</w:t>
            </w:r>
            <w:r>
              <w:noBreakHyphen/>
              <w:t xml:space="preserve">residential or commercial residential; and </w:t>
            </w:r>
          </w:p>
        </w:tc>
        <w:tc>
          <w:tcPr>
            <w:tcW w:w="1152" w:type="dxa"/>
            <w:vAlign w:val="bottom"/>
          </w:tcPr>
          <w:p>
            <w:pPr>
              <w:pStyle w:val="yTableNAm"/>
            </w:pPr>
          </w:p>
        </w:tc>
      </w:tr>
      <w:tr>
        <w:trPr>
          <w:cantSplit/>
        </w:trPr>
        <w:tc>
          <w:tcPr>
            <w:tcW w:w="850" w:type="dxa"/>
          </w:tcPr>
          <w:p>
            <w:pPr>
              <w:pStyle w:val="zyTableNAm"/>
            </w:pPr>
          </w:p>
        </w:tc>
        <w:tc>
          <w:tcPr>
            <w:tcW w:w="4235" w:type="dxa"/>
          </w:tcPr>
          <w:p>
            <w:pPr>
              <w:pStyle w:val="yTableNAm"/>
              <w:tabs>
                <w:tab w:val="clear" w:pos="567"/>
                <w:tab w:val="left" w:pos="296"/>
                <w:tab w:val="left" w:pos="776"/>
              </w:tabs>
              <w:ind w:left="776" w:hanging="776"/>
            </w:pPr>
            <w:r>
              <w:tab/>
              <w:t>(b)</w:t>
            </w:r>
            <w:r>
              <w:tab/>
              <w:t>is not mentioned in item 5 or 6,</w:t>
            </w:r>
          </w:p>
        </w:tc>
        <w:tc>
          <w:tcPr>
            <w:tcW w:w="1152" w:type="dxa"/>
            <w:vAlign w:val="bottom"/>
          </w:tcPr>
          <w:p>
            <w:pPr>
              <w:pStyle w:val="yTableNAm"/>
            </w:pPr>
          </w:p>
        </w:tc>
      </w:tr>
      <w:tr>
        <w:trPr>
          <w:cantSplit/>
        </w:trPr>
        <w:tc>
          <w:tcPr>
            <w:tcW w:w="850" w:type="dxa"/>
          </w:tcPr>
          <w:p>
            <w:pPr>
              <w:pStyle w:val="zyTableNAm"/>
            </w:pPr>
          </w:p>
        </w:tc>
        <w:tc>
          <w:tcPr>
            <w:tcW w:w="4235" w:type="dxa"/>
          </w:tcPr>
          <w:p>
            <w:pPr>
              <w:pStyle w:val="yTableNAm"/>
              <w:tabs>
                <w:tab w:val="left" w:leader="dot" w:pos="4876"/>
              </w:tabs>
            </w:pPr>
            <w:r>
              <w:t>a charge payable for the relevant meter size as set out in the following Table —</w:t>
            </w:r>
          </w:p>
        </w:tc>
        <w:tc>
          <w:tcPr>
            <w:tcW w:w="1152" w:type="dxa"/>
            <w:vAlign w:val="bottom"/>
          </w:tcPr>
          <w:p>
            <w:pPr>
              <w:pStyle w:val="yTableNAm"/>
            </w:pPr>
          </w:p>
        </w:tc>
      </w:tr>
    </w:tbl>
    <w:p>
      <w:pPr>
        <w:pStyle w:val="yTHeadingNAm"/>
      </w:pPr>
      <w:r>
        <w:t>Table of meter</w:t>
      </w:r>
      <w:r>
        <w:noBreakHyphen/>
        <w:t>based fixed charges</w:t>
      </w:r>
    </w:p>
    <w:tbl>
      <w:tblPr>
        <w:tblW w:w="62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87"/>
        <w:gridCol w:w="3084"/>
      </w:tblGrid>
      <w:tr>
        <w:trPr>
          <w:cantSplit/>
          <w:tblHeader/>
          <w:jc w:val="center"/>
        </w:trPr>
        <w:tc>
          <w:tcPr>
            <w:tcW w:w="3187" w:type="dxa"/>
            <w:tcBorders>
              <w:top w:val="single" w:sz="4" w:space="0" w:color="auto"/>
              <w:left w:val="nil"/>
              <w:bottom w:val="single" w:sz="4" w:space="0" w:color="auto"/>
              <w:right w:val="nil"/>
            </w:tcBorders>
          </w:tcPr>
          <w:p>
            <w:pPr>
              <w:pStyle w:val="yTableNAm"/>
              <w:jc w:val="center"/>
            </w:pPr>
            <w:r>
              <w:rPr>
                <w:b/>
                <w:bCs/>
              </w:rPr>
              <w:t>Meter size</w:t>
            </w:r>
            <w:r>
              <w:rPr>
                <w:b/>
                <w:bCs/>
              </w:rPr>
              <w:br/>
              <w:t>mm</w:t>
            </w:r>
          </w:p>
        </w:tc>
        <w:tc>
          <w:tcPr>
            <w:tcW w:w="3084" w:type="dxa"/>
            <w:tcBorders>
              <w:top w:val="single" w:sz="4" w:space="0" w:color="auto"/>
              <w:left w:val="nil"/>
              <w:bottom w:val="single" w:sz="4" w:space="0" w:color="auto"/>
              <w:right w:val="nil"/>
            </w:tcBorders>
          </w:tcPr>
          <w:p>
            <w:pPr>
              <w:pStyle w:val="yTableNAm"/>
              <w:jc w:val="center"/>
            </w:pPr>
            <w:r>
              <w:rPr>
                <w:b/>
                <w:bCs/>
              </w:rPr>
              <w:t>Charge</w:t>
            </w:r>
            <w:r>
              <w:rPr>
                <w:b/>
                <w:bCs/>
              </w:rPr>
              <w:br/>
              <w:t>$</w:t>
            </w:r>
          </w:p>
        </w:tc>
      </w:tr>
      <w:tr>
        <w:trPr>
          <w:cantSplit/>
          <w:jc w:val="center"/>
        </w:trPr>
        <w:tc>
          <w:tcPr>
            <w:tcW w:w="3187" w:type="dxa"/>
            <w:tcBorders>
              <w:top w:val="nil"/>
              <w:left w:val="nil"/>
              <w:bottom w:val="nil"/>
              <w:right w:val="nil"/>
            </w:tcBorders>
          </w:tcPr>
          <w:p>
            <w:pPr>
              <w:pStyle w:val="yTableNAm"/>
              <w:jc w:val="center"/>
            </w:pPr>
            <w:r>
              <w:t>15, 20</w:t>
            </w:r>
          </w:p>
        </w:tc>
        <w:tc>
          <w:tcPr>
            <w:tcW w:w="3084" w:type="dxa"/>
            <w:tcBorders>
              <w:top w:val="nil"/>
              <w:left w:val="nil"/>
              <w:bottom w:val="nil"/>
              <w:right w:val="nil"/>
            </w:tcBorders>
            <w:vAlign w:val="bottom"/>
          </w:tcPr>
          <w:p>
            <w:pPr>
              <w:pStyle w:val="yTableNAm"/>
              <w:jc w:val="center"/>
            </w:pPr>
            <w:r>
              <w:t>188.10</w:t>
            </w:r>
          </w:p>
        </w:tc>
      </w:tr>
      <w:tr>
        <w:trPr>
          <w:cantSplit/>
          <w:jc w:val="center"/>
        </w:trPr>
        <w:tc>
          <w:tcPr>
            <w:tcW w:w="3187" w:type="dxa"/>
            <w:tcBorders>
              <w:top w:val="nil"/>
              <w:left w:val="nil"/>
              <w:bottom w:val="nil"/>
              <w:right w:val="nil"/>
            </w:tcBorders>
          </w:tcPr>
          <w:p>
            <w:pPr>
              <w:pStyle w:val="yTableNAm"/>
              <w:jc w:val="center"/>
            </w:pPr>
            <w:r>
              <w:t>25</w:t>
            </w:r>
          </w:p>
        </w:tc>
        <w:tc>
          <w:tcPr>
            <w:tcW w:w="3084" w:type="dxa"/>
            <w:tcBorders>
              <w:top w:val="nil"/>
              <w:left w:val="nil"/>
              <w:bottom w:val="nil"/>
              <w:right w:val="nil"/>
            </w:tcBorders>
            <w:vAlign w:val="bottom"/>
          </w:tcPr>
          <w:p>
            <w:pPr>
              <w:pStyle w:val="yTableNAm"/>
              <w:jc w:val="center"/>
            </w:pPr>
            <w:r>
              <w:t>293.90</w:t>
            </w:r>
          </w:p>
        </w:tc>
      </w:tr>
      <w:tr>
        <w:trPr>
          <w:cantSplit/>
          <w:jc w:val="center"/>
        </w:trPr>
        <w:tc>
          <w:tcPr>
            <w:tcW w:w="3187" w:type="dxa"/>
            <w:tcBorders>
              <w:top w:val="nil"/>
              <w:left w:val="nil"/>
              <w:bottom w:val="nil"/>
              <w:right w:val="nil"/>
            </w:tcBorders>
          </w:tcPr>
          <w:p>
            <w:pPr>
              <w:pStyle w:val="yTableNAm"/>
              <w:jc w:val="center"/>
            </w:pPr>
            <w:r>
              <w:t>30</w:t>
            </w:r>
          </w:p>
        </w:tc>
        <w:tc>
          <w:tcPr>
            <w:tcW w:w="3084" w:type="dxa"/>
            <w:tcBorders>
              <w:top w:val="nil"/>
              <w:left w:val="nil"/>
              <w:bottom w:val="nil"/>
              <w:right w:val="nil"/>
            </w:tcBorders>
            <w:vAlign w:val="bottom"/>
          </w:tcPr>
          <w:p>
            <w:pPr>
              <w:pStyle w:val="yTableNAm"/>
              <w:jc w:val="center"/>
            </w:pPr>
            <w:r>
              <w:t>423.20</w:t>
            </w:r>
          </w:p>
        </w:tc>
      </w:tr>
      <w:tr>
        <w:trPr>
          <w:cantSplit/>
          <w:jc w:val="center"/>
        </w:trPr>
        <w:tc>
          <w:tcPr>
            <w:tcW w:w="3187" w:type="dxa"/>
            <w:tcBorders>
              <w:top w:val="nil"/>
              <w:left w:val="nil"/>
              <w:bottom w:val="nil"/>
              <w:right w:val="nil"/>
            </w:tcBorders>
          </w:tcPr>
          <w:p>
            <w:pPr>
              <w:pStyle w:val="yTableNAm"/>
              <w:jc w:val="center"/>
            </w:pPr>
            <w:r>
              <w:t>35, 38, 40</w:t>
            </w:r>
          </w:p>
        </w:tc>
        <w:tc>
          <w:tcPr>
            <w:tcW w:w="3084" w:type="dxa"/>
            <w:tcBorders>
              <w:top w:val="nil"/>
              <w:left w:val="nil"/>
              <w:bottom w:val="nil"/>
              <w:right w:val="nil"/>
            </w:tcBorders>
            <w:vAlign w:val="bottom"/>
          </w:tcPr>
          <w:p>
            <w:pPr>
              <w:pStyle w:val="yTableNAm"/>
              <w:jc w:val="center"/>
            </w:pPr>
            <w:r>
              <w:t>752.40</w:t>
            </w:r>
          </w:p>
        </w:tc>
      </w:tr>
      <w:tr>
        <w:trPr>
          <w:cantSplit/>
          <w:jc w:val="center"/>
        </w:trPr>
        <w:tc>
          <w:tcPr>
            <w:tcW w:w="3187" w:type="dxa"/>
            <w:tcBorders>
              <w:top w:val="nil"/>
              <w:left w:val="nil"/>
              <w:bottom w:val="nil"/>
              <w:right w:val="nil"/>
            </w:tcBorders>
          </w:tcPr>
          <w:p>
            <w:pPr>
              <w:pStyle w:val="yTableNAm"/>
              <w:jc w:val="center"/>
            </w:pPr>
            <w:r>
              <w:t>50</w:t>
            </w:r>
          </w:p>
        </w:tc>
        <w:tc>
          <w:tcPr>
            <w:tcW w:w="3084" w:type="dxa"/>
            <w:tcBorders>
              <w:top w:val="nil"/>
              <w:left w:val="nil"/>
              <w:bottom w:val="nil"/>
              <w:right w:val="nil"/>
            </w:tcBorders>
            <w:vAlign w:val="bottom"/>
          </w:tcPr>
          <w:p>
            <w:pPr>
              <w:pStyle w:val="yTableNAm"/>
              <w:jc w:val="center"/>
            </w:pPr>
            <w:r>
              <w:t>1 175.60</w:t>
            </w:r>
          </w:p>
        </w:tc>
      </w:tr>
      <w:tr>
        <w:trPr>
          <w:cantSplit/>
          <w:jc w:val="center"/>
        </w:trPr>
        <w:tc>
          <w:tcPr>
            <w:tcW w:w="3187" w:type="dxa"/>
            <w:tcBorders>
              <w:top w:val="nil"/>
              <w:left w:val="nil"/>
              <w:bottom w:val="nil"/>
              <w:right w:val="nil"/>
            </w:tcBorders>
          </w:tcPr>
          <w:p>
            <w:pPr>
              <w:pStyle w:val="yTableNAm"/>
              <w:jc w:val="center"/>
            </w:pPr>
            <w:r>
              <w:t>70, 75, 80</w:t>
            </w:r>
          </w:p>
        </w:tc>
        <w:tc>
          <w:tcPr>
            <w:tcW w:w="3084" w:type="dxa"/>
            <w:tcBorders>
              <w:top w:val="nil"/>
              <w:left w:val="nil"/>
              <w:bottom w:val="nil"/>
              <w:right w:val="nil"/>
            </w:tcBorders>
            <w:vAlign w:val="bottom"/>
          </w:tcPr>
          <w:p>
            <w:pPr>
              <w:pStyle w:val="yTableNAm"/>
              <w:jc w:val="center"/>
            </w:pPr>
            <w:r>
              <w:t>3 009.60</w:t>
            </w:r>
          </w:p>
        </w:tc>
      </w:tr>
      <w:tr>
        <w:trPr>
          <w:cantSplit/>
          <w:jc w:val="center"/>
        </w:trPr>
        <w:tc>
          <w:tcPr>
            <w:tcW w:w="3187" w:type="dxa"/>
            <w:tcBorders>
              <w:top w:val="nil"/>
              <w:left w:val="nil"/>
              <w:bottom w:val="nil"/>
              <w:right w:val="nil"/>
            </w:tcBorders>
          </w:tcPr>
          <w:p>
            <w:pPr>
              <w:pStyle w:val="yTableNAm"/>
              <w:jc w:val="center"/>
            </w:pPr>
            <w:r>
              <w:t>100</w:t>
            </w:r>
          </w:p>
        </w:tc>
        <w:tc>
          <w:tcPr>
            <w:tcW w:w="3084" w:type="dxa"/>
            <w:tcBorders>
              <w:top w:val="nil"/>
              <w:left w:val="nil"/>
              <w:bottom w:val="nil"/>
              <w:right w:val="nil"/>
            </w:tcBorders>
            <w:vAlign w:val="bottom"/>
          </w:tcPr>
          <w:p>
            <w:pPr>
              <w:pStyle w:val="yTableNAm"/>
              <w:jc w:val="center"/>
            </w:pPr>
            <w:r>
              <w:t>4 702.50</w:t>
            </w:r>
          </w:p>
        </w:tc>
      </w:tr>
      <w:tr>
        <w:trPr>
          <w:cantSplit/>
          <w:jc w:val="center"/>
        </w:trPr>
        <w:tc>
          <w:tcPr>
            <w:tcW w:w="3187" w:type="dxa"/>
            <w:tcBorders>
              <w:top w:val="nil"/>
              <w:left w:val="nil"/>
              <w:bottom w:val="single" w:sz="4" w:space="0" w:color="auto"/>
              <w:right w:val="nil"/>
            </w:tcBorders>
          </w:tcPr>
          <w:p>
            <w:pPr>
              <w:pStyle w:val="yTableNAm"/>
              <w:jc w:val="center"/>
            </w:pPr>
            <w:r>
              <w:t>140, 150</w:t>
            </w:r>
          </w:p>
        </w:tc>
        <w:tc>
          <w:tcPr>
            <w:tcW w:w="3084" w:type="dxa"/>
            <w:tcBorders>
              <w:top w:val="nil"/>
              <w:left w:val="nil"/>
              <w:bottom w:val="single" w:sz="4" w:space="0" w:color="auto"/>
              <w:right w:val="nil"/>
            </w:tcBorders>
            <w:vAlign w:val="bottom"/>
          </w:tcPr>
          <w:p>
            <w:pPr>
              <w:pStyle w:val="yTableNAm"/>
              <w:jc w:val="center"/>
            </w:pPr>
            <w:r>
              <w:t>10 580.60</w:t>
            </w:r>
          </w:p>
        </w:tc>
      </w:tr>
    </w:tbl>
    <w:p>
      <w:pPr>
        <w:pStyle w:val="yMiscellaneousBody"/>
      </w:pPr>
    </w:p>
    <w:tbl>
      <w:tblPr>
        <w:tblW w:w="6237" w:type="dxa"/>
        <w:tblInd w:w="534" w:type="dxa"/>
        <w:tblLayout w:type="fixed"/>
        <w:tblLook w:val="0000" w:firstRow="0" w:lastRow="0" w:firstColumn="0" w:lastColumn="0" w:noHBand="0" w:noVBand="0"/>
      </w:tblPr>
      <w:tblGrid>
        <w:gridCol w:w="850"/>
        <w:gridCol w:w="4235"/>
        <w:gridCol w:w="1152"/>
      </w:tblGrid>
      <w:tr>
        <w:trPr>
          <w:cantSplit/>
        </w:trPr>
        <w:tc>
          <w:tcPr>
            <w:tcW w:w="850" w:type="dxa"/>
          </w:tcPr>
          <w:p>
            <w:pPr>
              <w:pStyle w:val="yTableNAm"/>
            </w:pPr>
            <w:r>
              <w:rPr>
                <w:b/>
                <w:bCs/>
              </w:rPr>
              <w:t>11.</w:t>
            </w:r>
          </w:p>
        </w:tc>
        <w:tc>
          <w:tcPr>
            <w:tcW w:w="4235" w:type="dxa"/>
          </w:tcPr>
          <w:p>
            <w:pPr>
              <w:pStyle w:val="yTableNAm"/>
              <w:tabs>
                <w:tab w:val="left" w:leader="dot" w:pos="4876"/>
              </w:tabs>
            </w:pPr>
            <w:r>
              <w:rPr>
                <w:b/>
                <w:bCs/>
              </w:rPr>
              <w:t>Stock</w:t>
            </w:r>
          </w:p>
        </w:tc>
        <w:tc>
          <w:tcPr>
            <w:tcW w:w="1152" w:type="dxa"/>
            <w:vAlign w:val="bottom"/>
          </w:tcPr>
          <w:p>
            <w:pPr>
              <w:pStyle w:val="yTableNAm"/>
            </w:pPr>
          </w:p>
        </w:tc>
      </w:tr>
      <w:tr>
        <w:trPr>
          <w:cantSplit/>
        </w:trPr>
        <w:tc>
          <w:tcPr>
            <w:tcW w:w="850" w:type="dxa"/>
          </w:tcPr>
          <w:p>
            <w:pPr>
              <w:pStyle w:val="zyTableNAm"/>
            </w:pPr>
          </w:p>
        </w:tc>
        <w:tc>
          <w:tcPr>
            <w:tcW w:w="4235" w:type="dxa"/>
          </w:tcPr>
          <w:p>
            <w:pPr>
              <w:pStyle w:val="yTableNAm"/>
              <w:tabs>
                <w:tab w:val="clear" w:pos="567"/>
                <w:tab w:val="right" w:leader="dot" w:pos="4019"/>
              </w:tabs>
            </w:pPr>
            <w:r>
              <w:t xml:space="preserve">For the supply of water for the purpose of watering stock on land that is not the subject of a charge under item 10 </w:t>
            </w:r>
            <w:r>
              <w:tab/>
            </w:r>
          </w:p>
        </w:tc>
        <w:tc>
          <w:tcPr>
            <w:tcW w:w="1152" w:type="dxa"/>
            <w:vAlign w:val="bottom"/>
          </w:tcPr>
          <w:p>
            <w:pPr>
              <w:pStyle w:val="yTableNAm"/>
            </w:pPr>
            <w:r>
              <w:t>$188.10</w:t>
            </w:r>
          </w:p>
        </w:tc>
      </w:tr>
      <w:tr>
        <w:trPr>
          <w:cantSplit/>
        </w:trPr>
        <w:tc>
          <w:tcPr>
            <w:tcW w:w="850" w:type="dxa"/>
          </w:tcPr>
          <w:p>
            <w:pPr>
              <w:pStyle w:val="yTableNAm"/>
              <w:keepNext/>
            </w:pPr>
            <w:r>
              <w:rPr>
                <w:b/>
                <w:bCs/>
              </w:rPr>
              <w:t>12.</w:t>
            </w:r>
          </w:p>
        </w:tc>
        <w:tc>
          <w:tcPr>
            <w:tcW w:w="4235" w:type="dxa"/>
          </w:tcPr>
          <w:p>
            <w:pPr>
              <w:pStyle w:val="yTableNAm"/>
              <w:keepNext/>
              <w:tabs>
                <w:tab w:val="left" w:leader="dot" w:pos="4876"/>
              </w:tabs>
            </w:pPr>
            <w:r>
              <w:rPr>
                <w:b/>
                <w:bCs/>
              </w:rPr>
              <w:t>Additional connections</w:t>
            </w:r>
          </w:p>
        </w:tc>
        <w:tc>
          <w:tcPr>
            <w:tcW w:w="1152" w:type="dxa"/>
            <w:vAlign w:val="bottom"/>
          </w:tcPr>
          <w:p>
            <w:pPr>
              <w:pStyle w:val="yTableNAm"/>
              <w:keepNext/>
            </w:pPr>
          </w:p>
        </w:tc>
      </w:tr>
      <w:tr>
        <w:trPr>
          <w:cantSplit/>
        </w:trPr>
        <w:tc>
          <w:tcPr>
            <w:tcW w:w="850" w:type="dxa"/>
          </w:tcPr>
          <w:p>
            <w:pPr>
              <w:pStyle w:val="zyTableNAm"/>
              <w:keepNext/>
              <w:keepLines/>
            </w:pPr>
          </w:p>
        </w:tc>
        <w:tc>
          <w:tcPr>
            <w:tcW w:w="4235" w:type="dxa"/>
          </w:tcPr>
          <w:p>
            <w:pPr>
              <w:pStyle w:val="yTableNAm"/>
              <w:tabs>
                <w:tab w:val="left" w:leader="dot" w:pos="4876"/>
              </w:tabs>
            </w:pPr>
            <w:r>
              <w:t>Other than land described in items 3 and 9, where water is supplied to land through more than one water supply connection, for each additional connection, not being a connection the subject of a charge under item 15 or a connection for a water supply the subject of item 2 or 19 —</w:t>
            </w:r>
          </w:p>
        </w:tc>
        <w:tc>
          <w:tcPr>
            <w:tcW w:w="1152" w:type="dxa"/>
            <w:vAlign w:val="bottom"/>
          </w:tcPr>
          <w:p>
            <w:pPr>
              <w:pStyle w:val="yTableNAm"/>
            </w:pPr>
          </w:p>
        </w:tc>
      </w:tr>
      <w:tr>
        <w:trPr>
          <w:cantSplit/>
        </w:trPr>
        <w:tc>
          <w:tcPr>
            <w:tcW w:w="850" w:type="dxa"/>
          </w:tcPr>
          <w:p>
            <w:pPr>
              <w:pStyle w:val="zyTableNAm"/>
              <w:keepNext/>
              <w:keepLines/>
            </w:pPr>
          </w:p>
        </w:tc>
        <w:tc>
          <w:tcPr>
            <w:tcW w:w="4235" w:type="dxa"/>
          </w:tcPr>
          <w:p>
            <w:pPr>
              <w:pStyle w:val="yTableNAm"/>
              <w:tabs>
                <w:tab w:val="clear" w:pos="567"/>
                <w:tab w:val="left" w:pos="296"/>
                <w:tab w:val="left" w:pos="776"/>
                <w:tab w:val="right" w:leader="dot" w:pos="4020"/>
              </w:tabs>
              <w:ind w:left="776" w:hanging="776"/>
            </w:pPr>
            <w:r>
              <w:tab/>
              <w:t>(a)</w:t>
            </w:r>
            <w:r>
              <w:tab/>
              <w:t xml:space="preserve">for land, other than land to which paragraph (b) applies, a charge of </w:t>
            </w:r>
            <w:r>
              <w:tab/>
            </w:r>
          </w:p>
        </w:tc>
        <w:tc>
          <w:tcPr>
            <w:tcW w:w="1152" w:type="dxa"/>
            <w:vAlign w:val="bottom"/>
          </w:tcPr>
          <w:p>
            <w:pPr>
              <w:pStyle w:val="yTableNAm"/>
            </w:pPr>
            <w:r>
              <w:t>$188.10</w:t>
            </w:r>
          </w:p>
        </w:tc>
      </w:tr>
      <w:tr>
        <w:trPr>
          <w:cantSplit/>
        </w:trPr>
        <w:tc>
          <w:tcPr>
            <w:tcW w:w="850" w:type="dxa"/>
          </w:tcPr>
          <w:p>
            <w:pPr>
              <w:pStyle w:val="zyTableNAm"/>
            </w:pPr>
          </w:p>
        </w:tc>
        <w:tc>
          <w:tcPr>
            <w:tcW w:w="4235" w:type="dxa"/>
          </w:tcPr>
          <w:p>
            <w:pPr>
              <w:pStyle w:val="yTableNAm"/>
              <w:tabs>
                <w:tab w:val="clear" w:pos="567"/>
                <w:tab w:val="left" w:pos="296"/>
                <w:tab w:val="left" w:pos="776"/>
                <w:tab w:val="right" w:leader="dot" w:pos="4020"/>
              </w:tabs>
              <w:ind w:left="776" w:hanging="776"/>
            </w:pPr>
            <w:r>
              <w:tab/>
              <w:t>(b)</w:t>
            </w:r>
            <w:r>
              <w:tab/>
              <w:t>for land that is classified as non</w:t>
            </w:r>
            <w:r>
              <w:noBreakHyphen/>
              <w:t>residential or commercial residential, a charge based on meter size of the additional service as set out in the following Table —</w:t>
            </w:r>
          </w:p>
        </w:tc>
        <w:tc>
          <w:tcPr>
            <w:tcW w:w="1152" w:type="dxa"/>
            <w:vAlign w:val="bottom"/>
          </w:tcPr>
          <w:p>
            <w:pPr>
              <w:pStyle w:val="yTableNAm"/>
            </w:pPr>
          </w:p>
        </w:tc>
      </w:tr>
    </w:tbl>
    <w:p>
      <w:pPr>
        <w:pStyle w:val="yTHeadingNAm"/>
      </w:pPr>
      <w:r>
        <w:t>Table of meter</w:t>
      </w:r>
      <w:r>
        <w:noBreakHyphen/>
        <w:t>based fixed charges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15"/>
        <w:gridCol w:w="3084"/>
      </w:tblGrid>
      <w:tr>
        <w:trPr>
          <w:cantSplit/>
          <w:tblHeader/>
          <w:jc w:val="center"/>
        </w:trPr>
        <w:tc>
          <w:tcPr>
            <w:tcW w:w="3215" w:type="dxa"/>
            <w:tcBorders>
              <w:top w:val="single" w:sz="4" w:space="0" w:color="auto"/>
              <w:left w:val="nil"/>
              <w:bottom w:val="single" w:sz="4" w:space="0" w:color="auto"/>
              <w:right w:val="nil"/>
            </w:tcBorders>
          </w:tcPr>
          <w:p>
            <w:pPr>
              <w:pStyle w:val="yTableNAm"/>
              <w:jc w:val="center"/>
            </w:pPr>
            <w:r>
              <w:rPr>
                <w:b/>
                <w:bCs/>
              </w:rPr>
              <w:t>Meter size</w:t>
            </w:r>
            <w:r>
              <w:rPr>
                <w:b/>
                <w:bCs/>
              </w:rPr>
              <w:br/>
              <w:t>mm</w:t>
            </w:r>
          </w:p>
        </w:tc>
        <w:tc>
          <w:tcPr>
            <w:tcW w:w="3084" w:type="dxa"/>
            <w:tcBorders>
              <w:top w:val="single" w:sz="4" w:space="0" w:color="auto"/>
              <w:left w:val="nil"/>
              <w:bottom w:val="single" w:sz="4" w:space="0" w:color="auto"/>
              <w:right w:val="nil"/>
            </w:tcBorders>
          </w:tcPr>
          <w:p>
            <w:pPr>
              <w:pStyle w:val="yTableNAm"/>
              <w:jc w:val="center"/>
            </w:pPr>
            <w:r>
              <w:rPr>
                <w:b/>
                <w:bCs/>
              </w:rPr>
              <w:t>Charge</w:t>
            </w:r>
            <w:r>
              <w:rPr>
                <w:b/>
                <w:bCs/>
              </w:rPr>
              <w:br/>
              <w:t>$</w:t>
            </w:r>
          </w:p>
        </w:tc>
      </w:tr>
      <w:tr>
        <w:trPr>
          <w:cantSplit/>
          <w:jc w:val="center"/>
        </w:trPr>
        <w:tc>
          <w:tcPr>
            <w:tcW w:w="3215" w:type="dxa"/>
            <w:tcBorders>
              <w:top w:val="nil"/>
              <w:left w:val="nil"/>
              <w:bottom w:val="nil"/>
              <w:right w:val="nil"/>
            </w:tcBorders>
          </w:tcPr>
          <w:p>
            <w:pPr>
              <w:pStyle w:val="yTableNAm"/>
              <w:jc w:val="center"/>
            </w:pPr>
            <w:r>
              <w:t>15, 20</w:t>
            </w:r>
          </w:p>
        </w:tc>
        <w:tc>
          <w:tcPr>
            <w:tcW w:w="3084" w:type="dxa"/>
            <w:tcBorders>
              <w:top w:val="nil"/>
              <w:left w:val="nil"/>
              <w:bottom w:val="nil"/>
              <w:right w:val="nil"/>
            </w:tcBorders>
            <w:vAlign w:val="bottom"/>
          </w:tcPr>
          <w:p>
            <w:pPr>
              <w:pStyle w:val="yTableNAm"/>
              <w:jc w:val="center"/>
            </w:pPr>
            <w:r>
              <w:t>188.10</w:t>
            </w:r>
          </w:p>
        </w:tc>
      </w:tr>
      <w:tr>
        <w:trPr>
          <w:cantSplit/>
          <w:jc w:val="center"/>
        </w:trPr>
        <w:tc>
          <w:tcPr>
            <w:tcW w:w="3215" w:type="dxa"/>
            <w:tcBorders>
              <w:top w:val="nil"/>
              <w:left w:val="nil"/>
              <w:bottom w:val="nil"/>
              <w:right w:val="nil"/>
            </w:tcBorders>
          </w:tcPr>
          <w:p>
            <w:pPr>
              <w:pStyle w:val="yTableNAm"/>
              <w:jc w:val="center"/>
            </w:pPr>
            <w:r>
              <w:t>25</w:t>
            </w:r>
          </w:p>
        </w:tc>
        <w:tc>
          <w:tcPr>
            <w:tcW w:w="3084" w:type="dxa"/>
            <w:tcBorders>
              <w:top w:val="nil"/>
              <w:left w:val="nil"/>
              <w:bottom w:val="nil"/>
              <w:right w:val="nil"/>
            </w:tcBorders>
            <w:vAlign w:val="bottom"/>
          </w:tcPr>
          <w:p>
            <w:pPr>
              <w:pStyle w:val="yTableNAm"/>
              <w:jc w:val="center"/>
            </w:pPr>
            <w:r>
              <w:t>293.90</w:t>
            </w:r>
          </w:p>
        </w:tc>
      </w:tr>
      <w:tr>
        <w:trPr>
          <w:cantSplit/>
          <w:jc w:val="center"/>
        </w:trPr>
        <w:tc>
          <w:tcPr>
            <w:tcW w:w="3215" w:type="dxa"/>
            <w:tcBorders>
              <w:top w:val="nil"/>
              <w:left w:val="nil"/>
              <w:bottom w:val="nil"/>
              <w:right w:val="nil"/>
            </w:tcBorders>
          </w:tcPr>
          <w:p>
            <w:pPr>
              <w:pStyle w:val="yTableNAm"/>
              <w:jc w:val="center"/>
            </w:pPr>
            <w:r>
              <w:t>30</w:t>
            </w:r>
          </w:p>
        </w:tc>
        <w:tc>
          <w:tcPr>
            <w:tcW w:w="3084" w:type="dxa"/>
            <w:tcBorders>
              <w:top w:val="nil"/>
              <w:left w:val="nil"/>
              <w:bottom w:val="nil"/>
              <w:right w:val="nil"/>
            </w:tcBorders>
            <w:vAlign w:val="bottom"/>
          </w:tcPr>
          <w:p>
            <w:pPr>
              <w:pStyle w:val="yTableNAm"/>
              <w:jc w:val="center"/>
            </w:pPr>
            <w:r>
              <w:t>423.20</w:t>
            </w:r>
          </w:p>
        </w:tc>
      </w:tr>
      <w:tr>
        <w:trPr>
          <w:cantSplit/>
          <w:jc w:val="center"/>
        </w:trPr>
        <w:tc>
          <w:tcPr>
            <w:tcW w:w="3215" w:type="dxa"/>
            <w:tcBorders>
              <w:top w:val="nil"/>
              <w:left w:val="nil"/>
              <w:bottom w:val="nil"/>
              <w:right w:val="nil"/>
            </w:tcBorders>
          </w:tcPr>
          <w:p>
            <w:pPr>
              <w:pStyle w:val="yTableNAm"/>
              <w:jc w:val="center"/>
            </w:pPr>
            <w:r>
              <w:t>35, 38, 40</w:t>
            </w:r>
          </w:p>
        </w:tc>
        <w:tc>
          <w:tcPr>
            <w:tcW w:w="3084" w:type="dxa"/>
            <w:tcBorders>
              <w:top w:val="nil"/>
              <w:left w:val="nil"/>
              <w:bottom w:val="nil"/>
              <w:right w:val="nil"/>
            </w:tcBorders>
            <w:vAlign w:val="bottom"/>
          </w:tcPr>
          <w:p>
            <w:pPr>
              <w:pStyle w:val="yTableNAm"/>
              <w:jc w:val="center"/>
            </w:pPr>
            <w:r>
              <w:t>752.40</w:t>
            </w:r>
          </w:p>
        </w:tc>
      </w:tr>
      <w:tr>
        <w:trPr>
          <w:cantSplit/>
          <w:jc w:val="center"/>
        </w:trPr>
        <w:tc>
          <w:tcPr>
            <w:tcW w:w="3215" w:type="dxa"/>
            <w:tcBorders>
              <w:top w:val="nil"/>
              <w:left w:val="nil"/>
              <w:bottom w:val="nil"/>
              <w:right w:val="nil"/>
            </w:tcBorders>
          </w:tcPr>
          <w:p>
            <w:pPr>
              <w:pStyle w:val="yTableNAm"/>
              <w:jc w:val="center"/>
            </w:pPr>
            <w:r>
              <w:t>50</w:t>
            </w:r>
          </w:p>
        </w:tc>
        <w:tc>
          <w:tcPr>
            <w:tcW w:w="3084" w:type="dxa"/>
            <w:tcBorders>
              <w:top w:val="nil"/>
              <w:left w:val="nil"/>
              <w:bottom w:val="nil"/>
              <w:right w:val="nil"/>
            </w:tcBorders>
            <w:vAlign w:val="bottom"/>
          </w:tcPr>
          <w:p>
            <w:pPr>
              <w:pStyle w:val="yTableNAm"/>
              <w:jc w:val="center"/>
            </w:pPr>
            <w:r>
              <w:t>1 175.60</w:t>
            </w:r>
          </w:p>
        </w:tc>
      </w:tr>
      <w:tr>
        <w:trPr>
          <w:cantSplit/>
          <w:jc w:val="center"/>
        </w:trPr>
        <w:tc>
          <w:tcPr>
            <w:tcW w:w="3215" w:type="dxa"/>
            <w:tcBorders>
              <w:top w:val="nil"/>
              <w:left w:val="nil"/>
              <w:bottom w:val="nil"/>
              <w:right w:val="nil"/>
            </w:tcBorders>
          </w:tcPr>
          <w:p>
            <w:pPr>
              <w:pStyle w:val="yTableNAm"/>
              <w:jc w:val="center"/>
            </w:pPr>
            <w:r>
              <w:t>70, 75, 80</w:t>
            </w:r>
          </w:p>
        </w:tc>
        <w:tc>
          <w:tcPr>
            <w:tcW w:w="3084" w:type="dxa"/>
            <w:tcBorders>
              <w:top w:val="nil"/>
              <w:left w:val="nil"/>
              <w:bottom w:val="nil"/>
              <w:right w:val="nil"/>
            </w:tcBorders>
            <w:vAlign w:val="bottom"/>
          </w:tcPr>
          <w:p>
            <w:pPr>
              <w:pStyle w:val="yTableNAm"/>
              <w:jc w:val="center"/>
            </w:pPr>
            <w:r>
              <w:t>3 009.60</w:t>
            </w:r>
          </w:p>
        </w:tc>
      </w:tr>
      <w:tr>
        <w:trPr>
          <w:cantSplit/>
          <w:jc w:val="center"/>
        </w:trPr>
        <w:tc>
          <w:tcPr>
            <w:tcW w:w="3215" w:type="dxa"/>
            <w:tcBorders>
              <w:top w:val="nil"/>
              <w:left w:val="nil"/>
              <w:bottom w:val="nil"/>
              <w:right w:val="nil"/>
            </w:tcBorders>
          </w:tcPr>
          <w:p>
            <w:pPr>
              <w:pStyle w:val="yTableNAm"/>
              <w:jc w:val="center"/>
            </w:pPr>
            <w:r>
              <w:t>100</w:t>
            </w:r>
          </w:p>
        </w:tc>
        <w:tc>
          <w:tcPr>
            <w:tcW w:w="3084" w:type="dxa"/>
            <w:tcBorders>
              <w:top w:val="nil"/>
              <w:left w:val="nil"/>
              <w:bottom w:val="nil"/>
              <w:right w:val="nil"/>
            </w:tcBorders>
            <w:vAlign w:val="bottom"/>
          </w:tcPr>
          <w:p>
            <w:pPr>
              <w:pStyle w:val="yTableNAm"/>
              <w:jc w:val="center"/>
            </w:pPr>
            <w:r>
              <w:t>4 702.50</w:t>
            </w:r>
          </w:p>
        </w:tc>
      </w:tr>
      <w:tr>
        <w:trPr>
          <w:cantSplit/>
          <w:jc w:val="center"/>
        </w:trPr>
        <w:tc>
          <w:tcPr>
            <w:tcW w:w="3215" w:type="dxa"/>
            <w:tcBorders>
              <w:top w:val="nil"/>
              <w:left w:val="nil"/>
              <w:bottom w:val="nil"/>
              <w:right w:val="nil"/>
            </w:tcBorders>
          </w:tcPr>
          <w:p>
            <w:pPr>
              <w:pStyle w:val="yTableNAm"/>
              <w:jc w:val="center"/>
            </w:pPr>
            <w:r>
              <w:t>140, 150</w:t>
            </w:r>
          </w:p>
        </w:tc>
        <w:tc>
          <w:tcPr>
            <w:tcW w:w="3084" w:type="dxa"/>
            <w:tcBorders>
              <w:top w:val="nil"/>
              <w:left w:val="nil"/>
              <w:bottom w:val="nil"/>
              <w:right w:val="nil"/>
            </w:tcBorders>
            <w:vAlign w:val="bottom"/>
          </w:tcPr>
          <w:p>
            <w:pPr>
              <w:pStyle w:val="yTableNAm"/>
              <w:jc w:val="center"/>
            </w:pPr>
            <w:r>
              <w:t>10 580.60</w:t>
            </w:r>
          </w:p>
        </w:tc>
      </w:tr>
      <w:tr>
        <w:trPr>
          <w:cantSplit/>
          <w:jc w:val="center"/>
        </w:trPr>
        <w:tc>
          <w:tcPr>
            <w:tcW w:w="3215" w:type="dxa"/>
            <w:tcBorders>
              <w:top w:val="nil"/>
              <w:left w:val="nil"/>
              <w:bottom w:val="nil"/>
              <w:right w:val="nil"/>
            </w:tcBorders>
          </w:tcPr>
          <w:p>
            <w:pPr>
              <w:pStyle w:val="yTableNAm"/>
              <w:jc w:val="center"/>
            </w:pPr>
            <w:r>
              <w:t>200</w:t>
            </w:r>
          </w:p>
        </w:tc>
        <w:tc>
          <w:tcPr>
            <w:tcW w:w="3084" w:type="dxa"/>
            <w:tcBorders>
              <w:top w:val="nil"/>
              <w:left w:val="nil"/>
              <w:bottom w:val="nil"/>
              <w:right w:val="nil"/>
            </w:tcBorders>
            <w:vAlign w:val="bottom"/>
          </w:tcPr>
          <w:p>
            <w:pPr>
              <w:pStyle w:val="yTableNAm"/>
              <w:jc w:val="center"/>
            </w:pPr>
            <w:r>
              <w:t>18 810.00</w:t>
            </w:r>
          </w:p>
        </w:tc>
      </w:tr>
      <w:tr>
        <w:trPr>
          <w:cantSplit/>
          <w:jc w:val="center"/>
        </w:trPr>
        <w:tc>
          <w:tcPr>
            <w:tcW w:w="3215" w:type="dxa"/>
            <w:tcBorders>
              <w:top w:val="nil"/>
              <w:left w:val="nil"/>
              <w:bottom w:val="nil"/>
              <w:right w:val="nil"/>
            </w:tcBorders>
          </w:tcPr>
          <w:p>
            <w:pPr>
              <w:pStyle w:val="yTableNAm"/>
              <w:jc w:val="center"/>
            </w:pPr>
            <w:r>
              <w:t>250</w:t>
            </w:r>
          </w:p>
        </w:tc>
        <w:tc>
          <w:tcPr>
            <w:tcW w:w="3084" w:type="dxa"/>
            <w:tcBorders>
              <w:top w:val="nil"/>
              <w:left w:val="nil"/>
              <w:bottom w:val="nil"/>
              <w:right w:val="nil"/>
            </w:tcBorders>
            <w:vAlign w:val="bottom"/>
          </w:tcPr>
          <w:p>
            <w:pPr>
              <w:pStyle w:val="yTableNAm"/>
              <w:jc w:val="center"/>
            </w:pPr>
            <w:r>
              <w:t>29 390.60</w:t>
            </w:r>
          </w:p>
        </w:tc>
      </w:tr>
      <w:tr>
        <w:trPr>
          <w:cantSplit/>
          <w:jc w:val="center"/>
        </w:trPr>
        <w:tc>
          <w:tcPr>
            <w:tcW w:w="3215" w:type="dxa"/>
            <w:tcBorders>
              <w:top w:val="nil"/>
              <w:left w:val="nil"/>
              <w:bottom w:val="nil"/>
              <w:right w:val="nil"/>
            </w:tcBorders>
          </w:tcPr>
          <w:p>
            <w:pPr>
              <w:pStyle w:val="yTableNAm"/>
              <w:jc w:val="center"/>
            </w:pPr>
            <w:r>
              <w:t>300</w:t>
            </w:r>
          </w:p>
        </w:tc>
        <w:tc>
          <w:tcPr>
            <w:tcW w:w="3084" w:type="dxa"/>
            <w:tcBorders>
              <w:top w:val="nil"/>
              <w:left w:val="nil"/>
              <w:bottom w:val="nil"/>
              <w:right w:val="nil"/>
            </w:tcBorders>
            <w:vAlign w:val="bottom"/>
          </w:tcPr>
          <w:p>
            <w:pPr>
              <w:pStyle w:val="yTableNAm"/>
              <w:jc w:val="center"/>
            </w:pPr>
            <w:r>
              <w:t>42 322.50</w:t>
            </w:r>
          </w:p>
        </w:tc>
      </w:tr>
      <w:tr>
        <w:trPr>
          <w:cantSplit/>
          <w:jc w:val="center"/>
        </w:trPr>
        <w:tc>
          <w:tcPr>
            <w:tcW w:w="3215" w:type="dxa"/>
            <w:tcBorders>
              <w:top w:val="nil"/>
              <w:left w:val="nil"/>
              <w:bottom w:val="single" w:sz="4" w:space="0" w:color="auto"/>
              <w:right w:val="nil"/>
            </w:tcBorders>
          </w:tcPr>
          <w:p>
            <w:pPr>
              <w:pStyle w:val="yTableNAm"/>
              <w:jc w:val="center"/>
            </w:pPr>
            <w:r>
              <w:t>350</w:t>
            </w:r>
          </w:p>
        </w:tc>
        <w:tc>
          <w:tcPr>
            <w:tcW w:w="3084" w:type="dxa"/>
            <w:tcBorders>
              <w:top w:val="nil"/>
              <w:left w:val="nil"/>
              <w:bottom w:val="single" w:sz="4" w:space="0" w:color="auto"/>
              <w:right w:val="nil"/>
            </w:tcBorders>
            <w:vAlign w:val="bottom"/>
          </w:tcPr>
          <w:p>
            <w:pPr>
              <w:pStyle w:val="yTableNAm"/>
              <w:jc w:val="center"/>
            </w:pPr>
            <w:r>
              <w:t>57 605.60</w:t>
            </w:r>
          </w:p>
        </w:tc>
      </w:tr>
    </w:tbl>
    <w:p>
      <w:pPr>
        <w:pStyle w:val="yMiscellaneousBody"/>
      </w:pPr>
    </w:p>
    <w:tbl>
      <w:tblPr>
        <w:tblW w:w="0" w:type="auto"/>
        <w:tblInd w:w="534" w:type="dxa"/>
        <w:tblLayout w:type="fixed"/>
        <w:tblLook w:val="0000" w:firstRow="0" w:lastRow="0" w:firstColumn="0" w:lastColumn="0" w:noHBand="0" w:noVBand="0"/>
      </w:tblPr>
      <w:tblGrid>
        <w:gridCol w:w="850"/>
        <w:gridCol w:w="4234"/>
        <w:gridCol w:w="1153"/>
      </w:tblGrid>
      <w:tr>
        <w:trPr>
          <w:cantSplit/>
        </w:trPr>
        <w:tc>
          <w:tcPr>
            <w:tcW w:w="850" w:type="dxa"/>
          </w:tcPr>
          <w:p>
            <w:pPr>
              <w:pStyle w:val="yTableNAm"/>
            </w:pPr>
            <w:r>
              <w:rPr>
                <w:b/>
                <w:bCs/>
              </w:rPr>
              <w:t>13.</w:t>
            </w:r>
          </w:p>
        </w:tc>
        <w:tc>
          <w:tcPr>
            <w:tcW w:w="4234" w:type="dxa"/>
          </w:tcPr>
          <w:p>
            <w:pPr>
              <w:pStyle w:val="yTableNAm"/>
              <w:tabs>
                <w:tab w:val="left" w:leader="dot" w:pos="4876"/>
              </w:tabs>
            </w:pPr>
            <w:r>
              <w:rPr>
                <w:b/>
                <w:bCs/>
              </w:rPr>
              <w:t>Shipping (non</w:t>
            </w:r>
            <w:r>
              <w:rPr>
                <w:b/>
                <w:bCs/>
              </w:rPr>
              <w:noBreakHyphen/>
              <w:t>metropolitan)</w:t>
            </w:r>
          </w:p>
        </w:tc>
        <w:tc>
          <w:tcPr>
            <w:tcW w:w="1153" w:type="dxa"/>
            <w:vAlign w:val="bottom"/>
          </w:tcPr>
          <w:p>
            <w:pPr>
              <w:pStyle w:val="yTableNAm"/>
            </w:pPr>
          </w:p>
        </w:tc>
      </w:tr>
      <w:tr>
        <w:trPr>
          <w:cantSplit/>
        </w:trPr>
        <w:tc>
          <w:tcPr>
            <w:tcW w:w="850" w:type="dxa"/>
          </w:tcPr>
          <w:p>
            <w:pPr>
              <w:pStyle w:val="zyTableNAm"/>
            </w:pPr>
          </w:p>
        </w:tc>
        <w:tc>
          <w:tcPr>
            <w:tcW w:w="4234" w:type="dxa"/>
          </w:tcPr>
          <w:p>
            <w:pPr>
              <w:pStyle w:val="yTableNAm"/>
              <w:tabs>
                <w:tab w:val="left" w:leader="dot" w:pos="4876"/>
              </w:tabs>
            </w:pPr>
            <w:r>
              <w:t>For each water supply connection provided for the purpose of water being taken on board any ship in a port not in the metropolitan area the charge applicable for the relevant meter size in the Table to item 10.</w:t>
            </w:r>
          </w:p>
        </w:tc>
        <w:tc>
          <w:tcPr>
            <w:tcW w:w="1153" w:type="dxa"/>
            <w:vAlign w:val="bottom"/>
          </w:tcPr>
          <w:p>
            <w:pPr>
              <w:pStyle w:val="yTableNAm"/>
            </w:pPr>
          </w:p>
        </w:tc>
      </w:tr>
      <w:tr>
        <w:trPr>
          <w:cantSplit/>
        </w:trPr>
        <w:tc>
          <w:tcPr>
            <w:tcW w:w="850" w:type="dxa"/>
          </w:tcPr>
          <w:p>
            <w:pPr>
              <w:pStyle w:val="yTableNAm"/>
            </w:pPr>
            <w:r>
              <w:rPr>
                <w:b/>
                <w:bCs/>
              </w:rPr>
              <w:t>14.</w:t>
            </w:r>
          </w:p>
        </w:tc>
        <w:tc>
          <w:tcPr>
            <w:tcW w:w="4234" w:type="dxa"/>
          </w:tcPr>
          <w:p>
            <w:pPr>
              <w:pStyle w:val="yTableNAm"/>
              <w:tabs>
                <w:tab w:val="left" w:leader="dot" w:pos="4876"/>
              </w:tabs>
            </w:pPr>
            <w:r>
              <w:rPr>
                <w:b/>
                <w:bCs/>
              </w:rPr>
              <w:t>Local government standpipes</w:t>
            </w:r>
          </w:p>
        </w:tc>
        <w:tc>
          <w:tcPr>
            <w:tcW w:w="1153" w:type="dxa"/>
            <w:vAlign w:val="bottom"/>
          </w:tcPr>
          <w:p>
            <w:pPr>
              <w:pStyle w:val="yTableNAm"/>
            </w:pPr>
          </w:p>
        </w:tc>
      </w:tr>
      <w:tr>
        <w:trPr>
          <w:cantSplit/>
        </w:trPr>
        <w:tc>
          <w:tcPr>
            <w:tcW w:w="850" w:type="dxa"/>
          </w:tcPr>
          <w:p>
            <w:pPr>
              <w:pStyle w:val="zyTableNAm"/>
            </w:pPr>
          </w:p>
        </w:tc>
        <w:tc>
          <w:tcPr>
            <w:tcW w:w="4234" w:type="dxa"/>
          </w:tcPr>
          <w:p>
            <w:pPr>
              <w:pStyle w:val="yTableNAm"/>
              <w:tabs>
                <w:tab w:val="clear" w:pos="567"/>
                <w:tab w:val="right" w:leader="dot" w:pos="4019"/>
              </w:tabs>
            </w:pPr>
            <w:r>
              <w:t xml:space="preserve">For each local government standpipe </w:t>
            </w:r>
            <w:r>
              <w:tab/>
            </w:r>
          </w:p>
        </w:tc>
        <w:tc>
          <w:tcPr>
            <w:tcW w:w="1153" w:type="dxa"/>
            <w:vAlign w:val="bottom"/>
          </w:tcPr>
          <w:p>
            <w:pPr>
              <w:pStyle w:val="yTableNAm"/>
            </w:pPr>
            <w:r>
              <w:t>$188.10</w:t>
            </w:r>
          </w:p>
        </w:tc>
      </w:tr>
      <w:tr>
        <w:trPr>
          <w:cantSplit/>
        </w:trPr>
        <w:tc>
          <w:tcPr>
            <w:tcW w:w="850" w:type="dxa"/>
          </w:tcPr>
          <w:p>
            <w:pPr>
              <w:pStyle w:val="yTableNAm"/>
            </w:pPr>
            <w:r>
              <w:rPr>
                <w:b/>
                <w:bCs/>
              </w:rPr>
              <w:t>15.</w:t>
            </w:r>
          </w:p>
        </w:tc>
        <w:tc>
          <w:tcPr>
            <w:tcW w:w="4234" w:type="dxa"/>
          </w:tcPr>
          <w:p>
            <w:pPr>
              <w:pStyle w:val="yTableNAm"/>
              <w:tabs>
                <w:tab w:val="left" w:leader="dot" w:pos="4876"/>
              </w:tabs>
            </w:pPr>
            <w:r>
              <w:rPr>
                <w:b/>
                <w:bCs/>
              </w:rPr>
              <w:t>Firefighting connections</w:t>
            </w:r>
          </w:p>
        </w:tc>
        <w:tc>
          <w:tcPr>
            <w:tcW w:w="1153" w:type="dxa"/>
            <w:vAlign w:val="bottom"/>
          </w:tcPr>
          <w:p>
            <w:pPr>
              <w:pStyle w:val="yTableNAm"/>
            </w:pPr>
          </w:p>
        </w:tc>
      </w:tr>
      <w:tr>
        <w:trPr>
          <w:cantSplit/>
        </w:trPr>
        <w:tc>
          <w:tcPr>
            <w:tcW w:w="850" w:type="dxa"/>
          </w:tcPr>
          <w:p>
            <w:pPr>
              <w:pStyle w:val="zyTableNAm"/>
            </w:pPr>
          </w:p>
        </w:tc>
        <w:tc>
          <w:tcPr>
            <w:tcW w:w="4234" w:type="dxa"/>
          </w:tcPr>
          <w:p>
            <w:pPr>
              <w:pStyle w:val="yTableNAm"/>
              <w:tabs>
                <w:tab w:val="clear" w:pos="567"/>
                <w:tab w:val="right" w:leader="dot" w:pos="4019"/>
              </w:tabs>
            </w:pPr>
            <w:r>
              <w:t xml:space="preserve">For each water supply connection provided for the purpose of firefighting </w:t>
            </w:r>
            <w:r>
              <w:tab/>
            </w:r>
          </w:p>
        </w:tc>
        <w:tc>
          <w:tcPr>
            <w:tcW w:w="1153" w:type="dxa"/>
            <w:vAlign w:val="bottom"/>
          </w:tcPr>
          <w:p>
            <w:pPr>
              <w:pStyle w:val="yTableNAm"/>
            </w:pPr>
            <w:r>
              <w:t>$188.10</w:t>
            </w:r>
          </w:p>
        </w:tc>
      </w:tr>
      <w:tr>
        <w:trPr>
          <w:cantSplit/>
        </w:trPr>
        <w:tc>
          <w:tcPr>
            <w:tcW w:w="850" w:type="dxa"/>
          </w:tcPr>
          <w:p>
            <w:pPr>
              <w:pStyle w:val="yTableNAm"/>
            </w:pPr>
            <w:r>
              <w:rPr>
                <w:b/>
                <w:bCs/>
              </w:rPr>
              <w:t>16.</w:t>
            </w:r>
          </w:p>
        </w:tc>
        <w:tc>
          <w:tcPr>
            <w:tcW w:w="4234" w:type="dxa"/>
          </w:tcPr>
          <w:p>
            <w:pPr>
              <w:pStyle w:val="yTableNAm"/>
              <w:tabs>
                <w:tab w:val="left" w:leader="dot" w:pos="4876"/>
              </w:tabs>
            </w:pPr>
            <w:r>
              <w:rPr>
                <w:b/>
                <w:bCs/>
              </w:rPr>
              <w:t>Farmland</w:t>
            </w:r>
          </w:p>
        </w:tc>
        <w:tc>
          <w:tcPr>
            <w:tcW w:w="1153" w:type="dxa"/>
            <w:vAlign w:val="bottom"/>
          </w:tcPr>
          <w:p>
            <w:pPr>
              <w:pStyle w:val="yTableNAm"/>
            </w:pPr>
          </w:p>
        </w:tc>
      </w:tr>
      <w:tr>
        <w:trPr>
          <w:cantSplit/>
        </w:trPr>
        <w:tc>
          <w:tcPr>
            <w:tcW w:w="850" w:type="dxa"/>
          </w:tcPr>
          <w:p>
            <w:pPr>
              <w:pStyle w:val="zyTableNAm"/>
              <w:keepNext/>
              <w:keepLines/>
            </w:pPr>
          </w:p>
        </w:tc>
        <w:tc>
          <w:tcPr>
            <w:tcW w:w="4234" w:type="dxa"/>
          </w:tcPr>
          <w:p>
            <w:pPr>
              <w:pStyle w:val="yTableNAm"/>
              <w:tabs>
                <w:tab w:val="clear" w:pos="567"/>
                <w:tab w:val="right" w:leader="dot" w:pos="4019"/>
              </w:tabs>
            </w:pPr>
            <w:r>
              <w:t xml:space="preserve">In respect of land that is classified as farmland </w:t>
            </w:r>
            <w:r>
              <w:tab/>
            </w:r>
          </w:p>
        </w:tc>
        <w:tc>
          <w:tcPr>
            <w:tcW w:w="1153" w:type="dxa"/>
            <w:vAlign w:val="bottom"/>
          </w:tcPr>
          <w:p>
            <w:pPr>
              <w:pStyle w:val="yTableNAm"/>
            </w:pPr>
            <w:r>
              <w:t>$188.10</w:t>
            </w:r>
          </w:p>
        </w:tc>
      </w:tr>
      <w:tr>
        <w:trPr>
          <w:cantSplit/>
        </w:trPr>
        <w:tc>
          <w:tcPr>
            <w:tcW w:w="850" w:type="dxa"/>
          </w:tcPr>
          <w:p>
            <w:pPr>
              <w:pStyle w:val="yTableNAm"/>
            </w:pPr>
            <w:r>
              <w:rPr>
                <w:b/>
                <w:bCs/>
              </w:rPr>
              <w:t>17.</w:t>
            </w:r>
          </w:p>
        </w:tc>
        <w:tc>
          <w:tcPr>
            <w:tcW w:w="4234" w:type="dxa"/>
          </w:tcPr>
          <w:p>
            <w:pPr>
              <w:pStyle w:val="yTableNAm"/>
              <w:tabs>
                <w:tab w:val="left" w:leader="dot" w:pos="4876"/>
              </w:tabs>
            </w:pPr>
            <w:r>
              <w:rPr>
                <w:b/>
                <w:bCs/>
              </w:rPr>
              <w:t>Metropolitan non</w:t>
            </w:r>
            <w:r>
              <w:rPr>
                <w:b/>
                <w:bCs/>
              </w:rPr>
              <w:noBreakHyphen/>
              <w:t>residential (except strata</w:t>
            </w:r>
            <w:r>
              <w:rPr>
                <w:b/>
                <w:bCs/>
              </w:rPr>
              <w:noBreakHyphen/>
              <w:t>titled units that share a service)</w:t>
            </w:r>
          </w:p>
        </w:tc>
        <w:tc>
          <w:tcPr>
            <w:tcW w:w="1153" w:type="dxa"/>
            <w:vAlign w:val="bottom"/>
          </w:tcPr>
          <w:p>
            <w:pPr>
              <w:pStyle w:val="yTableNAm"/>
            </w:pPr>
          </w:p>
        </w:tc>
      </w:tr>
      <w:tr>
        <w:trPr>
          <w:cantSplit/>
        </w:trPr>
        <w:tc>
          <w:tcPr>
            <w:tcW w:w="850" w:type="dxa"/>
          </w:tcPr>
          <w:p>
            <w:pPr>
              <w:pStyle w:val="zyTableNAm"/>
            </w:pPr>
          </w:p>
        </w:tc>
        <w:tc>
          <w:tcPr>
            <w:tcW w:w="4234" w:type="dxa"/>
          </w:tcPr>
          <w:p>
            <w:pPr>
              <w:pStyle w:val="yTableNAm"/>
              <w:tabs>
                <w:tab w:val="left" w:leader="dot" w:pos="4876"/>
              </w:tabs>
            </w:pPr>
            <w:r>
              <w:t>In respect of non</w:t>
            </w:r>
            <w:r>
              <w:noBreakHyphen/>
              <w:t>residential land in the metropolitan area, not being land mentioned in item 18, a charge determined by meter size as set out in the following Table —</w:t>
            </w:r>
          </w:p>
        </w:tc>
        <w:tc>
          <w:tcPr>
            <w:tcW w:w="1153" w:type="dxa"/>
            <w:vAlign w:val="bottom"/>
          </w:tcPr>
          <w:p>
            <w:pPr>
              <w:pStyle w:val="yTableNAm"/>
            </w:pPr>
          </w:p>
        </w:tc>
      </w:tr>
    </w:tbl>
    <w:p>
      <w:pPr>
        <w:pStyle w:val="yTHeadingNAm"/>
      </w:pPr>
      <w:r>
        <w:t>Table of meter</w:t>
      </w:r>
      <w:r>
        <w:noBreakHyphen/>
        <w:t>based fixed charges</w:t>
      </w:r>
    </w:p>
    <w:tbl>
      <w:tblPr>
        <w:tblW w:w="0" w:type="auto"/>
        <w:jc w:val="center"/>
        <w:tblLayout w:type="fixed"/>
        <w:tblLook w:val="0000" w:firstRow="0" w:lastRow="0" w:firstColumn="0" w:lastColumn="0" w:noHBand="0" w:noVBand="0"/>
      </w:tblPr>
      <w:tblGrid>
        <w:gridCol w:w="3206"/>
        <w:gridCol w:w="3093"/>
      </w:tblGrid>
      <w:tr>
        <w:trPr>
          <w:cantSplit/>
          <w:tblHeader/>
          <w:jc w:val="center"/>
        </w:trPr>
        <w:tc>
          <w:tcPr>
            <w:tcW w:w="3206" w:type="dxa"/>
            <w:tcBorders>
              <w:top w:val="single" w:sz="4" w:space="0" w:color="auto"/>
              <w:bottom w:val="single" w:sz="4" w:space="0" w:color="auto"/>
            </w:tcBorders>
          </w:tcPr>
          <w:p>
            <w:pPr>
              <w:pStyle w:val="yTableNAm"/>
              <w:jc w:val="center"/>
            </w:pPr>
            <w:r>
              <w:rPr>
                <w:b/>
                <w:bCs/>
              </w:rPr>
              <w:t>Meter size</w:t>
            </w:r>
            <w:r>
              <w:rPr>
                <w:b/>
                <w:bCs/>
              </w:rPr>
              <w:br/>
              <w:t>mm</w:t>
            </w:r>
          </w:p>
        </w:tc>
        <w:tc>
          <w:tcPr>
            <w:tcW w:w="3093" w:type="dxa"/>
            <w:tcBorders>
              <w:top w:val="single" w:sz="4" w:space="0" w:color="auto"/>
              <w:bottom w:val="single" w:sz="4" w:space="0" w:color="auto"/>
            </w:tcBorders>
          </w:tcPr>
          <w:p>
            <w:pPr>
              <w:pStyle w:val="yTableNAm"/>
              <w:jc w:val="center"/>
            </w:pPr>
            <w:r>
              <w:rPr>
                <w:b/>
                <w:bCs/>
              </w:rPr>
              <w:t>Charge</w:t>
            </w:r>
            <w:r>
              <w:rPr>
                <w:b/>
                <w:bCs/>
              </w:rPr>
              <w:br/>
              <w:t>$</w:t>
            </w:r>
          </w:p>
        </w:tc>
      </w:tr>
      <w:tr>
        <w:trPr>
          <w:cantSplit/>
          <w:jc w:val="center"/>
        </w:trPr>
        <w:tc>
          <w:tcPr>
            <w:tcW w:w="3206" w:type="dxa"/>
          </w:tcPr>
          <w:p>
            <w:pPr>
              <w:pStyle w:val="yTableNAm"/>
              <w:jc w:val="center"/>
            </w:pPr>
            <w:r>
              <w:t>20</w:t>
            </w:r>
          </w:p>
        </w:tc>
        <w:tc>
          <w:tcPr>
            <w:tcW w:w="3093" w:type="dxa"/>
            <w:vAlign w:val="bottom"/>
          </w:tcPr>
          <w:p>
            <w:pPr>
              <w:pStyle w:val="yTableNAm"/>
              <w:jc w:val="center"/>
            </w:pPr>
            <w:r>
              <w:t>188.10</w:t>
            </w:r>
          </w:p>
        </w:tc>
      </w:tr>
      <w:tr>
        <w:trPr>
          <w:cantSplit/>
          <w:jc w:val="center"/>
        </w:trPr>
        <w:tc>
          <w:tcPr>
            <w:tcW w:w="3206" w:type="dxa"/>
          </w:tcPr>
          <w:p>
            <w:pPr>
              <w:pStyle w:val="yTableNAm"/>
              <w:jc w:val="center"/>
            </w:pPr>
            <w:r>
              <w:t>25</w:t>
            </w:r>
          </w:p>
        </w:tc>
        <w:tc>
          <w:tcPr>
            <w:tcW w:w="3093" w:type="dxa"/>
            <w:vAlign w:val="bottom"/>
          </w:tcPr>
          <w:p>
            <w:pPr>
              <w:pStyle w:val="yTableNAm"/>
              <w:jc w:val="center"/>
            </w:pPr>
            <w:r>
              <w:t>293.90</w:t>
            </w:r>
          </w:p>
        </w:tc>
      </w:tr>
      <w:tr>
        <w:trPr>
          <w:cantSplit/>
          <w:jc w:val="center"/>
        </w:trPr>
        <w:tc>
          <w:tcPr>
            <w:tcW w:w="3206" w:type="dxa"/>
          </w:tcPr>
          <w:p>
            <w:pPr>
              <w:pStyle w:val="yTableNAm"/>
              <w:jc w:val="center"/>
            </w:pPr>
            <w:r>
              <w:t>30</w:t>
            </w:r>
          </w:p>
        </w:tc>
        <w:tc>
          <w:tcPr>
            <w:tcW w:w="3093" w:type="dxa"/>
            <w:vAlign w:val="bottom"/>
          </w:tcPr>
          <w:p>
            <w:pPr>
              <w:pStyle w:val="yTableNAm"/>
              <w:jc w:val="center"/>
            </w:pPr>
            <w:r>
              <w:t>423.20</w:t>
            </w:r>
          </w:p>
        </w:tc>
      </w:tr>
      <w:tr>
        <w:trPr>
          <w:cantSplit/>
          <w:jc w:val="center"/>
        </w:trPr>
        <w:tc>
          <w:tcPr>
            <w:tcW w:w="3206" w:type="dxa"/>
          </w:tcPr>
          <w:p>
            <w:pPr>
              <w:pStyle w:val="yTableNAm"/>
              <w:jc w:val="center"/>
            </w:pPr>
            <w:r>
              <w:t>40</w:t>
            </w:r>
          </w:p>
        </w:tc>
        <w:tc>
          <w:tcPr>
            <w:tcW w:w="3093" w:type="dxa"/>
            <w:vAlign w:val="bottom"/>
          </w:tcPr>
          <w:p>
            <w:pPr>
              <w:pStyle w:val="yTableNAm"/>
              <w:jc w:val="center"/>
            </w:pPr>
            <w:r>
              <w:t>752.40</w:t>
            </w:r>
          </w:p>
        </w:tc>
      </w:tr>
      <w:tr>
        <w:trPr>
          <w:cantSplit/>
          <w:jc w:val="center"/>
        </w:trPr>
        <w:tc>
          <w:tcPr>
            <w:tcW w:w="3206" w:type="dxa"/>
          </w:tcPr>
          <w:p>
            <w:pPr>
              <w:pStyle w:val="yTableNAm"/>
              <w:jc w:val="center"/>
            </w:pPr>
            <w:r>
              <w:t>50</w:t>
            </w:r>
          </w:p>
        </w:tc>
        <w:tc>
          <w:tcPr>
            <w:tcW w:w="3093" w:type="dxa"/>
            <w:vAlign w:val="bottom"/>
          </w:tcPr>
          <w:p>
            <w:pPr>
              <w:pStyle w:val="yTableNAm"/>
              <w:jc w:val="center"/>
            </w:pPr>
            <w:r>
              <w:t>1 175.60</w:t>
            </w:r>
          </w:p>
        </w:tc>
      </w:tr>
      <w:tr>
        <w:trPr>
          <w:cantSplit/>
          <w:jc w:val="center"/>
        </w:trPr>
        <w:tc>
          <w:tcPr>
            <w:tcW w:w="3206" w:type="dxa"/>
          </w:tcPr>
          <w:p>
            <w:pPr>
              <w:pStyle w:val="yTableNAm"/>
              <w:jc w:val="center"/>
            </w:pPr>
            <w:r>
              <w:t>80</w:t>
            </w:r>
          </w:p>
        </w:tc>
        <w:tc>
          <w:tcPr>
            <w:tcW w:w="3093" w:type="dxa"/>
            <w:vAlign w:val="bottom"/>
          </w:tcPr>
          <w:p>
            <w:pPr>
              <w:pStyle w:val="yTableNAm"/>
              <w:jc w:val="center"/>
            </w:pPr>
            <w:r>
              <w:t>3 009.60</w:t>
            </w:r>
          </w:p>
        </w:tc>
      </w:tr>
      <w:tr>
        <w:trPr>
          <w:cantSplit/>
          <w:jc w:val="center"/>
        </w:trPr>
        <w:tc>
          <w:tcPr>
            <w:tcW w:w="3206" w:type="dxa"/>
          </w:tcPr>
          <w:p>
            <w:pPr>
              <w:pStyle w:val="yTableNAm"/>
              <w:jc w:val="center"/>
            </w:pPr>
            <w:r>
              <w:t>100</w:t>
            </w:r>
          </w:p>
        </w:tc>
        <w:tc>
          <w:tcPr>
            <w:tcW w:w="3093" w:type="dxa"/>
            <w:vAlign w:val="bottom"/>
          </w:tcPr>
          <w:p>
            <w:pPr>
              <w:pStyle w:val="yTableNAm"/>
              <w:jc w:val="center"/>
            </w:pPr>
            <w:r>
              <w:t>4 702.50</w:t>
            </w:r>
          </w:p>
        </w:tc>
      </w:tr>
      <w:tr>
        <w:trPr>
          <w:cantSplit/>
          <w:jc w:val="center"/>
        </w:trPr>
        <w:tc>
          <w:tcPr>
            <w:tcW w:w="3206" w:type="dxa"/>
          </w:tcPr>
          <w:p>
            <w:pPr>
              <w:pStyle w:val="yTableNAm"/>
              <w:jc w:val="center"/>
            </w:pPr>
            <w:r>
              <w:t>150</w:t>
            </w:r>
          </w:p>
        </w:tc>
        <w:tc>
          <w:tcPr>
            <w:tcW w:w="3093" w:type="dxa"/>
            <w:vAlign w:val="bottom"/>
          </w:tcPr>
          <w:p>
            <w:pPr>
              <w:pStyle w:val="yTableNAm"/>
              <w:jc w:val="center"/>
            </w:pPr>
            <w:r>
              <w:t>10 580.60</w:t>
            </w:r>
          </w:p>
        </w:tc>
      </w:tr>
      <w:tr>
        <w:trPr>
          <w:cantSplit/>
          <w:jc w:val="center"/>
        </w:trPr>
        <w:tc>
          <w:tcPr>
            <w:tcW w:w="3206" w:type="dxa"/>
          </w:tcPr>
          <w:p>
            <w:pPr>
              <w:pStyle w:val="yTableNAm"/>
              <w:jc w:val="center"/>
            </w:pPr>
            <w:r>
              <w:t>200</w:t>
            </w:r>
          </w:p>
        </w:tc>
        <w:tc>
          <w:tcPr>
            <w:tcW w:w="3093" w:type="dxa"/>
            <w:vAlign w:val="bottom"/>
          </w:tcPr>
          <w:p>
            <w:pPr>
              <w:pStyle w:val="yTableNAm"/>
              <w:jc w:val="center"/>
            </w:pPr>
            <w:r>
              <w:t>18 810.00</w:t>
            </w:r>
          </w:p>
        </w:tc>
      </w:tr>
      <w:tr>
        <w:trPr>
          <w:cantSplit/>
          <w:jc w:val="center"/>
        </w:trPr>
        <w:tc>
          <w:tcPr>
            <w:tcW w:w="3206" w:type="dxa"/>
          </w:tcPr>
          <w:p>
            <w:pPr>
              <w:pStyle w:val="yTableNAm"/>
              <w:jc w:val="center"/>
            </w:pPr>
            <w:r>
              <w:t>250</w:t>
            </w:r>
          </w:p>
        </w:tc>
        <w:tc>
          <w:tcPr>
            <w:tcW w:w="3093" w:type="dxa"/>
            <w:vAlign w:val="bottom"/>
          </w:tcPr>
          <w:p>
            <w:pPr>
              <w:pStyle w:val="yTableNAm"/>
              <w:jc w:val="center"/>
            </w:pPr>
            <w:r>
              <w:t>29 390.60</w:t>
            </w:r>
          </w:p>
        </w:tc>
      </w:tr>
      <w:tr>
        <w:trPr>
          <w:cantSplit/>
          <w:jc w:val="center"/>
        </w:trPr>
        <w:tc>
          <w:tcPr>
            <w:tcW w:w="3206" w:type="dxa"/>
          </w:tcPr>
          <w:p>
            <w:pPr>
              <w:pStyle w:val="yTableNAm"/>
              <w:jc w:val="center"/>
            </w:pPr>
            <w:r>
              <w:t>300</w:t>
            </w:r>
          </w:p>
        </w:tc>
        <w:tc>
          <w:tcPr>
            <w:tcW w:w="3093" w:type="dxa"/>
            <w:vAlign w:val="bottom"/>
          </w:tcPr>
          <w:p>
            <w:pPr>
              <w:pStyle w:val="yTableNAm"/>
              <w:jc w:val="center"/>
            </w:pPr>
            <w:r>
              <w:t>42 322.50</w:t>
            </w:r>
          </w:p>
        </w:tc>
      </w:tr>
      <w:tr>
        <w:trPr>
          <w:cantSplit/>
          <w:jc w:val="center"/>
        </w:trPr>
        <w:tc>
          <w:tcPr>
            <w:tcW w:w="3206" w:type="dxa"/>
            <w:tcBorders>
              <w:bottom w:val="single" w:sz="4" w:space="0" w:color="auto"/>
            </w:tcBorders>
          </w:tcPr>
          <w:p>
            <w:pPr>
              <w:pStyle w:val="yTableNAm"/>
              <w:jc w:val="center"/>
            </w:pPr>
            <w:r>
              <w:t>350</w:t>
            </w:r>
          </w:p>
        </w:tc>
        <w:tc>
          <w:tcPr>
            <w:tcW w:w="3093" w:type="dxa"/>
            <w:tcBorders>
              <w:bottom w:val="single" w:sz="4" w:space="0" w:color="auto"/>
            </w:tcBorders>
            <w:vAlign w:val="bottom"/>
          </w:tcPr>
          <w:p>
            <w:pPr>
              <w:pStyle w:val="yTableNAm"/>
              <w:jc w:val="center"/>
            </w:pPr>
            <w:r>
              <w:t>57 605.60</w:t>
            </w:r>
          </w:p>
        </w:tc>
      </w:tr>
    </w:tbl>
    <w:p>
      <w:pPr>
        <w:pStyle w:val="yMiscellaneousBody"/>
      </w:pPr>
    </w:p>
    <w:tbl>
      <w:tblPr>
        <w:tblW w:w="0" w:type="auto"/>
        <w:tblInd w:w="534" w:type="dxa"/>
        <w:tblLayout w:type="fixed"/>
        <w:tblLook w:val="0000" w:firstRow="0" w:lastRow="0" w:firstColumn="0" w:lastColumn="0" w:noHBand="0" w:noVBand="0"/>
      </w:tblPr>
      <w:tblGrid>
        <w:gridCol w:w="850"/>
        <w:gridCol w:w="4235"/>
        <w:gridCol w:w="1153"/>
      </w:tblGrid>
      <w:tr>
        <w:trPr>
          <w:cantSplit/>
        </w:trPr>
        <w:tc>
          <w:tcPr>
            <w:tcW w:w="850" w:type="dxa"/>
          </w:tcPr>
          <w:p>
            <w:pPr>
              <w:pStyle w:val="yTableNAm"/>
            </w:pPr>
            <w:r>
              <w:rPr>
                <w:b/>
                <w:bCs/>
              </w:rPr>
              <w:t>18.</w:t>
            </w:r>
          </w:p>
        </w:tc>
        <w:tc>
          <w:tcPr>
            <w:tcW w:w="4235" w:type="dxa"/>
          </w:tcPr>
          <w:p>
            <w:pPr>
              <w:pStyle w:val="yTableNAm"/>
              <w:tabs>
                <w:tab w:val="left" w:leader="dot" w:pos="4876"/>
              </w:tabs>
            </w:pPr>
            <w:r>
              <w:rPr>
                <w:b/>
                <w:bCs/>
              </w:rPr>
              <w:t>Vacant land</w:t>
            </w:r>
          </w:p>
        </w:tc>
        <w:tc>
          <w:tcPr>
            <w:tcW w:w="1153" w:type="dxa"/>
            <w:vAlign w:val="bottom"/>
          </w:tcPr>
          <w:p>
            <w:pPr>
              <w:pStyle w:val="yTableNAm"/>
            </w:pPr>
          </w:p>
        </w:tc>
      </w:tr>
      <w:tr>
        <w:trPr>
          <w:cantSplit/>
        </w:trPr>
        <w:tc>
          <w:tcPr>
            <w:tcW w:w="850" w:type="dxa"/>
          </w:tcPr>
          <w:p>
            <w:pPr>
              <w:pStyle w:val="zyTableNAm"/>
            </w:pPr>
          </w:p>
        </w:tc>
        <w:tc>
          <w:tcPr>
            <w:tcW w:w="4235" w:type="dxa"/>
          </w:tcPr>
          <w:p>
            <w:pPr>
              <w:pStyle w:val="yTableNAm"/>
              <w:tabs>
                <w:tab w:val="clear" w:pos="567"/>
                <w:tab w:val="right" w:leader="dot" w:pos="4019"/>
              </w:tabs>
            </w:pPr>
            <w:r>
              <w:t xml:space="preserve">In respect of land classified as vacant land </w:t>
            </w:r>
            <w:r>
              <w:tab/>
            </w:r>
          </w:p>
        </w:tc>
        <w:tc>
          <w:tcPr>
            <w:tcW w:w="1153" w:type="dxa"/>
            <w:vAlign w:val="bottom"/>
          </w:tcPr>
          <w:p>
            <w:pPr>
              <w:pStyle w:val="yTableNAm"/>
            </w:pPr>
            <w:r>
              <w:t>$188.10</w:t>
            </w:r>
          </w:p>
        </w:tc>
      </w:tr>
      <w:tr>
        <w:trPr>
          <w:cantSplit/>
        </w:trPr>
        <w:tc>
          <w:tcPr>
            <w:tcW w:w="850" w:type="dxa"/>
          </w:tcPr>
          <w:p>
            <w:pPr>
              <w:pStyle w:val="yTableNAm"/>
            </w:pPr>
            <w:r>
              <w:rPr>
                <w:b/>
                <w:bCs/>
              </w:rPr>
              <w:t>19.</w:t>
            </w:r>
          </w:p>
        </w:tc>
        <w:tc>
          <w:tcPr>
            <w:tcW w:w="4235" w:type="dxa"/>
          </w:tcPr>
          <w:p>
            <w:pPr>
              <w:pStyle w:val="yTableNAm"/>
              <w:tabs>
                <w:tab w:val="left" w:leader="dot" w:pos="4876"/>
              </w:tabs>
            </w:pPr>
            <w:r>
              <w:rPr>
                <w:b/>
                <w:bCs/>
              </w:rPr>
              <w:t>Garden supply for metropolitan vacant land</w:t>
            </w:r>
          </w:p>
        </w:tc>
        <w:tc>
          <w:tcPr>
            <w:tcW w:w="1153" w:type="dxa"/>
            <w:vAlign w:val="bottom"/>
          </w:tcPr>
          <w:p>
            <w:pPr>
              <w:pStyle w:val="yTableNAm"/>
            </w:pPr>
          </w:p>
        </w:tc>
      </w:tr>
      <w:tr>
        <w:trPr>
          <w:cantSplit/>
        </w:trPr>
        <w:tc>
          <w:tcPr>
            <w:tcW w:w="850" w:type="dxa"/>
          </w:tcPr>
          <w:p>
            <w:pPr>
              <w:pStyle w:val="zyTableNAm"/>
            </w:pPr>
          </w:p>
        </w:tc>
        <w:tc>
          <w:tcPr>
            <w:tcW w:w="4235" w:type="dxa"/>
          </w:tcPr>
          <w:p>
            <w:pPr>
              <w:pStyle w:val="yTableNAm"/>
              <w:tabs>
                <w:tab w:val="left" w:leader="dot" w:pos="4876"/>
              </w:tabs>
            </w:pPr>
            <w:r>
              <w:t xml:space="preserve">In respect of land in the metropolitan area that is classified as vacant land and is provided with a water supply that is reticulated separately from any other water supply provided in respect of the land and is provided solely for garden purposes as defined in the </w:t>
            </w:r>
            <w:r>
              <w:rPr>
                <w:i/>
                <w:iCs/>
              </w:rPr>
              <w:t>Metropolitan Water Supply, Sewerage and Drainage By</w:t>
            </w:r>
            <w:r>
              <w:rPr>
                <w:i/>
                <w:iCs/>
              </w:rPr>
              <w:noBreakHyphen/>
              <w:t>laws 1981</w:t>
            </w:r>
            <w:r>
              <w:t xml:space="preserve"> by</w:t>
            </w:r>
            <w:r>
              <w:noBreakHyphen/>
              <w:t>law 1.1 —</w:t>
            </w:r>
          </w:p>
        </w:tc>
        <w:tc>
          <w:tcPr>
            <w:tcW w:w="1153" w:type="dxa"/>
            <w:vAlign w:val="bottom"/>
          </w:tcPr>
          <w:p>
            <w:pPr>
              <w:pStyle w:val="yTableNAm"/>
            </w:pPr>
          </w:p>
        </w:tc>
      </w:tr>
      <w:tr>
        <w:trPr>
          <w:cantSplit/>
        </w:trPr>
        <w:tc>
          <w:tcPr>
            <w:tcW w:w="850" w:type="dxa"/>
          </w:tcPr>
          <w:p>
            <w:pPr>
              <w:pStyle w:val="zyTableNAm"/>
            </w:pPr>
          </w:p>
        </w:tc>
        <w:tc>
          <w:tcPr>
            <w:tcW w:w="4235" w:type="dxa"/>
          </w:tcPr>
          <w:p>
            <w:pPr>
              <w:pStyle w:val="yTableNAm"/>
              <w:tabs>
                <w:tab w:val="clear" w:pos="567"/>
                <w:tab w:val="left" w:pos="296"/>
                <w:tab w:val="left" w:pos="776"/>
                <w:tab w:val="left" w:leader="dot" w:pos="4876"/>
              </w:tabs>
              <w:ind w:left="776" w:hanging="776"/>
            </w:pPr>
            <w:r>
              <w:tab/>
              <w:t>(a)</w:t>
            </w:r>
            <w:r>
              <w:tab/>
              <w:t>if the area of land is less than 400 m</w:t>
            </w:r>
            <w:r>
              <w:rPr>
                <w:vertAlign w:val="superscript"/>
              </w:rPr>
              <w:t>2</w:t>
            </w:r>
            <w:r>
              <w:t xml:space="preserve">, in addition to any other charge applicable to the land under this Schedule, a charge of — </w:t>
            </w:r>
          </w:p>
        </w:tc>
        <w:tc>
          <w:tcPr>
            <w:tcW w:w="1153" w:type="dxa"/>
            <w:vAlign w:val="bottom"/>
          </w:tcPr>
          <w:p>
            <w:pPr>
              <w:pStyle w:val="yTableNAm"/>
            </w:pPr>
          </w:p>
        </w:tc>
      </w:tr>
      <w:tr>
        <w:trPr>
          <w:cantSplit/>
        </w:trPr>
        <w:tc>
          <w:tcPr>
            <w:tcW w:w="850" w:type="dxa"/>
          </w:tcPr>
          <w:p>
            <w:pPr>
              <w:pStyle w:val="zyTableNAm"/>
            </w:pPr>
          </w:p>
        </w:tc>
        <w:tc>
          <w:tcPr>
            <w:tcW w:w="4235" w:type="dxa"/>
          </w:tcPr>
          <w:p>
            <w:pPr>
              <w:pStyle w:val="yTableNAm"/>
              <w:tabs>
                <w:tab w:val="clear" w:pos="567"/>
                <w:tab w:val="left" w:pos="814"/>
                <w:tab w:val="left" w:pos="1323"/>
                <w:tab w:val="right" w:leader="dot" w:pos="4020"/>
              </w:tabs>
              <w:ind w:left="1318" w:hanging="1318"/>
            </w:pPr>
            <w:r>
              <w:tab/>
              <w:t>(i)</w:t>
            </w:r>
            <w:r>
              <w:tab/>
              <w:t xml:space="preserve">in the suburb of Butler </w:t>
            </w:r>
            <w:r>
              <w:tab/>
            </w:r>
          </w:p>
        </w:tc>
        <w:tc>
          <w:tcPr>
            <w:tcW w:w="1153" w:type="dxa"/>
            <w:vAlign w:val="bottom"/>
          </w:tcPr>
          <w:p>
            <w:pPr>
              <w:pStyle w:val="yTableNAm"/>
            </w:pPr>
            <w:r>
              <w:t>$74.00</w:t>
            </w:r>
          </w:p>
        </w:tc>
      </w:tr>
      <w:tr>
        <w:trPr>
          <w:cantSplit/>
        </w:trPr>
        <w:tc>
          <w:tcPr>
            <w:tcW w:w="850" w:type="dxa"/>
          </w:tcPr>
          <w:p>
            <w:pPr>
              <w:pStyle w:val="zyTableNAm"/>
            </w:pPr>
          </w:p>
        </w:tc>
        <w:tc>
          <w:tcPr>
            <w:tcW w:w="4235" w:type="dxa"/>
          </w:tcPr>
          <w:p>
            <w:pPr>
              <w:pStyle w:val="yTableNAm"/>
              <w:tabs>
                <w:tab w:val="clear" w:pos="567"/>
                <w:tab w:val="left" w:pos="814"/>
                <w:tab w:val="left" w:pos="1323"/>
                <w:tab w:val="right" w:leader="dot" w:pos="4020"/>
              </w:tabs>
              <w:ind w:left="1318" w:hanging="1318"/>
            </w:pPr>
            <w:r>
              <w:tab/>
              <w:t>(ii)</w:t>
            </w:r>
            <w:r>
              <w:tab/>
              <w:t xml:space="preserve">in the suburb of Baldivis </w:t>
            </w:r>
            <w:r>
              <w:tab/>
            </w:r>
          </w:p>
        </w:tc>
        <w:tc>
          <w:tcPr>
            <w:tcW w:w="1153" w:type="dxa"/>
            <w:vAlign w:val="bottom"/>
          </w:tcPr>
          <w:p>
            <w:pPr>
              <w:pStyle w:val="yTableNAm"/>
            </w:pPr>
            <w:r>
              <w:t>$119.30</w:t>
            </w:r>
          </w:p>
        </w:tc>
      </w:tr>
      <w:tr>
        <w:trPr>
          <w:cantSplit/>
        </w:trPr>
        <w:tc>
          <w:tcPr>
            <w:tcW w:w="850" w:type="dxa"/>
          </w:tcPr>
          <w:p>
            <w:pPr>
              <w:pStyle w:val="zyTableNAm"/>
            </w:pPr>
          </w:p>
        </w:tc>
        <w:tc>
          <w:tcPr>
            <w:tcW w:w="4235" w:type="dxa"/>
          </w:tcPr>
          <w:p>
            <w:pPr>
              <w:pStyle w:val="yTableNAm"/>
              <w:tabs>
                <w:tab w:val="clear" w:pos="567"/>
                <w:tab w:val="left" w:pos="296"/>
                <w:tab w:val="left" w:pos="776"/>
                <w:tab w:val="left" w:leader="dot" w:pos="4876"/>
              </w:tabs>
              <w:ind w:left="776" w:hanging="776"/>
            </w:pPr>
            <w:r>
              <w:tab/>
              <w:t>(b)</w:t>
            </w:r>
            <w:r>
              <w:tab/>
              <w:t>if the area of land is equal to or greater than 400 m</w:t>
            </w:r>
            <w:r>
              <w:rPr>
                <w:vertAlign w:val="superscript"/>
              </w:rPr>
              <w:t>2</w:t>
            </w:r>
            <w:r>
              <w:t xml:space="preserve">, in addition to any other charge applicable to the land under this Schedule, a charge of — </w:t>
            </w:r>
          </w:p>
        </w:tc>
        <w:tc>
          <w:tcPr>
            <w:tcW w:w="1153" w:type="dxa"/>
            <w:vAlign w:val="bottom"/>
          </w:tcPr>
          <w:p>
            <w:pPr>
              <w:pStyle w:val="yTableNAm"/>
            </w:pPr>
          </w:p>
        </w:tc>
      </w:tr>
      <w:tr>
        <w:trPr>
          <w:cantSplit/>
        </w:trPr>
        <w:tc>
          <w:tcPr>
            <w:tcW w:w="850" w:type="dxa"/>
          </w:tcPr>
          <w:p>
            <w:pPr>
              <w:pStyle w:val="zyTableNAm"/>
            </w:pPr>
          </w:p>
        </w:tc>
        <w:tc>
          <w:tcPr>
            <w:tcW w:w="4235" w:type="dxa"/>
          </w:tcPr>
          <w:p>
            <w:pPr>
              <w:pStyle w:val="yTableNAm"/>
              <w:tabs>
                <w:tab w:val="clear" w:pos="567"/>
                <w:tab w:val="left" w:pos="814"/>
                <w:tab w:val="left" w:pos="1323"/>
                <w:tab w:val="right" w:leader="dot" w:pos="4020"/>
              </w:tabs>
              <w:ind w:left="1318" w:hanging="1318"/>
            </w:pPr>
            <w:r>
              <w:tab/>
              <w:t>(i)</w:t>
            </w:r>
            <w:r>
              <w:tab/>
              <w:t xml:space="preserve">in the suburb of Butler </w:t>
            </w:r>
            <w:r>
              <w:tab/>
            </w:r>
          </w:p>
        </w:tc>
        <w:tc>
          <w:tcPr>
            <w:tcW w:w="1153" w:type="dxa"/>
            <w:vAlign w:val="bottom"/>
          </w:tcPr>
          <w:p>
            <w:pPr>
              <w:pStyle w:val="yTableNAm"/>
            </w:pPr>
            <w:r>
              <w:t>$148.00</w:t>
            </w:r>
          </w:p>
        </w:tc>
      </w:tr>
      <w:tr>
        <w:trPr>
          <w:cantSplit/>
        </w:trPr>
        <w:tc>
          <w:tcPr>
            <w:tcW w:w="850" w:type="dxa"/>
          </w:tcPr>
          <w:p>
            <w:pPr>
              <w:pStyle w:val="zyTableNAm"/>
            </w:pPr>
          </w:p>
        </w:tc>
        <w:tc>
          <w:tcPr>
            <w:tcW w:w="4235" w:type="dxa"/>
          </w:tcPr>
          <w:p>
            <w:pPr>
              <w:pStyle w:val="yTableNAm"/>
              <w:tabs>
                <w:tab w:val="clear" w:pos="567"/>
                <w:tab w:val="left" w:pos="814"/>
                <w:tab w:val="left" w:pos="1323"/>
                <w:tab w:val="right" w:leader="dot" w:pos="4020"/>
              </w:tabs>
              <w:ind w:left="1318" w:hanging="1318"/>
            </w:pPr>
            <w:r>
              <w:tab/>
              <w:t>(ii)</w:t>
            </w:r>
            <w:r>
              <w:tab/>
              <w:t xml:space="preserve">in the suburb of Baldivis </w:t>
            </w:r>
            <w:r>
              <w:tab/>
            </w:r>
          </w:p>
        </w:tc>
        <w:tc>
          <w:tcPr>
            <w:tcW w:w="1153" w:type="dxa"/>
            <w:vAlign w:val="bottom"/>
          </w:tcPr>
          <w:p>
            <w:pPr>
              <w:pStyle w:val="yTableNAm"/>
            </w:pPr>
            <w:r>
              <w:t>$238.60</w:t>
            </w:r>
          </w:p>
        </w:tc>
      </w:tr>
    </w:tbl>
    <w:p>
      <w:pPr>
        <w:pStyle w:val="yFootnotesection"/>
      </w:pPr>
      <w:r>
        <w:tab/>
        <w:t>[Division 1 inserted in Gazette 20 Jun 2012 p. 2700</w:t>
      </w:r>
      <w:r>
        <w:noBreakHyphen/>
        <w:t>8.]</w:t>
      </w:r>
    </w:p>
    <w:p>
      <w:pPr>
        <w:pStyle w:val="yHeading3"/>
      </w:pPr>
      <w:bookmarkStart w:id="659" w:name="_Toc84427985"/>
      <w:bookmarkStart w:id="660" w:name="_Toc328403430"/>
      <w:bookmarkStart w:id="661" w:name="_Toc328471479"/>
      <w:r>
        <w:rPr>
          <w:rStyle w:val="CharSDivNo"/>
        </w:rPr>
        <w:t>Division 2</w:t>
      </w:r>
      <w:r>
        <w:rPr>
          <w:b w:val="0"/>
        </w:rPr>
        <w:t> — </w:t>
      </w:r>
      <w:r>
        <w:rPr>
          <w:rStyle w:val="CharSDivText"/>
        </w:rPr>
        <w:t>Quantity charges</w:t>
      </w:r>
      <w:bookmarkEnd w:id="659"/>
      <w:bookmarkEnd w:id="660"/>
      <w:bookmarkEnd w:id="661"/>
    </w:p>
    <w:p>
      <w:pPr>
        <w:pStyle w:val="yFootnoteheading"/>
        <w:spacing w:after="60"/>
      </w:pPr>
      <w:r>
        <w:tab/>
        <w:t>[Heading inserted in Gazette 20 Jun 2012 p. 2708.]</w:t>
      </w:r>
    </w:p>
    <w:tbl>
      <w:tblPr>
        <w:tblW w:w="0" w:type="auto"/>
        <w:tblInd w:w="534" w:type="dxa"/>
        <w:tblLook w:val="0000" w:firstRow="0" w:lastRow="0" w:firstColumn="0" w:lastColumn="0" w:noHBand="0" w:noVBand="0"/>
      </w:tblPr>
      <w:tblGrid>
        <w:gridCol w:w="850"/>
        <w:gridCol w:w="4237"/>
        <w:gridCol w:w="1292"/>
      </w:tblGrid>
      <w:tr>
        <w:trPr>
          <w:cantSplit/>
        </w:trPr>
        <w:tc>
          <w:tcPr>
            <w:tcW w:w="850" w:type="dxa"/>
          </w:tcPr>
          <w:p>
            <w:pPr>
              <w:pStyle w:val="yTableNAm"/>
            </w:pPr>
            <w:r>
              <w:rPr>
                <w:b/>
                <w:bCs/>
              </w:rPr>
              <w:t>20.</w:t>
            </w:r>
          </w:p>
        </w:tc>
        <w:tc>
          <w:tcPr>
            <w:tcW w:w="4237" w:type="dxa"/>
          </w:tcPr>
          <w:p>
            <w:pPr>
              <w:pStyle w:val="yTableNAm"/>
              <w:tabs>
                <w:tab w:val="left" w:leader="dot" w:pos="4876"/>
              </w:tabs>
            </w:pPr>
            <w:r>
              <w:rPr>
                <w:b/>
                <w:bCs/>
              </w:rPr>
              <w:t>Metropolitan residential</w:t>
            </w:r>
          </w:p>
        </w:tc>
        <w:tc>
          <w:tcPr>
            <w:tcW w:w="1292" w:type="dxa"/>
            <w:vAlign w:val="bottom"/>
          </w:tcPr>
          <w:p>
            <w:pPr>
              <w:pStyle w:val="yTableNAm"/>
            </w:pPr>
          </w:p>
        </w:tc>
      </w:tr>
      <w:tr>
        <w:trPr>
          <w:cantSplit/>
        </w:trPr>
        <w:tc>
          <w:tcPr>
            <w:tcW w:w="850" w:type="dxa"/>
          </w:tcPr>
          <w:p>
            <w:pPr>
              <w:pStyle w:val="zyTableNAm"/>
            </w:pPr>
          </w:p>
        </w:tc>
        <w:tc>
          <w:tcPr>
            <w:tcW w:w="4237" w:type="dxa"/>
          </w:tcPr>
          <w:p>
            <w:pPr>
              <w:pStyle w:val="yTableNAm"/>
              <w:tabs>
                <w:tab w:val="left" w:leader="dot" w:pos="4876"/>
              </w:tabs>
            </w:pPr>
            <w:r>
              <w:t>For each kilolitre of water supplied to a residential property, or any other land classified as vacant land and held for residential purposes, in the metropolitan area, not being water for which a charge is otherwise specifically provided in this Division or water from a water supply the subject of item 2 or 19 —</w:t>
            </w:r>
          </w:p>
        </w:tc>
        <w:tc>
          <w:tcPr>
            <w:tcW w:w="1292" w:type="dxa"/>
            <w:vAlign w:val="bottom"/>
          </w:tcPr>
          <w:p>
            <w:pPr>
              <w:pStyle w:val="yTableNAm"/>
            </w:pPr>
          </w:p>
        </w:tc>
      </w:tr>
      <w:tr>
        <w:trPr>
          <w:cantSplit/>
        </w:trPr>
        <w:tc>
          <w:tcPr>
            <w:tcW w:w="850" w:type="dxa"/>
          </w:tcPr>
          <w:p>
            <w:pPr>
              <w:pStyle w:val="zyTableNAm"/>
            </w:pPr>
          </w:p>
        </w:tc>
        <w:tc>
          <w:tcPr>
            <w:tcW w:w="4237" w:type="dxa"/>
          </w:tcPr>
          <w:p>
            <w:pPr>
              <w:pStyle w:val="yTableNAm"/>
              <w:tabs>
                <w:tab w:val="clear" w:pos="567"/>
                <w:tab w:val="left" w:pos="296"/>
                <w:tab w:val="right" w:leader="dot" w:pos="4003"/>
              </w:tabs>
            </w:pPr>
            <w:r>
              <w:tab/>
              <w:t xml:space="preserve">up to 150 kL </w:t>
            </w:r>
            <w:r>
              <w:tab/>
            </w:r>
          </w:p>
        </w:tc>
        <w:tc>
          <w:tcPr>
            <w:tcW w:w="1292" w:type="dxa"/>
            <w:vAlign w:val="bottom"/>
          </w:tcPr>
          <w:p>
            <w:pPr>
              <w:pStyle w:val="yTableNAm"/>
            </w:pPr>
            <w:r>
              <w:rPr>
                <w:szCs w:val="22"/>
              </w:rPr>
              <w:t>133.6 cents</w:t>
            </w:r>
          </w:p>
        </w:tc>
      </w:tr>
      <w:tr>
        <w:trPr>
          <w:cantSplit/>
        </w:trPr>
        <w:tc>
          <w:tcPr>
            <w:tcW w:w="850" w:type="dxa"/>
          </w:tcPr>
          <w:p>
            <w:pPr>
              <w:pStyle w:val="zyTableNAm"/>
            </w:pPr>
          </w:p>
        </w:tc>
        <w:tc>
          <w:tcPr>
            <w:tcW w:w="4237" w:type="dxa"/>
          </w:tcPr>
          <w:p>
            <w:pPr>
              <w:pStyle w:val="yTableNAm"/>
              <w:tabs>
                <w:tab w:val="clear" w:pos="567"/>
                <w:tab w:val="left" w:pos="296"/>
                <w:tab w:val="right" w:leader="dot" w:pos="4003"/>
              </w:tabs>
            </w:pPr>
            <w:r>
              <w:tab/>
              <w:t xml:space="preserve">over 150 but not over 350 kL </w:t>
            </w:r>
            <w:r>
              <w:tab/>
            </w:r>
          </w:p>
        </w:tc>
        <w:tc>
          <w:tcPr>
            <w:tcW w:w="1292" w:type="dxa"/>
            <w:vAlign w:val="bottom"/>
          </w:tcPr>
          <w:p>
            <w:pPr>
              <w:pStyle w:val="yTableNAm"/>
            </w:pPr>
            <w:r>
              <w:rPr>
                <w:szCs w:val="22"/>
              </w:rPr>
              <w:t>174.7 cents</w:t>
            </w:r>
          </w:p>
        </w:tc>
      </w:tr>
      <w:tr>
        <w:trPr>
          <w:cantSplit/>
        </w:trPr>
        <w:tc>
          <w:tcPr>
            <w:tcW w:w="850" w:type="dxa"/>
          </w:tcPr>
          <w:p>
            <w:pPr>
              <w:pStyle w:val="zyTableNAm"/>
            </w:pPr>
          </w:p>
        </w:tc>
        <w:tc>
          <w:tcPr>
            <w:tcW w:w="4237" w:type="dxa"/>
          </w:tcPr>
          <w:p>
            <w:pPr>
              <w:pStyle w:val="yTableNAm"/>
              <w:tabs>
                <w:tab w:val="clear" w:pos="567"/>
                <w:tab w:val="left" w:pos="296"/>
                <w:tab w:val="right" w:leader="dot" w:pos="4003"/>
              </w:tabs>
            </w:pPr>
            <w:r>
              <w:tab/>
              <w:t xml:space="preserve">over 350 but not over 500 kL </w:t>
            </w:r>
            <w:r>
              <w:tab/>
            </w:r>
          </w:p>
        </w:tc>
        <w:tc>
          <w:tcPr>
            <w:tcW w:w="1292" w:type="dxa"/>
            <w:vAlign w:val="bottom"/>
          </w:tcPr>
          <w:p>
            <w:pPr>
              <w:pStyle w:val="yTableNAm"/>
            </w:pPr>
            <w:r>
              <w:rPr>
                <w:szCs w:val="22"/>
              </w:rPr>
              <w:t>174.7 cents</w:t>
            </w:r>
          </w:p>
        </w:tc>
      </w:tr>
      <w:tr>
        <w:trPr>
          <w:cantSplit/>
        </w:trPr>
        <w:tc>
          <w:tcPr>
            <w:tcW w:w="850" w:type="dxa"/>
          </w:tcPr>
          <w:p>
            <w:pPr>
              <w:pStyle w:val="zyTableNAm"/>
            </w:pPr>
          </w:p>
        </w:tc>
        <w:tc>
          <w:tcPr>
            <w:tcW w:w="4237" w:type="dxa"/>
          </w:tcPr>
          <w:p>
            <w:pPr>
              <w:pStyle w:val="yTableNAm"/>
              <w:tabs>
                <w:tab w:val="clear" w:pos="567"/>
                <w:tab w:val="left" w:pos="296"/>
                <w:tab w:val="right" w:leader="dot" w:pos="4003"/>
              </w:tabs>
            </w:pPr>
            <w:r>
              <w:tab/>
              <w:t xml:space="preserve">over 500 but not over 550 kL </w:t>
            </w:r>
            <w:r>
              <w:tab/>
            </w:r>
          </w:p>
        </w:tc>
        <w:tc>
          <w:tcPr>
            <w:tcW w:w="1292" w:type="dxa"/>
            <w:vAlign w:val="bottom"/>
          </w:tcPr>
          <w:p>
            <w:pPr>
              <w:pStyle w:val="yTableNAm"/>
            </w:pPr>
            <w:r>
              <w:rPr>
                <w:szCs w:val="22"/>
              </w:rPr>
              <w:t>239.8 cents</w:t>
            </w:r>
          </w:p>
        </w:tc>
      </w:tr>
      <w:tr>
        <w:trPr>
          <w:cantSplit/>
        </w:trPr>
        <w:tc>
          <w:tcPr>
            <w:tcW w:w="850" w:type="dxa"/>
          </w:tcPr>
          <w:p>
            <w:pPr>
              <w:pStyle w:val="zyTableNAm"/>
            </w:pPr>
          </w:p>
        </w:tc>
        <w:tc>
          <w:tcPr>
            <w:tcW w:w="4237" w:type="dxa"/>
          </w:tcPr>
          <w:p>
            <w:pPr>
              <w:pStyle w:val="yTableNAm"/>
              <w:tabs>
                <w:tab w:val="clear" w:pos="567"/>
                <w:tab w:val="left" w:pos="296"/>
                <w:tab w:val="right" w:leader="dot" w:pos="4003"/>
              </w:tabs>
            </w:pPr>
            <w:r>
              <w:tab/>
              <w:t xml:space="preserve">over 550 but not over 950 kL </w:t>
            </w:r>
            <w:r>
              <w:tab/>
            </w:r>
          </w:p>
        </w:tc>
        <w:tc>
          <w:tcPr>
            <w:tcW w:w="1292" w:type="dxa"/>
            <w:vAlign w:val="bottom"/>
          </w:tcPr>
          <w:p>
            <w:pPr>
              <w:pStyle w:val="yTableNAm"/>
            </w:pPr>
            <w:r>
              <w:rPr>
                <w:szCs w:val="22"/>
              </w:rPr>
              <w:t>239.8 cents</w:t>
            </w:r>
          </w:p>
        </w:tc>
      </w:tr>
      <w:tr>
        <w:trPr>
          <w:cantSplit/>
        </w:trPr>
        <w:tc>
          <w:tcPr>
            <w:tcW w:w="850" w:type="dxa"/>
          </w:tcPr>
          <w:p>
            <w:pPr>
              <w:pStyle w:val="zyTableNAm"/>
            </w:pPr>
          </w:p>
        </w:tc>
        <w:tc>
          <w:tcPr>
            <w:tcW w:w="4237" w:type="dxa"/>
          </w:tcPr>
          <w:p>
            <w:pPr>
              <w:pStyle w:val="yTableNAm"/>
              <w:tabs>
                <w:tab w:val="clear" w:pos="567"/>
                <w:tab w:val="left" w:pos="296"/>
                <w:tab w:val="right" w:leader="dot" w:pos="4003"/>
              </w:tabs>
            </w:pPr>
            <w:r>
              <w:tab/>
              <w:t xml:space="preserve">over 950 kL </w:t>
            </w:r>
            <w:r>
              <w:tab/>
            </w:r>
          </w:p>
        </w:tc>
        <w:tc>
          <w:tcPr>
            <w:tcW w:w="1292" w:type="dxa"/>
            <w:vAlign w:val="bottom"/>
          </w:tcPr>
          <w:p>
            <w:pPr>
              <w:pStyle w:val="yTableNAm"/>
            </w:pPr>
            <w:r>
              <w:rPr>
                <w:szCs w:val="22"/>
              </w:rPr>
              <w:t>239.8 cents</w:t>
            </w:r>
          </w:p>
        </w:tc>
      </w:tr>
      <w:tr>
        <w:trPr>
          <w:cantSplit/>
        </w:trPr>
        <w:tc>
          <w:tcPr>
            <w:tcW w:w="850" w:type="dxa"/>
          </w:tcPr>
          <w:p>
            <w:pPr>
              <w:pStyle w:val="yTableNAm"/>
            </w:pPr>
            <w:r>
              <w:rPr>
                <w:b/>
                <w:bCs/>
              </w:rPr>
              <w:t>21.</w:t>
            </w:r>
          </w:p>
        </w:tc>
        <w:tc>
          <w:tcPr>
            <w:tcW w:w="4237" w:type="dxa"/>
          </w:tcPr>
          <w:p>
            <w:pPr>
              <w:pStyle w:val="yTableNAm"/>
              <w:tabs>
                <w:tab w:val="left" w:leader="dot" w:pos="4876"/>
              </w:tabs>
            </w:pPr>
            <w:r>
              <w:rPr>
                <w:b/>
                <w:bCs/>
              </w:rPr>
              <w:t>Metropolitan semi</w:t>
            </w:r>
            <w:r>
              <w:rPr>
                <w:b/>
                <w:bCs/>
              </w:rPr>
              <w:noBreakHyphen/>
              <w:t>rural residential</w:t>
            </w:r>
          </w:p>
        </w:tc>
        <w:tc>
          <w:tcPr>
            <w:tcW w:w="1292" w:type="dxa"/>
            <w:vAlign w:val="bottom"/>
          </w:tcPr>
          <w:p>
            <w:pPr>
              <w:pStyle w:val="yTableNAm"/>
            </w:pPr>
          </w:p>
        </w:tc>
      </w:tr>
      <w:tr>
        <w:trPr>
          <w:cantSplit/>
        </w:trPr>
        <w:tc>
          <w:tcPr>
            <w:tcW w:w="850" w:type="dxa"/>
          </w:tcPr>
          <w:p>
            <w:pPr>
              <w:pStyle w:val="zyTableNAm"/>
            </w:pPr>
          </w:p>
        </w:tc>
        <w:tc>
          <w:tcPr>
            <w:tcW w:w="4237" w:type="dxa"/>
          </w:tcPr>
          <w:p>
            <w:pPr>
              <w:pStyle w:val="yTableNAm"/>
              <w:tabs>
                <w:tab w:val="left" w:leader="dot" w:pos="4876"/>
              </w:tabs>
            </w:pPr>
            <w:r>
              <w:t>For each kilolitre of water supplied to a semi</w:t>
            </w:r>
            <w:r>
              <w:noBreakHyphen/>
              <w:t>rural residential property, not being water for which a charge is otherwise specifically provided in this Division —</w:t>
            </w:r>
          </w:p>
        </w:tc>
        <w:tc>
          <w:tcPr>
            <w:tcW w:w="1292" w:type="dxa"/>
            <w:vAlign w:val="bottom"/>
          </w:tcPr>
          <w:p>
            <w:pPr>
              <w:pStyle w:val="yTableNAm"/>
            </w:pPr>
          </w:p>
        </w:tc>
      </w:tr>
      <w:tr>
        <w:trPr>
          <w:cantSplit/>
        </w:trPr>
        <w:tc>
          <w:tcPr>
            <w:tcW w:w="850" w:type="dxa"/>
          </w:tcPr>
          <w:p>
            <w:pPr>
              <w:pStyle w:val="zyTableNAm"/>
            </w:pPr>
          </w:p>
        </w:tc>
        <w:tc>
          <w:tcPr>
            <w:tcW w:w="4237" w:type="dxa"/>
          </w:tcPr>
          <w:p>
            <w:pPr>
              <w:pStyle w:val="yTableNAm"/>
              <w:tabs>
                <w:tab w:val="clear" w:pos="567"/>
                <w:tab w:val="left" w:pos="296"/>
                <w:tab w:val="right" w:leader="dot" w:pos="4003"/>
              </w:tabs>
            </w:pPr>
            <w:r>
              <w:tab/>
              <w:t xml:space="preserve">up to 150 kL </w:t>
            </w:r>
            <w:r>
              <w:tab/>
            </w:r>
          </w:p>
        </w:tc>
        <w:tc>
          <w:tcPr>
            <w:tcW w:w="1292" w:type="dxa"/>
            <w:vAlign w:val="bottom"/>
          </w:tcPr>
          <w:p>
            <w:pPr>
              <w:pStyle w:val="yTableNAm"/>
            </w:pPr>
            <w:r>
              <w:rPr>
                <w:szCs w:val="22"/>
              </w:rPr>
              <w:t>133.6 cents</w:t>
            </w:r>
          </w:p>
        </w:tc>
      </w:tr>
      <w:tr>
        <w:trPr>
          <w:cantSplit/>
        </w:trPr>
        <w:tc>
          <w:tcPr>
            <w:tcW w:w="850" w:type="dxa"/>
          </w:tcPr>
          <w:p>
            <w:pPr>
              <w:pStyle w:val="zyTableNAm"/>
            </w:pPr>
          </w:p>
        </w:tc>
        <w:tc>
          <w:tcPr>
            <w:tcW w:w="4237" w:type="dxa"/>
          </w:tcPr>
          <w:p>
            <w:pPr>
              <w:pStyle w:val="yTableNAm"/>
              <w:tabs>
                <w:tab w:val="clear" w:pos="567"/>
                <w:tab w:val="left" w:pos="296"/>
                <w:tab w:val="right" w:leader="dot" w:pos="4003"/>
              </w:tabs>
            </w:pPr>
            <w:r>
              <w:tab/>
              <w:t xml:space="preserve">over 150 but not over 350 kL </w:t>
            </w:r>
            <w:r>
              <w:tab/>
            </w:r>
          </w:p>
        </w:tc>
        <w:tc>
          <w:tcPr>
            <w:tcW w:w="1292" w:type="dxa"/>
            <w:vAlign w:val="bottom"/>
          </w:tcPr>
          <w:p>
            <w:pPr>
              <w:pStyle w:val="yTableNAm"/>
            </w:pPr>
            <w:r>
              <w:rPr>
                <w:szCs w:val="22"/>
              </w:rPr>
              <w:t>174.7 cents</w:t>
            </w:r>
          </w:p>
        </w:tc>
      </w:tr>
      <w:tr>
        <w:trPr>
          <w:cantSplit/>
        </w:trPr>
        <w:tc>
          <w:tcPr>
            <w:tcW w:w="850" w:type="dxa"/>
          </w:tcPr>
          <w:p>
            <w:pPr>
              <w:pStyle w:val="zyTableNAm"/>
            </w:pPr>
          </w:p>
        </w:tc>
        <w:tc>
          <w:tcPr>
            <w:tcW w:w="4237" w:type="dxa"/>
          </w:tcPr>
          <w:p>
            <w:pPr>
              <w:pStyle w:val="yTableNAm"/>
              <w:tabs>
                <w:tab w:val="clear" w:pos="567"/>
                <w:tab w:val="left" w:pos="296"/>
                <w:tab w:val="right" w:leader="dot" w:pos="4003"/>
              </w:tabs>
            </w:pPr>
            <w:r>
              <w:tab/>
              <w:t xml:space="preserve">over 350 but not over 500 kL </w:t>
            </w:r>
            <w:r>
              <w:tab/>
            </w:r>
          </w:p>
        </w:tc>
        <w:tc>
          <w:tcPr>
            <w:tcW w:w="1292" w:type="dxa"/>
            <w:vAlign w:val="bottom"/>
          </w:tcPr>
          <w:p>
            <w:pPr>
              <w:pStyle w:val="yTableNAm"/>
            </w:pPr>
            <w:r>
              <w:rPr>
                <w:szCs w:val="22"/>
              </w:rPr>
              <w:t>174.7 cents</w:t>
            </w:r>
          </w:p>
        </w:tc>
      </w:tr>
      <w:tr>
        <w:trPr>
          <w:cantSplit/>
        </w:trPr>
        <w:tc>
          <w:tcPr>
            <w:tcW w:w="850" w:type="dxa"/>
          </w:tcPr>
          <w:p>
            <w:pPr>
              <w:pStyle w:val="zyTableNAm"/>
            </w:pPr>
          </w:p>
        </w:tc>
        <w:tc>
          <w:tcPr>
            <w:tcW w:w="4237" w:type="dxa"/>
          </w:tcPr>
          <w:p>
            <w:pPr>
              <w:pStyle w:val="yTableNAm"/>
              <w:tabs>
                <w:tab w:val="clear" w:pos="567"/>
                <w:tab w:val="left" w:pos="296"/>
                <w:tab w:val="right" w:leader="dot" w:pos="4003"/>
              </w:tabs>
            </w:pPr>
            <w:r>
              <w:tab/>
              <w:t xml:space="preserve">over 500 but not over 550 kL </w:t>
            </w:r>
            <w:r>
              <w:tab/>
            </w:r>
          </w:p>
        </w:tc>
        <w:tc>
          <w:tcPr>
            <w:tcW w:w="1292" w:type="dxa"/>
            <w:vAlign w:val="bottom"/>
          </w:tcPr>
          <w:p>
            <w:pPr>
              <w:pStyle w:val="yTableNAm"/>
            </w:pPr>
            <w:r>
              <w:rPr>
                <w:szCs w:val="22"/>
              </w:rPr>
              <w:t>239.8 cents</w:t>
            </w:r>
          </w:p>
        </w:tc>
      </w:tr>
      <w:tr>
        <w:trPr>
          <w:cantSplit/>
        </w:trPr>
        <w:tc>
          <w:tcPr>
            <w:tcW w:w="850" w:type="dxa"/>
          </w:tcPr>
          <w:p>
            <w:pPr>
              <w:pStyle w:val="zyTableNAm"/>
            </w:pPr>
          </w:p>
        </w:tc>
        <w:tc>
          <w:tcPr>
            <w:tcW w:w="4237" w:type="dxa"/>
          </w:tcPr>
          <w:p>
            <w:pPr>
              <w:pStyle w:val="yTableNAm"/>
              <w:tabs>
                <w:tab w:val="clear" w:pos="567"/>
                <w:tab w:val="left" w:pos="296"/>
                <w:tab w:val="right" w:leader="dot" w:pos="4003"/>
              </w:tabs>
            </w:pPr>
            <w:r>
              <w:tab/>
              <w:t xml:space="preserve">over 550 but not over 950 kL </w:t>
            </w:r>
            <w:r>
              <w:tab/>
            </w:r>
          </w:p>
        </w:tc>
        <w:tc>
          <w:tcPr>
            <w:tcW w:w="1292" w:type="dxa"/>
            <w:vAlign w:val="bottom"/>
          </w:tcPr>
          <w:p>
            <w:pPr>
              <w:pStyle w:val="yTableNAm"/>
            </w:pPr>
            <w:r>
              <w:rPr>
                <w:szCs w:val="22"/>
              </w:rPr>
              <w:t>239.8 cents</w:t>
            </w:r>
          </w:p>
        </w:tc>
      </w:tr>
      <w:tr>
        <w:trPr>
          <w:cantSplit/>
        </w:trPr>
        <w:tc>
          <w:tcPr>
            <w:tcW w:w="850" w:type="dxa"/>
          </w:tcPr>
          <w:p>
            <w:pPr>
              <w:pStyle w:val="zyTableNAm"/>
            </w:pPr>
          </w:p>
        </w:tc>
        <w:tc>
          <w:tcPr>
            <w:tcW w:w="4237" w:type="dxa"/>
          </w:tcPr>
          <w:p>
            <w:pPr>
              <w:pStyle w:val="yTableNAm"/>
              <w:tabs>
                <w:tab w:val="clear" w:pos="567"/>
                <w:tab w:val="left" w:pos="296"/>
                <w:tab w:val="right" w:leader="dot" w:pos="4003"/>
              </w:tabs>
            </w:pPr>
            <w:r>
              <w:tab/>
              <w:t xml:space="preserve">over 950 kL </w:t>
            </w:r>
            <w:r>
              <w:tab/>
            </w:r>
          </w:p>
        </w:tc>
        <w:tc>
          <w:tcPr>
            <w:tcW w:w="1292" w:type="dxa"/>
            <w:vAlign w:val="bottom"/>
          </w:tcPr>
          <w:p>
            <w:pPr>
              <w:pStyle w:val="yTableNAm"/>
            </w:pPr>
            <w:r>
              <w:rPr>
                <w:szCs w:val="22"/>
              </w:rPr>
              <w:t>239.8 cents</w:t>
            </w:r>
          </w:p>
        </w:tc>
      </w:tr>
      <w:tr>
        <w:trPr>
          <w:cantSplit/>
        </w:trPr>
        <w:tc>
          <w:tcPr>
            <w:tcW w:w="850" w:type="dxa"/>
          </w:tcPr>
          <w:p>
            <w:pPr>
              <w:pStyle w:val="yTableNAm"/>
              <w:keepNext/>
            </w:pPr>
            <w:r>
              <w:rPr>
                <w:b/>
                <w:bCs/>
              </w:rPr>
              <w:t>22.</w:t>
            </w:r>
          </w:p>
        </w:tc>
        <w:tc>
          <w:tcPr>
            <w:tcW w:w="4237" w:type="dxa"/>
          </w:tcPr>
          <w:p>
            <w:pPr>
              <w:pStyle w:val="yTableNAm"/>
              <w:keepNext/>
              <w:tabs>
                <w:tab w:val="left" w:leader="dot" w:pos="4876"/>
              </w:tabs>
            </w:pPr>
            <w:r>
              <w:rPr>
                <w:b/>
                <w:bCs/>
              </w:rPr>
              <w:t>Non</w:t>
            </w:r>
            <w:r>
              <w:rPr>
                <w:b/>
                <w:bCs/>
              </w:rPr>
              <w:noBreakHyphen/>
              <w:t>metropolitan residential</w:t>
            </w:r>
          </w:p>
        </w:tc>
        <w:tc>
          <w:tcPr>
            <w:tcW w:w="1292" w:type="dxa"/>
            <w:vAlign w:val="bottom"/>
          </w:tcPr>
          <w:p>
            <w:pPr>
              <w:pStyle w:val="yTableNAm"/>
              <w:keepNext/>
            </w:pPr>
          </w:p>
        </w:tc>
      </w:tr>
      <w:tr>
        <w:trPr>
          <w:cantSplit/>
        </w:trPr>
        <w:tc>
          <w:tcPr>
            <w:tcW w:w="850" w:type="dxa"/>
          </w:tcPr>
          <w:p>
            <w:pPr>
              <w:pStyle w:val="zyTableNAm"/>
              <w:keepNext/>
              <w:keepLines/>
            </w:pPr>
          </w:p>
        </w:tc>
        <w:tc>
          <w:tcPr>
            <w:tcW w:w="4237" w:type="dxa"/>
          </w:tcPr>
          <w:p>
            <w:pPr>
              <w:pStyle w:val="yTableNAm"/>
              <w:tabs>
                <w:tab w:val="left" w:leader="dot" w:pos="4876"/>
              </w:tabs>
            </w:pPr>
            <w:r>
              <w:t>For each kilolitre of water, not being water for which a charge is otherwise specifically provided in this Division, supplied to a residential property, or any other land classified as vacant land and held for residential purposes, not in the metropolitan area, according to the residential classification of the town/area set out in Schedule 10 —</w:t>
            </w:r>
          </w:p>
        </w:tc>
        <w:tc>
          <w:tcPr>
            <w:tcW w:w="1292" w:type="dxa"/>
          </w:tcPr>
          <w:p>
            <w:pPr>
              <w:pStyle w:val="yTableNAm"/>
            </w:pPr>
          </w:p>
        </w:tc>
      </w:tr>
    </w:tbl>
    <w:p>
      <w:pPr>
        <w:pStyle w:val="yMiscellaneousBody"/>
      </w:pPr>
    </w:p>
    <w:tbl>
      <w:tblPr>
        <w:tblW w:w="0" w:type="auto"/>
        <w:tblInd w:w="454" w:type="dxa"/>
        <w:tblCellMar>
          <w:left w:w="28" w:type="dxa"/>
          <w:right w:w="28" w:type="dxa"/>
        </w:tblCellMar>
        <w:tblLook w:val="0000" w:firstRow="0" w:lastRow="0" w:firstColumn="0" w:lastColumn="0" w:noHBand="0" w:noVBand="0"/>
      </w:tblPr>
      <w:tblGrid>
        <w:gridCol w:w="850"/>
        <w:gridCol w:w="567"/>
        <w:gridCol w:w="992"/>
        <w:gridCol w:w="992"/>
        <w:gridCol w:w="992"/>
        <w:gridCol w:w="694"/>
        <w:gridCol w:w="298"/>
        <w:gridCol w:w="994"/>
        <w:gridCol w:w="80"/>
      </w:tblGrid>
      <w:tr>
        <w:trPr>
          <w:cantSplit/>
          <w:tblHeader/>
        </w:trPr>
        <w:tc>
          <w:tcPr>
            <w:tcW w:w="1417" w:type="dxa"/>
            <w:gridSpan w:val="2"/>
            <w:tcBorders>
              <w:top w:val="single" w:sz="4" w:space="0" w:color="auto"/>
              <w:bottom w:val="single" w:sz="4" w:space="0" w:color="auto"/>
            </w:tcBorders>
          </w:tcPr>
          <w:p>
            <w:pPr>
              <w:pStyle w:val="yTableNAm"/>
            </w:pPr>
            <w:r>
              <w:rPr>
                <w:b/>
                <w:bCs/>
              </w:rPr>
              <w:br w:type="page"/>
              <w:t>Consumption (kL)</w:t>
            </w:r>
          </w:p>
        </w:tc>
        <w:tc>
          <w:tcPr>
            <w:tcW w:w="992" w:type="dxa"/>
            <w:tcBorders>
              <w:top w:val="single" w:sz="4" w:space="0" w:color="auto"/>
              <w:bottom w:val="single" w:sz="4" w:space="0" w:color="auto"/>
            </w:tcBorders>
          </w:tcPr>
          <w:p>
            <w:pPr>
              <w:pStyle w:val="yTableNAm"/>
              <w:jc w:val="center"/>
            </w:pPr>
            <w:r>
              <w:rPr>
                <w:b/>
                <w:bCs/>
              </w:rPr>
              <w:t>Class 1 (c/kL)</w:t>
            </w:r>
          </w:p>
        </w:tc>
        <w:tc>
          <w:tcPr>
            <w:tcW w:w="992" w:type="dxa"/>
            <w:tcBorders>
              <w:top w:val="single" w:sz="4" w:space="0" w:color="auto"/>
              <w:bottom w:val="single" w:sz="4" w:space="0" w:color="auto"/>
            </w:tcBorders>
          </w:tcPr>
          <w:p>
            <w:pPr>
              <w:pStyle w:val="yTableNAm"/>
              <w:jc w:val="center"/>
            </w:pPr>
            <w:r>
              <w:rPr>
                <w:b/>
                <w:bCs/>
              </w:rPr>
              <w:t>Class 2 (c/kL)</w:t>
            </w:r>
          </w:p>
        </w:tc>
        <w:tc>
          <w:tcPr>
            <w:tcW w:w="992" w:type="dxa"/>
            <w:tcBorders>
              <w:top w:val="single" w:sz="4" w:space="0" w:color="auto"/>
              <w:bottom w:val="single" w:sz="4" w:space="0" w:color="auto"/>
            </w:tcBorders>
          </w:tcPr>
          <w:p>
            <w:pPr>
              <w:pStyle w:val="yTableNAm"/>
              <w:jc w:val="center"/>
            </w:pPr>
            <w:r>
              <w:rPr>
                <w:b/>
                <w:bCs/>
              </w:rPr>
              <w:t>Class 3 (c/kL)</w:t>
            </w:r>
          </w:p>
        </w:tc>
        <w:tc>
          <w:tcPr>
            <w:tcW w:w="992" w:type="dxa"/>
            <w:gridSpan w:val="2"/>
            <w:tcBorders>
              <w:top w:val="single" w:sz="4" w:space="0" w:color="auto"/>
              <w:bottom w:val="single" w:sz="4" w:space="0" w:color="auto"/>
            </w:tcBorders>
          </w:tcPr>
          <w:p>
            <w:pPr>
              <w:pStyle w:val="yTableNAm"/>
              <w:jc w:val="center"/>
            </w:pPr>
            <w:r>
              <w:rPr>
                <w:b/>
                <w:bCs/>
              </w:rPr>
              <w:t>Class 4 (c/kL)</w:t>
            </w:r>
          </w:p>
        </w:tc>
        <w:tc>
          <w:tcPr>
            <w:tcW w:w="1074" w:type="dxa"/>
            <w:gridSpan w:val="2"/>
            <w:tcBorders>
              <w:top w:val="single" w:sz="4" w:space="0" w:color="auto"/>
              <w:bottom w:val="single" w:sz="4" w:space="0" w:color="auto"/>
            </w:tcBorders>
          </w:tcPr>
          <w:p>
            <w:pPr>
              <w:pStyle w:val="yTableNAm"/>
              <w:jc w:val="center"/>
            </w:pPr>
            <w:r>
              <w:rPr>
                <w:b/>
                <w:bCs/>
              </w:rPr>
              <w:t>Class 5 (c/kL)</w:t>
            </w:r>
          </w:p>
        </w:tc>
      </w:tr>
      <w:tr>
        <w:trPr>
          <w:cantSplit/>
        </w:trPr>
        <w:tc>
          <w:tcPr>
            <w:tcW w:w="1417" w:type="dxa"/>
            <w:gridSpan w:val="2"/>
          </w:tcPr>
          <w:p>
            <w:pPr>
              <w:pStyle w:val="yTableNAm"/>
            </w:pPr>
            <w:r>
              <w:t>Up to 150</w:t>
            </w:r>
          </w:p>
        </w:tc>
        <w:tc>
          <w:tcPr>
            <w:tcW w:w="992" w:type="dxa"/>
            <w:vAlign w:val="bottom"/>
          </w:tcPr>
          <w:p>
            <w:pPr>
              <w:pStyle w:val="yTableNAm"/>
              <w:jc w:val="center"/>
            </w:pPr>
            <w:r>
              <w:rPr>
                <w:szCs w:val="22"/>
              </w:rPr>
              <w:t>104.0</w:t>
            </w:r>
          </w:p>
        </w:tc>
        <w:tc>
          <w:tcPr>
            <w:tcW w:w="992" w:type="dxa"/>
            <w:vAlign w:val="bottom"/>
          </w:tcPr>
          <w:p>
            <w:pPr>
              <w:pStyle w:val="yTableNAm"/>
              <w:jc w:val="center"/>
            </w:pPr>
            <w:r>
              <w:rPr>
                <w:szCs w:val="22"/>
              </w:rPr>
              <w:t>133.6</w:t>
            </w:r>
          </w:p>
        </w:tc>
        <w:tc>
          <w:tcPr>
            <w:tcW w:w="992" w:type="dxa"/>
            <w:vAlign w:val="bottom"/>
          </w:tcPr>
          <w:p>
            <w:pPr>
              <w:pStyle w:val="yTableNAm"/>
              <w:jc w:val="center"/>
            </w:pPr>
            <w:r>
              <w:rPr>
                <w:szCs w:val="22"/>
              </w:rPr>
              <w:t>133.6</w:t>
            </w:r>
          </w:p>
        </w:tc>
        <w:tc>
          <w:tcPr>
            <w:tcW w:w="992" w:type="dxa"/>
            <w:gridSpan w:val="2"/>
            <w:vAlign w:val="bottom"/>
          </w:tcPr>
          <w:p>
            <w:pPr>
              <w:pStyle w:val="yTableNAm"/>
              <w:jc w:val="center"/>
            </w:pPr>
            <w:r>
              <w:rPr>
                <w:szCs w:val="22"/>
              </w:rPr>
              <w:t>133.6</w:t>
            </w:r>
          </w:p>
        </w:tc>
        <w:tc>
          <w:tcPr>
            <w:tcW w:w="1074" w:type="dxa"/>
            <w:gridSpan w:val="2"/>
            <w:vAlign w:val="bottom"/>
          </w:tcPr>
          <w:p>
            <w:pPr>
              <w:pStyle w:val="yTableNAm"/>
              <w:jc w:val="center"/>
            </w:pPr>
            <w:r>
              <w:rPr>
                <w:szCs w:val="22"/>
              </w:rPr>
              <w:t>133.6</w:t>
            </w:r>
          </w:p>
        </w:tc>
      </w:tr>
      <w:tr>
        <w:trPr>
          <w:cantSplit/>
        </w:trPr>
        <w:tc>
          <w:tcPr>
            <w:tcW w:w="1417" w:type="dxa"/>
            <w:gridSpan w:val="2"/>
          </w:tcPr>
          <w:p>
            <w:pPr>
              <w:pStyle w:val="yTableNAm"/>
            </w:pPr>
            <w:r>
              <w:t>Over 150 but not over 300</w:t>
            </w:r>
          </w:p>
        </w:tc>
        <w:tc>
          <w:tcPr>
            <w:tcW w:w="992" w:type="dxa"/>
            <w:vAlign w:val="bottom"/>
          </w:tcPr>
          <w:p>
            <w:pPr>
              <w:pStyle w:val="yTableNAm"/>
              <w:jc w:val="center"/>
            </w:pPr>
            <w:r>
              <w:rPr>
                <w:szCs w:val="22"/>
              </w:rPr>
              <w:t>135.5</w:t>
            </w:r>
          </w:p>
        </w:tc>
        <w:tc>
          <w:tcPr>
            <w:tcW w:w="992" w:type="dxa"/>
            <w:vAlign w:val="bottom"/>
          </w:tcPr>
          <w:p>
            <w:pPr>
              <w:pStyle w:val="yTableNAm"/>
              <w:jc w:val="center"/>
            </w:pPr>
            <w:r>
              <w:rPr>
                <w:szCs w:val="22"/>
              </w:rPr>
              <w:t>174.7</w:t>
            </w:r>
          </w:p>
        </w:tc>
        <w:tc>
          <w:tcPr>
            <w:tcW w:w="992" w:type="dxa"/>
            <w:vAlign w:val="bottom"/>
          </w:tcPr>
          <w:p>
            <w:pPr>
              <w:pStyle w:val="yTableNAm"/>
              <w:jc w:val="center"/>
            </w:pPr>
            <w:r>
              <w:rPr>
                <w:szCs w:val="22"/>
              </w:rPr>
              <w:t>174.7</w:t>
            </w:r>
          </w:p>
        </w:tc>
        <w:tc>
          <w:tcPr>
            <w:tcW w:w="992" w:type="dxa"/>
            <w:gridSpan w:val="2"/>
            <w:vAlign w:val="bottom"/>
          </w:tcPr>
          <w:p>
            <w:pPr>
              <w:pStyle w:val="yTableNAm"/>
              <w:jc w:val="center"/>
            </w:pPr>
            <w:r>
              <w:rPr>
                <w:szCs w:val="22"/>
              </w:rPr>
              <w:t>174.7</w:t>
            </w:r>
          </w:p>
        </w:tc>
        <w:tc>
          <w:tcPr>
            <w:tcW w:w="1074" w:type="dxa"/>
            <w:gridSpan w:val="2"/>
            <w:vAlign w:val="bottom"/>
          </w:tcPr>
          <w:p>
            <w:pPr>
              <w:pStyle w:val="yTableNAm"/>
              <w:jc w:val="center"/>
            </w:pPr>
            <w:r>
              <w:rPr>
                <w:szCs w:val="22"/>
              </w:rPr>
              <w:t>174.7</w:t>
            </w:r>
          </w:p>
        </w:tc>
      </w:tr>
      <w:tr>
        <w:trPr>
          <w:cantSplit/>
        </w:trPr>
        <w:tc>
          <w:tcPr>
            <w:tcW w:w="1417" w:type="dxa"/>
            <w:gridSpan w:val="2"/>
          </w:tcPr>
          <w:p>
            <w:pPr>
              <w:pStyle w:val="yTableNAm"/>
            </w:pPr>
            <w:r>
              <w:t>Over 300 but not over 350</w:t>
            </w:r>
          </w:p>
        </w:tc>
        <w:tc>
          <w:tcPr>
            <w:tcW w:w="992" w:type="dxa"/>
            <w:vAlign w:val="bottom"/>
          </w:tcPr>
          <w:p>
            <w:pPr>
              <w:pStyle w:val="yTableNAm"/>
              <w:jc w:val="center"/>
            </w:pPr>
            <w:r>
              <w:rPr>
                <w:szCs w:val="22"/>
              </w:rPr>
              <w:t>147.6</w:t>
            </w:r>
          </w:p>
        </w:tc>
        <w:tc>
          <w:tcPr>
            <w:tcW w:w="992" w:type="dxa"/>
            <w:vAlign w:val="bottom"/>
          </w:tcPr>
          <w:p>
            <w:pPr>
              <w:pStyle w:val="yTableNAm"/>
              <w:jc w:val="center"/>
            </w:pPr>
            <w:r>
              <w:rPr>
                <w:szCs w:val="22"/>
              </w:rPr>
              <w:t>204.2</w:t>
            </w:r>
          </w:p>
        </w:tc>
        <w:tc>
          <w:tcPr>
            <w:tcW w:w="992" w:type="dxa"/>
            <w:vAlign w:val="bottom"/>
          </w:tcPr>
          <w:p>
            <w:pPr>
              <w:pStyle w:val="yTableNAm"/>
              <w:jc w:val="center"/>
            </w:pPr>
            <w:r>
              <w:rPr>
                <w:szCs w:val="22"/>
              </w:rPr>
              <w:t>260.2</w:t>
            </w:r>
          </w:p>
        </w:tc>
        <w:tc>
          <w:tcPr>
            <w:tcW w:w="992" w:type="dxa"/>
            <w:gridSpan w:val="2"/>
            <w:vAlign w:val="bottom"/>
          </w:tcPr>
          <w:p>
            <w:pPr>
              <w:pStyle w:val="yTableNAm"/>
              <w:jc w:val="center"/>
            </w:pPr>
            <w:r>
              <w:rPr>
                <w:szCs w:val="22"/>
              </w:rPr>
              <w:t>306.1</w:t>
            </w:r>
          </w:p>
        </w:tc>
        <w:tc>
          <w:tcPr>
            <w:tcW w:w="1074" w:type="dxa"/>
            <w:gridSpan w:val="2"/>
            <w:vAlign w:val="bottom"/>
          </w:tcPr>
          <w:p>
            <w:pPr>
              <w:pStyle w:val="yTableNAm"/>
              <w:jc w:val="center"/>
            </w:pPr>
            <w:r>
              <w:rPr>
                <w:szCs w:val="22"/>
              </w:rPr>
              <w:t>360.0</w:t>
            </w:r>
          </w:p>
        </w:tc>
      </w:tr>
      <w:tr>
        <w:trPr>
          <w:cantSplit/>
        </w:trPr>
        <w:tc>
          <w:tcPr>
            <w:tcW w:w="1417" w:type="dxa"/>
            <w:gridSpan w:val="2"/>
          </w:tcPr>
          <w:p>
            <w:pPr>
              <w:pStyle w:val="yTableNAm"/>
            </w:pPr>
            <w:r>
              <w:t>Over 350 but not over 450</w:t>
            </w:r>
          </w:p>
        </w:tc>
        <w:tc>
          <w:tcPr>
            <w:tcW w:w="992" w:type="dxa"/>
            <w:vAlign w:val="bottom"/>
          </w:tcPr>
          <w:p>
            <w:pPr>
              <w:pStyle w:val="yTableNAm"/>
              <w:jc w:val="center"/>
            </w:pPr>
            <w:r>
              <w:rPr>
                <w:szCs w:val="22"/>
              </w:rPr>
              <w:t>147.6</w:t>
            </w:r>
          </w:p>
        </w:tc>
        <w:tc>
          <w:tcPr>
            <w:tcW w:w="992" w:type="dxa"/>
            <w:vAlign w:val="bottom"/>
          </w:tcPr>
          <w:p>
            <w:pPr>
              <w:pStyle w:val="yTableNAm"/>
              <w:jc w:val="center"/>
            </w:pPr>
            <w:r>
              <w:rPr>
                <w:szCs w:val="22"/>
              </w:rPr>
              <w:t>204.2</w:t>
            </w:r>
          </w:p>
        </w:tc>
        <w:tc>
          <w:tcPr>
            <w:tcW w:w="992" w:type="dxa"/>
            <w:vAlign w:val="bottom"/>
          </w:tcPr>
          <w:p>
            <w:pPr>
              <w:pStyle w:val="yTableNAm"/>
              <w:jc w:val="center"/>
            </w:pPr>
            <w:r>
              <w:rPr>
                <w:szCs w:val="22"/>
              </w:rPr>
              <w:t>260.2</w:t>
            </w:r>
          </w:p>
        </w:tc>
        <w:tc>
          <w:tcPr>
            <w:tcW w:w="992" w:type="dxa"/>
            <w:gridSpan w:val="2"/>
            <w:vAlign w:val="bottom"/>
          </w:tcPr>
          <w:p>
            <w:pPr>
              <w:pStyle w:val="yTableNAm"/>
              <w:jc w:val="center"/>
            </w:pPr>
            <w:r>
              <w:rPr>
                <w:szCs w:val="22"/>
              </w:rPr>
              <w:t>306.1</w:t>
            </w:r>
          </w:p>
        </w:tc>
        <w:tc>
          <w:tcPr>
            <w:tcW w:w="1074" w:type="dxa"/>
            <w:gridSpan w:val="2"/>
            <w:vAlign w:val="bottom"/>
          </w:tcPr>
          <w:p>
            <w:pPr>
              <w:pStyle w:val="yTableNAm"/>
              <w:jc w:val="center"/>
            </w:pPr>
            <w:r>
              <w:rPr>
                <w:szCs w:val="22"/>
              </w:rPr>
              <w:t>360.0</w:t>
            </w:r>
          </w:p>
        </w:tc>
      </w:tr>
      <w:tr>
        <w:trPr>
          <w:cantSplit/>
        </w:trPr>
        <w:tc>
          <w:tcPr>
            <w:tcW w:w="1417" w:type="dxa"/>
            <w:gridSpan w:val="2"/>
          </w:tcPr>
          <w:p>
            <w:pPr>
              <w:pStyle w:val="yTableNAm"/>
            </w:pPr>
            <w:r>
              <w:t>Over 450 but not over 550</w:t>
            </w:r>
          </w:p>
        </w:tc>
        <w:tc>
          <w:tcPr>
            <w:tcW w:w="992" w:type="dxa"/>
            <w:vAlign w:val="bottom"/>
          </w:tcPr>
          <w:p>
            <w:pPr>
              <w:pStyle w:val="yTableNAm"/>
              <w:jc w:val="center"/>
            </w:pPr>
            <w:r>
              <w:rPr>
                <w:szCs w:val="22"/>
              </w:rPr>
              <w:t>147.6</w:t>
            </w:r>
          </w:p>
        </w:tc>
        <w:tc>
          <w:tcPr>
            <w:tcW w:w="992" w:type="dxa"/>
            <w:vAlign w:val="bottom"/>
          </w:tcPr>
          <w:p>
            <w:pPr>
              <w:pStyle w:val="yTableNAm"/>
              <w:jc w:val="center"/>
            </w:pPr>
            <w:r>
              <w:rPr>
                <w:szCs w:val="22"/>
              </w:rPr>
              <w:t>204.2</w:t>
            </w:r>
          </w:p>
        </w:tc>
        <w:tc>
          <w:tcPr>
            <w:tcW w:w="992" w:type="dxa"/>
            <w:vAlign w:val="bottom"/>
          </w:tcPr>
          <w:p>
            <w:pPr>
              <w:pStyle w:val="yTableNAm"/>
              <w:jc w:val="center"/>
            </w:pPr>
            <w:r>
              <w:rPr>
                <w:szCs w:val="22"/>
              </w:rPr>
              <w:t>260.2</w:t>
            </w:r>
          </w:p>
        </w:tc>
        <w:tc>
          <w:tcPr>
            <w:tcW w:w="992" w:type="dxa"/>
            <w:gridSpan w:val="2"/>
            <w:vAlign w:val="bottom"/>
          </w:tcPr>
          <w:p>
            <w:pPr>
              <w:pStyle w:val="yTableNAm"/>
              <w:jc w:val="center"/>
            </w:pPr>
            <w:r>
              <w:rPr>
                <w:szCs w:val="22"/>
              </w:rPr>
              <w:t>306.1</w:t>
            </w:r>
          </w:p>
        </w:tc>
        <w:tc>
          <w:tcPr>
            <w:tcW w:w="1074" w:type="dxa"/>
            <w:gridSpan w:val="2"/>
            <w:vAlign w:val="bottom"/>
          </w:tcPr>
          <w:p>
            <w:pPr>
              <w:pStyle w:val="yTableNAm"/>
              <w:jc w:val="center"/>
            </w:pPr>
            <w:r>
              <w:rPr>
                <w:szCs w:val="22"/>
              </w:rPr>
              <w:t>360.0</w:t>
            </w:r>
          </w:p>
        </w:tc>
      </w:tr>
      <w:tr>
        <w:trPr>
          <w:cantSplit/>
        </w:trPr>
        <w:tc>
          <w:tcPr>
            <w:tcW w:w="1417" w:type="dxa"/>
            <w:gridSpan w:val="2"/>
          </w:tcPr>
          <w:p>
            <w:pPr>
              <w:pStyle w:val="yTableNAm"/>
            </w:pPr>
            <w:r>
              <w:t>Over 550 but not over 750</w:t>
            </w:r>
          </w:p>
        </w:tc>
        <w:tc>
          <w:tcPr>
            <w:tcW w:w="992" w:type="dxa"/>
            <w:vAlign w:val="bottom"/>
          </w:tcPr>
          <w:p>
            <w:pPr>
              <w:pStyle w:val="yTableNAm"/>
              <w:jc w:val="center"/>
            </w:pPr>
            <w:r>
              <w:rPr>
                <w:szCs w:val="22"/>
              </w:rPr>
              <w:t>173.4</w:t>
            </w:r>
          </w:p>
        </w:tc>
        <w:tc>
          <w:tcPr>
            <w:tcW w:w="992" w:type="dxa"/>
            <w:vAlign w:val="bottom"/>
          </w:tcPr>
          <w:p>
            <w:pPr>
              <w:pStyle w:val="yTableNAm"/>
              <w:jc w:val="center"/>
            </w:pPr>
            <w:r>
              <w:rPr>
                <w:szCs w:val="22"/>
              </w:rPr>
              <w:t>239.8</w:t>
            </w:r>
          </w:p>
        </w:tc>
        <w:tc>
          <w:tcPr>
            <w:tcW w:w="992" w:type="dxa"/>
            <w:vAlign w:val="bottom"/>
          </w:tcPr>
          <w:p>
            <w:pPr>
              <w:pStyle w:val="yTableNAm"/>
              <w:jc w:val="center"/>
            </w:pPr>
            <w:r>
              <w:rPr>
                <w:szCs w:val="22"/>
              </w:rPr>
              <w:t>331.7</w:t>
            </w:r>
          </w:p>
        </w:tc>
        <w:tc>
          <w:tcPr>
            <w:tcW w:w="992" w:type="dxa"/>
            <w:gridSpan w:val="2"/>
            <w:vAlign w:val="bottom"/>
          </w:tcPr>
          <w:p>
            <w:pPr>
              <w:pStyle w:val="yTableNAm"/>
              <w:jc w:val="center"/>
            </w:pPr>
            <w:r>
              <w:rPr>
                <w:szCs w:val="22"/>
              </w:rPr>
              <w:t>458.9</w:t>
            </w:r>
          </w:p>
        </w:tc>
        <w:tc>
          <w:tcPr>
            <w:tcW w:w="1074" w:type="dxa"/>
            <w:gridSpan w:val="2"/>
            <w:vAlign w:val="bottom"/>
          </w:tcPr>
          <w:p>
            <w:pPr>
              <w:pStyle w:val="yTableNAm"/>
              <w:jc w:val="center"/>
            </w:pPr>
            <w:r>
              <w:rPr>
                <w:szCs w:val="22"/>
              </w:rPr>
              <w:t>634.7</w:t>
            </w:r>
          </w:p>
        </w:tc>
      </w:tr>
      <w:tr>
        <w:trPr>
          <w:cantSplit/>
        </w:trPr>
        <w:tc>
          <w:tcPr>
            <w:tcW w:w="1417" w:type="dxa"/>
            <w:gridSpan w:val="2"/>
          </w:tcPr>
          <w:p>
            <w:pPr>
              <w:pStyle w:val="yTableNAm"/>
            </w:pPr>
            <w:r>
              <w:t>Over 750 but not over 950</w:t>
            </w:r>
          </w:p>
        </w:tc>
        <w:tc>
          <w:tcPr>
            <w:tcW w:w="992" w:type="dxa"/>
            <w:vAlign w:val="bottom"/>
          </w:tcPr>
          <w:p>
            <w:pPr>
              <w:pStyle w:val="yTableNAm"/>
              <w:jc w:val="center"/>
            </w:pPr>
            <w:r>
              <w:rPr>
                <w:szCs w:val="22"/>
              </w:rPr>
              <w:t>173.4</w:t>
            </w:r>
          </w:p>
        </w:tc>
        <w:tc>
          <w:tcPr>
            <w:tcW w:w="992" w:type="dxa"/>
            <w:vAlign w:val="bottom"/>
          </w:tcPr>
          <w:p>
            <w:pPr>
              <w:pStyle w:val="yTableNAm"/>
              <w:jc w:val="center"/>
            </w:pPr>
            <w:r>
              <w:rPr>
                <w:szCs w:val="22"/>
              </w:rPr>
              <w:t>239.8</w:t>
            </w:r>
          </w:p>
        </w:tc>
        <w:tc>
          <w:tcPr>
            <w:tcW w:w="992" w:type="dxa"/>
            <w:vAlign w:val="bottom"/>
          </w:tcPr>
          <w:p>
            <w:pPr>
              <w:pStyle w:val="yTableNAm"/>
              <w:jc w:val="center"/>
            </w:pPr>
            <w:r>
              <w:rPr>
                <w:szCs w:val="22"/>
              </w:rPr>
              <w:t>331.7</w:t>
            </w:r>
          </w:p>
        </w:tc>
        <w:tc>
          <w:tcPr>
            <w:tcW w:w="992" w:type="dxa"/>
            <w:gridSpan w:val="2"/>
            <w:vAlign w:val="bottom"/>
          </w:tcPr>
          <w:p>
            <w:pPr>
              <w:pStyle w:val="yTableNAm"/>
              <w:jc w:val="center"/>
            </w:pPr>
            <w:r>
              <w:rPr>
                <w:szCs w:val="22"/>
              </w:rPr>
              <w:t>458.9</w:t>
            </w:r>
          </w:p>
        </w:tc>
        <w:tc>
          <w:tcPr>
            <w:tcW w:w="1074" w:type="dxa"/>
            <w:gridSpan w:val="2"/>
            <w:vAlign w:val="bottom"/>
          </w:tcPr>
          <w:p>
            <w:pPr>
              <w:pStyle w:val="yTableNAm"/>
              <w:jc w:val="center"/>
            </w:pPr>
            <w:r>
              <w:rPr>
                <w:szCs w:val="22"/>
              </w:rPr>
              <w:t>634.7</w:t>
            </w:r>
          </w:p>
        </w:tc>
      </w:tr>
      <w:tr>
        <w:trPr>
          <w:cantSplit/>
        </w:trPr>
        <w:tc>
          <w:tcPr>
            <w:tcW w:w="1417" w:type="dxa"/>
            <w:gridSpan w:val="2"/>
          </w:tcPr>
          <w:p>
            <w:pPr>
              <w:pStyle w:val="yTableNAm"/>
            </w:pPr>
            <w:r>
              <w:t>Over 950 but not over 1 150</w:t>
            </w:r>
          </w:p>
        </w:tc>
        <w:tc>
          <w:tcPr>
            <w:tcW w:w="992" w:type="dxa"/>
            <w:vAlign w:val="bottom"/>
          </w:tcPr>
          <w:p>
            <w:pPr>
              <w:pStyle w:val="yTableNAm"/>
              <w:jc w:val="center"/>
            </w:pPr>
            <w:r>
              <w:rPr>
                <w:szCs w:val="22"/>
              </w:rPr>
              <w:t>173.4</w:t>
            </w:r>
          </w:p>
        </w:tc>
        <w:tc>
          <w:tcPr>
            <w:tcW w:w="992" w:type="dxa"/>
            <w:vAlign w:val="bottom"/>
          </w:tcPr>
          <w:p>
            <w:pPr>
              <w:pStyle w:val="yTableNAm"/>
              <w:jc w:val="center"/>
            </w:pPr>
            <w:r>
              <w:rPr>
                <w:szCs w:val="22"/>
              </w:rPr>
              <w:t>239.8</w:t>
            </w:r>
          </w:p>
        </w:tc>
        <w:tc>
          <w:tcPr>
            <w:tcW w:w="992" w:type="dxa"/>
            <w:vAlign w:val="bottom"/>
          </w:tcPr>
          <w:p>
            <w:pPr>
              <w:pStyle w:val="yTableNAm"/>
              <w:jc w:val="center"/>
            </w:pPr>
            <w:r>
              <w:rPr>
                <w:szCs w:val="22"/>
              </w:rPr>
              <w:t>331.7</w:t>
            </w:r>
          </w:p>
        </w:tc>
        <w:tc>
          <w:tcPr>
            <w:tcW w:w="992" w:type="dxa"/>
            <w:gridSpan w:val="2"/>
            <w:vAlign w:val="bottom"/>
          </w:tcPr>
          <w:p>
            <w:pPr>
              <w:pStyle w:val="yTableNAm"/>
              <w:jc w:val="center"/>
            </w:pPr>
            <w:r>
              <w:rPr>
                <w:szCs w:val="22"/>
              </w:rPr>
              <w:t>458.9</w:t>
            </w:r>
          </w:p>
        </w:tc>
        <w:tc>
          <w:tcPr>
            <w:tcW w:w="1074" w:type="dxa"/>
            <w:gridSpan w:val="2"/>
            <w:vAlign w:val="bottom"/>
          </w:tcPr>
          <w:p>
            <w:pPr>
              <w:pStyle w:val="yTableNAm"/>
              <w:jc w:val="center"/>
            </w:pPr>
            <w:r>
              <w:rPr>
                <w:szCs w:val="22"/>
              </w:rPr>
              <w:t>634.7</w:t>
            </w:r>
          </w:p>
        </w:tc>
      </w:tr>
      <w:tr>
        <w:trPr>
          <w:cantSplit/>
        </w:trPr>
        <w:tc>
          <w:tcPr>
            <w:tcW w:w="1417" w:type="dxa"/>
            <w:gridSpan w:val="2"/>
          </w:tcPr>
          <w:p>
            <w:pPr>
              <w:pStyle w:val="yTableNAm"/>
            </w:pPr>
            <w:r>
              <w:t>Over 1 150 but not over 1 550</w:t>
            </w:r>
          </w:p>
        </w:tc>
        <w:tc>
          <w:tcPr>
            <w:tcW w:w="992" w:type="dxa"/>
            <w:vAlign w:val="bottom"/>
          </w:tcPr>
          <w:p>
            <w:pPr>
              <w:pStyle w:val="yTableNAm"/>
              <w:jc w:val="center"/>
            </w:pPr>
            <w:r>
              <w:rPr>
                <w:szCs w:val="22"/>
              </w:rPr>
              <w:t>173.4</w:t>
            </w:r>
          </w:p>
        </w:tc>
        <w:tc>
          <w:tcPr>
            <w:tcW w:w="992" w:type="dxa"/>
            <w:vAlign w:val="bottom"/>
          </w:tcPr>
          <w:p>
            <w:pPr>
              <w:pStyle w:val="yTableNAm"/>
              <w:jc w:val="center"/>
            </w:pPr>
            <w:r>
              <w:rPr>
                <w:szCs w:val="22"/>
              </w:rPr>
              <w:t>239.8</w:t>
            </w:r>
          </w:p>
        </w:tc>
        <w:tc>
          <w:tcPr>
            <w:tcW w:w="992" w:type="dxa"/>
            <w:vAlign w:val="bottom"/>
          </w:tcPr>
          <w:p>
            <w:pPr>
              <w:pStyle w:val="yTableNAm"/>
              <w:jc w:val="center"/>
            </w:pPr>
            <w:r>
              <w:rPr>
                <w:szCs w:val="22"/>
              </w:rPr>
              <w:t>331.7</w:t>
            </w:r>
          </w:p>
        </w:tc>
        <w:tc>
          <w:tcPr>
            <w:tcW w:w="992" w:type="dxa"/>
            <w:gridSpan w:val="2"/>
            <w:vAlign w:val="bottom"/>
          </w:tcPr>
          <w:p>
            <w:pPr>
              <w:pStyle w:val="yTableNAm"/>
              <w:jc w:val="center"/>
            </w:pPr>
            <w:r>
              <w:rPr>
                <w:szCs w:val="22"/>
              </w:rPr>
              <w:t>458.9</w:t>
            </w:r>
          </w:p>
        </w:tc>
        <w:tc>
          <w:tcPr>
            <w:tcW w:w="1074" w:type="dxa"/>
            <w:gridSpan w:val="2"/>
            <w:vAlign w:val="bottom"/>
          </w:tcPr>
          <w:p>
            <w:pPr>
              <w:pStyle w:val="yTableNAm"/>
              <w:jc w:val="center"/>
            </w:pPr>
            <w:r>
              <w:rPr>
                <w:szCs w:val="22"/>
              </w:rPr>
              <w:t>634.7</w:t>
            </w:r>
          </w:p>
        </w:tc>
      </w:tr>
      <w:tr>
        <w:trPr>
          <w:cantSplit/>
        </w:trPr>
        <w:tc>
          <w:tcPr>
            <w:tcW w:w="1417" w:type="dxa"/>
            <w:gridSpan w:val="2"/>
          </w:tcPr>
          <w:p>
            <w:pPr>
              <w:pStyle w:val="yTableNAm"/>
            </w:pPr>
            <w:r>
              <w:t>Over 1 550 but not over 1 950</w:t>
            </w:r>
          </w:p>
        </w:tc>
        <w:tc>
          <w:tcPr>
            <w:tcW w:w="992" w:type="dxa"/>
            <w:vAlign w:val="bottom"/>
          </w:tcPr>
          <w:p>
            <w:pPr>
              <w:pStyle w:val="yTableNAm"/>
              <w:jc w:val="center"/>
            </w:pPr>
            <w:r>
              <w:rPr>
                <w:szCs w:val="22"/>
              </w:rPr>
              <w:t>173.4</w:t>
            </w:r>
          </w:p>
        </w:tc>
        <w:tc>
          <w:tcPr>
            <w:tcW w:w="992" w:type="dxa"/>
            <w:vAlign w:val="bottom"/>
          </w:tcPr>
          <w:p>
            <w:pPr>
              <w:pStyle w:val="yTableNAm"/>
              <w:jc w:val="center"/>
            </w:pPr>
            <w:r>
              <w:rPr>
                <w:szCs w:val="22"/>
              </w:rPr>
              <w:t>239.8</w:t>
            </w:r>
          </w:p>
        </w:tc>
        <w:tc>
          <w:tcPr>
            <w:tcW w:w="992" w:type="dxa"/>
            <w:vAlign w:val="bottom"/>
          </w:tcPr>
          <w:p>
            <w:pPr>
              <w:pStyle w:val="yTableNAm"/>
              <w:jc w:val="center"/>
            </w:pPr>
            <w:r>
              <w:rPr>
                <w:szCs w:val="22"/>
              </w:rPr>
              <w:t>331.7</w:t>
            </w:r>
          </w:p>
        </w:tc>
        <w:tc>
          <w:tcPr>
            <w:tcW w:w="992" w:type="dxa"/>
            <w:gridSpan w:val="2"/>
            <w:vAlign w:val="bottom"/>
          </w:tcPr>
          <w:p>
            <w:pPr>
              <w:pStyle w:val="yTableNAm"/>
              <w:jc w:val="center"/>
            </w:pPr>
            <w:r>
              <w:rPr>
                <w:szCs w:val="22"/>
              </w:rPr>
              <w:t>458.9</w:t>
            </w:r>
          </w:p>
        </w:tc>
        <w:tc>
          <w:tcPr>
            <w:tcW w:w="1074" w:type="dxa"/>
            <w:gridSpan w:val="2"/>
            <w:vAlign w:val="bottom"/>
          </w:tcPr>
          <w:p>
            <w:pPr>
              <w:pStyle w:val="yTableNAm"/>
              <w:jc w:val="center"/>
            </w:pPr>
            <w:r>
              <w:rPr>
                <w:szCs w:val="22"/>
              </w:rPr>
              <w:t>634.7</w:t>
            </w:r>
          </w:p>
        </w:tc>
      </w:tr>
      <w:tr>
        <w:trPr>
          <w:cantSplit/>
        </w:trPr>
        <w:tc>
          <w:tcPr>
            <w:tcW w:w="1417" w:type="dxa"/>
            <w:gridSpan w:val="2"/>
            <w:tcBorders>
              <w:bottom w:val="single" w:sz="4" w:space="0" w:color="auto"/>
            </w:tcBorders>
          </w:tcPr>
          <w:p>
            <w:pPr>
              <w:pStyle w:val="yTableNAm"/>
            </w:pPr>
            <w:r>
              <w:t>Over 1 950</w:t>
            </w:r>
          </w:p>
        </w:tc>
        <w:tc>
          <w:tcPr>
            <w:tcW w:w="992" w:type="dxa"/>
            <w:tcBorders>
              <w:bottom w:val="single" w:sz="4" w:space="0" w:color="auto"/>
            </w:tcBorders>
            <w:vAlign w:val="bottom"/>
          </w:tcPr>
          <w:p>
            <w:pPr>
              <w:pStyle w:val="yTableNAm"/>
              <w:jc w:val="center"/>
            </w:pPr>
            <w:r>
              <w:rPr>
                <w:szCs w:val="22"/>
              </w:rPr>
              <w:t>173.4</w:t>
            </w:r>
          </w:p>
        </w:tc>
        <w:tc>
          <w:tcPr>
            <w:tcW w:w="992" w:type="dxa"/>
            <w:tcBorders>
              <w:bottom w:val="single" w:sz="4" w:space="0" w:color="auto"/>
            </w:tcBorders>
            <w:vAlign w:val="bottom"/>
          </w:tcPr>
          <w:p>
            <w:pPr>
              <w:pStyle w:val="yTableNAm"/>
              <w:jc w:val="center"/>
            </w:pPr>
            <w:r>
              <w:rPr>
                <w:szCs w:val="22"/>
              </w:rPr>
              <w:t>239.8</w:t>
            </w:r>
          </w:p>
        </w:tc>
        <w:tc>
          <w:tcPr>
            <w:tcW w:w="992" w:type="dxa"/>
            <w:tcBorders>
              <w:bottom w:val="single" w:sz="4" w:space="0" w:color="auto"/>
            </w:tcBorders>
            <w:vAlign w:val="bottom"/>
          </w:tcPr>
          <w:p>
            <w:pPr>
              <w:pStyle w:val="yTableNAm"/>
              <w:jc w:val="center"/>
            </w:pPr>
            <w:r>
              <w:rPr>
                <w:szCs w:val="22"/>
              </w:rPr>
              <w:t>331.7</w:t>
            </w:r>
          </w:p>
        </w:tc>
        <w:tc>
          <w:tcPr>
            <w:tcW w:w="992" w:type="dxa"/>
            <w:gridSpan w:val="2"/>
            <w:tcBorders>
              <w:bottom w:val="single" w:sz="4" w:space="0" w:color="auto"/>
            </w:tcBorders>
            <w:vAlign w:val="bottom"/>
          </w:tcPr>
          <w:p>
            <w:pPr>
              <w:pStyle w:val="yTableNAm"/>
              <w:jc w:val="center"/>
            </w:pPr>
            <w:r>
              <w:rPr>
                <w:szCs w:val="22"/>
              </w:rPr>
              <w:t>458.9</w:t>
            </w:r>
          </w:p>
        </w:tc>
        <w:tc>
          <w:tcPr>
            <w:tcW w:w="1074" w:type="dxa"/>
            <w:gridSpan w:val="2"/>
            <w:tcBorders>
              <w:bottom w:val="single" w:sz="4" w:space="0" w:color="auto"/>
            </w:tcBorders>
            <w:vAlign w:val="bottom"/>
          </w:tcPr>
          <w:p>
            <w:pPr>
              <w:pStyle w:val="yTableNAm"/>
              <w:jc w:val="center"/>
            </w:pPr>
            <w:r>
              <w:rPr>
                <w:szCs w:val="22"/>
              </w:rPr>
              <w:t>634.7</w:t>
            </w:r>
          </w:p>
        </w:tc>
      </w:tr>
      <w:tr>
        <w:tblPrEx>
          <w:tblCellMar>
            <w:left w:w="108" w:type="dxa"/>
            <w:right w:w="108" w:type="dxa"/>
          </w:tblCellMar>
        </w:tblPrEx>
        <w:trPr>
          <w:gridAfter w:val="1"/>
          <w:wAfter w:w="80" w:type="dxa"/>
          <w:cantSplit/>
        </w:trPr>
        <w:tc>
          <w:tcPr>
            <w:tcW w:w="850" w:type="dxa"/>
          </w:tcPr>
          <w:p>
            <w:pPr>
              <w:pStyle w:val="zyTableNAm"/>
              <w:rPr>
                <w:rStyle w:val="CharSClsNo"/>
              </w:rPr>
            </w:pPr>
          </w:p>
        </w:tc>
        <w:tc>
          <w:tcPr>
            <w:tcW w:w="4237" w:type="dxa"/>
            <w:gridSpan w:val="5"/>
          </w:tcPr>
          <w:p>
            <w:pPr>
              <w:pStyle w:val="yTableNAm"/>
            </w:pPr>
            <w:r>
              <w:t>except that if the property is —</w:t>
            </w:r>
          </w:p>
        </w:tc>
        <w:tc>
          <w:tcPr>
            <w:tcW w:w="1292" w:type="dxa"/>
            <w:gridSpan w:val="2"/>
          </w:tcPr>
          <w:p>
            <w:pPr>
              <w:pStyle w:val="yTableNAm"/>
              <w:jc w:val="center"/>
            </w:pPr>
          </w:p>
        </w:tc>
      </w:tr>
      <w:tr>
        <w:tblPrEx>
          <w:tblCellMar>
            <w:left w:w="108" w:type="dxa"/>
            <w:right w:w="108" w:type="dxa"/>
          </w:tblCellMar>
        </w:tblPrEx>
        <w:trPr>
          <w:gridAfter w:val="1"/>
          <w:wAfter w:w="80" w:type="dxa"/>
          <w:cantSplit/>
        </w:trPr>
        <w:tc>
          <w:tcPr>
            <w:tcW w:w="850" w:type="dxa"/>
          </w:tcPr>
          <w:p>
            <w:pPr>
              <w:pStyle w:val="zyTableNAm"/>
              <w:rPr>
                <w:rStyle w:val="CharSClsNo"/>
                <w:b/>
                <w:bCs/>
              </w:rPr>
            </w:pPr>
          </w:p>
        </w:tc>
        <w:tc>
          <w:tcPr>
            <w:tcW w:w="4237" w:type="dxa"/>
            <w:gridSpan w:val="5"/>
          </w:tcPr>
          <w:p>
            <w:pPr>
              <w:pStyle w:val="yTableNAm"/>
              <w:tabs>
                <w:tab w:val="clear" w:pos="567"/>
                <w:tab w:val="left" w:pos="296"/>
                <w:tab w:val="left" w:pos="776"/>
                <w:tab w:val="left" w:leader="dot" w:pos="4876"/>
              </w:tabs>
              <w:ind w:left="776" w:hanging="776"/>
            </w:pPr>
            <w:r>
              <w:rPr>
                <w:snapToGrid w:val="0"/>
              </w:rPr>
              <w:tab/>
              <w:t>(a)</w:t>
            </w:r>
            <w:r>
              <w:rPr>
                <w:snapToGrid w:val="0"/>
              </w:rPr>
              <w:tab/>
              <w:t>in the town of Cue, Laverton, Leonora, Meekatharra, Menzies, Mt Magnet, Mullewa, Sandstone, Wiluna or Yalgoo; or</w:t>
            </w:r>
          </w:p>
        </w:tc>
        <w:tc>
          <w:tcPr>
            <w:tcW w:w="1292" w:type="dxa"/>
            <w:gridSpan w:val="2"/>
          </w:tcPr>
          <w:p>
            <w:pPr>
              <w:pStyle w:val="yTableNAm"/>
              <w:jc w:val="center"/>
            </w:pPr>
          </w:p>
        </w:tc>
      </w:tr>
      <w:tr>
        <w:tblPrEx>
          <w:tblCellMar>
            <w:left w:w="108" w:type="dxa"/>
            <w:right w:w="108" w:type="dxa"/>
          </w:tblCellMar>
        </w:tblPrEx>
        <w:trPr>
          <w:gridAfter w:val="1"/>
          <w:wAfter w:w="80" w:type="dxa"/>
          <w:cantSplit/>
        </w:trPr>
        <w:tc>
          <w:tcPr>
            <w:tcW w:w="850" w:type="dxa"/>
          </w:tcPr>
          <w:p>
            <w:pPr>
              <w:pStyle w:val="zyTableNAm"/>
              <w:rPr>
                <w:rStyle w:val="CharSClsNo"/>
              </w:rPr>
            </w:pPr>
          </w:p>
        </w:tc>
        <w:tc>
          <w:tcPr>
            <w:tcW w:w="4237" w:type="dxa"/>
            <w:gridSpan w:val="5"/>
          </w:tcPr>
          <w:p>
            <w:pPr>
              <w:pStyle w:val="yTableNAm"/>
              <w:tabs>
                <w:tab w:val="clear" w:pos="567"/>
                <w:tab w:val="left" w:pos="296"/>
                <w:tab w:val="left" w:pos="776"/>
                <w:tab w:val="left" w:leader="dot" w:pos="4876"/>
              </w:tabs>
              <w:ind w:left="776" w:hanging="776"/>
            </w:pPr>
            <w:r>
              <w:rPr>
                <w:snapToGrid w:val="0"/>
              </w:rPr>
              <w:tab/>
              <w:t>(b)</w:t>
            </w:r>
            <w:r>
              <w:rPr>
                <w:snapToGrid w:val="0"/>
              </w:rPr>
              <w:tab/>
              <w:t>north of 26ºS Latitude,</w:t>
            </w:r>
          </w:p>
        </w:tc>
        <w:tc>
          <w:tcPr>
            <w:tcW w:w="1292" w:type="dxa"/>
            <w:gridSpan w:val="2"/>
          </w:tcPr>
          <w:p>
            <w:pPr>
              <w:pStyle w:val="yTableNAm"/>
              <w:jc w:val="center"/>
            </w:pPr>
          </w:p>
        </w:tc>
      </w:tr>
      <w:tr>
        <w:tblPrEx>
          <w:tblCellMar>
            <w:left w:w="108" w:type="dxa"/>
            <w:right w:w="108" w:type="dxa"/>
          </w:tblCellMar>
        </w:tblPrEx>
        <w:trPr>
          <w:gridAfter w:val="1"/>
          <w:wAfter w:w="80" w:type="dxa"/>
          <w:cantSplit/>
        </w:trPr>
        <w:tc>
          <w:tcPr>
            <w:tcW w:w="850" w:type="dxa"/>
          </w:tcPr>
          <w:p>
            <w:pPr>
              <w:pStyle w:val="zyTableNAm"/>
              <w:rPr>
                <w:rStyle w:val="CharSClsNo"/>
              </w:rPr>
            </w:pPr>
          </w:p>
        </w:tc>
        <w:tc>
          <w:tcPr>
            <w:tcW w:w="4237" w:type="dxa"/>
            <w:gridSpan w:val="5"/>
          </w:tcPr>
          <w:p>
            <w:pPr>
              <w:pStyle w:val="yTableNAm"/>
              <w:rPr>
                <w:snapToGrid w:val="0"/>
              </w:rPr>
            </w:pPr>
            <w:r>
              <w:t>the charge for each kilolitre of water is —</w:t>
            </w:r>
          </w:p>
        </w:tc>
        <w:tc>
          <w:tcPr>
            <w:tcW w:w="1292" w:type="dxa"/>
            <w:gridSpan w:val="2"/>
          </w:tcPr>
          <w:p>
            <w:pPr>
              <w:pStyle w:val="yTableNAm"/>
              <w:jc w:val="center"/>
            </w:pPr>
          </w:p>
        </w:tc>
      </w:tr>
    </w:tbl>
    <w:p/>
    <w:tbl>
      <w:tblPr>
        <w:tblW w:w="0" w:type="auto"/>
        <w:tblInd w:w="454" w:type="dxa"/>
        <w:tblCellMar>
          <w:left w:w="28" w:type="dxa"/>
          <w:right w:w="28" w:type="dxa"/>
        </w:tblCellMar>
        <w:tblLook w:val="0000" w:firstRow="0" w:lastRow="0" w:firstColumn="0" w:lastColumn="0" w:noHBand="0" w:noVBand="0"/>
      </w:tblPr>
      <w:tblGrid>
        <w:gridCol w:w="1417"/>
        <w:gridCol w:w="992"/>
        <w:gridCol w:w="992"/>
        <w:gridCol w:w="992"/>
        <w:gridCol w:w="992"/>
        <w:gridCol w:w="1074"/>
      </w:tblGrid>
      <w:tr>
        <w:trPr>
          <w:cantSplit/>
        </w:trPr>
        <w:tc>
          <w:tcPr>
            <w:tcW w:w="1417" w:type="dxa"/>
            <w:tcBorders>
              <w:top w:val="single" w:sz="4" w:space="0" w:color="auto"/>
              <w:bottom w:val="single" w:sz="4" w:space="0" w:color="auto"/>
            </w:tcBorders>
          </w:tcPr>
          <w:p>
            <w:pPr>
              <w:pStyle w:val="yTableNAm"/>
            </w:pPr>
            <w:r>
              <w:rPr>
                <w:b/>
                <w:bCs/>
              </w:rPr>
              <w:br w:type="page"/>
              <w:t>Consumption (kL)</w:t>
            </w:r>
          </w:p>
        </w:tc>
        <w:tc>
          <w:tcPr>
            <w:tcW w:w="992" w:type="dxa"/>
            <w:tcBorders>
              <w:top w:val="single" w:sz="4" w:space="0" w:color="auto"/>
              <w:bottom w:val="single" w:sz="4" w:space="0" w:color="auto"/>
            </w:tcBorders>
          </w:tcPr>
          <w:p>
            <w:pPr>
              <w:pStyle w:val="yTableNAm"/>
              <w:jc w:val="center"/>
            </w:pPr>
            <w:r>
              <w:rPr>
                <w:b/>
                <w:bCs/>
              </w:rPr>
              <w:t>Class 1 (c/kL)</w:t>
            </w:r>
          </w:p>
        </w:tc>
        <w:tc>
          <w:tcPr>
            <w:tcW w:w="992" w:type="dxa"/>
            <w:tcBorders>
              <w:top w:val="single" w:sz="4" w:space="0" w:color="auto"/>
              <w:bottom w:val="single" w:sz="4" w:space="0" w:color="auto"/>
            </w:tcBorders>
          </w:tcPr>
          <w:p>
            <w:pPr>
              <w:pStyle w:val="yTableNAm"/>
              <w:jc w:val="center"/>
            </w:pPr>
            <w:r>
              <w:rPr>
                <w:b/>
                <w:bCs/>
              </w:rPr>
              <w:t>Class 2 (c/kL)</w:t>
            </w:r>
          </w:p>
        </w:tc>
        <w:tc>
          <w:tcPr>
            <w:tcW w:w="992" w:type="dxa"/>
            <w:tcBorders>
              <w:top w:val="single" w:sz="4" w:space="0" w:color="auto"/>
              <w:bottom w:val="single" w:sz="4" w:space="0" w:color="auto"/>
            </w:tcBorders>
          </w:tcPr>
          <w:p>
            <w:pPr>
              <w:pStyle w:val="yTableNAm"/>
              <w:jc w:val="center"/>
            </w:pPr>
            <w:r>
              <w:rPr>
                <w:b/>
                <w:bCs/>
              </w:rPr>
              <w:t>Class 3 (c/kL)</w:t>
            </w:r>
          </w:p>
        </w:tc>
        <w:tc>
          <w:tcPr>
            <w:tcW w:w="992" w:type="dxa"/>
            <w:tcBorders>
              <w:top w:val="single" w:sz="4" w:space="0" w:color="auto"/>
              <w:bottom w:val="single" w:sz="4" w:space="0" w:color="auto"/>
            </w:tcBorders>
          </w:tcPr>
          <w:p>
            <w:pPr>
              <w:pStyle w:val="yTableNAm"/>
              <w:jc w:val="center"/>
            </w:pPr>
            <w:r>
              <w:rPr>
                <w:b/>
                <w:bCs/>
              </w:rPr>
              <w:t>Class 4 (c/kL)</w:t>
            </w:r>
          </w:p>
        </w:tc>
        <w:tc>
          <w:tcPr>
            <w:tcW w:w="1074" w:type="dxa"/>
            <w:tcBorders>
              <w:top w:val="single" w:sz="4" w:space="0" w:color="auto"/>
              <w:bottom w:val="single" w:sz="4" w:space="0" w:color="auto"/>
            </w:tcBorders>
          </w:tcPr>
          <w:p>
            <w:pPr>
              <w:pStyle w:val="yTableNAm"/>
              <w:jc w:val="center"/>
            </w:pPr>
            <w:r>
              <w:rPr>
                <w:b/>
                <w:bCs/>
              </w:rPr>
              <w:t>Class 5 (c/kL)</w:t>
            </w:r>
          </w:p>
        </w:tc>
      </w:tr>
      <w:tr>
        <w:trPr>
          <w:cantSplit/>
        </w:trPr>
        <w:tc>
          <w:tcPr>
            <w:tcW w:w="1417" w:type="dxa"/>
          </w:tcPr>
          <w:p>
            <w:pPr>
              <w:pStyle w:val="yTableNAm"/>
            </w:pPr>
            <w:r>
              <w:t>Up to 150</w:t>
            </w:r>
          </w:p>
        </w:tc>
        <w:tc>
          <w:tcPr>
            <w:tcW w:w="992" w:type="dxa"/>
            <w:vAlign w:val="bottom"/>
          </w:tcPr>
          <w:p>
            <w:pPr>
              <w:pStyle w:val="yTableNAm"/>
              <w:jc w:val="center"/>
            </w:pPr>
            <w:r>
              <w:rPr>
                <w:szCs w:val="22"/>
              </w:rPr>
              <w:t>104.0</w:t>
            </w:r>
          </w:p>
        </w:tc>
        <w:tc>
          <w:tcPr>
            <w:tcW w:w="992" w:type="dxa"/>
            <w:vAlign w:val="bottom"/>
          </w:tcPr>
          <w:p>
            <w:pPr>
              <w:pStyle w:val="yTableNAm"/>
              <w:jc w:val="center"/>
            </w:pPr>
            <w:r>
              <w:rPr>
                <w:szCs w:val="22"/>
              </w:rPr>
              <w:t>133.6</w:t>
            </w:r>
          </w:p>
        </w:tc>
        <w:tc>
          <w:tcPr>
            <w:tcW w:w="992" w:type="dxa"/>
            <w:vAlign w:val="bottom"/>
          </w:tcPr>
          <w:p>
            <w:pPr>
              <w:pStyle w:val="yTableNAm"/>
              <w:jc w:val="center"/>
            </w:pPr>
            <w:r>
              <w:rPr>
                <w:szCs w:val="22"/>
              </w:rPr>
              <w:t>133.6</w:t>
            </w:r>
          </w:p>
        </w:tc>
        <w:tc>
          <w:tcPr>
            <w:tcW w:w="992" w:type="dxa"/>
            <w:vAlign w:val="bottom"/>
          </w:tcPr>
          <w:p>
            <w:pPr>
              <w:pStyle w:val="yTableNAm"/>
              <w:jc w:val="center"/>
            </w:pPr>
            <w:r>
              <w:rPr>
                <w:szCs w:val="22"/>
              </w:rPr>
              <w:t>133.6</w:t>
            </w:r>
          </w:p>
        </w:tc>
        <w:tc>
          <w:tcPr>
            <w:tcW w:w="1074" w:type="dxa"/>
            <w:vAlign w:val="bottom"/>
          </w:tcPr>
          <w:p>
            <w:pPr>
              <w:pStyle w:val="yTableNAm"/>
              <w:jc w:val="center"/>
            </w:pPr>
            <w:r>
              <w:rPr>
                <w:szCs w:val="22"/>
              </w:rPr>
              <w:t>133.6</w:t>
            </w:r>
          </w:p>
        </w:tc>
      </w:tr>
      <w:tr>
        <w:trPr>
          <w:cantSplit/>
        </w:trPr>
        <w:tc>
          <w:tcPr>
            <w:tcW w:w="1417" w:type="dxa"/>
          </w:tcPr>
          <w:p>
            <w:pPr>
              <w:pStyle w:val="yTableNAm"/>
            </w:pPr>
            <w:r>
              <w:t>Over 150 but not over 350</w:t>
            </w:r>
          </w:p>
        </w:tc>
        <w:tc>
          <w:tcPr>
            <w:tcW w:w="992" w:type="dxa"/>
            <w:vAlign w:val="bottom"/>
          </w:tcPr>
          <w:p>
            <w:pPr>
              <w:pStyle w:val="yTableNAm"/>
              <w:jc w:val="center"/>
            </w:pPr>
            <w:r>
              <w:rPr>
                <w:szCs w:val="22"/>
              </w:rPr>
              <w:t>104.0</w:t>
            </w:r>
          </w:p>
        </w:tc>
        <w:tc>
          <w:tcPr>
            <w:tcW w:w="992" w:type="dxa"/>
            <w:vAlign w:val="bottom"/>
          </w:tcPr>
          <w:p>
            <w:pPr>
              <w:pStyle w:val="yTableNAm"/>
              <w:jc w:val="center"/>
            </w:pPr>
            <w:r>
              <w:rPr>
                <w:szCs w:val="22"/>
              </w:rPr>
              <w:t>133.6</w:t>
            </w:r>
          </w:p>
        </w:tc>
        <w:tc>
          <w:tcPr>
            <w:tcW w:w="992" w:type="dxa"/>
            <w:vAlign w:val="bottom"/>
          </w:tcPr>
          <w:p>
            <w:pPr>
              <w:pStyle w:val="yTableNAm"/>
              <w:jc w:val="center"/>
            </w:pPr>
            <w:r>
              <w:rPr>
                <w:szCs w:val="22"/>
              </w:rPr>
              <w:t>133.6</w:t>
            </w:r>
          </w:p>
        </w:tc>
        <w:tc>
          <w:tcPr>
            <w:tcW w:w="992" w:type="dxa"/>
            <w:vAlign w:val="bottom"/>
          </w:tcPr>
          <w:p>
            <w:pPr>
              <w:pStyle w:val="yTableNAm"/>
              <w:jc w:val="center"/>
            </w:pPr>
            <w:r>
              <w:rPr>
                <w:szCs w:val="22"/>
              </w:rPr>
              <w:t>133.6</w:t>
            </w:r>
          </w:p>
        </w:tc>
        <w:tc>
          <w:tcPr>
            <w:tcW w:w="1074" w:type="dxa"/>
            <w:vAlign w:val="bottom"/>
          </w:tcPr>
          <w:p>
            <w:pPr>
              <w:pStyle w:val="yTableNAm"/>
              <w:jc w:val="center"/>
            </w:pPr>
            <w:r>
              <w:rPr>
                <w:szCs w:val="22"/>
              </w:rPr>
              <w:t>133.6</w:t>
            </w:r>
          </w:p>
        </w:tc>
      </w:tr>
      <w:tr>
        <w:trPr>
          <w:cantSplit/>
        </w:trPr>
        <w:tc>
          <w:tcPr>
            <w:tcW w:w="1417" w:type="dxa"/>
          </w:tcPr>
          <w:p>
            <w:pPr>
              <w:pStyle w:val="yTableNAm"/>
            </w:pPr>
            <w:r>
              <w:t>Over 350 but not over 500</w:t>
            </w:r>
          </w:p>
        </w:tc>
        <w:tc>
          <w:tcPr>
            <w:tcW w:w="992" w:type="dxa"/>
            <w:vAlign w:val="bottom"/>
          </w:tcPr>
          <w:p>
            <w:pPr>
              <w:pStyle w:val="yTableNAm"/>
              <w:jc w:val="center"/>
            </w:pPr>
            <w:r>
              <w:rPr>
                <w:szCs w:val="22"/>
              </w:rPr>
              <w:t>135.5</w:t>
            </w:r>
          </w:p>
        </w:tc>
        <w:tc>
          <w:tcPr>
            <w:tcW w:w="992" w:type="dxa"/>
            <w:vAlign w:val="bottom"/>
          </w:tcPr>
          <w:p>
            <w:pPr>
              <w:pStyle w:val="yTableNAm"/>
              <w:jc w:val="center"/>
            </w:pPr>
            <w:r>
              <w:rPr>
                <w:szCs w:val="22"/>
              </w:rPr>
              <w:t>174.7</w:t>
            </w:r>
          </w:p>
        </w:tc>
        <w:tc>
          <w:tcPr>
            <w:tcW w:w="992" w:type="dxa"/>
            <w:vAlign w:val="bottom"/>
          </w:tcPr>
          <w:p>
            <w:pPr>
              <w:pStyle w:val="yTableNAm"/>
              <w:jc w:val="center"/>
            </w:pPr>
            <w:r>
              <w:rPr>
                <w:szCs w:val="22"/>
              </w:rPr>
              <w:t>174.7</w:t>
            </w:r>
          </w:p>
        </w:tc>
        <w:tc>
          <w:tcPr>
            <w:tcW w:w="992" w:type="dxa"/>
            <w:vAlign w:val="bottom"/>
          </w:tcPr>
          <w:p>
            <w:pPr>
              <w:pStyle w:val="yTableNAm"/>
              <w:jc w:val="center"/>
            </w:pPr>
            <w:r>
              <w:rPr>
                <w:szCs w:val="22"/>
              </w:rPr>
              <w:t>174.7</w:t>
            </w:r>
          </w:p>
        </w:tc>
        <w:tc>
          <w:tcPr>
            <w:tcW w:w="1074" w:type="dxa"/>
            <w:vAlign w:val="bottom"/>
          </w:tcPr>
          <w:p>
            <w:pPr>
              <w:pStyle w:val="yTableNAm"/>
              <w:jc w:val="center"/>
            </w:pPr>
            <w:r>
              <w:rPr>
                <w:szCs w:val="22"/>
              </w:rPr>
              <w:t>174.7</w:t>
            </w:r>
          </w:p>
        </w:tc>
      </w:tr>
      <w:tr>
        <w:trPr>
          <w:cantSplit/>
        </w:trPr>
        <w:tc>
          <w:tcPr>
            <w:tcW w:w="1417" w:type="dxa"/>
          </w:tcPr>
          <w:p>
            <w:pPr>
              <w:pStyle w:val="yTableNAm"/>
            </w:pPr>
            <w:r>
              <w:t>Over 500 but not over 550</w:t>
            </w:r>
          </w:p>
        </w:tc>
        <w:tc>
          <w:tcPr>
            <w:tcW w:w="992" w:type="dxa"/>
            <w:vAlign w:val="bottom"/>
          </w:tcPr>
          <w:p>
            <w:pPr>
              <w:pStyle w:val="yTableNAm"/>
              <w:jc w:val="center"/>
            </w:pPr>
            <w:r>
              <w:rPr>
                <w:szCs w:val="22"/>
              </w:rPr>
              <w:t>147.6</w:t>
            </w:r>
          </w:p>
        </w:tc>
        <w:tc>
          <w:tcPr>
            <w:tcW w:w="992" w:type="dxa"/>
            <w:vAlign w:val="bottom"/>
          </w:tcPr>
          <w:p>
            <w:pPr>
              <w:pStyle w:val="yTableNAm"/>
              <w:jc w:val="center"/>
            </w:pPr>
            <w:r>
              <w:rPr>
                <w:szCs w:val="22"/>
              </w:rPr>
              <w:t>204.2</w:t>
            </w:r>
          </w:p>
        </w:tc>
        <w:tc>
          <w:tcPr>
            <w:tcW w:w="992" w:type="dxa"/>
            <w:vAlign w:val="bottom"/>
          </w:tcPr>
          <w:p>
            <w:pPr>
              <w:pStyle w:val="yTableNAm"/>
              <w:jc w:val="center"/>
            </w:pPr>
            <w:r>
              <w:rPr>
                <w:szCs w:val="22"/>
              </w:rPr>
              <w:t>260.2</w:t>
            </w:r>
          </w:p>
        </w:tc>
        <w:tc>
          <w:tcPr>
            <w:tcW w:w="992" w:type="dxa"/>
            <w:vAlign w:val="bottom"/>
          </w:tcPr>
          <w:p>
            <w:pPr>
              <w:pStyle w:val="yTableNAm"/>
              <w:jc w:val="center"/>
            </w:pPr>
            <w:r>
              <w:rPr>
                <w:szCs w:val="22"/>
              </w:rPr>
              <w:t>306.1</w:t>
            </w:r>
          </w:p>
        </w:tc>
        <w:tc>
          <w:tcPr>
            <w:tcW w:w="1074" w:type="dxa"/>
            <w:vAlign w:val="bottom"/>
          </w:tcPr>
          <w:p>
            <w:pPr>
              <w:pStyle w:val="yTableNAm"/>
              <w:jc w:val="center"/>
            </w:pPr>
            <w:r>
              <w:rPr>
                <w:szCs w:val="22"/>
              </w:rPr>
              <w:t>360.0</w:t>
            </w:r>
          </w:p>
        </w:tc>
      </w:tr>
      <w:tr>
        <w:trPr>
          <w:cantSplit/>
        </w:trPr>
        <w:tc>
          <w:tcPr>
            <w:tcW w:w="1417" w:type="dxa"/>
          </w:tcPr>
          <w:p>
            <w:pPr>
              <w:pStyle w:val="yTableNAm"/>
            </w:pPr>
            <w:r>
              <w:t>Over 550 but not over 650</w:t>
            </w:r>
          </w:p>
        </w:tc>
        <w:tc>
          <w:tcPr>
            <w:tcW w:w="992" w:type="dxa"/>
            <w:vAlign w:val="bottom"/>
          </w:tcPr>
          <w:p>
            <w:pPr>
              <w:pStyle w:val="yTableNAm"/>
              <w:jc w:val="center"/>
            </w:pPr>
            <w:r>
              <w:rPr>
                <w:szCs w:val="22"/>
              </w:rPr>
              <w:t>147.6</w:t>
            </w:r>
          </w:p>
        </w:tc>
        <w:tc>
          <w:tcPr>
            <w:tcW w:w="992" w:type="dxa"/>
            <w:vAlign w:val="bottom"/>
          </w:tcPr>
          <w:p>
            <w:pPr>
              <w:pStyle w:val="yTableNAm"/>
              <w:jc w:val="center"/>
            </w:pPr>
            <w:r>
              <w:rPr>
                <w:szCs w:val="22"/>
              </w:rPr>
              <w:t>204.2</w:t>
            </w:r>
          </w:p>
        </w:tc>
        <w:tc>
          <w:tcPr>
            <w:tcW w:w="992" w:type="dxa"/>
            <w:vAlign w:val="bottom"/>
          </w:tcPr>
          <w:p>
            <w:pPr>
              <w:pStyle w:val="yTableNAm"/>
              <w:jc w:val="center"/>
            </w:pPr>
            <w:r>
              <w:rPr>
                <w:szCs w:val="22"/>
              </w:rPr>
              <w:t>260.2</w:t>
            </w:r>
          </w:p>
        </w:tc>
        <w:tc>
          <w:tcPr>
            <w:tcW w:w="992" w:type="dxa"/>
            <w:vAlign w:val="bottom"/>
          </w:tcPr>
          <w:p>
            <w:pPr>
              <w:pStyle w:val="yTableNAm"/>
              <w:jc w:val="center"/>
            </w:pPr>
            <w:r>
              <w:rPr>
                <w:szCs w:val="22"/>
              </w:rPr>
              <w:t>306.1</w:t>
            </w:r>
          </w:p>
        </w:tc>
        <w:tc>
          <w:tcPr>
            <w:tcW w:w="1074" w:type="dxa"/>
            <w:vAlign w:val="bottom"/>
          </w:tcPr>
          <w:p>
            <w:pPr>
              <w:pStyle w:val="yTableNAm"/>
              <w:jc w:val="center"/>
            </w:pPr>
            <w:r>
              <w:rPr>
                <w:szCs w:val="22"/>
              </w:rPr>
              <w:t>360.0</w:t>
            </w:r>
          </w:p>
        </w:tc>
      </w:tr>
      <w:tr>
        <w:trPr>
          <w:cantSplit/>
        </w:trPr>
        <w:tc>
          <w:tcPr>
            <w:tcW w:w="1417" w:type="dxa"/>
          </w:tcPr>
          <w:p>
            <w:pPr>
              <w:pStyle w:val="yTableNAm"/>
            </w:pPr>
            <w:r>
              <w:t>Over 650 but not over 750</w:t>
            </w:r>
          </w:p>
        </w:tc>
        <w:tc>
          <w:tcPr>
            <w:tcW w:w="992" w:type="dxa"/>
            <w:vAlign w:val="bottom"/>
          </w:tcPr>
          <w:p>
            <w:pPr>
              <w:pStyle w:val="yTableNAm"/>
              <w:jc w:val="center"/>
            </w:pPr>
            <w:r>
              <w:rPr>
                <w:szCs w:val="22"/>
              </w:rPr>
              <w:t>147.6</w:t>
            </w:r>
          </w:p>
        </w:tc>
        <w:tc>
          <w:tcPr>
            <w:tcW w:w="992" w:type="dxa"/>
            <w:vAlign w:val="bottom"/>
          </w:tcPr>
          <w:p>
            <w:pPr>
              <w:pStyle w:val="yTableNAm"/>
              <w:jc w:val="center"/>
            </w:pPr>
            <w:r>
              <w:rPr>
                <w:szCs w:val="22"/>
              </w:rPr>
              <w:t>204.2</w:t>
            </w:r>
          </w:p>
        </w:tc>
        <w:tc>
          <w:tcPr>
            <w:tcW w:w="992" w:type="dxa"/>
            <w:vAlign w:val="bottom"/>
          </w:tcPr>
          <w:p>
            <w:pPr>
              <w:pStyle w:val="yTableNAm"/>
              <w:jc w:val="center"/>
            </w:pPr>
            <w:r>
              <w:rPr>
                <w:szCs w:val="22"/>
              </w:rPr>
              <w:t>260.2</w:t>
            </w:r>
          </w:p>
        </w:tc>
        <w:tc>
          <w:tcPr>
            <w:tcW w:w="992" w:type="dxa"/>
            <w:vAlign w:val="bottom"/>
          </w:tcPr>
          <w:p>
            <w:pPr>
              <w:pStyle w:val="yTableNAm"/>
              <w:jc w:val="center"/>
            </w:pPr>
            <w:r>
              <w:rPr>
                <w:szCs w:val="22"/>
              </w:rPr>
              <w:t>306.1</w:t>
            </w:r>
          </w:p>
        </w:tc>
        <w:tc>
          <w:tcPr>
            <w:tcW w:w="1074" w:type="dxa"/>
            <w:vAlign w:val="bottom"/>
          </w:tcPr>
          <w:p>
            <w:pPr>
              <w:pStyle w:val="yTableNAm"/>
              <w:jc w:val="center"/>
            </w:pPr>
            <w:r>
              <w:rPr>
                <w:szCs w:val="22"/>
              </w:rPr>
              <w:t>360.0</w:t>
            </w:r>
          </w:p>
        </w:tc>
      </w:tr>
      <w:tr>
        <w:trPr>
          <w:cantSplit/>
        </w:trPr>
        <w:tc>
          <w:tcPr>
            <w:tcW w:w="1417" w:type="dxa"/>
          </w:tcPr>
          <w:p>
            <w:pPr>
              <w:pStyle w:val="yTableNAm"/>
            </w:pPr>
            <w:r>
              <w:t>Over 750 but not over 950</w:t>
            </w:r>
          </w:p>
        </w:tc>
        <w:tc>
          <w:tcPr>
            <w:tcW w:w="992" w:type="dxa"/>
            <w:vAlign w:val="bottom"/>
          </w:tcPr>
          <w:p>
            <w:pPr>
              <w:pStyle w:val="yTableNAm"/>
              <w:jc w:val="center"/>
            </w:pPr>
            <w:r>
              <w:rPr>
                <w:szCs w:val="22"/>
              </w:rPr>
              <w:t>173.4</w:t>
            </w:r>
          </w:p>
        </w:tc>
        <w:tc>
          <w:tcPr>
            <w:tcW w:w="992" w:type="dxa"/>
            <w:vAlign w:val="bottom"/>
          </w:tcPr>
          <w:p>
            <w:pPr>
              <w:pStyle w:val="yTableNAm"/>
              <w:jc w:val="center"/>
            </w:pPr>
            <w:r>
              <w:rPr>
                <w:szCs w:val="22"/>
              </w:rPr>
              <w:t>239.8</w:t>
            </w:r>
          </w:p>
        </w:tc>
        <w:tc>
          <w:tcPr>
            <w:tcW w:w="992" w:type="dxa"/>
            <w:vAlign w:val="bottom"/>
          </w:tcPr>
          <w:p>
            <w:pPr>
              <w:pStyle w:val="yTableNAm"/>
              <w:jc w:val="center"/>
            </w:pPr>
            <w:r>
              <w:rPr>
                <w:szCs w:val="22"/>
              </w:rPr>
              <w:t>331.7</w:t>
            </w:r>
          </w:p>
        </w:tc>
        <w:tc>
          <w:tcPr>
            <w:tcW w:w="992" w:type="dxa"/>
            <w:vAlign w:val="bottom"/>
          </w:tcPr>
          <w:p>
            <w:pPr>
              <w:pStyle w:val="yTableNAm"/>
              <w:jc w:val="center"/>
            </w:pPr>
            <w:r>
              <w:rPr>
                <w:szCs w:val="22"/>
              </w:rPr>
              <w:t>458.9</w:t>
            </w:r>
          </w:p>
        </w:tc>
        <w:tc>
          <w:tcPr>
            <w:tcW w:w="1074" w:type="dxa"/>
            <w:vAlign w:val="bottom"/>
          </w:tcPr>
          <w:p>
            <w:pPr>
              <w:pStyle w:val="yTableNAm"/>
              <w:jc w:val="center"/>
            </w:pPr>
            <w:r>
              <w:rPr>
                <w:szCs w:val="22"/>
              </w:rPr>
              <w:t>634.7</w:t>
            </w:r>
          </w:p>
        </w:tc>
      </w:tr>
      <w:tr>
        <w:trPr>
          <w:cantSplit/>
        </w:trPr>
        <w:tc>
          <w:tcPr>
            <w:tcW w:w="1417" w:type="dxa"/>
          </w:tcPr>
          <w:p>
            <w:pPr>
              <w:pStyle w:val="yTableNAm"/>
            </w:pPr>
            <w:r>
              <w:t>Over 950 but not over 1 150</w:t>
            </w:r>
          </w:p>
        </w:tc>
        <w:tc>
          <w:tcPr>
            <w:tcW w:w="992" w:type="dxa"/>
            <w:vAlign w:val="bottom"/>
          </w:tcPr>
          <w:p>
            <w:pPr>
              <w:pStyle w:val="yTableNAm"/>
              <w:jc w:val="center"/>
            </w:pPr>
            <w:r>
              <w:rPr>
                <w:szCs w:val="22"/>
              </w:rPr>
              <w:t>173.4</w:t>
            </w:r>
          </w:p>
        </w:tc>
        <w:tc>
          <w:tcPr>
            <w:tcW w:w="992" w:type="dxa"/>
            <w:vAlign w:val="bottom"/>
          </w:tcPr>
          <w:p>
            <w:pPr>
              <w:pStyle w:val="yTableNAm"/>
              <w:jc w:val="center"/>
            </w:pPr>
            <w:r>
              <w:rPr>
                <w:szCs w:val="22"/>
              </w:rPr>
              <w:t>239.8</w:t>
            </w:r>
          </w:p>
        </w:tc>
        <w:tc>
          <w:tcPr>
            <w:tcW w:w="992" w:type="dxa"/>
            <w:vAlign w:val="bottom"/>
          </w:tcPr>
          <w:p>
            <w:pPr>
              <w:pStyle w:val="yTableNAm"/>
              <w:jc w:val="center"/>
            </w:pPr>
            <w:r>
              <w:rPr>
                <w:szCs w:val="22"/>
              </w:rPr>
              <w:t>331.7</w:t>
            </w:r>
          </w:p>
        </w:tc>
        <w:tc>
          <w:tcPr>
            <w:tcW w:w="992" w:type="dxa"/>
            <w:vAlign w:val="bottom"/>
          </w:tcPr>
          <w:p>
            <w:pPr>
              <w:pStyle w:val="yTableNAm"/>
              <w:jc w:val="center"/>
            </w:pPr>
            <w:r>
              <w:rPr>
                <w:szCs w:val="22"/>
              </w:rPr>
              <w:t>458.9</w:t>
            </w:r>
          </w:p>
        </w:tc>
        <w:tc>
          <w:tcPr>
            <w:tcW w:w="1074" w:type="dxa"/>
            <w:vAlign w:val="bottom"/>
          </w:tcPr>
          <w:p>
            <w:pPr>
              <w:pStyle w:val="yTableNAm"/>
              <w:jc w:val="center"/>
            </w:pPr>
            <w:r>
              <w:rPr>
                <w:szCs w:val="22"/>
              </w:rPr>
              <w:t>634.7</w:t>
            </w:r>
          </w:p>
        </w:tc>
      </w:tr>
      <w:tr>
        <w:trPr>
          <w:cantSplit/>
        </w:trPr>
        <w:tc>
          <w:tcPr>
            <w:tcW w:w="1417" w:type="dxa"/>
          </w:tcPr>
          <w:p>
            <w:pPr>
              <w:pStyle w:val="yTableNAm"/>
            </w:pPr>
            <w:r>
              <w:t>Over 1 150 but not over 1 550</w:t>
            </w:r>
          </w:p>
        </w:tc>
        <w:tc>
          <w:tcPr>
            <w:tcW w:w="992" w:type="dxa"/>
            <w:vAlign w:val="bottom"/>
          </w:tcPr>
          <w:p>
            <w:pPr>
              <w:pStyle w:val="yTableNAm"/>
              <w:jc w:val="center"/>
            </w:pPr>
            <w:r>
              <w:rPr>
                <w:szCs w:val="22"/>
              </w:rPr>
              <w:t>173.4</w:t>
            </w:r>
          </w:p>
        </w:tc>
        <w:tc>
          <w:tcPr>
            <w:tcW w:w="992" w:type="dxa"/>
            <w:vAlign w:val="bottom"/>
          </w:tcPr>
          <w:p>
            <w:pPr>
              <w:pStyle w:val="yTableNAm"/>
              <w:jc w:val="center"/>
            </w:pPr>
            <w:r>
              <w:rPr>
                <w:szCs w:val="22"/>
              </w:rPr>
              <w:t>239.8</w:t>
            </w:r>
          </w:p>
        </w:tc>
        <w:tc>
          <w:tcPr>
            <w:tcW w:w="992" w:type="dxa"/>
            <w:vAlign w:val="bottom"/>
          </w:tcPr>
          <w:p>
            <w:pPr>
              <w:pStyle w:val="yTableNAm"/>
              <w:jc w:val="center"/>
            </w:pPr>
            <w:r>
              <w:rPr>
                <w:szCs w:val="22"/>
              </w:rPr>
              <w:t>331.7</w:t>
            </w:r>
          </w:p>
        </w:tc>
        <w:tc>
          <w:tcPr>
            <w:tcW w:w="992" w:type="dxa"/>
            <w:vAlign w:val="bottom"/>
          </w:tcPr>
          <w:p>
            <w:pPr>
              <w:pStyle w:val="yTableNAm"/>
              <w:jc w:val="center"/>
            </w:pPr>
            <w:r>
              <w:rPr>
                <w:szCs w:val="22"/>
              </w:rPr>
              <w:t>458.9</w:t>
            </w:r>
          </w:p>
        </w:tc>
        <w:tc>
          <w:tcPr>
            <w:tcW w:w="1074" w:type="dxa"/>
            <w:vAlign w:val="bottom"/>
          </w:tcPr>
          <w:p>
            <w:pPr>
              <w:pStyle w:val="yTableNAm"/>
              <w:jc w:val="center"/>
            </w:pPr>
            <w:r>
              <w:rPr>
                <w:szCs w:val="22"/>
              </w:rPr>
              <w:t>634.7</w:t>
            </w:r>
          </w:p>
        </w:tc>
      </w:tr>
      <w:tr>
        <w:trPr>
          <w:cantSplit/>
        </w:trPr>
        <w:tc>
          <w:tcPr>
            <w:tcW w:w="1417" w:type="dxa"/>
          </w:tcPr>
          <w:p>
            <w:pPr>
              <w:pStyle w:val="yTableNAm"/>
            </w:pPr>
            <w:r>
              <w:t>Over 1 550 but not over 1 950</w:t>
            </w:r>
          </w:p>
        </w:tc>
        <w:tc>
          <w:tcPr>
            <w:tcW w:w="992" w:type="dxa"/>
            <w:vAlign w:val="bottom"/>
          </w:tcPr>
          <w:p>
            <w:pPr>
              <w:pStyle w:val="yTableNAm"/>
              <w:jc w:val="center"/>
            </w:pPr>
            <w:r>
              <w:rPr>
                <w:szCs w:val="22"/>
              </w:rPr>
              <w:t>173.4</w:t>
            </w:r>
          </w:p>
        </w:tc>
        <w:tc>
          <w:tcPr>
            <w:tcW w:w="992" w:type="dxa"/>
            <w:vAlign w:val="bottom"/>
          </w:tcPr>
          <w:p>
            <w:pPr>
              <w:pStyle w:val="yTableNAm"/>
              <w:jc w:val="center"/>
            </w:pPr>
            <w:r>
              <w:rPr>
                <w:szCs w:val="22"/>
              </w:rPr>
              <w:t>239.8</w:t>
            </w:r>
          </w:p>
        </w:tc>
        <w:tc>
          <w:tcPr>
            <w:tcW w:w="992" w:type="dxa"/>
            <w:vAlign w:val="bottom"/>
          </w:tcPr>
          <w:p>
            <w:pPr>
              <w:pStyle w:val="yTableNAm"/>
              <w:jc w:val="center"/>
            </w:pPr>
            <w:r>
              <w:rPr>
                <w:szCs w:val="22"/>
              </w:rPr>
              <w:t>331.7</w:t>
            </w:r>
          </w:p>
        </w:tc>
        <w:tc>
          <w:tcPr>
            <w:tcW w:w="992" w:type="dxa"/>
            <w:vAlign w:val="bottom"/>
          </w:tcPr>
          <w:p>
            <w:pPr>
              <w:pStyle w:val="yTableNAm"/>
              <w:jc w:val="center"/>
            </w:pPr>
            <w:r>
              <w:rPr>
                <w:szCs w:val="22"/>
              </w:rPr>
              <w:t>458.9</w:t>
            </w:r>
          </w:p>
        </w:tc>
        <w:tc>
          <w:tcPr>
            <w:tcW w:w="1074" w:type="dxa"/>
            <w:vAlign w:val="bottom"/>
          </w:tcPr>
          <w:p>
            <w:pPr>
              <w:pStyle w:val="yTableNAm"/>
              <w:jc w:val="center"/>
            </w:pPr>
            <w:r>
              <w:rPr>
                <w:szCs w:val="22"/>
              </w:rPr>
              <w:t>634.7</w:t>
            </w:r>
          </w:p>
        </w:tc>
      </w:tr>
      <w:tr>
        <w:trPr>
          <w:cantSplit/>
        </w:trPr>
        <w:tc>
          <w:tcPr>
            <w:tcW w:w="1417" w:type="dxa"/>
            <w:tcBorders>
              <w:bottom w:val="single" w:sz="4" w:space="0" w:color="auto"/>
            </w:tcBorders>
          </w:tcPr>
          <w:p>
            <w:pPr>
              <w:pStyle w:val="yTableNAm"/>
            </w:pPr>
            <w:r>
              <w:t>Over 1 950</w:t>
            </w:r>
          </w:p>
        </w:tc>
        <w:tc>
          <w:tcPr>
            <w:tcW w:w="992" w:type="dxa"/>
            <w:tcBorders>
              <w:bottom w:val="single" w:sz="4" w:space="0" w:color="auto"/>
            </w:tcBorders>
            <w:vAlign w:val="bottom"/>
          </w:tcPr>
          <w:p>
            <w:pPr>
              <w:pStyle w:val="yTableNAm"/>
              <w:jc w:val="center"/>
            </w:pPr>
            <w:r>
              <w:rPr>
                <w:szCs w:val="22"/>
              </w:rPr>
              <w:t>173.4</w:t>
            </w:r>
          </w:p>
        </w:tc>
        <w:tc>
          <w:tcPr>
            <w:tcW w:w="992" w:type="dxa"/>
            <w:tcBorders>
              <w:bottom w:val="single" w:sz="4" w:space="0" w:color="auto"/>
            </w:tcBorders>
            <w:vAlign w:val="bottom"/>
          </w:tcPr>
          <w:p>
            <w:pPr>
              <w:pStyle w:val="yTableNAm"/>
              <w:jc w:val="center"/>
            </w:pPr>
            <w:r>
              <w:rPr>
                <w:szCs w:val="22"/>
              </w:rPr>
              <w:t>239.8</w:t>
            </w:r>
          </w:p>
        </w:tc>
        <w:tc>
          <w:tcPr>
            <w:tcW w:w="992" w:type="dxa"/>
            <w:tcBorders>
              <w:bottom w:val="single" w:sz="4" w:space="0" w:color="auto"/>
            </w:tcBorders>
            <w:vAlign w:val="bottom"/>
          </w:tcPr>
          <w:p>
            <w:pPr>
              <w:pStyle w:val="yTableNAm"/>
              <w:jc w:val="center"/>
            </w:pPr>
            <w:r>
              <w:rPr>
                <w:szCs w:val="22"/>
              </w:rPr>
              <w:t>331.7</w:t>
            </w:r>
          </w:p>
        </w:tc>
        <w:tc>
          <w:tcPr>
            <w:tcW w:w="992" w:type="dxa"/>
            <w:tcBorders>
              <w:bottom w:val="single" w:sz="4" w:space="0" w:color="auto"/>
            </w:tcBorders>
            <w:vAlign w:val="bottom"/>
          </w:tcPr>
          <w:p>
            <w:pPr>
              <w:pStyle w:val="yTableNAm"/>
              <w:jc w:val="center"/>
            </w:pPr>
            <w:r>
              <w:rPr>
                <w:szCs w:val="22"/>
              </w:rPr>
              <w:t>458.9</w:t>
            </w:r>
          </w:p>
        </w:tc>
        <w:tc>
          <w:tcPr>
            <w:tcW w:w="1074" w:type="dxa"/>
            <w:tcBorders>
              <w:bottom w:val="single" w:sz="4" w:space="0" w:color="auto"/>
            </w:tcBorders>
            <w:vAlign w:val="bottom"/>
          </w:tcPr>
          <w:p>
            <w:pPr>
              <w:pStyle w:val="yTableNAm"/>
              <w:jc w:val="center"/>
            </w:pPr>
            <w:r>
              <w:rPr>
                <w:szCs w:val="22"/>
              </w:rPr>
              <w:t>634.7</w:t>
            </w:r>
          </w:p>
        </w:tc>
      </w:tr>
    </w:tbl>
    <w:p>
      <w:pPr>
        <w:pStyle w:val="yMiscellaneousBody"/>
      </w:pPr>
    </w:p>
    <w:tbl>
      <w:tblPr>
        <w:tblW w:w="0" w:type="auto"/>
        <w:tblInd w:w="534" w:type="dxa"/>
        <w:tblLook w:val="0000" w:firstRow="0" w:lastRow="0" w:firstColumn="0" w:lastColumn="0" w:noHBand="0" w:noVBand="0"/>
      </w:tblPr>
      <w:tblGrid>
        <w:gridCol w:w="850"/>
        <w:gridCol w:w="4237"/>
        <w:gridCol w:w="1292"/>
      </w:tblGrid>
      <w:tr>
        <w:trPr>
          <w:cantSplit/>
        </w:trPr>
        <w:tc>
          <w:tcPr>
            <w:tcW w:w="850" w:type="dxa"/>
          </w:tcPr>
          <w:p>
            <w:pPr>
              <w:pStyle w:val="yTableNAm"/>
            </w:pPr>
            <w:r>
              <w:rPr>
                <w:b/>
                <w:bCs/>
              </w:rPr>
              <w:t>23.</w:t>
            </w:r>
          </w:p>
        </w:tc>
        <w:tc>
          <w:tcPr>
            <w:tcW w:w="4237" w:type="dxa"/>
          </w:tcPr>
          <w:p>
            <w:pPr>
              <w:pStyle w:val="yTableNAm"/>
            </w:pPr>
            <w:r>
              <w:rPr>
                <w:b/>
                <w:bCs/>
              </w:rPr>
              <w:t>Community residential</w:t>
            </w:r>
          </w:p>
        </w:tc>
        <w:tc>
          <w:tcPr>
            <w:tcW w:w="1292" w:type="dxa"/>
            <w:vAlign w:val="bottom"/>
          </w:tcPr>
          <w:p>
            <w:pPr>
              <w:pStyle w:val="yTableNAm"/>
            </w:pPr>
          </w:p>
        </w:tc>
      </w:tr>
      <w:tr>
        <w:trPr>
          <w:cantSplit/>
        </w:trPr>
        <w:tc>
          <w:tcPr>
            <w:tcW w:w="850" w:type="dxa"/>
          </w:tcPr>
          <w:p>
            <w:pPr>
              <w:pStyle w:val="zyTableNAm"/>
            </w:pPr>
          </w:p>
        </w:tc>
        <w:tc>
          <w:tcPr>
            <w:tcW w:w="4237" w:type="dxa"/>
          </w:tcPr>
          <w:p>
            <w:pPr>
              <w:pStyle w:val="yTableNAm"/>
              <w:tabs>
                <w:tab w:val="clear" w:pos="567"/>
                <w:tab w:val="left" w:pos="176"/>
              </w:tabs>
              <w:ind w:left="656" w:hanging="656"/>
            </w:pPr>
            <w:r>
              <w:tab/>
              <w:t>(1)</w:t>
            </w:r>
            <w:r>
              <w:tab/>
              <w:t>For each kilolitre of water supplied to a discrete residential unit as determined under by</w:t>
            </w:r>
            <w:r>
              <w:noBreakHyphen/>
              <w:t>law 16 that is in the metropolitan area —</w:t>
            </w:r>
          </w:p>
        </w:tc>
        <w:tc>
          <w:tcPr>
            <w:tcW w:w="1292" w:type="dxa"/>
            <w:vAlign w:val="bottom"/>
          </w:tcPr>
          <w:p>
            <w:pPr>
              <w:pStyle w:val="yTableNAm"/>
            </w:pPr>
          </w:p>
        </w:tc>
      </w:tr>
      <w:tr>
        <w:trPr>
          <w:cantSplit/>
        </w:trPr>
        <w:tc>
          <w:tcPr>
            <w:tcW w:w="850" w:type="dxa"/>
          </w:tcPr>
          <w:p>
            <w:pPr>
              <w:pStyle w:val="zyTableNAm"/>
            </w:pPr>
          </w:p>
        </w:tc>
        <w:tc>
          <w:tcPr>
            <w:tcW w:w="4237" w:type="dxa"/>
          </w:tcPr>
          <w:p>
            <w:pPr>
              <w:pStyle w:val="yTableNAm"/>
              <w:tabs>
                <w:tab w:val="clear" w:pos="567"/>
                <w:tab w:val="left" w:pos="1016"/>
                <w:tab w:val="right" w:leader="dot" w:pos="4020"/>
              </w:tabs>
              <w:ind w:left="776" w:hanging="776"/>
            </w:pPr>
            <w:r>
              <w:rPr>
                <w:spacing w:val="-1"/>
              </w:rPr>
              <w:tab/>
              <w:t xml:space="preserve">up to 150 kL </w:t>
            </w:r>
            <w:r>
              <w:rPr>
                <w:spacing w:val="-1"/>
              </w:rPr>
              <w:tab/>
            </w:r>
          </w:p>
        </w:tc>
        <w:tc>
          <w:tcPr>
            <w:tcW w:w="1292" w:type="dxa"/>
            <w:vAlign w:val="bottom"/>
          </w:tcPr>
          <w:p>
            <w:pPr>
              <w:pStyle w:val="yTableNAm"/>
            </w:pPr>
            <w:r>
              <w:rPr>
                <w:szCs w:val="22"/>
              </w:rPr>
              <w:t>66.8 cents</w:t>
            </w:r>
          </w:p>
        </w:tc>
      </w:tr>
      <w:tr>
        <w:trPr>
          <w:cantSplit/>
        </w:trPr>
        <w:tc>
          <w:tcPr>
            <w:tcW w:w="850" w:type="dxa"/>
          </w:tcPr>
          <w:p>
            <w:pPr>
              <w:pStyle w:val="zyTableNAm"/>
            </w:pPr>
          </w:p>
        </w:tc>
        <w:tc>
          <w:tcPr>
            <w:tcW w:w="4237" w:type="dxa"/>
          </w:tcPr>
          <w:p>
            <w:pPr>
              <w:pStyle w:val="yTableNAm"/>
              <w:tabs>
                <w:tab w:val="clear" w:pos="567"/>
                <w:tab w:val="left" w:pos="1016"/>
                <w:tab w:val="right" w:leader="dot" w:pos="4020"/>
              </w:tabs>
              <w:ind w:left="776" w:hanging="776"/>
            </w:pPr>
            <w:r>
              <w:rPr>
                <w:spacing w:val="-1"/>
              </w:rPr>
              <w:tab/>
              <w:t xml:space="preserve">over 150 but not over 350 kL </w:t>
            </w:r>
            <w:r>
              <w:rPr>
                <w:spacing w:val="-1"/>
              </w:rPr>
              <w:tab/>
            </w:r>
          </w:p>
        </w:tc>
        <w:tc>
          <w:tcPr>
            <w:tcW w:w="1292" w:type="dxa"/>
            <w:vAlign w:val="bottom"/>
          </w:tcPr>
          <w:p>
            <w:pPr>
              <w:pStyle w:val="yTableNAm"/>
            </w:pPr>
            <w:r>
              <w:rPr>
                <w:szCs w:val="22"/>
              </w:rPr>
              <w:t>174.7 cents</w:t>
            </w:r>
          </w:p>
        </w:tc>
      </w:tr>
      <w:tr>
        <w:trPr>
          <w:cantSplit/>
        </w:trPr>
        <w:tc>
          <w:tcPr>
            <w:tcW w:w="850" w:type="dxa"/>
          </w:tcPr>
          <w:p>
            <w:pPr>
              <w:pStyle w:val="zyTableNAm"/>
            </w:pPr>
          </w:p>
        </w:tc>
        <w:tc>
          <w:tcPr>
            <w:tcW w:w="4237" w:type="dxa"/>
          </w:tcPr>
          <w:p>
            <w:pPr>
              <w:pStyle w:val="yTableNAm"/>
              <w:tabs>
                <w:tab w:val="clear" w:pos="567"/>
                <w:tab w:val="left" w:pos="1016"/>
                <w:tab w:val="right" w:leader="dot" w:pos="4020"/>
              </w:tabs>
              <w:ind w:left="776" w:hanging="776"/>
            </w:pPr>
            <w:r>
              <w:rPr>
                <w:spacing w:val="-1"/>
              </w:rPr>
              <w:tab/>
              <w:t xml:space="preserve">over 350 but not over 500 kL </w:t>
            </w:r>
            <w:r>
              <w:rPr>
                <w:spacing w:val="-1"/>
              </w:rPr>
              <w:tab/>
            </w:r>
          </w:p>
        </w:tc>
        <w:tc>
          <w:tcPr>
            <w:tcW w:w="1292" w:type="dxa"/>
            <w:vAlign w:val="bottom"/>
          </w:tcPr>
          <w:p>
            <w:pPr>
              <w:pStyle w:val="yTableNAm"/>
            </w:pPr>
            <w:r>
              <w:rPr>
                <w:szCs w:val="22"/>
              </w:rPr>
              <w:t>174.7 cents</w:t>
            </w:r>
          </w:p>
        </w:tc>
      </w:tr>
      <w:tr>
        <w:trPr>
          <w:cantSplit/>
        </w:trPr>
        <w:tc>
          <w:tcPr>
            <w:tcW w:w="850" w:type="dxa"/>
          </w:tcPr>
          <w:p>
            <w:pPr>
              <w:pStyle w:val="zyTableNAm"/>
            </w:pPr>
          </w:p>
        </w:tc>
        <w:tc>
          <w:tcPr>
            <w:tcW w:w="4237" w:type="dxa"/>
          </w:tcPr>
          <w:p>
            <w:pPr>
              <w:pStyle w:val="yTableNAm"/>
              <w:tabs>
                <w:tab w:val="clear" w:pos="567"/>
                <w:tab w:val="left" w:pos="1016"/>
                <w:tab w:val="right" w:leader="dot" w:pos="4020"/>
              </w:tabs>
              <w:ind w:left="776" w:hanging="776"/>
            </w:pPr>
            <w:r>
              <w:rPr>
                <w:spacing w:val="-1"/>
              </w:rPr>
              <w:tab/>
              <w:t xml:space="preserve">over 500 but not over 550 kL </w:t>
            </w:r>
            <w:r>
              <w:rPr>
                <w:spacing w:val="-1"/>
              </w:rPr>
              <w:tab/>
            </w:r>
          </w:p>
        </w:tc>
        <w:tc>
          <w:tcPr>
            <w:tcW w:w="1292" w:type="dxa"/>
            <w:vAlign w:val="bottom"/>
          </w:tcPr>
          <w:p>
            <w:pPr>
              <w:pStyle w:val="yTableNAm"/>
            </w:pPr>
            <w:r>
              <w:rPr>
                <w:szCs w:val="22"/>
              </w:rPr>
              <w:t>239.8 cents</w:t>
            </w:r>
          </w:p>
        </w:tc>
      </w:tr>
      <w:tr>
        <w:trPr>
          <w:cantSplit/>
        </w:trPr>
        <w:tc>
          <w:tcPr>
            <w:tcW w:w="850" w:type="dxa"/>
          </w:tcPr>
          <w:p>
            <w:pPr>
              <w:pStyle w:val="zyTableNAm"/>
            </w:pPr>
          </w:p>
        </w:tc>
        <w:tc>
          <w:tcPr>
            <w:tcW w:w="4237" w:type="dxa"/>
          </w:tcPr>
          <w:p>
            <w:pPr>
              <w:pStyle w:val="yTableNAm"/>
              <w:tabs>
                <w:tab w:val="clear" w:pos="567"/>
                <w:tab w:val="left" w:pos="1016"/>
                <w:tab w:val="right" w:leader="dot" w:pos="4020"/>
              </w:tabs>
              <w:ind w:left="776" w:hanging="776"/>
            </w:pPr>
            <w:r>
              <w:rPr>
                <w:spacing w:val="-1"/>
              </w:rPr>
              <w:tab/>
              <w:t xml:space="preserve">over 550 but not over 950 kL </w:t>
            </w:r>
            <w:r>
              <w:rPr>
                <w:spacing w:val="-1"/>
              </w:rPr>
              <w:tab/>
            </w:r>
          </w:p>
        </w:tc>
        <w:tc>
          <w:tcPr>
            <w:tcW w:w="1292" w:type="dxa"/>
            <w:vAlign w:val="bottom"/>
          </w:tcPr>
          <w:p>
            <w:pPr>
              <w:pStyle w:val="yTableNAm"/>
            </w:pPr>
            <w:r>
              <w:rPr>
                <w:szCs w:val="22"/>
              </w:rPr>
              <w:t>239.8 cents</w:t>
            </w:r>
          </w:p>
        </w:tc>
      </w:tr>
      <w:tr>
        <w:trPr>
          <w:cantSplit/>
        </w:trPr>
        <w:tc>
          <w:tcPr>
            <w:tcW w:w="850" w:type="dxa"/>
          </w:tcPr>
          <w:p>
            <w:pPr>
              <w:pStyle w:val="zyTableNAm"/>
            </w:pPr>
          </w:p>
        </w:tc>
        <w:tc>
          <w:tcPr>
            <w:tcW w:w="4237" w:type="dxa"/>
          </w:tcPr>
          <w:p>
            <w:pPr>
              <w:pStyle w:val="yTableNAm"/>
              <w:tabs>
                <w:tab w:val="clear" w:pos="567"/>
                <w:tab w:val="left" w:pos="1016"/>
                <w:tab w:val="right" w:leader="dot" w:pos="4020"/>
              </w:tabs>
              <w:ind w:left="776" w:hanging="776"/>
            </w:pPr>
            <w:r>
              <w:rPr>
                <w:spacing w:val="-1"/>
              </w:rPr>
              <w:tab/>
              <w:t xml:space="preserve">over 950 kL </w:t>
            </w:r>
            <w:r>
              <w:rPr>
                <w:spacing w:val="-1"/>
              </w:rPr>
              <w:tab/>
            </w:r>
          </w:p>
        </w:tc>
        <w:tc>
          <w:tcPr>
            <w:tcW w:w="1292" w:type="dxa"/>
            <w:vAlign w:val="bottom"/>
          </w:tcPr>
          <w:p>
            <w:pPr>
              <w:pStyle w:val="yTableNAm"/>
            </w:pPr>
            <w:r>
              <w:rPr>
                <w:szCs w:val="22"/>
              </w:rPr>
              <w:t>239.8 cents</w:t>
            </w:r>
          </w:p>
        </w:tc>
      </w:tr>
      <w:tr>
        <w:trPr>
          <w:cantSplit/>
        </w:trPr>
        <w:tc>
          <w:tcPr>
            <w:tcW w:w="850" w:type="dxa"/>
          </w:tcPr>
          <w:p>
            <w:pPr>
              <w:pStyle w:val="zyTableNAm"/>
            </w:pPr>
          </w:p>
        </w:tc>
        <w:tc>
          <w:tcPr>
            <w:tcW w:w="4237" w:type="dxa"/>
          </w:tcPr>
          <w:p>
            <w:pPr>
              <w:pStyle w:val="yTableNAm"/>
              <w:tabs>
                <w:tab w:val="clear" w:pos="567"/>
                <w:tab w:val="left" w:pos="176"/>
              </w:tabs>
              <w:ind w:left="656" w:hanging="656"/>
            </w:pPr>
            <w:r>
              <w:tab/>
              <w:t>(2)</w:t>
            </w:r>
            <w:r>
              <w:tab/>
              <w:t>For each kilolitre of water supplied to a discrete residential unit as determined under by</w:t>
            </w:r>
            <w:r>
              <w:noBreakHyphen/>
              <w:t>law 16 that is not in the metropolitan area, according to the residential classification of the town/area set out in Schedule 10 —</w:t>
            </w:r>
          </w:p>
        </w:tc>
        <w:tc>
          <w:tcPr>
            <w:tcW w:w="1292" w:type="dxa"/>
            <w:vAlign w:val="bottom"/>
          </w:tcPr>
          <w:p>
            <w:pPr>
              <w:pStyle w:val="yTableNAm"/>
            </w:pPr>
          </w:p>
        </w:tc>
      </w:tr>
    </w:tbl>
    <w:p>
      <w:pPr>
        <w:pStyle w:val="yMiscellaneousBody"/>
      </w:pPr>
    </w:p>
    <w:tbl>
      <w:tblPr>
        <w:tblW w:w="0" w:type="auto"/>
        <w:tblInd w:w="454" w:type="dxa"/>
        <w:tblCellMar>
          <w:left w:w="28" w:type="dxa"/>
          <w:right w:w="28" w:type="dxa"/>
        </w:tblCellMar>
        <w:tblLook w:val="0000" w:firstRow="0" w:lastRow="0" w:firstColumn="0" w:lastColumn="0" w:noHBand="0" w:noVBand="0"/>
      </w:tblPr>
      <w:tblGrid>
        <w:gridCol w:w="1417"/>
        <w:gridCol w:w="992"/>
        <w:gridCol w:w="992"/>
        <w:gridCol w:w="992"/>
        <w:gridCol w:w="992"/>
        <w:gridCol w:w="994"/>
      </w:tblGrid>
      <w:tr>
        <w:trPr>
          <w:cantSplit/>
          <w:tblHeader/>
        </w:trPr>
        <w:tc>
          <w:tcPr>
            <w:tcW w:w="1417" w:type="dxa"/>
            <w:tcBorders>
              <w:top w:val="single" w:sz="4" w:space="0" w:color="auto"/>
              <w:bottom w:val="single" w:sz="4" w:space="0" w:color="auto"/>
            </w:tcBorders>
          </w:tcPr>
          <w:p>
            <w:pPr>
              <w:pStyle w:val="yTableNAm"/>
            </w:pPr>
            <w:r>
              <w:rPr>
                <w:b/>
                <w:bCs/>
                <w:szCs w:val="22"/>
              </w:rPr>
              <w:br w:type="page"/>
              <w:t>Consumption (kL)</w:t>
            </w:r>
          </w:p>
        </w:tc>
        <w:tc>
          <w:tcPr>
            <w:tcW w:w="992" w:type="dxa"/>
            <w:tcBorders>
              <w:top w:val="single" w:sz="4" w:space="0" w:color="auto"/>
              <w:bottom w:val="single" w:sz="4" w:space="0" w:color="auto"/>
            </w:tcBorders>
          </w:tcPr>
          <w:p>
            <w:pPr>
              <w:pStyle w:val="yTableNAm"/>
              <w:jc w:val="center"/>
            </w:pPr>
            <w:r>
              <w:rPr>
                <w:b/>
                <w:bCs/>
                <w:szCs w:val="22"/>
              </w:rPr>
              <w:t>Class 1 (c/kL)</w:t>
            </w:r>
          </w:p>
        </w:tc>
        <w:tc>
          <w:tcPr>
            <w:tcW w:w="992" w:type="dxa"/>
            <w:tcBorders>
              <w:top w:val="single" w:sz="4" w:space="0" w:color="auto"/>
              <w:bottom w:val="single" w:sz="4" w:space="0" w:color="auto"/>
            </w:tcBorders>
          </w:tcPr>
          <w:p>
            <w:pPr>
              <w:pStyle w:val="yTableNAm"/>
              <w:jc w:val="center"/>
            </w:pPr>
            <w:r>
              <w:rPr>
                <w:b/>
                <w:bCs/>
                <w:szCs w:val="22"/>
              </w:rPr>
              <w:t>Class 2 (c/kL)</w:t>
            </w:r>
          </w:p>
        </w:tc>
        <w:tc>
          <w:tcPr>
            <w:tcW w:w="992" w:type="dxa"/>
            <w:tcBorders>
              <w:top w:val="single" w:sz="4" w:space="0" w:color="auto"/>
              <w:bottom w:val="single" w:sz="4" w:space="0" w:color="auto"/>
            </w:tcBorders>
          </w:tcPr>
          <w:p>
            <w:pPr>
              <w:pStyle w:val="yTableNAm"/>
              <w:jc w:val="center"/>
            </w:pPr>
            <w:r>
              <w:rPr>
                <w:b/>
                <w:bCs/>
                <w:szCs w:val="22"/>
              </w:rPr>
              <w:t>Class 3 (c/kL)</w:t>
            </w:r>
          </w:p>
        </w:tc>
        <w:tc>
          <w:tcPr>
            <w:tcW w:w="992" w:type="dxa"/>
            <w:tcBorders>
              <w:top w:val="single" w:sz="4" w:space="0" w:color="auto"/>
              <w:bottom w:val="single" w:sz="4" w:space="0" w:color="auto"/>
            </w:tcBorders>
          </w:tcPr>
          <w:p>
            <w:pPr>
              <w:pStyle w:val="yTableNAm"/>
              <w:jc w:val="center"/>
            </w:pPr>
            <w:r>
              <w:rPr>
                <w:b/>
                <w:bCs/>
                <w:szCs w:val="22"/>
              </w:rPr>
              <w:t>Class 4 (c/kL)</w:t>
            </w:r>
          </w:p>
        </w:tc>
        <w:tc>
          <w:tcPr>
            <w:tcW w:w="994" w:type="dxa"/>
            <w:tcBorders>
              <w:top w:val="single" w:sz="4" w:space="0" w:color="auto"/>
              <w:bottom w:val="single" w:sz="4" w:space="0" w:color="auto"/>
            </w:tcBorders>
          </w:tcPr>
          <w:p>
            <w:pPr>
              <w:pStyle w:val="yTableNAm"/>
              <w:jc w:val="center"/>
            </w:pPr>
            <w:r>
              <w:rPr>
                <w:b/>
                <w:bCs/>
                <w:szCs w:val="22"/>
              </w:rPr>
              <w:t>Class 5 (c/kL)</w:t>
            </w:r>
          </w:p>
        </w:tc>
      </w:tr>
      <w:tr>
        <w:trPr>
          <w:cantSplit/>
        </w:trPr>
        <w:tc>
          <w:tcPr>
            <w:tcW w:w="1417" w:type="dxa"/>
          </w:tcPr>
          <w:p>
            <w:pPr>
              <w:pStyle w:val="yTableNAm"/>
            </w:pPr>
            <w:r>
              <w:rPr>
                <w:szCs w:val="22"/>
              </w:rPr>
              <w:t>Up to 150</w:t>
            </w:r>
          </w:p>
        </w:tc>
        <w:tc>
          <w:tcPr>
            <w:tcW w:w="992" w:type="dxa"/>
            <w:vAlign w:val="bottom"/>
          </w:tcPr>
          <w:p>
            <w:pPr>
              <w:pStyle w:val="yTableNAm"/>
              <w:jc w:val="center"/>
            </w:pPr>
            <w:r>
              <w:rPr>
                <w:szCs w:val="22"/>
              </w:rPr>
              <w:t>52.0</w:t>
            </w:r>
          </w:p>
        </w:tc>
        <w:tc>
          <w:tcPr>
            <w:tcW w:w="992" w:type="dxa"/>
            <w:vAlign w:val="bottom"/>
          </w:tcPr>
          <w:p>
            <w:pPr>
              <w:pStyle w:val="yTableNAm"/>
              <w:jc w:val="center"/>
            </w:pPr>
            <w:r>
              <w:rPr>
                <w:szCs w:val="22"/>
              </w:rPr>
              <w:t>66.8</w:t>
            </w:r>
          </w:p>
        </w:tc>
        <w:tc>
          <w:tcPr>
            <w:tcW w:w="992" w:type="dxa"/>
            <w:vAlign w:val="bottom"/>
          </w:tcPr>
          <w:p>
            <w:pPr>
              <w:pStyle w:val="yTableNAm"/>
              <w:jc w:val="center"/>
            </w:pPr>
            <w:r>
              <w:rPr>
                <w:szCs w:val="22"/>
              </w:rPr>
              <w:t>66.8</w:t>
            </w:r>
          </w:p>
        </w:tc>
        <w:tc>
          <w:tcPr>
            <w:tcW w:w="992" w:type="dxa"/>
            <w:vAlign w:val="bottom"/>
          </w:tcPr>
          <w:p>
            <w:pPr>
              <w:pStyle w:val="yTableNAm"/>
              <w:jc w:val="center"/>
            </w:pPr>
            <w:r>
              <w:rPr>
                <w:szCs w:val="22"/>
              </w:rPr>
              <w:t>66.8</w:t>
            </w:r>
          </w:p>
        </w:tc>
        <w:tc>
          <w:tcPr>
            <w:tcW w:w="994" w:type="dxa"/>
            <w:vAlign w:val="bottom"/>
          </w:tcPr>
          <w:p>
            <w:pPr>
              <w:pStyle w:val="yTableNAm"/>
              <w:jc w:val="center"/>
            </w:pPr>
            <w:r>
              <w:rPr>
                <w:szCs w:val="22"/>
              </w:rPr>
              <w:t>66.8</w:t>
            </w:r>
          </w:p>
        </w:tc>
      </w:tr>
      <w:tr>
        <w:trPr>
          <w:cantSplit/>
        </w:trPr>
        <w:tc>
          <w:tcPr>
            <w:tcW w:w="1417" w:type="dxa"/>
          </w:tcPr>
          <w:p>
            <w:pPr>
              <w:pStyle w:val="yTableNAm"/>
            </w:pPr>
            <w:r>
              <w:rPr>
                <w:szCs w:val="22"/>
              </w:rPr>
              <w:t>Over 150 but not over 300</w:t>
            </w:r>
          </w:p>
        </w:tc>
        <w:tc>
          <w:tcPr>
            <w:tcW w:w="992" w:type="dxa"/>
            <w:vAlign w:val="bottom"/>
          </w:tcPr>
          <w:p>
            <w:pPr>
              <w:pStyle w:val="yTableNAm"/>
              <w:jc w:val="center"/>
            </w:pPr>
            <w:r>
              <w:rPr>
                <w:szCs w:val="22"/>
              </w:rPr>
              <w:t>67.8</w:t>
            </w:r>
          </w:p>
        </w:tc>
        <w:tc>
          <w:tcPr>
            <w:tcW w:w="992" w:type="dxa"/>
            <w:vAlign w:val="bottom"/>
          </w:tcPr>
          <w:p>
            <w:pPr>
              <w:pStyle w:val="yTableNAm"/>
              <w:jc w:val="center"/>
            </w:pPr>
            <w:r>
              <w:rPr>
                <w:szCs w:val="22"/>
              </w:rPr>
              <w:t>87.4</w:t>
            </w:r>
          </w:p>
        </w:tc>
        <w:tc>
          <w:tcPr>
            <w:tcW w:w="992" w:type="dxa"/>
            <w:vAlign w:val="bottom"/>
          </w:tcPr>
          <w:p>
            <w:pPr>
              <w:pStyle w:val="yTableNAm"/>
              <w:jc w:val="center"/>
            </w:pPr>
            <w:r>
              <w:rPr>
                <w:szCs w:val="22"/>
              </w:rPr>
              <w:t>87.4</w:t>
            </w:r>
          </w:p>
        </w:tc>
        <w:tc>
          <w:tcPr>
            <w:tcW w:w="992" w:type="dxa"/>
            <w:vAlign w:val="bottom"/>
          </w:tcPr>
          <w:p>
            <w:pPr>
              <w:pStyle w:val="yTableNAm"/>
              <w:jc w:val="center"/>
            </w:pPr>
            <w:r>
              <w:rPr>
                <w:szCs w:val="22"/>
              </w:rPr>
              <w:t>87.4</w:t>
            </w:r>
          </w:p>
        </w:tc>
        <w:tc>
          <w:tcPr>
            <w:tcW w:w="994" w:type="dxa"/>
            <w:vAlign w:val="bottom"/>
          </w:tcPr>
          <w:p>
            <w:pPr>
              <w:pStyle w:val="yTableNAm"/>
              <w:jc w:val="center"/>
            </w:pPr>
            <w:r>
              <w:rPr>
                <w:szCs w:val="22"/>
              </w:rPr>
              <w:t>87.4</w:t>
            </w:r>
          </w:p>
        </w:tc>
      </w:tr>
      <w:tr>
        <w:trPr>
          <w:cantSplit/>
        </w:trPr>
        <w:tc>
          <w:tcPr>
            <w:tcW w:w="1417" w:type="dxa"/>
          </w:tcPr>
          <w:p>
            <w:pPr>
              <w:pStyle w:val="yTableNAm"/>
            </w:pPr>
            <w:r>
              <w:rPr>
                <w:szCs w:val="22"/>
              </w:rPr>
              <w:t>Over 300 but not over 350</w:t>
            </w:r>
          </w:p>
        </w:tc>
        <w:tc>
          <w:tcPr>
            <w:tcW w:w="992" w:type="dxa"/>
            <w:vAlign w:val="bottom"/>
          </w:tcPr>
          <w:p>
            <w:pPr>
              <w:pStyle w:val="yTableNAm"/>
              <w:jc w:val="center"/>
            </w:pPr>
            <w:r>
              <w:rPr>
                <w:szCs w:val="22"/>
              </w:rPr>
              <w:t>73.8</w:t>
            </w:r>
          </w:p>
        </w:tc>
        <w:tc>
          <w:tcPr>
            <w:tcW w:w="992" w:type="dxa"/>
            <w:vAlign w:val="bottom"/>
          </w:tcPr>
          <w:p>
            <w:pPr>
              <w:pStyle w:val="yTableNAm"/>
              <w:jc w:val="center"/>
            </w:pPr>
            <w:r>
              <w:rPr>
                <w:szCs w:val="22"/>
              </w:rPr>
              <w:t>102.1</w:t>
            </w:r>
          </w:p>
        </w:tc>
        <w:tc>
          <w:tcPr>
            <w:tcW w:w="992" w:type="dxa"/>
            <w:vAlign w:val="bottom"/>
          </w:tcPr>
          <w:p>
            <w:pPr>
              <w:pStyle w:val="yTableNAm"/>
              <w:jc w:val="center"/>
            </w:pPr>
            <w:r>
              <w:rPr>
                <w:szCs w:val="22"/>
              </w:rPr>
              <w:t>130.1</w:t>
            </w:r>
          </w:p>
        </w:tc>
        <w:tc>
          <w:tcPr>
            <w:tcW w:w="992" w:type="dxa"/>
            <w:vAlign w:val="bottom"/>
          </w:tcPr>
          <w:p>
            <w:pPr>
              <w:pStyle w:val="yTableNAm"/>
              <w:jc w:val="center"/>
            </w:pPr>
            <w:r>
              <w:rPr>
                <w:szCs w:val="22"/>
              </w:rPr>
              <w:t>153.1</w:t>
            </w:r>
          </w:p>
        </w:tc>
        <w:tc>
          <w:tcPr>
            <w:tcW w:w="994" w:type="dxa"/>
            <w:vAlign w:val="bottom"/>
          </w:tcPr>
          <w:p>
            <w:pPr>
              <w:pStyle w:val="yTableNAm"/>
              <w:jc w:val="center"/>
            </w:pPr>
            <w:r>
              <w:rPr>
                <w:szCs w:val="22"/>
              </w:rPr>
              <w:t>180.0</w:t>
            </w:r>
          </w:p>
        </w:tc>
      </w:tr>
      <w:tr>
        <w:trPr>
          <w:cantSplit/>
        </w:trPr>
        <w:tc>
          <w:tcPr>
            <w:tcW w:w="1417" w:type="dxa"/>
          </w:tcPr>
          <w:p>
            <w:pPr>
              <w:pStyle w:val="yTableNAm"/>
            </w:pPr>
            <w:r>
              <w:rPr>
                <w:szCs w:val="22"/>
              </w:rPr>
              <w:t>Over 350 but not over 400</w:t>
            </w:r>
          </w:p>
        </w:tc>
        <w:tc>
          <w:tcPr>
            <w:tcW w:w="992" w:type="dxa"/>
            <w:vAlign w:val="bottom"/>
          </w:tcPr>
          <w:p>
            <w:pPr>
              <w:pStyle w:val="yTableNAm"/>
              <w:jc w:val="center"/>
            </w:pPr>
            <w:r>
              <w:rPr>
                <w:szCs w:val="22"/>
              </w:rPr>
              <w:t>73.8</w:t>
            </w:r>
          </w:p>
        </w:tc>
        <w:tc>
          <w:tcPr>
            <w:tcW w:w="992" w:type="dxa"/>
            <w:vAlign w:val="bottom"/>
          </w:tcPr>
          <w:p>
            <w:pPr>
              <w:pStyle w:val="yTableNAm"/>
              <w:jc w:val="center"/>
            </w:pPr>
            <w:r>
              <w:rPr>
                <w:szCs w:val="22"/>
              </w:rPr>
              <w:t>102.1</w:t>
            </w:r>
          </w:p>
        </w:tc>
        <w:tc>
          <w:tcPr>
            <w:tcW w:w="992" w:type="dxa"/>
            <w:vAlign w:val="bottom"/>
          </w:tcPr>
          <w:p>
            <w:pPr>
              <w:pStyle w:val="yTableNAm"/>
              <w:jc w:val="center"/>
            </w:pPr>
            <w:r>
              <w:rPr>
                <w:szCs w:val="22"/>
              </w:rPr>
              <w:t>130.1</w:t>
            </w:r>
          </w:p>
        </w:tc>
        <w:tc>
          <w:tcPr>
            <w:tcW w:w="992" w:type="dxa"/>
            <w:vAlign w:val="bottom"/>
          </w:tcPr>
          <w:p>
            <w:pPr>
              <w:pStyle w:val="yTableNAm"/>
              <w:jc w:val="center"/>
            </w:pPr>
            <w:r>
              <w:rPr>
                <w:szCs w:val="22"/>
              </w:rPr>
              <w:t>153.1</w:t>
            </w:r>
          </w:p>
        </w:tc>
        <w:tc>
          <w:tcPr>
            <w:tcW w:w="994" w:type="dxa"/>
            <w:vAlign w:val="bottom"/>
          </w:tcPr>
          <w:p>
            <w:pPr>
              <w:pStyle w:val="yTableNAm"/>
              <w:jc w:val="center"/>
            </w:pPr>
            <w:r>
              <w:rPr>
                <w:szCs w:val="22"/>
              </w:rPr>
              <w:t>180.0</w:t>
            </w:r>
          </w:p>
        </w:tc>
      </w:tr>
      <w:tr>
        <w:trPr>
          <w:cantSplit/>
        </w:trPr>
        <w:tc>
          <w:tcPr>
            <w:tcW w:w="1417" w:type="dxa"/>
          </w:tcPr>
          <w:p>
            <w:pPr>
              <w:pStyle w:val="yTableNAm"/>
            </w:pPr>
            <w:r>
              <w:rPr>
                <w:szCs w:val="22"/>
              </w:rPr>
              <w:t>Over 400 but not over 450</w:t>
            </w:r>
          </w:p>
        </w:tc>
        <w:tc>
          <w:tcPr>
            <w:tcW w:w="992" w:type="dxa"/>
            <w:vAlign w:val="bottom"/>
          </w:tcPr>
          <w:p>
            <w:pPr>
              <w:pStyle w:val="yTableNAm"/>
              <w:jc w:val="center"/>
            </w:pPr>
            <w:r>
              <w:rPr>
                <w:szCs w:val="22"/>
              </w:rPr>
              <w:t>147.6</w:t>
            </w:r>
          </w:p>
        </w:tc>
        <w:tc>
          <w:tcPr>
            <w:tcW w:w="992" w:type="dxa"/>
            <w:vAlign w:val="bottom"/>
          </w:tcPr>
          <w:p>
            <w:pPr>
              <w:pStyle w:val="yTableNAm"/>
              <w:jc w:val="center"/>
            </w:pPr>
            <w:r>
              <w:rPr>
                <w:szCs w:val="22"/>
              </w:rPr>
              <w:t>204.2</w:t>
            </w:r>
          </w:p>
        </w:tc>
        <w:tc>
          <w:tcPr>
            <w:tcW w:w="992" w:type="dxa"/>
            <w:vAlign w:val="bottom"/>
          </w:tcPr>
          <w:p>
            <w:pPr>
              <w:pStyle w:val="yTableNAm"/>
              <w:jc w:val="center"/>
            </w:pPr>
            <w:r>
              <w:rPr>
                <w:szCs w:val="22"/>
              </w:rPr>
              <w:t>260.2</w:t>
            </w:r>
          </w:p>
        </w:tc>
        <w:tc>
          <w:tcPr>
            <w:tcW w:w="992" w:type="dxa"/>
            <w:vAlign w:val="bottom"/>
          </w:tcPr>
          <w:p>
            <w:pPr>
              <w:pStyle w:val="yTableNAm"/>
              <w:jc w:val="center"/>
            </w:pPr>
            <w:r>
              <w:rPr>
                <w:szCs w:val="22"/>
              </w:rPr>
              <w:t>306.1</w:t>
            </w:r>
          </w:p>
        </w:tc>
        <w:tc>
          <w:tcPr>
            <w:tcW w:w="994" w:type="dxa"/>
            <w:vAlign w:val="bottom"/>
          </w:tcPr>
          <w:p>
            <w:pPr>
              <w:pStyle w:val="yTableNAm"/>
              <w:jc w:val="center"/>
            </w:pPr>
            <w:r>
              <w:rPr>
                <w:szCs w:val="22"/>
              </w:rPr>
              <w:t>360.0</w:t>
            </w:r>
          </w:p>
        </w:tc>
      </w:tr>
      <w:tr>
        <w:trPr>
          <w:cantSplit/>
        </w:trPr>
        <w:tc>
          <w:tcPr>
            <w:tcW w:w="1417" w:type="dxa"/>
          </w:tcPr>
          <w:p>
            <w:pPr>
              <w:pStyle w:val="yTableNAm"/>
            </w:pPr>
            <w:r>
              <w:rPr>
                <w:szCs w:val="22"/>
              </w:rPr>
              <w:t>Over 450 but not over 550</w:t>
            </w:r>
          </w:p>
        </w:tc>
        <w:tc>
          <w:tcPr>
            <w:tcW w:w="992" w:type="dxa"/>
            <w:vAlign w:val="bottom"/>
          </w:tcPr>
          <w:p>
            <w:pPr>
              <w:pStyle w:val="yTableNAm"/>
              <w:jc w:val="center"/>
            </w:pPr>
            <w:r>
              <w:rPr>
                <w:szCs w:val="22"/>
              </w:rPr>
              <w:t>147.6</w:t>
            </w:r>
          </w:p>
        </w:tc>
        <w:tc>
          <w:tcPr>
            <w:tcW w:w="992" w:type="dxa"/>
            <w:vAlign w:val="bottom"/>
          </w:tcPr>
          <w:p>
            <w:pPr>
              <w:pStyle w:val="yTableNAm"/>
              <w:jc w:val="center"/>
            </w:pPr>
            <w:r>
              <w:rPr>
                <w:szCs w:val="22"/>
              </w:rPr>
              <w:t>204.2</w:t>
            </w:r>
          </w:p>
        </w:tc>
        <w:tc>
          <w:tcPr>
            <w:tcW w:w="992" w:type="dxa"/>
            <w:vAlign w:val="bottom"/>
          </w:tcPr>
          <w:p>
            <w:pPr>
              <w:pStyle w:val="yTableNAm"/>
              <w:jc w:val="center"/>
            </w:pPr>
            <w:r>
              <w:rPr>
                <w:szCs w:val="22"/>
              </w:rPr>
              <w:t>260.2</w:t>
            </w:r>
          </w:p>
        </w:tc>
        <w:tc>
          <w:tcPr>
            <w:tcW w:w="992" w:type="dxa"/>
            <w:vAlign w:val="bottom"/>
          </w:tcPr>
          <w:p>
            <w:pPr>
              <w:pStyle w:val="yTableNAm"/>
              <w:jc w:val="center"/>
            </w:pPr>
            <w:r>
              <w:rPr>
                <w:szCs w:val="22"/>
              </w:rPr>
              <w:t>306.1</w:t>
            </w:r>
          </w:p>
        </w:tc>
        <w:tc>
          <w:tcPr>
            <w:tcW w:w="994" w:type="dxa"/>
            <w:vAlign w:val="bottom"/>
          </w:tcPr>
          <w:p>
            <w:pPr>
              <w:pStyle w:val="yTableNAm"/>
              <w:jc w:val="center"/>
            </w:pPr>
            <w:r>
              <w:rPr>
                <w:szCs w:val="22"/>
              </w:rPr>
              <w:t>360.0</w:t>
            </w:r>
          </w:p>
        </w:tc>
      </w:tr>
      <w:tr>
        <w:trPr>
          <w:cantSplit/>
        </w:trPr>
        <w:tc>
          <w:tcPr>
            <w:tcW w:w="1417" w:type="dxa"/>
          </w:tcPr>
          <w:p>
            <w:pPr>
              <w:pStyle w:val="yTableNAm"/>
            </w:pPr>
            <w:r>
              <w:rPr>
                <w:szCs w:val="22"/>
              </w:rPr>
              <w:t>Over 550 but not over 750</w:t>
            </w:r>
          </w:p>
        </w:tc>
        <w:tc>
          <w:tcPr>
            <w:tcW w:w="992" w:type="dxa"/>
            <w:vAlign w:val="bottom"/>
          </w:tcPr>
          <w:p>
            <w:pPr>
              <w:pStyle w:val="yTableNAm"/>
              <w:jc w:val="center"/>
            </w:pPr>
            <w:r>
              <w:rPr>
                <w:szCs w:val="22"/>
              </w:rPr>
              <w:t>173.4</w:t>
            </w:r>
          </w:p>
        </w:tc>
        <w:tc>
          <w:tcPr>
            <w:tcW w:w="992" w:type="dxa"/>
            <w:vAlign w:val="bottom"/>
          </w:tcPr>
          <w:p>
            <w:pPr>
              <w:pStyle w:val="yTableNAm"/>
              <w:jc w:val="center"/>
            </w:pPr>
            <w:r>
              <w:rPr>
                <w:szCs w:val="22"/>
              </w:rPr>
              <w:t>239.8</w:t>
            </w:r>
          </w:p>
        </w:tc>
        <w:tc>
          <w:tcPr>
            <w:tcW w:w="992" w:type="dxa"/>
            <w:vAlign w:val="bottom"/>
          </w:tcPr>
          <w:p>
            <w:pPr>
              <w:pStyle w:val="yTableNAm"/>
              <w:jc w:val="center"/>
            </w:pPr>
            <w:r>
              <w:rPr>
                <w:szCs w:val="22"/>
              </w:rPr>
              <w:t>331.7</w:t>
            </w:r>
          </w:p>
        </w:tc>
        <w:tc>
          <w:tcPr>
            <w:tcW w:w="992" w:type="dxa"/>
            <w:vAlign w:val="bottom"/>
          </w:tcPr>
          <w:p>
            <w:pPr>
              <w:pStyle w:val="yTableNAm"/>
              <w:jc w:val="center"/>
            </w:pPr>
            <w:r>
              <w:rPr>
                <w:szCs w:val="22"/>
              </w:rPr>
              <w:t>458.9</w:t>
            </w:r>
          </w:p>
        </w:tc>
        <w:tc>
          <w:tcPr>
            <w:tcW w:w="994" w:type="dxa"/>
            <w:vAlign w:val="bottom"/>
          </w:tcPr>
          <w:p>
            <w:pPr>
              <w:pStyle w:val="yTableNAm"/>
              <w:jc w:val="center"/>
            </w:pPr>
            <w:r>
              <w:rPr>
                <w:szCs w:val="22"/>
              </w:rPr>
              <w:t>634.7</w:t>
            </w:r>
          </w:p>
        </w:tc>
      </w:tr>
      <w:tr>
        <w:trPr>
          <w:cantSplit/>
        </w:trPr>
        <w:tc>
          <w:tcPr>
            <w:tcW w:w="1417" w:type="dxa"/>
          </w:tcPr>
          <w:p>
            <w:pPr>
              <w:pStyle w:val="yTableNAm"/>
            </w:pPr>
            <w:r>
              <w:rPr>
                <w:szCs w:val="22"/>
              </w:rPr>
              <w:t>Over 750 but not over 950</w:t>
            </w:r>
          </w:p>
        </w:tc>
        <w:tc>
          <w:tcPr>
            <w:tcW w:w="992" w:type="dxa"/>
            <w:vAlign w:val="bottom"/>
          </w:tcPr>
          <w:p>
            <w:pPr>
              <w:pStyle w:val="yTableNAm"/>
              <w:jc w:val="center"/>
            </w:pPr>
            <w:r>
              <w:rPr>
                <w:szCs w:val="22"/>
              </w:rPr>
              <w:t>173.4</w:t>
            </w:r>
          </w:p>
        </w:tc>
        <w:tc>
          <w:tcPr>
            <w:tcW w:w="992" w:type="dxa"/>
            <w:vAlign w:val="bottom"/>
          </w:tcPr>
          <w:p>
            <w:pPr>
              <w:pStyle w:val="yTableNAm"/>
              <w:jc w:val="center"/>
            </w:pPr>
            <w:r>
              <w:rPr>
                <w:szCs w:val="22"/>
              </w:rPr>
              <w:t>239.8</w:t>
            </w:r>
          </w:p>
        </w:tc>
        <w:tc>
          <w:tcPr>
            <w:tcW w:w="992" w:type="dxa"/>
            <w:vAlign w:val="bottom"/>
          </w:tcPr>
          <w:p>
            <w:pPr>
              <w:pStyle w:val="yTableNAm"/>
              <w:jc w:val="center"/>
            </w:pPr>
            <w:r>
              <w:rPr>
                <w:szCs w:val="22"/>
              </w:rPr>
              <w:t>331.7</w:t>
            </w:r>
          </w:p>
        </w:tc>
        <w:tc>
          <w:tcPr>
            <w:tcW w:w="992" w:type="dxa"/>
            <w:vAlign w:val="bottom"/>
          </w:tcPr>
          <w:p>
            <w:pPr>
              <w:pStyle w:val="yTableNAm"/>
              <w:jc w:val="center"/>
            </w:pPr>
            <w:r>
              <w:rPr>
                <w:szCs w:val="22"/>
              </w:rPr>
              <w:t>458.9</w:t>
            </w:r>
          </w:p>
        </w:tc>
        <w:tc>
          <w:tcPr>
            <w:tcW w:w="994" w:type="dxa"/>
            <w:vAlign w:val="bottom"/>
          </w:tcPr>
          <w:p>
            <w:pPr>
              <w:pStyle w:val="yTableNAm"/>
              <w:jc w:val="center"/>
            </w:pPr>
            <w:r>
              <w:rPr>
                <w:szCs w:val="22"/>
              </w:rPr>
              <w:t>634.7</w:t>
            </w:r>
          </w:p>
        </w:tc>
      </w:tr>
      <w:tr>
        <w:trPr>
          <w:cantSplit/>
        </w:trPr>
        <w:tc>
          <w:tcPr>
            <w:tcW w:w="1417" w:type="dxa"/>
          </w:tcPr>
          <w:p>
            <w:pPr>
              <w:pStyle w:val="yTableNAm"/>
            </w:pPr>
            <w:r>
              <w:rPr>
                <w:szCs w:val="22"/>
              </w:rPr>
              <w:t>Over 950 but not over 1 150</w:t>
            </w:r>
          </w:p>
        </w:tc>
        <w:tc>
          <w:tcPr>
            <w:tcW w:w="992" w:type="dxa"/>
            <w:vAlign w:val="bottom"/>
          </w:tcPr>
          <w:p>
            <w:pPr>
              <w:pStyle w:val="yTableNAm"/>
              <w:jc w:val="center"/>
            </w:pPr>
            <w:r>
              <w:rPr>
                <w:szCs w:val="22"/>
              </w:rPr>
              <w:t>173.4</w:t>
            </w:r>
          </w:p>
        </w:tc>
        <w:tc>
          <w:tcPr>
            <w:tcW w:w="992" w:type="dxa"/>
            <w:vAlign w:val="bottom"/>
          </w:tcPr>
          <w:p>
            <w:pPr>
              <w:pStyle w:val="yTableNAm"/>
              <w:jc w:val="center"/>
            </w:pPr>
            <w:r>
              <w:rPr>
                <w:szCs w:val="22"/>
              </w:rPr>
              <w:t>239.8</w:t>
            </w:r>
          </w:p>
        </w:tc>
        <w:tc>
          <w:tcPr>
            <w:tcW w:w="992" w:type="dxa"/>
            <w:vAlign w:val="bottom"/>
          </w:tcPr>
          <w:p>
            <w:pPr>
              <w:pStyle w:val="yTableNAm"/>
              <w:jc w:val="center"/>
            </w:pPr>
            <w:r>
              <w:rPr>
                <w:szCs w:val="22"/>
              </w:rPr>
              <w:t>331.7</w:t>
            </w:r>
          </w:p>
        </w:tc>
        <w:tc>
          <w:tcPr>
            <w:tcW w:w="992" w:type="dxa"/>
            <w:vAlign w:val="bottom"/>
          </w:tcPr>
          <w:p>
            <w:pPr>
              <w:pStyle w:val="yTableNAm"/>
              <w:jc w:val="center"/>
            </w:pPr>
            <w:r>
              <w:rPr>
                <w:szCs w:val="22"/>
              </w:rPr>
              <w:t>458.9</w:t>
            </w:r>
          </w:p>
        </w:tc>
        <w:tc>
          <w:tcPr>
            <w:tcW w:w="994" w:type="dxa"/>
            <w:vAlign w:val="bottom"/>
          </w:tcPr>
          <w:p>
            <w:pPr>
              <w:pStyle w:val="yTableNAm"/>
              <w:jc w:val="center"/>
            </w:pPr>
            <w:r>
              <w:rPr>
                <w:szCs w:val="22"/>
              </w:rPr>
              <w:t>634.7</w:t>
            </w:r>
          </w:p>
        </w:tc>
      </w:tr>
      <w:tr>
        <w:trPr>
          <w:cantSplit/>
        </w:trPr>
        <w:tc>
          <w:tcPr>
            <w:tcW w:w="1417" w:type="dxa"/>
          </w:tcPr>
          <w:p>
            <w:pPr>
              <w:pStyle w:val="yTableNAm"/>
            </w:pPr>
            <w:r>
              <w:rPr>
                <w:szCs w:val="22"/>
              </w:rPr>
              <w:t>Over 1 150 but not over 1 550</w:t>
            </w:r>
          </w:p>
        </w:tc>
        <w:tc>
          <w:tcPr>
            <w:tcW w:w="992" w:type="dxa"/>
            <w:vAlign w:val="bottom"/>
          </w:tcPr>
          <w:p>
            <w:pPr>
              <w:pStyle w:val="yTableNAm"/>
              <w:jc w:val="center"/>
            </w:pPr>
            <w:r>
              <w:rPr>
                <w:szCs w:val="22"/>
              </w:rPr>
              <w:t>173.4</w:t>
            </w:r>
          </w:p>
        </w:tc>
        <w:tc>
          <w:tcPr>
            <w:tcW w:w="992" w:type="dxa"/>
            <w:vAlign w:val="bottom"/>
          </w:tcPr>
          <w:p>
            <w:pPr>
              <w:pStyle w:val="yTableNAm"/>
              <w:jc w:val="center"/>
            </w:pPr>
            <w:r>
              <w:rPr>
                <w:szCs w:val="22"/>
              </w:rPr>
              <w:t>239.8</w:t>
            </w:r>
          </w:p>
        </w:tc>
        <w:tc>
          <w:tcPr>
            <w:tcW w:w="992" w:type="dxa"/>
            <w:vAlign w:val="bottom"/>
          </w:tcPr>
          <w:p>
            <w:pPr>
              <w:pStyle w:val="yTableNAm"/>
              <w:jc w:val="center"/>
            </w:pPr>
            <w:r>
              <w:rPr>
                <w:szCs w:val="22"/>
              </w:rPr>
              <w:t>331.7</w:t>
            </w:r>
          </w:p>
        </w:tc>
        <w:tc>
          <w:tcPr>
            <w:tcW w:w="992" w:type="dxa"/>
            <w:vAlign w:val="bottom"/>
          </w:tcPr>
          <w:p>
            <w:pPr>
              <w:pStyle w:val="yTableNAm"/>
              <w:jc w:val="center"/>
            </w:pPr>
            <w:r>
              <w:rPr>
                <w:szCs w:val="22"/>
              </w:rPr>
              <w:t>458.9</w:t>
            </w:r>
          </w:p>
        </w:tc>
        <w:tc>
          <w:tcPr>
            <w:tcW w:w="994" w:type="dxa"/>
            <w:vAlign w:val="bottom"/>
          </w:tcPr>
          <w:p>
            <w:pPr>
              <w:pStyle w:val="yTableNAm"/>
              <w:jc w:val="center"/>
            </w:pPr>
            <w:r>
              <w:rPr>
                <w:szCs w:val="22"/>
              </w:rPr>
              <w:t>634.7</w:t>
            </w:r>
          </w:p>
        </w:tc>
      </w:tr>
      <w:tr>
        <w:trPr>
          <w:cantSplit/>
        </w:trPr>
        <w:tc>
          <w:tcPr>
            <w:tcW w:w="1417" w:type="dxa"/>
          </w:tcPr>
          <w:p>
            <w:pPr>
              <w:pStyle w:val="yTableNAm"/>
            </w:pPr>
            <w:r>
              <w:rPr>
                <w:szCs w:val="22"/>
              </w:rPr>
              <w:t>Over 1 550 but not over 1 950</w:t>
            </w:r>
          </w:p>
        </w:tc>
        <w:tc>
          <w:tcPr>
            <w:tcW w:w="992" w:type="dxa"/>
            <w:vAlign w:val="bottom"/>
          </w:tcPr>
          <w:p>
            <w:pPr>
              <w:pStyle w:val="yTableNAm"/>
              <w:jc w:val="center"/>
            </w:pPr>
            <w:r>
              <w:rPr>
                <w:szCs w:val="22"/>
              </w:rPr>
              <w:t>173.4</w:t>
            </w:r>
          </w:p>
        </w:tc>
        <w:tc>
          <w:tcPr>
            <w:tcW w:w="992" w:type="dxa"/>
            <w:vAlign w:val="bottom"/>
          </w:tcPr>
          <w:p>
            <w:pPr>
              <w:pStyle w:val="yTableNAm"/>
              <w:jc w:val="center"/>
            </w:pPr>
            <w:r>
              <w:rPr>
                <w:szCs w:val="22"/>
              </w:rPr>
              <w:t>239.8</w:t>
            </w:r>
          </w:p>
        </w:tc>
        <w:tc>
          <w:tcPr>
            <w:tcW w:w="992" w:type="dxa"/>
            <w:vAlign w:val="bottom"/>
          </w:tcPr>
          <w:p>
            <w:pPr>
              <w:pStyle w:val="yTableNAm"/>
              <w:jc w:val="center"/>
            </w:pPr>
            <w:r>
              <w:rPr>
                <w:szCs w:val="22"/>
              </w:rPr>
              <w:t>331.7</w:t>
            </w:r>
          </w:p>
        </w:tc>
        <w:tc>
          <w:tcPr>
            <w:tcW w:w="992" w:type="dxa"/>
            <w:vAlign w:val="bottom"/>
          </w:tcPr>
          <w:p>
            <w:pPr>
              <w:pStyle w:val="yTableNAm"/>
              <w:jc w:val="center"/>
            </w:pPr>
            <w:r>
              <w:rPr>
                <w:szCs w:val="22"/>
              </w:rPr>
              <w:t>458.9</w:t>
            </w:r>
          </w:p>
        </w:tc>
        <w:tc>
          <w:tcPr>
            <w:tcW w:w="994" w:type="dxa"/>
            <w:vAlign w:val="bottom"/>
          </w:tcPr>
          <w:p>
            <w:pPr>
              <w:pStyle w:val="yTableNAm"/>
              <w:jc w:val="center"/>
            </w:pPr>
            <w:r>
              <w:rPr>
                <w:szCs w:val="22"/>
              </w:rPr>
              <w:t>634.7</w:t>
            </w:r>
          </w:p>
        </w:tc>
      </w:tr>
      <w:tr>
        <w:trPr>
          <w:cantSplit/>
        </w:trPr>
        <w:tc>
          <w:tcPr>
            <w:tcW w:w="1417" w:type="dxa"/>
            <w:tcBorders>
              <w:bottom w:val="single" w:sz="4" w:space="0" w:color="auto"/>
            </w:tcBorders>
          </w:tcPr>
          <w:p>
            <w:pPr>
              <w:pStyle w:val="yTableNAm"/>
            </w:pPr>
            <w:r>
              <w:rPr>
                <w:szCs w:val="22"/>
              </w:rPr>
              <w:t>Over 1 950</w:t>
            </w:r>
          </w:p>
        </w:tc>
        <w:tc>
          <w:tcPr>
            <w:tcW w:w="992" w:type="dxa"/>
            <w:tcBorders>
              <w:bottom w:val="single" w:sz="4" w:space="0" w:color="auto"/>
            </w:tcBorders>
            <w:vAlign w:val="bottom"/>
          </w:tcPr>
          <w:p>
            <w:pPr>
              <w:pStyle w:val="yTableNAm"/>
              <w:jc w:val="center"/>
            </w:pPr>
            <w:r>
              <w:rPr>
                <w:szCs w:val="22"/>
              </w:rPr>
              <w:t>173.4</w:t>
            </w:r>
          </w:p>
        </w:tc>
        <w:tc>
          <w:tcPr>
            <w:tcW w:w="992" w:type="dxa"/>
            <w:tcBorders>
              <w:bottom w:val="single" w:sz="4" w:space="0" w:color="auto"/>
            </w:tcBorders>
            <w:vAlign w:val="bottom"/>
          </w:tcPr>
          <w:p>
            <w:pPr>
              <w:pStyle w:val="yTableNAm"/>
              <w:jc w:val="center"/>
            </w:pPr>
            <w:r>
              <w:rPr>
                <w:szCs w:val="22"/>
              </w:rPr>
              <w:t>239.8</w:t>
            </w:r>
          </w:p>
        </w:tc>
        <w:tc>
          <w:tcPr>
            <w:tcW w:w="992" w:type="dxa"/>
            <w:tcBorders>
              <w:bottom w:val="single" w:sz="4" w:space="0" w:color="auto"/>
            </w:tcBorders>
            <w:vAlign w:val="bottom"/>
          </w:tcPr>
          <w:p>
            <w:pPr>
              <w:pStyle w:val="yTableNAm"/>
              <w:jc w:val="center"/>
            </w:pPr>
            <w:r>
              <w:rPr>
                <w:szCs w:val="22"/>
              </w:rPr>
              <w:t>331.7</w:t>
            </w:r>
          </w:p>
        </w:tc>
        <w:tc>
          <w:tcPr>
            <w:tcW w:w="992" w:type="dxa"/>
            <w:tcBorders>
              <w:bottom w:val="single" w:sz="4" w:space="0" w:color="auto"/>
            </w:tcBorders>
            <w:vAlign w:val="bottom"/>
          </w:tcPr>
          <w:p>
            <w:pPr>
              <w:pStyle w:val="yTableNAm"/>
              <w:jc w:val="center"/>
            </w:pPr>
            <w:r>
              <w:rPr>
                <w:szCs w:val="22"/>
              </w:rPr>
              <w:t>458.9</w:t>
            </w:r>
          </w:p>
        </w:tc>
        <w:tc>
          <w:tcPr>
            <w:tcW w:w="994" w:type="dxa"/>
            <w:tcBorders>
              <w:bottom w:val="single" w:sz="4" w:space="0" w:color="auto"/>
            </w:tcBorders>
            <w:vAlign w:val="bottom"/>
          </w:tcPr>
          <w:p>
            <w:pPr>
              <w:pStyle w:val="yTableNAm"/>
              <w:jc w:val="center"/>
            </w:pPr>
            <w:r>
              <w:rPr>
                <w:szCs w:val="22"/>
              </w:rPr>
              <w:t>634.7</w:t>
            </w:r>
          </w:p>
        </w:tc>
      </w:tr>
    </w:tbl>
    <w:p>
      <w:pPr>
        <w:pStyle w:val="yMiscellaneousBody"/>
      </w:pPr>
    </w:p>
    <w:tbl>
      <w:tblPr>
        <w:tblW w:w="0" w:type="auto"/>
        <w:tblInd w:w="534" w:type="dxa"/>
        <w:tblLook w:val="0000" w:firstRow="0" w:lastRow="0" w:firstColumn="0" w:lastColumn="0" w:noHBand="0" w:noVBand="0"/>
      </w:tblPr>
      <w:tblGrid>
        <w:gridCol w:w="850"/>
        <w:gridCol w:w="4237"/>
        <w:gridCol w:w="1292"/>
      </w:tblGrid>
      <w:tr>
        <w:trPr>
          <w:cantSplit/>
        </w:trPr>
        <w:tc>
          <w:tcPr>
            <w:tcW w:w="850" w:type="dxa"/>
          </w:tcPr>
          <w:p>
            <w:pPr>
              <w:pStyle w:val="zyTableNAm"/>
              <w:rPr>
                <w:rStyle w:val="CharSClsNo"/>
              </w:rPr>
            </w:pPr>
          </w:p>
        </w:tc>
        <w:tc>
          <w:tcPr>
            <w:tcW w:w="4237" w:type="dxa"/>
          </w:tcPr>
          <w:p>
            <w:pPr>
              <w:pStyle w:val="yTableNAm"/>
            </w:pPr>
            <w:r>
              <w:t>except that if the property is —</w:t>
            </w:r>
          </w:p>
        </w:tc>
        <w:tc>
          <w:tcPr>
            <w:tcW w:w="1292" w:type="dxa"/>
          </w:tcPr>
          <w:p>
            <w:pPr>
              <w:pStyle w:val="yTableNAm"/>
            </w:pPr>
          </w:p>
        </w:tc>
      </w:tr>
      <w:tr>
        <w:trPr>
          <w:cantSplit/>
        </w:trPr>
        <w:tc>
          <w:tcPr>
            <w:tcW w:w="850" w:type="dxa"/>
          </w:tcPr>
          <w:p>
            <w:pPr>
              <w:pStyle w:val="zyTableNAm"/>
              <w:rPr>
                <w:rStyle w:val="CharSClsNo"/>
                <w:b/>
                <w:bCs/>
              </w:rPr>
            </w:pPr>
          </w:p>
        </w:tc>
        <w:tc>
          <w:tcPr>
            <w:tcW w:w="4237" w:type="dxa"/>
          </w:tcPr>
          <w:p>
            <w:pPr>
              <w:pStyle w:val="yTableNAm"/>
              <w:tabs>
                <w:tab w:val="clear" w:pos="567"/>
                <w:tab w:val="left" w:pos="176"/>
              </w:tabs>
              <w:ind w:left="656" w:hanging="656"/>
            </w:pPr>
            <w:r>
              <w:rPr>
                <w:snapToGrid w:val="0"/>
              </w:rPr>
              <w:tab/>
              <w:t>(a)</w:t>
            </w:r>
            <w:r>
              <w:rPr>
                <w:snapToGrid w:val="0"/>
              </w:rPr>
              <w:tab/>
              <w:t>in the town of Cue, Laverton, Leonora, Meekatharra, Menzies, Mt Magnet, Mullewa, Sandstone, Wiluna or Yalgoo; or</w:t>
            </w:r>
          </w:p>
        </w:tc>
        <w:tc>
          <w:tcPr>
            <w:tcW w:w="1292" w:type="dxa"/>
          </w:tcPr>
          <w:p>
            <w:pPr>
              <w:pStyle w:val="yTableNAm"/>
            </w:pPr>
          </w:p>
        </w:tc>
      </w:tr>
      <w:tr>
        <w:trPr>
          <w:cantSplit/>
        </w:trPr>
        <w:tc>
          <w:tcPr>
            <w:tcW w:w="850" w:type="dxa"/>
          </w:tcPr>
          <w:p>
            <w:pPr>
              <w:pStyle w:val="zyTableNAm"/>
              <w:rPr>
                <w:rStyle w:val="CharSClsNo"/>
              </w:rPr>
            </w:pPr>
          </w:p>
        </w:tc>
        <w:tc>
          <w:tcPr>
            <w:tcW w:w="4237" w:type="dxa"/>
          </w:tcPr>
          <w:p>
            <w:pPr>
              <w:pStyle w:val="yTableNAm"/>
              <w:tabs>
                <w:tab w:val="clear" w:pos="567"/>
                <w:tab w:val="left" w:pos="176"/>
              </w:tabs>
              <w:ind w:left="656" w:hanging="656"/>
            </w:pPr>
            <w:r>
              <w:rPr>
                <w:snapToGrid w:val="0"/>
              </w:rPr>
              <w:tab/>
              <w:t>(b)</w:t>
            </w:r>
            <w:r>
              <w:rPr>
                <w:snapToGrid w:val="0"/>
              </w:rPr>
              <w:tab/>
              <w:t>north of 26ºS Latitude,</w:t>
            </w:r>
          </w:p>
        </w:tc>
        <w:tc>
          <w:tcPr>
            <w:tcW w:w="1292" w:type="dxa"/>
          </w:tcPr>
          <w:p>
            <w:pPr>
              <w:pStyle w:val="yTableNAm"/>
            </w:pPr>
          </w:p>
        </w:tc>
      </w:tr>
      <w:tr>
        <w:trPr>
          <w:cantSplit/>
        </w:trPr>
        <w:tc>
          <w:tcPr>
            <w:tcW w:w="850" w:type="dxa"/>
          </w:tcPr>
          <w:p>
            <w:pPr>
              <w:pStyle w:val="zyTableNAm"/>
              <w:rPr>
                <w:rStyle w:val="CharSClsNo"/>
              </w:rPr>
            </w:pPr>
          </w:p>
        </w:tc>
        <w:tc>
          <w:tcPr>
            <w:tcW w:w="4237" w:type="dxa"/>
          </w:tcPr>
          <w:p>
            <w:pPr>
              <w:pStyle w:val="yTableNAm"/>
              <w:rPr>
                <w:snapToGrid w:val="0"/>
              </w:rPr>
            </w:pPr>
            <w:r>
              <w:t>the charge for each kilolitre of water is —</w:t>
            </w:r>
          </w:p>
        </w:tc>
        <w:tc>
          <w:tcPr>
            <w:tcW w:w="1292" w:type="dxa"/>
          </w:tcPr>
          <w:p>
            <w:pPr>
              <w:pStyle w:val="yTableNAm"/>
            </w:pPr>
          </w:p>
        </w:tc>
      </w:tr>
    </w:tbl>
    <w:p>
      <w:pPr>
        <w:pStyle w:val="yMiscellaneousBody"/>
      </w:pPr>
    </w:p>
    <w:tbl>
      <w:tblPr>
        <w:tblW w:w="0" w:type="auto"/>
        <w:tblInd w:w="454" w:type="dxa"/>
        <w:tblCellMar>
          <w:left w:w="28" w:type="dxa"/>
          <w:right w:w="28" w:type="dxa"/>
        </w:tblCellMar>
        <w:tblLook w:val="0000" w:firstRow="0" w:lastRow="0" w:firstColumn="0" w:lastColumn="0" w:noHBand="0" w:noVBand="0"/>
      </w:tblPr>
      <w:tblGrid>
        <w:gridCol w:w="1417"/>
        <w:gridCol w:w="992"/>
        <w:gridCol w:w="992"/>
        <w:gridCol w:w="992"/>
        <w:gridCol w:w="992"/>
        <w:gridCol w:w="994"/>
      </w:tblGrid>
      <w:tr>
        <w:trPr>
          <w:cantSplit/>
          <w:tblHeader/>
        </w:trPr>
        <w:tc>
          <w:tcPr>
            <w:tcW w:w="1417" w:type="dxa"/>
            <w:tcBorders>
              <w:top w:val="single" w:sz="4" w:space="0" w:color="auto"/>
              <w:bottom w:val="single" w:sz="4" w:space="0" w:color="auto"/>
            </w:tcBorders>
          </w:tcPr>
          <w:p>
            <w:pPr>
              <w:pStyle w:val="yTableNAm"/>
            </w:pPr>
            <w:r>
              <w:rPr>
                <w:b/>
                <w:bCs/>
              </w:rPr>
              <w:br w:type="page"/>
              <w:t>Consumption (kL)</w:t>
            </w:r>
          </w:p>
        </w:tc>
        <w:tc>
          <w:tcPr>
            <w:tcW w:w="992" w:type="dxa"/>
            <w:tcBorders>
              <w:top w:val="single" w:sz="4" w:space="0" w:color="auto"/>
              <w:bottom w:val="single" w:sz="4" w:space="0" w:color="auto"/>
            </w:tcBorders>
          </w:tcPr>
          <w:p>
            <w:pPr>
              <w:pStyle w:val="yTableNAm"/>
              <w:jc w:val="center"/>
            </w:pPr>
            <w:r>
              <w:rPr>
                <w:b/>
                <w:bCs/>
              </w:rPr>
              <w:t>Class 1 (c/kL)</w:t>
            </w:r>
          </w:p>
        </w:tc>
        <w:tc>
          <w:tcPr>
            <w:tcW w:w="992" w:type="dxa"/>
            <w:tcBorders>
              <w:top w:val="single" w:sz="4" w:space="0" w:color="auto"/>
              <w:bottom w:val="single" w:sz="4" w:space="0" w:color="auto"/>
            </w:tcBorders>
          </w:tcPr>
          <w:p>
            <w:pPr>
              <w:pStyle w:val="yTableNAm"/>
              <w:jc w:val="center"/>
            </w:pPr>
            <w:r>
              <w:rPr>
                <w:b/>
                <w:bCs/>
              </w:rPr>
              <w:t>Class 2 (c/kL)</w:t>
            </w:r>
          </w:p>
        </w:tc>
        <w:tc>
          <w:tcPr>
            <w:tcW w:w="992" w:type="dxa"/>
            <w:tcBorders>
              <w:top w:val="single" w:sz="4" w:space="0" w:color="auto"/>
              <w:bottom w:val="single" w:sz="4" w:space="0" w:color="auto"/>
            </w:tcBorders>
          </w:tcPr>
          <w:p>
            <w:pPr>
              <w:pStyle w:val="yTableNAm"/>
              <w:jc w:val="center"/>
            </w:pPr>
            <w:r>
              <w:rPr>
                <w:b/>
                <w:bCs/>
              </w:rPr>
              <w:t>Class 3 (c/kL)</w:t>
            </w:r>
          </w:p>
        </w:tc>
        <w:tc>
          <w:tcPr>
            <w:tcW w:w="992" w:type="dxa"/>
            <w:tcBorders>
              <w:top w:val="single" w:sz="4" w:space="0" w:color="auto"/>
              <w:bottom w:val="single" w:sz="4" w:space="0" w:color="auto"/>
            </w:tcBorders>
          </w:tcPr>
          <w:p>
            <w:pPr>
              <w:pStyle w:val="yTableNAm"/>
              <w:jc w:val="center"/>
            </w:pPr>
            <w:r>
              <w:rPr>
                <w:b/>
                <w:bCs/>
              </w:rPr>
              <w:t>Class 4 (c/kL)</w:t>
            </w:r>
          </w:p>
        </w:tc>
        <w:tc>
          <w:tcPr>
            <w:tcW w:w="994" w:type="dxa"/>
            <w:tcBorders>
              <w:top w:val="single" w:sz="4" w:space="0" w:color="auto"/>
              <w:bottom w:val="single" w:sz="4" w:space="0" w:color="auto"/>
            </w:tcBorders>
          </w:tcPr>
          <w:p>
            <w:pPr>
              <w:pStyle w:val="yTableNAm"/>
              <w:jc w:val="center"/>
            </w:pPr>
            <w:r>
              <w:rPr>
                <w:b/>
                <w:bCs/>
              </w:rPr>
              <w:t>Class 5 (c/kL)</w:t>
            </w:r>
          </w:p>
        </w:tc>
      </w:tr>
      <w:tr>
        <w:trPr>
          <w:cantSplit/>
        </w:trPr>
        <w:tc>
          <w:tcPr>
            <w:tcW w:w="1417" w:type="dxa"/>
          </w:tcPr>
          <w:p>
            <w:pPr>
              <w:pStyle w:val="yTableNAm"/>
            </w:pPr>
            <w:r>
              <w:t>Up to 150</w:t>
            </w:r>
          </w:p>
        </w:tc>
        <w:tc>
          <w:tcPr>
            <w:tcW w:w="992" w:type="dxa"/>
            <w:vAlign w:val="bottom"/>
          </w:tcPr>
          <w:p>
            <w:pPr>
              <w:pStyle w:val="yTableNAm"/>
              <w:jc w:val="center"/>
            </w:pPr>
            <w:r>
              <w:rPr>
                <w:szCs w:val="22"/>
              </w:rPr>
              <w:t>52.0</w:t>
            </w:r>
          </w:p>
        </w:tc>
        <w:tc>
          <w:tcPr>
            <w:tcW w:w="992" w:type="dxa"/>
            <w:vAlign w:val="bottom"/>
          </w:tcPr>
          <w:p>
            <w:pPr>
              <w:pStyle w:val="yTableNAm"/>
              <w:jc w:val="center"/>
            </w:pPr>
            <w:r>
              <w:rPr>
                <w:szCs w:val="22"/>
              </w:rPr>
              <w:t>66.8</w:t>
            </w:r>
          </w:p>
        </w:tc>
        <w:tc>
          <w:tcPr>
            <w:tcW w:w="992" w:type="dxa"/>
            <w:vAlign w:val="bottom"/>
          </w:tcPr>
          <w:p>
            <w:pPr>
              <w:pStyle w:val="yTableNAm"/>
              <w:jc w:val="center"/>
            </w:pPr>
            <w:r>
              <w:rPr>
                <w:szCs w:val="22"/>
              </w:rPr>
              <w:t>66.8</w:t>
            </w:r>
          </w:p>
        </w:tc>
        <w:tc>
          <w:tcPr>
            <w:tcW w:w="992" w:type="dxa"/>
            <w:vAlign w:val="bottom"/>
          </w:tcPr>
          <w:p>
            <w:pPr>
              <w:pStyle w:val="yTableNAm"/>
              <w:jc w:val="center"/>
            </w:pPr>
            <w:r>
              <w:rPr>
                <w:szCs w:val="22"/>
              </w:rPr>
              <w:t>66.8</w:t>
            </w:r>
          </w:p>
        </w:tc>
        <w:tc>
          <w:tcPr>
            <w:tcW w:w="994" w:type="dxa"/>
            <w:vAlign w:val="bottom"/>
          </w:tcPr>
          <w:p>
            <w:pPr>
              <w:pStyle w:val="yTableNAm"/>
              <w:jc w:val="center"/>
            </w:pPr>
            <w:r>
              <w:rPr>
                <w:szCs w:val="22"/>
              </w:rPr>
              <w:t>66.8</w:t>
            </w:r>
          </w:p>
        </w:tc>
      </w:tr>
      <w:tr>
        <w:trPr>
          <w:cantSplit/>
        </w:trPr>
        <w:tc>
          <w:tcPr>
            <w:tcW w:w="1417" w:type="dxa"/>
          </w:tcPr>
          <w:p>
            <w:pPr>
              <w:pStyle w:val="yTableNAm"/>
            </w:pPr>
            <w:r>
              <w:t>Over 150 but not over 350</w:t>
            </w:r>
          </w:p>
        </w:tc>
        <w:tc>
          <w:tcPr>
            <w:tcW w:w="992" w:type="dxa"/>
            <w:vAlign w:val="bottom"/>
          </w:tcPr>
          <w:p>
            <w:pPr>
              <w:pStyle w:val="yTableNAm"/>
              <w:jc w:val="center"/>
            </w:pPr>
            <w:r>
              <w:rPr>
                <w:szCs w:val="22"/>
              </w:rPr>
              <w:t>52.0</w:t>
            </w:r>
          </w:p>
        </w:tc>
        <w:tc>
          <w:tcPr>
            <w:tcW w:w="992" w:type="dxa"/>
            <w:vAlign w:val="bottom"/>
          </w:tcPr>
          <w:p>
            <w:pPr>
              <w:pStyle w:val="yTableNAm"/>
              <w:jc w:val="center"/>
            </w:pPr>
            <w:r>
              <w:rPr>
                <w:szCs w:val="22"/>
              </w:rPr>
              <w:t>66.8</w:t>
            </w:r>
          </w:p>
        </w:tc>
        <w:tc>
          <w:tcPr>
            <w:tcW w:w="992" w:type="dxa"/>
            <w:vAlign w:val="bottom"/>
          </w:tcPr>
          <w:p>
            <w:pPr>
              <w:pStyle w:val="yTableNAm"/>
              <w:jc w:val="center"/>
            </w:pPr>
            <w:r>
              <w:rPr>
                <w:szCs w:val="22"/>
              </w:rPr>
              <w:t>66.8</w:t>
            </w:r>
          </w:p>
        </w:tc>
        <w:tc>
          <w:tcPr>
            <w:tcW w:w="992" w:type="dxa"/>
            <w:vAlign w:val="bottom"/>
          </w:tcPr>
          <w:p>
            <w:pPr>
              <w:pStyle w:val="yTableNAm"/>
              <w:jc w:val="center"/>
            </w:pPr>
            <w:r>
              <w:rPr>
                <w:szCs w:val="22"/>
              </w:rPr>
              <w:t>66.8</w:t>
            </w:r>
          </w:p>
        </w:tc>
        <w:tc>
          <w:tcPr>
            <w:tcW w:w="994" w:type="dxa"/>
            <w:vAlign w:val="bottom"/>
          </w:tcPr>
          <w:p>
            <w:pPr>
              <w:pStyle w:val="yTableNAm"/>
              <w:jc w:val="center"/>
            </w:pPr>
            <w:r>
              <w:rPr>
                <w:szCs w:val="22"/>
              </w:rPr>
              <w:t>66.8</w:t>
            </w:r>
          </w:p>
        </w:tc>
      </w:tr>
      <w:tr>
        <w:trPr>
          <w:cantSplit/>
        </w:trPr>
        <w:tc>
          <w:tcPr>
            <w:tcW w:w="1417" w:type="dxa"/>
          </w:tcPr>
          <w:p>
            <w:pPr>
              <w:pStyle w:val="yTableNAm"/>
            </w:pPr>
            <w:r>
              <w:t>Over 350 but not over 500</w:t>
            </w:r>
          </w:p>
        </w:tc>
        <w:tc>
          <w:tcPr>
            <w:tcW w:w="992" w:type="dxa"/>
            <w:vAlign w:val="bottom"/>
          </w:tcPr>
          <w:p>
            <w:pPr>
              <w:pStyle w:val="yTableNAm"/>
              <w:jc w:val="center"/>
            </w:pPr>
            <w:r>
              <w:rPr>
                <w:szCs w:val="22"/>
              </w:rPr>
              <w:t>67.8</w:t>
            </w:r>
          </w:p>
        </w:tc>
        <w:tc>
          <w:tcPr>
            <w:tcW w:w="992" w:type="dxa"/>
            <w:vAlign w:val="bottom"/>
          </w:tcPr>
          <w:p>
            <w:pPr>
              <w:pStyle w:val="yTableNAm"/>
              <w:jc w:val="center"/>
            </w:pPr>
            <w:r>
              <w:rPr>
                <w:szCs w:val="22"/>
              </w:rPr>
              <w:t>87.4</w:t>
            </w:r>
          </w:p>
        </w:tc>
        <w:tc>
          <w:tcPr>
            <w:tcW w:w="992" w:type="dxa"/>
            <w:vAlign w:val="bottom"/>
          </w:tcPr>
          <w:p>
            <w:pPr>
              <w:pStyle w:val="yTableNAm"/>
              <w:jc w:val="center"/>
            </w:pPr>
            <w:r>
              <w:rPr>
                <w:szCs w:val="22"/>
              </w:rPr>
              <w:t>87.4</w:t>
            </w:r>
          </w:p>
        </w:tc>
        <w:tc>
          <w:tcPr>
            <w:tcW w:w="992" w:type="dxa"/>
            <w:vAlign w:val="bottom"/>
          </w:tcPr>
          <w:p>
            <w:pPr>
              <w:pStyle w:val="yTableNAm"/>
              <w:jc w:val="center"/>
            </w:pPr>
            <w:r>
              <w:rPr>
                <w:szCs w:val="22"/>
              </w:rPr>
              <w:t>87.4</w:t>
            </w:r>
          </w:p>
        </w:tc>
        <w:tc>
          <w:tcPr>
            <w:tcW w:w="994" w:type="dxa"/>
            <w:vAlign w:val="bottom"/>
          </w:tcPr>
          <w:p>
            <w:pPr>
              <w:pStyle w:val="yTableNAm"/>
              <w:jc w:val="center"/>
            </w:pPr>
            <w:r>
              <w:rPr>
                <w:szCs w:val="22"/>
              </w:rPr>
              <w:t>87.4</w:t>
            </w:r>
          </w:p>
        </w:tc>
      </w:tr>
      <w:tr>
        <w:trPr>
          <w:cantSplit/>
        </w:trPr>
        <w:tc>
          <w:tcPr>
            <w:tcW w:w="1417" w:type="dxa"/>
          </w:tcPr>
          <w:p>
            <w:pPr>
              <w:pStyle w:val="yTableNAm"/>
            </w:pPr>
            <w:r>
              <w:t>Over 500 but not over 550</w:t>
            </w:r>
          </w:p>
        </w:tc>
        <w:tc>
          <w:tcPr>
            <w:tcW w:w="992" w:type="dxa"/>
            <w:vAlign w:val="bottom"/>
          </w:tcPr>
          <w:p>
            <w:pPr>
              <w:pStyle w:val="yTableNAm"/>
              <w:jc w:val="center"/>
            </w:pPr>
            <w:r>
              <w:rPr>
                <w:szCs w:val="22"/>
              </w:rPr>
              <w:t>73.8</w:t>
            </w:r>
          </w:p>
        </w:tc>
        <w:tc>
          <w:tcPr>
            <w:tcW w:w="992" w:type="dxa"/>
            <w:vAlign w:val="bottom"/>
          </w:tcPr>
          <w:p>
            <w:pPr>
              <w:pStyle w:val="yTableNAm"/>
              <w:jc w:val="center"/>
            </w:pPr>
            <w:r>
              <w:rPr>
                <w:szCs w:val="22"/>
              </w:rPr>
              <w:t>102.1</w:t>
            </w:r>
          </w:p>
        </w:tc>
        <w:tc>
          <w:tcPr>
            <w:tcW w:w="992" w:type="dxa"/>
            <w:vAlign w:val="bottom"/>
          </w:tcPr>
          <w:p>
            <w:pPr>
              <w:pStyle w:val="yTableNAm"/>
              <w:jc w:val="center"/>
            </w:pPr>
            <w:r>
              <w:rPr>
                <w:szCs w:val="22"/>
              </w:rPr>
              <w:t>130.1</w:t>
            </w:r>
          </w:p>
        </w:tc>
        <w:tc>
          <w:tcPr>
            <w:tcW w:w="992" w:type="dxa"/>
            <w:vAlign w:val="bottom"/>
          </w:tcPr>
          <w:p>
            <w:pPr>
              <w:pStyle w:val="yTableNAm"/>
              <w:jc w:val="center"/>
            </w:pPr>
            <w:r>
              <w:rPr>
                <w:szCs w:val="22"/>
              </w:rPr>
              <w:t>153.1</w:t>
            </w:r>
          </w:p>
        </w:tc>
        <w:tc>
          <w:tcPr>
            <w:tcW w:w="994" w:type="dxa"/>
            <w:vAlign w:val="bottom"/>
          </w:tcPr>
          <w:p>
            <w:pPr>
              <w:pStyle w:val="yTableNAm"/>
              <w:jc w:val="center"/>
            </w:pPr>
            <w:r>
              <w:rPr>
                <w:szCs w:val="22"/>
              </w:rPr>
              <w:t>180.0</w:t>
            </w:r>
          </w:p>
        </w:tc>
      </w:tr>
      <w:tr>
        <w:trPr>
          <w:cantSplit/>
        </w:trPr>
        <w:tc>
          <w:tcPr>
            <w:tcW w:w="1417" w:type="dxa"/>
          </w:tcPr>
          <w:p>
            <w:pPr>
              <w:pStyle w:val="yTableNAm"/>
            </w:pPr>
            <w:r>
              <w:t>Over 550 but not over 600</w:t>
            </w:r>
          </w:p>
        </w:tc>
        <w:tc>
          <w:tcPr>
            <w:tcW w:w="992" w:type="dxa"/>
            <w:vAlign w:val="bottom"/>
          </w:tcPr>
          <w:p>
            <w:pPr>
              <w:pStyle w:val="yTableNAm"/>
              <w:jc w:val="center"/>
            </w:pPr>
            <w:r>
              <w:rPr>
                <w:szCs w:val="22"/>
              </w:rPr>
              <w:t>73.8</w:t>
            </w:r>
          </w:p>
        </w:tc>
        <w:tc>
          <w:tcPr>
            <w:tcW w:w="992" w:type="dxa"/>
            <w:vAlign w:val="bottom"/>
          </w:tcPr>
          <w:p>
            <w:pPr>
              <w:pStyle w:val="yTableNAm"/>
              <w:jc w:val="center"/>
            </w:pPr>
            <w:r>
              <w:rPr>
                <w:szCs w:val="22"/>
              </w:rPr>
              <w:t>102.1</w:t>
            </w:r>
          </w:p>
        </w:tc>
        <w:tc>
          <w:tcPr>
            <w:tcW w:w="992" w:type="dxa"/>
            <w:vAlign w:val="bottom"/>
          </w:tcPr>
          <w:p>
            <w:pPr>
              <w:pStyle w:val="yTableNAm"/>
              <w:jc w:val="center"/>
            </w:pPr>
            <w:r>
              <w:rPr>
                <w:szCs w:val="22"/>
              </w:rPr>
              <w:t>130.1</w:t>
            </w:r>
          </w:p>
        </w:tc>
        <w:tc>
          <w:tcPr>
            <w:tcW w:w="992" w:type="dxa"/>
            <w:vAlign w:val="bottom"/>
          </w:tcPr>
          <w:p>
            <w:pPr>
              <w:pStyle w:val="yTableNAm"/>
              <w:jc w:val="center"/>
            </w:pPr>
            <w:r>
              <w:rPr>
                <w:szCs w:val="22"/>
              </w:rPr>
              <w:t>153.1</w:t>
            </w:r>
          </w:p>
        </w:tc>
        <w:tc>
          <w:tcPr>
            <w:tcW w:w="994" w:type="dxa"/>
            <w:vAlign w:val="bottom"/>
          </w:tcPr>
          <w:p>
            <w:pPr>
              <w:pStyle w:val="yTableNAm"/>
              <w:jc w:val="center"/>
            </w:pPr>
            <w:r>
              <w:rPr>
                <w:szCs w:val="22"/>
              </w:rPr>
              <w:t>180.0</w:t>
            </w:r>
          </w:p>
        </w:tc>
      </w:tr>
      <w:tr>
        <w:trPr>
          <w:cantSplit/>
        </w:trPr>
        <w:tc>
          <w:tcPr>
            <w:tcW w:w="1417" w:type="dxa"/>
          </w:tcPr>
          <w:p>
            <w:pPr>
              <w:pStyle w:val="yTableNAm"/>
            </w:pPr>
            <w:r>
              <w:t>Over 600 but not over 650</w:t>
            </w:r>
          </w:p>
        </w:tc>
        <w:tc>
          <w:tcPr>
            <w:tcW w:w="992" w:type="dxa"/>
            <w:vAlign w:val="bottom"/>
          </w:tcPr>
          <w:p>
            <w:pPr>
              <w:pStyle w:val="yTableNAm"/>
              <w:jc w:val="center"/>
            </w:pPr>
            <w:r>
              <w:rPr>
                <w:szCs w:val="22"/>
              </w:rPr>
              <w:t>147.6</w:t>
            </w:r>
          </w:p>
        </w:tc>
        <w:tc>
          <w:tcPr>
            <w:tcW w:w="992" w:type="dxa"/>
            <w:vAlign w:val="bottom"/>
          </w:tcPr>
          <w:p>
            <w:pPr>
              <w:pStyle w:val="yTableNAm"/>
              <w:jc w:val="center"/>
            </w:pPr>
            <w:r>
              <w:rPr>
                <w:szCs w:val="22"/>
              </w:rPr>
              <w:t>204.2</w:t>
            </w:r>
          </w:p>
        </w:tc>
        <w:tc>
          <w:tcPr>
            <w:tcW w:w="992" w:type="dxa"/>
            <w:vAlign w:val="bottom"/>
          </w:tcPr>
          <w:p>
            <w:pPr>
              <w:pStyle w:val="yTableNAm"/>
              <w:jc w:val="center"/>
            </w:pPr>
            <w:r>
              <w:rPr>
                <w:szCs w:val="22"/>
              </w:rPr>
              <w:t>260.2</w:t>
            </w:r>
          </w:p>
        </w:tc>
        <w:tc>
          <w:tcPr>
            <w:tcW w:w="992" w:type="dxa"/>
            <w:vAlign w:val="bottom"/>
          </w:tcPr>
          <w:p>
            <w:pPr>
              <w:pStyle w:val="yTableNAm"/>
              <w:jc w:val="center"/>
            </w:pPr>
            <w:r>
              <w:rPr>
                <w:szCs w:val="22"/>
              </w:rPr>
              <w:t>306.1</w:t>
            </w:r>
          </w:p>
        </w:tc>
        <w:tc>
          <w:tcPr>
            <w:tcW w:w="994" w:type="dxa"/>
            <w:vAlign w:val="bottom"/>
          </w:tcPr>
          <w:p>
            <w:pPr>
              <w:pStyle w:val="yTableNAm"/>
              <w:jc w:val="center"/>
            </w:pPr>
            <w:r>
              <w:rPr>
                <w:szCs w:val="22"/>
              </w:rPr>
              <w:t>360.0</w:t>
            </w:r>
          </w:p>
        </w:tc>
      </w:tr>
      <w:tr>
        <w:trPr>
          <w:cantSplit/>
        </w:trPr>
        <w:tc>
          <w:tcPr>
            <w:tcW w:w="1417" w:type="dxa"/>
          </w:tcPr>
          <w:p>
            <w:pPr>
              <w:pStyle w:val="yTableNAm"/>
            </w:pPr>
            <w:r>
              <w:t>Over 650 but not over 750</w:t>
            </w:r>
          </w:p>
        </w:tc>
        <w:tc>
          <w:tcPr>
            <w:tcW w:w="992" w:type="dxa"/>
            <w:vAlign w:val="bottom"/>
          </w:tcPr>
          <w:p>
            <w:pPr>
              <w:pStyle w:val="yTableNAm"/>
              <w:jc w:val="center"/>
            </w:pPr>
            <w:r>
              <w:rPr>
                <w:szCs w:val="22"/>
              </w:rPr>
              <w:t>147.6</w:t>
            </w:r>
          </w:p>
        </w:tc>
        <w:tc>
          <w:tcPr>
            <w:tcW w:w="992" w:type="dxa"/>
            <w:vAlign w:val="bottom"/>
          </w:tcPr>
          <w:p>
            <w:pPr>
              <w:pStyle w:val="yTableNAm"/>
              <w:jc w:val="center"/>
            </w:pPr>
            <w:r>
              <w:rPr>
                <w:szCs w:val="22"/>
              </w:rPr>
              <w:t>204.2</w:t>
            </w:r>
          </w:p>
        </w:tc>
        <w:tc>
          <w:tcPr>
            <w:tcW w:w="992" w:type="dxa"/>
            <w:vAlign w:val="bottom"/>
          </w:tcPr>
          <w:p>
            <w:pPr>
              <w:pStyle w:val="yTableNAm"/>
              <w:jc w:val="center"/>
            </w:pPr>
            <w:r>
              <w:rPr>
                <w:szCs w:val="22"/>
              </w:rPr>
              <w:t>260.2</w:t>
            </w:r>
          </w:p>
        </w:tc>
        <w:tc>
          <w:tcPr>
            <w:tcW w:w="992" w:type="dxa"/>
            <w:vAlign w:val="bottom"/>
          </w:tcPr>
          <w:p>
            <w:pPr>
              <w:pStyle w:val="yTableNAm"/>
              <w:jc w:val="center"/>
            </w:pPr>
            <w:r>
              <w:rPr>
                <w:szCs w:val="22"/>
              </w:rPr>
              <w:t>306.1</w:t>
            </w:r>
          </w:p>
        </w:tc>
        <w:tc>
          <w:tcPr>
            <w:tcW w:w="994" w:type="dxa"/>
            <w:vAlign w:val="bottom"/>
          </w:tcPr>
          <w:p>
            <w:pPr>
              <w:pStyle w:val="yTableNAm"/>
              <w:jc w:val="center"/>
            </w:pPr>
            <w:r>
              <w:rPr>
                <w:szCs w:val="22"/>
              </w:rPr>
              <w:t>360.0</w:t>
            </w:r>
          </w:p>
        </w:tc>
      </w:tr>
      <w:tr>
        <w:trPr>
          <w:cantSplit/>
        </w:trPr>
        <w:tc>
          <w:tcPr>
            <w:tcW w:w="1417" w:type="dxa"/>
          </w:tcPr>
          <w:p>
            <w:pPr>
              <w:pStyle w:val="yTableNAm"/>
            </w:pPr>
            <w:r>
              <w:t>Over 750 but not over 950</w:t>
            </w:r>
          </w:p>
        </w:tc>
        <w:tc>
          <w:tcPr>
            <w:tcW w:w="992" w:type="dxa"/>
            <w:vAlign w:val="bottom"/>
          </w:tcPr>
          <w:p>
            <w:pPr>
              <w:pStyle w:val="yTableNAm"/>
              <w:jc w:val="center"/>
            </w:pPr>
            <w:r>
              <w:rPr>
                <w:szCs w:val="22"/>
              </w:rPr>
              <w:t>173.4</w:t>
            </w:r>
          </w:p>
        </w:tc>
        <w:tc>
          <w:tcPr>
            <w:tcW w:w="992" w:type="dxa"/>
            <w:vAlign w:val="bottom"/>
          </w:tcPr>
          <w:p>
            <w:pPr>
              <w:pStyle w:val="yTableNAm"/>
              <w:jc w:val="center"/>
            </w:pPr>
            <w:r>
              <w:rPr>
                <w:szCs w:val="22"/>
              </w:rPr>
              <w:t>239.8</w:t>
            </w:r>
          </w:p>
        </w:tc>
        <w:tc>
          <w:tcPr>
            <w:tcW w:w="992" w:type="dxa"/>
            <w:vAlign w:val="bottom"/>
          </w:tcPr>
          <w:p>
            <w:pPr>
              <w:pStyle w:val="yTableNAm"/>
              <w:jc w:val="center"/>
            </w:pPr>
            <w:r>
              <w:rPr>
                <w:szCs w:val="22"/>
              </w:rPr>
              <w:t>331.7</w:t>
            </w:r>
          </w:p>
        </w:tc>
        <w:tc>
          <w:tcPr>
            <w:tcW w:w="992" w:type="dxa"/>
            <w:vAlign w:val="bottom"/>
          </w:tcPr>
          <w:p>
            <w:pPr>
              <w:pStyle w:val="yTableNAm"/>
              <w:jc w:val="center"/>
            </w:pPr>
            <w:r>
              <w:rPr>
                <w:szCs w:val="22"/>
              </w:rPr>
              <w:t>458.9</w:t>
            </w:r>
          </w:p>
        </w:tc>
        <w:tc>
          <w:tcPr>
            <w:tcW w:w="994" w:type="dxa"/>
            <w:vAlign w:val="bottom"/>
          </w:tcPr>
          <w:p>
            <w:pPr>
              <w:pStyle w:val="yTableNAm"/>
              <w:jc w:val="center"/>
            </w:pPr>
            <w:r>
              <w:rPr>
                <w:szCs w:val="22"/>
              </w:rPr>
              <w:t>634.7</w:t>
            </w:r>
          </w:p>
        </w:tc>
      </w:tr>
      <w:tr>
        <w:trPr>
          <w:cantSplit/>
        </w:trPr>
        <w:tc>
          <w:tcPr>
            <w:tcW w:w="1417" w:type="dxa"/>
          </w:tcPr>
          <w:p>
            <w:pPr>
              <w:pStyle w:val="yTableNAm"/>
            </w:pPr>
            <w:r>
              <w:t>Over 950 but not over 1 150</w:t>
            </w:r>
          </w:p>
        </w:tc>
        <w:tc>
          <w:tcPr>
            <w:tcW w:w="992" w:type="dxa"/>
            <w:vAlign w:val="bottom"/>
          </w:tcPr>
          <w:p>
            <w:pPr>
              <w:pStyle w:val="yTableNAm"/>
              <w:jc w:val="center"/>
            </w:pPr>
            <w:r>
              <w:rPr>
                <w:szCs w:val="22"/>
              </w:rPr>
              <w:t>173.4</w:t>
            </w:r>
          </w:p>
        </w:tc>
        <w:tc>
          <w:tcPr>
            <w:tcW w:w="992" w:type="dxa"/>
            <w:vAlign w:val="bottom"/>
          </w:tcPr>
          <w:p>
            <w:pPr>
              <w:pStyle w:val="yTableNAm"/>
              <w:jc w:val="center"/>
            </w:pPr>
            <w:r>
              <w:rPr>
                <w:szCs w:val="22"/>
              </w:rPr>
              <w:t>239.8</w:t>
            </w:r>
          </w:p>
        </w:tc>
        <w:tc>
          <w:tcPr>
            <w:tcW w:w="992" w:type="dxa"/>
            <w:vAlign w:val="bottom"/>
          </w:tcPr>
          <w:p>
            <w:pPr>
              <w:pStyle w:val="yTableNAm"/>
              <w:jc w:val="center"/>
            </w:pPr>
            <w:r>
              <w:rPr>
                <w:szCs w:val="22"/>
              </w:rPr>
              <w:t>331.7</w:t>
            </w:r>
          </w:p>
        </w:tc>
        <w:tc>
          <w:tcPr>
            <w:tcW w:w="992" w:type="dxa"/>
            <w:vAlign w:val="bottom"/>
          </w:tcPr>
          <w:p>
            <w:pPr>
              <w:pStyle w:val="yTableNAm"/>
              <w:jc w:val="center"/>
            </w:pPr>
            <w:r>
              <w:rPr>
                <w:szCs w:val="22"/>
              </w:rPr>
              <w:t>458.9</w:t>
            </w:r>
          </w:p>
        </w:tc>
        <w:tc>
          <w:tcPr>
            <w:tcW w:w="994" w:type="dxa"/>
            <w:vAlign w:val="bottom"/>
          </w:tcPr>
          <w:p>
            <w:pPr>
              <w:pStyle w:val="yTableNAm"/>
              <w:jc w:val="center"/>
            </w:pPr>
            <w:r>
              <w:rPr>
                <w:szCs w:val="22"/>
              </w:rPr>
              <w:t>634.7</w:t>
            </w:r>
          </w:p>
        </w:tc>
      </w:tr>
      <w:tr>
        <w:trPr>
          <w:cantSplit/>
        </w:trPr>
        <w:tc>
          <w:tcPr>
            <w:tcW w:w="1417" w:type="dxa"/>
          </w:tcPr>
          <w:p>
            <w:pPr>
              <w:pStyle w:val="yTableNAm"/>
            </w:pPr>
            <w:r>
              <w:t>Over 1 150 but not over 1 550</w:t>
            </w:r>
          </w:p>
        </w:tc>
        <w:tc>
          <w:tcPr>
            <w:tcW w:w="992" w:type="dxa"/>
            <w:vAlign w:val="bottom"/>
          </w:tcPr>
          <w:p>
            <w:pPr>
              <w:pStyle w:val="yTableNAm"/>
              <w:jc w:val="center"/>
            </w:pPr>
            <w:r>
              <w:rPr>
                <w:szCs w:val="22"/>
              </w:rPr>
              <w:t>173.4</w:t>
            </w:r>
          </w:p>
        </w:tc>
        <w:tc>
          <w:tcPr>
            <w:tcW w:w="992" w:type="dxa"/>
            <w:vAlign w:val="bottom"/>
          </w:tcPr>
          <w:p>
            <w:pPr>
              <w:pStyle w:val="yTableNAm"/>
              <w:jc w:val="center"/>
            </w:pPr>
            <w:r>
              <w:rPr>
                <w:szCs w:val="22"/>
              </w:rPr>
              <w:t>239.8</w:t>
            </w:r>
          </w:p>
        </w:tc>
        <w:tc>
          <w:tcPr>
            <w:tcW w:w="992" w:type="dxa"/>
            <w:vAlign w:val="bottom"/>
          </w:tcPr>
          <w:p>
            <w:pPr>
              <w:pStyle w:val="yTableNAm"/>
              <w:jc w:val="center"/>
            </w:pPr>
            <w:r>
              <w:rPr>
                <w:szCs w:val="22"/>
              </w:rPr>
              <w:t>331.7</w:t>
            </w:r>
          </w:p>
        </w:tc>
        <w:tc>
          <w:tcPr>
            <w:tcW w:w="992" w:type="dxa"/>
            <w:vAlign w:val="bottom"/>
          </w:tcPr>
          <w:p>
            <w:pPr>
              <w:pStyle w:val="yTableNAm"/>
              <w:jc w:val="center"/>
            </w:pPr>
            <w:r>
              <w:rPr>
                <w:szCs w:val="22"/>
              </w:rPr>
              <w:t>458.9</w:t>
            </w:r>
          </w:p>
        </w:tc>
        <w:tc>
          <w:tcPr>
            <w:tcW w:w="994" w:type="dxa"/>
            <w:vAlign w:val="bottom"/>
          </w:tcPr>
          <w:p>
            <w:pPr>
              <w:pStyle w:val="yTableNAm"/>
              <w:jc w:val="center"/>
            </w:pPr>
            <w:r>
              <w:rPr>
                <w:szCs w:val="22"/>
              </w:rPr>
              <w:t>634.7</w:t>
            </w:r>
          </w:p>
        </w:tc>
      </w:tr>
      <w:tr>
        <w:trPr>
          <w:cantSplit/>
        </w:trPr>
        <w:tc>
          <w:tcPr>
            <w:tcW w:w="1417" w:type="dxa"/>
          </w:tcPr>
          <w:p>
            <w:pPr>
              <w:pStyle w:val="yTableNAm"/>
            </w:pPr>
            <w:r>
              <w:t>Over 1 550 but not over 1 950</w:t>
            </w:r>
          </w:p>
        </w:tc>
        <w:tc>
          <w:tcPr>
            <w:tcW w:w="992" w:type="dxa"/>
            <w:vAlign w:val="bottom"/>
          </w:tcPr>
          <w:p>
            <w:pPr>
              <w:pStyle w:val="yTableNAm"/>
              <w:jc w:val="center"/>
            </w:pPr>
            <w:r>
              <w:rPr>
                <w:szCs w:val="22"/>
              </w:rPr>
              <w:t>173.4</w:t>
            </w:r>
          </w:p>
        </w:tc>
        <w:tc>
          <w:tcPr>
            <w:tcW w:w="992" w:type="dxa"/>
            <w:vAlign w:val="bottom"/>
          </w:tcPr>
          <w:p>
            <w:pPr>
              <w:pStyle w:val="yTableNAm"/>
              <w:jc w:val="center"/>
            </w:pPr>
            <w:r>
              <w:rPr>
                <w:szCs w:val="22"/>
              </w:rPr>
              <w:t>239.8</w:t>
            </w:r>
          </w:p>
        </w:tc>
        <w:tc>
          <w:tcPr>
            <w:tcW w:w="992" w:type="dxa"/>
            <w:vAlign w:val="bottom"/>
          </w:tcPr>
          <w:p>
            <w:pPr>
              <w:pStyle w:val="yTableNAm"/>
              <w:jc w:val="center"/>
            </w:pPr>
            <w:r>
              <w:rPr>
                <w:szCs w:val="22"/>
              </w:rPr>
              <w:t>331.7</w:t>
            </w:r>
          </w:p>
        </w:tc>
        <w:tc>
          <w:tcPr>
            <w:tcW w:w="992" w:type="dxa"/>
            <w:vAlign w:val="bottom"/>
          </w:tcPr>
          <w:p>
            <w:pPr>
              <w:pStyle w:val="yTableNAm"/>
              <w:jc w:val="center"/>
            </w:pPr>
            <w:r>
              <w:rPr>
                <w:szCs w:val="22"/>
              </w:rPr>
              <w:t>458.9</w:t>
            </w:r>
          </w:p>
        </w:tc>
        <w:tc>
          <w:tcPr>
            <w:tcW w:w="994" w:type="dxa"/>
            <w:vAlign w:val="bottom"/>
          </w:tcPr>
          <w:p>
            <w:pPr>
              <w:pStyle w:val="yTableNAm"/>
              <w:jc w:val="center"/>
            </w:pPr>
            <w:r>
              <w:rPr>
                <w:szCs w:val="22"/>
              </w:rPr>
              <w:t>634.7</w:t>
            </w:r>
          </w:p>
        </w:tc>
      </w:tr>
      <w:tr>
        <w:trPr>
          <w:cantSplit/>
        </w:trPr>
        <w:tc>
          <w:tcPr>
            <w:tcW w:w="1417" w:type="dxa"/>
            <w:tcBorders>
              <w:bottom w:val="single" w:sz="4" w:space="0" w:color="auto"/>
            </w:tcBorders>
          </w:tcPr>
          <w:p>
            <w:pPr>
              <w:pStyle w:val="yTableNAm"/>
            </w:pPr>
            <w:r>
              <w:t>Over 1 950</w:t>
            </w:r>
          </w:p>
        </w:tc>
        <w:tc>
          <w:tcPr>
            <w:tcW w:w="992" w:type="dxa"/>
            <w:tcBorders>
              <w:bottom w:val="single" w:sz="4" w:space="0" w:color="auto"/>
            </w:tcBorders>
            <w:vAlign w:val="bottom"/>
          </w:tcPr>
          <w:p>
            <w:pPr>
              <w:pStyle w:val="yTableNAm"/>
              <w:jc w:val="center"/>
            </w:pPr>
            <w:r>
              <w:rPr>
                <w:szCs w:val="22"/>
              </w:rPr>
              <w:t>173.4</w:t>
            </w:r>
          </w:p>
        </w:tc>
        <w:tc>
          <w:tcPr>
            <w:tcW w:w="992" w:type="dxa"/>
            <w:tcBorders>
              <w:bottom w:val="single" w:sz="4" w:space="0" w:color="auto"/>
            </w:tcBorders>
            <w:vAlign w:val="bottom"/>
          </w:tcPr>
          <w:p>
            <w:pPr>
              <w:pStyle w:val="yTableNAm"/>
              <w:jc w:val="center"/>
            </w:pPr>
            <w:r>
              <w:rPr>
                <w:szCs w:val="22"/>
              </w:rPr>
              <w:t>239.8</w:t>
            </w:r>
          </w:p>
        </w:tc>
        <w:tc>
          <w:tcPr>
            <w:tcW w:w="992" w:type="dxa"/>
            <w:tcBorders>
              <w:bottom w:val="single" w:sz="4" w:space="0" w:color="auto"/>
            </w:tcBorders>
            <w:vAlign w:val="bottom"/>
          </w:tcPr>
          <w:p>
            <w:pPr>
              <w:pStyle w:val="yTableNAm"/>
              <w:jc w:val="center"/>
            </w:pPr>
            <w:r>
              <w:rPr>
                <w:szCs w:val="22"/>
              </w:rPr>
              <w:t>331.7</w:t>
            </w:r>
          </w:p>
        </w:tc>
        <w:tc>
          <w:tcPr>
            <w:tcW w:w="992" w:type="dxa"/>
            <w:tcBorders>
              <w:bottom w:val="single" w:sz="4" w:space="0" w:color="auto"/>
            </w:tcBorders>
            <w:vAlign w:val="bottom"/>
          </w:tcPr>
          <w:p>
            <w:pPr>
              <w:pStyle w:val="yTableNAm"/>
              <w:jc w:val="center"/>
            </w:pPr>
            <w:r>
              <w:rPr>
                <w:szCs w:val="22"/>
              </w:rPr>
              <w:t>458.9</w:t>
            </w:r>
          </w:p>
        </w:tc>
        <w:tc>
          <w:tcPr>
            <w:tcW w:w="994" w:type="dxa"/>
            <w:tcBorders>
              <w:bottom w:val="single" w:sz="4" w:space="0" w:color="auto"/>
            </w:tcBorders>
            <w:vAlign w:val="bottom"/>
          </w:tcPr>
          <w:p>
            <w:pPr>
              <w:pStyle w:val="yTableNAm"/>
              <w:jc w:val="center"/>
            </w:pPr>
            <w:r>
              <w:rPr>
                <w:szCs w:val="22"/>
              </w:rPr>
              <w:t>634.7</w:t>
            </w:r>
          </w:p>
        </w:tc>
      </w:tr>
    </w:tbl>
    <w:p>
      <w:pPr>
        <w:pStyle w:val="yMiscellaneousBody"/>
        <w:ind w:right="-104"/>
      </w:pPr>
    </w:p>
    <w:tbl>
      <w:tblPr>
        <w:tblW w:w="6377" w:type="dxa"/>
        <w:tblInd w:w="534" w:type="dxa"/>
        <w:tblLayout w:type="fixed"/>
        <w:tblLook w:val="0000" w:firstRow="0" w:lastRow="0" w:firstColumn="0" w:lastColumn="0" w:noHBand="0" w:noVBand="0"/>
      </w:tblPr>
      <w:tblGrid>
        <w:gridCol w:w="774"/>
        <w:gridCol w:w="4302"/>
        <w:gridCol w:w="1301"/>
      </w:tblGrid>
      <w:tr>
        <w:trPr>
          <w:cantSplit/>
        </w:trPr>
        <w:tc>
          <w:tcPr>
            <w:tcW w:w="774" w:type="dxa"/>
          </w:tcPr>
          <w:p>
            <w:pPr>
              <w:pStyle w:val="yTableNAm"/>
            </w:pPr>
            <w:r>
              <w:rPr>
                <w:b/>
              </w:rPr>
              <w:t>24.</w:t>
            </w:r>
          </w:p>
        </w:tc>
        <w:tc>
          <w:tcPr>
            <w:tcW w:w="4302" w:type="dxa"/>
          </w:tcPr>
          <w:p>
            <w:pPr>
              <w:pStyle w:val="yTableNAm"/>
              <w:tabs>
                <w:tab w:val="left" w:leader="dot" w:pos="4876"/>
              </w:tabs>
              <w:ind w:right="158"/>
            </w:pPr>
            <w:r>
              <w:rPr>
                <w:b/>
                <w:bCs/>
              </w:rPr>
              <w:t>Metropolitan non</w:t>
            </w:r>
            <w:r>
              <w:rPr>
                <w:b/>
                <w:bCs/>
              </w:rPr>
              <w:noBreakHyphen/>
              <w:t>residential</w:t>
            </w:r>
          </w:p>
        </w:tc>
        <w:tc>
          <w:tcPr>
            <w:tcW w:w="1301" w:type="dxa"/>
            <w:vAlign w:val="bottom"/>
          </w:tcPr>
          <w:p>
            <w:pPr>
              <w:pStyle w:val="yTableNAm"/>
            </w:pPr>
          </w:p>
        </w:tc>
      </w:tr>
      <w:tr>
        <w:trPr>
          <w:cantSplit/>
        </w:trPr>
        <w:tc>
          <w:tcPr>
            <w:tcW w:w="774" w:type="dxa"/>
          </w:tcPr>
          <w:p>
            <w:pPr>
              <w:pStyle w:val="zyTableNAm"/>
            </w:pPr>
          </w:p>
        </w:tc>
        <w:tc>
          <w:tcPr>
            <w:tcW w:w="4302" w:type="dxa"/>
          </w:tcPr>
          <w:p>
            <w:pPr>
              <w:pStyle w:val="yTableNAm"/>
              <w:tabs>
                <w:tab w:val="left" w:leader="dot" w:pos="4876"/>
              </w:tabs>
              <w:ind w:right="158"/>
            </w:pPr>
            <w:r>
              <w:t xml:space="preserve">For each kilolitre of water supplied to land that is in the metropolitan area and that is neither comprised in a residential property, nor any other land classified as vacant land and held for residential purposes, not being water for which a charge is otherwise specifically provided in this Division —  </w:t>
            </w:r>
          </w:p>
        </w:tc>
        <w:tc>
          <w:tcPr>
            <w:tcW w:w="1301" w:type="dxa"/>
            <w:vAlign w:val="bottom"/>
          </w:tcPr>
          <w:p>
            <w:pPr>
              <w:pStyle w:val="yTableNAm"/>
            </w:pPr>
          </w:p>
        </w:tc>
      </w:tr>
      <w:tr>
        <w:trPr>
          <w:cantSplit/>
        </w:trPr>
        <w:tc>
          <w:tcPr>
            <w:tcW w:w="774" w:type="dxa"/>
          </w:tcPr>
          <w:p>
            <w:pPr>
              <w:pStyle w:val="zyTableNAm"/>
            </w:pPr>
          </w:p>
        </w:tc>
        <w:tc>
          <w:tcPr>
            <w:tcW w:w="4302" w:type="dxa"/>
          </w:tcPr>
          <w:p>
            <w:pPr>
              <w:pStyle w:val="yTableNAm"/>
              <w:tabs>
                <w:tab w:val="clear" w:pos="567"/>
                <w:tab w:val="left" w:pos="176"/>
                <w:tab w:val="left" w:pos="652"/>
                <w:tab w:val="right" w:leader="dot" w:pos="4003"/>
              </w:tabs>
              <w:ind w:left="656" w:right="158" w:hanging="656"/>
            </w:pPr>
            <w:r>
              <w:tab/>
              <w:t>(a)</w:t>
            </w:r>
            <w:r>
              <w:tab/>
              <w:t>in the case of land not mentioned in paragraph (b) </w:t>
            </w:r>
            <w:r>
              <w:tab/>
            </w:r>
          </w:p>
        </w:tc>
        <w:tc>
          <w:tcPr>
            <w:tcW w:w="1301" w:type="dxa"/>
            <w:vAlign w:val="bottom"/>
          </w:tcPr>
          <w:p>
            <w:pPr>
              <w:pStyle w:val="yTableNAm"/>
              <w:tabs>
                <w:tab w:val="clear" w:pos="567"/>
              </w:tabs>
              <w:ind w:left="-108" w:right="-91"/>
            </w:pPr>
            <w:r>
              <w:t>204.1 cents</w:t>
            </w:r>
          </w:p>
        </w:tc>
      </w:tr>
      <w:tr>
        <w:trPr>
          <w:cantSplit/>
        </w:trPr>
        <w:tc>
          <w:tcPr>
            <w:tcW w:w="774" w:type="dxa"/>
          </w:tcPr>
          <w:p>
            <w:pPr>
              <w:pStyle w:val="zyTableNAm"/>
              <w:keepNext/>
            </w:pPr>
          </w:p>
        </w:tc>
        <w:tc>
          <w:tcPr>
            <w:tcW w:w="4302" w:type="dxa"/>
          </w:tcPr>
          <w:p>
            <w:pPr>
              <w:pStyle w:val="yTableNAm"/>
              <w:tabs>
                <w:tab w:val="clear" w:pos="567"/>
                <w:tab w:val="left" w:pos="176"/>
                <w:tab w:val="left" w:pos="652"/>
                <w:tab w:val="right" w:leader="dot" w:pos="4003"/>
              </w:tabs>
              <w:ind w:left="656" w:right="158" w:hanging="656"/>
            </w:pPr>
            <w:r>
              <w:tab/>
              <w:t>(b)</w:t>
            </w:r>
            <w:r>
              <w:tab/>
              <w:t>in the case of land classified as commercial residential —</w:t>
            </w:r>
          </w:p>
        </w:tc>
        <w:tc>
          <w:tcPr>
            <w:tcW w:w="1301" w:type="dxa"/>
            <w:vAlign w:val="bottom"/>
          </w:tcPr>
          <w:p>
            <w:pPr>
              <w:pStyle w:val="yTableNAm"/>
              <w:keepNext/>
            </w:pPr>
          </w:p>
        </w:tc>
      </w:tr>
      <w:tr>
        <w:trPr>
          <w:cantSplit/>
        </w:trPr>
        <w:tc>
          <w:tcPr>
            <w:tcW w:w="774" w:type="dxa"/>
          </w:tcPr>
          <w:p>
            <w:pPr>
              <w:pStyle w:val="zyTableNAm"/>
            </w:pPr>
          </w:p>
        </w:tc>
        <w:tc>
          <w:tcPr>
            <w:tcW w:w="4302" w:type="dxa"/>
          </w:tcPr>
          <w:p>
            <w:pPr>
              <w:pStyle w:val="yTableNAm"/>
              <w:tabs>
                <w:tab w:val="clear" w:pos="567"/>
                <w:tab w:val="left" w:pos="852"/>
                <w:tab w:val="right" w:leader="dot" w:pos="4003"/>
              </w:tabs>
              <w:ind w:left="848" w:right="158" w:hanging="848"/>
            </w:pPr>
            <w:r>
              <w:tab/>
              <w:t xml:space="preserve">up to </w:t>
            </w:r>
            <w:r>
              <w:rPr>
                <w:spacing w:val="-1"/>
              </w:rPr>
              <w:t>150</w:t>
            </w:r>
            <w:r>
              <w:t xml:space="preserve"> kL </w:t>
            </w:r>
            <w:r>
              <w:tab/>
            </w:r>
          </w:p>
        </w:tc>
        <w:tc>
          <w:tcPr>
            <w:tcW w:w="1301" w:type="dxa"/>
            <w:vAlign w:val="bottom"/>
          </w:tcPr>
          <w:p>
            <w:pPr>
              <w:pStyle w:val="yTableNAm"/>
              <w:tabs>
                <w:tab w:val="clear" w:pos="567"/>
              </w:tabs>
              <w:ind w:left="-108" w:right="-91"/>
            </w:pPr>
            <w:r>
              <w:t>133.6 cents</w:t>
            </w:r>
          </w:p>
        </w:tc>
      </w:tr>
      <w:tr>
        <w:trPr>
          <w:cantSplit/>
        </w:trPr>
        <w:tc>
          <w:tcPr>
            <w:tcW w:w="774" w:type="dxa"/>
          </w:tcPr>
          <w:p>
            <w:pPr>
              <w:pStyle w:val="zyTableNAm"/>
            </w:pPr>
          </w:p>
        </w:tc>
        <w:tc>
          <w:tcPr>
            <w:tcW w:w="4302" w:type="dxa"/>
          </w:tcPr>
          <w:p>
            <w:pPr>
              <w:pStyle w:val="yTableNAm"/>
              <w:tabs>
                <w:tab w:val="clear" w:pos="567"/>
                <w:tab w:val="left" w:pos="852"/>
                <w:tab w:val="right" w:leader="dot" w:pos="4003"/>
              </w:tabs>
              <w:ind w:left="848" w:right="158" w:hanging="848"/>
            </w:pPr>
            <w:r>
              <w:tab/>
              <w:t xml:space="preserve">over </w:t>
            </w:r>
            <w:r>
              <w:rPr>
                <w:spacing w:val="-1"/>
              </w:rPr>
              <w:t>150</w:t>
            </w:r>
            <w:r>
              <w:t xml:space="preserve"> kL </w:t>
            </w:r>
            <w:r>
              <w:tab/>
            </w:r>
          </w:p>
        </w:tc>
        <w:tc>
          <w:tcPr>
            <w:tcW w:w="1301" w:type="dxa"/>
            <w:vAlign w:val="bottom"/>
          </w:tcPr>
          <w:p>
            <w:pPr>
              <w:pStyle w:val="yTableNAm"/>
              <w:tabs>
                <w:tab w:val="clear" w:pos="567"/>
              </w:tabs>
              <w:ind w:left="-108" w:right="-91"/>
            </w:pPr>
            <w:r>
              <w:t>204.1 cents</w:t>
            </w:r>
          </w:p>
        </w:tc>
      </w:tr>
      <w:tr>
        <w:trPr>
          <w:cantSplit/>
        </w:trPr>
        <w:tc>
          <w:tcPr>
            <w:tcW w:w="774" w:type="dxa"/>
          </w:tcPr>
          <w:p>
            <w:pPr>
              <w:pStyle w:val="yTableNAm"/>
            </w:pPr>
            <w:r>
              <w:rPr>
                <w:b/>
              </w:rPr>
              <w:t>25.</w:t>
            </w:r>
          </w:p>
        </w:tc>
        <w:tc>
          <w:tcPr>
            <w:tcW w:w="4302" w:type="dxa"/>
          </w:tcPr>
          <w:p>
            <w:pPr>
              <w:pStyle w:val="yTableNAm"/>
              <w:tabs>
                <w:tab w:val="left" w:leader="dot" w:pos="4876"/>
              </w:tabs>
              <w:ind w:right="158"/>
            </w:pPr>
            <w:r>
              <w:rPr>
                <w:b/>
              </w:rPr>
              <w:t>Connected metropolitan exempt</w:t>
            </w:r>
          </w:p>
        </w:tc>
        <w:tc>
          <w:tcPr>
            <w:tcW w:w="1301" w:type="dxa"/>
            <w:vAlign w:val="bottom"/>
          </w:tcPr>
          <w:p>
            <w:pPr>
              <w:pStyle w:val="yTableNAm"/>
              <w:tabs>
                <w:tab w:val="clear" w:pos="567"/>
              </w:tabs>
              <w:ind w:left="-108" w:right="-91"/>
            </w:pPr>
          </w:p>
        </w:tc>
      </w:tr>
      <w:tr>
        <w:trPr>
          <w:cantSplit/>
        </w:trPr>
        <w:tc>
          <w:tcPr>
            <w:tcW w:w="774" w:type="dxa"/>
          </w:tcPr>
          <w:p>
            <w:pPr>
              <w:pStyle w:val="zyTableNAm"/>
            </w:pPr>
          </w:p>
        </w:tc>
        <w:tc>
          <w:tcPr>
            <w:tcW w:w="4302" w:type="dxa"/>
          </w:tcPr>
          <w:p>
            <w:pPr>
              <w:pStyle w:val="yTableNAm"/>
              <w:tabs>
                <w:tab w:val="left" w:leader="dot" w:pos="4876"/>
              </w:tabs>
              <w:ind w:right="158"/>
            </w:pPr>
            <w:r>
              <w:t>For each kilolitre of water, not being water for which a charge is otherwise provided in item 29 or 31, supplied to land described in by</w:t>
            </w:r>
            <w:r>
              <w:noBreakHyphen/>
              <w:t xml:space="preserve">law 4 that is in the metropolitan area and that is not classified as residential </w:t>
            </w:r>
            <w:r>
              <w:tab/>
            </w:r>
          </w:p>
        </w:tc>
        <w:tc>
          <w:tcPr>
            <w:tcW w:w="1301" w:type="dxa"/>
            <w:vAlign w:val="bottom"/>
          </w:tcPr>
          <w:p>
            <w:pPr>
              <w:pStyle w:val="yTableNAm"/>
              <w:tabs>
                <w:tab w:val="clear" w:pos="567"/>
              </w:tabs>
              <w:ind w:left="-108" w:right="-91"/>
            </w:pPr>
            <w:r>
              <w:t>204.1 cents</w:t>
            </w:r>
          </w:p>
        </w:tc>
      </w:tr>
      <w:tr>
        <w:trPr>
          <w:cantSplit/>
        </w:trPr>
        <w:tc>
          <w:tcPr>
            <w:tcW w:w="774" w:type="dxa"/>
          </w:tcPr>
          <w:p>
            <w:pPr>
              <w:pStyle w:val="yTableNAm"/>
            </w:pPr>
            <w:r>
              <w:rPr>
                <w:b/>
              </w:rPr>
              <w:t>26.</w:t>
            </w:r>
          </w:p>
        </w:tc>
        <w:tc>
          <w:tcPr>
            <w:tcW w:w="4302" w:type="dxa"/>
          </w:tcPr>
          <w:p>
            <w:pPr>
              <w:pStyle w:val="yTableNAm"/>
              <w:tabs>
                <w:tab w:val="left" w:leader="dot" w:pos="4876"/>
              </w:tabs>
              <w:ind w:right="158"/>
            </w:pPr>
            <w:r>
              <w:rPr>
                <w:b/>
              </w:rPr>
              <w:t>Connected non</w:t>
            </w:r>
            <w:r>
              <w:rPr>
                <w:b/>
              </w:rPr>
              <w:noBreakHyphen/>
              <w:t>metropolitan residential exempt</w:t>
            </w:r>
          </w:p>
        </w:tc>
        <w:tc>
          <w:tcPr>
            <w:tcW w:w="1301" w:type="dxa"/>
            <w:vAlign w:val="bottom"/>
          </w:tcPr>
          <w:p>
            <w:pPr>
              <w:pStyle w:val="yTableNAm"/>
            </w:pPr>
          </w:p>
        </w:tc>
      </w:tr>
      <w:tr>
        <w:trPr>
          <w:cantSplit/>
        </w:trPr>
        <w:tc>
          <w:tcPr>
            <w:tcW w:w="774" w:type="dxa"/>
          </w:tcPr>
          <w:p>
            <w:pPr>
              <w:pStyle w:val="zyTableNAm"/>
            </w:pPr>
          </w:p>
        </w:tc>
        <w:tc>
          <w:tcPr>
            <w:tcW w:w="4302" w:type="dxa"/>
          </w:tcPr>
          <w:p>
            <w:pPr>
              <w:pStyle w:val="yTableNAm"/>
              <w:tabs>
                <w:tab w:val="left" w:leader="dot" w:pos="4876"/>
              </w:tabs>
              <w:ind w:right="158"/>
            </w:pPr>
            <w:r>
              <w:t>For each kilolitre of water, not being water for which a charge is otherwise specifically provided in this Division, supplied to land described in by</w:t>
            </w:r>
            <w:r>
              <w:noBreakHyphen/>
              <w:t>law 4 that is comprised in a residential property and is not in the metropolitan area —</w:t>
            </w:r>
          </w:p>
        </w:tc>
        <w:tc>
          <w:tcPr>
            <w:tcW w:w="1301" w:type="dxa"/>
            <w:vAlign w:val="bottom"/>
          </w:tcPr>
          <w:p>
            <w:pPr>
              <w:pStyle w:val="yTableNAm"/>
            </w:pPr>
          </w:p>
        </w:tc>
      </w:tr>
      <w:tr>
        <w:trPr>
          <w:cantSplit/>
        </w:trPr>
        <w:tc>
          <w:tcPr>
            <w:tcW w:w="774" w:type="dxa"/>
          </w:tcPr>
          <w:p>
            <w:pPr>
              <w:pStyle w:val="zyTableNAm"/>
            </w:pPr>
          </w:p>
        </w:tc>
        <w:tc>
          <w:tcPr>
            <w:tcW w:w="4302" w:type="dxa"/>
          </w:tcPr>
          <w:p>
            <w:pPr>
              <w:pStyle w:val="yTableNAm"/>
              <w:tabs>
                <w:tab w:val="clear" w:pos="567"/>
                <w:tab w:val="left" w:pos="372"/>
                <w:tab w:val="right" w:leader="dot" w:pos="4003"/>
              </w:tabs>
              <w:ind w:right="158"/>
            </w:pPr>
            <w:r>
              <w:tab/>
              <w:t xml:space="preserve">up to 300 kL </w:t>
            </w:r>
            <w:r>
              <w:tab/>
            </w:r>
          </w:p>
        </w:tc>
        <w:tc>
          <w:tcPr>
            <w:tcW w:w="1301" w:type="dxa"/>
            <w:vAlign w:val="bottom"/>
          </w:tcPr>
          <w:p>
            <w:pPr>
              <w:pStyle w:val="yTableNAm"/>
              <w:tabs>
                <w:tab w:val="clear" w:pos="567"/>
              </w:tabs>
              <w:ind w:left="-108" w:right="-91"/>
            </w:pPr>
            <w:r>
              <w:t>174.7 cents</w:t>
            </w:r>
          </w:p>
        </w:tc>
      </w:tr>
      <w:tr>
        <w:trPr>
          <w:cantSplit/>
        </w:trPr>
        <w:tc>
          <w:tcPr>
            <w:tcW w:w="774" w:type="dxa"/>
          </w:tcPr>
          <w:p>
            <w:pPr>
              <w:pStyle w:val="zyTableNAm"/>
            </w:pPr>
          </w:p>
        </w:tc>
        <w:tc>
          <w:tcPr>
            <w:tcW w:w="4302" w:type="dxa"/>
          </w:tcPr>
          <w:p>
            <w:pPr>
              <w:pStyle w:val="yTableNAm"/>
              <w:tabs>
                <w:tab w:val="clear" w:pos="567"/>
                <w:tab w:val="left" w:pos="372"/>
                <w:tab w:val="right" w:leader="dot" w:pos="4003"/>
              </w:tabs>
              <w:ind w:right="158"/>
            </w:pPr>
            <w:r>
              <w:tab/>
              <w:t xml:space="preserve">over 300 kL </w:t>
            </w:r>
            <w:r>
              <w:tab/>
            </w:r>
          </w:p>
        </w:tc>
        <w:tc>
          <w:tcPr>
            <w:tcW w:w="1301" w:type="dxa"/>
            <w:vAlign w:val="bottom"/>
          </w:tcPr>
          <w:p>
            <w:pPr>
              <w:pStyle w:val="yTableNAm"/>
              <w:tabs>
                <w:tab w:val="clear" w:pos="567"/>
              </w:tabs>
              <w:ind w:left="-108" w:right="-91"/>
            </w:pPr>
            <w:r>
              <w:t>192.6 cents</w:t>
            </w:r>
          </w:p>
        </w:tc>
      </w:tr>
      <w:tr>
        <w:trPr>
          <w:cantSplit/>
        </w:trPr>
        <w:tc>
          <w:tcPr>
            <w:tcW w:w="774" w:type="dxa"/>
          </w:tcPr>
          <w:p>
            <w:pPr>
              <w:pStyle w:val="yTableNAm"/>
            </w:pPr>
            <w:r>
              <w:rPr>
                <w:b/>
              </w:rPr>
              <w:t>27.</w:t>
            </w:r>
          </w:p>
        </w:tc>
        <w:tc>
          <w:tcPr>
            <w:tcW w:w="4302" w:type="dxa"/>
          </w:tcPr>
          <w:p>
            <w:pPr>
              <w:pStyle w:val="yTableNAm"/>
              <w:tabs>
                <w:tab w:val="left" w:leader="dot" w:pos="4876"/>
              </w:tabs>
              <w:ind w:right="158"/>
            </w:pPr>
            <w:r>
              <w:rPr>
                <w:b/>
                <w:bCs/>
              </w:rPr>
              <w:t>Non</w:t>
            </w:r>
            <w:r>
              <w:rPr>
                <w:b/>
                <w:bCs/>
              </w:rPr>
              <w:noBreakHyphen/>
              <w:t>metropolitan non</w:t>
            </w:r>
            <w:r>
              <w:rPr>
                <w:b/>
                <w:bCs/>
              </w:rPr>
              <w:noBreakHyphen/>
              <w:t>residential</w:t>
            </w:r>
          </w:p>
        </w:tc>
        <w:tc>
          <w:tcPr>
            <w:tcW w:w="1301" w:type="dxa"/>
            <w:vAlign w:val="bottom"/>
          </w:tcPr>
          <w:p>
            <w:pPr>
              <w:pStyle w:val="yTableNAm"/>
            </w:pPr>
          </w:p>
        </w:tc>
      </w:tr>
      <w:tr>
        <w:trPr>
          <w:cantSplit/>
        </w:trPr>
        <w:tc>
          <w:tcPr>
            <w:tcW w:w="774" w:type="dxa"/>
          </w:tcPr>
          <w:p>
            <w:pPr>
              <w:pStyle w:val="zyTableNAm"/>
            </w:pPr>
          </w:p>
        </w:tc>
        <w:tc>
          <w:tcPr>
            <w:tcW w:w="4302" w:type="dxa"/>
          </w:tcPr>
          <w:p>
            <w:pPr>
              <w:pStyle w:val="yTableNAm"/>
              <w:tabs>
                <w:tab w:val="left" w:leader="dot" w:pos="4876"/>
              </w:tabs>
              <w:ind w:right="158"/>
            </w:pPr>
            <w:r>
              <w:t>For each kilolitre of water, not being water for which a charge is otherwise specifically provided in this Division, supplied to land that is not in the metropolitan area and that is neither comprised in a residential property, nor any other land classified as vacant land and held for residential purposes, where the land is classified as — </w:t>
            </w:r>
          </w:p>
        </w:tc>
        <w:tc>
          <w:tcPr>
            <w:tcW w:w="1301" w:type="dxa"/>
            <w:vAlign w:val="bottom"/>
          </w:tcPr>
          <w:p>
            <w:pPr>
              <w:pStyle w:val="yTableNAm"/>
            </w:pPr>
          </w:p>
        </w:tc>
      </w:tr>
      <w:tr>
        <w:trPr>
          <w:cantSplit/>
        </w:trPr>
        <w:tc>
          <w:tcPr>
            <w:tcW w:w="774" w:type="dxa"/>
          </w:tcPr>
          <w:p>
            <w:pPr>
              <w:pStyle w:val="zyTableNAm"/>
            </w:pPr>
          </w:p>
        </w:tc>
        <w:tc>
          <w:tcPr>
            <w:tcW w:w="4302" w:type="dxa"/>
          </w:tcPr>
          <w:p>
            <w:pPr>
              <w:pStyle w:val="yTableNAm"/>
              <w:tabs>
                <w:tab w:val="clear" w:pos="567"/>
                <w:tab w:val="left" w:pos="296"/>
                <w:tab w:val="left" w:pos="776"/>
                <w:tab w:val="left" w:leader="dot" w:pos="4876"/>
              </w:tabs>
              <w:ind w:left="776" w:hanging="776"/>
            </w:pPr>
            <w:r>
              <w:rPr>
                <w:snapToGrid w:val="0"/>
              </w:rPr>
              <w:tab/>
              <w:t>(a)</w:t>
            </w:r>
            <w:r>
              <w:rPr>
                <w:snapToGrid w:val="0"/>
              </w:rPr>
              <w:tab/>
              <w:t>local government —</w:t>
            </w:r>
          </w:p>
        </w:tc>
        <w:tc>
          <w:tcPr>
            <w:tcW w:w="1301" w:type="dxa"/>
            <w:vAlign w:val="bottom"/>
          </w:tcPr>
          <w:p>
            <w:pPr>
              <w:pStyle w:val="yTableNAm"/>
            </w:pPr>
          </w:p>
        </w:tc>
      </w:tr>
      <w:tr>
        <w:trPr>
          <w:cantSplit/>
        </w:trPr>
        <w:tc>
          <w:tcPr>
            <w:tcW w:w="774" w:type="dxa"/>
          </w:tcPr>
          <w:p>
            <w:pPr>
              <w:pStyle w:val="zyTableNAm"/>
            </w:pPr>
          </w:p>
        </w:tc>
        <w:tc>
          <w:tcPr>
            <w:tcW w:w="4302" w:type="dxa"/>
          </w:tcPr>
          <w:p>
            <w:pPr>
              <w:pStyle w:val="yTableNAm"/>
              <w:tabs>
                <w:tab w:val="clear" w:pos="567"/>
                <w:tab w:val="left" w:pos="852"/>
                <w:tab w:val="right" w:leader="dot" w:pos="4003"/>
              </w:tabs>
              <w:ind w:left="848" w:right="158" w:hanging="848"/>
            </w:pPr>
            <w:r>
              <w:tab/>
            </w:r>
            <w:r>
              <w:tab/>
              <w:t xml:space="preserve">up to 300 kL </w:t>
            </w:r>
            <w:r>
              <w:tab/>
            </w:r>
          </w:p>
        </w:tc>
        <w:tc>
          <w:tcPr>
            <w:tcW w:w="1301" w:type="dxa"/>
            <w:vAlign w:val="bottom"/>
          </w:tcPr>
          <w:p>
            <w:pPr>
              <w:pStyle w:val="yTableNAm"/>
              <w:tabs>
                <w:tab w:val="clear" w:pos="567"/>
              </w:tabs>
              <w:ind w:left="-108" w:right="-91"/>
            </w:pPr>
            <w:r>
              <w:t>174.7 cents</w:t>
            </w:r>
          </w:p>
        </w:tc>
      </w:tr>
      <w:tr>
        <w:trPr>
          <w:cantSplit/>
        </w:trPr>
        <w:tc>
          <w:tcPr>
            <w:tcW w:w="774" w:type="dxa"/>
          </w:tcPr>
          <w:p>
            <w:pPr>
              <w:pStyle w:val="zyTableNAm"/>
            </w:pPr>
          </w:p>
        </w:tc>
        <w:tc>
          <w:tcPr>
            <w:tcW w:w="4302" w:type="dxa"/>
          </w:tcPr>
          <w:p>
            <w:pPr>
              <w:pStyle w:val="yTableNAm"/>
              <w:tabs>
                <w:tab w:val="clear" w:pos="567"/>
                <w:tab w:val="left" w:pos="852"/>
                <w:tab w:val="right" w:leader="dot" w:pos="4003"/>
              </w:tabs>
              <w:ind w:left="848" w:right="158" w:hanging="848"/>
            </w:pPr>
            <w:r>
              <w:tab/>
            </w:r>
            <w:r>
              <w:tab/>
              <w:t xml:space="preserve">over 300 kL </w:t>
            </w:r>
            <w:r>
              <w:tab/>
            </w:r>
          </w:p>
        </w:tc>
        <w:tc>
          <w:tcPr>
            <w:tcW w:w="1301" w:type="dxa"/>
            <w:vAlign w:val="bottom"/>
          </w:tcPr>
          <w:p>
            <w:pPr>
              <w:pStyle w:val="yTableNAm"/>
              <w:tabs>
                <w:tab w:val="clear" w:pos="567"/>
              </w:tabs>
              <w:ind w:left="-108" w:right="-91"/>
            </w:pPr>
            <w:r>
              <w:t>192.6 cents</w:t>
            </w:r>
          </w:p>
        </w:tc>
      </w:tr>
      <w:tr>
        <w:trPr>
          <w:cantSplit/>
        </w:trPr>
        <w:tc>
          <w:tcPr>
            <w:tcW w:w="774" w:type="dxa"/>
          </w:tcPr>
          <w:p>
            <w:pPr>
              <w:pStyle w:val="zyTableNAm"/>
            </w:pPr>
          </w:p>
        </w:tc>
        <w:tc>
          <w:tcPr>
            <w:tcW w:w="4302" w:type="dxa"/>
          </w:tcPr>
          <w:p>
            <w:pPr>
              <w:pStyle w:val="yTableNAm"/>
              <w:tabs>
                <w:tab w:val="clear" w:pos="567"/>
                <w:tab w:val="left" w:pos="296"/>
                <w:tab w:val="left" w:pos="776"/>
                <w:tab w:val="left" w:leader="dot" w:pos="4876"/>
              </w:tabs>
              <w:ind w:left="776" w:hanging="776"/>
            </w:pPr>
            <w:r>
              <w:rPr>
                <w:snapToGrid w:val="0"/>
              </w:rPr>
              <w:tab/>
              <w:t>(b)</w:t>
            </w:r>
            <w:r>
              <w:rPr>
                <w:snapToGrid w:val="0"/>
              </w:rPr>
              <w:tab/>
              <w:t>non</w:t>
            </w:r>
            <w:r>
              <w:rPr>
                <w:snapToGrid w:val="0"/>
              </w:rPr>
              <w:noBreakHyphen/>
              <w:t>residential or vacant land (according to the non</w:t>
            </w:r>
            <w:r>
              <w:rPr>
                <w:snapToGrid w:val="0"/>
              </w:rPr>
              <w:noBreakHyphen/>
              <w:t>residential classification of the town/area in which that property is situated, as set out in Schedule 10) —</w:t>
            </w:r>
          </w:p>
        </w:tc>
        <w:tc>
          <w:tcPr>
            <w:tcW w:w="1301" w:type="dxa"/>
            <w:vAlign w:val="bottom"/>
          </w:tcPr>
          <w:p>
            <w:pPr>
              <w:pStyle w:val="yTableNAm"/>
              <w:tabs>
                <w:tab w:val="left" w:pos="852"/>
                <w:tab w:val="left" w:leader="dot" w:pos="4876"/>
              </w:tabs>
              <w:ind w:right="158"/>
            </w:pPr>
          </w:p>
        </w:tc>
      </w:tr>
    </w:tbl>
    <w:p>
      <w:pPr>
        <w:pStyle w:val="yMiscellaneousBody"/>
      </w:pPr>
    </w:p>
    <w:tbl>
      <w:tblPr>
        <w:tblW w:w="6378" w:type="dxa"/>
        <w:tblInd w:w="454" w:type="dxa"/>
        <w:tblLayout w:type="fixed"/>
        <w:tblCellMar>
          <w:left w:w="28" w:type="dxa"/>
          <w:right w:w="28" w:type="dxa"/>
        </w:tblCellMar>
        <w:tblLook w:val="0000" w:firstRow="0" w:lastRow="0" w:firstColumn="0" w:lastColumn="0" w:noHBand="0" w:noVBand="0"/>
      </w:tblPr>
      <w:tblGrid>
        <w:gridCol w:w="1854"/>
        <w:gridCol w:w="2262"/>
        <w:gridCol w:w="2262"/>
      </w:tblGrid>
      <w:tr>
        <w:trPr>
          <w:cantSplit/>
          <w:trHeight w:val="217"/>
          <w:tblHeader/>
        </w:trPr>
        <w:tc>
          <w:tcPr>
            <w:tcW w:w="1854" w:type="dxa"/>
            <w:vMerge w:val="restart"/>
            <w:tcBorders>
              <w:top w:val="single" w:sz="4" w:space="0" w:color="auto"/>
            </w:tcBorders>
          </w:tcPr>
          <w:p>
            <w:pPr>
              <w:pStyle w:val="yTableNAm"/>
              <w:keepNext/>
            </w:pPr>
            <w:r>
              <w:rPr>
                <w:b/>
                <w:bCs/>
              </w:rPr>
              <w:t>Class</w:t>
            </w:r>
          </w:p>
        </w:tc>
        <w:tc>
          <w:tcPr>
            <w:tcW w:w="4524" w:type="dxa"/>
            <w:gridSpan w:val="2"/>
            <w:tcBorders>
              <w:top w:val="single" w:sz="4" w:space="0" w:color="auto"/>
            </w:tcBorders>
          </w:tcPr>
          <w:p>
            <w:pPr>
              <w:pStyle w:val="yTableNAm"/>
              <w:keepNext/>
              <w:jc w:val="center"/>
            </w:pPr>
            <w:r>
              <w:rPr>
                <w:b/>
                <w:bCs/>
              </w:rPr>
              <w:t>Consumption (kL)</w:t>
            </w:r>
          </w:p>
        </w:tc>
      </w:tr>
      <w:tr>
        <w:trPr>
          <w:cantSplit/>
          <w:trHeight w:val="217"/>
          <w:tblHeader/>
        </w:trPr>
        <w:tc>
          <w:tcPr>
            <w:tcW w:w="1854" w:type="dxa"/>
            <w:vMerge/>
            <w:tcBorders>
              <w:bottom w:val="single" w:sz="4" w:space="0" w:color="auto"/>
            </w:tcBorders>
          </w:tcPr>
          <w:p>
            <w:pPr>
              <w:pStyle w:val="zyTableNAm"/>
              <w:keepNext/>
              <w:rPr>
                <w:b/>
                <w:bCs/>
              </w:rPr>
            </w:pPr>
          </w:p>
        </w:tc>
        <w:tc>
          <w:tcPr>
            <w:tcW w:w="2262" w:type="dxa"/>
            <w:tcBorders>
              <w:bottom w:val="single" w:sz="4" w:space="0" w:color="auto"/>
            </w:tcBorders>
          </w:tcPr>
          <w:p>
            <w:pPr>
              <w:pStyle w:val="yTableNAm"/>
              <w:keepNext/>
              <w:jc w:val="center"/>
            </w:pPr>
            <w:r>
              <w:rPr>
                <w:b/>
                <w:bCs/>
              </w:rPr>
              <w:t>Up to 300</w:t>
            </w:r>
          </w:p>
        </w:tc>
        <w:tc>
          <w:tcPr>
            <w:tcW w:w="2262" w:type="dxa"/>
            <w:tcBorders>
              <w:bottom w:val="single" w:sz="4" w:space="0" w:color="auto"/>
            </w:tcBorders>
          </w:tcPr>
          <w:p>
            <w:pPr>
              <w:pStyle w:val="yTableNAm"/>
              <w:keepNext/>
              <w:jc w:val="center"/>
            </w:pPr>
            <w:r>
              <w:rPr>
                <w:b/>
                <w:bCs/>
              </w:rPr>
              <w:t>Over 300</w:t>
            </w:r>
          </w:p>
        </w:tc>
      </w:tr>
      <w:tr>
        <w:tc>
          <w:tcPr>
            <w:tcW w:w="1854" w:type="dxa"/>
            <w:tcBorders>
              <w:top w:val="single" w:sz="4" w:space="0" w:color="auto"/>
            </w:tcBorders>
          </w:tcPr>
          <w:p>
            <w:pPr>
              <w:pStyle w:val="yTableNAm"/>
            </w:pPr>
            <w:r>
              <w:rPr>
                <w:bCs/>
              </w:rPr>
              <w:t>Class 1 (c/kL)</w:t>
            </w:r>
          </w:p>
        </w:tc>
        <w:tc>
          <w:tcPr>
            <w:tcW w:w="2262" w:type="dxa"/>
            <w:tcBorders>
              <w:top w:val="single" w:sz="4" w:space="0" w:color="auto"/>
            </w:tcBorders>
            <w:vAlign w:val="bottom"/>
          </w:tcPr>
          <w:p>
            <w:pPr>
              <w:pStyle w:val="yTableNAm"/>
              <w:jc w:val="center"/>
            </w:pPr>
            <w:r>
              <w:t>174.7</w:t>
            </w:r>
          </w:p>
        </w:tc>
        <w:tc>
          <w:tcPr>
            <w:tcW w:w="2262" w:type="dxa"/>
            <w:tcBorders>
              <w:top w:val="single" w:sz="4" w:space="0" w:color="auto"/>
            </w:tcBorders>
            <w:vAlign w:val="bottom"/>
          </w:tcPr>
          <w:p>
            <w:pPr>
              <w:pStyle w:val="yTableNAm"/>
              <w:jc w:val="center"/>
            </w:pPr>
            <w:r>
              <w:t>192.6</w:t>
            </w:r>
          </w:p>
        </w:tc>
      </w:tr>
      <w:tr>
        <w:tc>
          <w:tcPr>
            <w:tcW w:w="1854" w:type="dxa"/>
          </w:tcPr>
          <w:p>
            <w:pPr>
              <w:pStyle w:val="yTableNAm"/>
            </w:pPr>
            <w:r>
              <w:rPr>
                <w:bCs/>
              </w:rPr>
              <w:t>Class 2 (c/kL)</w:t>
            </w:r>
          </w:p>
        </w:tc>
        <w:tc>
          <w:tcPr>
            <w:tcW w:w="2262" w:type="dxa"/>
            <w:vAlign w:val="bottom"/>
          </w:tcPr>
          <w:p>
            <w:pPr>
              <w:pStyle w:val="yTableNAm"/>
              <w:jc w:val="center"/>
            </w:pPr>
            <w:r>
              <w:t>191.6</w:t>
            </w:r>
          </w:p>
        </w:tc>
        <w:tc>
          <w:tcPr>
            <w:tcW w:w="2262" w:type="dxa"/>
            <w:vAlign w:val="bottom"/>
          </w:tcPr>
          <w:p>
            <w:pPr>
              <w:pStyle w:val="yTableNAm"/>
              <w:jc w:val="center"/>
            </w:pPr>
            <w:r>
              <w:t>209.8</w:t>
            </w:r>
          </w:p>
        </w:tc>
      </w:tr>
      <w:tr>
        <w:tc>
          <w:tcPr>
            <w:tcW w:w="1854" w:type="dxa"/>
          </w:tcPr>
          <w:p>
            <w:pPr>
              <w:pStyle w:val="yTableNAm"/>
            </w:pPr>
            <w:r>
              <w:rPr>
                <w:bCs/>
              </w:rPr>
              <w:t>Class 3 (c/kL)</w:t>
            </w:r>
          </w:p>
        </w:tc>
        <w:tc>
          <w:tcPr>
            <w:tcW w:w="2262" w:type="dxa"/>
            <w:vAlign w:val="bottom"/>
          </w:tcPr>
          <w:p>
            <w:pPr>
              <w:pStyle w:val="yTableNAm"/>
              <w:jc w:val="center"/>
            </w:pPr>
            <w:r>
              <w:t>209.8</w:t>
            </w:r>
          </w:p>
        </w:tc>
        <w:tc>
          <w:tcPr>
            <w:tcW w:w="2262" w:type="dxa"/>
            <w:vAlign w:val="bottom"/>
          </w:tcPr>
          <w:p>
            <w:pPr>
              <w:pStyle w:val="yTableNAm"/>
              <w:jc w:val="center"/>
            </w:pPr>
            <w:r>
              <w:t>228.2</w:t>
            </w:r>
          </w:p>
        </w:tc>
      </w:tr>
      <w:tr>
        <w:tc>
          <w:tcPr>
            <w:tcW w:w="1854" w:type="dxa"/>
          </w:tcPr>
          <w:p>
            <w:pPr>
              <w:pStyle w:val="yTableNAm"/>
            </w:pPr>
            <w:r>
              <w:rPr>
                <w:bCs/>
              </w:rPr>
              <w:t>Class 4 (c/kL)</w:t>
            </w:r>
          </w:p>
        </w:tc>
        <w:tc>
          <w:tcPr>
            <w:tcW w:w="2262" w:type="dxa"/>
            <w:vAlign w:val="bottom"/>
          </w:tcPr>
          <w:p>
            <w:pPr>
              <w:pStyle w:val="yTableNAm"/>
              <w:jc w:val="center"/>
            </w:pPr>
            <w:r>
              <w:t>230.0</w:t>
            </w:r>
          </w:p>
        </w:tc>
        <w:tc>
          <w:tcPr>
            <w:tcW w:w="2262" w:type="dxa"/>
            <w:vAlign w:val="bottom"/>
          </w:tcPr>
          <w:p>
            <w:pPr>
              <w:pStyle w:val="yTableNAm"/>
              <w:jc w:val="center"/>
            </w:pPr>
            <w:r>
              <w:t>248.6</w:t>
            </w:r>
          </w:p>
        </w:tc>
      </w:tr>
      <w:tr>
        <w:tc>
          <w:tcPr>
            <w:tcW w:w="1854" w:type="dxa"/>
          </w:tcPr>
          <w:p>
            <w:pPr>
              <w:pStyle w:val="yTableNAm"/>
            </w:pPr>
            <w:r>
              <w:rPr>
                <w:bCs/>
              </w:rPr>
              <w:t>Class 5 (c/kL)</w:t>
            </w:r>
          </w:p>
        </w:tc>
        <w:tc>
          <w:tcPr>
            <w:tcW w:w="2262" w:type="dxa"/>
            <w:vAlign w:val="bottom"/>
          </w:tcPr>
          <w:p>
            <w:pPr>
              <w:pStyle w:val="yTableNAm"/>
              <w:jc w:val="center"/>
            </w:pPr>
            <w:r>
              <w:t>252.2</w:t>
            </w:r>
          </w:p>
        </w:tc>
        <w:tc>
          <w:tcPr>
            <w:tcW w:w="2262" w:type="dxa"/>
            <w:vAlign w:val="bottom"/>
          </w:tcPr>
          <w:p>
            <w:pPr>
              <w:pStyle w:val="yTableNAm"/>
              <w:jc w:val="center"/>
            </w:pPr>
            <w:r>
              <w:t>270.7</w:t>
            </w:r>
          </w:p>
        </w:tc>
      </w:tr>
      <w:tr>
        <w:tc>
          <w:tcPr>
            <w:tcW w:w="1854" w:type="dxa"/>
          </w:tcPr>
          <w:p>
            <w:pPr>
              <w:pStyle w:val="yTableNAm"/>
            </w:pPr>
            <w:r>
              <w:rPr>
                <w:bCs/>
              </w:rPr>
              <w:t>Class 6 (c/kL)</w:t>
            </w:r>
          </w:p>
        </w:tc>
        <w:tc>
          <w:tcPr>
            <w:tcW w:w="2262" w:type="dxa"/>
            <w:vAlign w:val="bottom"/>
          </w:tcPr>
          <w:p>
            <w:pPr>
              <w:pStyle w:val="yTableNAm"/>
              <w:jc w:val="center"/>
            </w:pPr>
            <w:r>
              <w:t>274.4</w:t>
            </w:r>
          </w:p>
        </w:tc>
        <w:tc>
          <w:tcPr>
            <w:tcW w:w="2262" w:type="dxa"/>
            <w:vAlign w:val="bottom"/>
          </w:tcPr>
          <w:p>
            <w:pPr>
              <w:pStyle w:val="yTableNAm"/>
              <w:jc w:val="center"/>
            </w:pPr>
            <w:r>
              <w:t>294.8</w:t>
            </w:r>
          </w:p>
        </w:tc>
      </w:tr>
      <w:tr>
        <w:tc>
          <w:tcPr>
            <w:tcW w:w="1854" w:type="dxa"/>
          </w:tcPr>
          <w:p>
            <w:pPr>
              <w:pStyle w:val="yTableNAm"/>
            </w:pPr>
            <w:r>
              <w:rPr>
                <w:bCs/>
              </w:rPr>
              <w:t>Class 7 (c/kL)</w:t>
            </w:r>
          </w:p>
        </w:tc>
        <w:tc>
          <w:tcPr>
            <w:tcW w:w="2262" w:type="dxa"/>
            <w:vAlign w:val="bottom"/>
          </w:tcPr>
          <w:p>
            <w:pPr>
              <w:pStyle w:val="yTableNAm"/>
              <w:jc w:val="center"/>
            </w:pPr>
            <w:r>
              <w:t>298.6</w:t>
            </w:r>
          </w:p>
        </w:tc>
        <w:tc>
          <w:tcPr>
            <w:tcW w:w="2262" w:type="dxa"/>
            <w:vAlign w:val="bottom"/>
          </w:tcPr>
          <w:p>
            <w:pPr>
              <w:pStyle w:val="yTableNAm"/>
              <w:jc w:val="center"/>
            </w:pPr>
            <w:r>
              <w:t>321.1</w:t>
            </w:r>
          </w:p>
        </w:tc>
      </w:tr>
      <w:tr>
        <w:tc>
          <w:tcPr>
            <w:tcW w:w="1854" w:type="dxa"/>
          </w:tcPr>
          <w:p>
            <w:pPr>
              <w:pStyle w:val="yTableNAm"/>
            </w:pPr>
            <w:r>
              <w:rPr>
                <w:bCs/>
              </w:rPr>
              <w:t>Class 8 (c/kL)</w:t>
            </w:r>
          </w:p>
        </w:tc>
        <w:tc>
          <w:tcPr>
            <w:tcW w:w="2262" w:type="dxa"/>
            <w:vAlign w:val="bottom"/>
          </w:tcPr>
          <w:p>
            <w:pPr>
              <w:pStyle w:val="yTableNAm"/>
              <w:jc w:val="center"/>
            </w:pPr>
            <w:r>
              <w:t>324.2</w:t>
            </w:r>
          </w:p>
        </w:tc>
        <w:tc>
          <w:tcPr>
            <w:tcW w:w="2262" w:type="dxa"/>
            <w:vAlign w:val="bottom"/>
          </w:tcPr>
          <w:p>
            <w:pPr>
              <w:pStyle w:val="yTableNAm"/>
              <w:jc w:val="center"/>
            </w:pPr>
            <w:r>
              <w:t>349.6</w:t>
            </w:r>
          </w:p>
        </w:tc>
      </w:tr>
      <w:tr>
        <w:tc>
          <w:tcPr>
            <w:tcW w:w="1854" w:type="dxa"/>
          </w:tcPr>
          <w:p>
            <w:pPr>
              <w:pStyle w:val="yTableNAm"/>
            </w:pPr>
            <w:r>
              <w:rPr>
                <w:bCs/>
              </w:rPr>
              <w:t>Class 9 (c/kL)</w:t>
            </w:r>
          </w:p>
        </w:tc>
        <w:tc>
          <w:tcPr>
            <w:tcW w:w="2262" w:type="dxa"/>
            <w:vAlign w:val="bottom"/>
          </w:tcPr>
          <w:p>
            <w:pPr>
              <w:pStyle w:val="yTableNAm"/>
              <w:jc w:val="center"/>
            </w:pPr>
            <w:r>
              <w:t>352.0</w:t>
            </w:r>
          </w:p>
        </w:tc>
        <w:tc>
          <w:tcPr>
            <w:tcW w:w="2262" w:type="dxa"/>
            <w:vAlign w:val="bottom"/>
          </w:tcPr>
          <w:p>
            <w:pPr>
              <w:pStyle w:val="yTableNAm"/>
              <w:jc w:val="center"/>
            </w:pPr>
            <w:r>
              <w:t>380.7</w:t>
            </w:r>
          </w:p>
        </w:tc>
      </w:tr>
      <w:tr>
        <w:tc>
          <w:tcPr>
            <w:tcW w:w="1854" w:type="dxa"/>
          </w:tcPr>
          <w:p>
            <w:pPr>
              <w:pStyle w:val="yTableNAm"/>
            </w:pPr>
            <w:r>
              <w:rPr>
                <w:bCs/>
              </w:rPr>
              <w:t>Class 10 (c/kL)</w:t>
            </w:r>
          </w:p>
        </w:tc>
        <w:tc>
          <w:tcPr>
            <w:tcW w:w="2262" w:type="dxa"/>
            <w:vAlign w:val="bottom"/>
          </w:tcPr>
          <w:p>
            <w:pPr>
              <w:pStyle w:val="yTableNAm"/>
              <w:jc w:val="center"/>
            </w:pPr>
            <w:r>
              <w:t>379.0</w:t>
            </w:r>
          </w:p>
        </w:tc>
        <w:tc>
          <w:tcPr>
            <w:tcW w:w="2262" w:type="dxa"/>
            <w:vAlign w:val="bottom"/>
          </w:tcPr>
          <w:p>
            <w:pPr>
              <w:pStyle w:val="yTableNAm"/>
              <w:jc w:val="center"/>
            </w:pPr>
            <w:r>
              <w:t>414.6</w:t>
            </w:r>
          </w:p>
        </w:tc>
      </w:tr>
      <w:tr>
        <w:tc>
          <w:tcPr>
            <w:tcW w:w="1854" w:type="dxa"/>
          </w:tcPr>
          <w:p>
            <w:pPr>
              <w:pStyle w:val="yTableNAm"/>
            </w:pPr>
            <w:r>
              <w:rPr>
                <w:bCs/>
              </w:rPr>
              <w:t>Class 11 (c/kL)</w:t>
            </w:r>
          </w:p>
        </w:tc>
        <w:tc>
          <w:tcPr>
            <w:tcW w:w="2262" w:type="dxa"/>
            <w:vAlign w:val="bottom"/>
          </w:tcPr>
          <w:p>
            <w:pPr>
              <w:pStyle w:val="yTableNAm"/>
              <w:jc w:val="center"/>
            </w:pPr>
            <w:r>
              <w:t>413.5</w:t>
            </w:r>
          </w:p>
        </w:tc>
        <w:tc>
          <w:tcPr>
            <w:tcW w:w="2262" w:type="dxa"/>
            <w:vAlign w:val="bottom"/>
          </w:tcPr>
          <w:p>
            <w:pPr>
              <w:pStyle w:val="yTableNAm"/>
              <w:jc w:val="center"/>
            </w:pPr>
            <w:r>
              <w:t>451.4</w:t>
            </w:r>
          </w:p>
        </w:tc>
      </w:tr>
      <w:tr>
        <w:tc>
          <w:tcPr>
            <w:tcW w:w="1854" w:type="dxa"/>
          </w:tcPr>
          <w:p>
            <w:pPr>
              <w:pStyle w:val="yTableNAm"/>
            </w:pPr>
            <w:r>
              <w:rPr>
                <w:bCs/>
              </w:rPr>
              <w:t>Class 12 (c/kL)</w:t>
            </w:r>
          </w:p>
        </w:tc>
        <w:tc>
          <w:tcPr>
            <w:tcW w:w="2262" w:type="dxa"/>
            <w:vAlign w:val="bottom"/>
          </w:tcPr>
          <w:p>
            <w:pPr>
              <w:pStyle w:val="yTableNAm"/>
              <w:jc w:val="center"/>
            </w:pPr>
            <w:r>
              <w:t>451.3</w:t>
            </w:r>
          </w:p>
        </w:tc>
        <w:tc>
          <w:tcPr>
            <w:tcW w:w="2262" w:type="dxa"/>
            <w:vAlign w:val="bottom"/>
          </w:tcPr>
          <w:p>
            <w:pPr>
              <w:pStyle w:val="yTableNAm"/>
              <w:jc w:val="center"/>
            </w:pPr>
            <w:r>
              <w:t>491.6</w:t>
            </w:r>
          </w:p>
        </w:tc>
      </w:tr>
      <w:tr>
        <w:tc>
          <w:tcPr>
            <w:tcW w:w="1854" w:type="dxa"/>
          </w:tcPr>
          <w:p>
            <w:pPr>
              <w:pStyle w:val="yTableNAm"/>
            </w:pPr>
            <w:r>
              <w:rPr>
                <w:bCs/>
              </w:rPr>
              <w:t>Class 13 (c/kL)</w:t>
            </w:r>
          </w:p>
        </w:tc>
        <w:tc>
          <w:tcPr>
            <w:tcW w:w="2262" w:type="dxa"/>
            <w:vAlign w:val="bottom"/>
          </w:tcPr>
          <w:p>
            <w:pPr>
              <w:pStyle w:val="yTableNAm"/>
              <w:jc w:val="center"/>
            </w:pPr>
            <w:r>
              <w:t>492.4</w:t>
            </w:r>
          </w:p>
        </w:tc>
        <w:tc>
          <w:tcPr>
            <w:tcW w:w="2262" w:type="dxa"/>
            <w:vAlign w:val="bottom"/>
          </w:tcPr>
          <w:p>
            <w:pPr>
              <w:pStyle w:val="yTableNAm"/>
              <w:jc w:val="center"/>
            </w:pPr>
            <w:r>
              <w:t>535.3</w:t>
            </w:r>
          </w:p>
        </w:tc>
      </w:tr>
      <w:tr>
        <w:tc>
          <w:tcPr>
            <w:tcW w:w="1854" w:type="dxa"/>
          </w:tcPr>
          <w:p>
            <w:pPr>
              <w:pStyle w:val="yTableNAm"/>
            </w:pPr>
            <w:r>
              <w:rPr>
                <w:bCs/>
              </w:rPr>
              <w:t>Class 14 (c/kL)</w:t>
            </w:r>
          </w:p>
        </w:tc>
        <w:tc>
          <w:tcPr>
            <w:tcW w:w="2262" w:type="dxa"/>
            <w:vAlign w:val="bottom"/>
          </w:tcPr>
          <w:p>
            <w:pPr>
              <w:pStyle w:val="yTableNAm"/>
              <w:jc w:val="center"/>
            </w:pPr>
            <w:r>
              <w:t>537.3</w:t>
            </w:r>
          </w:p>
        </w:tc>
        <w:tc>
          <w:tcPr>
            <w:tcW w:w="2262" w:type="dxa"/>
            <w:vAlign w:val="bottom"/>
          </w:tcPr>
          <w:p>
            <w:pPr>
              <w:pStyle w:val="yTableNAm"/>
              <w:jc w:val="center"/>
            </w:pPr>
            <w:r>
              <w:t>582.9</w:t>
            </w:r>
          </w:p>
        </w:tc>
      </w:tr>
      <w:tr>
        <w:tc>
          <w:tcPr>
            <w:tcW w:w="1854" w:type="dxa"/>
            <w:tcBorders>
              <w:bottom w:val="single" w:sz="4" w:space="0" w:color="auto"/>
            </w:tcBorders>
          </w:tcPr>
          <w:p>
            <w:pPr>
              <w:pStyle w:val="yTableNAm"/>
            </w:pPr>
            <w:r>
              <w:rPr>
                <w:bCs/>
              </w:rPr>
              <w:t>Class 15 (c/kL)</w:t>
            </w:r>
          </w:p>
        </w:tc>
        <w:tc>
          <w:tcPr>
            <w:tcW w:w="2262" w:type="dxa"/>
            <w:tcBorders>
              <w:bottom w:val="single" w:sz="4" w:space="0" w:color="auto"/>
            </w:tcBorders>
            <w:vAlign w:val="bottom"/>
          </w:tcPr>
          <w:p>
            <w:pPr>
              <w:pStyle w:val="yTableNAm"/>
              <w:jc w:val="center"/>
            </w:pPr>
            <w:r>
              <w:t>586.2</w:t>
            </w:r>
          </w:p>
        </w:tc>
        <w:tc>
          <w:tcPr>
            <w:tcW w:w="2262" w:type="dxa"/>
            <w:tcBorders>
              <w:bottom w:val="single" w:sz="4" w:space="0" w:color="auto"/>
            </w:tcBorders>
            <w:vAlign w:val="bottom"/>
          </w:tcPr>
          <w:p>
            <w:pPr>
              <w:pStyle w:val="yTableNAm"/>
              <w:jc w:val="center"/>
            </w:pPr>
            <w:r>
              <w:t>634.7</w:t>
            </w:r>
          </w:p>
        </w:tc>
      </w:tr>
    </w:tbl>
    <w:p>
      <w:pPr>
        <w:pStyle w:val="yMiscellaneousBody"/>
      </w:pPr>
    </w:p>
    <w:tbl>
      <w:tblPr>
        <w:tblW w:w="0" w:type="auto"/>
        <w:tblInd w:w="534" w:type="dxa"/>
        <w:tblLook w:val="0000" w:firstRow="0" w:lastRow="0" w:firstColumn="0" w:lastColumn="0" w:noHBand="0" w:noVBand="0"/>
      </w:tblPr>
      <w:tblGrid>
        <w:gridCol w:w="750"/>
        <w:gridCol w:w="4336"/>
        <w:gridCol w:w="1292"/>
      </w:tblGrid>
      <w:tr>
        <w:trPr>
          <w:cantSplit/>
        </w:trPr>
        <w:tc>
          <w:tcPr>
            <w:tcW w:w="750" w:type="dxa"/>
          </w:tcPr>
          <w:p>
            <w:pPr>
              <w:pStyle w:val="zyTableNAm"/>
            </w:pPr>
          </w:p>
        </w:tc>
        <w:tc>
          <w:tcPr>
            <w:tcW w:w="4336" w:type="dxa"/>
          </w:tcPr>
          <w:p>
            <w:pPr>
              <w:pStyle w:val="yTableNAm"/>
              <w:tabs>
                <w:tab w:val="clear" w:pos="567"/>
                <w:tab w:val="left" w:pos="296"/>
                <w:tab w:val="left" w:pos="776"/>
                <w:tab w:val="left" w:leader="dot" w:pos="4876"/>
              </w:tabs>
              <w:ind w:left="776" w:hanging="776"/>
            </w:pPr>
            <w:r>
              <w:rPr>
                <w:snapToGrid w:val="0"/>
              </w:rPr>
              <w:tab/>
              <w:t>(c)</w:t>
            </w:r>
            <w:r>
              <w:rPr>
                <w:snapToGrid w:val="0"/>
              </w:rPr>
              <w:tab/>
              <w:t>farmland —</w:t>
            </w:r>
          </w:p>
        </w:tc>
        <w:tc>
          <w:tcPr>
            <w:tcW w:w="1292" w:type="dxa"/>
            <w:vAlign w:val="bottom"/>
          </w:tcPr>
          <w:p>
            <w:pPr>
              <w:pStyle w:val="yTableNAm"/>
            </w:pPr>
          </w:p>
        </w:tc>
      </w:tr>
      <w:tr>
        <w:trPr>
          <w:cantSplit/>
        </w:trPr>
        <w:tc>
          <w:tcPr>
            <w:tcW w:w="750" w:type="dxa"/>
          </w:tcPr>
          <w:p>
            <w:pPr>
              <w:pStyle w:val="zyTableNAm"/>
            </w:pPr>
          </w:p>
        </w:tc>
        <w:tc>
          <w:tcPr>
            <w:tcW w:w="4336" w:type="dxa"/>
          </w:tcPr>
          <w:p>
            <w:pPr>
              <w:pStyle w:val="yTableNAm"/>
              <w:tabs>
                <w:tab w:val="clear" w:pos="567"/>
                <w:tab w:val="left" w:pos="852"/>
                <w:tab w:val="right" w:leader="dot" w:pos="4003"/>
              </w:tabs>
              <w:ind w:left="848" w:right="158" w:hanging="848"/>
            </w:pPr>
            <w:r>
              <w:tab/>
            </w:r>
            <w:r>
              <w:tab/>
              <w:t xml:space="preserve">all water supplied </w:t>
            </w:r>
            <w:r>
              <w:tab/>
            </w:r>
          </w:p>
        </w:tc>
        <w:tc>
          <w:tcPr>
            <w:tcW w:w="1292" w:type="dxa"/>
            <w:vAlign w:val="bottom"/>
          </w:tcPr>
          <w:p>
            <w:pPr>
              <w:pStyle w:val="yTableNAm"/>
            </w:pPr>
            <w:r>
              <w:t>171.3 cents</w:t>
            </w:r>
          </w:p>
        </w:tc>
      </w:tr>
      <w:tr>
        <w:trPr>
          <w:cantSplit/>
        </w:trPr>
        <w:tc>
          <w:tcPr>
            <w:tcW w:w="750" w:type="dxa"/>
          </w:tcPr>
          <w:p>
            <w:pPr>
              <w:pStyle w:val="zyTableNAm"/>
            </w:pPr>
          </w:p>
        </w:tc>
        <w:tc>
          <w:tcPr>
            <w:tcW w:w="4336" w:type="dxa"/>
          </w:tcPr>
          <w:p>
            <w:pPr>
              <w:pStyle w:val="yTableNAm"/>
              <w:tabs>
                <w:tab w:val="clear" w:pos="567"/>
                <w:tab w:val="left" w:pos="296"/>
                <w:tab w:val="left" w:pos="776"/>
                <w:tab w:val="left" w:leader="dot" w:pos="4876"/>
              </w:tabs>
              <w:ind w:left="776" w:hanging="776"/>
              <w:rPr>
                <w:snapToGrid w:val="0"/>
              </w:rPr>
            </w:pPr>
            <w:r>
              <w:rPr>
                <w:snapToGrid w:val="0"/>
              </w:rPr>
              <w:tab/>
              <w:t>(d)</w:t>
            </w:r>
            <w:r>
              <w:rPr>
                <w:snapToGrid w:val="0"/>
              </w:rPr>
              <w:tab/>
              <w:t>mining —</w:t>
            </w:r>
          </w:p>
        </w:tc>
        <w:tc>
          <w:tcPr>
            <w:tcW w:w="1292" w:type="dxa"/>
            <w:vAlign w:val="bottom"/>
          </w:tcPr>
          <w:p>
            <w:pPr>
              <w:pStyle w:val="yTableNAm"/>
            </w:pPr>
          </w:p>
        </w:tc>
      </w:tr>
      <w:tr>
        <w:trPr>
          <w:cantSplit/>
        </w:trPr>
        <w:tc>
          <w:tcPr>
            <w:tcW w:w="750" w:type="dxa"/>
          </w:tcPr>
          <w:p>
            <w:pPr>
              <w:pStyle w:val="zyTableNAm"/>
            </w:pPr>
          </w:p>
        </w:tc>
        <w:tc>
          <w:tcPr>
            <w:tcW w:w="4336" w:type="dxa"/>
          </w:tcPr>
          <w:p>
            <w:pPr>
              <w:pStyle w:val="yTableNAm"/>
              <w:tabs>
                <w:tab w:val="clear" w:pos="567"/>
                <w:tab w:val="left" w:pos="852"/>
                <w:tab w:val="right" w:leader="dot" w:pos="4003"/>
              </w:tabs>
              <w:ind w:left="848" w:right="158" w:hanging="848"/>
              <w:rPr>
                <w:snapToGrid w:val="0"/>
              </w:rPr>
            </w:pPr>
            <w:r>
              <w:rPr>
                <w:snapToGrid w:val="0"/>
              </w:rPr>
              <w:tab/>
            </w:r>
            <w:r>
              <w:rPr>
                <w:snapToGrid w:val="0"/>
              </w:rPr>
              <w:tab/>
            </w:r>
            <w:r>
              <w:t>all</w:t>
            </w:r>
            <w:r>
              <w:rPr>
                <w:snapToGrid w:val="0"/>
              </w:rPr>
              <w:t xml:space="preserve"> water supplied </w:t>
            </w:r>
            <w:r>
              <w:rPr>
                <w:snapToGrid w:val="0"/>
              </w:rPr>
              <w:tab/>
            </w:r>
          </w:p>
        </w:tc>
        <w:tc>
          <w:tcPr>
            <w:tcW w:w="1292" w:type="dxa"/>
            <w:vAlign w:val="bottom"/>
          </w:tcPr>
          <w:p>
            <w:pPr>
              <w:pStyle w:val="yTableNAm"/>
            </w:pPr>
            <w:r>
              <w:t>322.1 cents</w:t>
            </w:r>
          </w:p>
        </w:tc>
      </w:tr>
      <w:tr>
        <w:trPr>
          <w:cantSplit/>
        </w:trPr>
        <w:tc>
          <w:tcPr>
            <w:tcW w:w="750" w:type="dxa"/>
          </w:tcPr>
          <w:p>
            <w:pPr>
              <w:pStyle w:val="zyTableNAm"/>
            </w:pPr>
          </w:p>
        </w:tc>
        <w:tc>
          <w:tcPr>
            <w:tcW w:w="4336" w:type="dxa"/>
          </w:tcPr>
          <w:p>
            <w:pPr>
              <w:pStyle w:val="yTableNAm"/>
              <w:tabs>
                <w:tab w:val="clear" w:pos="567"/>
                <w:tab w:val="left" w:pos="296"/>
                <w:tab w:val="left" w:pos="776"/>
                <w:tab w:val="left" w:leader="dot" w:pos="4876"/>
              </w:tabs>
              <w:ind w:left="776" w:hanging="776"/>
              <w:rPr>
                <w:snapToGrid w:val="0"/>
              </w:rPr>
            </w:pPr>
            <w:r>
              <w:rPr>
                <w:snapToGrid w:val="0"/>
              </w:rPr>
              <w:tab/>
              <w:t>(e)</w:t>
            </w:r>
            <w:r>
              <w:rPr>
                <w:snapToGrid w:val="0"/>
              </w:rPr>
              <w:tab/>
              <w:t>institutional public —</w:t>
            </w:r>
          </w:p>
        </w:tc>
        <w:tc>
          <w:tcPr>
            <w:tcW w:w="1292" w:type="dxa"/>
            <w:vAlign w:val="bottom"/>
          </w:tcPr>
          <w:p>
            <w:pPr>
              <w:pStyle w:val="yTableNAm"/>
            </w:pPr>
          </w:p>
        </w:tc>
      </w:tr>
      <w:tr>
        <w:trPr>
          <w:cantSplit/>
        </w:trPr>
        <w:tc>
          <w:tcPr>
            <w:tcW w:w="750" w:type="dxa"/>
          </w:tcPr>
          <w:p>
            <w:pPr>
              <w:pStyle w:val="zyTableNAm"/>
            </w:pPr>
          </w:p>
        </w:tc>
        <w:tc>
          <w:tcPr>
            <w:tcW w:w="4336" w:type="dxa"/>
          </w:tcPr>
          <w:p>
            <w:pPr>
              <w:pStyle w:val="yTableNAm"/>
              <w:tabs>
                <w:tab w:val="clear" w:pos="567"/>
                <w:tab w:val="left" w:pos="852"/>
                <w:tab w:val="right" w:leader="dot" w:pos="4003"/>
              </w:tabs>
              <w:ind w:left="848" w:right="158" w:hanging="848"/>
            </w:pPr>
            <w:r>
              <w:tab/>
            </w:r>
            <w:r>
              <w:tab/>
              <w:t xml:space="preserve">up to 300 kL </w:t>
            </w:r>
            <w:r>
              <w:tab/>
            </w:r>
          </w:p>
        </w:tc>
        <w:tc>
          <w:tcPr>
            <w:tcW w:w="1292" w:type="dxa"/>
            <w:vAlign w:val="bottom"/>
          </w:tcPr>
          <w:p>
            <w:pPr>
              <w:pStyle w:val="yTableNAm"/>
            </w:pPr>
            <w:r>
              <w:t>174.7 cents</w:t>
            </w:r>
          </w:p>
        </w:tc>
      </w:tr>
      <w:tr>
        <w:trPr>
          <w:cantSplit/>
        </w:trPr>
        <w:tc>
          <w:tcPr>
            <w:tcW w:w="750" w:type="dxa"/>
          </w:tcPr>
          <w:p>
            <w:pPr>
              <w:pStyle w:val="zyTableNAm"/>
            </w:pPr>
          </w:p>
        </w:tc>
        <w:tc>
          <w:tcPr>
            <w:tcW w:w="4336" w:type="dxa"/>
          </w:tcPr>
          <w:p>
            <w:pPr>
              <w:pStyle w:val="yTableNAm"/>
              <w:tabs>
                <w:tab w:val="clear" w:pos="567"/>
                <w:tab w:val="left" w:pos="852"/>
                <w:tab w:val="right" w:leader="dot" w:pos="4003"/>
              </w:tabs>
              <w:ind w:left="848" w:right="158" w:hanging="848"/>
            </w:pPr>
            <w:r>
              <w:tab/>
            </w:r>
            <w:r>
              <w:tab/>
              <w:t xml:space="preserve">over 300 kL </w:t>
            </w:r>
            <w:r>
              <w:tab/>
            </w:r>
          </w:p>
        </w:tc>
        <w:tc>
          <w:tcPr>
            <w:tcW w:w="1292" w:type="dxa"/>
            <w:vAlign w:val="bottom"/>
          </w:tcPr>
          <w:p>
            <w:pPr>
              <w:pStyle w:val="yTableNAm"/>
            </w:pPr>
            <w:r>
              <w:t>192.6 cents</w:t>
            </w:r>
          </w:p>
        </w:tc>
      </w:tr>
      <w:tr>
        <w:trPr>
          <w:cantSplit/>
        </w:trPr>
        <w:tc>
          <w:tcPr>
            <w:tcW w:w="750" w:type="dxa"/>
          </w:tcPr>
          <w:p>
            <w:pPr>
              <w:pStyle w:val="zyTableNAm"/>
            </w:pPr>
          </w:p>
        </w:tc>
        <w:tc>
          <w:tcPr>
            <w:tcW w:w="4336" w:type="dxa"/>
          </w:tcPr>
          <w:p>
            <w:pPr>
              <w:pStyle w:val="yTableNAm"/>
              <w:tabs>
                <w:tab w:val="clear" w:pos="567"/>
                <w:tab w:val="left" w:pos="296"/>
                <w:tab w:val="left" w:pos="776"/>
                <w:tab w:val="left" w:leader="dot" w:pos="4876"/>
              </w:tabs>
              <w:ind w:left="776" w:hanging="776"/>
            </w:pPr>
            <w:r>
              <w:rPr>
                <w:snapToGrid w:val="0"/>
              </w:rPr>
              <w:tab/>
              <w:t>(f)</w:t>
            </w:r>
            <w:r>
              <w:rPr>
                <w:snapToGrid w:val="0"/>
              </w:rPr>
              <w:tab/>
              <w:t>charitable purposes —</w:t>
            </w:r>
          </w:p>
        </w:tc>
        <w:tc>
          <w:tcPr>
            <w:tcW w:w="1292" w:type="dxa"/>
            <w:vAlign w:val="bottom"/>
          </w:tcPr>
          <w:p>
            <w:pPr>
              <w:pStyle w:val="yTableNAm"/>
            </w:pPr>
          </w:p>
        </w:tc>
      </w:tr>
      <w:tr>
        <w:trPr>
          <w:cantSplit/>
        </w:trPr>
        <w:tc>
          <w:tcPr>
            <w:tcW w:w="750" w:type="dxa"/>
          </w:tcPr>
          <w:p>
            <w:pPr>
              <w:pStyle w:val="zyTableNAm"/>
            </w:pPr>
          </w:p>
        </w:tc>
        <w:tc>
          <w:tcPr>
            <w:tcW w:w="4336" w:type="dxa"/>
          </w:tcPr>
          <w:p>
            <w:pPr>
              <w:pStyle w:val="yTableNAm"/>
              <w:tabs>
                <w:tab w:val="clear" w:pos="567"/>
                <w:tab w:val="left" w:pos="852"/>
                <w:tab w:val="right" w:leader="dot" w:pos="4003"/>
              </w:tabs>
              <w:ind w:left="848" w:right="158" w:hanging="848"/>
            </w:pPr>
            <w:r>
              <w:tab/>
            </w:r>
            <w:r>
              <w:tab/>
              <w:t xml:space="preserve">up to 300 kL </w:t>
            </w:r>
            <w:r>
              <w:tab/>
            </w:r>
          </w:p>
        </w:tc>
        <w:tc>
          <w:tcPr>
            <w:tcW w:w="1292" w:type="dxa"/>
            <w:vAlign w:val="bottom"/>
          </w:tcPr>
          <w:p>
            <w:pPr>
              <w:pStyle w:val="yTableNAm"/>
            </w:pPr>
            <w:r>
              <w:t>174.7 cents</w:t>
            </w:r>
          </w:p>
        </w:tc>
      </w:tr>
      <w:tr>
        <w:trPr>
          <w:cantSplit/>
        </w:trPr>
        <w:tc>
          <w:tcPr>
            <w:tcW w:w="750" w:type="dxa"/>
          </w:tcPr>
          <w:p>
            <w:pPr>
              <w:pStyle w:val="zyTableNAm"/>
            </w:pPr>
          </w:p>
        </w:tc>
        <w:tc>
          <w:tcPr>
            <w:tcW w:w="4336" w:type="dxa"/>
          </w:tcPr>
          <w:p>
            <w:pPr>
              <w:pStyle w:val="yTableNAm"/>
              <w:tabs>
                <w:tab w:val="clear" w:pos="567"/>
                <w:tab w:val="left" w:pos="852"/>
                <w:tab w:val="right" w:leader="dot" w:pos="4003"/>
              </w:tabs>
              <w:ind w:left="848" w:right="158" w:hanging="848"/>
            </w:pPr>
            <w:r>
              <w:tab/>
            </w:r>
            <w:r>
              <w:tab/>
              <w:t xml:space="preserve">over 300 kL </w:t>
            </w:r>
            <w:r>
              <w:tab/>
            </w:r>
          </w:p>
        </w:tc>
        <w:tc>
          <w:tcPr>
            <w:tcW w:w="1292" w:type="dxa"/>
            <w:vAlign w:val="bottom"/>
          </w:tcPr>
          <w:p>
            <w:pPr>
              <w:pStyle w:val="yTableNAm"/>
            </w:pPr>
            <w:r>
              <w:t>192.6 cents</w:t>
            </w:r>
          </w:p>
        </w:tc>
      </w:tr>
      <w:tr>
        <w:trPr>
          <w:cantSplit/>
        </w:trPr>
        <w:tc>
          <w:tcPr>
            <w:tcW w:w="750" w:type="dxa"/>
          </w:tcPr>
          <w:p>
            <w:pPr>
              <w:pStyle w:val="zyTableNAm"/>
            </w:pPr>
          </w:p>
        </w:tc>
        <w:tc>
          <w:tcPr>
            <w:tcW w:w="4336" w:type="dxa"/>
          </w:tcPr>
          <w:p>
            <w:pPr>
              <w:pStyle w:val="yTableNAm"/>
              <w:tabs>
                <w:tab w:val="clear" w:pos="567"/>
                <w:tab w:val="left" w:pos="296"/>
                <w:tab w:val="left" w:pos="776"/>
                <w:tab w:val="left" w:leader="dot" w:pos="4876"/>
              </w:tabs>
              <w:ind w:left="776" w:hanging="776"/>
            </w:pPr>
            <w:r>
              <w:rPr>
                <w:snapToGrid w:val="0"/>
              </w:rPr>
              <w:tab/>
              <w:t>(g)</w:t>
            </w:r>
            <w:r>
              <w:rPr>
                <w:snapToGrid w:val="0"/>
              </w:rPr>
              <w:tab/>
              <w:t>c</w:t>
            </w:r>
            <w:r>
              <w:t>ommercial residential</w:t>
            </w:r>
            <w:r>
              <w:rPr>
                <w:snapToGrid w:val="0"/>
              </w:rPr>
              <w:t xml:space="preserve"> (according to the non</w:t>
            </w:r>
            <w:r>
              <w:rPr>
                <w:snapToGrid w:val="0"/>
              </w:rPr>
              <w:noBreakHyphen/>
              <w:t>residential classification of the town/area in which that property is situated, as set out in Schedule 10) —</w:t>
            </w:r>
          </w:p>
        </w:tc>
        <w:tc>
          <w:tcPr>
            <w:tcW w:w="1292" w:type="dxa"/>
            <w:vAlign w:val="bottom"/>
          </w:tcPr>
          <w:p>
            <w:pPr>
              <w:pStyle w:val="yTableNAm"/>
            </w:pPr>
          </w:p>
        </w:tc>
      </w:tr>
    </w:tbl>
    <w:p>
      <w:pPr>
        <w:pStyle w:val="yMiscellaneousBody"/>
      </w:pPr>
    </w:p>
    <w:tbl>
      <w:tblPr>
        <w:tblW w:w="6378" w:type="dxa"/>
        <w:tblInd w:w="454" w:type="dxa"/>
        <w:tblLayout w:type="fixed"/>
        <w:tblCellMar>
          <w:left w:w="28" w:type="dxa"/>
          <w:right w:w="28" w:type="dxa"/>
        </w:tblCellMar>
        <w:tblLook w:val="0000" w:firstRow="0" w:lastRow="0" w:firstColumn="0" w:lastColumn="0" w:noHBand="0" w:noVBand="0"/>
      </w:tblPr>
      <w:tblGrid>
        <w:gridCol w:w="1856"/>
        <w:gridCol w:w="1507"/>
        <w:gridCol w:w="1507"/>
        <w:gridCol w:w="1508"/>
      </w:tblGrid>
      <w:tr>
        <w:trPr>
          <w:cantSplit/>
          <w:tblHeader/>
        </w:trPr>
        <w:tc>
          <w:tcPr>
            <w:tcW w:w="1856" w:type="dxa"/>
            <w:vMerge w:val="restart"/>
            <w:tcBorders>
              <w:top w:val="single" w:sz="4" w:space="0" w:color="auto"/>
            </w:tcBorders>
          </w:tcPr>
          <w:p>
            <w:pPr>
              <w:pStyle w:val="yTableNAm"/>
            </w:pPr>
            <w:r>
              <w:rPr>
                <w:b/>
                <w:bCs/>
              </w:rPr>
              <w:t>Class</w:t>
            </w:r>
          </w:p>
        </w:tc>
        <w:tc>
          <w:tcPr>
            <w:tcW w:w="4522" w:type="dxa"/>
            <w:gridSpan w:val="3"/>
            <w:tcBorders>
              <w:top w:val="single" w:sz="4" w:space="0" w:color="auto"/>
            </w:tcBorders>
          </w:tcPr>
          <w:p>
            <w:pPr>
              <w:pStyle w:val="yTableNAm"/>
              <w:jc w:val="center"/>
            </w:pPr>
            <w:r>
              <w:rPr>
                <w:b/>
                <w:bCs/>
              </w:rPr>
              <w:t>Consumption (kL)</w:t>
            </w:r>
          </w:p>
        </w:tc>
      </w:tr>
      <w:tr>
        <w:trPr>
          <w:cantSplit/>
          <w:tblHeader/>
        </w:trPr>
        <w:tc>
          <w:tcPr>
            <w:tcW w:w="1856" w:type="dxa"/>
            <w:vMerge/>
            <w:tcBorders>
              <w:bottom w:val="single" w:sz="4" w:space="0" w:color="auto"/>
            </w:tcBorders>
          </w:tcPr>
          <w:p>
            <w:pPr>
              <w:pStyle w:val="zyTableNAm"/>
              <w:rPr>
                <w:b/>
                <w:bCs/>
              </w:rPr>
            </w:pPr>
          </w:p>
        </w:tc>
        <w:tc>
          <w:tcPr>
            <w:tcW w:w="1507" w:type="dxa"/>
            <w:tcBorders>
              <w:bottom w:val="single" w:sz="4" w:space="0" w:color="auto"/>
            </w:tcBorders>
          </w:tcPr>
          <w:p>
            <w:pPr>
              <w:pStyle w:val="yTableNAm"/>
              <w:jc w:val="center"/>
            </w:pPr>
            <w:r>
              <w:rPr>
                <w:b/>
                <w:bCs/>
              </w:rPr>
              <w:t>Up to 150</w:t>
            </w:r>
          </w:p>
        </w:tc>
        <w:tc>
          <w:tcPr>
            <w:tcW w:w="1507" w:type="dxa"/>
            <w:tcBorders>
              <w:bottom w:val="single" w:sz="4" w:space="0" w:color="auto"/>
            </w:tcBorders>
          </w:tcPr>
          <w:p>
            <w:pPr>
              <w:pStyle w:val="yTableNAm"/>
              <w:jc w:val="center"/>
            </w:pPr>
            <w:r>
              <w:rPr>
                <w:b/>
                <w:bCs/>
              </w:rPr>
              <w:t>Over 150 but not over 450</w:t>
            </w:r>
          </w:p>
        </w:tc>
        <w:tc>
          <w:tcPr>
            <w:tcW w:w="1508" w:type="dxa"/>
            <w:tcBorders>
              <w:bottom w:val="single" w:sz="4" w:space="0" w:color="auto"/>
            </w:tcBorders>
          </w:tcPr>
          <w:p>
            <w:pPr>
              <w:pStyle w:val="yTableNAm"/>
              <w:jc w:val="center"/>
            </w:pPr>
            <w:r>
              <w:rPr>
                <w:b/>
                <w:bCs/>
              </w:rPr>
              <w:t>Over 450</w:t>
            </w:r>
          </w:p>
        </w:tc>
      </w:tr>
      <w:tr>
        <w:tc>
          <w:tcPr>
            <w:tcW w:w="1856" w:type="dxa"/>
            <w:tcBorders>
              <w:top w:val="single" w:sz="4" w:space="0" w:color="auto"/>
            </w:tcBorders>
          </w:tcPr>
          <w:p>
            <w:pPr>
              <w:pStyle w:val="yTableNAm"/>
            </w:pPr>
            <w:r>
              <w:rPr>
                <w:bCs/>
              </w:rPr>
              <w:t>Class 1 (c/kL)</w:t>
            </w:r>
          </w:p>
        </w:tc>
        <w:tc>
          <w:tcPr>
            <w:tcW w:w="1507" w:type="dxa"/>
            <w:tcBorders>
              <w:top w:val="single" w:sz="4" w:space="0" w:color="auto"/>
            </w:tcBorders>
            <w:vAlign w:val="bottom"/>
          </w:tcPr>
          <w:p>
            <w:pPr>
              <w:pStyle w:val="yTableNAm"/>
              <w:jc w:val="center"/>
            </w:pPr>
            <w:r>
              <w:t>133.6</w:t>
            </w:r>
          </w:p>
        </w:tc>
        <w:tc>
          <w:tcPr>
            <w:tcW w:w="1507" w:type="dxa"/>
            <w:tcBorders>
              <w:top w:val="single" w:sz="4" w:space="0" w:color="auto"/>
            </w:tcBorders>
            <w:vAlign w:val="bottom"/>
          </w:tcPr>
          <w:p>
            <w:pPr>
              <w:pStyle w:val="yTableNAm"/>
              <w:jc w:val="center"/>
            </w:pPr>
            <w:r>
              <w:t>174.7</w:t>
            </w:r>
          </w:p>
        </w:tc>
        <w:tc>
          <w:tcPr>
            <w:tcW w:w="1508" w:type="dxa"/>
            <w:tcBorders>
              <w:top w:val="single" w:sz="4" w:space="0" w:color="auto"/>
            </w:tcBorders>
            <w:vAlign w:val="bottom"/>
          </w:tcPr>
          <w:p>
            <w:pPr>
              <w:pStyle w:val="yTableNAm"/>
              <w:jc w:val="center"/>
            </w:pPr>
            <w:r>
              <w:t>192.6</w:t>
            </w:r>
          </w:p>
        </w:tc>
      </w:tr>
      <w:tr>
        <w:tc>
          <w:tcPr>
            <w:tcW w:w="1856" w:type="dxa"/>
          </w:tcPr>
          <w:p>
            <w:pPr>
              <w:pStyle w:val="yTableNAm"/>
            </w:pPr>
            <w:r>
              <w:rPr>
                <w:bCs/>
              </w:rPr>
              <w:t>Class 2 (c/kL)</w:t>
            </w:r>
          </w:p>
        </w:tc>
        <w:tc>
          <w:tcPr>
            <w:tcW w:w="1507" w:type="dxa"/>
            <w:vAlign w:val="bottom"/>
          </w:tcPr>
          <w:p>
            <w:pPr>
              <w:pStyle w:val="yTableNAm"/>
              <w:jc w:val="center"/>
            </w:pPr>
            <w:r>
              <w:t>133.6</w:t>
            </w:r>
          </w:p>
        </w:tc>
        <w:tc>
          <w:tcPr>
            <w:tcW w:w="1507" w:type="dxa"/>
            <w:vAlign w:val="bottom"/>
          </w:tcPr>
          <w:p>
            <w:pPr>
              <w:pStyle w:val="yTableNAm"/>
              <w:jc w:val="center"/>
            </w:pPr>
            <w:r>
              <w:t>191.6</w:t>
            </w:r>
          </w:p>
        </w:tc>
        <w:tc>
          <w:tcPr>
            <w:tcW w:w="1508" w:type="dxa"/>
            <w:vAlign w:val="bottom"/>
          </w:tcPr>
          <w:p>
            <w:pPr>
              <w:pStyle w:val="yTableNAm"/>
              <w:jc w:val="center"/>
            </w:pPr>
            <w:r>
              <w:t>209.8</w:t>
            </w:r>
          </w:p>
        </w:tc>
      </w:tr>
      <w:tr>
        <w:tc>
          <w:tcPr>
            <w:tcW w:w="1856" w:type="dxa"/>
          </w:tcPr>
          <w:p>
            <w:pPr>
              <w:pStyle w:val="yTableNAm"/>
            </w:pPr>
            <w:r>
              <w:rPr>
                <w:bCs/>
              </w:rPr>
              <w:t>Class 3 (c/kL)</w:t>
            </w:r>
          </w:p>
        </w:tc>
        <w:tc>
          <w:tcPr>
            <w:tcW w:w="1507" w:type="dxa"/>
            <w:vAlign w:val="bottom"/>
          </w:tcPr>
          <w:p>
            <w:pPr>
              <w:pStyle w:val="yTableNAm"/>
              <w:jc w:val="center"/>
            </w:pPr>
            <w:r>
              <w:t>133.6</w:t>
            </w:r>
          </w:p>
        </w:tc>
        <w:tc>
          <w:tcPr>
            <w:tcW w:w="1507" w:type="dxa"/>
            <w:vAlign w:val="bottom"/>
          </w:tcPr>
          <w:p>
            <w:pPr>
              <w:pStyle w:val="yTableNAm"/>
              <w:jc w:val="center"/>
            </w:pPr>
            <w:r>
              <w:t>209.8</w:t>
            </w:r>
          </w:p>
        </w:tc>
        <w:tc>
          <w:tcPr>
            <w:tcW w:w="1508" w:type="dxa"/>
            <w:vAlign w:val="bottom"/>
          </w:tcPr>
          <w:p>
            <w:pPr>
              <w:pStyle w:val="yTableNAm"/>
              <w:jc w:val="center"/>
            </w:pPr>
            <w:r>
              <w:t>228.2</w:t>
            </w:r>
          </w:p>
        </w:tc>
      </w:tr>
      <w:tr>
        <w:tc>
          <w:tcPr>
            <w:tcW w:w="1856" w:type="dxa"/>
          </w:tcPr>
          <w:p>
            <w:pPr>
              <w:pStyle w:val="yTableNAm"/>
            </w:pPr>
            <w:r>
              <w:rPr>
                <w:bCs/>
              </w:rPr>
              <w:t>Class 4 (c/kL)</w:t>
            </w:r>
          </w:p>
        </w:tc>
        <w:tc>
          <w:tcPr>
            <w:tcW w:w="1507" w:type="dxa"/>
            <w:vAlign w:val="bottom"/>
          </w:tcPr>
          <w:p>
            <w:pPr>
              <w:pStyle w:val="yTableNAm"/>
              <w:jc w:val="center"/>
            </w:pPr>
            <w:r>
              <w:t>133.6</w:t>
            </w:r>
          </w:p>
        </w:tc>
        <w:tc>
          <w:tcPr>
            <w:tcW w:w="1507" w:type="dxa"/>
            <w:vAlign w:val="bottom"/>
          </w:tcPr>
          <w:p>
            <w:pPr>
              <w:pStyle w:val="yTableNAm"/>
              <w:jc w:val="center"/>
            </w:pPr>
            <w:r>
              <w:t>230.0</w:t>
            </w:r>
          </w:p>
        </w:tc>
        <w:tc>
          <w:tcPr>
            <w:tcW w:w="1508" w:type="dxa"/>
            <w:vAlign w:val="bottom"/>
          </w:tcPr>
          <w:p>
            <w:pPr>
              <w:pStyle w:val="yTableNAm"/>
              <w:jc w:val="center"/>
            </w:pPr>
            <w:r>
              <w:t>248.6</w:t>
            </w:r>
          </w:p>
        </w:tc>
      </w:tr>
      <w:tr>
        <w:tc>
          <w:tcPr>
            <w:tcW w:w="1856" w:type="dxa"/>
          </w:tcPr>
          <w:p>
            <w:pPr>
              <w:pStyle w:val="yTableNAm"/>
            </w:pPr>
            <w:r>
              <w:rPr>
                <w:bCs/>
              </w:rPr>
              <w:t>Class 5 (c/kL)</w:t>
            </w:r>
          </w:p>
        </w:tc>
        <w:tc>
          <w:tcPr>
            <w:tcW w:w="1507" w:type="dxa"/>
            <w:vAlign w:val="bottom"/>
          </w:tcPr>
          <w:p>
            <w:pPr>
              <w:pStyle w:val="yTableNAm"/>
              <w:jc w:val="center"/>
            </w:pPr>
            <w:r>
              <w:t>133.6</w:t>
            </w:r>
          </w:p>
        </w:tc>
        <w:tc>
          <w:tcPr>
            <w:tcW w:w="1507" w:type="dxa"/>
            <w:vAlign w:val="bottom"/>
          </w:tcPr>
          <w:p>
            <w:pPr>
              <w:pStyle w:val="yTableNAm"/>
              <w:jc w:val="center"/>
            </w:pPr>
            <w:r>
              <w:t>252.2</w:t>
            </w:r>
          </w:p>
        </w:tc>
        <w:tc>
          <w:tcPr>
            <w:tcW w:w="1508" w:type="dxa"/>
            <w:vAlign w:val="bottom"/>
          </w:tcPr>
          <w:p>
            <w:pPr>
              <w:pStyle w:val="yTableNAm"/>
              <w:jc w:val="center"/>
            </w:pPr>
            <w:r>
              <w:t>270.7</w:t>
            </w:r>
          </w:p>
        </w:tc>
      </w:tr>
      <w:tr>
        <w:tc>
          <w:tcPr>
            <w:tcW w:w="1856" w:type="dxa"/>
          </w:tcPr>
          <w:p>
            <w:pPr>
              <w:pStyle w:val="yTableNAm"/>
            </w:pPr>
            <w:r>
              <w:rPr>
                <w:bCs/>
              </w:rPr>
              <w:t>Class 6 (c/kL)</w:t>
            </w:r>
          </w:p>
        </w:tc>
        <w:tc>
          <w:tcPr>
            <w:tcW w:w="1507" w:type="dxa"/>
            <w:vAlign w:val="bottom"/>
          </w:tcPr>
          <w:p>
            <w:pPr>
              <w:pStyle w:val="yTableNAm"/>
              <w:jc w:val="center"/>
            </w:pPr>
            <w:r>
              <w:t>133.6</w:t>
            </w:r>
          </w:p>
        </w:tc>
        <w:tc>
          <w:tcPr>
            <w:tcW w:w="1507" w:type="dxa"/>
            <w:vAlign w:val="bottom"/>
          </w:tcPr>
          <w:p>
            <w:pPr>
              <w:pStyle w:val="yTableNAm"/>
              <w:jc w:val="center"/>
            </w:pPr>
            <w:r>
              <w:t>274.4</w:t>
            </w:r>
          </w:p>
        </w:tc>
        <w:tc>
          <w:tcPr>
            <w:tcW w:w="1508" w:type="dxa"/>
            <w:vAlign w:val="bottom"/>
          </w:tcPr>
          <w:p>
            <w:pPr>
              <w:pStyle w:val="yTableNAm"/>
              <w:jc w:val="center"/>
            </w:pPr>
            <w:r>
              <w:t>294.8</w:t>
            </w:r>
          </w:p>
        </w:tc>
      </w:tr>
      <w:tr>
        <w:tc>
          <w:tcPr>
            <w:tcW w:w="1856" w:type="dxa"/>
          </w:tcPr>
          <w:p>
            <w:pPr>
              <w:pStyle w:val="yTableNAm"/>
            </w:pPr>
            <w:r>
              <w:rPr>
                <w:bCs/>
              </w:rPr>
              <w:t>Class 7 (c/kL)</w:t>
            </w:r>
          </w:p>
        </w:tc>
        <w:tc>
          <w:tcPr>
            <w:tcW w:w="1507" w:type="dxa"/>
            <w:vAlign w:val="bottom"/>
          </w:tcPr>
          <w:p>
            <w:pPr>
              <w:pStyle w:val="yTableNAm"/>
              <w:jc w:val="center"/>
            </w:pPr>
            <w:r>
              <w:t>133.6</w:t>
            </w:r>
          </w:p>
        </w:tc>
        <w:tc>
          <w:tcPr>
            <w:tcW w:w="1507" w:type="dxa"/>
            <w:vAlign w:val="bottom"/>
          </w:tcPr>
          <w:p>
            <w:pPr>
              <w:pStyle w:val="yTableNAm"/>
              <w:jc w:val="center"/>
            </w:pPr>
            <w:r>
              <w:t>298.6</w:t>
            </w:r>
          </w:p>
        </w:tc>
        <w:tc>
          <w:tcPr>
            <w:tcW w:w="1508" w:type="dxa"/>
            <w:vAlign w:val="bottom"/>
          </w:tcPr>
          <w:p>
            <w:pPr>
              <w:pStyle w:val="yTableNAm"/>
              <w:jc w:val="center"/>
            </w:pPr>
            <w:r>
              <w:t>321.1</w:t>
            </w:r>
          </w:p>
        </w:tc>
      </w:tr>
      <w:tr>
        <w:tc>
          <w:tcPr>
            <w:tcW w:w="1856" w:type="dxa"/>
          </w:tcPr>
          <w:p>
            <w:pPr>
              <w:pStyle w:val="yTableNAm"/>
            </w:pPr>
            <w:r>
              <w:rPr>
                <w:bCs/>
              </w:rPr>
              <w:t>Class 8 (c/kL)</w:t>
            </w:r>
          </w:p>
        </w:tc>
        <w:tc>
          <w:tcPr>
            <w:tcW w:w="1507" w:type="dxa"/>
            <w:vAlign w:val="bottom"/>
          </w:tcPr>
          <w:p>
            <w:pPr>
              <w:pStyle w:val="yTableNAm"/>
              <w:jc w:val="center"/>
            </w:pPr>
            <w:r>
              <w:t>133.6</w:t>
            </w:r>
          </w:p>
        </w:tc>
        <w:tc>
          <w:tcPr>
            <w:tcW w:w="1507" w:type="dxa"/>
            <w:vAlign w:val="bottom"/>
          </w:tcPr>
          <w:p>
            <w:pPr>
              <w:pStyle w:val="yTableNAm"/>
              <w:jc w:val="center"/>
            </w:pPr>
            <w:r>
              <w:t>324.2</w:t>
            </w:r>
          </w:p>
        </w:tc>
        <w:tc>
          <w:tcPr>
            <w:tcW w:w="1508" w:type="dxa"/>
            <w:vAlign w:val="bottom"/>
          </w:tcPr>
          <w:p>
            <w:pPr>
              <w:pStyle w:val="yTableNAm"/>
              <w:jc w:val="center"/>
            </w:pPr>
            <w:r>
              <w:t>349.6</w:t>
            </w:r>
          </w:p>
        </w:tc>
      </w:tr>
      <w:tr>
        <w:tc>
          <w:tcPr>
            <w:tcW w:w="1856" w:type="dxa"/>
          </w:tcPr>
          <w:p>
            <w:pPr>
              <w:pStyle w:val="yTableNAm"/>
            </w:pPr>
            <w:r>
              <w:rPr>
                <w:bCs/>
              </w:rPr>
              <w:t>Class 9 (c/kL)</w:t>
            </w:r>
          </w:p>
        </w:tc>
        <w:tc>
          <w:tcPr>
            <w:tcW w:w="1507" w:type="dxa"/>
            <w:vAlign w:val="bottom"/>
          </w:tcPr>
          <w:p>
            <w:pPr>
              <w:pStyle w:val="yTableNAm"/>
              <w:jc w:val="center"/>
            </w:pPr>
            <w:r>
              <w:t>133.6</w:t>
            </w:r>
          </w:p>
        </w:tc>
        <w:tc>
          <w:tcPr>
            <w:tcW w:w="1507" w:type="dxa"/>
            <w:vAlign w:val="bottom"/>
          </w:tcPr>
          <w:p>
            <w:pPr>
              <w:pStyle w:val="yTableNAm"/>
              <w:jc w:val="center"/>
            </w:pPr>
            <w:r>
              <w:t>352.0</w:t>
            </w:r>
          </w:p>
        </w:tc>
        <w:tc>
          <w:tcPr>
            <w:tcW w:w="1508" w:type="dxa"/>
            <w:vAlign w:val="bottom"/>
          </w:tcPr>
          <w:p>
            <w:pPr>
              <w:pStyle w:val="yTableNAm"/>
              <w:jc w:val="center"/>
            </w:pPr>
            <w:r>
              <w:t>380.7</w:t>
            </w:r>
          </w:p>
        </w:tc>
      </w:tr>
      <w:tr>
        <w:tc>
          <w:tcPr>
            <w:tcW w:w="1856" w:type="dxa"/>
          </w:tcPr>
          <w:p>
            <w:pPr>
              <w:pStyle w:val="yTableNAm"/>
            </w:pPr>
            <w:r>
              <w:rPr>
                <w:bCs/>
              </w:rPr>
              <w:t>Class 10 (c/kL)</w:t>
            </w:r>
          </w:p>
        </w:tc>
        <w:tc>
          <w:tcPr>
            <w:tcW w:w="1507" w:type="dxa"/>
            <w:vAlign w:val="bottom"/>
          </w:tcPr>
          <w:p>
            <w:pPr>
              <w:pStyle w:val="yTableNAm"/>
              <w:jc w:val="center"/>
            </w:pPr>
            <w:r>
              <w:t>133.6</w:t>
            </w:r>
          </w:p>
        </w:tc>
        <w:tc>
          <w:tcPr>
            <w:tcW w:w="1507" w:type="dxa"/>
            <w:vAlign w:val="bottom"/>
          </w:tcPr>
          <w:p>
            <w:pPr>
              <w:pStyle w:val="yTableNAm"/>
              <w:jc w:val="center"/>
            </w:pPr>
            <w:r>
              <w:t>379.0</w:t>
            </w:r>
          </w:p>
        </w:tc>
        <w:tc>
          <w:tcPr>
            <w:tcW w:w="1508" w:type="dxa"/>
            <w:vAlign w:val="bottom"/>
          </w:tcPr>
          <w:p>
            <w:pPr>
              <w:pStyle w:val="yTableNAm"/>
              <w:jc w:val="center"/>
            </w:pPr>
            <w:r>
              <w:t>414.6</w:t>
            </w:r>
          </w:p>
        </w:tc>
      </w:tr>
      <w:tr>
        <w:tc>
          <w:tcPr>
            <w:tcW w:w="1856" w:type="dxa"/>
          </w:tcPr>
          <w:p>
            <w:pPr>
              <w:pStyle w:val="yTableNAm"/>
            </w:pPr>
            <w:r>
              <w:rPr>
                <w:bCs/>
              </w:rPr>
              <w:t>Class 11 (c/kL)</w:t>
            </w:r>
          </w:p>
        </w:tc>
        <w:tc>
          <w:tcPr>
            <w:tcW w:w="1507" w:type="dxa"/>
            <w:vAlign w:val="bottom"/>
          </w:tcPr>
          <w:p>
            <w:pPr>
              <w:pStyle w:val="yTableNAm"/>
              <w:jc w:val="center"/>
            </w:pPr>
            <w:r>
              <w:t>133.6</w:t>
            </w:r>
          </w:p>
        </w:tc>
        <w:tc>
          <w:tcPr>
            <w:tcW w:w="1507" w:type="dxa"/>
            <w:vAlign w:val="bottom"/>
          </w:tcPr>
          <w:p>
            <w:pPr>
              <w:pStyle w:val="yTableNAm"/>
              <w:jc w:val="center"/>
            </w:pPr>
            <w:r>
              <w:t>413.5</w:t>
            </w:r>
          </w:p>
        </w:tc>
        <w:tc>
          <w:tcPr>
            <w:tcW w:w="1508" w:type="dxa"/>
            <w:vAlign w:val="bottom"/>
          </w:tcPr>
          <w:p>
            <w:pPr>
              <w:pStyle w:val="yTableNAm"/>
              <w:jc w:val="center"/>
            </w:pPr>
            <w:r>
              <w:t>451.4</w:t>
            </w:r>
          </w:p>
        </w:tc>
      </w:tr>
      <w:tr>
        <w:tc>
          <w:tcPr>
            <w:tcW w:w="1856" w:type="dxa"/>
          </w:tcPr>
          <w:p>
            <w:pPr>
              <w:pStyle w:val="yTableNAm"/>
            </w:pPr>
            <w:r>
              <w:rPr>
                <w:bCs/>
              </w:rPr>
              <w:t>Class 12 (c/kL)</w:t>
            </w:r>
          </w:p>
        </w:tc>
        <w:tc>
          <w:tcPr>
            <w:tcW w:w="1507" w:type="dxa"/>
            <w:vAlign w:val="bottom"/>
          </w:tcPr>
          <w:p>
            <w:pPr>
              <w:pStyle w:val="yTableNAm"/>
              <w:jc w:val="center"/>
            </w:pPr>
            <w:r>
              <w:t>133.6</w:t>
            </w:r>
          </w:p>
        </w:tc>
        <w:tc>
          <w:tcPr>
            <w:tcW w:w="1507" w:type="dxa"/>
            <w:vAlign w:val="bottom"/>
          </w:tcPr>
          <w:p>
            <w:pPr>
              <w:pStyle w:val="yTableNAm"/>
              <w:jc w:val="center"/>
            </w:pPr>
            <w:r>
              <w:t>451.3</w:t>
            </w:r>
          </w:p>
        </w:tc>
        <w:tc>
          <w:tcPr>
            <w:tcW w:w="1508" w:type="dxa"/>
            <w:vAlign w:val="bottom"/>
          </w:tcPr>
          <w:p>
            <w:pPr>
              <w:pStyle w:val="yTableNAm"/>
              <w:jc w:val="center"/>
            </w:pPr>
            <w:r>
              <w:t>491.6</w:t>
            </w:r>
          </w:p>
        </w:tc>
      </w:tr>
      <w:tr>
        <w:tc>
          <w:tcPr>
            <w:tcW w:w="1856" w:type="dxa"/>
          </w:tcPr>
          <w:p>
            <w:pPr>
              <w:pStyle w:val="yTableNAm"/>
            </w:pPr>
            <w:r>
              <w:rPr>
                <w:bCs/>
              </w:rPr>
              <w:t>Class 13 (c/kL)</w:t>
            </w:r>
          </w:p>
        </w:tc>
        <w:tc>
          <w:tcPr>
            <w:tcW w:w="1507" w:type="dxa"/>
            <w:vAlign w:val="bottom"/>
          </w:tcPr>
          <w:p>
            <w:pPr>
              <w:pStyle w:val="yTableNAm"/>
              <w:jc w:val="center"/>
            </w:pPr>
            <w:r>
              <w:t>133.6</w:t>
            </w:r>
          </w:p>
        </w:tc>
        <w:tc>
          <w:tcPr>
            <w:tcW w:w="1507" w:type="dxa"/>
            <w:vAlign w:val="bottom"/>
          </w:tcPr>
          <w:p>
            <w:pPr>
              <w:pStyle w:val="yTableNAm"/>
              <w:jc w:val="center"/>
            </w:pPr>
            <w:r>
              <w:t>492.4</w:t>
            </w:r>
          </w:p>
        </w:tc>
        <w:tc>
          <w:tcPr>
            <w:tcW w:w="1508" w:type="dxa"/>
            <w:vAlign w:val="bottom"/>
          </w:tcPr>
          <w:p>
            <w:pPr>
              <w:pStyle w:val="yTableNAm"/>
              <w:jc w:val="center"/>
            </w:pPr>
            <w:r>
              <w:t>535.3</w:t>
            </w:r>
          </w:p>
        </w:tc>
      </w:tr>
      <w:tr>
        <w:tc>
          <w:tcPr>
            <w:tcW w:w="1856" w:type="dxa"/>
          </w:tcPr>
          <w:p>
            <w:pPr>
              <w:pStyle w:val="yTableNAm"/>
            </w:pPr>
            <w:r>
              <w:rPr>
                <w:bCs/>
              </w:rPr>
              <w:t>Class 14 (c/kL)</w:t>
            </w:r>
          </w:p>
        </w:tc>
        <w:tc>
          <w:tcPr>
            <w:tcW w:w="1507" w:type="dxa"/>
            <w:vAlign w:val="bottom"/>
          </w:tcPr>
          <w:p>
            <w:pPr>
              <w:pStyle w:val="yTableNAm"/>
              <w:jc w:val="center"/>
            </w:pPr>
            <w:r>
              <w:t>133.6</w:t>
            </w:r>
          </w:p>
        </w:tc>
        <w:tc>
          <w:tcPr>
            <w:tcW w:w="1507" w:type="dxa"/>
            <w:vAlign w:val="bottom"/>
          </w:tcPr>
          <w:p>
            <w:pPr>
              <w:pStyle w:val="yTableNAm"/>
              <w:jc w:val="center"/>
            </w:pPr>
            <w:r>
              <w:t>537.3</w:t>
            </w:r>
          </w:p>
        </w:tc>
        <w:tc>
          <w:tcPr>
            <w:tcW w:w="1508" w:type="dxa"/>
            <w:vAlign w:val="bottom"/>
          </w:tcPr>
          <w:p>
            <w:pPr>
              <w:pStyle w:val="yTableNAm"/>
              <w:jc w:val="center"/>
            </w:pPr>
            <w:r>
              <w:t>582.9</w:t>
            </w:r>
          </w:p>
        </w:tc>
      </w:tr>
      <w:tr>
        <w:tc>
          <w:tcPr>
            <w:tcW w:w="1856" w:type="dxa"/>
            <w:tcBorders>
              <w:bottom w:val="single" w:sz="4" w:space="0" w:color="auto"/>
            </w:tcBorders>
          </w:tcPr>
          <w:p>
            <w:pPr>
              <w:pStyle w:val="yTableNAm"/>
            </w:pPr>
            <w:r>
              <w:rPr>
                <w:bCs/>
              </w:rPr>
              <w:t>Class 15 (c/kL)</w:t>
            </w:r>
          </w:p>
        </w:tc>
        <w:tc>
          <w:tcPr>
            <w:tcW w:w="1507" w:type="dxa"/>
            <w:tcBorders>
              <w:bottom w:val="single" w:sz="4" w:space="0" w:color="auto"/>
            </w:tcBorders>
            <w:vAlign w:val="bottom"/>
          </w:tcPr>
          <w:p>
            <w:pPr>
              <w:pStyle w:val="yTableNAm"/>
              <w:jc w:val="center"/>
            </w:pPr>
            <w:r>
              <w:t>133.6</w:t>
            </w:r>
          </w:p>
        </w:tc>
        <w:tc>
          <w:tcPr>
            <w:tcW w:w="1507" w:type="dxa"/>
            <w:tcBorders>
              <w:bottom w:val="single" w:sz="4" w:space="0" w:color="auto"/>
            </w:tcBorders>
            <w:vAlign w:val="bottom"/>
          </w:tcPr>
          <w:p>
            <w:pPr>
              <w:pStyle w:val="yTableNAm"/>
              <w:jc w:val="center"/>
            </w:pPr>
            <w:r>
              <w:t>586.2</w:t>
            </w:r>
          </w:p>
        </w:tc>
        <w:tc>
          <w:tcPr>
            <w:tcW w:w="1508" w:type="dxa"/>
            <w:tcBorders>
              <w:bottom w:val="single" w:sz="4" w:space="0" w:color="auto"/>
            </w:tcBorders>
            <w:vAlign w:val="bottom"/>
          </w:tcPr>
          <w:p>
            <w:pPr>
              <w:pStyle w:val="yTableNAm"/>
              <w:jc w:val="center"/>
            </w:pPr>
            <w:r>
              <w:t>634.7</w:t>
            </w:r>
          </w:p>
        </w:tc>
      </w:tr>
    </w:tbl>
    <w:p>
      <w:pPr>
        <w:pStyle w:val="yMiscellaneousBody"/>
      </w:pPr>
    </w:p>
    <w:tbl>
      <w:tblPr>
        <w:tblW w:w="6377" w:type="dxa"/>
        <w:tblInd w:w="534" w:type="dxa"/>
        <w:tblLayout w:type="fixed"/>
        <w:tblLook w:val="0000" w:firstRow="0" w:lastRow="0" w:firstColumn="0" w:lastColumn="0" w:noHBand="0" w:noVBand="0"/>
      </w:tblPr>
      <w:tblGrid>
        <w:gridCol w:w="736"/>
        <w:gridCol w:w="4326"/>
        <w:gridCol w:w="1315"/>
      </w:tblGrid>
      <w:tr>
        <w:trPr>
          <w:cantSplit/>
        </w:trPr>
        <w:tc>
          <w:tcPr>
            <w:tcW w:w="736" w:type="dxa"/>
          </w:tcPr>
          <w:p>
            <w:pPr>
              <w:pStyle w:val="yTableNAm"/>
              <w:keepNext/>
            </w:pPr>
            <w:r>
              <w:rPr>
                <w:b/>
              </w:rPr>
              <w:t>28.</w:t>
            </w:r>
          </w:p>
        </w:tc>
        <w:tc>
          <w:tcPr>
            <w:tcW w:w="4326" w:type="dxa"/>
          </w:tcPr>
          <w:p>
            <w:pPr>
              <w:pStyle w:val="yTableNAm"/>
              <w:keepNext/>
              <w:tabs>
                <w:tab w:val="left" w:leader="dot" w:pos="4876"/>
              </w:tabs>
            </w:pPr>
            <w:r>
              <w:rPr>
                <w:b/>
              </w:rPr>
              <w:t>Coral Bay desalinated</w:t>
            </w:r>
          </w:p>
        </w:tc>
        <w:tc>
          <w:tcPr>
            <w:tcW w:w="1315" w:type="dxa"/>
            <w:vAlign w:val="bottom"/>
          </w:tcPr>
          <w:p>
            <w:pPr>
              <w:pStyle w:val="yTableNAm"/>
              <w:keepNext/>
            </w:pPr>
          </w:p>
        </w:tc>
      </w:tr>
      <w:tr>
        <w:trPr>
          <w:cantSplit/>
        </w:trPr>
        <w:tc>
          <w:tcPr>
            <w:tcW w:w="736" w:type="dxa"/>
          </w:tcPr>
          <w:p>
            <w:pPr>
              <w:pStyle w:val="zyTableNAm"/>
              <w:keepNext/>
              <w:keepLines/>
            </w:pPr>
          </w:p>
        </w:tc>
        <w:tc>
          <w:tcPr>
            <w:tcW w:w="4326" w:type="dxa"/>
          </w:tcPr>
          <w:p>
            <w:pPr>
              <w:pStyle w:val="yTableNAm"/>
              <w:tabs>
                <w:tab w:val="left" w:leader="dot" w:pos="4876"/>
              </w:tabs>
            </w:pPr>
            <w:r>
              <w:rPr>
                <w:spacing w:val="-1"/>
              </w:rPr>
              <w:t xml:space="preserve">For each kilolitre of water supplied to land in the Coral Bay Water Area not classified as residential land, being water that has been treated to reduce the level of, or remove, salts </w:t>
            </w:r>
          </w:p>
        </w:tc>
        <w:tc>
          <w:tcPr>
            <w:tcW w:w="1315" w:type="dxa"/>
            <w:vAlign w:val="bottom"/>
          </w:tcPr>
          <w:p>
            <w:pPr>
              <w:pStyle w:val="yTableNAm"/>
            </w:pPr>
            <w:r>
              <w:t>636.9 cents</w:t>
            </w:r>
          </w:p>
        </w:tc>
      </w:tr>
      <w:tr>
        <w:trPr>
          <w:cantSplit/>
        </w:trPr>
        <w:tc>
          <w:tcPr>
            <w:tcW w:w="736" w:type="dxa"/>
          </w:tcPr>
          <w:p>
            <w:pPr>
              <w:pStyle w:val="yTableNAm"/>
            </w:pPr>
            <w:r>
              <w:rPr>
                <w:b/>
              </w:rPr>
              <w:t>29.</w:t>
            </w:r>
          </w:p>
        </w:tc>
        <w:tc>
          <w:tcPr>
            <w:tcW w:w="4326" w:type="dxa"/>
          </w:tcPr>
          <w:p>
            <w:pPr>
              <w:pStyle w:val="yTableNAm"/>
              <w:tabs>
                <w:tab w:val="left" w:leader="dot" w:pos="4876"/>
              </w:tabs>
            </w:pPr>
            <w:r>
              <w:rPr>
                <w:b/>
              </w:rPr>
              <w:t>Denham desalinated</w:t>
            </w:r>
          </w:p>
        </w:tc>
        <w:tc>
          <w:tcPr>
            <w:tcW w:w="1315" w:type="dxa"/>
            <w:vAlign w:val="bottom"/>
          </w:tcPr>
          <w:p>
            <w:pPr>
              <w:pStyle w:val="yTableNAm"/>
            </w:pPr>
          </w:p>
        </w:tc>
      </w:tr>
      <w:tr>
        <w:trPr>
          <w:cantSplit/>
        </w:trPr>
        <w:tc>
          <w:tcPr>
            <w:tcW w:w="736" w:type="dxa"/>
          </w:tcPr>
          <w:p>
            <w:pPr>
              <w:pStyle w:val="zyTableNAm"/>
            </w:pPr>
          </w:p>
        </w:tc>
        <w:tc>
          <w:tcPr>
            <w:tcW w:w="4326" w:type="dxa"/>
          </w:tcPr>
          <w:p>
            <w:pPr>
              <w:pStyle w:val="yTableNAm"/>
              <w:tabs>
                <w:tab w:val="left" w:leader="dot" w:pos="4876"/>
              </w:tabs>
            </w:pPr>
            <w:r>
              <w:t>For each kilolitre of water supplied to land in the Denham Country Water Area, being water that has been treated to reduce the level of, or remove, salts —</w:t>
            </w:r>
          </w:p>
        </w:tc>
        <w:tc>
          <w:tcPr>
            <w:tcW w:w="1315" w:type="dxa"/>
            <w:vAlign w:val="bottom"/>
          </w:tcPr>
          <w:p>
            <w:pPr>
              <w:pStyle w:val="yTableNAm"/>
            </w:pPr>
          </w:p>
        </w:tc>
      </w:tr>
      <w:tr>
        <w:trPr>
          <w:cantSplit/>
        </w:trPr>
        <w:tc>
          <w:tcPr>
            <w:tcW w:w="736" w:type="dxa"/>
          </w:tcPr>
          <w:p>
            <w:pPr>
              <w:pStyle w:val="zyTableNAm"/>
            </w:pPr>
          </w:p>
        </w:tc>
        <w:tc>
          <w:tcPr>
            <w:tcW w:w="4326" w:type="dxa"/>
          </w:tcPr>
          <w:p>
            <w:pPr>
              <w:pStyle w:val="yTableNAm"/>
              <w:tabs>
                <w:tab w:val="clear" w:pos="567"/>
                <w:tab w:val="left" w:pos="296"/>
                <w:tab w:val="left" w:pos="776"/>
                <w:tab w:val="left" w:leader="dot" w:pos="4876"/>
              </w:tabs>
              <w:ind w:left="776" w:hanging="776"/>
            </w:pPr>
            <w:r>
              <w:rPr>
                <w:snapToGrid w:val="0"/>
              </w:rPr>
              <w:tab/>
              <w:t>(a)</w:t>
            </w:r>
            <w:r>
              <w:rPr>
                <w:snapToGrid w:val="0"/>
              </w:rPr>
              <w:tab/>
              <w:t>in the case of land classified as residential —</w:t>
            </w:r>
          </w:p>
        </w:tc>
        <w:tc>
          <w:tcPr>
            <w:tcW w:w="1315" w:type="dxa"/>
            <w:vAlign w:val="bottom"/>
          </w:tcPr>
          <w:p>
            <w:pPr>
              <w:pStyle w:val="yTableNAm"/>
            </w:pPr>
          </w:p>
        </w:tc>
      </w:tr>
      <w:tr>
        <w:trPr>
          <w:cantSplit/>
        </w:trPr>
        <w:tc>
          <w:tcPr>
            <w:tcW w:w="736" w:type="dxa"/>
          </w:tcPr>
          <w:p>
            <w:pPr>
              <w:pStyle w:val="zyTableNAm"/>
            </w:pPr>
          </w:p>
        </w:tc>
        <w:tc>
          <w:tcPr>
            <w:tcW w:w="4326" w:type="dxa"/>
          </w:tcPr>
          <w:p>
            <w:pPr>
              <w:pStyle w:val="yTableNAm"/>
              <w:tabs>
                <w:tab w:val="clear" w:pos="567"/>
                <w:tab w:val="left" w:pos="852"/>
                <w:tab w:val="right" w:leader="dot" w:pos="4003"/>
              </w:tabs>
              <w:ind w:left="848" w:right="158" w:hanging="848"/>
            </w:pPr>
            <w:r>
              <w:tab/>
            </w:r>
            <w:r>
              <w:tab/>
              <w:t xml:space="preserve">up to quota </w:t>
            </w:r>
            <w:r>
              <w:tab/>
            </w:r>
          </w:p>
        </w:tc>
        <w:tc>
          <w:tcPr>
            <w:tcW w:w="1315" w:type="dxa"/>
            <w:vAlign w:val="bottom"/>
          </w:tcPr>
          <w:p>
            <w:pPr>
              <w:pStyle w:val="yTableNAm"/>
            </w:pPr>
            <w:r>
              <w:t>58.7 cents</w:t>
            </w:r>
          </w:p>
        </w:tc>
      </w:tr>
      <w:tr>
        <w:trPr>
          <w:cantSplit/>
        </w:trPr>
        <w:tc>
          <w:tcPr>
            <w:tcW w:w="736" w:type="dxa"/>
          </w:tcPr>
          <w:p>
            <w:pPr>
              <w:pStyle w:val="zyTableNAm"/>
            </w:pPr>
          </w:p>
        </w:tc>
        <w:tc>
          <w:tcPr>
            <w:tcW w:w="4326" w:type="dxa"/>
          </w:tcPr>
          <w:p>
            <w:pPr>
              <w:pStyle w:val="yTableNAm"/>
              <w:tabs>
                <w:tab w:val="clear" w:pos="567"/>
                <w:tab w:val="left" w:pos="852"/>
                <w:tab w:val="right" w:leader="dot" w:pos="4003"/>
              </w:tabs>
              <w:ind w:left="848" w:right="158" w:hanging="848"/>
            </w:pPr>
            <w:r>
              <w:tab/>
            </w:r>
            <w:r>
              <w:tab/>
              <w:t>over quota by up to 1 kL per 7 kL of quota </w:t>
            </w:r>
            <w:r>
              <w:tab/>
            </w:r>
          </w:p>
        </w:tc>
        <w:tc>
          <w:tcPr>
            <w:tcW w:w="1315" w:type="dxa"/>
            <w:vAlign w:val="bottom"/>
          </w:tcPr>
          <w:p>
            <w:pPr>
              <w:pStyle w:val="yTableNAm"/>
            </w:pPr>
            <w:r>
              <w:t>430.8 cents</w:t>
            </w:r>
          </w:p>
        </w:tc>
      </w:tr>
      <w:tr>
        <w:trPr>
          <w:cantSplit/>
        </w:trPr>
        <w:tc>
          <w:tcPr>
            <w:tcW w:w="736" w:type="dxa"/>
          </w:tcPr>
          <w:p>
            <w:pPr>
              <w:pStyle w:val="zyTableNAm"/>
            </w:pPr>
          </w:p>
        </w:tc>
        <w:tc>
          <w:tcPr>
            <w:tcW w:w="4326" w:type="dxa"/>
          </w:tcPr>
          <w:p>
            <w:pPr>
              <w:pStyle w:val="yTableNAm"/>
              <w:tabs>
                <w:tab w:val="clear" w:pos="567"/>
                <w:tab w:val="left" w:pos="852"/>
                <w:tab w:val="right" w:leader="dot" w:pos="4003"/>
              </w:tabs>
              <w:ind w:left="848" w:right="158" w:hanging="848"/>
            </w:pPr>
            <w:r>
              <w:tab/>
            </w:r>
            <w:r>
              <w:tab/>
              <w:t xml:space="preserve">over quota by more than 1 kL per 7 kL of quota </w:t>
            </w:r>
            <w:r>
              <w:tab/>
            </w:r>
          </w:p>
        </w:tc>
        <w:tc>
          <w:tcPr>
            <w:tcW w:w="1315" w:type="dxa"/>
            <w:vAlign w:val="bottom"/>
          </w:tcPr>
          <w:p>
            <w:pPr>
              <w:pStyle w:val="yTableNAm"/>
            </w:pPr>
            <w:r>
              <w:t>1 342.3 cents</w:t>
            </w:r>
          </w:p>
        </w:tc>
      </w:tr>
      <w:tr>
        <w:trPr>
          <w:cantSplit/>
        </w:trPr>
        <w:tc>
          <w:tcPr>
            <w:tcW w:w="736" w:type="dxa"/>
          </w:tcPr>
          <w:p>
            <w:pPr>
              <w:pStyle w:val="zyTableNAm"/>
            </w:pPr>
          </w:p>
        </w:tc>
        <w:tc>
          <w:tcPr>
            <w:tcW w:w="4326" w:type="dxa"/>
          </w:tcPr>
          <w:p>
            <w:pPr>
              <w:pStyle w:val="yTableNAm"/>
              <w:tabs>
                <w:tab w:val="clear" w:pos="567"/>
                <w:tab w:val="left" w:pos="296"/>
                <w:tab w:val="left" w:pos="776"/>
                <w:tab w:val="left" w:leader="dot" w:pos="4876"/>
              </w:tabs>
              <w:ind w:left="776" w:hanging="776"/>
            </w:pPr>
            <w:r>
              <w:rPr>
                <w:snapToGrid w:val="0"/>
              </w:rPr>
              <w:tab/>
            </w:r>
            <w:r>
              <w:rPr>
                <w:snapToGrid w:val="0"/>
              </w:rPr>
              <w:tab/>
              <w:t>where the quota, for each of the periods of 4 consecutive months during the year, is 35 kL or such greater amount as the Corporation may from time to time determine for the land concerned;</w:t>
            </w:r>
          </w:p>
        </w:tc>
        <w:tc>
          <w:tcPr>
            <w:tcW w:w="1315" w:type="dxa"/>
            <w:vAlign w:val="bottom"/>
          </w:tcPr>
          <w:p>
            <w:pPr>
              <w:pStyle w:val="yTableNAm"/>
            </w:pPr>
          </w:p>
        </w:tc>
      </w:tr>
      <w:tr>
        <w:trPr>
          <w:cantSplit/>
        </w:trPr>
        <w:tc>
          <w:tcPr>
            <w:tcW w:w="736" w:type="dxa"/>
          </w:tcPr>
          <w:p>
            <w:pPr>
              <w:pStyle w:val="zyTableNAm"/>
            </w:pPr>
          </w:p>
        </w:tc>
        <w:tc>
          <w:tcPr>
            <w:tcW w:w="4326" w:type="dxa"/>
          </w:tcPr>
          <w:p>
            <w:pPr>
              <w:pStyle w:val="yTableNAm"/>
              <w:tabs>
                <w:tab w:val="clear" w:pos="567"/>
                <w:tab w:val="left" w:pos="296"/>
                <w:tab w:val="left" w:pos="776"/>
                <w:tab w:val="left" w:leader="dot" w:pos="4876"/>
              </w:tabs>
              <w:ind w:left="776" w:hanging="776"/>
            </w:pPr>
            <w:r>
              <w:rPr>
                <w:snapToGrid w:val="0"/>
              </w:rPr>
              <w:tab/>
              <w:t>(b)</w:t>
            </w:r>
            <w:r>
              <w:rPr>
                <w:snapToGrid w:val="0"/>
              </w:rPr>
              <w:tab/>
              <w:t>in the case of land not classified as residential —</w:t>
            </w:r>
          </w:p>
        </w:tc>
        <w:tc>
          <w:tcPr>
            <w:tcW w:w="1315" w:type="dxa"/>
            <w:vAlign w:val="bottom"/>
          </w:tcPr>
          <w:p>
            <w:pPr>
              <w:pStyle w:val="yTableNAm"/>
            </w:pPr>
          </w:p>
        </w:tc>
      </w:tr>
      <w:tr>
        <w:trPr>
          <w:cantSplit/>
        </w:trPr>
        <w:tc>
          <w:tcPr>
            <w:tcW w:w="736" w:type="dxa"/>
          </w:tcPr>
          <w:p>
            <w:pPr>
              <w:pStyle w:val="zyTableNAm"/>
            </w:pPr>
          </w:p>
        </w:tc>
        <w:tc>
          <w:tcPr>
            <w:tcW w:w="4326" w:type="dxa"/>
          </w:tcPr>
          <w:p>
            <w:pPr>
              <w:pStyle w:val="yTableNAm"/>
              <w:tabs>
                <w:tab w:val="clear" w:pos="567"/>
                <w:tab w:val="left" w:pos="852"/>
                <w:tab w:val="right" w:leader="dot" w:pos="4003"/>
              </w:tabs>
              <w:ind w:left="848" w:right="158" w:hanging="848"/>
            </w:pPr>
            <w:r>
              <w:tab/>
            </w:r>
            <w:r>
              <w:tab/>
              <w:t xml:space="preserve">up to quota </w:t>
            </w:r>
            <w:r>
              <w:tab/>
            </w:r>
          </w:p>
        </w:tc>
        <w:tc>
          <w:tcPr>
            <w:tcW w:w="1315" w:type="dxa"/>
            <w:vAlign w:val="bottom"/>
          </w:tcPr>
          <w:p>
            <w:pPr>
              <w:pStyle w:val="yTableNAm"/>
            </w:pPr>
            <w:r>
              <w:t>58.7 cents</w:t>
            </w:r>
          </w:p>
        </w:tc>
      </w:tr>
      <w:tr>
        <w:trPr>
          <w:cantSplit/>
        </w:trPr>
        <w:tc>
          <w:tcPr>
            <w:tcW w:w="736" w:type="dxa"/>
          </w:tcPr>
          <w:p>
            <w:pPr>
              <w:pStyle w:val="zyTableNAm"/>
            </w:pPr>
          </w:p>
        </w:tc>
        <w:tc>
          <w:tcPr>
            <w:tcW w:w="4326" w:type="dxa"/>
          </w:tcPr>
          <w:p>
            <w:pPr>
              <w:pStyle w:val="yTableNAm"/>
              <w:tabs>
                <w:tab w:val="clear" w:pos="567"/>
                <w:tab w:val="left" w:pos="852"/>
                <w:tab w:val="right" w:leader="dot" w:pos="4003"/>
              </w:tabs>
              <w:ind w:left="848" w:right="158" w:hanging="848"/>
            </w:pPr>
            <w:r>
              <w:tab/>
            </w:r>
            <w:r>
              <w:tab/>
              <w:t xml:space="preserve">over quota </w:t>
            </w:r>
            <w:r>
              <w:tab/>
            </w:r>
          </w:p>
        </w:tc>
        <w:tc>
          <w:tcPr>
            <w:tcW w:w="1315" w:type="dxa"/>
            <w:vAlign w:val="bottom"/>
          </w:tcPr>
          <w:p>
            <w:pPr>
              <w:pStyle w:val="yTableNAm"/>
            </w:pPr>
            <w:r>
              <w:t>1 342.3 cents</w:t>
            </w:r>
          </w:p>
        </w:tc>
      </w:tr>
      <w:tr>
        <w:trPr>
          <w:cantSplit/>
        </w:trPr>
        <w:tc>
          <w:tcPr>
            <w:tcW w:w="736" w:type="dxa"/>
          </w:tcPr>
          <w:p>
            <w:pPr>
              <w:pStyle w:val="zyTableNAm"/>
            </w:pPr>
          </w:p>
        </w:tc>
        <w:tc>
          <w:tcPr>
            <w:tcW w:w="4326" w:type="dxa"/>
          </w:tcPr>
          <w:p>
            <w:pPr>
              <w:pStyle w:val="yTableNAm"/>
              <w:tabs>
                <w:tab w:val="clear" w:pos="567"/>
                <w:tab w:val="left" w:pos="296"/>
                <w:tab w:val="left" w:pos="776"/>
                <w:tab w:val="left" w:leader="dot" w:pos="4876"/>
              </w:tabs>
              <w:ind w:left="776" w:hanging="776"/>
            </w:pPr>
            <w:r>
              <w:rPr>
                <w:snapToGrid w:val="0"/>
              </w:rPr>
              <w:tab/>
            </w:r>
            <w:r>
              <w:rPr>
                <w:snapToGrid w:val="0"/>
              </w:rPr>
              <w:tab/>
              <w:t>where the quota for the year is 105 kL or such greater amount as the Corporation may from time to time determine for the land concerned.</w:t>
            </w:r>
          </w:p>
        </w:tc>
        <w:tc>
          <w:tcPr>
            <w:tcW w:w="1315" w:type="dxa"/>
            <w:vAlign w:val="bottom"/>
          </w:tcPr>
          <w:p>
            <w:pPr>
              <w:pStyle w:val="yTableNAm"/>
            </w:pPr>
          </w:p>
        </w:tc>
      </w:tr>
      <w:tr>
        <w:trPr>
          <w:cantSplit/>
        </w:trPr>
        <w:tc>
          <w:tcPr>
            <w:tcW w:w="736" w:type="dxa"/>
          </w:tcPr>
          <w:p>
            <w:pPr>
              <w:pStyle w:val="yTableNAm"/>
            </w:pPr>
            <w:r>
              <w:rPr>
                <w:b/>
              </w:rPr>
              <w:t>30.</w:t>
            </w:r>
          </w:p>
        </w:tc>
        <w:tc>
          <w:tcPr>
            <w:tcW w:w="4326" w:type="dxa"/>
          </w:tcPr>
          <w:p>
            <w:pPr>
              <w:pStyle w:val="yTableNAm"/>
              <w:tabs>
                <w:tab w:val="left" w:leader="dot" w:pos="4876"/>
              </w:tabs>
            </w:pPr>
            <w:r>
              <w:rPr>
                <w:b/>
              </w:rPr>
              <w:t>Local government standpipes</w:t>
            </w:r>
          </w:p>
        </w:tc>
        <w:tc>
          <w:tcPr>
            <w:tcW w:w="1315" w:type="dxa"/>
            <w:vAlign w:val="bottom"/>
          </w:tcPr>
          <w:p>
            <w:pPr>
              <w:pStyle w:val="yTableNAm"/>
            </w:pPr>
          </w:p>
        </w:tc>
      </w:tr>
      <w:tr>
        <w:trPr>
          <w:cantSplit/>
        </w:trPr>
        <w:tc>
          <w:tcPr>
            <w:tcW w:w="736" w:type="dxa"/>
          </w:tcPr>
          <w:p>
            <w:pPr>
              <w:pStyle w:val="zyTableNAm"/>
              <w:keepNext/>
              <w:keepLines/>
            </w:pPr>
          </w:p>
        </w:tc>
        <w:tc>
          <w:tcPr>
            <w:tcW w:w="4326" w:type="dxa"/>
          </w:tcPr>
          <w:p>
            <w:pPr>
              <w:pStyle w:val="yTableNAm"/>
              <w:tabs>
                <w:tab w:val="left" w:leader="dot" w:pos="4876"/>
              </w:tabs>
            </w:pPr>
            <w:r>
              <w:rPr>
                <w:spacing w:val="-1"/>
              </w:rPr>
              <w:t xml:space="preserve">For </w:t>
            </w:r>
            <w:r>
              <w:rPr>
                <w:snapToGrid w:val="0"/>
              </w:rPr>
              <w:t>each</w:t>
            </w:r>
            <w:r>
              <w:rPr>
                <w:spacing w:val="-1"/>
              </w:rPr>
              <w:t xml:space="preserve"> kilolitre of </w:t>
            </w:r>
            <w:r>
              <w:t>water</w:t>
            </w:r>
            <w:r>
              <w:rPr>
                <w:spacing w:val="-1"/>
              </w:rPr>
              <w:t xml:space="preserve"> supplied through a local government standpipe </w:t>
            </w:r>
            <w:r>
              <w:rPr>
                <w:spacing w:val="-1"/>
              </w:rPr>
              <w:tab/>
            </w:r>
          </w:p>
        </w:tc>
        <w:tc>
          <w:tcPr>
            <w:tcW w:w="1315" w:type="dxa"/>
            <w:vAlign w:val="bottom"/>
          </w:tcPr>
          <w:p>
            <w:pPr>
              <w:pStyle w:val="yTableNAm"/>
            </w:pPr>
            <w:r>
              <w:t>171.3 cents</w:t>
            </w:r>
          </w:p>
        </w:tc>
      </w:tr>
      <w:tr>
        <w:trPr>
          <w:cantSplit/>
        </w:trPr>
        <w:tc>
          <w:tcPr>
            <w:tcW w:w="736" w:type="dxa"/>
          </w:tcPr>
          <w:p>
            <w:pPr>
              <w:pStyle w:val="yTableNAm"/>
            </w:pPr>
            <w:r>
              <w:rPr>
                <w:b/>
              </w:rPr>
              <w:t>31.</w:t>
            </w:r>
          </w:p>
        </w:tc>
        <w:tc>
          <w:tcPr>
            <w:tcW w:w="4326" w:type="dxa"/>
          </w:tcPr>
          <w:p>
            <w:pPr>
              <w:pStyle w:val="yTableNAm"/>
              <w:tabs>
                <w:tab w:val="left" w:leader="dot" w:pos="4876"/>
              </w:tabs>
            </w:pPr>
            <w:r>
              <w:rPr>
                <w:b/>
              </w:rPr>
              <w:t>Shipping</w:t>
            </w:r>
          </w:p>
        </w:tc>
        <w:tc>
          <w:tcPr>
            <w:tcW w:w="1315" w:type="dxa"/>
            <w:vAlign w:val="bottom"/>
          </w:tcPr>
          <w:p>
            <w:pPr>
              <w:pStyle w:val="yTableNAm"/>
            </w:pPr>
          </w:p>
        </w:tc>
      </w:tr>
      <w:tr>
        <w:trPr>
          <w:cantSplit/>
        </w:trPr>
        <w:tc>
          <w:tcPr>
            <w:tcW w:w="736" w:type="dxa"/>
          </w:tcPr>
          <w:p>
            <w:pPr>
              <w:pStyle w:val="zyTableNAm"/>
              <w:rPr>
                <w:rStyle w:val="CharSClsNo"/>
              </w:rPr>
            </w:pPr>
          </w:p>
        </w:tc>
        <w:tc>
          <w:tcPr>
            <w:tcW w:w="4326" w:type="dxa"/>
          </w:tcPr>
          <w:p>
            <w:pPr>
              <w:pStyle w:val="yTableNAm"/>
              <w:tabs>
                <w:tab w:val="left" w:leader="dot" w:pos="4876"/>
              </w:tabs>
            </w:pPr>
            <w:r>
              <w:t xml:space="preserve">For </w:t>
            </w:r>
            <w:r>
              <w:rPr>
                <w:snapToGrid w:val="0"/>
              </w:rPr>
              <w:t>each</w:t>
            </w:r>
            <w:r>
              <w:t xml:space="preserve"> kilolitre of water supplied for the purpose of being taken on board any ship in port —</w:t>
            </w:r>
          </w:p>
        </w:tc>
        <w:tc>
          <w:tcPr>
            <w:tcW w:w="1315" w:type="dxa"/>
            <w:vAlign w:val="bottom"/>
          </w:tcPr>
          <w:p>
            <w:pPr>
              <w:pStyle w:val="yTableNAm"/>
            </w:pPr>
          </w:p>
        </w:tc>
      </w:tr>
      <w:tr>
        <w:trPr>
          <w:cantSplit/>
        </w:trPr>
        <w:tc>
          <w:tcPr>
            <w:tcW w:w="736" w:type="dxa"/>
          </w:tcPr>
          <w:p>
            <w:pPr>
              <w:pStyle w:val="zyTableNAm"/>
              <w:rPr>
                <w:rStyle w:val="CharSClsNo"/>
              </w:rPr>
            </w:pPr>
          </w:p>
        </w:tc>
        <w:tc>
          <w:tcPr>
            <w:tcW w:w="4326" w:type="dxa"/>
          </w:tcPr>
          <w:p>
            <w:pPr>
              <w:pStyle w:val="yTableNAm"/>
              <w:tabs>
                <w:tab w:val="clear" w:pos="567"/>
                <w:tab w:val="left" w:pos="296"/>
                <w:tab w:val="left" w:pos="776"/>
                <w:tab w:val="left" w:leader="dot" w:pos="4876"/>
              </w:tabs>
              <w:ind w:left="776" w:hanging="776"/>
              <w:rPr>
                <w:snapToGrid w:val="0"/>
              </w:rPr>
            </w:pPr>
            <w:r>
              <w:rPr>
                <w:snapToGrid w:val="0"/>
              </w:rPr>
              <w:tab/>
              <w:t>(a)</w:t>
            </w:r>
            <w:r>
              <w:rPr>
                <w:snapToGrid w:val="0"/>
              </w:rPr>
              <w:tab/>
              <w:t xml:space="preserve">in the metropolitan area </w:t>
            </w:r>
            <w:r>
              <w:rPr>
                <w:snapToGrid w:val="0"/>
              </w:rPr>
              <w:tab/>
            </w:r>
          </w:p>
        </w:tc>
        <w:tc>
          <w:tcPr>
            <w:tcW w:w="1315" w:type="dxa"/>
            <w:vAlign w:val="bottom"/>
          </w:tcPr>
          <w:p>
            <w:pPr>
              <w:pStyle w:val="yTableNAm"/>
            </w:pPr>
            <w:r>
              <w:t>204.1 cents</w:t>
            </w:r>
          </w:p>
        </w:tc>
      </w:tr>
      <w:tr>
        <w:trPr>
          <w:cantSplit/>
        </w:trPr>
        <w:tc>
          <w:tcPr>
            <w:tcW w:w="736" w:type="dxa"/>
          </w:tcPr>
          <w:p>
            <w:pPr>
              <w:pStyle w:val="zyTableNAm"/>
              <w:rPr>
                <w:rStyle w:val="CharSClsNo"/>
              </w:rPr>
            </w:pPr>
          </w:p>
        </w:tc>
        <w:tc>
          <w:tcPr>
            <w:tcW w:w="4326" w:type="dxa"/>
          </w:tcPr>
          <w:p>
            <w:pPr>
              <w:pStyle w:val="yTableNAm"/>
              <w:tabs>
                <w:tab w:val="clear" w:pos="567"/>
                <w:tab w:val="left" w:pos="296"/>
                <w:tab w:val="left" w:pos="776"/>
                <w:tab w:val="left" w:leader="dot" w:pos="4876"/>
              </w:tabs>
              <w:ind w:left="776" w:hanging="776"/>
              <w:rPr>
                <w:snapToGrid w:val="0"/>
              </w:rPr>
            </w:pPr>
            <w:r>
              <w:rPr>
                <w:snapToGrid w:val="0"/>
              </w:rPr>
              <w:tab/>
              <w:t>(b)</w:t>
            </w:r>
            <w:r>
              <w:rPr>
                <w:snapToGrid w:val="0"/>
              </w:rPr>
              <w:tab/>
              <w:t>not in the metropolitan area (according to the non</w:t>
            </w:r>
            <w:r>
              <w:rPr>
                <w:snapToGrid w:val="0"/>
              </w:rPr>
              <w:noBreakHyphen/>
              <w:t>residential classification of the town/area in which that property is situated, as set out in Schedule 10) —</w:t>
            </w:r>
          </w:p>
        </w:tc>
        <w:tc>
          <w:tcPr>
            <w:tcW w:w="1315" w:type="dxa"/>
            <w:vAlign w:val="bottom"/>
          </w:tcPr>
          <w:p>
            <w:pPr>
              <w:pStyle w:val="yTableNAm"/>
            </w:pPr>
          </w:p>
        </w:tc>
      </w:tr>
    </w:tbl>
    <w:p>
      <w:pPr>
        <w:pStyle w:val="yMiscellaneousBody"/>
      </w:pPr>
    </w:p>
    <w:tbl>
      <w:tblPr>
        <w:tblW w:w="6377" w:type="dxa"/>
        <w:tblInd w:w="454" w:type="dxa"/>
        <w:tblLayout w:type="fixed"/>
        <w:tblCellMar>
          <w:left w:w="28" w:type="dxa"/>
          <w:right w:w="28" w:type="dxa"/>
        </w:tblCellMar>
        <w:tblLook w:val="0000" w:firstRow="0" w:lastRow="0" w:firstColumn="0" w:lastColumn="0" w:noHBand="0" w:noVBand="0"/>
      </w:tblPr>
      <w:tblGrid>
        <w:gridCol w:w="1842"/>
        <w:gridCol w:w="2339"/>
        <w:gridCol w:w="2196"/>
      </w:tblGrid>
      <w:tr>
        <w:trPr>
          <w:cantSplit/>
          <w:trHeight w:val="217"/>
          <w:tblHeader/>
        </w:trPr>
        <w:tc>
          <w:tcPr>
            <w:tcW w:w="1842" w:type="dxa"/>
            <w:vMerge w:val="restart"/>
            <w:tcBorders>
              <w:top w:val="single" w:sz="4" w:space="0" w:color="auto"/>
            </w:tcBorders>
          </w:tcPr>
          <w:p>
            <w:pPr>
              <w:pStyle w:val="yTableNAm"/>
            </w:pPr>
            <w:r>
              <w:rPr>
                <w:b/>
                <w:bCs/>
              </w:rPr>
              <w:t>Class</w:t>
            </w:r>
          </w:p>
        </w:tc>
        <w:tc>
          <w:tcPr>
            <w:tcW w:w="4535" w:type="dxa"/>
            <w:gridSpan w:val="2"/>
            <w:tcBorders>
              <w:top w:val="single" w:sz="4" w:space="0" w:color="auto"/>
            </w:tcBorders>
          </w:tcPr>
          <w:p>
            <w:pPr>
              <w:pStyle w:val="yTableNAm"/>
              <w:jc w:val="center"/>
            </w:pPr>
            <w:r>
              <w:rPr>
                <w:b/>
                <w:bCs/>
              </w:rPr>
              <w:t>Consumption (kL)</w:t>
            </w:r>
          </w:p>
        </w:tc>
      </w:tr>
      <w:tr>
        <w:trPr>
          <w:cantSplit/>
          <w:trHeight w:val="217"/>
          <w:tblHeader/>
        </w:trPr>
        <w:tc>
          <w:tcPr>
            <w:tcW w:w="1842" w:type="dxa"/>
            <w:vMerge/>
            <w:tcBorders>
              <w:bottom w:val="single" w:sz="4" w:space="0" w:color="auto"/>
            </w:tcBorders>
          </w:tcPr>
          <w:p>
            <w:pPr>
              <w:pStyle w:val="zyTableNAm"/>
              <w:rPr>
                <w:b/>
                <w:bCs/>
              </w:rPr>
            </w:pPr>
          </w:p>
        </w:tc>
        <w:tc>
          <w:tcPr>
            <w:tcW w:w="2339" w:type="dxa"/>
            <w:tcBorders>
              <w:bottom w:val="single" w:sz="4" w:space="0" w:color="auto"/>
            </w:tcBorders>
          </w:tcPr>
          <w:p>
            <w:pPr>
              <w:pStyle w:val="yTableNAm"/>
              <w:jc w:val="center"/>
            </w:pPr>
            <w:r>
              <w:rPr>
                <w:b/>
                <w:bCs/>
              </w:rPr>
              <w:t>Up to 300</w:t>
            </w:r>
          </w:p>
        </w:tc>
        <w:tc>
          <w:tcPr>
            <w:tcW w:w="2196" w:type="dxa"/>
            <w:tcBorders>
              <w:bottom w:val="single" w:sz="4" w:space="0" w:color="auto"/>
            </w:tcBorders>
          </w:tcPr>
          <w:p>
            <w:pPr>
              <w:pStyle w:val="yTableNAm"/>
              <w:jc w:val="center"/>
            </w:pPr>
            <w:r>
              <w:rPr>
                <w:b/>
                <w:bCs/>
              </w:rPr>
              <w:t>Over 300</w:t>
            </w:r>
          </w:p>
        </w:tc>
      </w:tr>
      <w:tr>
        <w:tc>
          <w:tcPr>
            <w:tcW w:w="1842" w:type="dxa"/>
            <w:tcBorders>
              <w:top w:val="single" w:sz="4" w:space="0" w:color="auto"/>
            </w:tcBorders>
          </w:tcPr>
          <w:p>
            <w:pPr>
              <w:pStyle w:val="yTableNAm"/>
            </w:pPr>
            <w:r>
              <w:rPr>
                <w:bCs/>
              </w:rPr>
              <w:t>Class 1 (c/kL)</w:t>
            </w:r>
          </w:p>
        </w:tc>
        <w:tc>
          <w:tcPr>
            <w:tcW w:w="2339" w:type="dxa"/>
            <w:tcBorders>
              <w:top w:val="single" w:sz="4" w:space="0" w:color="auto"/>
            </w:tcBorders>
            <w:vAlign w:val="bottom"/>
          </w:tcPr>
          <w:p>
            <w:pPr>
              <w:pStyle w:val="yTableNAm"/>
              <w:jc w:val="center"/>
            </w:pPr>
            <w:r>
              <w:t>174.7</w:t>
            </w:r>
          </w:p>
        </w:tc>
        <w:tc>
          <w:tcPr>
            <w:tcW w:w="2196" w:type="dxa"/>
            <w:tcBorders>
              <w:top w:val="single" w:sz="4" w:space="0" w:color="auto"/>
            </w:tcBorders>
            <w:vAlign w:val="bottom"/>
          </w:tcPr>
          <w:p>
            <w:pPr>
              <w:pStyle w:val="yTableNAm"/>
              <w:jc w:val="center"/>
            </w:pPr>
            <w:r>
              <w:t>192.6</w:t>
            </w:r>
          </w:p>
        </w:tc>
      </w:tr>
      <w:tr>
        <w:tc>
          <w:tcPr>
            <w:tcW w:w="1842" w:type="dxa"/>
          </w:tcPr>
          <w:p>
            <w:pPr>
              <w:pStyle w:val="yTableNAm"/>
            </w:pPr>
            <w:r>
              <w:rPr>
                <w:bCs/>
              </w:rPr>
              <w:t>Class 2 (c/kL)</w:t>
            </w:r>
          </w:p>
        </w:tc>
        <w:tc>
          <w:tcPr>
            <w:tcW w:w="2339" w:type="dxa"/>
            <w:vAlign w:val="bottom"/>
          </w:tcPr>
          <w:p>
            <w:pPr>
              <w:pStyle w:val="yTableNAm"/>
              <w:jc w:val="center"/>
            </w:pPr>
            <w:r>
              <w:t>191.6</w:t>
            </w:r>
          </w:p>
        </w:tc>
        <w:tc>
          <w:tcPr>
            <w:tcW w:w="2196" w:type="dxa"/>
            <w:vAlign w:val="bottom"/>
          </w:tcPr>
          <w:p>
            <w:pPr>
              <w:pStyle w:val="yTableNAm"/>
              <w:jc w:val="center"/>
            </w:pPr>
            <w:r>
              <w:t>209.8</w:t>
            </w:r>
          </w:p>
        </w:tc>
      </w:tr>
      <w:tr>
        <w:tc>
          <w:tcPr>
            <w:tcW w:w="1842" w:type="dxa"/>
          </w:tcPr>
          <w:p>
            <w:pPr>
              <w:pStyle w:val="yTableNAm"/>
            </w:pPr>
            <w:r>
              <w:rPr>
                <w:bCs/>
              </w:rPr>
              <w:t>Class 3 (c/kL)</w:t>
            </w:r>
          </w:p>
        </w:tc>
        <w:tc>
          <w:tcPr>
            <w:tcW w:w="2339" w:type="dxa"/>
            <w:vAlign w:val="bottom"/>
          </w:tcPr>
          <w:p>
            <w:pPr>
              <w:pStyle w:val="yTableNAm"/>
              <w:jc w:val="center"/>
            </w:pPr>
            <w:r>
              <w:t>209.8</w:t>
            </w:r>
          </w:p>
        </w:tc>
        <w:tc>
          <w:tcPr>
            <w:tcW w:w="2196" w:type="dxa"/>
            <w:vAlign w:val="bottom"/>
          </w:tcPr>
          <w:p>
            <w:pPr>
              <w:pStyle w:val="yTableNAm"/>
              <w:jc w:val="center"/>
            </w:pPr>
            <w:r>
              <w:t>228.2</w:t>
            </w:r>
          </w:p>
        </w:tc>
      </w:tr>
      <w:tr>
        <w:tc>
          <w:tcPr>
            <w:tcW w:w="1842" w:type="dxa"/>
          </w:tcPr>
          <w:p>
            <w:pPr>
              <w:pStyle w:val="yTableNAm"/>
            </w:pPr>
            <w:r>
              <w:rPr>
                <w:bCs/>
              </w:rPr>
              <w:t>Class 4 (c/kL)</w:t>
            </w:r>
          </w:p>
        </w:tc>
        <w:tc>
          <w:tcPr>
            <w:tcW w:w="2339" w:type="dxa"/>
            <w:vAlign w:val="bottom"/>
          </w:tcPr>
          <w:p>
            <w:pPr>
              <w:pStyle w:val="yTableNAm"/>
              <w:jc w:val="center"/>
            </w:pPr>
            <w:r>
              <w:t>230.0</w:t>
            </w:r>
          </w:p>
        </w:tc>
        <w:tc>
          <w:tcPr>
            <w:tcW w:w="2196" w:type="dxa"/>
            <w:vAlign w:val="bottom"/>
          </w:tcPr>
          <w:p>
            <w:pPr>
              <w:pStyle w:val="yTableNAm"/>
              <w:jc w:val="center"/>
            </w:pPr>
            <w:r>
              <w:t>248.6</w:t>
            </w:r>
          </w:p>
        </w:tc>
      </w:tr>
      <w:tr>
        <w:tc>
          <w:tcPr>
            <w:tcW w:w="1842" w:type="dxa"/>
          </w:tcPr>
          <w:p>
            <w:pPr>
              <w:pStyle w:val="yTableNAm"/>
            </w:pPr>
            <w:r>
              <w:rPr>
                <w:bCs/>
              </w:rPr>
              <w:t>Class 5 (c/kL)</w:t>
            </w:r>
          </w:p>
        </w:tc>
        <w:tc>
          <w:tcPr>
            <w:tcW w:w="2339" w:type="dxa"/>
            <w:vAlign w:val="bottom"/>
          </w:tcPr>
          <w:p>
            <w:pPr>
              <w:pStyle w:val="yTableNAm"/>
              <w:jc w:val="center"/>
            </w:pPr>
            <w:r>
              <w:t>252.2</w:t>
            </w:r>
          </w:p>
        </w:tc>
        <w:tc>
          <w:tcPr>
            <w:tcW w:w="2196" w:type="dxa"/>
            <w:vAlign w:val="bottom"/>
          </w:tcPr>
          <w:p>
            <w:pPr>
              <w:pStyle w:val="yTableNAm"/>
              <w:jc w:val="center"/>
            </w:pPr>
            <w:r>
              <w:t>270.7</w:t>
            </w:r>
          </w:p>
        </w:tc>
      </w:tr>
      <w:tr>
        <w:tc>
          <w:tcPr>
            <w:tcW w:w="1842" w:type="dxa"/>
          </w:tcPr>
          <w:p>
            <w:pPr>
              <w:pStyle w:val="yTableNAm"/>
            </w:pPr>
            <w:r>
              <w:rPr>
                <w:bCs/>
              </w:rPr>
              <w:t>Class 6 (c/kL)</w:t>
            </w:r>
          </w:p>
        </w:tc>
        <w:tc>
          <w:tcPr>
            <w:tcW w:w="2339" w:type="dxa"/>
            <w:vAlign w:val="bottom"/>
          </w:tcPr>
          <w:p>
            <w:pPr>
              <w:pStyle w:val="yTableNAm"/>
              <w:jc w:val="center"/>
            </w:pPr>
            <w:r>
              <w:t>274.4</w:t>
            </w:r>
          </w:p>
        </w:tc>
        <w:tc>
          <w:tcPr>
            <w:tcW w:w="2196" w:type="dxa"/>
            <w:vAlign w:val="bottom"/>
          </w:tcPr>
          <w:p>
            <w:pPr>
              <w:pStyle w:val="yTableNAm"/>
              <w:jc w:val="center"/>
            </w:pPr>
            <w:r>
              <w:t>294.8</w:t>
            </w:r>
          </w:p>
        </w:tc>
      </w:tr>
      <w:tr>
        <w:tc>
          <w:tcPr>
            <w:tcW w:w="1842" w:type="dxa"/>
          </w:tcPr>
          <w:p>
            <w:pPr>
              <w:pStyle w:val="yTableNAm"/>
            </w:pPr>
            <w:r>
              <w:rPr>
                <w:bCs/>
              </w:rPr>
              <w:t>Class 7 (c/kL)</w:t>
            </w:r>
          </w:p>
        </w:tc>
        <w:tc>
          <w:tcPr>
            <w:tcW w:w="2339" w:type="dxa"/>
            <w:vAlign w:val="bottom"/>
          </w:tcPr>
          <w:p>
            <w:pPr>
              <w:pStyle w:val="yTableNAm"/>
              <w:jc w:val="center"/>
            </w:pPr>
            <w:r>
              <w:t>298.6</w:t>
            </w:r>
          </w:p>
        </w:tc>
        <w:tc>
          <w:tcPr>
            <w:tcW w:w="2196" w:type="dxa"/>
            <w:vAlign w:val="bottom"/>
          </w:tcPr>
          <w:p>
            <w:pPr>
              <w:pStyle w:val="yTableNAm"/>
              <w:jc w:val="center"/>
            </w:pPr>
            <w:r>
              <w:t>321.1</w:t>
            </w:r>
          </w:p>
        </w:tc>
      </w:tr>
      <w:tr>
        <w:tc>
          <w:tcPr>
            <w:tcW w:w="1842" w:type="dxa"/>
          </w:tcPr>
          <w:p>
            <w:pPr>
              <w:pStyle w:val="yTableNAm"/>
            </w:pPr>
            <w:r>
              <w:rPr>
                <w:bCs/>
              </w:rPr>
              <w:t>Class 8 (c/kL)</w:t>
            </w:r>
          </w:p>
        </w:tc>
        <w:tc>
          <w:tcPr>
            <w:tcW w:w="2339" w:type="dxa"/>
            <w:vAlign w:val="bottom"/>
          </w:tcPr>
          <w:p>
            <w:pPr>
              <w:pStyle w:val="yTableNAm"/>
              <w:jc w:val="center"/>
            </w:pPr>
            <w:r>
              <w:t>324.2</w:t>
            </w:r>
          </w:p>
        </w:tc>
        <w:tc>
          <w:tcPr>
            <w:tcW w:w="2196" w:type="dxa"/>
            <w:vAlign w:val="bottom"/>
          </w:tcPr>
          <w:p>
            <w:pPr>
              <w:pStyle w:val="yTableNAm"/>
              <w:jc w:val="center"/>
            </w:pPr>
            <w:r>
              <w:t>349.6</w:t>
            </w:r>
          </w:p>
        </w:tc>
      </w:tr>
      <w:tr>
        <w:tc>
          <w:tcPr>
            <w:tcW w:w="1842" w:type="dxa"/>
          </w:tcPr>
          <w:p>
            <w:pPr>
              <w:pStyle w:val="yTableNAm"/>
            </w:pPr>
            <w:r>
              <w:rPr>
                <w:bCs/>
              </w:rPr>
              <w:t>Class 9 (c/kL)</w:t>
            </w:r>
          </w:p>
        </w:tc>
        <w:tc>
          <w:tcPr>
            <w:tcW w:w="2339" w:type="dxa"/>
            <w:vAlign w:val="bottom"/>
          </w:tcPr>
          <w:p>
            <w:pPr>
              <w:pStyle w:val="yTableNAm"/>
              <w:jc w:val="center"/>
            </w:pPr>
            <w:r>
              <w:t>352.0</w:t>
            </w:r>
          </w:p>
        </w:tc>
        <w:tc>
          <w:tcPr>
            <w:tcW w:w="2196" w:type="dxa"/>
            <w:vAlign w:val="bottom"/>
          </w:tcPr>
          <w:p>
            <w:pPr>
              <w:pStyle w:val="yTableNAm"/>
              <w:jc w:val="center"/>
            </w:pPr>
            <w:r>
              <w:t>380.7</w:t>
            </w:r>
          </w:p>
        </w:tc>
      </w:tr>
      <w:tr>
        <w:tc>
          <w:tcPr>
            <w:tcW w:w="1842" w:type="dxa"/>
          </w:tcPr>
          <w:p>
            <w:pPr>
              <w:pStyle w:val="yTableNAm"/>
            </w:pPr>
            <w:r>
              <w:rPr>
                <w:bCs/>
              </w:rPr>
              <w:t>Class 10 (c/kL)</w:t>
            </w:r>
          </w:p>
        </w:tc>
        <w:tc>
          <w:tcPr>
            <w:tcW w:w="2339" w:type="dxa"/>
            <w:vAlign w:val="bottom"/>
          </w:tcPr>
          <w:p>
            <w:pPr>
              <w:pStyle w:val="yTableNAm"/>
              <w:jc w:val="center"/>
            </w:pPr>
            <w:r>
              <w:t>379.0</w:t>
            </w:r>
          </w:p>
        </w:tc>
        <w:tc>
          <w:tcPr>
            <w:tcW w:w="2196" w:type="dxa"/>
            <w:vAlign w:val="bottom"/>
          </w:tcPr>
          <w:p>
            <w:pPr>
              <w:pStyle w:val="yTableNAm"/>
              <w:jc w:val="center"/>
            </w:pPr>
            <w:r>
              <w:t>414.6</w:t>
            </w:r>
          </w:p>
        </w:tc>
      </w:tr>
      <w:tr>
        <w:tc>
          <w:tcPr>
            <w:tcW w:w="1842" w:type="dxa"/>
          </w:tcPr>
          <w:p>
            <w:pPr>
              <w:pStyle w:val="yTableNAm"/>
            </w:pPr>
            <w:r>
              <w:rPr>
                <w:bCs/>
              </w:rPr>
              <w:t>Class 11 (c/kL)</w:t>
            </w:r>
          </w:p>
        </w:tc>
        <w:tc>
          <w:tcPr>
            <w:tcW w:w="2339" w:type="dxa"/>
            <w:vAlign w:val="bottom"/>
          </w:tcPr>
          <w:p>
            <w:pPr>
              <w:pStyle w:val="yTableNAm"/>
              <w:jc w:val="center"/>
            </w:pPr>
            <w:r>
              <w:t>413.5</w:t>
            </w:r>
          </w:p>
        </w:tc>
        <w:tc>
          <w:tcPr>
            <w:tcW w:w="2196" w:type="dxa"/>
            <w:vAlign w:val="bottom"/>
          </w:tcPr>
          <w:p>
            <w:pPr>
              <w:pStyle w:val="yTableNAm"/>
              <w:jc w:val="center"/>
            </w:pPr>
            <w:r>
              <w:t>451.4</w:t>
            </w:r>
          </w:p>
        </w:tc>
      </w:tr>
      <w:tr>
        <w:tc>
          <w:tcPr>
            <w:tcW w:w="1842" w:type="dxa"/>
          </w:tcPr>
          <w:p>
            <w:pPr>
              <w:pStyle w:val="yTableNAm"/>
            </w:pPr>
            <w:r>
              <w:rPr>
                <w:bCs/>
              </w:rPr>
              <w:t>Class 12 (c/kL)</w:t>
            </w:r>
          </w:p>
        </w:tc>
        <w:tc>
          <w:tcPr>
            <w:tcW w:w="2339" w:type="dxa"/>
            <w:vAlign w:val="bottom"/>
          </w:tcPr>
          <w:p>
            <w:pPr>
              <w:pStyle w:val="yTableNAm"/>
              <w:jc w:val="center"/>
            </w:pPr>
            <w:r>
              <w:t>451.3</w:t>
            </w:r>
          </w:p>
        </w:tc>
        <w:tc>
          <w:tcPr>
            <w:tcW w:w="2196" w:type="dxa"/>
            <w:vAlign w:val="bottom"/>
          </w:tcPr>
          <w:p>
            <w:pPr>
              <w:pStyle w:val="yTableNAm"/>
              <w:jc w:val="center"/>
            </w:pPr>
            <w:r>
              <w:t>491.6</w:t>
            </w:r>
          </w:p>
        </w:tc>
      </w:tr>
      <w:tr>
        <w:tc>
          <w:tcPr>
            <w:tcW w:w="1842" w:type="dxa"/>
          </w:tcPr>
          <w:p>
            <w:pPr>
              <w:pStyle w:val="yTableNAm"/>
            </w:pPr>
            <w:r>
              <w:rPr>
                <w:bCs/>
              </w:rPr>
              <w:t>Class 13 (c/kL)</w:t>
            </w:r>
          </w:p>
        </w:tc>
        <w:tc>
          <w:tcPr>
            <w:tcW w:w="2339" w:type="dxa"/>
            <w:vAlign w:val="bottom"/>
          </w:tcPr>
          <w:p>
            <w:pPr>
              <w:pStyle w:val="yTableNAm"/>
              <w:jc w:val="center"/>
            </w:pPr>
            <w:r>
              <w:t>492.4</w:t>
            </w:r>
          </w:p>
        </w:tc>
        <w:tc>
          <w:tcPr>
            <w:tcW w:w="2196" w:type="dxa"/>
            <w:vAlign w:val="bottom"/>
          </w:tcPr>
          <w:p>
            <w:pPr>
              <w:pStyle w:val="yTableNAm"/>
              <w:jc w:val="center"/>
            </w:pPr>
            <w:r>
              <w:t>535.3</w:t>
            </w:r>
          </w:p>
        </w:tc>
      </w:tr>
      <w:tr>
        <w:tc>
          <w:tcPr>
            <w:tcW w:w="1842" w:type="dxa"/>
          </w:tcPr>
          <w:p>
            <w:pPr>
              <w:pStyle w:val="yTableNAm"/>
            </w:pPr>
            <w:r>
              <w:rPr>
                <w:bCs/>
              </w:rPr>
              <w:t>Class 14 (c/kL)</w:t>
            </w:r>
          </w:p>
        </w:tc>
        <w:tc>
          <w:tcPr>
            <w:tcW w:w="2339" w:type="dxa"/>
            <w:vAlign w:val="bottom"/>
          </w:tcPr>
          <w:p>
            <w:pPr>
              <w:pStyle w:val="yTableNAm"/>
              <w:jc w:val="center"/>
            </w:pPr>
            <w:r>
              <w:t>537.3</w:t>
            </w:r>
          </w:p>
        </w:tc>
        <w:tc>
          <w:tcPr>
            <w:tcW w:w="2196" w:type="dxa"/>
            <w:vAlign w:val="bottom"/>
          </w:tcPr>
          <w:p>
            <w:pPr>
              <w:pStyle w:val="yTableNAm"/>
              <w:jc w:val="center"/>
            </w:pPr>
            <w:r>
              <w:t>582.9</w:t>
            </w:r>
          </w:p>
        </w:tc>
      </w:tr>
      <w:tr>
        <w:tc>
          <w:tcPr>
            <w:tcW w:w="1842" w:type="dxa"/>
            <w:tcBorders>
              <w:bottom w:val="single" w:sz="4" w:space="0" w:color="auto"/>
            </w:tcBorders>
          </w:tcPr>
          <w:p>
            <w:pPr>
              <w:pStyle w:val="yTableNAm"/>
            </w:pPr>
            <w:r>
              <w:rPr>
                <w:bCs/>
              </w:rPr>
              <w:t>Class 15 (c/kL)</w:t>
            </w:r>
          </w:p>
        </w:tc>
        <w:tc>
          <w:tcPr>
            <w:tcW w:w="2339" w:type="dxa"/>
            <w:tcBorders>
              <w:bottom w:val="single" w:sz="4" w:space="0" w:color="auto"/>
            </w:tcBorders>
            <w:vAlign w:val="bottom"/>
          </w:tcPr>
          <w:p>
            <w:pPr>
              <w:pStyle w:val="yTableNAm"/>
              <w:jc w:val="center"/>
            </w:pPr>
            <w:r>
              <w:t>586.2</w:t>
            </w:r>
          </w:p>
        </w:tc>
        <w:tc>
          <w:tcPr>
            <w:tcW w:w="2196" w:type="dxa"/>
            <w:tcBorders>
              <w:bottom w:val="single" w:sz="4" w:space="0" w:color="auto"/>
            </w:tcBorders>
            <w:vAlign w:val="bottom"/>
          </w:tcPr>
          <w:p>
            <w:pPr>
              <w:pStyle w:val="yTableNAm"/>
              <w:jc w:val="center"/>
            </w:pPr>
            <w:r>
              <w:t>634.7</w:t>
            </w:r>
          </w:p>
        </w:tc>
      </w:tr>
    </w:tbl>
    <w:p>
      <w:pPr>
        <w:pStyle w:val="yMiscellaneousBody"/>
      </w:pPr>
    </w:p>
    <w:tbl>
      <w:tblPr>
        <w:tblW w:w="0" w:type="auto"/>
        <w:tblInd w:w="534" w:type="dxa"/>
        <w:tblLook w:val="0000" w:firstRow="0" w:lastRow="0" w:firstColumn="0" w:lastColumn="0" w:noHBand="0" w:noVBand="0"/>
      </w:tblPr>
      <w:tblGrid>
        <w:gridCol w:w="708"/>
        <w:gridCol w:w="4326"/>
        <w:gridCol w:w="1329"/>
      </w:tblGrid>
      <w:tr>
        <w:trPr>
          <w:cantSplit/>
        </w:trPr>
        <w:tc>
          <w:tcPr>
            <w:tcW w:w="708" w:type="dxa"/>
          </w:tcPr>
          <w:p>
            <w:pPr>
              <w:pStyle w:val="yTableNAm"/>
            </w:pPr>
            <w:r>
              <w:rPr>
                <w:b/>
              </w:rPr>
              <w:t>32.</w:t>
            </w:r>
          </w:p>
        </w:tc>
        <w:tc>
          <w:tcPr>
            <w:tcW w:w="4326" w:type="dxa"/>
          </w:tcPr>
          <w:p>
            <w:pPr>
              <w:pStyle w:val="yTableNAm"/>
              <w:tabs>
                <w:tab w:val="left" w:leader="dot" w:pos="4876"/>
              </w:tabs>
            </w:pPr>
            <w:r>
              <w:rPr>
                <w:b/>
              </w:rPr>
              <w:t>Stock</w:t>
            </w:r>
          </w:p>
        </w:tc>
        <w:tc>
          <w:tcPr>
            <w:tcW w:w="1329" w:type="dxa"/>
            <w:vAlign w:val="bottom"/>
          </w:tcPr>
          <w:p>
            <w:pPr>
              <w:pStyle w:val="yTableNAm"/>
            </w:pPr>
          </w:p>
        </w:tc>
      </w:tr>
      <w:tr>
        <w:trPr>
          <w:cantSplit/>
        </w:trPr>
        <w:tc>
          <w:tcPr>
            <w:tcW w:w="708" w:type="dxa"/>
          </w:tcPr>
          <w:p>
            <w:pPr>
              <w:pStyle w:val="zyTableNAm"/>
              <w:rPr>
                <w:rStyle w:val="CharSClsNo"/>
              </w:rPr>
            </w:pPr>
          </w:p>
        </w:tc>
        <w:tc>
          <w:tcPr>
            <w:tcW w:w="4326" w:type="dxa"/>
          </w:tcPr>
          <w:p>
            <w:pPr>
              <w:pStyle w:val="yTableNAm"/>
              <w:tabs>
                <w:tab w:val="left" w:leader="dot" w:pos="4876"/>
              </w:tabs>
            </w:pPr>
            <w:r>
              <w:rPr>
                <w:spacing w:val="-1"/>
              </w:rPr>
              <w:t xml:space="preserve">For each kilolitre of water supplied for the purpose of watering stock on land that is not the subject of a charge under item 10 </w:t>
            </w:r>
            <w:r>
              <w:rPr>
                <w:spacing w:val="-1"/>
              </w:rPr>
              <w:tab/>
            </w:r>
          </w:p>
        </w:tc>
        <w:tc>
          <w:tcPr>
            <w:tcW w:w="1329" w:type="dxa"/>
            <w:vAlign w:val="bottom"/>
          </w:tcPr>
          <w:p>
            <w:pPr>
              <w:pStyle w:val="yTableNAm"/>
            </w:pPr>
            <w:r>
              <w:rPr>
                <w:spacing w:val="-1"/>
              </w:rPr>
              <w:t xml:space="preserve">171.3 </w:t>
            </w:r>
            <w:r>
              <w:t>cents</w:t>
            </w:r>
          </w:p>
        </w:tc>
      </w:tr>
      <w:tr>
        <w:trPr>
          <w:cantSplit/>
        </w:trPr>
        <w:tc>
          <w:tcPr>
            <w:tcW w:w="708" w:type="dxa"/>
          </w:tcPr>
          <w:p>
            <w:pPr>
              <w:pStyle w:val="yTableNAm"/>
            </w:pPr>
            <w:r>
              <w:rPr>
                <w:b/>
              </w:rPr>
              <w:t>33.</w:t>
            </w:r>
          </w:p>
        </w:tc>
        <w:tc>
          <w:tcPr>
            <w:tcW w:w="4326" w:type="dxa"/>
          </w:tcPr>
          <w:p>
            <w:pPr>
              <w:pStyle w:val="yTableNAm"/>
              <w:tabs>
                <w:tab w:val="left" w:leader="dot" w:pos="4876"/>
              </w:tabs>
            </w:pPr>
            <w:r>
              <w:rPr>
                <w:b/>
              </w:rPr>
              <w:t>Building</w:t>
            </w:r>
          </w:p>
        </w:tc>
        <w:tc>
          <w:tcPr>
            <w:tcW w:w="1329" w:type="dxa"/>
            <w:vAlign w:val="bottom"/>
          </w:tcPr>
          <w:p>
            <w:pPr>
              <w:pStyle w:val="yTableNAm"/>
            </w:pPr>
          </w:p>
        </w:tc>
      </w:tr>
      <w:tr>
        <w:trPr>
          <w:cantSplit/>
        </w:trPr>
        <w:tc>
          <w:tcPr>
            <w:tcW w:w="708" w:type="dxa"/>
          </w:tcPr>
          <w:p>
            <w:pPr>
              <w:pStyle w:val="zyTableNAm"/>
              <w:rPr>
                <w:rStyle w:val="CharSClsNo"/>
              </w:rPr>
            </w:pPr>
          </w:p>
        </w:tc>
        <w:tc>
          <w:tcPr>
            <w:tcW w:w="4326" w:type="dxa"/>
          </w:tcPr>
          <w:p>
            <w:pPr>
              <w:pStyle w:val="yTableNAm"/>
              <w:tabs>
                <w:tab w:val="left" w:leader="dot" w:pos="4876"/>
              </w:tabs>
            </w:pPr>
            <w:r>
              <w:t>For each kilolitre of water supplied to land that is neither a residential property, nor any other property held for residential purposes, through a water supply connection that is provided for building purposes —</w:t>
            </w:r>
          </w:p>
        </w:tc>
        <w:tc>
          <w:tcPr>
            <w:tcW w:w="1329" w:type="dxa"/>
            <w:vAlign w:val="bottom"/>
          </w:tcPr>
          <w:p>
            <w:pPr>
              <w:pStyle w:val="yTableNAm"/>
            </w:pPr>
          </w:p>
        </w:tc>
      </w:tr>
      <w:tr>
        <w:trPr>
          <w:cantSplit/>
        </w:trPr>
        <w:tc>
          <w:tcPr>
            <w:tcW w:w="708" w:type="dxa"/>
          </w:tcPr>
          <w:p>
            <w:pPr>
              <w:pStyle w:val="zyTableNAm"/>
              <w:rPr>
                <w:rStyle w:val="CharSClsNo"/>
              </w:rPr>
            </w:pPr>
          </w:p>
        </w:tc>
        <w:tc>
          <w:tcPr>
            <w:tcW w:w="4326" w:type="dxa"/>
          </w:tcPr>
          <w:p>
            <w:pPr>
              <w:pStyle w:val="yTableNAm"/>
              <w:tabs>
                <w:tab w:val="clear" w:pos="567"/>
                <w:tab w:val="left" w:pos="296"/>
                <w:tab w:val="left" w:pos="776"/>
                <w:tab w:val="left" w:leader="dot" w:pos="4876"/>
              </w:tabs>
              <w:ind w:left="776" w:hanging="776"/>
              <w:rPr>
                <w:snapToGrid w:val="0"/>
              </w:rPr>
            </w:pPr>
            <w:r>
              <w:rPr>
                <w:snapToGrid w:val="0"/>
              </w:rPr>
              <w:tab/>
              <w:t>(a)</w:t>
            </w:r>
            <w:r>
              <w:rPr>
                <w:snapToGrid w:val="0"/>
              </w:rPr>
              <w:tab/>
              <w:t>in the metropolitan area, the charge that would apply under item 24 if the water supplied through that connection were the only water supplied to the land;</w:t>
            </w:r>
          </w:p>
        </w:tc>
        <w:tc>
          <w:tcPr>
            <w:tcW w:w="1329" w:type="dxa"/>
            <w:vAlign w:val="bottom"/>
          </w:tcPr>
          <w:p>
            <w:pPr>
              <w:pStyle w:val="yTableNAm"/>
            </w:pPr>
          </w:p>
        </w:tc>
      </w:tr>
      <w:tr>
        <w:trPr>
          <w:cantSplit/>
        </w:trPr>
        <w:tc>
          <w:tcPr>
            <w:tcW w:w="708" w:type="dxa"/>
          </w:tcPr>
          <w:p>
            <w:pPr>
              <w:pStyle w:val="zyTableNAm"/>
              <w:rPr>
                <w:rStyle w:val="CharSClsNo"/>
              </w:rPr>
            </w:pPr>
          </w:p>
        </w:tc>
        <w:tc>
          <w:tcPr>
            <w:tcW w:w="4326" w:type="dxa"/>
          </w:tcPr>
          <w:p>
            <w:pPr>
              <w:pStyle w:val="yTableNAm"/>
              <w:tabs>
                <w:tab w:val="clear" w:pos="567"/>
                <w:tab w:val="left" w:pos="296"/>
                <w:tab w:val="left" w:pos="776"/>
                <w:tab w:val="left" w:leader="dot" w:pos="4876"/>
              </w:tabs>
              <w:ind w:left="776" w:hanging="776"/>
              <w:rPr>
                <w:snapToGrid w:val="0"/>
              </w:rPr>
            </w:pPr>
            <w:r>
              <w:rPr>
                <w:snapToGrid w:val="0"/>
              </w:rPr>
              <w:tab/>
              <w:t>(b)</w:t>
            </w:r>
            <w:r>
              <w:rPr>
                <w:snapToGrid w:val="0"/>
              </w:rPr>
              <w:tab/>
              <w:t>not in the metropolitan area, the charge that would apply under item 27(b) if the water supplied through that connection were the only water supplied to the land.</w:t>
            </w:r>
          </w:p>
        </w:tc>
        <w:tc>
          <w:tcPr>
            <w:tcW w:w="1329" w:type="dxa"/>
            <w:vAlign w:val="bottom"/>
          </w:tcPr>
          <w:p>
            <w:pPr>
              <w:pStyle w:val="yTableNAm"/>
            </w:pPr>
          </w:p>
        </w:tc>
      </w:tr>
      <w:tr>
        <w:trPr>
          <w:cantSplit/>
        </w:trPr>
        <w:tc>
          <w:tcPr>
            <w:tcW w:w="708" w:type="dxa"/>
          </w:tcPr>
          <w:p>
            <w:pPr>
              <w:pStyle w:val="yTableNAm"/>
            </w:pPr>
            <w:r>
              <w:rPr>
                <w:b/>
              </w:rPr>
              <w:t>34.</w:t>
            </w:r>
          </w:p>
        </w:tc>
        <w:tc>
          <w:tcPr>
            <w:tcW w:w="4326" w:type="dxa"/>
          </w:tcPr>
          <w:p>
            <w:pPr>
              <w:pStyle w:val="yTableNAm"/>
              <w:tabs>
                <w:tab w:val="left" w:leader="dot" w:pos="4876"/>
              </w:tabs>
            </w:pPr>
            <w:r>
              <w:rPr>
                <w:b/>
              </w:rPr>
              <w:t>Metropolitan hydrant standpipes</w:t>
            </w:r>
          </w:p>
        </w:tc>
        <w:tc>
          <w:tcPr>
            <w:tcW w:w="1329" w:type="dxa"/>
            <w:vAlign w:val="bottom"/>
          </w:tcPr>
          <w:p>
            <w:pPr>
              <w:pStyle w:val="yTableNAm"/>
            </w:pPr>
          </w:p>
        </w:tc>
      </w:tr>
      <w:tr>
        <w:trPr>
          <w:cantSplit/>
        </w:trPr>
        <w:tc>
          <w:tcPr>
            <w:tcW w:w="708" w:type="dxa"/>
          </w:tcPr>
          <w:p>
            <w:pPr>
              <w:pStyle w:val="zyTableNAm"/>
              <w:rPr>
                <w:rStyle w:val="CharSClsNo"/>
              </w:rPr>
            </w:pPr>
          </w:p>
        </w:tc>
        <w:tc>
          <w:tcPr>
            <w:tcW w:w="4326" w:type="dxa"/>
          </w:tcPr>
          <w:p>
            <w:pPr>
              <w:pStyle w:val="yTableNAm"/>
              <w:tabs>
                <w:tab w:val="left" w:leader="dot" w:pos="4876"/>
              </w:tabs>
            </w:pPr>
            <w:r>
              <w:rPr>
                <w:spacing w:val="-1"/>
              </w:rPr>
              <w:t xml:space="preserve">For each kilolitre of water supplied through a hydrant standpipe in the metropolitan area </w:t>
            </w:r>
            <w:r>
              <w:rPr>
                <w:spacing w:val="-1"/>
              </w:rPr>
              <w:tab/>
            </w:r>
          </w:p>
        </w:tc>
        <w:tc>
          <w:tcPr>
            <w:tcW w:w="1329" w:type="dxa"/>
            <w:vAlign w:val="bottom"/>
          </w:tcPr>
          <w:p>
            <w:pPr>
              <w:pStyle w:val="yTableNAm"/>
            </w:pPr>
            <w:r>
              <w:rPr>
                <w:spacing w:val="-1"/>
              </w:rPr>
              <w:t>204.1 cents</w:t>
            </w:r>
          </w:p>
        </w:tc>
      </w:tr>
    </w:tbl>
    <w:p>
      <w:pPr>
        <w:pStyle w:val="yFootnotesection"/>
      </w:pPr>
      <w:r>
        <w:tab/>
        <w:t>[Division 2 inserted in Gazette 20 Jun 2012 p. 2708</w:t>
      </w:r>
      <w:r>
        <w:noBreakHyphen/>
        <w:t>19.]</w:t>
      </w:r>
    </w:p>
    <w:p>
      <w:pPr>
        <w:pStyle w:val="yHeading3"/>
      </w:pPr>
      <w:bookmarkStart w:id="662" w:name="_Toc84427986"/>
      <w:bookmarkStart w:id="663" w:name="_Toc328403431"/>
      <w:bookmarkStart w:id="664" w:name="_Toc328471480"/>
      <w:r>
        <w:rPr>
          <w:rStyle w:val="CharSDivNo"/>
        </w:rPr>
        <w:t>Division 3</w:t>
      </w:r>
      <w:r>
        <w:rPr>
          <w:b w:val="0"/>
        </w:rPr>
        <w:t> — </w:t>
      </w:r>
      <w:r>
        <w:rPr>
          <w:rStyle w:val="CharSDivText"/>
        </w:rPr>
        <w:t>Formula for the purposes of by</w:t>
      </w:r>
      <w:r>
        <w:rPr>
          <w:rStyle w:val="CharSDivText"/>
        </w:rPr>
        <w:noBreakHyphen/>
        <w:t>law 17(3)</w:t>
      </w:r>
      <w:bookmarkEnd w:id="662"/>
      <w:bookmarkEnd w:id="663"/>
      <w:bookmarkEnd w:id="664"/>
    </w:p>
    <w:p>
      <w:pPr>
        <w:pStyle w:val="yFootnoteheading"/>
        <w:keepNext/>
        <w:spacing w:after="60"/>
      </w:pPr>
      <w:r>
        <w:tab/>
        <w:t>[Heading inserted in Gazette 20 Jun 2012 p. 2720.]</w:t>
      </w:r>
    </w:p>
    <w:p>
      <w:pPr>
        <w:pStyle w:val="yHeading5"/>
      </w:pPr>
      <w:bookmarkStart w:id="665" w:name="_Toc84427987"/>
      <w:bookmarkStart w:id="666" w:name="_Toc328471481"/>
      <w:r>
        <w:t>35.</w:t>
      </w:r>
      <w:r>
        <w:rPr>
          <w:b w:val="0"/>
        </w:rPr>
        <w:tab/>
      </w:r>
      <w:r>
        <w:t>Formula for the purposes of by</w:t>
      </w:r>
      <w:r>
        <w:noBreakHyphen/>
        <w:t>law 17(3)</w:t>
      </w:r>
      <w:bookmarkEnd w:id="665"/>
      <w:bookmarkEnd w:id="666"/>
    </w:p>
    <w:p>
      <w:pPr>
        <w:pStyle w:val="ySubsection"/>
      </w:pPr>
      <w:r>
        <w:tab/>
      </w:r>
      <w:r>
        <w:tab/>
        <w:t>The formula for the purposes of by</w:t>
      </w:r>
      <w:r>
        <w:noBreakHyphen/>
        <w:t xml:space="preserve">law 17(3) is as follows — </w:t>
      </w:r>
    </w:p>
    <w:p>
      <w:pPr>
        <w:pStyle w:val="Equation"/>
        <w:spacing w:before="120"/>
        <w:jc w:val="center"/>
        <w:rPr>
          <w:del w:id="667" w:author="Master Repository Process" w:date="2021-10-06T15:57:00Z"/>
        </w:rPr>
      </w:pPr>
      <w:del w:id="668" w:author="Master Repository Process" w:date="2021-10-06T15:57:00Z">
        <w:r>
          <w:rPr>
            <w:position w:val="-10"/>
          </w:rPr>
          <w:drawing>
            <wp:inline distT="0" distB="0" distL="0" distR="0">
              <wp:extent cx="409575" cy="2000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09575" cy="200025"/>
                      </a:xfrm>
                      <a:prstGeom prst="rect">
                        <a:avLst/>
                      </a:prstGeom>
                      <a:noFill/>
                      <a:ln>
                        <a:noFill/>
                      </a:ln>
                    </pic:spPr>
                  </pic:pic>
                </a:graphicData>
              </a:graphic>
            </wp:inline>
          </w:drawing>
        </w:r>
      </w:del>
    </w:p>
    <w:p>
      <w:pPr>
        <w:pStyle w:val="Equation"/>
        <w:spacing w:before="120"/>
        <w:jc w:val="center"/>
        <w:rPr>
          <w:ins w:id="669" w:author="Master Repository Process" w:date="2021-10-06T15:57:00Z"/>
        </w:rPr>
      </w:pPr>
      <w:ins w:id="670" w:author="Master Repository Process" w:date="2021-10-06T15:57:00Z">
        <w:r>
          <w:rPr>
            <w:position w:val="-10"/>
          </w:rPr>
          <w:drawing>
            <wp:inline distT="0" distB="0" distL="0" distR="0">
              <wp:extent cx="409575" cy="1981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09575" cy="198120"/>
                      </a:xfrm>
                      <a:prstGeom prst="rect">
                        <a:avLst/>
                      </a:prstGeom>
                      <a:noFill/>
                      <a:ln>
                        <a:noFill/>
                      </a:ln>
                    </pic:spPr>
                  </pic:pic>
                </a:graphicData>
              </a:graphic>
            </wp:inline>
          </w:drawing>
        </w:r>
      </w:ins>
    </w:p>
    <w:p>
      <w:pPr>
        <w:pStyle w:val="ySubsection"/>
      </w:pPr>
      <w:r>
        <w:tab/>
      </w:r>
      <w:r>
        <w:tab/>
        <w:t xml:space="preserve">where — </w:t>
      </w:r>
    </w:p>
    <w:p>
      <w:pPr>
        <w:pStyle w:val="yIndenta"/>
      </w:pPr>
      <w:r>
        <w:rPr>
          <w:b/>
        </w:rPr>
        <w:tab/>
        <w:t>A</w:t>
      </w:r>
      <w:r>
        <w:t xml:space="preserve"> =</w:t>
      </w:r>
      <w:r>
        <w:tab/>
        <w:t>an applicable charge rate set out in Division 2;</w:t>
      </w:r>
    </w:p>
    <w:p>
      <w:pPr>
        <w:pStyle w:val="yIndenta"/>
      </w:pPr>
      <w:r>
        <w:rPr>
          <w:b/>
        </w:rPr>
        <w:tab/>
        <w:t>B</w:t>
      </w:r>
      <w:r>
        <w:t xml:space="preserve"> =</w:t>
      </w:r>
      <w:r>
        <w:tab/>
        <w:t xml:space="preserve">the quantity of water in kilolitres determined in accordance with the following formula — </w:t>
      </w:r>
    </w:p>
    <w:p>
      <w:pPr>
        <w:pStyle w:val="yIndenta"/>
      </w:pPr>
      <w:r>
        <w:tab/>
      </w:r>
      <w:r>
        <w:tab/>
        <w:t xml:space="preserve">If </w:t>
      </w:r>
      <w:r>
        <w:rPr>
          <w:b/>
        </w:rPr>
        <w:t>C</w:t>
      </w:r>
      <w:r>
        <w:t xml:space="preserve"> </w:t>
      </w:r>
      <w:r>
        <w:sym w:font="Symbol" w:char="F0A3"/>
      </w:r>
      <w:r>
        <w:t xml:space="preserve"> 350, then — </w:t>
      </w:r>
    </w:p>
    <w:p>
      <w:pPr>
        <w:pStyle w:val="Equation"/>
        <w:spacing w:before="120"/>
        <w:jc w:val="center"/>
        <w:rPr>
          <w:del w:id="671" w:author="Master Repository Process" w:date="2021-10-06T15:57:00Z"/>
        </w:rPr>
      </w:pPr>
      <w:del w:id="672" w:author="Master Repository Process" w:date="2021-10-06T15:57:00Z">
        <w:r>
          <w:rPr>
            <w:position w:val="-10"/>
          </w:rPr>
          <w:drawing>
            <wp:inline distT="0" distB="0" distL="0" distR="0">
              <wp:extent cx="409575" cy="200025"/>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09575" cy="200025"/>
                      </a:xfrm>
                      <a:prstGeom prst="rect">
                        <a:avLst/>
                      </a:prstGeom>
                      <a:noFill/>
                      <a:ln>
                        <a:noFill/>
                      </a:ln>
                    </pic:spPr>
                  </pic:pic>
                </a:graphicData>
              </a:graphic>
            </wp:inline>
          </w:drawing>
        </w:r>
      </w:del>
    </w:p>
    <w:p>
      <w:pPr>
        <w:pStyle w:val="Equation"/>
        <w:spacing w:before="120"/>
        <w:jc w:val="center"/>
        <w:rPr>
          <w:ins w:id="673" w:author="Master Repository Process" w:date="2021-10-06T15:57:00Z"/>
        </w:rPr>
      </w:pPr>
      <w:ins w:id="674" w:author="Master Repository Process" w:date="2021-10-06T15:57:00Z">
        <w:r>
          <w:rPr>
            <w:position w:val="-10"/>
          </w:rPr>
          <w:drawing>
            <wp:inline distT="0" distB="0" distL="0" distR="0">
              <wp:extent cx="409575" cy="19812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09575" cy="198120"/>
                      </a:xfrm>
                      <a:prstGeom prst="rect">
                        <a:avLst/>
                      </a:prstGeom>
                      <a:noFill/>
                      <a:ln>
                        <a:noFill/>
                      </a:ln>
                    </pic:spPr>
                  </pic:pic>
                </a:graphicData>
              </a:graphic>
            </wp:inline>
          </w:drawing>
        </w:r>
      </w:ins>
    </w:p>
    <w:p>
      <w:pPr>
        <w:pStyle w:val="yIndenta"/>
      </w:pPr>
      <w:r>
        <w:tab/>
      </w:r>
      <w:r>
        <w:tab/>
        <w:t xml:space="preserve">or if </w:t>
      </w:r>
      <w:r>
        <w:rPr>
          <w:b/>
        </w:rPr>
        <w:t>C</w:t>
      </w:r>
      <w:r>
        <w:t xml:space="preserve"> &gt; 350, then — </w:t>
      </w:r>
    </w:p>
    <w:p>
      <w:pPr>
        <w:pStyle w:val="yIndenta"/>
      </w:pPr>
      <w:r>
        <w:tab/>
      </w:r>
      <w:r>
        <w:tab/>
        <w:t xml:space="preserve">C </w:t>
      </w:r>
      <w:r>
        <w:sym w:font="Symbol" w:char="F02D"/>
      </w:r>
      <w:r>
        <w:t xml:space="preserve"> 350 + (350 </w:t>
      </w:r>
      <w:r>
        <w:sym w:font="Symbol" w:char="F0B4"/>
      </w:r>
      <w:r>
        <w:t xml:space="preserve"> D)</w:t>
      </w:r>
    </w:p>
    <w:p>
      <w:pPr>
        <w:pStyle w:val="yIndenta"/>
      </w:pPr>
      <w:r>
        <w:tab/>
      </w:r>
      <w:r>
        <w:tab/>
        <w:t xml:space="preserve">where — </w:t>
      </w:r>
    </w:p>
    <w:p>
      <w:pPr>
        <w:pStyle w:val="yIndenti0"/>
      </w:pPr>
      <w:r>
        <w:rPr>
          <w:b/>
        </w:rPr>
        <w:tab/>
        <w:t>C</w:t>
      </w:r>
      <w:r>
        <w:t xml:space="preserve"> =</w:t>
      </w:r>
      <w:r>
        <w:tab/>
        <w:t>the maximum consumption level in the range set out in Division 2 corresponding to “</w:t>
      </w:r>
      <w:r>
        <w:rPr>
          <w:b/>
        </w:rPr>
        <w:t>A</w:t>
      </w:r>
      <w:r>
        <w:t>” or, if the range is open ended, a level of 100 000 000 kL;</w:t>
      </w:r>
    </w:p>
    <w:p>
      <w:pPr>
        <w:pStyle w:val="yIndenti0"/>
      </w:pPr>
      <w:r>
        <w:rPr>
          <w:b/>
        </w:rPr>
        <w:tab/>
        <w:t>D</w:t>
      </w:r>
      <w:r>
        <w:t xml:space="preserve"> =</w:t>
      </w:r>
      <w:r>
        <w:tab/>
        <w:t>the number of whole or part months before the end of the consumption year, divided by 12.</w:t>
      </w:r>
    </w:p>
    <w:p>
      <w:pPr>
        <w:pStyle w:val="yFootnotesection"/>
      </w:pPr>
      <w:r>
        <w:tab/>
        <w:t>[Division 3 inserted in Gazette 20 Jun 2012 p. 2720.]</w:t>
      </w:r>
    </w:p>
    <w:p>
      <w:pPr>
        <w:pStyle w:val="yHeading3"/>
      </w:pPr>
      <w:bookmarkStart w:id="675" w:name="_Toc84427988"/>
      <w:bookmarkStart w:id="676" w:name="_Toc328403433"/>
      <w:bookmarkStart w:id="677" w:name="_Toc328471482"/>
      <w:r>
        <w:rPr>
          <w:rStyle w:val="CharSDivNo"/>
        </w:rPr>
        <w:t>Division 4</w:t>
      </w:r>
      <w:r>
        <w:rPr>
          <w:b w:val="0"/>
        </w:rPr>
        <w:t> — </w:t>
      </w:r>
      <w:r>
        <w:rPr>
          <w:rStyle w:val="CharSDivText"/>
        </w:rPr>
        <w:t>Capital infrastructure charges determined under by</w:t>
      </w:r>
      <w:r>
        <w:rPr>
          <w:rStyle w:val="CharSDivText"/>
        </w:rPr>
        <w:noBreakHyphen/>
        <w:t>law 19A</w:t>
      </w:r>
      <w:bookmarkEnd w:id="675"/>
      <w:bookmarkEnd w:id="676"/>
      <w:bookmarkEnd w:id="677"/>
    </w:p>
    <w:p>
      <w:pPr>
        <w:pStyle w:val="yFootnoteheading"/>
        <w:keepNext/>
        <w:spacing w:after="60"/>
      </w:pPr>
      <w:r>
        <w:tab/>
        <w:t>[Heading inserted in Gazette 20 Jun 2012 p. 2720.]</w:t>
      </w:r>
    </w:p>
    <w:p>
      <w:pPr>
        <w:pStyle w:val="yHeading5"/>
      </w:pPr>
      <w:bookmarkStart w:id="678" w:name="_Toc84427989"/>
      <w:bookmarkStart w:id="679" w:name="_Toc328471483"/>
      <w:r>
        <w:t>36.</w:t>
      </w:r>
      <w:r>
        <w:rPr>
          <w:b w:val="0"/>
        </w:rPr>
        <w:tab/>
      </w:r>
      <w:r>
        <w:t>Capital infrastructure charges determined under by</w:t>
      </w:r>
      <w:r>
        <w:noBreakHyphen/>
        <w:t>law 19A</w:t>
      </w:r>
      <w:bookmarkEnd w:id="678"/>
      <w:bookmarkEnd w:id="679"/>
    </w:p>
    <w:p>
      <w:pPr>
        <w:pStyle w:val="ySubsection"/>
        <w:keepNext/>
      </w:pPr>
      <w:r>
        <w:tab/>
      </w:r>
      <w:r>
        <w:tab/>
        <w:t>The capital infrastructure charges determined under by</w:t>
      </w:r>
      <w:r>
        <w:noBreakHyphen/>
        <w:t xml:space="preserve">law 19A are as follows — </w:t>
      </w:r>
    </w:p>
    <w:p>
      <w:pPr>
        <w:pStyle w:val="yMiscellaneousBody"/>
        <w:keepNext/>
      </w:pPr>
    </w:p>
    <w:tbl>
      <w:tblPr>
        <w:tblW w:w="6626" w:type="dxa"/>
        <w:tblInd w:w="198" w:type="dxa"/>
        <w:tblLayout w:type="fixed"/>
        <w:tblCellMar>
          <w:left w:w="56" w:type="dxa"/>
          <w:right w:w="56" w:type="dxa"/>
        </w:tblCellMar>
        <w:tblLook w:val="0000" w:firstRow="0" w:lastRow="0" w:firstColumn="0" w:lastColumn="0" w:noHBand="0" w:noVBand="0"/>
      </w:tblPr>
      <w:tblGrid>
        <w:gridCol w:w="1559"/>
        <w:gridCol w:w="1701"/>
        <w:gridCol w:w="1701"/>
        <w:gridCol w:w="1665"/>
      </w:tblGrid>
      <w:tr>
        <w:trPr>
          <w:tblHeader/>
        </w:trPr>
        <w:tc>
          <w:tcPr>
            <w:tcW w:w="1559" w:type="dxa"/>
            <w:tcBorders>
              <w:top w:val="single" w:sz="4" w:space="0" w:color="auto"/>
            </w:tcBorders>
          </w:tcPr>
          <w:p>
            <w:pPr>
              <w:pStyle w:val="yTableNAm"/>
              <w:keepNext/>
              <w:jc w:val="center"/>
            </w:pPr>
            <w:r>
              <w:rPr>
                <w:b/>
                <w:bCs/>
              </w:rPr>
              <w:br w:type="page"/>
              <w:t>Column 1</w:t>
            </w:r>
          </w:p>
        </w:tc>
        <w:tc>
          <w:tcPr>
            <w:tcW w:w="1701" w:type="dxa"/>
            <w:tcBorders>
              <w:top w:val="single" w:sz="4" w:space="0" w:color="auto"/>
            </w:tcBorders>
          </w:tcPr>
          <w:p>
            <w:pPr>
              <w:pStyle w:val="yTableNAm"/>
              <w:keepNext/>
              <w:jc w:val="center"/>
            </w:pPr>
            <w:r>
              <w:rPr>
                <w:b/>
                <w:bCs/>
              </w:rPr>
              <w:t>Column 2</w:t>
            </w:r>
          </w:p>
        </w:tc>
        <w:tc>
          <w:tcPr>
            <w:tcW w:w="1701" w:type="dxa"/>
            <w:tcBorders>
              <w:top w:val="single" w:sz="4" w:space="0" w:color="auto"/>
            </w:tcBorders>
          </w:tcPr>
          <w:p>
            <w:pPr>
              <w:pStyle w:val="yTableNAm"/>
              <w:keepNext/>
              <w:jc w:val="center"/>
            </w:pPr>
            <w:r>
              <w:rPr>
                <w:b/>
                <w:bCs/>
              </w:rPr>
              <w:t>Column 3</w:t>
            </w:r>
          </w:p>
        </w:tc>
        <w:tc>
          <w:tcPr>
            <w:tcW w:w="1665" w:type="dxa"/>
            <w:tcBorders>
              <w:top w:val="single" w:sz="4" w:space="0" w:color="auto"/>
            </w:tcBorders>
          </w:tcPr>
          <w:p>
            <w:pPr>
              <w:pStyle w:val="yTableNAm"/>
              <w:keepNext/>
              <w:jc w:val="center"/>
            </w:pPr>
            <w:r>
              <w:rPr>
                <w:b/>
                <w:bCs/>
              </w:rPr>
              <w:t>Column 4</w:t>
            </w:r>
          </w:p>
        </w:tc>
      </w:tr>
      <w:tr>
        <w:trPr>
          <w:tblHeader/>
        </w:trPr>
        <w:tc>
          <w:tcPr>
            <w:tcW w:w="1559" w:type="dxa"/>
            <w:tcBorders>
              <w:bottom w:val="single" w:sz="4" w:space="0" w:color="auto"/>
            </w:tcBorders>
          </w:tcPr>
          <w:p>
            <w:pPr>
              <w:pStyle w:val="yTableNAm"/>
              <w:keepNext/>
              <w:jc w:val="center"/>
            </w:pPr>
            <w:r>
              <w:rPr>
                <w:b/>
                <w:bCs/>
                <w:i/>
              </w:rPr>
              <w:t>Area</w:t>
            </w:r>
          </w:p>
        </w:tc>
        <w:tc>
          <w:tcPr>
            <w:tcW w:w="1701" w:type="dxa"/>
            <w:tcBorders>
              <w:bottom w:val="single" w:sz="4" w:space="0" w:color="auto"/>
            </w:tcBorders>
          </w:tcPr>
          <w:p>
            <w:pPr>
              <w:pStyle w:val="yTableNAm"/>
              <w:keepNext/>
              <w:jc w:val="center"/>
            </w:pPr>
            <w:r>
              <w:rPr>
                <w:b/>
                <w:bCs/>
                <w:i/>
              </w:rPr>
              <w:t>Single Charge</w:t>
            </w:r>
          </w:p>
        </w:tc>
        <w:tc>
          <w:tcPr>
            <w:tcW w:w="1701" w:type="dxa"/>
            <w:tcBorders>
              <w:bottom w:val="single" w:sz="4" w:space="0" w:color="auto"/>
            </w:tcBorders>
          </w:tcPr>
          <w:p>
            <w:pPr>
              <w:pStyle w:val="yTableNAm"/>
              <w:keepNext/>
              <w:jc w:val="center"/>
            </w:pPr>
            <w:r>
              <w:rPr>
                <w:b/>
                <w:bCs/>
                <w:i/>
              </w:rPr>
              <w:t>Annual Charge</w:t>
            </w:r>
          </w:p>
        </w:tc>
        <w:tc>
          <w:tcPr>
            <w:tcW w:w="1665" w:type="dxa"/>
            <w:tcBorders>
              <w:bottom w:val="single" w:sz="4" w:space="0" w:color="auto"/>
            </w:tcBorders>
          </w:tcPr>
          <w:p>
            <w:pPr>
              <w:pStyle w:val="yTableNAm"/>
              <w:keepNext/>
              <w:jc w:val="center"/>
            </w:pPr>
            <w:r>
              <w:rPr>
                <w:b/>
                <w:bCs/>
                <w:i/>
              </w:rPr>
              <w:t>No. of years</w:t>
            </w:r>
          </w:p>
        </w:tc>
      </w:tr>
      <w:tr>
        <w:tc>
          <w:tcPr>
            <w:tcW w:w="1559" w:type="dxa"/>
            <w:tcBorders>
              <w:bottom w:val="single" w:sz="4" w:space="0" w:color="auto"/>
            </w:tcBorders>
          </w:tcPr>
          <w:p>
            <w:pPr>
              <w:pStyle w:val="yTableNAm"/>
              <w:jc w:val="center"/>
            </w:pPr>
            <w:r>
              <w:t>Nilgen</w:t>
            </w:r>
          </w:p>
        </w:tc>
        <w:tc>
          <w:tcPr>
            <w:tcW w:w="1701" w:type="dxa"/>
            <w:tcBorders>
              <w:bottom w:val="single" w:sz="4" w:space="0" w:color="auto"/>
            </w:tcBorders>
          </w:tcPr>
          <w:p>
            <w:pPr>
              <w:pStyle w:val="yTableNAm"/>
              <w:jc w:val="center"/>
            </w:pPr>
            <w:r>
              <w:t>$3 120.00</w:t>
            </w:r>
          </w:p>
        </w:tc>
        <w:tc>
          <w:tcPr>
            <w:tcW w:w="1701" w:type="dxa"/>
            <w:tcBorders>
              <w:bottom w:val="single" w:sz="4" w:space="0" w:color="auto"/>
            </w:tcBorders>
          </w:tcPr>
          <w:p>
            <w:pPr>
              <w:pStyle w:val="yTableNAm"/>
              <w:jc w:val="center"/>
            </w:pPr>
            <w:r>
              <w:t>$463.80</w:t>
            </w:r>
          </w:p>
        </w:tc>
        <w:tc>
          <w:tcPr>
            <w:tcW w:w="1665" w:type="dxa"/>
            <w:tcBorders>
              <w:bottom w:val="single" w:sz="4" w:space="0" w:color="auto"/>
            </w:tcBorders>
          </w:tcPr>
          <w:p>
            <w:pPr>
              <w:pStyle w:val="yTableNAm"/>
              <w:jc w:val="center"/>
            </w:pPr>
            <w:r>
              <w:t>10</w:t>
            </w:r>
          </w:p>
        </w:tc>
      </w:tr>
    </w:tbl>
    <w:p>
      <w:pPr>
        <w:pStyle w:val="yFootnotesection"/>
      </w:pPr>
      <w:r>
        <w:tab/>
        <w:t>[Division 4 inserted in Gazette 20 Jun 2012 p. 2720.]</w:t>
      </w:r>
    </w:p>
    <w:p>
      <w:pPr>
        <w:pStyle w:val="yScheduleHeading"/>
      </w:pPr>
      <w:bookmarkStart w:id="680" w:name="_Toc84427990"/>
      <w:bookmarkStart w:id="681" w:name="_Toc328403435"/>
      <w:bookmarkStart w:id="682" w:name="_Toc328471484"/>
      <w:bookmarkStart w:id="683" w:name="_Toc170879125"/>
      <w:bookmarkStart w:id="684" w:name="_Toc170894773"/>
      <w:bookmarkStart w:id="685" w:name="_Toc175712739"/>
      <w:bookmarkStart w:id="686" w:name="_Toc175970680"/>
      <w:bookmarkStart w:id="687" w:name="_Toc176335399"/>
      <w:bookmarkStart w:id="688" w:name="_Toc176338974"/>
      <w:bookmarkStart w:id="689" w:name="_Toc178742999"/>
      <w:bookmarkStart w:id="690" w:name="_Toc179363422"/>
      <w:bookmarkStart w:id="691" w:name="_Toc179604491"/>
      <w:bookmarkStart w:id="692" w:name="_Toc180204684"/>
      <w:bookmarkStart w:id="693" w:name="_Toc180204900"/>
      <w:bookmarkStart w:id="694" w:name="_Toc185844645"/>
      <w:bookmarkStart w:id="695" w:name="_Toc185845265"/>
      <w:bookmarkStart w:id="696" w:name="_Toc185927230"/>
      <w:bookmarkStart w:id="697" w:name="_Toc202506071"/>
      <w:bookmarkStart w:id="698" w:name="_Toc202672803"/>
      <w:bookmarkStart w:id="699" w:name="_Toc202691788"/>
      <w:bookmarkStart w:id="700" w:name="_Toc265743588"/>
      <w:bookmarkStart w:id="701" w:name="_Toc297540771"/>
      <w:bookmarkStart w:id="702" w:name="_Toc297541199"/>
      <w:bookmarkStart w:id="703" w:name="_Toc139771097"/>
      <w:bookmarkStart w:id="704" w:name="_Toc139771475"/>
      <w:bookmarkStart w:id="705" w:name="_Toc151191690"/>
      <w:bookmarkStart w:id="706" w:name="_Toc151260583"/>
      <w:bookmarkStart w:id="707" w:name="_Toc164158690"/>
      <w:bookmarkStart w:id="708" w:name="_Toc164221062"/>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r>
        <w:rPr>
          <w:rStyle w:val="CharSchNo"/>
        </w:rPr>
        <w:t>Schedule 2</w:t>
      </w:r>
      <w:r>
        <w:t> — </w:t>
      </w:r>
      <w:r>
        <w:rPr>
          <w:rStyle w:val="CharSchText"/>
        </w:rPr>
        <w:t xml:space="preserve">Charges for water supply under the </w:t>
      </w:r>
      <w:r>
        <w:rPr>
          <w:rStyle w:val="CharSchText"/>
          <w:i/>
        </w:rPr>
        <w:t>Rights in Water and Irrigation Act 1914</w:t>
      </w:r>
      <w:r>
        <w:rPr>
          <w:rStyle w:val="CharSchText"/>
        </w:rPr>
        <w:t xml:space="preserve"> for 2012/2013</w:t>
      </w:r>
      <w:bookmarkEnd w:id="680"/>
      <w:bookmarkEnd w:id="681"/>
      <w:bookmarkEnd w:id="682"/>
    </w:p>
    <w:p>
      <w:pPr>
        <w:pStyle w:val="yShoulderClause"/>
      </w:pPr>
      <w:r>
        <w:t>[bl. 20]</w:t>
      </w:r>
    </w:p>
    <w:p>
      <w:pPr>
        <w:pStyle w:val="yFootnoteheading"/>
        <w:spacing w:after="60"/>
      </w:pPr>
      <w:r>
        <w:tab/>
        <w:t>[Heading inserted in Gazette 20 Jun 2012 p. 2721.]</w:t>
      </w:r>
    </w:p>
    <w:p>
      <w:pPr>
        <w:pStyle w:val="yHeading3"/>
      </w:pPr>
      <w:bookmarkStart w:id="709" w:name="_Toc84427991"/>
      <w:bookmarkStart w:id="710" w:name="_Toc328403436"/>
      <w:bookmarkStart w:id="711" w:name="_Toc328471485"/>
      <w:r>
        <w:rPr>
          <w:rStyle w:val="CharSDivNo"/>
        </w:rPr>
        <w:t>Division 1</w:t>
      </w:r>
      <w:r>
        <w:t> — </w:t>
      </w:r>
      <w:r>
        <w:rPr>
          <w:rStyle w:val="CharSDivText"/>
        </w:rPr>
        <w:t>Fixed charges</w:t>
      </w:r>
      <w:bookmarkEnd w:id="709"/>
      <w:bookmarkEnd w:id="710"/>
      <w:bookmarkEnd w:id="711"/>
    </w:p>
    <w:p>
      <w:pPr>
        <w:pStyle w:val="yFootnoteheading"/>
        <w:spacing w:after="60"/>
      </w:pPr>
      <w:r>
        <w:tab/>
        <w:t>[Heading inserted in Gazette 20 Jun 2012 p. 2721.]</w:t>
      </w:r>
    </w:p>
    <w:tbl>
      <w:tblPr>
        <w:tblW w:w="0" w:type="auto"/>
        <w:tblInd w:w="534" w:type="dxa"/>
        <w:tblLook w:val="0000" w:firstRow="0" w:lastRow="0" w:firstColumn="0" w:lastColumn="0" w:noHBand="0" w:noVBand="0"/>
      </w:tblPr>
      <w:tblGrid>
        <w:gridCol w:w="850"/>
        <w:gridCol w:w="4235"/>
        <w:gridCol w:w="1457"/>
      </w:tblGrid>
      <w:tr>
        <w:trPr>
          <w:cantSplit/>
        </w:trPr>
        <w:tc>
          <w:tcPr>
            <w:tcW w:w="850" w:type="dxa"/>
          </w:tcPr>
          <w:p>
            <w:pPr>
              <w:pStyle w:val="yTableNAm"/>
              <w:rPr>
                <w:b/>
                <w:bCs/>
              </w:rPr>
            </w:pPr>
            <w:r>
              <w:rPr>
                <w:b/>
                <w:bCs/>
              </w:rPr>
              <w:t>1.</w:t>
            </w:r>
          </w:p>
        </w:tc>
        <w:tc>
          <w:tcPr>
            <w:tcW w:w="5692" w:type="dxa"/>
            <w:gridSpan w:val="2"/>
          </w:tcPr>
          <w:p>
            <w:pPr>
              <w:pStyle w:val="yTableNAm"/>
              <w:tabs>
                <w:tab w:val="right" w:leader="dot" w:pos="4253"/>
              </w:tabs>
              <w:rPr>
                <w:b/>
                <w:bCs/>
              </w:rPr>
            </w:pPr>
            <w:r>
              <w:rPr>
                <w:b/>
                <w:bCs/>
              </w:rPr>
              <w:t xml:space="preserve">Supply under the </w:t>
            </w:r>
            <w:r>
              <w:rPr>
                <w:b/>
                <w:bCs/>
                <w:i/>
              </w:rPr>
              <w:t>Ord Irrigation District By</w:t>
            </w:r>
            <w:r>
              <w:rPr>
                <w:b/>
                <w:bCs/>
                <w:i/>
              </w:rPr>
              <w:noBreakHyphen/>
              <w:t xml:space="preserve">laws 1963 </w:t>
            </w:r>
            <w:r>
              <w:rPr>
                <w:b/>
                <w:bCs/>
              </w:rPr>
              <w:t>by</w:t>
            </w:r>
            <w:r>
              <w:rPr>
                <w:b/>
                <w:bCs/>
              </w:rPr>
              <w:noBreakHyphen/>
              <w:t>law 31A</w:t>
            </w:r>
            <w:r>
              <w:rPr>
                <w:b/>
                <w:bCs/>
                <w:iCs/>
              </w:rPr>
              <w:t xml:space="preserve"> other</w:t>
            </w:r>
            <w:r>
              <w:rPr>
                <w:b/>
                <w:bCs/>
              </w:rPr>
              <w:t xml:space="preserve"> than under Division 2</w:t>
            </w:r>
          </w:p>
        </w:tc>
      </w:tr>
      <w:tr>
        <w:trPr>
          <w:cantSplit/>
        </w:trPr>
        <w:tc>
          <w:tcPr>
            <w:tcW w:w="850" w:type="dxa"/>
          </w:tcPr>
          <w:p>
            <w:pPr>
              <w:pStyle w:val="yTableNAm"/>
            </w:pPr>
          </w:p>
        </w:tc>
        <w:tc>
          <w:tcPr>
            <w:tcW w:w="4235" w:type="dxa"/>
          </w:tcPr>
          <w:p>
            <w:pPr>
              <w:pStyle w:val="yTableNAm"/>
              <w:tabs>
                <w:tab w:val="right" w:leader="dot" w:pos="4253"/>
              </w:tabs>
            </w:pPr>
            <w:r>
              <w:t xml:space="preserve">In respect of land to which water is supplied under the </w:t>
            </w:r>
            <w:r>
              <w:rPr>
                <w:i/>
              </w:rPr>
              <w:t>Ord Irrigation District By</w:t>
            </w:r>
            <w:r>
              <w:rPr>
                <w:i/>
              </w:rPr>
              <w:noBreakHyphen/>
              <w:t>laws 1963</w:t>
            </w:r>
            <w:r>
              <w:t xml:space="preserve"> by</w:t>
            </w:r>
            <w:r>
              <w:noBreakHyphen/>
              <w:t>law 31A, for purposes other than those mentioned in Division 2, an amount per supply point of —</w:t>
            </w:r>
          </w:p>
        </w:tc>
        <w:tc>
          <w:tcPr>
            <w:tcW w:w="1457" w:type="dxa"/>
            <w:vAlign w:val="bottom"/>
          </w:tcPr>
          <w:p>
            <w:pPr>
              <w:pStyle w:val="yTableNAm"/>
              <w:tabs>
                <w:tab w:val="clear" w:pos="567"/>
                <w:tab w:val="left" w:pos="335"/>
                <w:tab w:val="right" w:leader="dot" w:pos="4253"/>
              </w:tabs>
            </w:pPr>
          </w:p>
        </w:tc>
      </w:tr>
      <w:tr>
        <w:trPr>
          <w:cantSplit/>
        </w:trPr>
        <w:tc>
          <w:tcPr>
            <w:tcW w:w="850" w:type="dxa"/>
          </w:tcPr>
          <w:p>
            <w:pPr>
              <w:pStyle w:val="yTableNAm"/>
            </w:pPr>
          </w:p>
        </w:tc>
        <w:tc>
          <w:tcPr>
            <w:tcW w:w="4235" w:type="dxa"/>
          </w:tcPr>
          <w:p>
            <w:pPr>
              <w:pStyle w:val="yTableNAm"/>
              <w:tabs>
                <w:tab w:val="clear" w:pos="567"/>
                <w:tab w:val="left" w:pos="351"/>
                <w:tab w:val="left" w:pos="918"/>
                <w:tab w:val="right" w:leader="dot" w:pos="4253"/>
              </w:tabs>
              <w:ind w:left="918" w:hanging="918"/>
            </w:pPr>
            <w:r>
              <w:tab/>
              <w:t>(a)</w:t>
            </w:r>
            <w:r>
              <w:tab/>
              <w:t xml:space="preserve">where the supply is assured </w:t>
            </w:r>
            <w:r>
              <w:tab/>
            </w:r>
          </w:p>
        </w:tc>
        <w:tc>
          <w:tcPr>
            <w:tcW w:w="1457" w:type="dxa"/>
            <w:vAlign w:val="bottom"/>
          </w:tcPr>
          <w:p>
            <w:pPr>
              <w:pStyle w:val="yTableNAm"/>
              <w:tabs>
                <w:tab w:val="clear" w:pos="567"/>
                <w:tab w:val="left" w:pos="335"/>
                <w:tab w:val="right" w:leader="dot" w:pos="4253"/>
              </w:tabs>
            </w:pPr>
            <w:r>
              <w:t>$242.50</w:t>
            </w:r>
          </w:p>
        </w:tc>
      </w:tr>
      <w:tr>
        <w:trPr>
          <w:cantSplit/>
        </w:trPr>
        <w:tc>
          <w:tcPr>
            <w:tcW w:w="850" w:type="dxa"/>
          </w:tcPr>
          <w:p>
            <w:pPr>
              <w:pStyle w:val="yTableNAm"/>
            </w:pPr>
          </w:p>
        </w:tc>
        <w:tc>
          <w:tcPr>
            <w:tcW w:w="4235" w:type="dxa"/>
          </w:tcPr>
          <w:p>
            <w:pPr>
              <w:pStyle w:val="yTableNAm"/>
              <w:tabs>
                <w:tab w:val="clear" w:pos="567"/>
                <w:tab w:val="left" w:pos="351"/>
                <w:tab w:val="left" w:pos="918"/>
                <w:tab w:val="right" w:leader="dot" w:pos="4253"/>
              </w:tabs>
              <w:ind w:left="918" w:hanging="918"/>
            </w:pPr>
            <w:r>
              <w:tab/>
              <w:t>(b)</w:t>
            </w:r>
            <w:r>
              <w:tab/>
              <w:t xml:space="preserve">where the supply is not assured </w:t>
            </w:r>
            <w:r>
              <w:tab/>
            </w:r>
          </w:p>
        </w:tc>
        <w:tc>
          <w:tcPr>
            <w:tcW w:w="1457" w:type="dxa"/>
            <w:vAlign w:val="bottom"/>
          </w:tcPr>
          <w:p>
            <w:pPr>
              <w:pStyle w:val="yTableNAm"/>
              <w:tabs>
                <w:tab w:val="clear" w:pos="567"/>
                <w:tab w:val="left" w:pos="335"/>
                <w:tab w:val="right" w:leader="dot" w:pos="4253"/>
              </w:tabs>
            </w:pPr>
            <w:r>
              <w:t>$177.50</w:t>
            </w:r>
          </w:p>
        </w:tc>
      </w:tr>
    </w:tbl>
    <w:p>
      <w:pPr>
        <w:pStyle w:val="yFootnotesection"/>
      </w:pPr>
      <w:r>
        <w:tab/>
        <w:t>[Division 1 inserted in Gazette 20 Jun 2012 p. 2721.]</w:t>
      </w:r>
    </w:p>
    <w:p>
      <w:pPr>
        <w:pStyle w:val="yHeading3"/>
      </w:pPr>
      <w:bookmarkStart w:id="712" w:name="_Toc84427992"/>
      <w:bookmarkStart w:id="713" w:name="_Toc328403437"/>
      <w:bookmarkStart w:id="714" w:name="_Toc328471486"/>
      <w:r>
        <w:rPr>
          <w:rStyle w:val="CharSDivNo"/>
        </w:rPr>
        <w:t>Division 2</w:t>
      </w:r>
      <w:r>
        <w:t> — </w:t>
      </w:r>
      <w:r>
        <w:rPr>
          <w:rStyle w:val="CharSDivText"/>
        </w:rPr>
        <w:t>Variable charges and charges by way of a rate</w:t>
      </w:r>
      <w:bookmarkEnd w:id="712"/>
      <w:bookmarkEnd w:id="713"/>
      <w:bookmarkEnd w:id="714"/>
    </w:p>
    <w:p>
      <w:pPr>
        <w:pStyle w:val="yFootnoteheading"/>
        <w:spacing w:after="60"/>
      </w:pPr>
      <w:r>
        <w:tab/>
        <w:t>[Heading inserted in Gazette 20 Jun 2012 p. 2721.]</w:t>
      </w:r>
    </w:p>
    <w:tbl>
      <w:tblPr>
        <w:tblW w:w="6520" w:type="dxa"/>
        <w:tblInd w:w="534" w:type="dxa"/>
        <w:tblLook w:val="0000" w:firstRow="0" w:lastRow="0" w:firstColumn="0" w:lastColumn="0" w:noHBand="0" w:noVBand="0"/>
      </w:tblPr>
      <w:tblGrid>
        <w:gridCol w:w="850"/>
        <w:gridCol w:w="4243"/>
        <w:gridCol w:w="1427"/>
      </w:tblGrid>
      <w:tr>
        <w:trPr>
          <w:cantSplit/>
        </w:trPr>
        <w:tc>
          <w:tcPr>
            <w:tcW w:w="850" w:type="dxa"/>
          </w:tcPr>
          <w:p>
            <w:pPr>
              <w:pStyle w:val="yTableNAm"/>
              <w:rPr>
                <w:b/>
              </w:rPr>
            </w:pPr>
            <w:r>
              <w:rPr>
                <w:b/>
              </w:rPr>
              <w:t>2.</w:t>
            </w:r>
          </w:p>
        </w:tc>
        <w:tc>
          <w:tcPr>
            <w:tcW w:w="5670" w:type="dxa"/>
            <w:gridSpan w:val="2"/>
          </w:tcPr>
          <w:p>
            <w:pPr>
              <w:pStyle w:val="yTableNAm"/>
              <w:keepNext/>
              <w:keepLines/>
              <w:rPr>
                <w:b/>
                <w:bCs/>
              </w:rPr>
            </w:pPr>
            <w:r>
              <w:rPr>
                <w:b/>
                <w:bCs/>
              </w:rPr>
              <w:t xml:space="preserve">Supply under the </w:t>
            </w:r>
            <w:r>
              <w:rPr>
                <w:b/>
                <w:bCs/>
                <w:i/>
              </w:rPr>
              <w:t>Ord Irrigation District By</w:t>
            </w:r>
            <w:r>
              <w:rPr>
                <w:b/>
                <w:bCs/>
                <w:i/>
              </w:rPr>
              <w:noBreakHyphen/>
              <w:t>laws 1963</w:t>
            </w:r>
            <w:r>
              <w:rPr>
                <w:b/>
                <w:bCs/>
                <w:iCs/>
              </w:rPr>
              <w:t xml:space="preserve"> </w:t>
            </w:r>
            <w:r>
              <w:rPr>
                <w:b/>
                <w:bCs/>
              </w:rPr>
              <w:t>by</w:t>
            </w:r>
            <w:r>
              <w:rPr>
                <w:b/>
                <w:bCs/>
              </w:rPr>
              <w:noBreakHyphen/>
              <w:t>law 31A</w:t>
            </w:r>
          </w:p>
        </w:tc>
      </w:tr>
      <w:tr>
        <w:trPr>
          <w:cantSplit/>
        </w:trPr>
        <w:tc>
          <w:tcPr>
            <w:tcW w:w="850" w:type="dxa"/>
          </w:tcPr>
          <w:p>
            <w:pPr>
              <w:pStyle w:val="yTableNAm"/>
              <w:keepNext/>
              <w:keepLines/>
            </w:pPr>
          </w:p>
        </w:tc>
        <w:tc>
          <w:tcPr>
            <w:tcW w:w="4243" w:type="dxa"/>
          </w:tcPr>
          <w:p>
            <w:pPr>
              <w:pStyle w:val="yTableNAm"/>
              <w:keepNext/>
              <w:keepLines/>
            </w:pPr>
            <w:r>
              <w:t xml:space="preserve">In respect of land to which water is supplied under the </w:t>
            </w:r>
            <w:r>
              <w:rPr>
                <w:i/>
              </w:rPr>
              <w:t>Ord Irrigation District By</w:t>
            </w:r>
            <w:r>
              <w:rPr>
                <w:i/>
              </w:rPr>
              <w:noBreakHyphen/>
              <w:t>laws 1963</w:t>
            </w:r>
            <w:r>
              <w:t xml:space="preserve"> by</w:t>
            </w:r>
            <w:r>
              <w:noBreakHyphen/>
              <w:t>law 31A for the purposes of stock</w:t>
            </w:r>
            <w:r>
              <w:noBreakHyphen/>
              <w:t>water or dust prevention in feed lots —</w:t>
            </w:r>
          </w:p>
        </w:tc>
        <w:tc>
          <w:tcPr>
            <w:tcW w:w="1427" w:type="dxa"/>
            <w:vAlign w:val="bottom"/>
          </w:tcPr>
          <w:p>
            <w:pPr>
              <w:pStyle w:val="yTableNAm"/>
              <w:keepNext/>
              <w:keepLines/>
              <w:tabs>
                <w:tab w:val="clear" w:pos="567"/>
                <w:tab w:val="left" w:pos="327"/>
              </w:tabs>
            </w:pPr>
          </w:p>
        </w:tc>
      </w:tr>
      <w:tr>
        <w:trPr>
          <w:cantSplit/>
        </w:trPr>
        <w:tc>
          <w:tcPr>
            <w:tcW w:w="850" w:type="dxa"/>
          </w:tcPr>
          <w:p>
            <w:pPr>
              <w:pStyle w:val="yTableNAm"/>
            </w:pPr>
          </w:p>
        </w:tc>
        <w:tc>
          <w:tcPr>
            <w:tcW w:w="4243" w:type="dxa"/>
          </w:tcPr>
          <w:p>
            <w:pPr>
              <w:pStyle w:val="yTableNAm"/>
              <w:tabs>
                <w:tab w:val="clear" w:pos="567"/>
                <w:tab w:val="left" w:pos="351"/>
                <w:tab w:val="left" w:pos="918"/>
                <w:tab w:val="right" w:leader="dot" w:pos="4253"/>
              </w:tabs>
              <w:ind w:left="918" w:hanging="918"/>
            </w:pPr>
            <w:r>
              <w:tab/>
              <w:t>(a)</w:t>
            </w:r>
            <w:r>
              <w:tab/>
              <w:t xml:space="preserve">where the maximum area used as a feed lot during the year is not more than 4 hectares </w:t>
            </w:r>
            <w:r>
              <w:tab/>
            </w:r>
          </w:p>
        </w:tc>
        <w:tc>
          <w:tcPr>
            <w:tcW w:w="1427" w:type="dxa"/>
            <w:vAlign w:val="bottom"/>
          </w:tcPr>
          <w:p>
            <w:pPr>
              <w:pStyle w:val="yTableNAm"/>
              <w:tabs>
                <w:tab w:val="clear" w:pos="567"/>
                <w:tab w:val="left" w:pos="327"/>
              </w:tabs>
            </w:pPr>
            <w:r>
              <w:t>$651.00</w:t>
            </w:r>
          </w:p>
        </w:tc>
      </w:tr>
      <w:tr>
        <w:trPr>
          <w:cantSplit/>
        </w:trPr>
        <w:tc>
          <w:tcPr>
            <w:tcW w:w="850" w:type="dxa"/>
          </w:tcPr>
          <w:p>
            <w:pPr>
              <w:pStyle w:val="yTableNAm"/>
              <w:keepNext/>
              <w:keepLines/>
            </w:pPr>
          </w:p>
        </w:tc>
        <w:tc>
          <w:tcPr>
            <w:tcW w:w="4243" w:type="dxa"/>
          </w:tcPr>
          <w:p>
            <w:pPr>
              <w:pStyle w:val="yTableNAm"/>
              <w:tabs>
                <w:tab w:val="clear" w:pos="567"/>
                <w:tab w:val="left" w:pos="351"/>
                <w:tab w:val="left" w:pos="918"/>
                <w:tab w:val="right" w:leader="dot" w:pos="4253"/>
              </w:tabs>
              <w:ind w:left="918" w:hanging="918"/>
            </w:pPr>
            <w:r>
              <w:tab/>
              <w:t>(b)</w:t>
            </w:r>
            <w:r>
              <w:tab/>
              <w:t xml:space="preserve">where the maximum area used as a feed lot during the year is more than 4 hectares, the amount specified in paragraph (a) and, for each hectare (or part thereof) in excess of 4 hectares that is so used, a further amount of </w:t>
            </w:r>
            <w:r>
              <w:tab/>
            </w:r>
          </w:p>
        </w:tc>
        <w:tc>
          <w:tcPr>
            <w:tcW w:w="1427" w:type="dxa"/>
            <w:vAlign w:val="bottom"/>
          </w:tcPr>
          <w:p>
            <w:pPr>
              <w:pStyle w:val="yTableNAm"/>
              <w:keepNext/>
              <w:keepLines/>
              <w:tabs>
                <w:tab w:val="clear" w:pos="567"/>
                <w:tab w:val="left" w:pos="327"/>
              </w:tabs>
            </w:pPr>
            <w:r>
              <w:t>$129.00</w:t>
            </w:r>
          </w:p>
        </w:tc>
      </w:tr>
    </w:tbl>
    <w:p>
      <w:pPr>
        <w:pStyle w:val="yFootnotesection"/>
      </w:pPr>
      <w:r>
        <w:tab/>
        <w:t>[Division 2 inserted in Gazette 20 Jun 2012 p. 2721</w:t>
      </w:r>
      <w:r>
        <w:noBreakHyphen/>
        <w:t>2.]</w:t>
      </w:r>
    </w:p>
    <w:p>
      <w:pPr>
        <w:pStyle w:val="yScheduleHeading"/>
      </w:pPr>
      <w:bookmarkStart w:id="715" w:name="_Toc84427993"/>
      <w:bookmarkStart w:id="716" w:name="_Toc328403438"/>
      <w:bookmarkStart w:id="717" w:name="_Toc328471487"/>
      <w:bookmarkStart w:id="718" w:name="_Toc233448452"/>
      <w:bookmarkStart w:id="719" w:name="_Toc233611727"/>
      <w:bookmarkStart w:id="720" w:name="_Toc234730734"/>
      <w:bookmarkStart w:id="721" w:name="_Toc234733260"/>
      <w:bookmarkStart w:id="722" w:name="_Toc235863997"/>
      <w:bookmarkStart w:id="723" w:name="_Toc235933472"/>
      <w:bookmarkStart w:id="724" w:name="_Toc237164460"/>
      <w:bookmarkStart w:id="725" w:name="_Toc237244344"/>
      <w:bookmarkStart w:id="726" w:name="_Toc237245668"/>
      <w:bookmarkStart w:id="727" w:name="_Toc237245799"/>
      <w:bookmarkStart w:id="728" w:name="_Toc237247941"/>
      <w:bookmarkStart w:id="729" w:name="_Toc237254249"/>
      <w:bookmarkStart w:id="730" w:name="_Toc237309668"/>
      <w:bookmarkStart w:id="731" w:name="_Toc265743657"/>
      <w:bookmarkStart w:id="732" w:name="_Toc297540774"/>
      <w:bookmarkStart w:id="733" w:name="_Toc297541202"/>
      <w:bookmarkStart w:id="734" w:name="_Toc170879127"/>
      <w:bookmarkStart w:id="735" w:name="_Toc170894775"/>
      <w:bookmarkStart w:id="736" w:name="_Toc175712741"/>
      <w:bookmarkStart w:id="737" w:name="_Toc175970682"/>
      <w:bookmarkStart w:id="738" w:name="_Toc176335401"/>
      <w:bookmarkStart w:id="739" w:name="_Toc176338976"/>
      <w:bookmarkStart w:id="740" w:name="_Toc178743001"/>
      <w:bookmarkStart w:id="741" w:name="_Toc179363424"/>
      <w:bookmarkStart w:id="742" w:name="_Toc179604493"/>
      <w:bookmarkStart w:id="743" w:name="_Toc180204686"/>
      <w:bookmarkStart w:id="744" w:name="_Toc180204902"/>
      <w:bookmarkStart w:id="745" w:name="_Toc185844647"/>
      <w:bookmarkStart w:id="746" w:name="_Toc185845267"/>
      <w:bookmarkStart w:id="747" w:name="_Toc185927232"/>
      <w:bookmarkStart w:id="748" w:name="_Toc202506083"/>
      <w:bookmarkStart w:id="749" w:name="_Toc202672815"/>
      <w:bookmarkStart w:id="750" w:name="_Toc20269179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r>
        <w:rPr>
          <w:rStyle w:val="CharSchNo"/>
        </w:rPr>
        <w:t>Schedule 3</w:t>
      </w:r>
      <w:r>
        <w:t> — </w:t>
      </w:r>
      <w:r>
        <w:rPr>
          <w:rStyle w:val="CharSchText"/>
        </w:rPr>
        <w:t>Charges for sewerage for 2012/2013</w:t>
      </w:r>
      <w:bookmarkEnd w:id="715"/>
      <w:bookmarkEnd w:id="716"/>
      <w:bookmarkEnd w:id="717"/>
    </w:p>
    <w:p>
      <w:pPr>
        <w:pStyle w:val="yShoulderClause"/>
      </w:pPr>
      <w:r>
        <w:t>[bl. 21, 25A, 25B, 25C, 26, 26A and 26B]</w:t>
      </w:r>
    </w:p>
    <w:p>
      <w:pPr>
        <w:pStyle w:val="yFootnoteheading"/>
        <w:spacing w:after="60"/>
      </w:pPr>
      <w:r>
        <w:tab/>
        <w:t>[Heading inserted in Gazette 20 Jun 2012 p. 2722.]</w:t>
      </w:r>
    </w:p>
    <w:p>
      <w:pPr>
        <w:pStyle w:val="yHeading3"/>
      </w:pPr>
      <w:bookmarkStart w:id="751" w:name="_Toc84427994"/>
      <w:bookmarkStart w:id="752" w:name="_Toc328403439"/>
      <w:bookmarkStart w:id="753" w:name="_Toc328471488"/>
      <w:r>
        <w:rPr>
          <w:rStyle w:val="CharSDivNo"/>
        </w:rPr>
        <w:t>Division 1</w:t>
      </w:r>
      <w:r>
        <w:t> — </w:t>
      </w:r>
      <w:r>
        <w:rPr>
          <w:rStyle w:val="CharSDivText"/>
        </w:rPr>
        <w:t>Fixed charges</w:t>
      </w:r>
      <w:bookmarkEnd w:id="751"/>
      <w:bookmarkEnd w:id="752"/>
      <w:bookmarkEnd w:id="753"/>
    </w:p>
    <w:p>
      <w:pPr>
        <w:pStyle w:val="yFootnoteheading"/>
        <w:spacing w:after="60"/>
      </w:pPr>
      <w:r>
        <w:tab/>
        <w:t>[Heading inserted in Gazette 20 Jun 2012 p. 2722.]</w:t>
      </w:r>
    </w:p>
    <w:tbl>
      <w:tblPr>
        <w:tblW w:w="0" w:type="auto"/>
        <w:tblInd w:w="534" w:type="dxa"/>
        <w:tblLayout w:type="fixed"/>
        <w:tblLook w:val="0000" w:firstRow="0" w:lastRow="0" w:firstColumn="0" w:lastColumn="0" w:noHBand="0" w:noVBand="0"/>
      </w:tblPr>
      <w:tblGrid>
        <w:gridCol w:w="850"/>
        <w:gridCol w:w="4236"/>
        <w:gridCol w:w="1434"/>
      </w:tblGrid>
      <w:tr>
        <w:trPr>
          <w:cantSplit/>
        </w:trPr>
        <w:tc>
          <w:tcPr>
            <w:tcW w:w="850" w:type="dxa"/>
          </w:tcPr>
          <w:p>
            <w:pPr>
              <w:pStyle w:val="yTableNAm"/>
              <w:rPr>
                <w:b/>
              </w:rPr>
            </w:pPr>
            <w:r>
              <w:rPr>
                <w:b/>
              </w:rPr>
              <w:t>1.</w:t>
            </w:r>
          </w:p>
        </w:tc>
        <w:tc>
          <w:tcPr>
            <w:tcW w:w="5670" w:type="dxa"/>
            <w:gridSpan w:val="2"/>
          </w:tcPr>
          <w:p>
            <w:pPr>
              <w:pStyle w:val="yTableNAm"/>
              <w:rPr>
                <w:b/>
              </w:rPr>
            </w:pPr>
            <w:r>
              <w:rPr>
                <w:b/>
              </w:rPr>
              <w:t>Connected metropolitan exempt</w:t>
            </w:r>
          </w:p>
        </w:tc>
      </w:tr>
      <w:tr>
        <w:trPr>
          <w:cantSplit/>
        </w:trPr>
        <w:tc>
          <w:tcPr>
            <w:tcW w:w="850" w:type="dxa"/>
          </w:tcPr>
          <w:p>
            <w:pPr>
              <w:pStyle w:val="yTableNAm"/>
            </w:pPr>
          </w:p>
        </w:tc>
        <w:tc>
          <w:tcPr>
            <w:tcW w:w="4236" w:type="dxa"/>
          </w:tcPr>
          <w:p>
            <w:pPr>
              <w:pStyle w:val="yTableNAm"/>
              <w:tabs>
                <w:tab w:val="right" w:leader="dot" w:pos="4253"/>
              </w:tabs>
            </w:pPr>
            <w:r>
              <w:t>In respect of land in the metropolitan area that is classified as —</w:t>
            </w:r>
          </w:p>
        </w:tc>
        <w:tc>
          <w:tcPr>
            <w:tcW w:w="1434" w:type="dxa"/>
            <w:vAlign w:val="bottom"/>
          </w:tcPr>
          <w:p>
            <w:pPr>
              <w:pStyle w:val="yTableNAm"/>
              <w:tabs>
                <w:tab w:val="clear" w:pos="567"/>
                <w:tab w:val="left" w:pos="335"/>
                <w:tab w:val="right" w:leader="dot" w:pos="4253"/>
              </w:tabs>
            </w:pPr>
          </w:p>
        </w:tc>
      </w:tr>
      <w:tr>
        <w:trPr>
          <w:cantSplit/>
        </w:trPr>
        <w:tc>
          <w:tcPr>
            <w:tcW w:w="850" w:type="dxa"/>
          </w:tcPr>
          <w:p>
            <w:pPr>
              <w:pStyle w:val="yTableNAm"/>
            </w:pPr>
          </w:p>
        </w:tc>
        <w:tc>
          <w:tcPr>
            <w:tcW w:w="4236" w:type="dxa"/>
          </w:tcPr>
          <w:p>
            <w:pPr>
              <w:pStyle w:val="yTableNAm"/>
              <w:tabs>
                <w:tab w:val="clear" w:pos="567"/>
                <w:tab w:val="left" w:pos="351"/>
                <w:tab w:val="left" w:pos="743"/>
                <w:tab w:val="right" w:leader="dot" w:pos="4253"/>
              </w:tabs>
              <w:ind w:left="743" w:hanging="743"/>
            </w:pPr>
            <w:r>
              <w:tab/>
              <w:t>(a)</w:t>
            </w:r>
            <w:r>
              <w:tab/>
              <w:t>aged home; or </w:t>
            </w:r>
          </w:p>
        </w:tc>
        <w:tc>
          <w:tcPr>
            <w:tcW w:w="1434" w:type="dxa"/>
            <w:vAlign w:val="bottom"/>
          </w:tcPr>
          <w:p>
            <w:pPr>
              <w:pStyle w:val="yTableNAm"/>
              <w:tabs>
                <w:tab w:val="clear" w:pos="567"/>
                <w:tab w:val="left" w:pos="335"/>
                <w:tab w:val="right" w:leader="dot" w:pos="4253"/>
              </w:tabs>
              <w:rPr>
                <w:spacing w:val="-1"/>
              </w:rPr>
            </w:pPr>
          </w:p>
        </w:tc>
      </w:tr>
      <w:tr>
        <w:trPr>
          <w:cantSplit/>
        </w:trPr>
        <w:tc>
          <w:tcPr>
            <w:tcW w:w="850" w:type="dxa"/>
          </w:tcPr>
          <w:p>
            <w:pPr>
              <w:pStyle w:val="yTableNAm"/>
            </w:pPr>
          </w:p>
        </w:tc>
        <w:tc>
          <w:tcPr>
            <w:tcW w:w="4236" w:type="dxa"/>
          </w:tcPr>
          <w:p>
            <w:pPr>
              <w:pStyle w:val="yTableNAm"/>
              <w:tabs>
                <w:tab w:val="clear" w:pos="567"/>
                <w:tab w:val="left" w:pos="351"/>
                <w:tab w:val="left" w:pos="743"/>
                <w:tab w:val="left" w:pos="1168"/>
                <w:tab w:val="right" w:leader="dot" w:pos="4253"/>
              </w:tabs>
              <w:ind w:left="743" w:hanging="743"/>
              <w:rPr>
                <w:spacing w:val="-1"/>
              </w:rPr>
            </w:pPr>
            <w:r>
              <w:rPr>
                <w:spacing w:val="-1"/>
              </w:rPr>
              <w:tab/>
              <w:t>(b)</w:t>
            </w:r>
            <w:r>
              <w:rPr>
                <w:spacing w:val="-1"/>
              </w:rPr>
              <w:tab/>
              <w:t>charitable or community purposes,</w:t>
            </w:r>
          </w:p>
        </w:tc>
        <w:tc>
          <w:tcPr>
            <w:tcW w:w="1434" w:type="dxa"/>
            <w:vAlign w:val="bottom"/>
          </w:tcPr>
          <w:p>
            <w:pPr>
              <w:pStyle w:val="yTableNAm"/>
              <w:tabs>
                <w:tab w:val="clear" w:pos="567"/>
                <w:tab w:val="left" w:pos="335"/>
                <w:tab w:val="right" w:leader="dot" w:pos="4253"/>
              </w:tabs>
              <w:rPr>
                <w:spacing w:val="-1"/>
              </w:rPr>
            </w:pPr>
          </w:p>
        </w:tc>
      </w:tr>
      <w:tr>
        <w:trPr>
          <w:cantSplit/>
        </w:trPr>
        <w:tc>
          <w:tcPr>
            <w:tcW w:w="850" w:type="dxa"/>
          </w:tcPr>
          <w:p>
            <w:pPr>
              <w:pStyle w:val="yTableNAm"/>
            </w:pPr>
          </w:p>
        </w:tc>
        <w:tc>
          <w:tcPr>
            <w:tcW w:w="4236" w:type="dxa"/>
          </w:tcPr>
          <w:p>
            <w:pPr>
              <w:pStyle w:val="yTableNAm"/>
              <w:tabs>
                <w:tab w:val="clear" w:pos="567"/>
                <w:tab w:val="left" w:pos="0"/>
                <w:tab w:val="left" w:pos="351"/>
                <w:tab w:val="right" w:leader="dot" w:pos="4253"/>
              </w:tabs>
              <w:rPr>
                <w:spacing w:val="-1"/>
              </w:rPr>
            </w:pPr>
            <w:r>
              <w:rPr>
                <w:spacing w:val="-1"/>
              </w:rPr>
              <w:t xml:space="preserve">a charge determined by meter size minus the discount as set out in the following Table — </w:t>
            </w:r>
          </w:p>
        </w:tc>
        <w:tc>
          <w:tcPr>
            <w:tcW w:w="1434" w:type="dxa"/>
            <w:vAlign w:val="bottom"/>
          </w:tcPr>
          <w:p>
            <w:pPr>
              <w:pStyle w:val="yTableNAm"/>
              <w:tabs>
                <w:tab w:val="clear" w:pos="567"/>
                <w:tab w:val="left" w:pos="335"/>
                <w:tab w:val="right" w:leader="dot" w:pos="4253"/>
              </w:tabs>
              <w:rPr>
                <w:spacing w:val="-1"/>
              </w:rPr>
            </w:pPr>
          </w:p>
        </w:tc>
      </w:tr>
    </w:tbl>
    <w:p>
      <w:pPr>
        <w:pStyle w:val="yTHeadingNAm"/>
      </w:pPr>
      <w:r>
        <w:rPr>
          <w:bCs w:val="0"/>
        </w:rPr>
        <w:t>Table — charges (</w:t>
      </w:r>
      <w:r>
        <w:rPr>
          <w:bCs w:val="0"/>
          <w:iCs/>
        </w:rPr>
        <w:t>per fixture</w:t>
      </w:r>
      <w:r>
        <w:rPr>
          <w:bCs w:val="0"/>
        </w:rPr>
        <w:t>)</w:t>
      </w:r>
    </w:p>
    <w:tbl>
      <w:tblPr>
        <w:tblW w:w="6520" w:type="dxa"/>
        <w:tblInd w:w="454" w:type="dxa"/>
        <w:tblLayout w:type="fixed"/>
        <w:tblCellMar>
          <w:left w:w="28" w:type="dxa"/>
          <w:right w:w="28" w:type="dxa"/>
        </w:tblCellMar>
        <w:tblLook w:val="0000" w:firstRow="0" w:lastRow="0" w:firstColumn="0" w:lastColumn="0" w:noHBand="0" w:noVBand="0"/>
      </w:tblPr>
      <w:tblGrid>
        <w:gridCol w:w="2173"/>
        <w:gridCol w:w="2173"/>
        <w:gridCol w:w="1087"/>
        <w:gridCol w:w="1087"/>
      </w:tblGrid>
      <w:tr>
        <w:trPr>
          <w:cantSplit/>
          <w:trHeight w:val="310"/>
          <w:tblHeader/>
        </w:trPr>
        <w:tc>
          <w:tcPr>
            <w:tcW w:w="2173" w:type="dxa"/>
            <w:vMerge w:val="restart"/>
            <w:tcBorders>
              <w:top w:val="single" w:sz="4" w:space="0" w:color="auto"/>
            </w:tcBorders>
          </w:tcPr>
          <w:p>
            <w:pPr>
              <w:pStyle w:val="yTableNAm"/>
              <w:jc w:val="center"/>
              <w:rPr>
                <w:b/>
                <w:bCs/>
              </w:rPr>
            </w:pPr>
            <w:r>
              <w:rPr>
                <w:b/>
                <w:bCs/>
              </w:rPr>
              <w:t>No. of fixtures</w:t>
            </w:r>
          </w:p>
        </w:tc>
        <w:tc>
          <w:tcPr>
            <w:tcW w:w="2173" w:type="dxa"/>
            <w:vMerge w:val="restart"/>
            <w:tcBorders>
              <w:top w:val="single" w:sz="4" w:space="0" w:color="auto"/>
            </w:tcBorders>
          </w:tcPr>
          <w:p>
            <w:pPr>
              <w:pStyle w:val="yTableNAm"/>
              <w:jc w:val="center"/>
              <w:rPr>
                <w:b/>
                <w:bCs/>
              </w:rPr>
            </w:pPr>
            <w:r>
              <w:rPr>
                <w:b/>
                <w:bCs/>
              </w:rPr>
              <w:t>Charges</w:t>
            </w:r>
            <w:r>
              <w:rPr>
                <w:b/>
                <w:bCs/>
              </w:rPr>
              <w:br/>
              <w:t>$</w:t>
            </w:r>
          </w:p>
        </w:tc>
        <w:tc>
          <w:tcPr>
            <w:tcW w:w="2174" w:type="dxa"/>
            <w:gridSpan w:val="2"/>
            <w:tcBorders>
              <w:top w:val="single" w:sz="4" w:space="0" w:color="auto"/>
              <w:bottom w:val="single" w:sz="4" w:space="0" w:color="auto"/>
            </w:tcBorders>
          </w:tcPr>
          <w:p>
            <w:pPr>
              <w:pStyle w:val="yTableNAm"/>
              <w:jc w:val="center"/>
              <w:rPr>
                <w:b/>
                <w:bCs/>
              </w:rPr>
            </w:pPr>
            <w:r>
              <w:rPr>
                <w:b/>
                <w:bCs/>
              </w:rPr>
              <w:t>Discount</w:t>
            </w:r>
            <w:r>
              <w:rPr>
                <w:b/>
                <w:bCs/>
              </w:rPr>
              <w:br/>
              <w:t>%</w:t>
            </w:r>
          </w:p>
        </w:tc>
      </w:tr>
      <w:tr>
        <w:trPr>
          <w:cantSplit/>
          <w:trHeight w:val="310"/>
          <w:tblHeader/>
        </w:trPr>
        <w:tc>
          <w:tcPr>
            <w:tcW w:w="2173" w:type="dxa"/>
            <w:vMerge/>
            <w:tcBorders>
              <w:bottom w:val="single" w:sz="4" w:space="0" w:color="auto"/>
            </w:tcBorders>
            <w:vAlign w:val="center"/>
          </w:tcPr>
          <w:p>
            <w:pPr>
              <w:pStyle w:val="yTableNAm"/>
              <w:jc w:val="center"/>
              <w:rPr>
                <w:b/>
                <w:bCs/>
              </w:rPr>
            </w:pPr>
          </w:p>
        </w:tc>
        <w:tc>
          <w:tcPr>
            <w:tcW w:w="2173" w:type="dxa"/>
            <w:vMerge/>
            <w:tcBorders>
              <w:bottom w:val="single" w:sz="4" w:space="0" w:color="auto"/>
            </w:tcBorders>
          </w:tcPr>
          <w:p>
            <w:pPr>
              <w:pStyle w:val="yTableNAm"/>
              <w:jc w:val="center"/>
              <w:rPr>
                <w:b/>
                <w:bCs/>
              </w:rPr>
            </w:pPr>
          </w:p>
        </w:tc>
        <w:tc>
          <w:tcPr>
            <w:tcW w:w="1087" w:type="dxa"/>
            <w:tcBorders>
              <w:top w:val="single" w:sz="4" w:space="0" w:color="auto"/>
              <w:bottom w:val="single" w:sz="4" w:space="0" w:color="auto"/>
            </w:tcBorders>
          </w:tcPr>
          <w:p>
            <w:pPr>
              <w:pStyle w:val="yTableNAm"/>
              <w:jc w:val="center"/>
              <w:rPr>
                <w:b/>
                <w:bCs/>
              </w:rPr>
            </w:pPr>
            <w:r>
              <w:rPr>
                <w:b/>
                <w:bCs/>
              </w:rPr>
              <w:t>Item 1(a)</w:t>
            </w:r>
          </w:p>
        </w:tc>
        <w:tc>
          <w:tcPr>
            <w:tcW w:w="1087" w:type="dxa"/>
            <w:tcBorders>
              <w:top w:val="single" w:sz="4" w:space="0" w:color="auto"/>
              <w:bottom w:val="single" w:sz="4" w:space="0" w:color="auto"/>
            </w:tcBorders>
          </w:tcPr>
          <w:p>
            <w:pPr>
              <w:pStyle w:val="yTableNAm"/>
              <w:jc w:val="center"/>
              <w:rPr>
                <w:b/>
                <w:bCs/>
              </w:rPr>
            </w:pPr>
            <w:r>
              <w:rPr>
                <w:b/>
                <w:bCs/>
              </w:rPr>
              <w:t>Item 1(b)</w:t>
            </w:r>
          </w:p>
        </w:tc>
      </w:tr>
      <w:tr>
        <w:trPr>
          <w:cantSplit/>
        </w:trPr>
        <w:tc>
          <w:tcPr>
            <w:tcW w:w="2173" w:type="dxa"/>
          </w:tcPr>
          <w:p>
            <w:pPr>
              <w:pStyle w:val="yTableNAm"/>
              <w:jc w:val="center"/>
            </w:pPr>
            <w:r>
              <w:t>1</w:t>
            </w:r>
          </w:p>
        </w:tc>
        <w:tc>
          <w:tcPr>
            <w:tcW w:w="2173" w:type="dxa"/>
          </w:tcPr>
          <w:p>
            <w:pPr>
              <w:pStyle w:val="yTableNAm"/>
              <w:jc w:val="center"/>
            </w:pPr>
            <w:r>
              <w:t>728.40</w:t>
            </w:r>
          </w:p>
        </w:tc>
        <w:tc>
          <w:tcPr>
            <w:tcW w:w="1087" w:type="dxa"/>
          </w:tcPr>
          <w:p>
            <w:pPr>
              <w:pStyle w:val="yTableNAm"/>
              <w:jc w:val="center"/>
            </w:pPr>
            <w:r>
              <w:t>73.13</w:t>
            </w:r>
          </w:p>
        </w:tc>
        <w:tc>
          <w:tcPr>
            <w:tcW w:w="1087" w:type="dxa"/>
          </w:tcPr>
          <w:p>
            <w:pPr>
              <w:pStyle w:val="yTableNAm"/>
              <w:jc w:val="center"/>
            </w:pPr>
            <w:r>
              <w:t>73.13</w:t>
            </w:r>
          </w:p>
        </w:tc>
      </w:tr>
      <w:tr>
        <w:trPr>
          <w:cantSplit/>
        </w:trPr>
        <w:tc>
          <w:tcPr>
            <w:tcW w:w="2173" w:type="dxa"/>
          </w:tcPr>
          <w:p>
            <w:pPr>
              <w:pStyle w:val="yTableNAm"/>
              <w:jc w:val="center"/>
            </w:pPr>
            <w:r>
              <w:t>2</w:t>
            </w:r>
          </w:p>
        </w:tc>
        <w:tc>
          <w:tcPr>
            <w:tcW w:w="2173" w:type="dxa"/>
          </w:tcPr>
          <w:p>
            <w:pPr>
              <w:pStyle w:val="yTableNAm"/>
              <w:jc w:val="center"/>
            </w:pPr>
            <w:r>
              <w:t>311.80</w:t>
            </w:r>
          </w:p>
        </w:tc>
        <w:tc>
          <w:tcPr>
            <w:tcW w:w="1087" w:type="dxa"/>
          </w:tcPr>
          <w:p>
            <w:pPr>
              <w:pStyle w:val="yTableNAm"/>
              <w:jc w:val="center"/>
            </w:pPr>
            <w:r>
              <w:t>72.38</w:t>
            </w:r>
          </w:p>
        </w:tc>
        <w:tc>
          <w:tcPr>
            <w:tcW w:w="1087" w:type="dxa"/>
          </w:tcPr>
          <w:p>
            <w:pPr>
              <w:pStyle w:val="yTableNAm"/>
              <w:jc w:val="center"/>
            </w:pPr>
            <w:r>
              <w:t>37.24</w:t>
            </w:r>
          </w:p>
        </w:tc>
      </w:tr>
      <w:tr>
        <w:trPr>
          <w:cantSplit/>
        </w:trPr>
        <w:tc>
          <w:tcPr>
            <w:tcW w:w="2173" w:type="dxa"/>
          </w:tcPr>
          <w:p>
            <w:pPr>
              <w:pStyle w:val="yTableNAm"/>
              <w:jc w:val="center"/>
            </w:pPr>
            <w:r>
              <w:t>3</w:t>
            </w:r>
          </w:p>
        </w:tc>
        <w:tc>
          <w:tcPr>
            <w:tcW w:w="2173" w:type="dxa"/>
          </w:tcPr>
          <w:p>
            <w:pPr>
              <w:pStyle w:val="yTableNAm"/>
              <w:jc w:val="center"/>
            </w:pPr>
            <w:r>
              <w:t>416.40</w:t>
            </w:r>
          </w:p>
        </w:tc>
        <w:tc>
          <w:tcPr>
            <w:tcW w:w="1087" w:type="dxa"/>
          </w:tcPr>
          <w:p>
            <w:pPr>
              <w:pStyle w:val="yTableNAm"/>
              <w:jc w:val="center"/>
            </w:pPr>
            <w:r>
              <w:t>79.32</w:t>
            </w:r>
          </w:p>
        </w:tc>
        <w:tc>
          <w:tcPr>
            <w:tcW w:w="1087" w:type="dxa"/>
          </w:tcPr>
          <w:p>
            <w:pPr>
              <w:pStyle w:val="yTableNAm"/>
              <w:jc w:val="center"/>
            </w:pPr>
            <w:r>
              <w:t>53.00</w:t>
            </w:r>
          </w:p>
        </w:tc>
      </w:tr>
      <w:tr>
        <w:trPr>
          <w:cantSplit/>
        </w:trPr>
        <w:tc>
          <w:tcPr>
            <w:tcW w:w="2173" w:type="dxa"/>
            <w:tcBorders>
              <w:bottom w:val="single" w:sz="4" w:space="0" w:color="auto"/>
            </w:tcBorders>
          </w:tcPr>
          <w:p>
            <w:pPr>
              <w:pStyle w:val="yTableNAm"/>
              <w:jc w:val="center"/>
            </w:pPr>
            <w:r>
              <w:t>4+</w:t>
            </w:r>
          </w:p>
        </w:tc>
        <w:tc>
          <w:tcPr>
            <w:tcW w:w="2173" w:type="dxa"/>
            <w:tcBorders>
              <w:bottom w:val="single" w:sz="4" w:space="0" w:color="auto"/>
            </w:tcBorders>
          </w:tcPr>
          <w:p>
            <w:pPr>
              <w:pStyle w:val="yTableNAm"/>
              <w:jc w:val="center"/>
            </w:pPr>
            <w:r>
              <w:t>452.80</w:t>
            </w:r>
          </w:p>
        </w:tc>
        <w:tc>
          <w:tcPr>
            <w:tcW w:w="1087" w:type="dxa"/>
            <w:tcBorders>
              <w:bottom w:val="single" w:sz="4" w:space="0" w:color="auto"/>
            </w:tcBorders>
          </w:tcPr>
          <w:p>
            <w:pPr>
              <w:pStyle w:val="yTableNAm"/>
              <w:jc w:val="center"/>
            </w:pPr>
            <w:r>
              <w:t>80.98</w:t>
            </w:r>
          </w:p>
        </w:tc>
        <w:tc>
          <w:tcPr>
            <w:tcW w:w="1087" w:type="dxa"/>
            <w:tcBorders>
              <w:bottom w:val="single" w:sz="4" w:space="0" w:color="auto"/>
            </w:tcBorders>
          </w:tcPr>
          <w:p>
            <w:pPr>
              <w:pStyle w:val="yTableNAm"/>
              <w:jc w:val="center"/>
            </w:pPr>
            <w:r>
              <w:t>56.78</w:t>
            </w:r>
          </w:p>
        </w:tc>
      </w:tr>
    </w:tbl>
    <w:p>
      <w:pPr>
        <w:pStyle w:val="yMiscellaneousBody"/>
        <w:spacing w:before="0"/>
      </w:pPr>
    </w:p>
    <w:tbl>
      <w:tblPr>
        <w:tblW w:w="0" w:type="auto"/>
        <w:tblInd w:w="534" w:type="dxa"/>
        <w:tblLayout w:type="fixed"/>
        <w:tblLook w:val="0000" w:firstRow="0" w:lastRow="0" w:firstColumn="0" w:lastColumn="0" w:noHBand="0" w:noVBand="0"/>
      </w:tblPr>
      <w:tblGrid>
        <w:gridCol w:w="850"/>
        <w:gridCol w:w="4236"/>
        <w:gridCol w:w="1434"/>
      </w:tblGrid>
      <w:tr>
        <w:trPr>
          <w:cantSplit/>
        </w:trPr>
        <w:tc>
          <w:tcPr>
            <w:tcW w:w="850" w:type="dxa"/>
          </w:tcPr>
          <w:p>
            <w:pPr>
              <w:pStyle w:val="yTableNAm"/>
              <w:rPr>
                <w:b/>
              </w:rPr>
            </w:pPr>
            <w:r>
              <w:rPr>
                <w:b/>
              </w:rPr>
              <w:t>2.</w:t>
            </w:r>
          </w:p>
        </w:tc>
        <w:tc>
          <w:tcPr>
            <w:tcW w:w="4236" w:type="dxa"/>
          </w:tcPr>
          <w:p>
            <w:pPr>
              <w:pStyle w:val="yTableNAm"/>
              <w:rPr>
                <w:b/>
              </w:rPr>
            </w:pPr>
            <w:r>
              <w:rPr>
                <w:b/>
              </w:rPr>
              <w:t>Connected country exempt</w:t>
            </w:r>
          </w:p>
        </w:tc>
        <w:tc>
          <w:tcPr>
            <w:tcW w:w="1434" w:type="dxa"/>
            <w:vAlign w:val="bottom"/>
          </w:tcPr>
          <w:p>
            <w:pPr>
              <w:pStyle w:val="yTableNAm"/>
            </w:pPr>
          </w:p>
        </w:tc>
      </w:tr>
      <w:tr>
        <w:trPr>
          <w:cantSplit/>
        </w:trPr>
        <w:tc>
          <w:tcPr>
            <w:tcW w:w="850" w:type="dxa"/>
          </w:tcPr>
          <w:p>
            <w:pPr>
              <w:pStyle w:val="yTableNAm"/>
              <w:keepNext/>
              <w:keepLines/>
            </w:pPr>
          </w:p>
        </w:tc>
        <w:tc>
          <w:tcPr>
            <w:tcW w:w="4236" w:type="dxa"/>
          </w:tcPr>
          <w:p>
            <w:pPr>
              <w:pStyle w:val="yTableNAm"/>
              <w:keepNext/>
              <w:keepLines/>
              <w:tabs>
                <w:tab w:val="right" w:leader="dot" w:pos="4253"/>
              </w:tabs>
              <w:rPr>
                <w:spacing w:val="-4"/>
              </w:rPr>
            </w:pPr>
            <w:r>
              <w:t>In respect of land in a country sewerage area that is classified as —</w:t>
            </w:r>
          </w:p>
        </w:tc>
        <w:tc>
          <w:tcPr>
            <w:tcW w:w="1434" w:type="dxa"/>
            <w:vAlign w:val="bottom"/>
          </w:tcPr>
          <w:p>
            <w:pPr>
              <w:pStyle w:val="yTableNAm"/>
              <w:keepNext/>
              <w:keepLines/>
              <w:tabs>
                <w:tab w:val="clear" w:pos="567"/>
                <w:tab w:val="left" w:pos="335"/>
                <w:tab w:val="right" w:leader="dot" w:pos="4253"/>
              </w:tabs>
              <w:rPr>
                <w:spacing w:val="-1"/>
              </w:rPr>
            </w:pPr>
          </w:p>
        </w:tc>
      </w:tr>
      <w:tr>
        <w:trPr>
          <w:cantSplit/>
        </w:trPr>
        <w:tc>
          <w:tcPr>
            <w:tcW w:w="850" w:type="dxa"/>
          </w:tcPr>
          <w:p>
            <w:pPr>
              <w:pStyle w:val="yTableNAm"/>
            </w:pPr>
          </w:p>
        </w:tc>
        <w:tc>
          <w:tcPr>
            <w:tcW w:w="4236" w:type="dxa"/>
          </w:tcPr>
          <w:p>
            <w:pPr>
              <w:pStyle w:val="yTableNAm"/>
              <w:tabs>
                <w:tab w:val="clear" w:pos="567"/>
                <w:tab w:val="left" w:pos="351"/>
                <w:tab w:val="left" w:pos="918"/>
                <w:tab w:val="right" w:leader="dot" w:pos="4253"/>
              </w:tabs>
              <w:ind w:left="918" w:hanging="918"/>
            </w:pPr>
            <w:r>
              <w:tab/>
              <w:t>(a)</w:t>
            </w:r>
            <w:r>
              <w:tab/>
              <w:t>community residential</w:t>
            </w:r>
            <w:r>
              <w:rPr>
                <w:snapToGrid w:val="0"/>
                <w:spacing w:val="-4"/>
              </w:rPr>
              <w:t>; or</w:t>
            </w:r>
          </w:p>
        </w:tc>
        <w:tc>
          <w:tcPr>
            <w:tcW w:w="1434" w:type="dxa"/>
            <w:vAlign w:val="bottom"/>
          </w:tcPr>
          <w:p>
            <w:pPr>
              <w:pStyle w:val="yTableNAm"/>
              <w:tabs>
                <w:tab w:val="clear" w:pos="567"/>
                <w:tab w:val="left" w:pos="335"/>
                <w:tab w:val="right" w:leader="dot" w:pos="4253"/>
              </w:tabs>
              <w:rPr>
                <w:spacing w:val="-1"/>
              </w:rPr>
            </w:pPr>
          </w:p>
        </w:tc>
      </w:tr>
      <w:tr>
        <w:trPr>
          <w:cantSplit/>
        </w:trPr>
        <w:tc>
          <w:tcPr>
            <w:tcW w:w="850" w:type="dxa"/>
          </w:tcPr>
          <w:p>
            <w:pPr>
              <w:pStyle w:val="yTableNAm"/>
            </w:pPr>
          </w:p>
        </w:tc>
        <w:tc>
          <w:tcPr>
            <w:tcW w:w="4236" w:type="dxa"/>
          </w:tcPr>
          <w:p>
            <w:pPr>
              <w:pStyle w:val="yTableNAm"/>
              <w:tabs>
                <w:tab w:val="clear" w:pos="567"/>
                <w:tab w:val="left" w:pos="351"/>
                <w:tab w:val="left" w:pos="918"/>
                <w:tab w:val="right" w:leader="dot" w:pos="4253"/>
              </w:tabs>
              <w:ind w:left="918" w:hanging="918"/>
            </w:pPr>
            <w:r>
              <w:rPr>
                <w:spacing w:val="-1"/>
              </w:rPr>
              <w:tab/>
              <w:t>(b)</w:t>
            </w:r>
            <w:r>
              <w:rPr>
                <w:spacing w:val="-1"/>
              </w:rPr>
              <w:tab/>
              <w:t xml:space="preserve">aged home, </w:t>
            </w:r>
            <w:r>
              <w:t>charitable purposes</w:t>
            </w:r>
            <w:r>
              <w:rPr>
                <w:spacing w:val="-1"/>
              </w:rPr>
              <w:t>, community purposes, institutional public or local government,</w:t>
            </w:r>
          </w:p>
        </w:tc>
        <w:tc>
          <w:tcPr>
            <w:tcW w:w="1434" w:type="dxa"/>
            <w:vAlign w:val="bottom"/>
          </w:tcPr>
          <w:p>
            <w:pPr>
              <w:pStyle w:val="yTableNAm"/>
              <w:tabs>
                <w:tab w:val="clear" w:pos="567"/>
                <w:tab w:val="left" w:pos="335"/>
                <w:tab w:val="right" w:leader="dot" w:pos="4253"/>
              </w:tabs>
              <w:rPr>
                <w:spacing w:val="-1"/>
              </w:rPr>
            </w:pPr>
          </w:p>
        </w:tc>
      </w:tr>
      <w:tr>
        <w:trPr>
          <w:cantSplit/>
        </w:trPr>
        <w:tc>
          <w:tcPr>
            <w:tcW w:w="850" w:type="dxa"/>
          </w:tcPr>
          <w:p>
            <w:pPr>
              <w:pStyle w:val="yTableNAm"/>
            </w:pPr>
          </w:p>
        </w:tc>
        <w:tc>
          <w:tcPr>
            <w:tcW w:w="4236" w:type="dxa"/>
          </w:tcPr>
          <w:p>
            <w:pPr>
              <w:pStyle w:val="yTableNAm"/>
              <w:tabs>
                <w:tab w:val="clear" w:pos="567"/>
                <w:tab w:val="left" w:pos="0"/>
                <w:tab w:val="right" w:leader="dot" w:pos="4253"/>
              </w:tabs>
            </w:pPr>
            <w:r>
              <w:rPr>
                <w:szCs w:val="22"/>
              </w:rPr>
              <w:t>a charge determined by meter size minus the discount as set out in the following Table —</w:t>
            </w:r>
          </w:p>
        </w:tc>
        <w:tc>
          <w:tcPr>
            <w:tcW w:w="1434" w:type="dxa"/>
            <w:vAlign w:val="bottom"/>
          </w:tcPr>
          <w:p>
            <w:pPr>
              <w:pStyle w:val="yTableNAm"/>
              <w:tabs>
                <w:tab w:val="clear" w:pos="567"/>
                <w:tab w:val="left" w:pos="335"/>
                <w:tab w:val="right" w:leader="dot" w:pos="4253"/>
              </w:tabs>
              <w:rPr>
                <w:spacing w:val="-1"/>
              </w:rPr>
            </w:pPr>
          </w:p>
        </w:tc>
      </w:tr>
    </w:tbl>
    <w:p>
      <w:pPr>
        <w:pStyle w:val="yTHeadingNAm"/>
      </w:pPr>
      <w:r>
        <w:rPr>
          <w:bCs w:val="0"/>
        </w:rPr>
        <w:t>Table — charges (</w:t>
      </w:r>
      <w:r>
        <w:rPr>
          <w:bCs w:val="0"/>
          <w:iCs/>
        </w:rPr>
        <w:t>per fixture</w:t>
      </w:r>
      <w:r>
        <w:rPr>
          <w:bCs w:val="0"/>
        </w:rPr>
        <w:t>)</w:t>
      </w:r>
    </w:p>
    <w:tbl>
      <w:tblPr>
        <w:tblW w:w="6520" w:type="dxa"/>
        <w:tblInd w:w="454" w:type="dxa"/>
        <w:tblLayout w:type="fixed"/>
        <w:tblCellMar>
          <w:left w:w="28" w:type="dxa"/>
          <w:right w:w="28" w:type="dxa"/>
        </w:tblCellMar>
        <w:tblLook w:val="0000" w:firstRow="0" w:lastRow="0" w:firstColumn="0" w:lastColumn="0" w:noHBand="0" w:noVBand="0"/>
      </w:tblPr>
      <w:tblGrid>
        <w:gridCol w:w="2173"/>
        <w:gridCol w:w="2173"/>
        <w:gridCol w:w="1087"/>
        <w:gridCol w:w="1087"/>
      </w:tblGrid>
      <w:tr>
        <w:trPr>
          <w:cantSplit/>
          <w:trHeight w:val="310"/>
          <w:tblHeader/>
        </w:trPr>
        <w:tc>
          <w:tcPr>
            <w:tcW w:w="2173" w:type="dxa"/>
            <w:vMerge w:val="restart"/>
            <w:tcBorders>
              <w:top w:val="single" w:sz="4" w:space="0" w:color="auto"/>
            </w:tcBorders>
          </w:tcPr>
          <w:p>
            <w:pPr>
              <w:pStyle w:val="yTableNAm"/>
              <w:keepNext/>
              <w:jc w:val="center"/>
              <w:rPr>
                <w:b/>
                <w:bCs/>
              </w:rPr>
            </w:pPr>
            <w:r>
              <w:rPr>
                <w:b/>
                <w:bCs/>
              </w:rPr>
              <w:t>No. of fixtures</w:t>
            </w:r>
          </w:p>
        </w:tc>
        <w:tc>
          <w:tcPr>
            <w:tcW w:w="2173" w:type="dxa"/>
            <w:vMerge w:val="restart"/>
            <w:tcBorders>
              <w:top w:val="single" w:sz="4" w:space="0" w:color="auto"/>
            </w:tcBorders>
          </w:tcPr>
          <w:p>
            <w:pPr>
              <w:pStyle w:val="yTableNAm"/>
              <w:keepNext/>
              <w:jc w:val="center"/>
              <w:rPr>
                <w:b/>
                <w:bCs/>
              </w:rPr>
            </w:pPr>
            <w:r>
              <w:rPr>
                <w:b/>
                <w:bCs/>
              </w:rPr>
              <w:t>Charges</w:t>
            </w:r>
            <w:r>
              <w:rPr>
                <w:b/>
                <w:bCs/>
              </w:rPr>
              <w:br/>
              <w:t>$</w:t>
            </w:r>
          </w:p>
        </w:tc>
        <w:tc>
          <w:tcPr>
            <w:tcW w:w="2174" w:type="dxa"/>
            <w:gridSpan w:val="2"/>
            <w:tcBorders>
              <w:top w:val="single" w:sz="4" w:space="0" w:color="auto"/>
              <w:bottom w:val="single" w:sz="4" w:space="0" w:color="auto"/>
            </w:tcBorders>
          </w:tcPr>
          <w:p>
            <w:pPr>
              <w:pStyle w:val="yTableNAm"/>
              <w:keepNext/>
              <w:jc w:val="center"/>
              <w:rPr>
                <w:b/>
                <w:bCs/>
              </w:rPr>
            </w:pPr>
            <w:r>
              <w:rPr>
                <w:b/>
                <w:bCs/>
              </w:rPr>
              <w:t>Discount</w:t>
            </w:r>
            <w:r>
              <w:rPr>
                <w:b/>
                <w:bCs/>
              </w:rPr>
              <w:br/>
              <w:t>%</w:t>
            </w:r>
          </w:p>
        </w:tc>
      </w:tr>
      <w:tr>
        <w:trPr>
          <w:cantSplit/>
          <w:trHeight w:val="310"/>
          <w:tblHeader/>
        </w:trPr>
        <w:tc>
          <w:tcPr>
            <w:tcW w:w="2173" w:type="dxa"/>
            <w:vMerge/>
            <w:tcBorders>
              <w:bottom w:val="single" w:sz="4" w:space="0" w:color="auto"/>
            </w:tcBorders>
            <w:vAlign w:val="center"/>
          </w:tcPr>
          <w:p>
            <w:pPr>
              <w:pStyle w:val="yTableNAm"/>
              <w:keepNext/>
              <w:jc w:val="center"/>
              <w:rPr>
                <w:b/>
                <w:bCs/>
              </w:rPr>
            </w:pPr>
          </w:p>
        </w:tc>
        <w:tc>
          <w:tcPr>
            <w:tcW w:w="2173" w:type="dxa"/>
            <w:vMerge/>
            <w:tcBorders>
              <w:bottom w:val="single" w:sz="4" w:space="0" w:color="auto"/>
            </w:tcBorders>
          </w:tcPr>
          <w:p>
            <w:pPr>
              <w:pStyle w:val="yTableNAm"/>
              <w:keepNext/>
              <w:jc w:val="center"/>
              <w:rPr>
                <w:b/>
                <w:bCs/>
              </w:rPr>
            </w:pPr>
          </w:p>
        </w:tc>
        <w:tc>
          <w:tcPr>
            <w:tcW w:w="1087" w:type="dxa"/>
            <w:tcBorders>
              <w:top w:val="single" w:sz="4" w:space="0" w:color="auto"/>
              <w:bottom w:val="single" w:sz="4" w:space="0" w:color="auto"/>
            </w:tcBorders>
          </w:tcPr>
          <w:p>
            <w:pPr>
              <w:pStyle w:val="yTableNAm"/>
              <w:keepNext/>
              <w:jc w:val="center"/>
              <w:rPr>
                <w:b/>
                <w:bCs/>
              </w:rPr>
            </w:pPr>
            <w:r>
              <w:rPr>
                <w:b/>
                <w:bCs/>
              </w:rPr>
              <w:t>Item 2(a)</w:t>
            </w:r>
          </w:p>
        </w:tc>
        <w:tc>
          <w:tcPr>
            <w:tcW w:w="1087" w:type="dxa"/>
            <w:tcBorders>
              <w:top w:val="single" w:sz="4" w:space="0" w:color="auto"/>
              <w:bottom w:val="single" w:sz="4" w:space="0" w:color="auto"/>
            </w:tcBorders>
          </w:tcPr>
          <w:p>
            <w:pPr>
              <w:pStyle w:val="yTableNAm"/>
              <w:keepNext/>
              <w:jc w:val="center"/>
              <w:rPr>
                <w:b/>
                <w:bCs/>
              </w:rPr>
            </w:pPr>
            <w:r>
              <w:rPr>
                <w:b/>
                <w:bCs/>
              </w:rPr>
              <w:t>Item 2(b)</w:t>
            </w:r>
          </w:p>
        </w:tc>
      </w:tr>
      <w:tr>
        <w:trPr>
          <w:cantSplit/>
        </w:trPr>
        <w:tc>
          <w:tcPr>
            <w:tcW w:w="2173" w:type="dxa"/>
          </w:tcPr>
          <w:p>
            <w:pPr>
              <w:pStyle w:val="yTableNAm"/>
              <w:keepNext/>
              <w:jc w:val="center"/>
            </w:pPr>
            <w:r>
              <w:t>1</w:t>
            </w:r>
          </w:p>
        </w:tc>
        <w:tc>
          <w:tcPr>
            <w:tcW w:w="2173" w:type="dxa"/>
            <w:vAlign w:val="bottom"/>
          </w:tcPr>
          <w:p>
            <w:pPr>
              <w:pStyle w:val="yTableNAm"/>
              <w:keepNext/>
              <w:jc w:val="center"/>
            </w:pPr>
            <w:r>
              <w:t>728.40</w:t>
            </w:r>
          </w:p>
        </w:tc>
        <w:tc>
          <w:tcPr>
            <w:tcW w:w="1087" w:type="dxa"/>
          </w:tcPr>
          <w:p>
            <w:pPr>
              <w:pStyle w:val="yTableNAm"/>
              <w:keepNext/>
              <w:jc w:val="center"/>
            </w:pPr>
            <w:r>
              <w:t>88.18</w:t>
            </w:r>
          </w:p>
        </w:tc>
        <w:tc>
          <w:tcPr>
            <w:tcW w:w="1087" w:type="dxa"/>
          </w:tcPr>
          <w:p>
            <w:pPr>
              <w:pStyle w:val="yTableNAm"/>
              <w:keepNext/>
              <w:jc w:val="center"/>
            </w:pPr>
            <w:r>
              <w:t>73.13</w:t>
            </w:r>
          </w:p>
        </w:tc>
      </w:tr>
      <w:tr>
        <w:trPr>
          <w:cantSplit/>
        </w:trPr>
        <w:tc>
          <w:tcPr>
            <w:tcW w:w="2173" w:type="dxa"/>
          </w:tcPr>
          <w:p>
            <w:pPr>
              <w:pStyle w:val="yTableNAm"/>
              <w:jc w:val="center"/>
            </w:pPr>
            <w:r>
              <w:t>2</w:t>
            </w:r>
          </w:p>
        </w:tc>
        <w:tc>
          <w:tcPr>
            <w:tcW w:w="2173" w:type="dxa"/>
            <w:vAlign w:val="bottom"/>
          </w:tcPr>
          <w:p>
            <w:pPr>
              <w:pStyle w:val="yTableNAm"/>
              <w:jc w:val="center"/>
            </w:pPr>
            <w:r>
              <w:t>311.80</w:t>
            </w:r>
          </w:p>
        </w:tc>
        <w:tc>
          <w:tcPr>
            <w:tcW w:w="1087" w:type="dxa"/>
          </w:tcPr>
          <w:p>
            <w:pPr>
              <w:pStyle w:val="yTableNAm"/>
              <w:jc w:val="center"/>
            </w:pPr>
            <w:r>
              <w:t>72.38</w:t>
            </w:r>
          </w:p>
        </w:tc>
        <w:tc>
          <w:tcPr>
            <w:tcW w:w="1087" w:type="dxa"/>
          </w:tcPr>
          <w:p>
            <w:pPr>
              <w:pStyle w:val="yTableNAm"/>
              <w:jc w:val="center"/>
            </w:pPr>
            <w:r>
              <w:t>72.38</w:t>
            </w:r>
          </w:p>
        </w:tc>
      </w:tr>
      <w:tr>
        <w:trPr>
          <w:cantSplit/>
        </w:trPr>
        <w:tc>
          <w:tcPr>
            <w:tcW w:w="2173" w:type="dxa"/>
          </w:tcPr>
          <w:p>
            <w:pPr>
              <w:pStyle w:val="yTableNAm"/>
              <w:jc w:val="center"/>
            </w:pPr>
            <w:r>
              <w:t>3</w:t>
            </w:r>
          </w:p>
        </w:tc>
        <w:tc>
          <w:tcPr>
            <w:tcW w:w="2173" w:type="dxa"/>
            <w:vAlign w:val="bottom"/>
          </w:tcPr>
          <w:p>
            <w:pPr>
              <w:pStyle w:val="yTableNAm"/>
              <w:jc w:val="center"/>
            </w:pPr>
            <w:r>
              <w:t>416.40</w:t>
            </w:r>
          </w:p>
        </w:tc>
        <w:tc>
          <w:tcPr>
            <w:tcW w:w="1087" w:type="dxa"/>
          </w:tcPr>
          <w:p>
            <w:pPr>
              <w:pStyle w:val="yTableNAm"/>
              <w:jc w:val="center"/>
            </w:pPr>
            <w:r>
              <w:t>79.32</w:t>
            </w:r>
          </w:p>
        </w:tc>
        <w:tc>
          <w:tcPr>
            <w:tcW w:w="1087" w:type="dxa"/>
          </w:tcPr>
          <w:p>
            <w:pPr>
              <w:pStyle w:val="yTableNAm"/>
              <w:jc w:val="center"/>
            </w:pPr>
            <w:r>
              <w:t>79.32</w:t>
            </w:r>
          </w:p>
        </w:tc>
      </w:tr>
      <w:tr>
        <w:trPr>
          <w:cantSplit/>
        </w:trPr>
        <w:tc>
          <w:tcPr>
            <w:tcW w:w="2173" w:type="dxa"/>
            <w:tcBorders>
              <w:bottom w:val="single" w:sz="4" w:space="0" w:color="auto"/>
            </w:tcBorders>
          </w:tcPr>
          <w:p>
            <w:pPr>
              <w:pStyle w:val="yTableNAm"/>
              <w:jc w:val="center"/>
            </w:pPr>
            <w:r>
              <w:t>4+</w:t>
            </w:r>
          </w:p>
        </w:tc>
        <w:tc>
          <w:tcPr>
            <w:tcW w:w="2173" w:type="dxa"/>
            <w:tcBorders>
              <w:bottom w:val="single" w:sz="4" w:space="0" w:color="auto"/>
            </w:tcBorders>
            <w:vAlign w:val="bottom"/>
          </w:tcPr>
          <w:p>
            <w:pPr>
              <w:pStyle w:val="yTableNAm"/>
              <w:jc w:val="center"/>
            </w:pPr>
            <w:r>
              <w:t>452.80</w:t>
            </w:r>
          </w:p>
        </w:tc>
        <w:tc>
          <w:tcPr>
            <w:tcW w:w="1087" w:type="dxa"/>
            <w:tcBorders>
              <w:bottom w:val="single" w:sz="4" w:space="0" w:color="auto"/>
            </w:tcBorders>
          </w:tcPr>
          <w:p>
            <w:pPr>
              <w:pStyle w:val="yTableNAm"/>
              <w:jc w:val="center"/>
            </w:pPr>
            <w:r>
              <w:t>80.98</w:t>
            </w:r>
          </w:p>
        </w:tc>
        <w:tc>
          <w:tcPr>
            <w:tcW w:w="1087" w:type="dxa"/>
            <w:tcBorders>
              <w:bottom w:val="single" w:sz="4" w:space="0" w:color="auto"/>
            </w:tcBorders>
          </w:tcPr>
          <w:p>
            <w:pPr>
              <w:pStyle w:val="yTableNAm"/>
              <w:jc w:val="center"/>
            </w:pPr>
            <w:r>
              <w:t>80.98</w:t>
            </w:r>
          </w:p>
        </w:tc>
      </w:tr>
    </w:tbl>
    <w:p>
      <w:pPr>
        <w:pStyle w:val="yMiscellaneousBody"/>
        <w:spacing w:before="0"/>
      </w:pPr>
    </w:p>
    <w:tbl>
      <w:tblPr>
        <w:tblW w:w="0" w:type="auto"/>
        <w:tblInd w:w="534" w:type="dxa"/>
        <w:tblLayout w:type="fixed"/>
        <w:tblLook w:val="0000" w:firstRow="0" w:lastRow="0" w:firstColumn="0" w:lastColumn="0" w:noHBand="0" w:noVBand="0"/>
      </w:tblPr>
      <w:tblGrid>
        <w:gridCol w:w="850"/>
        <w:gridCol w:w="4236"/>
        <w:gridCol w:w="1434"/>
      </w:tblGrid>
      <w:tr>
        <w:trPr>
          <w:cantSplit/>
        </w:trPr>
        <w:tc>
          <w:tcPr>
            <w:tcW w:w="850" w:type="dxa"/>
          </w:tcPr>
          <w:p>
            <w:pPr>
              <w:pStyle w:val="yTableNAm"/>
              <w:rPr>
                <w:b/>
              </w:rPr>
            </w:pPr>
            <w:r>
              <w:rPr>
                <w:b/>
              </w:rPr>
              <w:t>3.</w:t>
            </w:r>
          </w:p>
        </w:tc>
        <w:tc>
          <w:tcPr>
            <w:tcW w:w="4236" w:type="dxa"/>
          </w:tcPr>
          <w:p>
            <w:pPr>
              <w:pStyle w:val="yTableNAm"/>
              <w:tabs>
                <w:tab w:val="right" w:leader="dot" w:pos="4253"/>
              </w:tabs>
              <w:rPr>
                <w:b/>
              </w:rPr>
            </w:pPr>
            <w:r>
              <w:rPr>
                <w:b/>
              </w:rPr>
              <w:t>Strata</w:t>
            </w:r>
            <w:r>
              <w:rPr>
                <w:b/>
              </w:rPr>
              <w:noBreakHyphen/>
              <w:t>titled caravan bay</w:t>
            </w:r>
          </w:p>
        </w:tc>
        <w:tc>
          <w:tcPr>
            <w:tcW w:w="1434" w:type="dxa"/>
            <w:vAlign w:val="bottom"/>
          </w:tcPr>
          <w:p>
            <w:pPr>
              <w:pStyle w:val="yTableNAm"/>
              <w:tabs>
                <w:tab w:val="clear" w:pos="567"/>
                <w:tab w:val="left" w:pos="335"/>
                <w:tab w:val="right" w:leader="dot" w:pos="4253"/>
              </w:tabs>
              <w:rPr>
                <w:b/>
              </w:rPr>
            </w:pPr>
          </w:p>
        </w:tc>
      </w:tr>
      <w:tr>
        <w:trPr>
          <w:cantSplit/>
        </w:trPr>
        <w:tc>
          <w:tcPr>
            <w:tcW w:w="850" w:type="dxa"/>
          </w:tcPr>
          <w:p>
            <w:pPr>
              <w:pStyle w:val="yTableNAm"/>
            </w:pPr>
          </w:p>
        </w:tc>
        <w:tc>
          <w:tcPr>
            <w:tcW w:w="4236" w:type="dxa"/>
          </w:tcPr>
          <w:p>
            <w:pPr>
              <w:pStyle w:val="yTableNAm"/>
              <w:tabs>
                <w:tab w:val="right" w:leader="dot" w:pos="4253"/>
              </w:tabs>
              <w:rPr>
                <w:spacing w:val="-1"/>
              </w:rPr>
            </w:pPr>
            <w:r>
              <w:rPr>
                <w:spacing w:val="-1"/>
              </w:rPr>
              <w:t xml:space="preserve">In </w:t>
            </w:r>
            <w:r>
              <w:t>respect</w:t>
            </w:r>
            <w:r>
              <w:rPr>
                <w:spacing w:val="-1"/>
              </w:rPr>
              <w:t xml:space="preserve"> of each residential property being a single caravan bay that is a lot within the meaning of the </w:t>
            </w:r>
            <w:r>
              <w:rPr>
                <w:i/>
                <w:spacing w:val="-1"/>
              </w:rPr>
              <w:t>Strata Titles Act 1985</w:t>
            </w:r>
            <w:r>
              <w:rPr>
                <w:spacing w:val="-1"/>
              </w:rPr>
              <w:t xml:space="preserve"> </w:t>
            </w:r>
            <w:r>
              <w:rPr>
                <w:spacing w:val="-1"/>
              </w:rPr>
              <w:tab/>
            </w:r>
          </w:p>
        </w:tc>
        <w:tc>
          <w:tcPr>
            <w:tcW w:w="1434" w:type="dxa"/>
            <w:vAlign w:val="bottom"/>
          </w:tcPr>
          <w:p>
            <w:pPr>
              <w:pStyle w:val="yTableNAm"/>
              <w:tabs>
                <w:tab w:val="clear" w:pos="567"/>
                <w:tab w:val="left" w:pos="335"/>
                <w:tab w:val="right" w:leader="dot" w:pos="4253"/>
              </w:tabs>
              <w:rPr>
                <w:spacing w:val="-1"/>
              </w:rPr>
            </w:pPr>
            <w:r>
              <w:rPr>
                <w:spacing w:val="-1"/>
              </w:rPr>
              <w:t>$240.50</w:t>
            </w:r>
          </w:p>
        </w:tc>
      </w:tr>
      <w:tr>
        <w:trPr>
          <w:cantSplit/>
        </w:trPr>
        <w:tc>
          <w:tcPr>
            <w:tcW w:w="850" w:type="dxa"/>
          </w:tcPr>
          <w:p>
            <w:pPr>
              <w:pStyle w:val="yTableNAm"/>
              <w:keepNext/>
              <w:keepLines/>
              <w:rPr>
                <w:b/>
                <w:bCs/>
              </w:rPr>
            </w:pPr>
            <w:r>
              <w:rPr>
                <w:b/>
                <w:bCs/>
              </w:rPr>
              <w:t>4.</w:t>
            </w:r>
          </w:p>
        </w:tc>
        <w:tc>
          <w:tcPr>
            <w:tcW w:w="4236" w:type="dxa"/>
          </w:tcPr>
          <w:p>
            <w:pPr>
              <w:pStyle w:val="yTableNAm"/>
              <w:keepNext/>
              <w:keepLines/>
              <w:tabs>
                <w:tab w:val="right" w:leader="dot" w:pos="4253"/>
              </w:tabs>
              <w:rPr>
                <w:b/>
                <w:bCs/>
              </w:rPr>
            </w:pPr>
            <w:r>
              <w:rPr>
                <w:b/>
                <w:bCs/>
              </w:rPr>
              <w:t>Strata</w:t>
            </w:r>
            <w:r>
              <w:rPr>
                <w:b/>
                <w:bCs/>
              </w:rPr>
              <w:noBreakHyphen/>
              <w:t>titled storage unit and strata</w:t>
            </w:r>
            <w:r>
              <w:rPr>
                <w:b/>
                <w:bCs/>
              </w:rPr>
              <w:noBreakHyphen/>
              <w:t>titled parking bay</w:t>
            </w:r>
          </w:p>
        </w:tc>
        <w:tc>
          <w:tcPr>
            <w:tcW w:w="1434" w:type="dxa"/>
            <w:vAlign w:val="bottom"/>
          </w:tcPr>
          <w:p>
            <w:pPr>
              <w:pStyle w:val="yTableNAm"/>
              <w:keepNext/>
              <w:keepLines/>
              <w:tabs>
                <w:tab w:val="clear" w:pos="567"/>
                <w:tab w:val="left" w:pos="335"/>
                <w:tab w:val="right" w:leader="dot" w:pos="4253"/>
              </w:tabs>
              <w:rPr>
                <w:b/>
                <w:bCs/>
              </w:rPr>
            </w:pPr>
          </w:p>
        </w:tc>
      </w:tr>
      <w:tr>
        <w:trPr>
          <w:cantSplit/>
        </w:trPr>
        <w:tc>
          <w:tcPr>
            <w:tcW w:w="850" w:type="dxa"/>
          </w:tcPr>
          <w:p>
            <w:pPr>
              <w:pStyle w:val="yTableNAm"/>
              <w:keepNext/>
              <w:keepLines/>
            </w:pPr>
          </w:p>
        </w:tc>
        <w:tc>
          <w:tcPr>
            <w:tcW w:w="4236" w:type="dxa"/>
          </w:tcPr>
          <w:p>
            <w:pPr>
              <w:pStyle w:val="yTableNAm"/>
              <w:keepNext/>
              <w:keepLines/>
              <w:tabs>
                <w:tab w:val="right" w:leader="dot" w:pos="4253"/>
              </w:tabs>
              <w:rPr>
                <w:spacing w:val="-1"/>
              </w:rPr>
            </w:pPr>
            <w:r>
              <w:rPr>
                <w:spacing w:val="-1"/>
              </w:rPr>
              <w:t xml:space="preserve">In respect of land comprised in a unit used for storage purposes or as a parking bay that is a lot within the meaning of the </w:t>
            </w:r>
            <w:r>
              <w:rPr>
                <w:i/>
                <w:spacing w:val="-1"/>
              </w:rPr>
              <w:t>Strata Titles Act 1985</w:t>
            </w:r>
            <w:r>
              <w:rPr>
                <w:spacing w:val="-1"/>
              </w:rPr>
              <w:t xml:space="preserve"> </w:t>
            </w:r>
            <w:r>
              <w:rPr>
                <w:spacing w:val="-1"/>
              </w:rPr>
              <w:tab/>
            </w:r>
          </w:p>
        </w:tc>
        <w:tc>
          <w:tcPr>
            <w:tcW w:w="1434" w:type="dxa"/>
            <w:vAlign w:val="bottom"/>
          </w:tcPr>
          <w:p>
            <w:pPr>
              <w:pStyle w:val="yTableNAm"/>
              <w:keepNext/>
              <w:keepLines/>
              <w:tabs>
                <w:tab w:val="clear" w:pos="567"/>
                <w:tab w:val="left" w:pos="335"/>
                <w:tab w:val="right" w:leader="dot" w:pos="4253"/>
              </w:tabs>
              <w:rPr>
                <w:spacing w:val="-1"/>
              </w:rPr>
            </w:pPr>
            <w:r>
              <w:rPr>
                <w:spacing w:val="-1"/>
              </w:rPr>
              <w:t>$72.20</w:t>
            </w:r>
          </w:p>
        </w:tc>
      </w:tr>
      <w:tr>
        <w:trPr>
          <w:cantSplit/>
        </w:trPr>
        <w:tc>
          <w:tcPr>
            <w:tcW w:w="850" w:type="dxa"/>
          </w:tcPr>
          <w:p>
            <w:pPr>
              <w:pStyle w:val="yTableNAm"/>
              <w:rPr>
                <w:b/>
                <w:bCs/>
              </w:rPr>
            </w:pPr>
            <w:r>
              <w:rPr>
                <w:b/>
              </w:rPr>
              <w:t>5</w:t>
            </w:r>
            <w:r>
              <w:rPr>
                <w:b/>
                <w:bCs/>
              </w:rPr>
              <w:t>.</w:t>
            </w:r>
          </w:p>
        </w:tc>
        <w:tc>
          <w:tcPr>
            <w:tcW w:w="5670" w:type="dxa"/>
            <w:gridSpan w:val="2"/>
          </w:tcPr>
          <w:p>
            <w:pPr>
              <w:pStyle w:val="yTableNAm"/>
              <w:tabs>
                <w:tab w:val="right" w:leader="dot" w:pos="4253"/>
              </w:tabs>
              <w:rPr>
                <w:b/>
                <w:bCs/>
              </w:rPr>
            </w:pPr>
            <w:r>
              <w:rPr>
                <w:b/>
                <w:bCs/>
              </w:rPr>
              <w:t>Non</w:t>
            </w:r>
            <w:r>
              <w:rPr>
                <w:b/>
                <w:bCs/>
              </w:rPr>
              <w:noBreakHyphen/>
              <w:t>residential strata</w:t>
            </w:r>
            <w:r>
              <w:rPr>
                <w:b/>
                <w:bCs/>
              </w:rPr>
              <w:noBreakHyphen/>
              <w:t>titled unit (except a storage unit or parking bay)</w:t>
            </w:r>
          </w:p>
        </w:tc>
      </w:tr>
      <w:tr>
        <w:trPr>
          <w:cantSplit/>
        </w:trPr>
        <w:tc>
          <w:tcPr>
            <w:tcW w:w="850" w:type="dxa"/>
          </w:tcPr>
          <w:p>
            <w:pPr>
              <w:pStyle w:val="yTableNAm"/>
            </w:pPr>
          </w:p>
        </w:tc>
        <w:tc>
          <w:tcPr>
            <w:tcW w:w="4236" w:type="dxa"/>
          </w:tcPr>
          <w:p>
            <w:pPr>
              <w:pStyle w:val="yTableNAm"/>
              <w:tabs>
                <w:tab w:val="right" w:leader="dot" w:pos="4253"/>
              </w:tabs>
              <w:rPr>
                <w:spacing w:val="-1"/>
              </w:rPr>
            </w:pPr>
            <w:r>
              <w:t>In respect of land that —</w:t>
            </w:r>
          </w:p>
        </w:tc>
        <w:tc>
          <w:tcPr>
            <w:tcW w:w="1434" w:type="dxa"/>
            <w:vAlign w:val="bottom"/>
          </w:tcPr>
          <w:p>
            <w:pPr>
              <w:pStyle w:val="yTableNAm"/>
              <w:tabs>
                <w:tab w:val="clear" w:pos="567"/>
                <w:tab w:val="left" w:pos="335"/>
                <w:tab w:val="right" w:leader="dot" w:pos="4253"/>
              </w:tabs>
              <w:rPr>
                <w:spacing w:val="-1"/>
              </w:rPr>
            </w:pPr>
          </w:p>
        </w:tc>
      </w:tr>
      <w:tr>
        <w:trPr>
          <w:cantSplit/>
        </w:trPr>
        <w:tc>
          <w:tcPr>
            <w:tcW w:w="850" w:type="dxa"/>
          </w:tcPr>
          <w:p>
            <w:pPr>
              <w:pStyle w:val="yTableNAm"/>
            </w:pPr>
          </w:p>
        </w:tc>
        <w:tc>
          <w:tcPr>
            <w:tcW w:w="4236" w:type="dxa"/>
          </w:tcPr>
          <w:p>
            <w:pPr>
              <w:pStyle w:val="yTableNAm"/>
              <w:tabs>
                <w:tab w:val="clear" w:pos="567"/>
                <w:tab w:val="left" w:pos="351"/>
                <w:tab w:val="left" w:pos="918"/>
                <w:tab w:val="right" w:leader="dot" w:pos="4253"/>
              </w:tabs>
              <w:ind w:left="918" w:hanging="918"/>
              <w:rPr>
                <w:spacing w:val="-1"/>
              </w:rPr>
            </w:pPr>
            <w:r>
              <w:tab/>
              <w:t>(a)</w:t>
            </w:r>
            <w:r>
              <w:tab/>
              <w:t>is classified non</w:t>
            </w:r>
            <w:r>
              <w:noBreakHyphen/>
              <w:t>residential; and</w:t>
            </w:r>
          </w:p>
        </w:tc>
        <w:tc>
          <w:tcPr>
            <w:tcW w:w="1434" w:type="dxa"/>
            <w:vAlign w:val="bottom"/>
          </w:tcPr>
          <w:p>
            <w:pPr>
              <w:pStyle w:val="yTableNAm"/>
              <w:tabs>
                <w:tab w:val="clear" w:pos="567"/>
                <w:tab w:val="left" w:pos="335"/>
                <w:tab w:val="right" w:leader="dot" w:pos="4253"/>
              </w:tabs>
              <w:rPr>
                <w:spacing w:val="-1"/>
              </w:rPr>
            </w:pPr>
          </w:p>
        </w:tc>
      </w:tr>
      <w:tr>
        <w:trPr>
          <w:cantSplit/>
        </w:trPr>
        <w:tc>
          <w:tcPr>
            <w:tcW w:w="850" w:type="dxa"/>
          </w:tcPr>
          <w:p>
            <w:pPr>
              <w:pStyle w:val="yTableNAm"/>
            </w:pPr>
          </w:p>
        </w:tc>
        <w:tc>
          <w:tcPr>
            <w:tcW w:w="4236" w:type="dxa"/>
          </w:tcPr>
          <w:p>
            <w:pPr>
              <w:pStyle w:val="yTableNAm"/>
              <w:tabs>
                <w:tab w:val="clear" w:pos="567"/>
                <w:tab w:val="left" w:pos="351"/>
                <w:tab w:val="left" w:pos="918"/>
                <w:tab w:val="right" w:leader="dot" w:pos="4253"/>
              </w:tabs>
              <w:ind w:left="918" w:hanging="918"/>
              <w:rPr>
                <w:spacing w:val="-1"/>
              </w:rPr>
            </w:pPr>
            <w:r>
              <w:tab/>
              <w:t>(b)</w:t>
            </w:r>
            <w:r>
              <w:tab/>
              <w:t xml:space="preserve">comprises a unit that is a lot within the meaning of the </w:t>
            </w:r>
            <w:r>
              <w:rPr>
                <w:i/>
              </w:rPr>
              <w:t>Strata Titles Act 1985</w:t>
            </w:r>
            <w:r>
              <w:t>; and</w:t>
            </w:r>
          </w:p>
        </w:tc>
        <w:tc>
          <w:tcPr>
            <w:tcW w:w="1434" w:type="dxa"/>
            <w:vAlign w:val="bottom"/>
          </w:tcPr>
          <w:p>
            <w:pPr>
              <w:pStyle w:val="yTableNAm"/>
              <w:tabs>
                <w:tab w:val="clear" w:pos="567"/>
                <w:tab w:val="left" w:pos="335"/>
                <w:tab w:val="right" w:leader="dot" w:pos="4253"/>
              </w:tabs>
              <w:rPr>
                <w:spacing w:val="-1"/>
              </w:rPr>
            </w:pPr>
          </w:p>
        </w:tc>
      </w:tr>
      <w:tr>
        <w:trPr>
          <w:cantSplit/>
        </w:trPr>
        <w:tc>
          <w:tcPr>
            <w:tcW w:w="850" w:type="dxa"/>
          </w:tcPr>
          <w:p>
            <w:pPr>
              <w:pStyle w:val="yTableNAm"/>
            </w:pPr>
          </w:p>
        </w:tc>
        <w:tc>
          <w:tcPr>
            <w:tcW w:w="4236" w:type="dxa"/>
          </w:tcPr>
          <w:p>
            <w:pPr>
              <w:pStyle w:val="yTableNAm"/>
              <w:tabs>
                <w:tab w:val="clear" w:pos="567"/>
                <w:tab w:val="left" w:pos="351"/>
                <w:tab w:val="left" w:pos="918"/>
                <w:tab w:val="right" w:leader="dot" w:pos="4253"/>
              </w:tabs>
              <w:ind w:left="918" w:hanging="918"/>
            </w:pPr>
            <w:r>
              <w:tab/>
              <w:t>(c)</w:t>
            </w:r>
            <w:r>
              <w:tab/>
              <w:t>shares a major fixture with another unit described in paragraph (b) and has no other major fixtures that discharge into the sewer; and</w:t>
            </w:r>
          </w:p>
        </w:tc>
        <w:tc>
          <w:tcPr>
            <w:tcW w:w="1434" w:type="dxa"/>
            <w:vAlign w:val="bottom"/>
          </w:tcPr>
          <w:p>
            <w:pPr>
              <w:pStyle w:val="yTableNAm"/>
              <w:tabs>
                <w:tab w:val="clear" w:pos="567"/>
                <w:tab w:val="left" w:pos="335"/>
                <w:tab w:val="right" w:leader="dot" w:pos="4253"/>
              </w:tabs>
              <w:rPr>
                <w:spacing w:val="-1"/>
              </w:rPr>
            </w:pPr>
          </w:p>
        </w:tc>
      </w:tr>
      <w:tr>
        <w:trPr>
          <w:cantSplit/>
        </w:trPr>
        <w:tc>
          <w:tcPr>
            <w:tcW w:w="850" w:type="dxa"/>
          </w:tcPr>
          <w:p>
            <w:pPr>
              <w:pStyle w:val="yTableNAm"/>
            </w:pPr>
          </w:p>
        </w:tc>
        <w:tc>
          <w:tcPr>
            <w:tcW w:w="4236" w:type="dxa"/>
          </w:tcPr>
          <w:p>
            <w:pPr>
              <w:pStyle w:val="yTableNAm"/>
              <w:tabs>
                <w:tab w:val="clear" w:pos="567"/>
                <w:tab w:val="left" w:pos="351"/>
                <w:tab w:val="left" w:pos="918"/>
                <w:tab w:val="right" w:leader="dot" w:pos="4253"/>
              </w:tabs>
              <w:ind w:left="918" w:hanging="918"/>
            </w:pPr>
            <w:r>
              <w:tab/>
              <w:t>(d)</w:t>
            </w:r>
            <w:r>
              <w:tab/>
              <w:t>is not land mentioned in item 4,</w:t>
            </w:r>
          </w:p>
        </w:tc>
        <w:tc>
          <w:tcPr>
            <w:tcW w:w="1434" w:type="dxa"/>
            <w:vAlign w:val="bottom"/>
          </w:tcPr>
          <w:p>
            <w:pPr>
              <w:pStyle w:val="yTableNAm"/>
              <w:tabs>
                <w:tab w:val="clear" w:pos="567"/>
                <w:tab w:val="left" w:pos="335"/>
                <w:tab w:val="right" w:leader="dot" w:pos="4253"/>
              </w:tabs>
              <w:rPr>
                <w:spacing w:val="-1"/>
              </w:rPr>
            </w:pPr>
          </w:p>
        </w:tc>
      </w:tr>
      <w:tr>
        <w:trPr>
          <w:cantSplit/>
        </w:trPr>
        <w:tc>
          <w:tcPr>
            <w:tcW w:w="850" w:type="dxa"/>
          </w:tcPr>
          <w:p>
            <w:pPr>
              <w:pStyle w:val="yTableNAm"/>
            </w:pPr>
          </w:p>
        </w:tc>
        <w:tc>
          <w:tcPr>
            <w:tcW w:w="4236" w:type="dxa"/>
          </w:tcPr>
          <w:p>
            <w:pPr>
              <w:pStyle w:val="yTableNAm"/>
              <w:tabs>
                <w:tab w:val="right" w:leader="dot" w:pos="4253"/>
              </w:tabs>
              <w:rPr>
                <w:spacing w:val="-1"/>
              </w:rPr>
            </w:pPr>
            <w:r>
              <w:rPr>
                <w:spacing w:val="-1"/>
              </w:rPr>
              <w:t xml:space="preserve">and </w:t>
            </w:r>
            <w:r>
              <w:t xml:space="preserve">where </w:t>
            </w:r>
            <w:r>
              <w:rPr>
                <w:spacing w:val="-1"/>
              </w:rPr>
              <w:t xml:space="preserve">the total number of major fixtures shared by all the units on the relevant strata plan is less than the number of those units </w:t>
            </w:r>
            <w:r>
              <w:rPr>
                <w:spacing w:val="-1"/>
              </w:rPr>
              <w:tab/>
            </w:r>
          </w:p>
        </w:tc>
        <w:tc>
          <w:tcPr>
            <w:tcW w:w="1434" w:type="dxa"/>
            <w:vAlign w:val="bottom"/>
          </w:tcPr>
          <w:p>
            <w:pPr>
              <w:pStyle w:val="yTableNAm"/>
              <w:tabs>
                <w:tab w:val="clear" w:pos="567"/>
                <w:tab w:val="left" w:pos="335"/>
                <w:tab w:val="right" w:leader="dot" w:pos="4253"/>
              </w:tabs>
              <w:rPr>
                <w:spacing w:val="-1"/>
              </w:rPr>
            </w:pPr>
            <w:r>
              <w:rPr>
                <w:spacing w:val="-1"/>
              </w:rPr>
              <w:t>$452.80</w:t>
            </w:r>
          </w:p>
        </w:tc>
      </w:tr>
      <w:tr>
        <w:trPr>
          <w:cantSplit/>
        </w:trPr>
        <w:tc>
          <w:tcPr>
            <w:tcW w:w="850" w:type="dxa"/>
          </w:tcPr>
          <w:p>
            <w:pPr>
              <w:pStyle w:val="yTableNAm"/>
              <w:rPr>
                <w:b/>
              </w:rPr>
            </w:pPr>
            <w:r>
              <w:rPr>
                <w:b/>
              </w:rPr>
              <w:t>6.</w:t>
            </w:r>
          </w:p>
        </w:tc>
        <w:tc>
          <w:tcPr>
            <w:tcW w:w="5670" w:type="dxa"/>
            <w:gridSpan w:val="2"/>
          </w:tcPr>
          <w:p>
            <w:pPr>
              <w:pStyle w:val="yTableNAm"/>
              <w:tabs>
                <w:tab w:val="right" w:leader="dot" w:pos="4253"/>
              </w:tabs>
              <w:rPr>
                <w:b/>
              </w:rPr>
            </w:pPr>
            <w:r>
              <w:rPr>
                <w:b/>
              </w:rPr>
              <w:t>Land from which industrial waste is discharged into a sewer of the Corporation</w:t>
            </w:r>
          </w:p>
        </w:tc>
      </w:tr>
      <w:tr>
        <w:trPr>
          <w:cantSplit/>
        </w:trPr>
        <w:tc>
          <w:tcPr>
            <w:tcW w:w="850" w:type="dxa"/>
          </w:tcPr>
          <w:p>
            <w:pPr>
              <w:pStyle w:val="yTableNAm"/>
            </w:pPr>
          </w:p>
        </w:tc>
        <w:tc>
          <w:tcPr>
            <w:tcW w:w="4236" w:type="dxa"/>
          </w:tcPr>
          <w:p>
            <w:pPr>
              <w:pStyle w:val="yTableNAm"/>
              <w:tabs>
                <w:tab w:val="right" w:leader="dot" w:pos="4253"/>
              </w:tabs>
            </w:pPr>
            <w:r>
              <w:t xml:space="preserve">Discharge pursuant to permit </w:t>
            </w:r>
            <w:r>
              <w:tab/>
            </w:r>
          </w:p>
        </w:tc>
        <w:tc>
          <w:tcPr>
            <w:tcW w:w="1434" w:type="dxa"/>
            <w:vAlign w:val="bottom"/>
          </w:tcPr>
          <w:p>
            <w:pPr>
              <w:pStyle w:val="yTableNAm"/>
              <w:tabs>
                <w:tab w:val="clear" w:pos="567"/>
                <w:tab w:val="left" w:pos="335"/>
                <w:tab w:val="right" w:leader="dot" w:pos="4253"/>
              </w:tabs>
            </w:pPr>
            <w:r>
              <w:t>$213.10</w:t>
            </w:r>
          </w:p>
        </w:tc>
      </w:tr>
      <w:tr>
        <w:trPr>
          <w:cantSplit/>
        </w:trPr>
        <w:tc>
          <w:tcPr>
            <w:tcW w:w="850" w:type="dxa"/>
          </w:tcPr>
          <w:p>
            <w:pPr>
              <w:pStyle w:val="yTableNAm"/>
              <w:rPr>
                <w:b/>
              </w:rPr>
            </w:pPr>
            <w:r>
              <w:rPr>
                <w:b/>
              </w:rPr>
              <w:t>7.</w:t>
            </w:r>
          </w:p>
        </w:tc>
        <w:tc>
          <w:tcPr>
            <w:tcW w:w="5670" w:type="dxa"/>
            <w:gridSpan w:val="2"/>
          </w:tcPr>
          <w:p>
            <w:pPr>
              <w:pStyle w:val="yTableNAm"/>
              <w:tabs>
                <w:tab w:val="right" w:leader="dot" w:pos="4253"/>
              </w:tabs>
              <w:rPr>
                <w:b/>
              </w:rPr>
            </w:pPr>
            <w:r>
              <w:rPr>
                <w:b/>
              </w:rPr>
              <w:t>Land from which industrial waste is discharged into a sewer of the Corporation through grease arrestor</w:t>
            </w:r>
          </w:p>
        </w:tc>
      </w:tr>
      <w:tr>
        <w:trPr>
          <w:cantSplit/>
        </w:trPr>
        <w:tc>
          <w:tcPr>
            <w:tcW w:w="850" w:type="dxa"/>
          </w:tcPr>
          <w:p>
            <w:pPr>
              <w:pStyle w:val="yTableNAm"/>
              <w:rPr>
                <w:rStyle w:val="CharSClsNo"/>
              </w:rPr>
            </w:pPr>
          </w:p>
        </w:tc>
        <w:tc>
          <w:tcPr>
            <w:tcW w:w="4236" w:type="dxa"/>
          </w:tcPr>
          <w:p>
            <w:pPr>
              <w:pStyle w:val="yTableNAm"/>
              <w:tabs>
                <w:tab w:val="right" w:leader="dot" w:pos="4253"/>
              </w:tabs>
              <w:rPr>
                <w:spacing w:val="-1"/>
              </w:rPr>
            </w:pPr>
            <w:r>
              <w:t>In respect of land the subject of a permit under which industrial waste is discharged into a sewer of the Corporation through one or more grease arrestors, in addition to any other charge applicable to the land under this Schedule —</w:t>
            </w:r>
          </w:p>
        </w:tc>
        <w:tc>
          <w:tcPr>
            <w:tcW w:w="1434" w:type="dxa"/>
            <w:vAlign w:val="bottom"/>
          </w:tcPr>
          <w:p>
            <w:pPr>
              <w:pStyle w:val="yTableNAm"/>
              <w:tabs>
                <w:tab w:val="clear" w:pos="567"/>
                <w:tab w:val="left" w:pos="335"/>
                <w:tab w:val="right" w:leader="dot" w:pos="4253"/>
              </w:tabs>
              <w:rPr>
                <w:spacing w:val="-1"/>
              </w:rPr>
            </w:pPr>
          </w:p>
        </w:tc>
      </w:tr>
      <w:tr>
        <w:trPr>
          <w:cantSplit/>
        </w:trPr>
        <w:tc>
          <w:tcPr>
            <w:tcW w:w="850" w:type="dxa"/>
          </w:tcPr>
          <w:p>
            <w:pPr>
              <w:pStyle w:val="yTableNAm"/>
              <w:rPr>
                <w:rStyle w:val="CharSClsNo"/>
              </w:rPr>
            </w:pPr>
          </w:p>
        </w:tc>
        <w:tc>
          <w:tcPr>
            <w:tcW w:w="4236" w:type="dxa"/>
          </w:tcPr>
          <w:p>
            <w:pPr>
              <w:pStyle w:val="yTableNAm"/>
              <w:tabs>
                <w:tab w:val="clear" w:pos="567"/>
                <w:tab w:val="left" w:pos="351"/>
                <w:tab w:val="left" w:pos="918"/>
                <w:tab w:val="right" w:leader="dot" w:pos="4253"/>
              </w:tabs>
              <w:ind w:left="918" w:hanging="918"/>
            </w:pPr>
            <w:r>
              <w:tab/>
              <w:t>(a)</w:t>
            </w:r>
            <w:r>
              <w:tab/>
              <w:t xml:space="preserve">in respect of each grease arrestor, not being a grease arrestor that is shared with other land the subject of a permit, a charge of </w:t>
            </w:r>
            <w:r>
              <w:tab/>
            </w:r>
          </w:p>
        </w:tc>
        <w:tc>
          <w:tcPr>
            <w:tcW w:w="1434" w:type="dxa"/>
            <w:vAlign w:val="bottom"/>
          </w:tcPr>
          <w:p>
            <w:pPr>
              <w:pStyle w:val="yTableNAm"/>
              <w:tabs>
                <w:tab w:val="clear" w:pos="567"/>
                <w:tab w:val="left" w:pos="335"/>
                <w:tab w:val="right" w:leader="dot" w:pos="4253"/>
              </w:tabs>
              <w:rPr>
                <w:spacing w:val="-1"/>
              </w:rPr>
            </w:pPr>
            <w:r>
              <w:rPr>
                <w:spacing w:val="-1"/>
              </w:rPr>
              <w:t>$93.65</w:t>
            </w:r>
          </w:p>
        </w:tc>
      </w:tr>
      <w:tr>
        <w:trPr>
          <w:cantSplit/>
        </w:trPr>
        <w:tc>
          <w:tcPr>
            <w:tcW w:w="850" w:type="dxa"/>
          </w:tcPr>
          <w:p>
            <w:pPr>
              <w:pStyle w:val="yTableNAm"/>
              <w:rPr>
                <w:rStyle w:val="CharSClsNo"/>
              </w:rPr>
            </w:pPr>
          </w:p>
        </w:tc>
        <w:tc>
          <w:tcPr>
            <w:tcW w:w="4236" w:type="dxa"/>
          </w:tcPr>
          <w:p>
            <w:pPr>
              <w:pStyle w:val="yTableNAm"/>
              <w:tabs>
                <w:tab w:val="clear" w:pos="567"/>
                <w:tab w:val="left" w:pos="351"/>
                <w:tab w:val="left" w:pos="918"/>
                <w:tab w:val="right" w:leader="dot" w:pos="4253"/>
              </w:tabs>
              <w:ind w:left="918" w:hanging="918"/>
            </w:pPr>
            <w:r>
              <w:tab/>
              <w:t>(b)</w:t>
            </w:r>
            <w:r>
              <w:tab/>
              <w:t xml:space="preserve">in respect of each grease arrestor that is shared with other land the subject of a permit, a charge of </w:t>
            </w:r>
            <w:r>
              <w:tab/>
            </w:r>
          </w:p>
        </w:tc>
        <w:tc>
          <w:tcPr>
            <w:tcW w:w="1434" w:type="dxa"/>
            <w:vAlign w:val="bottom"/>
          </w:tcPr>
          <w:p>
            <w:pPr>
              <w:pStyle w:val="yTableNAm"/>
              <w:tabs>
                <w:tab w:val="clear" w:pos="567"/>
                <w:tab w:val="left" w:pos="335"/>
                <w:tab w:val="right" w:leader="dot" w:pos="4253"/>
              </w:tabs>
            </w:pPr>
            <w:r>
              <w:t>$51.15</w:t>
            </w:r>
          </w:p>
        </w:tc>
      </w:tr>
    </w:tbl>
    <w:p>
      <w:pPr>
        <w:pStyle w:val="yFootnotesection"/>
      </w:pPr>
      <w:r>
        <w:tab/>
        <w:t>[Division 1 inserted in Gazette 20 Jun 2012 p. 2722</w:t>
      </w:r>
      <w:r>
        <w:noBreakHyphen/>
        <w:t>4.]</w:t>
      </w:r>
    </w:p>
    <w:p>
      <w:pPr>
        <w:pStyle w:val="yHeading3"/>
      </w:pPr>
      <w:bookmarkStart w:id="754" w:name="_Toc84427995"/>
      <w:bookmarkStart w:id="755" w:name="_Toc328403440"/>
      <w:bookmarkStart w:id="756" w:name="_Toc328471489"/>
      <w:r>
        <w:rPr>
          <w:rStyle w:val="CharSDivNo"/>
        </w:rPr>
        <w:t>Division 2</w:t>
      </w:r>
      <w:r>
        <w:t> — </w:t>
      </w:r>
      <w:r>
        <w:rPr>
          <w:rStyle w:val="CharSDivText"/>
        </w:rPr>
        <w:t>Variable charges and charges by way of a rate</w:t>
      </w:r>
      <w:bookmarkEnd w:id="754"/>
      <w:bookmarkEnd w:id="755"/>
      <w:bookmarkEnd w:id="756"/>
    </w:p>
    <w:p>
      <w:pPr>
        <w:pStyle w:val="yFootnoteheading"/>
        <w:spacing w:after="60"/>
      </w:pPr>
      <w:r>
        <w:tab/>
        <w:t>[Heading inserted in Gazette 20 Jun 2012 p. 2725.]</w:t>
      </w:r>
    </w:p>
    <w:tbl>
      <w:tblPr>
        <w:tblW w:w="0" w:type="auto"/>
        <w:tblInd w:w="534" w:type="dxa"/>
        <w:tblLook w:val="0000" w:firstRow="0" w:lastRow="0" w:firstColumn="0" w:lastColumn="0" w:noHBand="0" w:noVBand="0"/>
      </w:tblPr>
      <w:tblGrid>
        <w:gridCol w:w="850"/>
        <w:gridCol w:w="4236"/>
        <w:gridCol w:w="1434"/>
      </w:tblGrid>
      <w:tr>
        <w:trPr>
          <w:cantSplit/>
        </w:trPr>
        <w:tc>
          <w:tcPr>
            <w:tcW w:w="850" w:type="dxa"/>
          </w:tcPr>
          <w:p>
            <w:pPr>
              <w:pStyle w:val="yTableNAm"/>
              <w:tabs>
                <w:tab w:val="right" w:leader="dot" w:pos="4253"/>
              </w:tabs>
              <w:rPr>
                <w:b/>
              </w:rPr>
            </w:pPr>
            <w:r>
              <w:rPr>
                <w:b/>
              </w:rPr>
              <w:t>8.</w:t>
            </w:r>
          </w:p>
        </w:tc>
        <w:tc>
          <w:tcPr>
            <w:tcW w:w="5670" w:type="dxa"/>
            <w:gridSpan w:val="2"/>
          </w:tcPr>
          <w:p>
            <w:pPr>
              <w:pStyle w:val="yTableNAm"/>
              <w:tabs>
                <w:tab w:val="right" w:leader="dot" w:pos="4253"/>
              </w:tabs>
              <w:rPr>
                <w:b/>
              </w:rPr>
            </w:pPr>
            <w:r>
              <w:rPr>
                <w:b/>
              </w:rPr>
              <w:t>Metropolitan residential</w:t>
            </w:r>
          </w:p>
        </w:tc>
      </w:tr>
      <w:tr>
        <w:trPr>
          <w:cantSplit/>
        </w:trPr>
        <w:tc>
          <w:tcPr>
            <w:tcW w:w="850" w:type="dxa"/>
          </w:tcPr>
          <w:p>
            <w:pPr>
              <w:pStyle w:val="yTableNAm"/>
              <w:rPr>
                <w:rStyle w:val="CharSClsNo"/>
              </w:rPr>
            </w:pPr>
          </w:p>
        </w:tc>
        <w:tc>
          <w:tcPr>
            <w:tcW w:w="4236" w:type="dxa"/>
          </w:tcPr>
          <w:p>
            <w:pPr>
              <w:pStyle w:val="yTableNAm"/>
              <w:tabs>
                <w:tab w:val="right" w:leader="dot" w:pos="4253"/>
              </w:tabs>
              <w:rPr>
                <w:spacing w:val="-1"/>
              </w:rPr>
            </w:pPr>
            <w:r>
              <w:t>In respect of each residential property in the metropolitan area not being —</w:t>
            </w:r>
          </w:p>
        </w:tc>
        <w:tc>
          <w:tcPr>
            <w:tcW w:w="1434" w:type="dxa"/>
            <w:vAlign w:val="bottom"/>
          </w:tcPr>
          <w:p>
            <w:pPr>
              <w:pStyle w:val="yTableNAm"/>
              <w:tabs>
                <w:tab w:val="clear" w:pos="567"/>
                <w:tab w:val="left" w:pos="335"/>
                <w:tab w:val="right" w:leader="dot" w:pos="4253"/>
              </w:tabs>
              <w:rPr>
                <w:spacing w:val="-1"/>
              </w:rPr>
            </w:pPr>
          </w:p>
        </w:tc>
      </w:tr>
      <w:tr>
        <w:trPr>
          <w:cantSplit/>
        </w:trPr>
        <w:tc>
          <w:tcPr>
            <w:tcW w:w="850" w:type="dxa"/>
          </w:tcPr>
          <w:p>
            <w:pPr>
              <w:pStyle w:val="yTableNAm"/>
              <w:rPr>
                <w:rStyle w:val="CharSClsNo"/>
              </w:rPr>
            </w:pPr>
          </w:p>
        </w:tc>
        <w:tc>
          <w:tcPr>
            <w:tcW w:w="4236" w:type="dxa"/>
          </w:tcPr>
          <w:p>
            <w:pPr>
              <w:pStyle w:val="yTableNAm"/>
              <w:tabs>
                <w:tab w:val="clear" w:pos="567"/>
                <w:tab w:val="left" w:pos="351"/>
                <w:tab w:val="left" w:pos="918"/>
                <w:tab w:val="right" w:leader="dot" w:pos="4253"/>
              </w:tabs>
              <w:ind w:left="918" w:hanging="918"/>
            </w:pPr>
            <w:r>
              <w:tab/>
              <w:t>(a)</w:t>
            </w:r>
            <w:r>
              <w:tab/>
              <w:t>subject to a charge under item 1 or 3; or</w:t>
            </w:r>
          </w:p>
        </w:tc>
        <w:tc>
          <w:tcPr>
            <w:tcW w:w="1434" w:type="dxa"/>
            <w:vAlign w:val="bottom"/>
          </w:tcPr>
          <w:p>
            <w:pPr>
              <w:pStyle w:val="yTableNAm"/>
              <w:tabs>
                <w:tab w:val="clear" w:pos="567"/>
                <w:tab w:val="left" w:pos="335"/>
                <w:tab w:val="right" w:leader="dot" w:pos="4253"/>
              </w:tabs>
            </w:pPr>
          </w:p>
        </w:tc>
      </w:tr>
      <w:tr>
        <w:trPr>
          <w:cantSplit/>
        </w:trPr>
        <w:tc>
          <w:tcPr>
            <w:tcW w:w="850" w:type="dxa"/>
          </w:tcPr>
          <w:p>
            <w:pPr>
              <w:pStyle w:val="yTableNAm"/>
              <w:rPr>
                <w:rStyle w:val="CharSClsNo"/>
              </w:rPr>
            </w:pPr>
          </w:p>
        </w:tc>
        <w:tc>
          <w:tcPr>
            <w:tcW w:w="4236" w:type="dxa"/>
          </w:tcPr>
          <w:p>
            <w:pPr>
              <w:pStyle w:val="yTableNAm"/>
              <w:tabs>
                <w:tab w:val="clear" w:pos="567"/>
                <w:tab w:val="left" w:pos="351"/>
                <w:tab w:val="left" w:pos="918"/>
                <w:tab w:val="right" w:leader="dot" w:pos="4253"/>
              </w:tabs>
              <w:ind w:left="918" w:hanging="918"/>
            </w:pPr>
            <w:r>
              <w:tab/>
              <w:t>(b)</w:t>
            </w:r>
            <w:r>
              <w:tab/>
              <w:t>a caravan park or a nursing home,</w:t>
            </w:r>
          </w:p>
        </w:tc>
        <w:tc>
          <w:tcPr>
            <w:tcW w:w="1434" w:type="dxa"/>
            <w:vAlign w:val="bottom"/>
          </w:tcPr>
          <w:p>
            <w:pPr>
              <w:pStyle w:val="yTableNAm"/>
              <w:tabs>
                <w:tab w:val="clear" w:pos="567"/>
                <w:tab w:val="left" w:pos="335"/>
                <w:tab w:val="right" w:leader="dot" w:pos="4253"/>
              </w:tabs>
            </w:pPr>
          </w:p>
        </w:tc>
      </w:tr>
      <w:tr>
        <w:trPr>
          <w:cantSplit/>
        </w:trPr>
        <w:tc>
          <w:tcPr>
            <w:tcW w:w="850" w:type="dxa"/>
          </w:tcPr>
          <w:p>
            <w:pPr>
              <w:pStyle w:val="yTableNAm"/>
              <w:rPr>
                <w:rStyle w:val="CharSClsNo"/>
              </w:rPr>
            </w:pPr>
          </w:p>
        </w:tc>
        <w:tc>
          <w:tcPr>
            <w:tcW w:w="4236" w:type="dxa"/>
          </w:tcPr>
          <w:p>
            <w:pPr>
              <w:pStyle w:val="yTableNAm"/>
              <w:tabs>
                <w:tab w:val="right" w:leader="dot" w:pos="4253"/>
              </w:tabs>
            </w:pPr>
            <w:r>
              <w:t>an amount for each dollar of the GRV —</w:t>
            </w:r>
          </w:p>
        </w:tc>
        <w:tc>
          <w:tcPr>
            <w:tcW w:w="1434" w:type="dxa"/>
            <w:vAlign w:val="bottom"/>
          </w:tcPr>
          <w:p>
            <w:pPr>
              <w:pStyle w:val="yTableNAm"/>
              <w:tabs>
                <w:tab w:val="clear" w:pos="567"/>
                <w:tab w:val="left" w:pos="335"/>
                <w:tab w:val="right" w:leader="dot" w:pos="4253"/>
              </w:tabs>
            </w:pPr>
          </w:p>
        </w:tc>
      </w:tr>
      <w:tr>
        <w:trPr>
          <w:cantSplit/>
        </w:trPr>
        <w:tc>
          <w:tcPr>
            <w:tcW w:w="850" w:type="dxa"/>
          </w:tcPr>
          <w:p>
            <w:pPr>
              <w:pStyle w:val="yTableNAm"/>
              <w:rPr>
                <w:rStyle w:val="CharSClsNo"/>
              </w:rPr>
            </w:pPr>
          </w:p>
        </w:tc>
        <w:tc>
          <w:tcPr>
            <w:tcW w:w="4236" w:type="dxa"/>
          </w:tcPr>
          <w:p>
            <w:pPr>
              <w:pStyle w:val="yTableNAm"/>
              <w:tabs>
                <w:tab w:val="clear" w:pos="567"/>
                <w:tab w:val="left" w:pos="351"/>
                <w:tab w:val="left" w:pos="918"/>
                <w:tab w:val="right" w:leader="dot" w:pos="4253"/>
              </w:tabs>
              <w:ind w:left="918" w:hanging="918"/>
              <w:rPr>
                <w:spacing w:val="-1"/>
              </w:rPr>
            </w:pPr>
            <w:r>
              <w:tab/>
              <w:t>up</w:t>
            </w:r>
            <w:r>
              <w:rPr>
                <w:spacing w:val="-1"/>
              </w:rPr>
              <w:t xml:space="preserve"> to $16 700 </w:t>
            </w:r>
            <w:r>
              <w:rPr>
                <w:spacing w:val="-1"/>
              </w:rPr>
              <w:tab/>
            </w:r>
          </w:p>
        </w:tc>
        <w:tc>
          <w:tcPr>
            <w:tcW w:w="1434" w:type="dxa"/>
            <w:vAlign w:val="bottom"/>
          </w:tcPr>
          <w:p>
            <w:pPr>
              <w:pStyle w:val="yTableNAm"/>
              <w:tabs>
                <w:tab w:val="clear" w:pos="567"/>
                <w:tab w:val="left" w:pos="335"/>
                <w:tab w:val="right" w:leader="dot" w:pos="4253"/>
              </w:tabs>
              <w:rPr>
                <w:spacing w:val="-1"/>
              </w:rPr>
            </w:pPr>
            <w:r>
              <w:t>4.23 cents</w:t>
            </w:r>
            <w:r>
              <w:rPr>
                <w:spacing w:val="-1"/>
              </w:rPr>
              <w:t>/</w:t>
            </w:r>
            <w:r>
              <w:rPr>
                <w:spacing w:val="-1"/>
              </w:rPr>
              <w:br/>
              <w:t>$ of GRV</w:t>
            </w:r>
          </w:p>
        </w:tc>
      </w:tr>
      <w:tr>
        <w:trPr>
          <w:cantSplit/>
        </w:trPr>
        <w:tc>
          <w:tcPr>
            <w:tcW w:w="850" w:type="dxa"/>
          </w:tcPr>
          <w:p>
            <w:pPr>
              <w:pStyle w:val="yTableNAm"/>
              <w:rPr>
                <w:rStyle w:val="CharSClsNo"/>
              </w:rPr>
            </w:pPr>
          </w:p>
        </w:tc>
        <w:tc>
          <w:tcPr>
            <w:tcW w:w="4236" w:type="dxa"/>
          </w:tcPr>
          <w:p>
            <w:pPr>
              <w:pStyle w:val="yTableNAm"/>
              <w:tabs>
                <w:tab w:val="clear" w:pos="567"/>
                <w:tab w:val="left" w:pos="351"/>
                <w:tab w:val="left" w:pos="918"/>
                <w:tab w:val="right" w:leader="dot" w:pos="4253"/>
              </w:tabs>
              <w:ind w:left="918" w:hanging="918"/>
              <w:rPr>
                <w:spacing w:val="-1"/>
              </w:rPr>
            </w:pPr>
            <w:r>
              <w:tab/>
              <w:t>over</w:t>
            </w:r>
            <w:r>
              <w:rPr>
                <w:spacing w:val="-1"/>
              </w:rPr>
              <w:t xml:space="preserve"> $</w:t>
            </w:r>
            <w:r>
              <w:t>16</w:t>
            </w:r>
            <w:r>
              <w:rPr>
                <w:spacing w:val="-1"/>
              </w:rPr>
              <w:t xml:space="preserve"> 700 </w:t>
            </w:r>
            <w:r>
              <w:rPr>
                <w:spacing w:val="-1"/>
              </w:rPr>
              <w:tab/>
            </w:r>
          </w:p>
        </w:tc>
        <w:tc>
          <w:tcPr>
            <w:tcW w:w="1434" w:type="dxa"/>
            <w:vAlign w:val="bottom"/>
          </w:tcPr>
          <w:p>
            <w:pPr>
              <w:pStyle w:val="yTableNAm"/>
              <w:tabs>
                <w:tab w:val="clear" w:pos="567"/>
                <w:tab w:val="left" w:pos="335"/>
                <w:tab w:val="right" w:leader="dot" w:pos="4253"/>
              </w:tabs>
              <w:rPr>
                <w:spacing w:val="-1"/>
              </w:rPr>
            </w:pPr>
            <w:r>
              <w:rPr>
                <w:spacing w:val="-1"/>
              </w:rPr>
              <w:t>0.79 cents/</w:t>
            </w:r>
            <w:r>
              <w:rPr>
                <w:spacing w:val="-1"/>
              </w:rPr>
              <w:br/>
              <w:t>$ of GRV</w:t>
            </w:r>
          </w:p>
        </w:tc>
      </w:tr>
      <w:tr>
        <w:trPr>
          <w:cantSplit/>
        </w:trPr>
        <w:tc>
          <w:tcPr>
            <w:tcW w:w="850" w:type="dxa"/>
          </w:tcPr>
          <w:p>
            <w:pPr>
              <w:pStyle w:val="yTableNAm"/>
              <w:rPr>
                <w:rStyle w:val="CharSClsNo"/>
              </w:rPr>
            </w:pPr>
          </w:p>
        </w:tc>
        <w:tc>
          <w:tcPr>
            <w:tcW w:w="4236" w:type="dxa"/>
          </w:tcPr>
          <w:p>
            <w:pPr>
              <w:pStyle w:val="yTableNAm"/>
              <w:tabs>
                <w:tab w:val="right" w:leader="dot" w:pos="4253"/>
              </w:tabs>
              <w:rPr>
                <w:spacing w:val="-1"/>
              </w:rPr>
            </w:pPr>
            <w:r>
              <w:rPr>
                <w:spacing w:val="-1"/>
              </w:rPr>
              <w:t xml:space="preserve">Subject to a minimum of </w:t>
            </w:r>
            <w:r>
              <w:rPr>
                <w:spacing w:val="-1"/>
              </w:rPr>
              <w:tab/>
            </w:r>
          </w:p>
        </w:tc>
        <w:tc>
          <w:tcPr>
            <w:tcW w:w="1434" w:type="dxa"/>
            <w:vAlign w:val="bottom"/>
          </w:tcPr>
          <w:p>
            <w:pPr>
              <w:pStyle w:val="yTableNAm"/>
              <w:tabs>
                <w:tab w:val="clear" w:pos="567"/>
                <w:tab w:val="left" w:pos="335"/>
                <w:tab w:val="right" w:leader="dot" w:pos="4253"/>
              </w:tabs>
              <w:rPr>
                <w:spacing w:val="-1"/>
              </w:rPr>
            </w:pPr>
            <w:r>
              <w:rPr>
                <w:spacing w:val="-1"/>
              </w:rPr>
              <w:t>$313.20</w:t>
            </w:r>
          </w:p>
        </w:tc>
      </w:tr>
      <w:tr>
        <w:trPr>
          <w:cantSplit/>
        </w:trPr>
        <w:tc>
          <w:tcPr>
            <w:tcW w:w="850" w:type="dxa"/>
          </w:tcPr>
          <w:p>
            <w:pPr>
              <w:pStyle w:val="yTableNAm"/>
              <w:tabs>
                <w:tab w:val="right" w:leader="dot" w:pos="4253"/>
              </w:tabs>
              <w:rPr>
                <w:b/>
              </w:rPr>
            </w:pPr>
            <w:r>
              <w:rPr>
                <w:b/>
              </w:rPr>
              <w:t>9</w:t>
            </w:r>
            <w:r>
              <w:rPr>
                <w:b/>
                <w:bCs/>
              </w:rPr>
              <w:t>.</w:t>
            </w:r>
          </w:p>
        </w:tc>
        <w:tc>
          <w:tcPr>
            <w:tcW w:w="4236" w:type="dxa"/>
          </w:tcPr>
          <w:p>
            <w:pPr>
              <w:pStyle w:val="yTableNAm"/>
              <w:tabs>
                <w:tab w:val="right" w:leader="dot" w:pos="4253"/>
              </w:tabs>
              <w:rPr>
                <w:b/>
                <w:bCs/>
                <w:spacing w:val="-1"/>
              </w:rPr>
            </w:pPr>
            <w:r>
              <w:rPr>
                <w:b/>
                <w:bCs/>
              </w:rPr>
              <w:t>Metropolitan vacant land</w:t>
            </w:r>
          </w:p>
        </w:tc>
        <w:tc>
          <w:tcPr>
            <w:tcW w:w="1434" w:type="dxa"/>
            <w:vAlign w:val="bottom"/>
          </w:tcPr>
          <w:p>
            <w:pPr>
              <w:pStyle w:val="yTableNAm"/>
              <w:tabs>
                <w:tab w:val="clear" w:pos="567"/>
                <w:tab w:val="left" w:pos="335"/>
                <w:tab w:val="right" w:leader="dot" w:pos="4253"/>
              </w:tabs>
              <w:rPr>
                <w:b/>
                <w:bCs/>
                <w:spacing w:val="-1"/>
              </w:rPr>
            </w:pPr>
          </w:p>
        </w:tc>
      </w:tr>
      <w:tr>
        <w:trPr>
          <w:cantSplit/>
        </w:trPr>
        <w:tc>
          <w:tcPr>
            <w:tcW w:w="850" w:type="dxa"/>
          </w:tcPr>
          <w:p>
            <w:pPr>
              <w:pStyle w:val="yTableNAm"/>
              <w:rPr>
                <w:rStyle w:val="CharSClsNo"/>
              </w:rPr>
            </w:pPr>
          </w:p>
        </w:tc>
        <w:tc>
          <w:tcPr>
            <w:tcW w:w="4236" w:type="dxa"/>
          </w:tcPr>
          <w:p>
            <w:pPr>
              <w:pStyle w:val="yTableNAm"/>
              <w:tabs>
                <w:tab w:val="right" w:leader="dot" w:pos="4253"/>
              </w:tabs>
              <w:rPr>
                <w:spacing w:val="-1"/>
              </w:rPr>
            </w:pPr>
            <w:r>
              <w:t>In respect of vacant land in the metropolitan area not being —</w:t>
            </w:r>
          </w:p>
        </w:tc>
        <w:tc>
          <w:tcPr>
            <w:tcW w:w="1434" w:type="dxa"/>
            <w:vAlign w:val="bottom"/>
          </w:tcPr>
          <w:p>
            <w:pPr>
              <w:pStyle w:val="yTableNAm"/>
              <w:tabs>
                <w:tab w:val="clear" w:pos="567"/>
                <w:tab w:val="left" w:pos="335"/>
                <w:tab w:val="right" w:leader="dot" w:pos="4253"/>
              </w:tabs>
              <w:rPr>
                <w:spacing w:val="-1"/>
              </w:rPr>
            </w:pPr>
          </w:p>
        </w:tc>
      </w:tr>
      <w:tr>
        <w:trPr>
          <w:cantSplit/>
        </w:trPr>
        <w:tc>
          <w:tcPr>
            <w:tcW w:w="850" w:type="dxa"/>
          </w:tcPr>
          <w:p>
            <w:pPr>
              <w:pStyle w:val="yTableNAm"/>
              <w:rPr>
                <w:rStyle w:val="CharSClsNo"/>
              </w:rPr>
            </w:pPr>
          </w:p>
        </w:tc>
        <w:tc>
          <w:tcPr>
            <w:tcW w:w="4236" w:type="dxa"/>
          </w:tcPr>
          <w:p>
            <w:pPr>
              <w:pStyle w:val="yTableNAm"/>
              <w:tabs>
                <w:tab w:val="clear" w:pos="567"/>
                <w:tab w:val="left" w:pos="351"/>
                <w:tab w:val="left" w:pos="918"/>
                <w:tab w:val="right" w:leader="dot" w:pos="4253"/>
              </w:tabs>
              <w:ind w:left="918" w:hanging="918"/>
              <w:rPr>
                <w:spacing w:val="-1"/>
              </w:rPr>
            </w:pPr>
            <w:r>
              <w:tab/>
              <w:t>(a)</w:t>
            </w:r>
            <w:r>
              <w:tab/>
              <w:t>land comprised in a residential property; or</w:t>
            </w:r>
          </w:p>
        </w:tc>
        <w:tc>
          <w:tcPr>
            <w:tcW w:w="1434" w:type="dxa"/>
            <w:vAlign w:val="bottom"/>
          </w:tcPr>
          <w:p>
            <w:pPr>
              <w:pStyle w:val="yTableNAm"/>
              <w:tabs>
                <w:tab w:val="clear" w:pos="567"/>
                <w:tab w:val="left" w:pos="335"/>
                <w:tab w:val="right" w:leader="dot" w:pos="4253"/>
              </w:tabs>
              <w:rPr>
                <w:spacing w:val="-1"/>
              </w:rPr>
            </w:pPr>
          </w:p>
        </w:tc>
      </w:tr>
      <w:tr>
        <w:trPr>
          <w:cantSplit/>
        </w:trPr>
        <w:tc>
          <w:tcPr>
            <w:tcW w:w="850" w:type="dxa"/>
          </w:tcPr>
          <w:p>
            <w:pPr>
              <w:pStyle w:val="yTableNAm"/>
              <w:rPr>
                <w:rStyle w:val="CharSClsNo"/>
              </w:rPr>
            </w:pPr>
          </w:p>
        </w:tc>
        <w:tc>
          <w:tcPr>
            <w:tcW w:w="4236" w:type="dxa"/>
          </w:tcPr>
          <w:p>
            <w:pPr>
              <w:pStyle w:val="yTableNAm"/>
              <w:tabs>
                <w:tab w:val="clear" w:pos="567"/>
                <w:tab w:val="left" w:pos="351"/>
                <w:tab w:val="left" w:pos="918"/>
                <w:tab w:val="right" w:leader="dot" w:pos="4253"/>
              </w:tabs>
              <w:ind w:left="918" w:hanging="918"/>
              <w:rPr>
                <w:spacing w:val="-1"/>
              </w:rPr>
            </w:pPr>
            <w:r>
              <w:tab/>
              <w:t>(b)</w:t>
            </w:r>
            <w:r>
              <w:tab/>
              <w:t>a nursing home; or</w:t>
            </w:r>
          </w:p>
        </w:tc>
        <w:tc>
          <w:tcPr>
            <w:tcW w:w="1434" w:type="dxa"/>
            <w:vAlign w:val="bottom"/>
          </w:tcPr>
          <w:p>
            <w:pPr>
              <w:pStyle w:val="yTableNAm"/>
              <w:tabs>
                <w:tab w:val="clear" w:pos="567"/>
                <w:tab w:val="left" w:pos="335"/>
                <w:tab w:val="right" w:leader="dot" w:pos="4253"/>
              </w:tabs>
              <w:rPr>
                <w:spacing w:val="-1"/>
              </w:rPr>
            </w:pPr>
          </w:p>
        </w:tc>
      </w:tr>
      <w:tr>
        <w:trPr>
          <w:cantSplit/>
        </w:trPr>
        <w:tc>
          <w:tcPr>
            <w:tcW w:w="850" w:type="dxa"/>
          </w:tcPr>
          <w:p>
            <w:pPr>
              <w:pStyle w:val="yTableNAm"/>
              <w:rPr>
                <w:rStyle w:val="CharSClsNo"/>
              </w:rPr>
            </w:pPr>
          </w:p>
        </w:tc>
        <w:tc>
          <w:tcPr>
            <w:tcW w:w="4236" w:type="dxa"/>
          </w:tcPr>
          <w:p>
            <w:pPr>
              <w:pStyle w:val="yTableNAm"/>
              <w:tabs>
                <w:tab w:val="clear" w:pos="567"/>
                <w:tab w:val="left" w:pos="351"/>
                <w:tab w:val="left" w:pos="918"/>
                <w:tab w:val="right" w:leader="dot" w:pos="4253"/>
              </w:tabs>
              <w:ind w:left="918" w:hanging="918"/>
              <w:rPr>
                <w:spacing w:val="-1"/>
              </w:rPr>
            </w:pPr>
            <w:r>
              <w:tab/>
              <w:t>(c)</w:t>
            </w:r>
            <w:r>
              <w:tab/>
              <w:t>a caravan park; or</w:t>
            </w:r>
          </w:p>
        </w:tc>
        <w:tc>
          <w:tcPr>
            <w:tcW w:w="1434" w:type="dxa"/>
            <w:vAlign w:val="bottom"/>
          </w:tcPr>
          <w:p>
            <w:pPr>
              <w:pStyle w:val="yTableNAm"/>
              <w:tabs>
                <w:tab w:val="clear" w:pos="567"/>
                <w:tab w:val="left" w:pos="335"/>
                <w:tab w:val="right" w:leader="dot" w:pos="4253"/>
              </w:tabs>
              <w:rPr>
                <w:spacing w:val="-1"/>
              </w:rPr>
            </w:pPr>
          </w:p>
        </w:tc>
      </w:tr>
      <w:tr>
        <w:trPr>
          <w:cantSplit/>
        </w:trPr>
        <w:tc>
          <w:tcPr>
            <w:tcW w:w="850" w:type="dxa"/>
          </w:tcPr>
          <w:p>
            <w:pPr>
              <w:pStyle w:val="yTableNAm"/>
              <w:rPr>
                <w:rStyle w:val="CharSClsNo"/>
              </w:rPr>
            </w:pPr>
          </w:p>
        </w:tc>
        <w:tc>
          <w:tcPr>
            <w:tcW w:w="4236" w:type="dxa"/>
          </w:tcPr>
          <w:p>
            <w:pPr>
              <w:pStyle w:val="yTableNAm"/>
              <w:tabs>
                <w:tab w:val="clear" w:pos="567"/>
                <w:tab w:val="left" w:pos="351"/>
                <w:tab w:val="left" w:pos="918"/>
                <w:tab w:val="right" w:leader="dot" w:pos="4253"/>
              </w:tabs>
              <w:ind w:left="918" w:hanging="918"/>
            </w:pPr>
            <w:r>
              <w:tab/>
              <w:t>(d)</w:t>
            </w:r>
            <w:r>
              <w:tab/>
              <w:t>land referred to in item 1 or 3,</w:t>
            </w:r>
          </w:p>
        </w:tc>
        <w:tc>
          <w:tcPr>
            <w:tcW w:w="1434" w:type="dxa"/>
            <w:vAlign w:val="bottom"/>
          </w:tcPr>
          <w:p>
            <w:pPr>
              <w:pStyle w:val="yTableNAm"/>
              <w:tabs>
                <w:tab w:val="clear" w:pos="567"/>
                <w:tab w:val="left" w:pos="335"/>
                <w:tab w:val="right" w:leader="dot" w:pos="4253"/>
              </w:tabs>
              <w:rPr>
                <w:spacing w:val="-1"/>
              </w:rPr>
            </w:pPr>
          </w:p>
        </w:tc>
      </w:tr>
      <w:tr>
        <w:trPr>
          <w:cantSplit/>
        </w:trPr>
        <w:tc>
          <w:tcPr>
            <w:tcW w:w="850" w:type="dxa"/>
          </w:tcPr>
          <w:p>
            <w:pPr>
              <w:pStyle w:val="yTableNAm"/>
              <w:rPr>
                <w:rStyle w:val="CharSClsNo"/>
              </w:rPr>
            </w:pPr>
          </w:p>
        </w:tc>
        <w:tc>
          <w:tcPr>
            <w:tcW w:w="4236" w:type="dxa"/>
          </w:tcPr>
          <w:p>
            <w:pPr>
              <w:pStyle w:val="yTableNAm"/>
              <w:tabs>
                <w:tab w:val="right" w:leader="dot" w:pos="4253"/>
              </w:tabs>
              <w:rPr>
                <w:spacing w:val="-1"/>
              </w:rPr>
            </w:pPr>
            <w:r>
              <w:t xml:space="preserve">an amount of </w:t>
            </w:r>
            <w:r>
              <w:rPr>
                <w:spacing w:val="-1"/>
              </w:rPr>
              <w:tab/>
            </w:r>
          </w:p>
        </w:tc>
        <w:tc>
          <w:tcPr>
            <w:tcW w:w="1434" w:type="dxa"/>
            <w:vAlign w:val="bottom"/>
          </w:tcPr>
          <w:p>
            <w:pPr>
              <w:pStyle w:val="yTableNAm"/>
              <w:tabs>
                <w:tab w:val="clear" w:pos="567"/>
                <w:tab w:val="left" w:pos="335"/>
                <w:tab w:val="right" w:leader="dot" w:pos="4253"/>
              </w:tabs>
              <w:rPr>
                <w:spacing w:val="-1"/>
              </w:rPr>
            </w:pPr>
            <w:r>
              <w:t>2.700 cents/</w:t>
            </w:r>
            <w:r>
              <w:br/>
              <w:t>$ of GRV</w:t>
            </w:r>
          </w:p>
        </w:tc>
      </w:tr>
      <w:tr>
        <w:trPr>
          <w:cantSplit/>
        </w:trPr>
        <w:tc>
          <w:tcPr>
            <w:tcW w:w="850" w:type="dxa"/>
          </w:tcPr>
          <w:p>
            <w:pPr>
              <w:pStyle w:val="yTableNAm"/>
              <w:rPr>
                <w:rStyle w:val="CharSClsNo"/>
              </w:rPr>
            </w:pPr>
          </w:p>
        </w:tc>
        <w:tc>
          <w:tcPr>
            <w:tcW w:w="4236" w:type="dxa"/>
          </w:tcPr>
          <w:p>
            <w:pPr>
              <w:pStyle w:val="yTableNAm"/>
              <w:tabs>
                <w:tab w:val="right" w:leader="dot" w:pos="4253"/>
              </w:tabs>
              <w:rPr>
                <w:spacing w:val="-1"/>
              </w:rPr>
            </w:pPr>
            <w:r>
              <w:rPr>
                <w:spacing w:val="-1"/>
              </w:rPr>
              <w:t xml:space="preserve">subject to a </w:t>
            </w:r>
            <w:r>
              <w:t>minimum</w:t>
            </w:r>
            <w:r>
              <w:rPr>
                <w:spacing w:val="-1"/>
              </w:rPr>
              <w:t xml:space="preserve"> in respect of any vacant land the subject of a separate assessment of </w:t>
            </w:r>
            <w:r>
              <w:rPr>
                <w:spacing w:val="-1"/>
              </w:rPr>
              <w:tab/>
            </w:r>
          </w:p>
        </w:tc>
        <w:tc>
          <w:tcPr>
            <w:tcW w:w="1434" w:type="dxa"/>
            <w:vAlign w:val="bottom"/>
          </w:tcPr>
          <w:p>
            <w:pPr>
              <w:pStyle w:val="yTableNAm"/>
              <w:tabs>
                <w:tab w:val="clear" w:pos="567"/>
                <w:tab w:val="left" w:pos="335"/>
                <w:tab w:val="right" w:leader="dot" w:pos="4253"/>
              </w:tabs>
              <w:rPr>
                <w:spacing w:val="-1"/>
              </w:rPr>
            </w:pPr>
            <w:r>
              <w:rPr>
                <w:spacing w:val="-1"/>
              </w:rPr>
              <w:t>$235.50</w:t>
            </w:r>
          </w:p>
        </w:tc>
      </w:tr>
      <w:tr>
        <w:trPr>
          <w:cantSplit/>
        </w:trPr>
        <w:tc>
          <w:tcPr>
            <w:tcW w:w="850" w:type="dxa"/>
          </w:tcPr>
          <w:p>
            <w:pPr>
              <w:pStyle w:val="yTableNAm"/>
              <w:tabs>
                <w:tab w:val="right" w:leader="dot" w:pos="4253"/>
              </w:tabs>
              <w:rPr>
                <w:b/>
                <w:bCs/>
              </w:rPr>
            </w:pPr>
            <w:r>
              <w:rPr>
                <w:b/>
                <w:bCs/>
              </w:rPr>
              <w:t>10.</w:t>
            </w:r>
          </w:p>
        </w:tc>
        <w:tc>
          <w:tcPr>
            <w:tcW w:w="4236" w:type="dxa"/>
          </w:tcPr>
          <w:p>
            <w:pPr>
              <w:pStyle w:val="yTableNAm"/>
              <w:keepNext/>
              <w:keepLines/>
              <w:tabs>
                <w:tab w:val="right" w:leader="dot" w:pos="4253"/>
              </w:tabs>
              <w:rPr>
                <w:b/>
                <w:bCs/>
              </w:rPr>
            </w:pPr>
            <w:r>
              <w:rPr>
                <w:b/>
                <w:bCs/>
              </w:rPr>
              <w:t>Country</w:t>
            </w:r>
          </w:p>
        </w:tc>
        <w:tc>
          <w:tcPr>
            <w:tcW w:w="1434" w:type="dxa"/>
            <w:vAlign w:val="bottom"/>
          </w:tcPr>
          <w:p>
            <w:pPr>
              <w:pStyle w:val="yTableNAm"/>
              <w:tabs>
                <w:tab w:val="right" w:leader="dot" w:pos="4253"/>
              </w:tabs>
              <w:rPr>
                <w:bCs/>
              </w:rPr>
            </w:pPr>
          </w:p>
        </w:tc>
      </w:tr>
      <w:tr>
        <w:trPr>
          <w:cantSplit/>
        </w:trPr>
        <w:tc>
          <w:tcPr>
            <w:tcW w:w="850" w:type="dxa"/>
          </w:tcPr>
          <w:p>
            <w:pPr>
              <w:pStyle w:val="yTableNAm"/>
              <w:rPr>
                <w:rStyle w:val="CharSClsNo"/>
              </w:rPr>
            </w:pPr>
          </w:p>
        </w:tc>
        <w:tc>
          <w:tcPr>
            <w:tcW w:w="4236" w:type="dxa"/>
          </w:tcPr>
          <w:p>
            <w:pPr>
              <w:pStyle w:val="yTableNAm"/>
              <w:keepNext/>
              <w:keepLines/>
              <w:tabs>
                <w:tab w:val="right" w:leader="dot" w:pos="4253"/>
              </w:tabs>
            </w:pPr>
            <w:r>
              <w:t>In respect of land in a country sewerage area referred to in column 1 of the following Table, not being land referred to in Division 1 or 7 —</w:t>
            </w:r>
          </w:p>
        </w:tc>
        <w:tc>
          <w:tcPr>
            <w:tcW w:w="1434" w:type="dxa"/>
            <w:vAlign w:val="bottom"/>
          </w:tcPr>
          <w:p>
            <w:pPr>
              <w:pStyle w:val="yTableNAm"/>
              <w:tabs>
                <w:tab w:val="clear" w:pos="567"/>
                <w:tab w:val="left" w:pos="335"/>
                <w:tab w:val="right" w:leader="dot" w:pos="4253"/>
              </w:tabs>
              <w:rPr>
                <w:spacing w:val="-1"/>
              </w:rPr>
            </w:pPr>
          </w:p>
        </w:tc>
      </w:tr>
      <w:tr>
        <w:trPr>
          <w:cantSplit/>
        </w:trPr>
        <w:tc>
          <w:tcPr>
            <w:tcW w:w="850" w:type="dxa"/>
          </w:tcPr>
          <w:p>
            <w:pPr>
              <w:pStyle w:val="yTableNAm"/>
              <w:rPr>
                <w:rStyle w:val="CharSClsNo"/>
              </w:rPr>
            </w:pPr>
          </w:p>
        </w:tc>
        <w:tc>
          <w:tcPr>
            <w:tcW w:w="4236" w:type="dxa"/>
          </w:tcPr>
          <w:p>
            <w:pPr>
              <w:pStyle w:val="yTableNAm"/>
              <w:tabs>
                <w:tab w:val="clear" w:pos="567"/>
                <w:tab w:val="left" w:pos="351"/>
                <w:tab w:val="left" w:pos="918"/>
                <w:tab w:val="right" w:leader="dot" w:pos="4253"/>
              </w:tabs>
              <w:ind w:left="918" w:hanging="918"/>
            </w:pPr>
            <w:r>
              <w:tab/>
              <w:t>(a)</w:t>
            </w:r>
            <w:r>
              <w:tab/>
              <w:t>where the land is classified as residential, an amount for each dollar of the GRV as set out in column 2 of the Table;</w:t>
            </w:r>
          </w:p>
        </w:tc>
        <w:tc>
          <w:tcPr>
            <w:tcW w:w="1434" w:type="dxa"/>
            <w:vAlign w:val="bottom"/>
          </w:tcPr>
          <w:p>
            <w:pPr>
              <w:pStyle w:val="yTableNAm"/>
              <w:tabs>
                <w:tab w:val="clear" w:pos="567"/>
                <w:tab w:val="left" w:pos="335"/>
                <w:tab w:val="right" w:leader="dot" w:pos="4253"/>
              </w:tabs>
              <w:rPr>
                <w:spacing w:val="-1"/>
              </w:rPr>
            </w:pPr>
          </w:p>
        </w:tc>
      </w:tr>
      <w:tr>
        <w:trPr>
          <w:cantSplit/>
        </w:trPr>
        <w:tc>
          <w:tcPr>
            <w:tcW w:w="850" w:type="dxa"/>
          </w:tcPr>
          <w:p>
            <w:pPr>
              <w:pStyle w:val="yTableNAm"/>
              <w:rPr>
                <w:rStyle w:val="CharSClsNo"/>
              </w:rPr>
            </w:pPr>
          </w:p>
        </w:tc>
        <w:tc>
          <w:tcPr>
            <w:tcW w:w="4236" w:type="dxa"/>
          </w:tcPr>
          <w:p>
            <w:pPr>
              <w:pStyle w:val="yTableNAm"/>
              <w:tabs>
                <w:tab w:val="clear" w:pos="567"/>
                <w:tab w:val="left" w:pos="351"/>
                <w:tab w:val="left" w:pos="918"/>
                <w:tab w:val="right" w:leader="dot" w:pos="4253"/>
              </w:tabs>
              <w:ind w:left="918" w:hanging="918"/>
            </w:pPr>
            <w:r>
              <w:tab/>
              <w:t>(b)</w:t>
            </w:r>
            <w:r>
              <w:tab/>
              <w:t>where the land is not classified as residential, an amount for each dollar of the GRV as set out in column 3 of the Table,</w:t>
            </w:r>
          </w:p>
        </w:tc>
        <w:tc>
          <w:tcPr>
            <w:tcW w:w="1434" w:type="dxa"/>
            <w:vAlign w:val="bottom"/>
          </w:tcPr>
          <w:p>
            <w:pPr>
              <w:pStyle w:val="yTableNAm"/>
              <w:tabs>
                <w:tab w:val="clear" w:pos="567"/>
                <w:tab w:val="left" w:pos="335"/>
                <w:tab w:val="right" w:leader="dot" w:pos="4253"/>
              </w:tabs>
              <w:rPr>
                <w:spacing w:val="-1"/>
              </w:rPr>
            </w:pPr>
          </w:p>
        </w:tc>
      </w:tr>
      <w:tr>
        <w:trPr>
          <w:cantSplit/>
        </w:trPr>
        <w:tc>
          <w:tcPr>
            <w:tcW w:w="850" w:type="dxa"/>
          </w:tcPr>
          <w:p>
            <w:pPr>
              <w:pStyle w:val="yTableNAm"/>
              <w:rPr>
                <w:rStyle w:val="CharSClsNo"/>
              </w:rPr>
            </w:pPr>
          </w:p>
        </w:tc>
        <w:tc>
          <w:tcPr>
            <w:tcW w:w="4236" w:type="dxa"/>
          </w:tcPr>
          <w:p>
            <w:pPr>
              <w:pStyle w:val="yTableNAm"/>
              <w:tabs>
                <w:tab w:val="right" w:leader="dot" w:pos="4253"/>
              </w:tabs>
            </w:pPr>
            <w:r>
              <w:t>subject to a minimum in respect of any land the subject of a separate assessment of —</w:t>
            </w:r>
          </w:p>
        </w:tc>
        <w:tc>
          <w:tcPr>
            <w:tcW w:w="1434" w:type="dxa"/>
            <w:vAlign w:val="bottom"/>
          </w:tcPr>
          <w:p>
            <w:pPr>
              <w:pStyle w:val="yTableNAm"/>
              <w:tabs>
                <w:tab w:val="clear" w:pos="567"/>
                <w:tab w:val="left" w:pos="335"/>
                <w:tab w:val="right" w:leader="dot" w:pos="4253"/>
              </w:tabs>
              <w:rPr>
                <w:spacing w:val="-1"/>
              </w:rPr>
            </w:pPr>
          </w:p>
        </w:tc>
      </w:tr>
      <w:tr>
        <w:trPr>
          <w:cantSplit/>
        </w:trPr>
        <w:tc>
          <w:tcPr>
            <w:tcW w:w="850" w:type="dxa"/>
          </w:tcPr>
          <w:p>
            <w:pPr>
              <w:pStyle w:val="yTableNAm"/>
              <w:rPr>
                <w:rStyle w:val="CharSClsNo"/>
              </w:rPr>
            </w:pPr>
          </w:p>
        </w:tc>
        <w:tc>
          <w:tcPr>
            <w:tcW w:w="4236" w:type="dxa"/>
          </w:tcPr>
          <w:p>
            <w:pPr>
              <w:pStyle w:val="yTableNAm"/>
              <w:tabs>
                <w:tab w:val="clear" w:pos="567"/>
                <w:tab w:val="left" w:pos="351"/>
                <w:tab w:val="left" w:pos="918"/>
                <w:tab w:val="right" w:leader="dot" w:pos="4253"/>
              </w:tabs>
              <w:ind w:left="918" w:hanging="918"/>
            </w:pPr>
            <w:r>
              <w:tab/>
              <w:t>(c)</w:t>
            </w:r>
            <w:r>
              <w:tab/>
              <w:t xml:space="preserve">in the case of land classified as residential </w:t>
            </w:r>
            <w:r>
              <w:tab/>
            </w:r>
          </w:p>
        </w:tc>
        <w:tc>
          <w:tcPr>
            <w:tcW w:w="1434" w:type="dxa"/>
            <w:vAlign w:val="bottom"/>
          </w:tcPr>
          <w:p>
            <w:pPr>
              <w:pStyle w:val="yTableNAm"/>
              <w:tabs>
                <w:tab w:val="clear" w:pos="567"/>
                <w:tab w:val="left" w:pos="335"/>
                <w:tab w:val="right" w:leader="dot" w:pos="4253"/>
              </w:tabs>
            </w:pPr>
            <w:r>
              <w:t>$313.20</w:t>
            </w:r>
          </w:p>
        </w:tc>
      </w:tr>
      <w:tr>
        <w:trPr>
          <w:cantSplit/>
        </w:trPr>
        <w:tc>
          <w:tcPr>
            <w:tcW w:w="850" w:type="dxa"/>
          </w:tcPr>
          <w:p>
            <w:pPr>
              <w:pStyle w:val="yTableNAm"/>
              <w:rPr>
                <w:rStyle w:val="CharSClsNo"/>
              </w:rPr>
            </w:pPr>
          </w:p>
        </w:tc>
        <w:tc>
          <w:tcPr>
            <w:tcW w:w="4236" w:type="dxa"/>
          </w:tcPr>
          <w:p>
            <w:pPr>
              <w:pStyle w:val="yTableNAm"/>
              <w:tabs>
                <w:tab w:val="clear" w:pos="567"/>
                <w:tab w:val="left" w:pos="351"/>
                <w:tab w:val="left" w:pos="918"/>
                <w:tab w:val="right" w:leader="dot" w:pos="4253"/>
              </w:tabs>
              <w:ind w:left="918" w:hanging="918"/>
            </w:pPr>
            <w:r>
              <w:tab/>
              <w:t>(d)</w:t>
            </w:r>
            <w:r>
              <w:tab/>
              <w:t xml:space="preserve">in the case of land classified as vacant land </w:t>
            </w:r>
            <w:r>
              <w:tab/>
            </w:r>
          </w:p>
        </w:tc>
        <w:tc>
          <w:tcPr>
            <w:tcW w:w="1434" w:type="dxa"/>
            <w:vAlign w:val="bottom"/>
          </w:tcPr>
          <w:p>
            <w:pPr>
              <w:pStyle w:val="yTableNAm"/>
              <w:tabs>
                <w:tab w:val="clear" w:pos="567"/>
                <w:tab w:val="left" w:pos="335"/>
                <w:tab w:val="right" w:leader="dot" w:pos="4253"/>
              </w:tabs>
            </w:pPr>
            <w:r>
              <w:t>$206.10</w:t>
            </w:r>
          </w:p>
        </w:tc>
      </w:tr>
      <w:tr>
        <w:trPr>
          <w:cantSplit/>
        </w:trPr>
        <w:tc>
          <w:tcPr>
            <w:tcW w:w="850" w:type="dxa"/>
          </w:tcPr>
          <w:p>
            <w:pPr>
              <w:pStyle w:val="yTableNAm"/>
              <w:rPr>
                <w:rStyle w:val="CharSClsNo"/>
              </w:rPr>
            </w:pPr>
          </w:p>
        </w:tc>
        <w:tc>
          <w:tcPr>
            <w:tcW w:w="4236" w:type="dxa"/>
          </w:tcPr>
          <w:p>
            <w:pPr>
              <w:pStyle w:val="yTableNAm"/>
              <w:tabs>
                <w:tab w:val="clear" w:pos="567"/>
                <w:tab w:val="left" w:pos="351"/>
                <w:tab w:val="left" w:pos="918"/>
                <w:tab w:val="right" w:leader="dot" w:pos="4253"/>
              </w:tabs>
              <w:ind w:left="918" w:hanging="918"/>
            </w:pPr>
            <w:r>
              <w:tab/>
              <w:t>(e)</w:t>
            </w:r>
            <w:r>
              <w:tab/>
              <w:t xml:space="preserve">in the case of land not classified as residential or vacant land </w:t>
            </w:r>
            <w:r>
              <w:tab/>
            </w:r>
          </w:p>
        </w:tc>
        <w:tc>
          <w:tcPr>
            <w:tcW w:w="1434" w:type="dxa"/>
            <w:vAlign w:val="bottom"/>
          </w:tcPr>
          <w:p>
            <w:pPr>
              <w:pStyle w:val="yTableNAm"/>
              <w:tabs>
                <w:tab w:val="clear" w:pos="567"/>
                <w:tab w:val="left" w:pos="335"/>
                <w:tab w:val="right" w:leader="dot" w:pos="4253"/>
              </w:tabs>
            </w:pPr>
            <w:r>
              <w:t>$728.40</w:t>
            </w:r>
          </w:p>
        </w:tc>
      </w:tr>
      <w:tr>
        <w:trPr>
          <w:cantSplit/>
        </w:trPr>
        <w:tc>
          <w:tcPr>
            <w:tcW w:w="850" w:type="dxa"/>
          </w:tcPr>
          <w:p>
            <w:pPr>
              <w:pStyle w:val="yTableNAm"/>
              <w:rPr>
                <w:rStyle w:val="CharSClsNo"/>
              </w:rPr>
            </w:pPr>
          </w:p>
        </w:tc>
        <w:tc>
          <w:tcPr>
            <w:tcW w:w="4236" w:type="dxa"/>
          </w:tcPr>
          <w:p>
            <w:pPr>
              <w:pStyle w:val="yTableNAm"/>
              <w:tabs>
                <w:tab w:val="right" w:leader="dot" w:pos="4253"/>
              </w:tabs>
            </w:pPr>
            <w:r>
              <w:t xml:space="preserve">and subject to a maximum in respect of any land classified as residential or classified as vacant land and held for residential purposes </w:t>
            </w:r>
            <w:r>
              <w:tab/>
            </w:r>
          </w:p>
        </w:tc>
        <w:tc>
          <w:tcPr>
            <w:tcW w:w="1434" w:type="dxa"/>
            <w:vAlign w:val="bottom"/>
          </w:tcPr>
          <w:p>
            <w:pPr>
              <w:pStyle w:val="yTableNAm"/>
              <w:tabs>
                <w:tab w:val="clear" w:pos="567"/>
                <w:tab w:val="left" w:pos="335"/>
                <w:tab w:val="right" w:leader="dot" w:pos="4253"/>
              </w:tabs>
            </w:pPr>
            <w:r>
              <w:t>$780.40</w:t>
            </w:r>
          </w:p>
        </w:tc>
      </w:tr>
    </w:tbl>
    <w:p>
      <w:pPr>
        <w:pStyle w:val="yMiscellaneousBody"/>
        <w:spacing w:before="0"/>
      </w:pPr>
    </w:p>
    <w:tbl>
      <w:tblPr>
        <w:tblW w:w="0" w:type="auto"/>
        <w:tblInd w:w="567" w:type="dxa"/>
        <w:tblLayout w:type="fixed"/>
        <w:tblCellMar>
          <w:left w:w="141" w:type="dxa"/>
          <w:right w:w="141" w:type="dxa"/>
        </w:tblCellMar>
        <w:tblLook w:val="0000" w:firstRow="0" w:lastRow="0" w:firstColumn="0" w:lastColumn="0" w:noHBand="0" w:noVBand="0"/>
      </w:tblPr>
      <w:tblGrid>
        <w:gridCol w:w="2173"/>
        <w:gridCol w:w="2173"/>
        <w:gridCol w:w="2174"/>
        <w:gridCol w:w="33"/>
      </w:tblGrid>
      <w:tr>
        <w:trPr>
          <w:gridAfter w:val="1"/>
          <w:wAfter w:w="33" w:type="dxa"/>
          <w:cantSplit/>
          <w:trHeight w:hRule="exact" w:val="851"/>
          <w:tblHeader/>
        </w:trPr>
        <w:tc>
          <w:tcPr>
            <w:tcW w:w="2173" w:type="dxa"/>
            <w:tcBorders>
              <w:top w:val="single" w:sz="4" w:space="0" w:color="auto"/>
              <w:bottom w:val="single" w:sz="4" w:space="0" w:color="auto"/>
            </w:tcBorders>
          </w:tcPr>
          <w:p>
            <w:pPr>
              <w:pStyle w:val="yTableNAm"/>
              <w:jc w:val="center"/>
              <w:rPr>
                <w:b/>
              </w:rPr>
            </w:pPr>
            <w:r>
              <w:rPr>
                <w:b/>
              </w:rPr>
              <w:t>Column 1</w:t>
            </w:r>
            <w:r>
              <w:rPr>
                <w:b/>
              </w:rPr>
              <w:br/>
              <w:t>Country sewerage area</w:t>
            </w:r>
          </w:p>
        </w:tc>
        <w:tc>
          <w:tcPr>
            <w:tcW w:w="2173" w:type="dxa"/>
            <w:tcBorders>
              <w:top w:val="single" w:sz="4" w:space="0" w:color="auto"/>
              <w:bottom w:val="single" w:sz="4" w:space="0" w:color="auto"/>
            </w:tcBorders>
          </w:tcPr>
          <w:p>
            <w:pPr>
              <w:pStyle w:val="yTableNAm"/>
              <w:jc w:val="center"/>
              <w:rPr>
                <w:b/>
              </w:rPr>
            </w:pPr>
            <w:r>
              <w:rPr>
                <w:b/>
              </w:rPr>
              <w:t>Column 2</w:t>
            </w:r>
            <w:r>
              <w:rPr>
                <w:b/>
              </w:rPr>
              <w:br/>
              <w:t>(Residential)</w:t>
            </w:r>
            <w:r>
              <w:rPr>
                <w:b/>
              </w:rPr>
              <w:br/>
              <w:t>cents/$ of GRV</w:t>
            </w:r>
          </w:p>
        </w:tc>
        <w:tc>
          <w:tcPr>
            <w:tcW w:w="2174" w:type="dxa"/>
            <w:tcBorders>
              <w:top w:val="single" w:sz="4" w:space="0" w:color="auto"/>
              <w:bottom w:val="single" w:sz="4" w:space="0" w:color="auto"/>
            </w:tcBorders>
          </w:tcPr>
          <w:p>
            <w:pPr>
              <w:pStyle w:val="yTableNAm"/>
              <w:jc w:val="center"/>
              <w:rPr>
                <w:b/>
              </w:rPr>
            </w:pPr>
            <w:r>
              <w:rPr>
                <w:b/>
              </w:rPr>
              <w:t>Column 3</w:t>
            </w:r>
            <w:r>
              <w:rPr>
                <w:b/>
              </w:rPr>
              <w:br/>
              <w:t>(Non</w:t>
            </w:r>
            <w:r>
              <w:rPr>
                <w:b/>
              </w:rPr>
              <w:noBreakHyphen/>
              <w:t>residential)</w:t>
            </w:r>
            <w:r>
              <w:rPr>
                <w:b/>
              </w:rPr>
              <w:br/>
              <w:t>cents/$ of GRV</w:t>
            </w:r>
          </w:p>
        </w:tc>
      </w:tr>
      <w:tr>
        <w:trPr>
          <w:gridAfter w:val="1"/>
          <w:wAfter w:w="33" w:type="dxa"/>
          <w:cantSplit/>
        </w:trPr>
        <w:tc>
          <w:tcPr>
            <w:tcW w:w="2173" w:type="dxa"/>
          </w:tcPr>
          <w:p>
            <w:pPr>
              <w:pStyle w:val="yTableNAm"/>
            </w:pPr>
            <w:r>
              <w:t>Albany</w:t>
            </w:r>
          </w:p>
        </w:tc>
        <w:tc>
          <w:tcPr>
            <w:tcW w:w="2173" w:type="dxa"/>
            <w:vAlign w:val="bottom"/>
          </w:tcPr>
          <w:p>
            <w:pPr>
              <w:pStyle w:val="yTableNAm"/>
              <w:jc w:val="center"/>
            </w:pPr>
            <w:r>
              <w:t>9.067</w:t>
            </w:r>
          </w:p>
        </w:tc>
        <w:tc>
          <w:tcPr>
            <w:tcW w:w="2174" w:type="dxa"/>
            <w:vAlign w:val="bottom"/>
          </w:tcPr>
          <w:p>
            <w:pPr>
              <w:pStyle w:val="yTableNAm"/>
              <w:jc w:val="center"/>
            </w:pPr>
            <w:r>
              <w:t>10.448</w:t>
            </w:r>
          </w:p>
        </w:tc>
      </w:tr>
      <w:tr>
        <w:trPr>
          <w:gridAfter w:val="1"/>
          <w:wAfter w:w="33" w:type="dxa"/>
          <w:cantSplit/>
        </w:trPr>
        <w:tc>
          <w:tcPr>
            <w:tcW w:w="2173" w:type="dxa"/>
          </w:tcPr>
          <w:p>
            <w:pPr>
              <w:pStyle w:val="yTableNAm"/>
            </w:pPr>
            <w:r>
              <w:t>Augusta</w:t>
            </w:r>
          </w:p>
        </w:tc>
        <w:tc>
          <w:tcPr>
            <w:tcW w:w="2173" w:type="dxa"/>
            <w:vAlign w:val="bottom"/>
          </w:tcPr>
          <w:p>
            <w:pPr>
              <w:pStyle w:val="yTableNAm"/>
              <w:jc w:val="center"/>
            </w:pPr>
            <w:r>
              <w:t>9.250</w:t>
            </w:r>
          </w:p>
        </w:tc>
        <w:tc>
          <w:tcPr>
            <w:tcW w:w="2174" w:type="dxa"/>
            <w:vAlign w:val="bottom"/>
          </w:tcPr>
          <w:p>
            <w:pPr>
              <w:pStyle w:val="yTableNAm"/>
              <w:jc w:val="center"/>
            </w:pPr>
            <w:r>
              <w:t>6.605</w:t>
            </w:r>
          </w:p>
        </w:tc>
      </w:tr>
      <w:tr>
        <w:trPr>
          <w:gridAfter w:val="1"/>
          <w:wAfter w:w="33" w:type="dxa"/>
          <w:cantSplit/>
        </w:trPr>
        <w:tc>
          <w:tcPr>
            <w:tcW w:w="2173" w:type="dxa"/>
          </w:tcPr>
          <w:p>
            <w:pPr>
              <w:pStyle w:val="yTableNAm"/>
            </w:pPr>
            <w:r>
              <w:t>Australind</w:t>
            </w:r>
          </w:p>
        </w:tc>
        <w:tc>
          <w:tcPr>
            <w:tcW w:w="2173" w:type="dxa"/>
            <w:vAlign w:val="bottom"/>
          </w:tcPr>
          <w:p>
            <w:pPr>
              <w:pStyle w:val="yTableNAm"/>
              <w:jc w:val="center"/>
            </w:pPr>
            <w:r>
              <w:t>5.894</w:t>
            </w:r>
          </w:p>
        </w:tc>
        <w:tc>
          <w:tcPr>
            <w:tcW w:w="2174" w:type="dxa"/>
            <w:vAlign w:val="bottom"/>
          </w:tcPr>
          <w:p>
            <w:pPr>
              <w:pStyle w:val="yTableNAm"/>
              <w:jc w:val="center"/>
            </w:pPr>
            <w:r>
              <w:t>1.493</w:t>
            </w:r>
          </w:p>
        </w:tc>
      </w:tr>
      <w:tr>
        <w:trPr>
          <w:gridAfter w:val="1"/>
          <w:wAfter w:w="33" w:type="dxa"/>
          <w:cantSplit/>
        </w:trPr>
        <w:tc>
          <w:tcPr>
            <w:tcW w:w="2173" w:type="dxa"/>
          </w:tcPr>
          <w:p>
            <w:pPr>
              <w:pStyle w:val="yTableNAm"/>
            </w:pPr>
            <w:r>
              <w:t>Beverley</w:t>
            </w:r>
          </w:p>
        </w:tc>
        <w:tc>
          <w:tcPr>
            <w:tcW w:w="2173" w:type="dxa"/>
            <w:vAlign w:val="bottom"/>
          </w:tcPr>
          <w:p>
            <w:pPr>
              <w:pStyle w:val="yTableNAm"/>
              <w:jc w:val="center"/>
            </w:pPr>
            <w:r>
              <w:t>9.198</w:t>
            </w:r>
          </w:p>
        </w:tc>
        <w:tc>
          <w:tcPr>
            <w:tcW w:w="2174" w:type="dxa"/>
            <w:vAlign w:val="bottom"/>
          </w:tcPr>
          <w:p>
            <w:pPr>
              <w:pStyle w:val="yTableNAm"/>
              <w:jc w:val="center"/>
            </w:pPr>
            <w:r>
              <w:t>12.000</w:t>
            </w:r>
          </w:p>
        </w:tc>
      </w:tr>
      <w:tr>
        <w:trPr>
          <w:gridAfter w:val="1"/>
          <w:wAfter w:w="33" w:type="dxa"/>
          <w:cantSplit/>
        </w:trPr>
        <w:tc>
          <w:tcPr>
            <w:tcW w:w="2173" w:type="dxa"/>
          </w:tcPr>
          <w:p>
            <w:pPr>
              <w:pStyle w:val="yTableNAm"/>
            </w:pPr>
            <w:r>
              <w:t>Binningup</w:t>
            </w:r>
          </w:p>
        </w:tc>
        <w:tc>
          <w:tcPr>
            <w:tcW w:w="2173" w:type="dxa"/>
            <w:vAlign w:val="bottom"/>
          </w:tcPr>
          <w:p>
            <w:pPr>
              <w:pStyle w:val="yTableNAm"/>
              <w:jc w:val="center"/>
            </w:pPr>
            <w:r>
              <w:t>12.000</w:t>
            </w:r>
          </w:p>
        </w:tc>
        <w:tc>
          <w:tcPr>
            <w:tcW w:w="2174" w:type="dxa"/>
            <w:vAlign w:val="bottom"/>
          </w:tcPr>
          <w:p>
            <w:pPr>
              <w:pStyle w:val="yTableNAm"/>
              <w:jc w:val="center"/>
            </w:pPr>
            <w:r>
              <w:t>12.000</w:t>
            </w:r>
          </w:p>
        </w:tc>
      </w:tr>
      <w:tr>
        <w:trPr>
          <w:gridAfter w:val="1"/>
          <w:wAfter w:w="33" w:type="dxa"/>
          <w:cantSplit/>
        </w:trPr>
        <w:tc>
          <w:tcPr>
            <w:tcW w:w="2173" w:type="dxa"/>
          </w:tcPr>
          <w:p>
            <w:pPr>
              <w:pStyle w:val="yTableNAm"/>
            </w:pPr>
            <w:r>
              <w:t>Boddington</w:t>
            </w:r>
          </w:p>
        </w:tc>
        <w:tc>
          <w:tcPr>
            <w:tcW w:w="2173" w:type="dxa"/>
            <w:vAlign w:val="bottom"/>
          </w:tcPr>
          <w:p>
            <w:pPr>
              <w:pStyle w:val="yTableNAm"/>
              <w:jc w:val="center"/>
            </w:pPr>
            <w:r>
              <w:t>12.000</w:t>
            </w:r>
          </w:p>
        </w:tc>
        <w:tc>
          <w:tcPr>
            <w:tcW w:w="2174" w:type="dxa"/>
            <w:vAlign w:val="bottom"/>
          </w:tcPr>
          <w:p>
            <w:pPr>
              <w:pStyle w:val="yTableNAm"/>
              <w:jc w:val="center"/>
            </w:pPr>
            <w:r>
              <w:t>9.680</w:t>
            </w:r>
          </w:p>
        </w:tc>
      </w:tr>
      <w:tr>
        <w:trPr>
          <w:gridAfter w:val="1"/>
          <w:wAfter w:w="33" w:type="dxa"/>
          <w:cantSplit/>
        </w:trPr>
        <w:tc>
          <w:tcPr>
            <w:tcW w:w="2173" w:type="dxa"/>
          </w:tcPr>
          <w:p>
            <w:pPr>
              <w:pStyle w:val="yTableNAm"/>
            </w:pPr>
            <w:r>
              <w:t>Boyanup</w:t>
            </w:r>
          </w:p>
        </w:tc>
        <w:tc>
          <w:tcPr>
            <w:tcW w:w="2173" w:type="dxa"/>
            <w:vAlign w:val="bottom"/>
          </w:tcPr>
          <w:p>
            <w:pPr>
              <w:pStyle w:val="yTableNAm"/>
              <w:jc w:val="center"/>
            </w:pPr>
            <w:r>
              <w:t>12.000</w:t>
            </w:r>
          </w:p>
        </w:tc>
        <w:tc>
          <w:tcPr>
            <w:tcW w:w="2174" w:type="dxa"/>
            <w:vAlign w:val="bottom"/>
          </w:tcPr>
          <w:p>
            <w:pPr>
              <w:pStyle w:val="yTableNAm"/>
              <w:jc w:val="center"/>
            </w:pPr>
            <w:r>
              <w:t>5.381</w:t>
            </w:r>
          </w:p>
        </w:tc>
      </w:tr>
      <w:tr>
        <w:trPr>
          <w:gridAfter w:val="1"/>
          <w:wAfter w:w="33" w:type="dxa"/>
          <w:cantSplit/>
        </w:trPr>
        <w:tc>
          <w:tcPr>
            <w:tcW w:w="2173" w:type="dxa"/>
          </w:tcPr>
          <w:p>
            <w:pPr>
              <w:pStyle w:val="yTableNAm"/>
            </w:pPr>
            <w:r>
              <w:t>Bremer Bay</w:t>
            </w:r>
          </w:p>
        </w:tc>
        <w:tc>
          <w:tcPr>
            <w:tcW w:w="2173" w:type="dxa"/>
            <w:vAlign w:val="bottom"/>
          </w:tcPr>
          <w:p>
            <w:pPr>
              <w:pStyle w:val="yTableNAm"/>
              <w:jc w:val="center"/>
            </w:pPr>
            <w:r>
              <w:t>12.000</w:t>
            </w:r>
          </w:p>
        </w:tc>
        <w:tc>
          <w:tcPr>
            <w:tcW w:w="2174" w:type="dxa"/>
            <w:vAlign w:val="bottom"/>
          </w:tcPr>
          <w:p>
            <w:pPr>
              <w:pStyle w:val="yTableNAm"/>
              <w:jc w:val="center"/>
            </w:pPr>
            <w:r>
              <w:t>4.463</w:t>
            </w:r>
          </w:p>
        </w:tc>
      </w:tr>
      <w:tr>
        <w:trPr>
          <w:gridAfter w:val="1"/>
          <w:wAfter w:w="33" w:type="dxa"/>
          <w:cantSplit/>
        </w:trPr>
        <w:tc>
          <w:tcPr>
            <w:tcW w:w="2173" w:type="dxa"/>
          </w:tcPr>
          <w:p>
            <w:pPr>
              <w:pStyle w:val="yTableNAm"/>
            </w:pPr>
            <w:r>
              <w:t>Bridgetown</w:t>
            </w:r>
          </w:p>
        </w:tc>
        <w:tc>
          <w:tcPr>
            <w:tcW w:w="2173" w:type="dxa"/>
            <w:vAlign w:val="bottom"/>
          </w:tcPr>
          <w:p>
            <w:pPr>
              <w:pStyle w:val="yTableNAm"/>
              <w:jc w:val="center"/>
            </w:pPr>
            <w:r>
              <w:t>11.372</w:t>
            </w:r>
          </w:p>
        </w:tc>
        <w:tc>
          <w:tcPr>
            <w:tcW w:w="2174" w:type="dxa"/>
            <w:vAlign w:val="bottom"/>
          </w:tcPr>
          <w:p>
            <w:pPr>
              <w:pStyle w:val="yTableNAm"/>
              <w:jc w:val="center"/>
            </w:pPr>
            <w:r>
              <w:t>12.000</w:t>
            </w:r>
          </w:p>
        </w:tc>
      </w:tr>
      <w:tr>
        <w:trPr>
          <w:gridAfter w:val="1"/>
          <w:wAfter w:w="33" w:type="dxa"/>
          <w:cantSplit/>
        </w:trPr>
        <w:tc>
          <w:tcPr>
            <w:tcW w:w="2173" w:type="dxa"/>
          </w:tcPr>
          <w:p>
            <w:pPr>
              <w:pStyle w:val="yTableNAm"/>
            </w:pPr>
            <w:r>
              <w:t>Broome</w:t>
            </w:r>
          </w:p>
        </w:tc>
        <w:tc>
          <w:tcPr>
            <w:tcW w:w="2173" w:type="dxa"/>
            <w:vAlign w:val="bottom"/>
          </w:tcPr>
          <w:p>
            <w:pPr>
              <w:pStyle w:val="yTableNAm"/>
              <w:jc w:val="center"/>
            </w:pPr>
            <w:r>
              <w:t>6.250</w:t>
            </w:r>
          </w:p>
        </w:tc>
        <w:tc>
          <w:tcPr>
            <w:tcW w:w="2174" w:type="dxa"/>
            <w:vAlign w:val="bottom"/>
          </w:tcPr>
          <w:p>
            <w:pPr>
              <w:pStyle w:val="yTableNAm"/>
              <w:jc w:val="center"/>
            </w:pPr>
            <w:r>
              <w:t>2.548</w:t>
            </w:r>
          </w:p>
        </w:tc>
      </w:tr>
      <w:tr>
        <w:trPr>
          <w:gridAfter w:val="1"/>
          <w:wAfter w:w="33" w:type="dxa"/>
          <w:cantSplit/>
        </w:trPr>
        <w:tc>
          <w:tcPr>
            <w:tcW w:w="2173" w:type="dxa"/>
          </w:tcPr>
          <w:p>
            <w:pPr>
              <w:pStyle w:val="yTableNAm"/>
            </w:pPr>
            <w:r>
              <w:t>Brunswick</w:t>
            </w:r>
          </w:p>
        </w:tc>
        <w:tc>
          <w:tcPr>
            <w:tcW w:w="2173" w:type="dxa"/>
            <w:vAlign w:val="bottom"/>
          </w:tcPr>
          <w:p>
            <w:pPr>
              <w:pStyle w:val="yTableNAm"/>
              <w:jc w:val="center"/>
            </w:pPr>
            <w:r>
              <w:t>6.583</w:t>
            </w:r>
          </w:p>
        </w:tc>
        <w:tc>
          <w:tcPr>
            <w:tcW w:w="2174" w:type="dxa"/>
            <w:vAlign w:val="bottom"/>
          </w:tcPr>
          <w:p>
            <w:pPr>
              <w:pStyle w:val="yTableNAm"/>
              <w:jc w:val="center"/>
            </w:pPr>
            <w:r>
              <w:t>10.001</w:t>
            </w:r>
          </w:p>
        </w:tc>
      </w:tr>
      <w:tr>
        <w:trPr>
          <w:gridAfter w:val="1"/>
          <w:wAfter w:w="33" w:type="dxa"/>
          <w:cantSplit/>
        </w:trPr>
        <w:tc>
          <w:tcPr>
            <w:tcW w:w="2173" w:type="dxa"/>
          </w:tcPr>
          <w:p>
            <w:pPr>
              <w:pStyle w:val="yTableNAm"/>
            </w:pPr>
            <w:r>
              <w:t>Bunbury</w:t>
            </w:r>
            <w:r>
              <w:br/>
              <w:t>(1/07/10 Values)</w:t>
            </w:r>
          </w:p>
        </w:tc>
        <w:tc>
          <w:tcPr>
            <w:tcW w:w="2173" w:type="dxa"/>
            <w:vAlign w:val="bottom"/>
          </w:tcPr>
          <w:p>
            <w:pPr>
              <w:pStyle w:val="yTableNAm"/>
              <w:jc w:val="center"/>
            </w:pPr>
            <w:r>
              <w:t>4.198</w:t>
            </w:r>
          </w:p>
        </w:tc>
        <w:tc>
          <w:tcPr>
            <w:tcW w:w="2174" w:type="dxa"/>
            <w:vAlign w:val="bottom"/>
          </w:tcPr>
          <w:p>
            <w:pPr>
              <w:pStyle w:val="yTableNAm"/>
              <w:jc w:val="center"/>
            </w:pPr>
            <w:r>
              <w:t>3.239</w:t>
            </w:r>
          </w:p>
        </w:tc>
      </w:tr>
      <w:tr>
        <w:trPr>
          <w:gridAfter w:val="1"/>
          <w:wAfter w:w="33" w:type="dxa"/>
          <w:cantSplit/>
        </w:trPr>
        <w:tc>
          <w:tcPr>
            <w:tcW w:w="2173" w:type="dxa"/>
          </w:tcPr>
          <w:p>
            <w:pPr>
              <w:pStyle w:val="yTableNAm"/>
            </w:pPr>
            <w:r>
              <w:t>Bunbury</w:t>
            </w:r>
            <w:r>
              <w:br/>
              <w:t>(1/07/11 Values)</w:t>
            </w:r>
          </w:p>
        </w:tc>
        <w:tc>
          <w:tcPr>
            <w:tcW w:w="2173" w:type="dxa"/>
            <w:vAlign w:val="bottom"/>
          </w:tcPr>
          <w:p>
            <w:pPr>
              <w:pStyle w:val="yTableNAm"/>
              <w:jc w:val="center"/>
            </w:pPr>
            <w:r>
              <w:t>5.865</w:t>
            </w:r>
          </w:p>
        </w:tc>
        <w:tc>
          <w:tcPr>
            <w:tcW w:w="2174" w:type="dxa"/>
            <w:vAlign w:val="bottom"/>
          </w:tcPr>
          <w:p>
            <w:pPr>
              <w:pStyle w:val="yTableNAm"/>
              <w:jc w:val="center"/>
            </w:pPr>
            <w:r>
              <w:t>5.755</w:t>
            </w:r>
          </w:p>
        </w:tc>
      </w:tr>
      <w:tr>
        <w:trPr>
          <w:gridAfter w:val="1"/>
          <w:wAfter w:w="33" w:type="dxa"/>
          <w:cantSplit/>
        </w:trPr>
        <w:tc>
          <w:tcPr>
            <w:tcW w:w="2173" w:type="dxa"/>
          </w:tcPr>
          <w:p>
            <w:pPr>
              <w:pStyle w:val="yTableNAm"/>
            </w:pPr>
            <w:r>
              <w:t>Burekup</w:t>
            </w:r>
          </w:p>
        </w:tc>
        <w:tc>
          <w:tcPr>
            <w:tcW w:w="2173" w:type="dxa"/>
            <w:vAlign w:val="bottom"/>
          </w:tcPr>
          <w:p>
            <w:pPr>
              <w:pStyle w:val="yTableNAm"/>
              <w:jc w:val="center"/>
            </w:pPr>
            <w:r>
              <w:t>10.752</w:t>
            </w:r>
          </w:p>
        </w:tc>
        <w:tc>
          <w:tcPr>
            <w:tcW w:w="2174" w:type="dxa"/>
            <w:vAlign w:val="bottom"/>
          </w:tcPr>
          <w:p>
            <w:pPr>
              <w:pStyle w:val="yTableNAm"/>
              <w:jc w:val="center"/>
            </w:pPr>
            <w:r>
              <w:t>5.137</w:t>
            </w:r>
          </w:p>
        </w:tc>
      </w:tr>
      <w:tr>
        <w:trPr>
          <w:gridAfter w:val="1"/>
          <w:wAfter w:w="33" w:type="dxa"/>
          <w:cantSplit/>
        </w:trPr>
        <w:tc>
          <w:tcPr>
            <w:tcW w:w="2173" w:type="dxa"/>
          </w:tcPr>
          <w:p>
            <w:pPr>
              <w:pStyle w:val="yTableNAm"/>
            </w:pPr>
            <w:r>
              <w:t>Busselton</w:t>
            </w:r>
          </w:p>
        </w:tc>
        <w:tc>
          <w:tcPr>
            <w:tcW w:w="2173" w:type="dxa"/>
            <w:vAlign w:val="bottom"/>
          </w:tcPr>
          <w:p>
            <w:pPr>
              <w:pStyle w:val="yTableNAm"/>
              <w:jc w:val="center"/>
            </w:pPr>
            <w:r>
              <w:t>5.020</w:t>
            </w:r>
          </w:p>
        </w:tc>
        <w:tc>
          <w:tcPr>
            <w:tcW w:w="2174" w:type="dxa"/>
            <w:vAlign w:val="bottom"/>
          </w:tcPr>
          <w:p>
            <w:pPr>
              <w:pStyle w:val="yTableNAm"/>
              <w:jc w:val="center"/>
            </w:pPr>
            <w:r>
              <w:t>7.100</w:t>
            </w:r>
          </w:p>
        </w:tc>
      </w:tr>
      <w:tr>
        <w:trPr>
          <w:gridAfter w:val="1"/>
          <w:wAfter w:w="33" w:type="dxa"/>
          <w:cantSplit/>
        </w:trPr>
        <w:tc>
          <w:tcPr>
            <w:tcW w:w="2173" w:type="dxa"/>
          </w:tcPr>
          <w:p>
            <w:pPr>
              <w:pStyle w:val="yTableNAm"/>
            </w:pPr>
            <w:r>
              <w:t>Cape Burney</w:t>
            </w:r>
          </w:p>
        </w:tc>
        <w:tc>
          <w:tcPr>
            <w:tcW w:w="2173" w:type="dxa"/>
            <w:vAlign w:val="bottom"/>
          </w:tcPr>
          <w:p>
            <w:pPr>
              <w:pStyle w:val="yTableNAm"/>
              <w:jc w:val="center"/>
            </w:pPr>
            <w:r>
              <w:t>6.600</w:t>
            </w:r>
          </w:p>
        </w:tc>
        <w:tc>
          <w:tcPr>
            <w:tcW w:w="2174" w:type="dxa"/>
            <w:vAlign w:val="bottom"/>
          </w:tcPr>
          <w:p>
            <w:pPr>
              <w:pStyle w:val="yTableNAm"/>
              <w:jc w:val="center"/>
            </w:pPr>
            <w:r>
              <w:t>4.850</w:t>
            </w:r>
          </w:p>
        </w:tc>
      </w:tr>
      <w:tr>
        <w:trPr>
          <w:gridAfter w:val="1"/>
          <w:wAfter w:w="33" w:type="dxa"/>
          <w:cantSplit/>
        </w:trPr>
        <w:tc>
          <w:tcPr>
            <w:tcW w:w="2173" w:type="dxa"/>
          </w:tcPr>
          <w:p>
            <w:pPr>
              <w:pStyle w:val="yTableNAm"/>
            </w:pPr>
            <w:r>
              <w:t>Capel</w:t>
            </w:r>
          </w:p>
        </w:tc>
        <w:tc>
          <w:tcPr>
            <w:tcW w:w="2173" w:type="dxa"/>
            <w:vAlign w:val="bottom"/>
          </w:tcPr>
          <w:p>
            <w:pPr>
              <w:pStyle w:val="yTableNAm"/>
              <w:jc w:val="center"/>
            </w:pPr>
            <w:r>
              <w:t>11.939</w:t>
            </w:r>
          </w:p>
        </w:tc>
        <w:tc>
          <w:tcPr>
            <w:tcW w:w="2174" w:type="dxa"/>
            <w:vAlign w:val="bottom"/>
          </w:tcPr>
          <w:p>
            <w:pPr>
              <w:pStyle w:val="yTableNAm"/>
              <w:jc w:val="center"/>
            </w:pPr>
            <w:r>
              <w:t>4.211</w:t>
            </w:r>
          </w:p>
        </w:tc>
      </w:tr>
      <w:tr>
        <w:trPr>
          <w:gridAfter w:val="1"/>
          <w:wAfter w:w="33" w:type="dxa"/>
          <w:cantSplit/>
        </w:trPr>
        <w:tc>
          <w:tcPr>
            <w:tcW w:w="2173" w:type="dxa"/>
          </w:tcPr>
          <w:p>
            <w:pPr>
              <w:pStyle w:val="yTableNAm"/>
            </w:pPr>
            <w:r>
              <w:t>Carnarvon</w:t>
            </w:r>
          </w:p>
        </w:tc>
        <w:tc>
          <w:tcPr>
            <w:tcW w:w="2173" w:type="dxa"/>
            <w:vAlign w:val="bottom"/>
          </w:tcPr>
          <w:p>
            <w:pPr>
              <w:pStyle w:val="yTableNAm"/>
              <w:jc w:val="center"/>
            </w:pPr>
            <w:r>
              <w:t>8.666</w:t>
            </w:r>
          </w:p>
        </w:tc>
        <w:tc>
          <w:tcPr>
            <w:tcW w:w="2174" w:type="dxa"/>
            <w:vAlign w:val="bottom"/>
          </w:tcPr>
          <w:p>
            <w:pPr>
              <w:pStyle w:val="yTableNAm"/>
              <w:jc w:val="center"/>
            </w:pPr>
            <w:r>
              <w:t>7.724</w:t>
            </w:r>
          </w:p>
        </w:tc>
      </w:tr>
      <w:tr>
        <w:trPr>
          <w:gridAfter w:val="1"/>
          <w:wAfter w:w="33" w:type="dxa"/>
          <w:cantSplit/>
        </w:trPr>
        <w:tc>
          <w:tcPr>
            <w:tcW w:w="2173" w:type="dxa"/>
          </w:tcPr>
          <w:p>
            <w:pPr>
              <w:pStyle w:val="yTableNAm"/>
            </w:pPr>
            <w:r>
              <w:t>Cervantes</w:t>
            </w:r>
          </w:p>
        </w:tc>
        <w:tc>
          <w:tcPr>
            <w:tcW w:w="2173" w:type="dxa"/>
            <w:vAlign w:val="bottom"/>
          </w:tcPr>
          <w:p>
            <w:pPr>
              <w:pStyle w:val="yTableNAm"/>
              <w:jc w:val="center"/>
            </w:pPr>
            <w:r>
              <w:t>12.000</w:t>
            </w:r>
          </w:p>
        </w:tc>
        <w:tc>
          <w:tcPr>
            <w:tcW w:w="2174" w:type="dxa"/>
            <w:vAlign w:val="bottom"/>
          </w:tcPr>
          <w:p>
            <w:pPr>
              <w:pStyle w:val="yTableNAm"/>
              <w:jc w:val="center"/>
            </w:pPr>
            <w:r>
              <w:t>2.678</w:t>
            </w:r>
          </w:p>
        </w:tc>
      </w:tr>
      <w:tr>
        <w:trPr>
          <w:gridAfter w:val="1"/>
          <w:wAfter w:w="33" w:type="dxa"/>
          <w:cantSplit/>
        </w:trPr>
        <w:tc>
          <w:tcPr>
            <w:tcW w:w="2173" w:type="dxa"/>
          </w:tcPr>
          <w:p>
            <w:pPr>
              <w:pStyle w:val="yTableNAm"/>
            </w:pPr>
            <w:r>
              <w:t>Collie</w:t>
            </w:r>
          </w:p>
        </w:tc>
        <w:tc>
          <w:tcPr>
            <w:tcW w:w="2173" w:type="dxa"/>
            <w:vAlign w:val="bottom"/>
          </w:tcPr>
          <w:p>
            <w:pPr>
              <w:pStyle w:val="yTableNAm"/>
              <w:jc w:val="center"/>
            </w:pPr>
            <w:r>
              <w:t>10.140</w:t>
            </w:r>
          </w:p>
        </w:tc>
        <w:tc>
          <w:tcPr>
            <w:tcW w:w="2174" w:type="dxa"/>
            <w:vAlign w:val="bottom"/>
          </w:tcPr>
          <w:p>
            <w:pPr>
              <w:pStyle w:val="yTableNAm"/>
              <w:jc w:val="center"/>
            </w:pPr>
            <w:r>
              <w:t>8.738</w:t>
            </w:r>
          </w:p>
        </w:tc>
      </w:tr>
      <w:tr>
        <w:trPr>
          <w:gridAfter w:val="1"/>
          <w:wAfter w:w="33" w:type="dxa"/>
          <w:cantSplit/>
        </w:trPr>
        <w:tc>
          <w:tcPr>
            <w:tcW w:w="2173" w:type="dxa"/>
          </w:tcPr>
          <w:p>
            <w:pPr>
              <w:pStyle w:val="yTableNAm"/>
            </w:pPr>
            <w:r>
              <w:t>Coral Bay</w:t>
            </w:r>
          </w:p>
        </w:tc>
        <w:tc>
          <w:tcPr>
            <w:tcW w:w="2173" w:type="dxa"/>
            <w:vAlign w:val="bottom"/>
          </w:tcPr>
          <w:p>
            <w:pPr>
              <w:pStyle w:val="yTableNAm"/>
              <w:jc w:val="center"/>
            </w:pPr>
            <w:r>
              <w:t>12.000</w:t>
            </w:r>
          </w:p>
        </w:tc>
        <w:tc>
          <w:tcPr>
            <w:tcW w:w="2174" w:type="dxa"/>
            <w:vAlign w:val="bottom"/>
          </w:tcPr>
          <w:p>
            <w:pPr>
              <w:pStyle w:val="yTableNAm"/>
              <w:jc w:val="center"/>
            </w:pPr>
            <w:r>
              <w:t>12.000</w:t>
            </w:r>
          </w:p>
        </w:tc>
      </w:tr>
      <w:tr>
        <w:trPr>
          <w:gridAfter w:val="1"/>
          <w:wAfter w:w="33" w:type="dxa"/>
          <w:cantSplit/>
        </w:trPr>
        <w:tc>
          <w:tcPr>
            <w:tcW w:w="2173" w:type="dxa"/>
          </w:tcPr>
          <w:p>
            <w:pPr>
              <w:pStyle w:val="yTableNAm"/>
            </w:pPr>
            <w:r>
              <w:t>Corrigin</w:t>
            </w:r>
          </w:p>
        </w:tc>
        <w:tc>
          <w:tcPr>
            <w:tcW w:w="2173" w:type="dxa"/>
            <w:vAlign w:val="bottom"/>
          </w:tcPr>
          <w:p>
            <w:pPr>
              <w:pStyle w:val="yTableNAm"/>
              <w:jc w:val="center"/>
            </w:pPr>
            <w:r>
              <w:t>10.669</w:t>
            </w:r>
          </w:p>
        </w:tc>
        <w:tc>
          <w:tcPr>
            <w:tcW w:w="2174" w:type="dxa"/>
            <w:vAlign w:val="bottom"/>
          </w:tcPr>
          <w:p>
            <w:pPr>
              <w:pStyle w:val="yTableNAm"/>
              <w:jc w:val="center"/>
            </w:pPr>
            <w:r>
              <w:t>12.000</w:t>
            </w:r>
          </w:p>
        </w:tc>
      </w:tr>
      <w:tr>
        <w:trPr>
          <w:gridAfter w:val="1"/>
          <w:wAfter w:w="33" w:type="dxa"/>
          <w:cantSplit/>
        </w:trPr>
        <w:tc>
          <w:tcPr>
            <w:tcW w:w="2173" w:type="dxa"/>
          </w:tcPr>
          <w:p>
            <w:pPr>
              <w:pStyle w:val="yTableNAm"/>
            </w:pPr>
            <w:r>
              <w:t>Cowaramup</w:t>
            </w:r>
          </w:p>
        </w:tc>
        <w:tc>
          <w:tcPr>
            <w:tcW w:w="2173" w:type="dxa"/>
            <w:vAlign w:val="bottom"/>
          </w:tcPr>
          <w:p>
            <w:pPr>
              <w:pStyle w:val="yTableNAm"/>
              <w:jc w:val="center"/>
            </w:pPr>
            <w:r>
              <w:t>7.160</w:t>
            </w:r>
          </w:p>
        </w:tc>
        <w:tc>
          <w:tcPr>
            <w:tcW w:w="2174" w:type="dxa"/>
            <w:vAlign w:val="bottom"/>
          </w:tcPr>
          <w:p>
            <w:pPr>
              <w:pStyle w:val="yTableNAm"/>
              <w:jc w:val="center"/>
            </w:pPr>
            <w:r>
              <w:t>8.283</w:t>
            </w:r>
          </w:p>
        </w:tc>
      </w:tr>
      <w:tr>
        <w:trPr>
          <w:gridAfter w:val="1"/>
          <w:wAfter w:w="33" w:type="dxa"/>
          <w:cantSplit/>
        </w:trPr>
        <w:tc>
          <w:tcPr>
            <w:tcW w:w="2173" w:type="dxa"/>
          </w:tcPr>
          <w:p>
            <w:pPr>
              <w:pStyle w:val="yTableNAm"/>
            </w:pPr>
            <w:r>
              <w:t>Cranbrook</w:t>
            </w:r>
          </w:p>
        </w:tc>
        <w:tc>
          <w:tcPr>
            <w:tcW w:w="2173" w:type="dxa"/>
            <w:vAlign w:val="bottom"/>
          </w:tcPr>
          <w:p>
            <w:pPr>
              <w:pStyle w:val="yTableNAm"/>
              <w:jc w:val="center"/>
            </w:pPr>
            <w:r>
              <w:t>12.000</w:t>
            </w:r>
          </w:p>
        </w:tc>
        <w:tc>
          <w:tcPr>
            <w:tcW w:w="2174" w:type="dxa"/>
            <w:vAlign w:val="bottom"/>
          </w:tcPr>
          <w:p>
            <w:pPr>
              <w:pStyle w:val="yTableNAm"/>
              <w:jc w:val="center"/>
            </w:pPr>
            <w:r>
              <w:t>12.000</w:t>
            </w:r>
          </w:p>
        </w:tc>
      </w:tr>
      <w:tr>
        <w:trPr>
          <w:gridAfter w:val="1"/>
          <w:wAfter w:w="33" w:type="dxa"/>
          <w:cantSplit/>
        </w:trPr>
        <w:tc>
          <w:tcPr>
            <w:tcW w:w="2173" w:type="dxa"/>
          </w:tcPr>
          <w:p>
            <w:pPr>
              <w:pStyle w:val="yTableNAm"/>
            </w:pPr>
            <w:r>
              <w:t>Cunderdin</w:t>
            </w:r>
          </w:p>
        </w:tc>
        <w:tc>
          <w:tcPr>
            <w:tcW w:w="2173" w:type="dxa"/>
            <w:vAlign w:val="bottom"/>
          </w:tcPr>
          <w:p>
            <w:pPr>
              <w:pStyle w:val="yTableNAm"/>
              <w:jc w:val="center"/>
            </w:pPr>
            <w:r>
              <w:t>7.570</w:t>
            </w:r>
          </w:p>
        </w:tc>
        <w:tc>
          <w:tcPr>
            <w:tcW w:w="2174" w:type="dxa"/>
            <w:vAlign w:val="bottom"/>
          </w:tcPr>
          <w:p>
            <w:pPr>
              <w:pStyle w:val="yTableNAm"/>
              <w:jc w:val="center"/>
            </w:pPr>
            <w:r>
              <w:t>10.826</w:t>
            </w:r>
          </w:p>
        </w:tc>
      </w:tr>
      <w:tr>
        <w:trPr>
          <w:gridAfter w:val="1"/>
          <w:wAfter w:w="33" w:type="dxa"/>
          <w:cantSplit/>
        </w:trPr>
        <w:tc>
          <w:tcPr>
            <w:tcW w:w="2173" w:type="dxa"/>
          </w:tcPr>
          <w:p>
            <w:pPr>
              <w:pStyle w:val="yTableNAm"/>
            </w:pPr>
            <w:r>
              <w:t>Dardanup</w:t>
            </w:r>
          </w:p>
        </w:tc>
        <w:tc>
          <w:tcPr>
            <w:tcW w:w="2173" w:type="dxa"/>
            <w:vAlign w:val="bottom"/>
          </w:tcPr>
          <w:p>
            <w:pPr>
              <w:pStyle w:val="yTableNAm"/>
              <w:jc w:val="center"/>
            </w:pPr>
            <w:r>
              <w:t>12.000</w:t>
            </w:r>
          </w:p>
        </w:tc>
        <w:tc>
          <w:tcPr>
            <w:tcW w:w="2174" w:type="dxa"/>
            <w:vAlign w:val="bottom"/>
          </w:tcPr>
          <w:p>
            <w:pPr>
              <w:pStyle w:val="yTableNAm"/>
              <w:jc w:val="center"/>
            </w:pPr>
            <w:r>
              <w:t>9.003</w:t>
            </w:r>
          </w:p>
        </w:tc>
      </w:tr>
      <w:tr>
        <w:trPr>
          <w:gridAfter w:val="1"/>
          <w:wAfter w:w="33" w:type="dxa"/>
          <w:cantSplit/>
        </w:trPr>
        <w:tc>
          <w:tcPr>
            <w:tcW w:w="2173" w:type="dxa"/>
          </w:tcPr>
          <w:p>
            <w:pPr>
              <w:pStyle w:val="yTableNAm"/>
            </w:pPr>
            <w:r>
              <w:t>Denham</w:t>
            </w:r>
          </w:p>
        </w:tc>
        <w:tc>
          <w:tcPr>
            <w:tcW w:w="2173" w:type="dxa"/>
            <w:vAlign w:val="bottom"/>
          </w:tcPr>
          <w:p>
            <w:pPr>
              <w:pStyle w:val="yTableNAm"/>
              <w:jc w:val="center"/>
            </w:pPr>
            <w:r>
              <w:t>12.000</w:t>
            </w:r>
          </w:p>
        </w:tc>
        <w:tc>
          <w:tcPr>
            <w:tcW w:w="2174" w:type="dxa"/>
            <w:vAlign w:val="bottom"/>
          </w:tcPr>
          <w:p>
            <w:pPr>
              <w:pStyle w:val="yTableNAm"/>
              <w:jc w:val="center"/>
            </w:pPr>
            <w:r>
              <w:t>12.000</w:t>
            </w:r>
          </w:p>
        </w:tc>
      </w:tr>
      <w:tr>
        <w:trPr>
          <w:gridAfter w:val="1"/>
          <w:wAfter w:w="33" w:type="dxa"/>
          <w:cantSplit/>
        </w:trPr>
        <w:tc>
          <w:tcPr>
            <w:tcW w:w="2173" w:type="dxa"/>
          </w:tcPr>
          <w:p>
            <w:pPr>
              <w:pStyle w:val="yTableNAm"/>
            </w:pPr>
            <w:r>
              <w:t>Denmark</w:t>
            </w:r>
          </w:p>
        </w:tc>
        <w:tc>
          <w:tcPr>
            <w:tcW w:w="2173" w:type="dxa"/>
            <w:vAlign w:val="bottom"/>
          </w:tcPr>
          <w:p>
            <w:pPr>
              <w:pStyle w:val="yTableNAm"/>
              <w:jc w:val="center"/>
            </w:pPr>
            <w:r>
              <w:t>12.000</w:t>
            </w:r>
          </w:p>
        </w:tc>
        <w:tc>
          <w:tcPr>
            <w:tcW w:w="2174" w:type="dxa"/>
            <w:vAlign w:val="bottom"/>
          </w:tcPr>
          <w:p>
            <w:pPr>
              <w:pStyle w:val="yTableNAm"/>
              <w:jc w:val="center"/>
            </w:pPr>
            <w:r>
              <w:t>9.068</w:t>
            </w:r>
          </w:p>
        </w:tc>
      </w:tr>
      <w:tr>
        <w:trPr>
          <w:gridAfter w:val="1"/>
          <w:wAfter w:w="33" w:type="dxa"/>
          <w:cantSplit/>
        </w:trPr>
        <w:tc>
          <w:tcPr>
            <w:tcW w:w="2173" w:type="dxa"/>
          </w:tcPr>
          <w:p>
            <w:pPr>
              <w:pStyle w:val="yTableNAm"/>
            </w:pPr>
            <w:r>
              <w:t>Derby</w:t>
            </w:r>
          </w:p>
        </w:tc>
        <w:tc>
          <w:tcPr>
            <w:tcW w:w="2173" w:type="dxa"/>
            <w:vAlign w:val="bottom"/>
          </w:tcPr>
          <w:p>
            <w:pPr>
              <w:pStyle w:val="yTableNAm"/>
              <w:jc w:val="center"/>
            </w:pPr>
            <w:r>
              <w:t>8.786</w:t>
            </w:r>
          </w:p>
        </w:tc>
        <w:tc>
          <w:tcPr>
            <w:tcW w:w="2174" w:type="dxa"/>
            <w:vAlign w:val="bottom"/>
          </w:tcPr>
          <w:p>
            <w:pPr>
              <w:pStyle w:val="yTableNAm"/>
              <w:jc w:val="center"/>
            </w:pPr>
            <w:r>
              <w:t>3.671</w:t>
            </w:r>
          </w:p>
        </w:tc>
      </w:tr>
      <w:tr>
        <w:trPr>
          <w:gridAfter w:val="1"/>
          <w:wAfter w:w="33" w:type="dxa"/>
          <w:cantSplit/>
        </w:trPr>
        <w:tc>
          <w:tcPr>
            <w:tcW w:w="2173" w:type="dxa"/>
          </w:tcPr>
          <w:p>
            <w:pPr>
              <w:pStyle w:val="yTableNAm"/>
            </w:pPr>
            <w:r>
              <w:t>Dongara</w:t>
            </w:r>
            <w:r>
              <w:noBreakHyphen/>
              <w:t>Denison</w:t>
            </w:r>
          </w:p>
        </w:tc>
        <w:tc>
          <w:tcPr>
            <w:tcW w:w="2173" w:type="dxa"/>
            <w:vAlign w:val="bottom"/>
          </w:tcPr>
          <w:p>
            <w:pPr>
              <w:pStyle w:val="yTableNAm"/>
              <w:jc w:val="center"/>
            </w:pPr>
            <w:r>
              <w:t>8.508</w:t>
            </w:r>
          </w:p>
        </w:tc>
        <w:tc>
          <w:tcPr>
            <w:tcW w:w="2174" w:type="dxa"/>
            <w:vAlign w:val="bottom"/>
          </w:tcPr>
          <w:p>
            <w:pPr>
              <w:pStyle w:val="yTableNAm"/>
              <w:jc w:val="center"/>
            </w:pPr>
            <w:r>
              <w:t>4.942</w:t>
            </w:r>
          </w:p>
        </w:tc>
      </w:tr>
      <w:tr>
        <w:trPr>
          <w:gridAfter w:val="1"/>
          <w:wAfter w:w="33" w:type="dxa"/>
          <w:cantSplit/>
        </w:trPr>
        <w:tc>
          <w:tcPr>
            <w:tcW w:w="2173" w:type="dxa"/>
          </w:tcPr>
          <w:p>
            <w:pPr>
              <w:pStyle w:val="yTableNAm"/>
            </w:pPr>
            <w:r>
              <w:t>Donnybrook</w:t>
            </w:r>
          </w:p>
        </w:tc>
        <w:tc>
          <w:tcPr>
            <w:tcW w:w="2173" w:type="dxa"/>
            <w:vAlign w:val="bottom"/>
          </w:tcPr>
          <w:p>
            <w:pPr>
              <w:pStyle w:val="yTableNAm"/>
              <w:jc w:val="center"/>
            </w:pPr>
            <w:r>
              <w:t>9.825</w:t>
            </w:r>
          </w:p>
        </w:tc>
        <w:tc>
          <w:tcPr>
            <w:tcW w:w="2174" w:type="dxa"/>
            <w:vAlign w:val="bottom"/>
          </w:tcPr>
          <w:p>
            <w:pPr>
              <w:pStyle w:val="yTableNAm"/>
              <w:jc w:val="center"/>
            </w:pPr>
            <w:r>
              <w:t>5.998</w:t>
            </w:r>
          </w:p>
        </w:tc>
      </w:tr>
      <w:tr>
        <w:trPr>
          <w:gridAfter w:val="1"/>
          <w:wAfter w:w="33" w:type="dxa"/>
          <w:cantSplit/>
        </w:trPr>
        <w:tc>
          <w:tcPr>
            <w:tcW w:w="2173" w:type="dxa"/>
          </w:tcPr>
          <w:p>
            <w:pPr>
              <w:pStyle w:val="yTableNAm"/>
            </w:pPr>
            <w:r>
              <w:t>Dunsborough</w:t>
            </w:r>
          </w:p>
        </w:tc>
        <w:tc>
          <w:tcPr>
            <w:tcW w:w="2173" w:type="dxa"/>
            <w:vAlign w:val="bottom"/>
          </w:tcPr>
          <w:p>
            <w:pPr>
              <w:pStyle w:val="yTableNAm"/>
              <w:jc w:val="center"/>
            </w:pPr>
            <w:r>
              <w:t>6.350</w:t>
            </w:r>
          </w:p>
        </w:tc>
        <w:tc>
          <w:tcPr>
            <w:tcW w:w="2174" w:type="dxa"/>
            <w:vAlign w:val="bottom"/>
          </w:tcPr>
          <w:p>
            <w:pPr>
              <w:pStyle w:val="yTableNAm"/>
              <w:jc w:val="center"/>
            </w:pPr>
            <w:r>
              <w:t>5.335</w:t>
            </w:r>
          </w:p>
        </w:tc>
      </w:tr>
      <w:tr>
        <w:trPr>
          <w:gridAfter w:val="1"/>
          <w:wAfter w:w="33" w:type="dxa"/>
          <w:cantSplit/>
        </w:trPr>
        <w:tc>
          <w:tcPr>
            <w:tcW w:w="2173" w:type="dxa"/>
          </w:tcPr>
          <w:p>
            <w:pPr>
              <w:pStyle w:val="yTableNAm"/>
            </w:pPr>
            <w:r>
              <w:t>Eaton</w:t>
            </w:r>
          </w:p>
        </w:tc>
        <w:tc>
          <w:tcPr>
            <w:tcW w:w="2173" w:type="dxa"/>
            <w:vAlign w:val="bottom"/>
          </w:tcPr>
          <w:p>
            <w:pPr>
              <w:pStyle w:val="yTableNAm"/>
              <w:jc w:val="center"/>
            </w:pPr>
            <w:r>
              <w:t>9.731</w:t>
            </w:r>
          </w:p>
        </w:tc>
        <w:tc>
          <w:tcPr>
            <w:tcW w:w="2174" w:type="dxa"/>
            <w:vAlign w:val="bottom"/>
          </w:tcPr>
          <w:p>
            <w:pPr>
              <w:pStyle w:val="yTableNAm"/>
              <w:jc w:val="center"/>
            </w:pPr>
            <w:r>
              <w:t>5.340</w:t>
            </w:r>
          </w:p>
        </w:tc>
      </w:tr>
      <w:tr>
        <w:trPr>
          <w:gridAfter w:val="1"/>
          <w:wAfter w:w="33" w:type="dxa"/>
          <w:cantSplit/>
        </w:trPr>
        <w:tc>
          <w:tcPr>
            <w:tcW w:w="2173" w:type="dxa"/>
          </w:tcPr>
          <w:p>
            <w:pPr>
              <w:pStyle w:val="yTableNAm"/>
            </w:pPr>
            <w:r>
              <w:t>Eneabba</w:t>
            </w:r>
          </w:p>
        </w:tc>
        <w:tc>
          <w:tcPr>
            <w:tcW w:w="2173" w:type="dxa"/>
            <w:vAlign w:val="bottom"/>
          </w:tcPr>
          <w:p>
            <w:pPr>
              <w:pStyle w:val="yTableNAm"/>
              <w:jc w:val="center"/>
            </w:pPr>
            <w:r>
              <w:t>12.000</w:t>
            </w:r>
          </w:p>
        </w:tc>
        <w:tc>
          <w:tcPr>
            <w:tcW w:w="2174" w:type="dxa"/>
            <w:vAlign w:val="bottom"/>
          </w:tcPr>
          <w:p>
            <w:pPr>
              <w:pStyle w:val="yTableNAm"/>
              <w:jc w:val="center"/>
            </w:pPr>
            <w:r>
              <w:t>12.000</w:t>
            </w:r>
          </w:p>
        </w:tc>
      </w:tr>
      <w:tr>
        <w:trPr>
          <w:gridAfter w:val="1"/>
          <w:wAfter w:w="33" w:type="dxa"/>
          <w:cantSplit/>
        </w:trPr>
        <w:tc>
          <w:tcPr>
            <w:tcW w:w="2173" w:type="dxa"/>
          </w:tcPr>
          <w:p>
            <w:pPr>
              <w:pStyle w:val="yTableNAm"/>
            </w:pPr>
            <w:r>
              <w:t>Esperance</w:t>
            </w:r>
          </w:p>
        </w:tc>
        <w:tc>
          <w:tcPr>
            <w:tcW w:w="2173" w:type="dxa"/>
            <w:vAlign w:val="bottom"/>
          </w:tcPr>
          <w:p>
            <w:pPr>
              <w:pStyle w:val="yTableNAm"/>
              <w:jc w:val="center"/>
            </w:pPr>
            <w:r>
              <w:t>7.163</w:t>
            </w:r>
          </w:p>
        </w:tc>
        <w:tc>
          <w:tcPr>
            <w:tcW w:w="2174" w:type="dxa"/>
            <w:vAlign w:val="bottom"/>
          </w:tcPr>
          <w:p>
            <w:pPr>
              <w:pStyle w:val="yTableNAm"/>
              <w:jc w:val="center"/>
            </w:pPr>
            <w:r>
              <w:t>6.297</w:t>
            </w:r>
          </w:p>
        </w:tc>
      </w:tr>
      <w:tr>
        <w:trPr>
          <w:gridAfter w:val="1"/>
          <w:wAfter w:w="33" w:type="dxa"/>
          <w:cantSplit/>
        </w:trPr>
        <w:tc>
          <w:tcPr>
            <w:tcW w:w="2173" w:type="dxa"/>
          </w:tcPr>
          <w:p>
            <w:pPr>
              <w:pStyle w:val="yTableNAm"/>
            </w:pPr>
            <w:r>
              <w:t>Exmouth</w:t>
            </w:r>
          </w:p>
        </w:tc>
        <w:tc>
          <w:tcPr>
            <w:tcW w:w="2173" w:type="dxa"/>
            <w:vAlign w:val="bottom"/>
          </w:tcPr>
          <w:p>
            <w:pPr>
              <w:pStyle w:val="yTableNAm"/>
              <w:jc w:val="center"/>
            </w:pPr>
            <w:r>
              <w:t>3.725</w:t>
            </w:r>
          </w:p>
        </w:tc>
        <w:tc>
          <w:tcPr>
            <w:tcW w:w="2174" w:type="dxa"/>
            <w:vAlign w:val="bottom"/>
          </w:tcPr>
          <w:p>
            <w:pPr>
              <w:pStyle w:val="yTableNAm"/>
              <w:jc w:val="center"/>
            </w:pPr>
            <w:r>
              <w:t>1.474</w:t>
            </w:r>
          </w:p>
        </w:tc>
      </w:tr>
      <w:tr>
        <w:trPr>
          <w:gridAfter w:val="1"/>
          <w:wAfter w:w="33" w:type="dxa"/>
          <w:cantSplit/>
        </w:trPr>
        <w:tc>
          <w:tcPr>
            <w:tcW w:w="2173" w:type="dxa"/>
          </w:tcPr>
          <w:p>
            <w:pPr>
              <w:pStyle w:val="yTableNAm"/>
            </w:pPr>
            <w:r>
              <w:t>Fitzroy Crossing</w:t>
            </w:r>
          </w:p>
        </w:tc>
        <w:tc>
          <w:tcPr>
            <w:tcW w:w="2173" w:type="dxa"/>
            <w:vAlign w:val="bottom"/>
          </w:tcPr>
          <w:p>
            <w:pPr>
              <w:pStyle w:val="yTableNAm"/>
              <w:jc w:val="center"/>
            </w:pPr>
            <w:r>
              <w:t>12.000</w:t>
            </w:r>
          </w:p>
        </w:tc>
        <w:tc>
          <w:tcPr>
            <w:tcW w:w="2174" w:type="dxa"/>
            <w:vAlign w:val="bottom"/>
          </w:tcPr>
          <w:p>
            <w:pPr>
              <w:pStyle w:val="yTableNAm"/>
              <w:jc w:val="center"/>
            </w:pPr>
            <w:r>
              <w:t>10.874</w:t>
            </w:r>
          </w:p>
        </w:tc>
      </w:tr>
      <w:tr>
        <w:trPr>
          <w:gridAfter w:val="1"/>
          <w:wAfter w:w="33" w:type="dxa"/>
          <w:cantSplit/>
        </w:trPr>
        <w:tc>
          <w:tcPr>
            <w:tcW w:w="2173" w:type="dxa"/>
          </w:tcPr>
          <w:p>
            <w:pPr>
              <w:pStyle w:val="yTableNAm"/>
            </w:pPr>
            <w:r>
              <w:t>Geraldton</w:t>
            </w:r>
          </w:p>
        </w:tc>
        <w:tc>
          <w:tcPr>
            <w:tcW w:w="2173" w:type="dxa"/>
            <w:vAlign w:val="bottom"/>
          </w:tcPr>
          <w:p>
            <w:pPr>
              <w:pStyle w:val="yTableNAm"/>
              <w:jc w:val="center"/>
            </w:pPr>
            <w:r>
              <w:t>6.785</w:t>
            </w:r>
          </w:p>
        </w:tc>
        <w:tc>
          <w:tcPr>
            <w:tcW w:w="2174" w:type="dxa"/>
            <w:vAlign w:val="bottom"/>
          </w:tcPr>
          <w:p>
            <w:pPr>
              <w:pStyle w:val="yTableNAm"/>
              <w:jc w:val="center"/>
            </w:pPr>
            <w:r>
              <w:t>6.065</w:t>
            </w:r>
          </w:p>
        </w:tc>
      </w:tr>
      <w:tr>
        <w:trPr>
          <w:gridAfter w:val="1"/>
          <w:wAfter w:w="33" w:type="dxa"/>
          <w:cantSplit/>
        </w:trPr>
        <w:tc>
          <w:tcPr>
            <w:tcW w:w="2173" w:type="dxa"/>
          </w:tcPr>
          <w:p>
            <w:pPr>
              <w:pStyle w:val="yTableNAm"/>
            </w:pPr>
            <w:r>
              <w:t>Gnarabup</w:t>
            </w:r>
          </w:p>
        </w:tc>
        <w:tc>
          <w:tcPr>
            <w:tcW w:w="2173" w:type="dxa"/>
            <w:vAlign w:val="bottom"/>
          </w:tcPr>
          <w:p>
            <w:pPr>
              <w:pStyle w:val="yTableNAm"/>
              <w:jc w:val="center"/>
            </w:pPr>
            <w:r>
              <w:t>5.910</w:t>
            </w:r>
          </w:p>
        </w:tc>
        <w:tc>
          <w:tcPr>
            <w:tcW w:w="2174" w:type="dxa"/>
            <w:vAlign w:val="bottom"/>
          </w:tcPr>
          <w:p>
            <w:pPr>
              <w:pStyle w:val="yTableNAm"/>
              <w:jc w:val="center"/>
            </w:pPr>
            <w:r>
              <w:t>5.947</w:t>
            </w:r>
          </w:p>
        </w:tc>
      </w:tr>
      <w:tr>
        <w:trPr>
          <w:gridAfter w:val="1"/>
          <w:wAfter w:w="33" w:type="dxa"/>
          <w:cantSplit/>
        </w:trPr>
        <w:tc>
          <w:tcPr>
            <w:tcW w:w="2173" w:type="dxa"/>
          </w:tcPr>
          <w:p>
            <w:pPr>
              <w:pStyle w:val="yTableNAm"/>
            </w:pPr>
            <w:r>
              <w:t>Gnowangerup</w:t>
            </w:r>
          </w:p>
        </w:tc>
        <w:tc>
          <w:tcPr>
            <w:tcW w:w="2173" w:type="dxa"/>
            <w:vAlign w:val="bottom"/>
          </w:tcPr>
          <w:p>
            <w:pPr>
              <w:pStyle w:val="yTableNAm"/>
              <w:jc w:val="center"/>
            </w:pPr>
            <w:r>
              <w:t>10.733</w:t>
            </w:r>
          </w:p>
        </w:tc>
        <w:tc>
          <w:tcPr>
            <w:tcW w:w="2174" w:type="dxa"/>
            <w:vAlign w:val="bottom"/>
          </w:tcPr>
          <w:p>
            <w:pPr>
              <w:pStyle w:val="yTableNAm"/>
              <w:jc w:val="center"/>
            </w:pPr>
            <w:r>
              <w:t>12.000</w:t>
            </w:r>
          </w:p>
        </w:tc>
      </w:tr>
      <w:tr>
        <w:trPr>
          <w:gridAfter w:val="1"/>
          <w:wAfter w:w="33" w:type="dxa"/>
          <w:cantSplit/>
        </w:trPr>
        <w:tc>
          <w:tcPr>
            <w:tcW w:w="2173" w:type="dxa"/>
          </w:tcPr>
          <w:p>
            <w:pPr>
              <w:pStyle w:val="yTableNAm"/>
            </w:pPr>
            <w:r>
              <w:t>Greenhead</w:t>
            </w:r>
          </w:p>
        </w:tc>
        <w:tc>
          <w:tcPr>
            <w:tcW w:w="2173" w:type="dxa"/>
            <w:vAlign w:val="bottom"/>
          </w:tcPr>
          <w:p>
            <w:pPr>
              <w:pStyle w:val="yTableNAm"/>
              <w:jc w:val="center"/>
            </w:pPr>
            <w:r>
              <w:t>12.000</w:t>
            </w:r>
          </w:p>
        </w:tc>
        <w:tc>
          <w:tcPr>
            <w:tcW w:w="2174" w:type="dxa"/>
            <w:vAlign w:val="bottom"/>
          </w:tcPr>
          <w:p>
            <w:pPr>
              <w:pStyle w:val="yTableNAm"/>
              <w:jc w:val="center"/>
            </w:pPr>
            <w:r>
              <w:t>5.284</w:t>
            </w:r>
          </w:p>
        </w:tc>
      </w:tr>
      <w:tr>
        <w:trPr>
          <w:gridAfter w:val="1"/>
          <w:wAfter w:w="33" w:type="dxa"/>
          <w:cantSplit/>
        </w:trPr>
        <w:tc>
          <w:tcPr>
            <w:tcW w:w="2173" w:type="dxa"/>
          </w:tcPr>
          <w:p>
            <w:pPr>
              <w:pStyle w:val="yTableNAm"/>
            </w:pPr>
            <w:r>
              <w:t>Halls Creek</w:t>
            </w:r>
          </w:p>
        </w:tc>
        <w:tc>
          <w:tcPr>
            <w:tcW w:w="2173" w:type="dxa"/>
            <w:vAlign w:val="bottom"/>
          </w:tcPr>
          <w:p>
            <w:pPr>
              <w:pStyle w:val="yTableNAm"/>
              <w:jc w:val="center"/>
            </w:pPr>
            <w:r>
              <w:t>11.058</w:t>
            </w:r>
          </w:p>
        </w:tc>
        <w:tc>
          <w:tcPr>
            <w:tcW w:w="2174" w:type="dxa"/>
            <w:vAlign w:val="bottom"/>
          </w:tcPr>
          <w:p>
            <w:pPr>
              <w:pStyle w:val="yTableNAm"/>
              <w:jc w:val="center"/>
            </w:pPr>
            <w:r>
              <w:t>9.406</w:t>
            </w:r>
          </w:p>
        </w:tc>
      </w:tr>
      <w:tr>
        <w:trPr>
          <w:gridAfter w:val="1"/>
          <w:wAfter w:w="33" w:type="dxa"/>
          <w:cantSplit/>
        </w:trPr>
        <w:tc>
          <w:tcPr>
            <w:tcW w:w="2173" w:type="dxa"/>
          </w:tcPr>
          <w:p>
            <w:pPr>
              <w:pStyle w:val="yTableNAm"/>
            </w:pPr>
            <w:r>
              <w:t>Harvey</w:t>
            </w:r>
          </w:p>
        </w:tc>
        <w:tc>
          <w:tcPr>
            <w:tcW w:w="2173" w:type="dxa"/>
            <w:vAlign w:val="bottom"/>
          </w:tcPr>
          <w:p>
            <w:pPr>
              <w:pStyle w:val="yTableNAm"/>
              <w:jc w:val="center"/>
            </w:pPr>
            <w:r>
              <w:t>7.006</w:t>
            </w:r>
          </w:p>
        </w:tc>
        <w:tc>
          <w:tcPr>
            <w:tcW w:w="2174" w:type="dxa"/>
            <w:vAlign w:val="bottom"/>
          </w:tcPr>
          <w:p>
            <w:pPr>
              <w:pStyle w:val="yTableNAm"/>
              <w:jc w:val="center"/>
            </w:pPr>
            <w:r>
              <w:t>12.000</w:t>
            </w:r>
          </w:p>
        </w:tc>
      </w:tr>
      <w:tr>
        <w:trPr>
          <w:gridAfter w:val="1"/>
          <w:wAfter w:w="33" w:type="dxa"/>
          <w:cantSplit/>
        </w:trPr>
        <w:tc>
          <w:tcPr>
            <w:tcW w:w="2173" w:type="dxa"/>
          </w:tcPr>
          <w:p>
            <w:pPr>
              <w:pStyle w:val="yTableNAm"/>
            </w:pPr>
            <w:r>
              <w:t>Hopetoun</w:t>
            </w:r>
          </w:p>
        </w:tc>
        <w:tc>
          <w:tcPr>
            <w:tcW w:w="2173" w:type="dxa"/>
            <w:vAlign w:val="bottom"/>
          </w:tcPr>
          <w:p>
            <w:pPr>
              <w:pStyle w:val="yTableNAm"/>
              <w:jc w:val="center"/>
            </w:pPr>
            <w:r>
              <w:t>12.000</w:t>
            </w:r>
          </w:p>
        </w:tc>
        <w:tc>
          <w:tcPr>
            <w:tcW w:w="2174" w:type="dxa"/>
            <w:vAlign w:val="bottom"/>
          </w:tcPr>
          <w:p>
            <w:pPr>
              <w:pStyle w:val="yTableNAm"/>
              <w:jc w:val="center"/>
            </w:pPr>
            <w:r>
              <w:t>12.000</w:t>
            </w:r>
          </w:p>
        </w:tc>
      </w:tr>
      <w:tr>
        <w:trPr>
          <w:gridAfter w:val="1"/>
          <w:wAfter w:w="33" w:type="dxa"/>
          <w:cantSplit/>
        </w:trPr>
        <w:tc>
          <w:tcPr>
            <w:tcW w:w="2173" w:type="dxa"/>
          </w:tcPr>
          <w:p>
            <w:pPr>
              <w:pStyle w:val="yTableNAm"/>
            </w:pPr>
            <w:r>
              <w:t>Horrocks</w:t>
            </w:r>
          </w:p>
        </w:tc>
        <w:tc>
          <w:tcPr>
            <w:tcW w:w="2173" w:type="dxa"/>
            <w:vAlign w:val="bottom"/>
          </w:tcPr>
          <w:p>
            <w:pPr>
              <w:pStyle w:val="yTableNAm"/>
              <w:jc w:val="center"/>
            </w:pPr>
            <w:r>
              <w:t>12.000</w:t>
            </w:r>
          </w:p>
        </w:tc>
        <w:tc>
          <w:tcPr>
            <w:tcW w:w="2174" w:type="dxa"/>
            <w:vAlign w:val="bottom"/>
          </w:tcPr>
          <w:p>
            <w:pPr>
              <w:pStyle w:val="yTableNAm"/>
              <w:jc w:val="center"/>
            </w:pPr>
            <w:r>
              <w:t>10.453</w:t>
            </w:r>
          </w:p>
        </w:tc>
      </w:tr>
      <w:tr>
        <w:trPr>
          <w:gridAfter w:val="1"/>
          <w:wAfter w:w="33" w:type="dxa"/>
          <w:cantSplit/>
        </w:trPr>
        <w:tc>
          <w:tcPr>
            <w:tcW w:w="2173" w:type="dxa"/>
          </w:tcPr>
          <w:p>
            <w:pPr>
              <w:pStyle w:val="yTableNAm"/>
            </w:pPr>
            <w:r>
              <w:t>Jurien Bay</w:t>
            </w:r>
          </w:p>
        </w:tc>
        <w:tc>
          <w:tcPr>
            <w:tcW w:w="2173" w:type="dxa"/>
            <w:vAlign w:val="bottom"/>
          </w:tcPr>
          <w:p>
            <w:pPr>
              <w:pStyle w:val="yTableNAm"/>
              <w:jc w:val="center"/>
            </w:pPr>
            <w:r>
              <w:t>10.354</w:t>
            </w:r>
          </w:p>
        </w:tc>
        <w:tc>
          <w:tcPr>
            <w:tcW w:w="2174" w:type="dxa"/>
            <w:vAlign w:val="bottom"/>
          </w:tcPr>
          <w:p>
            <w:pPr>
              <w:pStyle w:val="yTableNAm"/>
              <w:jc w:val="center"/>
            </w:pPr>
            <w:r>
              <w:t>4.430</w:t>
            </w:r>
          </w:p>
        </w:tc>
      </w:tr>
      <w:tr>
        <w:trPr>
          <w:gridAfter w:val="1"/>
          <w:wAfter w:w="33" w:type="dxa"/>
          <w:cantSplit/>
        </w:trPr>
        <w:tc>
          <w:tcPr>
            <w:tcW w:w="2173" w:type="dxa"/>
          </w:tcPr>
          <w:p>
            <w:pPr>
              <w:pStyle w:val="yTableNAm"/>
            </w:pPr>
            <w:r>
              <w:t>Kalbarri</w:t>
            </w:r>
          </w:p>
        </w:tc>
        <w:tc>
          <w:tcPr>
            <w:tcW w:w="2173" w:type="dxa"/>
            <w:vAlign w:val="bottom"/>
          </w:tcPr>
          <w:p>
            <w:pPr>
              <w:pStyle w:val="yTableNAm"/>
              <w:jc w:val="center"/>
            </w:pPr>
            <w:r>
              <w:t>6.820</w:t>
            </w:r>
          </w:p>
        </w:tc>
        <w:tc>
          <w:tcPr>
            <w:tcW w:w="2174" w:type="dxa"/>
            <w:vAlign w:val="bottom"/>
          </w:tcPr>
          <w:p>
            <w:pPr>
              <w:pStyle w:val="yTableNAm"/>
              <w:jc w:val="center"/>
            </w:pPr>
            <w:r>
              <w:t>3.504</w:t>
            </w:r>
          </w:p>
        </w:tc>
      </w:tr>
      <w:tr>
        <w:trPr>
          <w:gridAfter w:val="1"/>
          <w:wAfter w:w="33" w:type="dxa"/>
          <w:cantSplit/>
        </w:trPr>
        <w:tc>
          <w:tcPr>
            <w:tcW w:w="2173" w:type="dxa"/>
          </w:tcPr>
          <w:p>
            <w:pPr>
              <w:pStyle w:val="yTableNAm"/>
            </w:pPr>
            <w:r>
              <w:t>Kambalda</w:t>
            </w:r>
          </w:p>
        </w:tc>
        <w:tc>
          <w:tcPr>
            <w:tcW w:w="2173" w:type="dxa"/>
            <w:vAlign w:val="bottom"/>
          </w:tcPr>
          <w:p>
            <w:pPr>
              <w:pStyle w:val="yTableNAm"/>
              <w:jc w:val="center"/>
            </w:pPr>
            <w:r>
              <w:t>6.587</w:t>
            </w:r>
          </w:p>
        </w:tc>
        <w:tc>
          <w:tcPr>
            <w:tcW w:w="2174" w:type="dxa"/>
            <w:vAlign w:val="bottom"/>
          </w:tcPr>
          <w:p>
            <w:pPr>
              <w:pStyle w:val="yTableNAm"/>
              <w:jc w:val="center"/>
            </w:pPr>
            <w:r>
              <w:t>12.000</w:t>
            </w:r>
          </w:p>
        </w:tc>
      </w:tr>
      <w:tr>
        <w:trPr>
          <w:gridAfter w:val="1"/>
          <w:wAfter w:w="33" w:type="dxa"/>
          <w:cantSplit/>
        </w:trPr>
        <w:tc>
          <w:tcPr>
            <w:tcW w:w="2173" w:type="dxa"/>
          </w:tcPr>
          <w:p>
            <w:pPr>
              <w:pStyle w:val="yTableNAm"/>
            </w:pPr>
            <w:r>
              <w:t>Karratha</w:t>
            </w:r>
          </w:p>
        </w:tc>
        <w:tc>
          <w:tcPr>
            <w:tcW w:w="2173" w:type="dxa"/>
            <w:vAlign w:val="bottom"/>
          </w:tcPr>
          <w:p>
            <w:pPr>
              <w:pStyle w:val="yTableNAm"/>
              <w:jc w:val="center"/>
            </w:pPr>
            <w:r>
              <w:t>0.926</w:t>
            </w:r>
          </w:p>
        </w:tc>
        <w:tc>
          <w:tcPr>
            <w:tcW w:w="2174" w:type="dxa"/>
            <w:vAlign w:val="bottom"/>
          </w:tcPr>
          <w:p>
            <w:pPr>
              <w:pStyle w:val="yTableNAm"/>
              <w:jc w:val="center"/>
            </w:pPr>
            <w:r>
              <w:t>3.212</w:t>
            </w:r>
          </w:p>
        </w:tc>
      </w:tr>
      <w:tr>
        <w:trPr>
          <w:gridAfter w:val="1"/>
          <w:wAfter w:w="33" w:type="dxa"/>
          <w:cantSplit/>
        </w:trPr>
        <w:tc>
          <w:tcPr>
            <w:tcW w:w="2173" w:type="dxa"/>
          </w:tcPr>
          <w:p>
            <w:pPr>
              <w:pStyle w:val="yTableNAm"/>
            </w:pPr>
            <w:r>
              <w:t>Katanning</w:t>
            </w:r>
          </w:p>
        </w:tc>
        <w:tc>
          <w:tcPr>
            <w:tcW w:w="2173" w:type="dxa"/>
            <w:vAlign w:val="bottom"/>
          </w:tcPr>
          <w:p>
            <w:pPr>
              <w:pStyle w:val="yTableNAm"/>
              <w:jc w:val="center"/>
            </w:pPr>
            <w:r>
              <w:t>6.653</w:t>
            </w:r>
          </w:p>
        </w:tc>
        <w:tc>
          <w:tcPr>
            <w:tcW w:w="2174" w:type="dxa"/>
            <w:vAlign w:val="bottom"/>
          </w:tcPr>
          <w:p>
            <w:pPr>
              <w:pStyle w:val="yTableNAm"/>
              <w:jc w:val="center"/>
            </w:pPr>
            <w:r>
              <w:t>12.000</w:t>
            </w:r>
          </w:p>
        </w:tc>
      </w:tr>
      <w:tr>
        <w:trPr>
          <w:gridAfter w:val="1"/>
          <w:wAfter w:w="33" w:type="dxa"/>
          <w:cantSplit/>
        </w:trPr>
        <w:tc>
          <w:tcPr>
            <w:tcW w:w="2173" w:type="dxa"/>
          </w:tcPr>
          <w:p>
            <w:pPr>
              <w:pStyle w:val="yTableNAm"/>
            </w:pPr>
            <w:r>
              <w:t>Kellerberrin</w:t>
            </w:r>
          </w:p>
        </w:tc>
        <w:tc>
          <w:tcPr>
            <w:tcW w:w="2173" w:type="dxa"/>
            <w:vAlign w:val="bottom"/>
          </w:tcPr>
          <w:p>
            <w:pPr>
              <w:pStyle w:val="yTableNAm"/>
              <w:jc w:val="center"/>
            </w:pPr>
            <w:r>
              <w:t>12.000</w:t>
            </w:r>
          </w:p>
        </w:tc>
        <w:tc>
          <w:tcPr>
            <w:tcW w:w="2174" w:type="dxa"/>
            <w:vAlign w:val="bottom"/>
          </w:tcPr>
          <w:p>
            <w:pPr>
              <w:pStyle w:val="yTableNAm"/>
              <w:jc w:val="center"/>
            </w:pPr>
            <w:r>
              <w:t>12.000</w:t>
            </w:r>
          </w:p>
        </w:tc>
      </w:tr>
      <w:tr>
        <w:trPr>
          <w:gridAfter w:val="1"/>
          <w:wAfter w:w="33" w:type="dxa"/>
          <w:cantSplit/>
        </w:trPr>
        <w:tc>
          <w:tcPr>
            <w:tcW w:w="2173" w:type="dxa"/>
          </w:tcPr>
          <w:p>
            <w:pPr>
              <w:pStyle w:val="yTableNAm"/>
            </w:pPr>
            <w:r>
              <w:t>Kojonup</w:t>
            </w:r>
          </w:p>
        </w:tc>
        <w:tc>
          <w:tcPr>
            <w:tcW w:w="2173" w:type="dxa"/>
            <w:vAlign w:val="bottom"/>
          </w:tcPr>
          <w:p>
            <w:pPr>
              <w:pStyle w:val="yTableNAm"/>
              <w:jc w:val="center"/>
            </w:pPr>
            <w:r>
              <w:t>9.509</w:t>
            </w:r>
          </w:p>
        </w:tc>
        <w:tc>
          <w:tcPr>
            <w:tcW w:w="2174" w:type="dxa"/>
            <w:vAlign w:val="bottom"/>
          </w:tcPr>
          <w:p>
            <w:pPr>
              <w:pStyle w:val="yTableNAm"/>
              <w:jc w:val="center"/>
            </w:pPr>
            <w:r>
              <w:t>12.000</w:t>
            </w:r>
          </w:p>
        </w:tc>
      </w:tr>
      <w:tr>
        <w:trPr>
          <w:gridAfter w:val="1"/>
          <w:wAfter w:w="33" w:type="dxa"/>
          <w:cantSplit/>
        </w:trPr>
        <w:tc>
          <w:tcPr>
            <w:tcW w:w="2173" w:type="dxa"/>
          </w:tcPr>
          <w:p>
            <w:pPr>
              <w:pStyle w:val="yTableNAm"/>
            </w:pPr>
            <w:r>
              <w:t>Kulin</w:t>
            </w:r>
          </w:p>
        </w:tc>
        <w:tc>
          <w:tcPr>
            <w:tcW w:w="2173" w:type="dxa"/>
            <w:vAlign w:val="bottom"/>
          </w:tcPr>
          <w:p>
            <w:pPr>
              <w:pStyle w:val="yTableNAm"/>
              <w:jc w:val="center"/>
            </w:pPr>
            <w:r>
              <w:t>9.130</w:t>
            </w:r>
          </w:p>
        </w:tc>
        <w:tc>
          <w:tcPr>
            <w:tcW w:w="2174" w:type="dxa"/>
            <w:vAlign w:val="bottom"/>
          </w:tcPr>
          <w:p>
            <w:pPr>
              <w:pStyle w:val="yTableNAm"/>
              <w:jc w:val="center"/>
            </w:pPr>
            <w:r>
              <w:t>11.415</w:t>
            </w:r>
          </w:p>
        </w:tc>
      </w:tr>
      <w:tr>
        <w:trPr>
          <w:gridAfter w:val="1"/>
          <w:wAfter w:w="33" w:type="dxa"/>
          <w:cantSplit/>
        </w:trPr>
        <w:tc>
          <w:tcPr>
            <w:tcW w:w="2173" w:type="dxa"/>
          </w:tcPr>
          <w:p>
            <w:pPr>
              <w:pStyle w:val="yTableNAm"/>
            </w:pPr>
            <w:r>
              <w:t>Kununurra</w:t>
            </w:r>
          </w:p>
        </w:tc>
        <w:tc>
          <w:tcPr>
            <w:tcW w:w="2173" w:type="dxa"/>
            <w:vAlign w:val="bottom"/>
          </w:tcPr>
          <w:p>
            <w:pPr>
              <w:pStyle w:val="yTableNAm"/>
              <w:jc w:val="center"/>
            </w:pPr>
            <w:r>
              <w:t>4.134</w:t>
            </w:r>
          </w:p>
        </w:tc>
        <w:tc>
          <w:tcPr>
            <w:tcW w:w="2174" w:type="dxa"/>
            <w:vAlign w:val="bottom"/>
          </w:tcPr>
          <w:p>
            <w:pPr>
              <w:pStyle w:val="yTableNAm"/>
              <w:jc w:val="center"/>
            </w:pPr>
            <w:r>
              <w:t>5.774</w:t>
            </w:r>
          </w:p>
        </w:tc>
      </w:tr>
      <w:tr>
        <w:trPr>
          <w:gridAfter w:val="1"/>
          <w:wAfter w:w="33" w:type="dxa"/>
          <w:cantSplit/>
        </w:trPr>
        <w:tc>
          <w:tcPr>
            <w:tcW w:w="2173" w:type="dxa"/>
          </w:tcPr>
          <w:p>
            <w:pPr>
              <w:pStyle w:val="yTableNAm"/>
            </w:pPr>
            <w:r>
              <w:t>Lancelin</w:t>
            </w:r>
          </w:p>
        </w:tc>
        <w:tc>
          <w:tcPr>
            <w:tcW w:w="2173" w:type="dxa"/>
            <w:vAlign w:val="bottom"/>
          </w:tcPr>
          <w:p>
            <w:pPr>
              <w:pStyle w:val="yTableNAm"/>
              <w:jc w:val="center"/>
            </w:pPr>
            <w:r>
              <w:t>7.350</w:t>
            </w:r>
          </w:p>
        </w:tc>
        <w:tc>
          <w:tcPr>
            <w:tcW w:w="2174" w:type="dxa"/>
            <w:vAlign w:val="bottom"/>
          </w:tcPr>
          <w:p>
            <w:pPr>
              <w:pStyle w:val="yTableNAm"/>
              <w:jc w:val="center"/>
            </w:pPr>
            <w:r>
              <w:t>2.999</w:t>
            </w:r>
          </w:p>
        </w:tc>
      </w:tr>
      <w:tr>
        <w:trPr>
          <w:gridAfter w:val="1"/>
          <w:wAfter w:w="33" w:type="dxa"/>
          <w:cantSplit/>
        </w:trPr>
        <w:tc>
          <w:tcPr>
            <w:tcW w:w="2173" w:type="dxa"/>
          </w:tcPr>
          <w:p>
            <w:pPr>
              <w:pStyle w:val="yTableNAm"/>
            </w:pPr>
            <w:r>
              <w:t>Laverton</w:t>
            </w:r>
          </w:p>
        </w:tc>
        <w:tc>
          <w:tcPr>
            <w:tcW w:w="2173" w:type="dxa"/>
            <w:vAlign w:val="bottom"/>
          </w:tcPr>
          <w:p>
            <w:pPr>
              <w:pStyle w:val="yTableNAm"/>
              <w:jc w:val="center"/>
            </w:pPr>
            <w:r>
              <w:t>9.562</w:t>
            </w:r>
          </w:p>
        </w:tc>
        <w:tc>
          <w:tcPr>
            <w:tcW w:w="2174" w:type="dxa"/>
            <w:vAlign w:val="bottom"/>
          </w:tcPr>
          <w:p>
            <w:pPr>
              <w:pStyle w:val="yTableNAm"/>
              <w:jc w:val="center"/>
            </w:pPr>
            <w:r>
              <w:t>12.000</w:t>
            </w:r>
          </w:p>
        </w:tc>
      </w:tr>
      <w:tr>
        <w:trPr>
          <w:gridAfter w:val="1"/>
          <w:wAfter w:w="33" w:type="dxa"/>
          <w:cantSplit/>
        </w:trPr>
        <w:tc>
          <w:tcPr>
            <w:tcW w:w="2173" w:type="dxa"/>
          </w:tcPr>
          <w:p>
            <w:pPr>
              <w:pStyle w:val="yTableNAm"/>
            </w:pPr>
            <w:r>
              <w:t>Ledge Point</w:t>
            </w:r>
          </w:p>
        </w:tc>
        <w:tc>
          <w:tcPr>
            <w:tcW w:w="2173" w:type="dxa"/>
            <w:vAlign w:val="bottom"/>
          </w:tcPr>
          <w:p>
            <w:pPr>
              <w:pStyle w:val="yTableNAm"/>
              <w:jc w:val="center"/>
            </w:pPr>
            <w:r>
              <w:t>5.510</w:t>
            </w:r>
          </w:p>
        </w:tc>
        <w:tc>
          <w:tcPr>
            <w:tcW w:w="2174" w:type="dxa"/>
            <w:vAlign w:val="bottom"/>
          </w:tcPr>
          <w:p>
            <w:pPr>
              <w:pStyle w:val="yTableNAm"/>
              <w:jc w:val="center"/>
            </w:pPr>
            <w:r>
              <w:t>3.723</w:t>
            </w:r>
          </w:p>
        </w:tc>
      </w:tr>
      <w:tr>
        <w:trPr>
          <w:gridAfter w:val="1"/>
          <w:wAfter w:w="33" w:type="dxa"/>
          <w:cantSplit/>
        </w:trPr>
        <w:tc>
          <w:tcPr>
            <w:tcW w:w="2173" w:type="dxa"/>
          </w:tcPr>
          <w:p>
            <w:pPr>
              <w:pStyle w:val="yTableNAm"/>
            </w:pPr>
            <w:r>
              <w:t>Leeman</w:t>
            </w:r>
          </w:p>
        </w:tc>
        <w:tc>
          <w:tcPr>
            <w:tcW w:w="2173" w:type="dxa"/>
            <w:vAlign w:val="bottom"/>
          </w:tcPr>
          <w:p>
            <w:pPr>
              <w:pStyle w:val="yTableNAm"/>
              <w:jc w:val="center"/>
            </w:pPr>
            <w:r>
              <w:t>12.000</w:t>
            </w:r>
          </w:p>
        </w:tc>
        <w:tc>
          <w:tcPr>
            <w:tcW w:w="2174" w:type="dxa"/>
            <w:vAlign w:val="bottom"/>
          </w:tcPr>
          <w:p>
            <w:pPr>
              <w:pStyle w:val="yTableNAm"/>
              <w:jc w:val="center"/>
            </w:pPr>
            <w:r>
              <w:t>6.009</w:t>
            </w:r>
          </w:p>
        </w:tc>
      </w:tr>
      <w:tr>
        <w:trPr>
          <w:gridAfter w:val="1"/>
          <w:wAfter w:w="33" w:type="dxa"/>
          <w:cantSplit/>
        </w:trPr>
        <w:tc>
          <w:tcPr>
            <w:tcW w:w="2173" w:type="dxa"/>
          </w:tcPr>
          <w:p>
            <w:pPr>
              <w:pStyle w:val="yTableNAm"/>
            </w:pPr>
            <w:r>
              <w:t>Leonora</w:t>
            </w:r>
          </w:p>
        </w:tc>
        <w:tc>
          <w:tcPr>
            <w:tcW w:w="2173" w:type="dxa"/>
            <w:vAlign w:val="bottom"/>
          </w:tcPr>
          <w:p>
            <w:pPr>
              <w:pStyle w:val="yTableNAm"/>
              <w:jc w:val="center"/>
            </w:pPr>
            <w:r>
              <w:t>9.004</w:t>
            </w:r>
          </w:p>
        </w:tc>
        <w:tc>
          <w:tcPr>
            <w:tcW w:w="2174" w:type="dxa"/>
            <w:vAlign w:val="bottom"/>
          </w:tcPr>
          <w:p>
            <w:pPr>
              <w:pStyle w:val="yTableNAm"/>
              <w:jc w:val="center"/>
            </w:pPr>
            <w:r>
              <w:t>11.272</w:t>
            </w:r>
          </w:p>
        </w:tc>
      </w:tr>
      <w:tr>
        <w:trPr>
          <w:gridAfter w:val="1"/>
          <w:wAfter w:w="33" w:type="dxa"/>
          <w:cantSplit/>
        </w:trPr>
        <w:tc>
          <w:tcPr>
            <w:tcW w:w="2173" w:type="dxa"/>
          </w:tcPr>
          <w:p>
            <w:pPr>
              <w:pStyle w:val="yTableNAm"/>
            </w:pPr>
            <w:r>
              <w:t>Mandurah</w:t>
            </w:r>
          </w:p>
        </w:tc>
        <w:tc>
          <w:tcPr>
            <w:tcW w:w="2173" w:type="dxa"/>
            <w:vAlign w:val="bottom"/>
          </w:tcPr>
          <w:p>
            <w:pPr>
              <w:pStyle w:val="yTableNAm"/>
              <w:jc w:val="center"/>
            </w:pPr>
            <w:r>
              <w:t>6.119</w:t>
            </w:r>
          </w:p>
        </w:tc>
        <w:tc>
          <w:tcPr>
            <w:tcW w:w="2174" w:type="dxa"/>
            <w:vAlign w:val="bottom"/>
          </w:tcPr>
          <w:p>
            <w:pPr>
              <w:pStyle w:val="yTableNAm"/>
              <w:jc w:val="center"/>
            </w:pPr>
            <w:r>
              <w:t>5.444</w:t>
            </w:r>
          </w:p>
        </w:tc>
      </w:tr>
      <w:tr>
        <w:trPr>
          <w:gridAfter w:val="1"/>
          <w:wAfter w:w="33" w:type="dxa"/>
          <w:cantSplit/>
        </w:trPr>
        <w:tc>
          <w:tcPr>
            <w:tcW w:w="2173" w:type="dxa"/>
          </w:tcPr>
          <w:p>
            <w:pPr>
              <w:pStyle w:val="yTableNAm"/>
            </w:pPr>
            <w:r>
              <w:t>Manjimup</w:t>
            </w:r>
          </w:p>
        </w:tc>
        <w:tc>
          <w:tcPr>
            <w:tcW w:w="2173" w:type="dxa"/>
            <w:vAlign w:val="bottom"/>
          </w:tcPr>
          <w:p>
            <w:pPr>
              <w:pStyle w:val="yTableNAm"/>
              <w:jc w:val="center"/>
            </w:pPr>
            <w:r>
              <w:t>12.000</w:t>
            </w:r>
          </w:p>
        </w:tc>
        <w:tc>
          <w:tcPr>
            <w:tcW w:w="2174" w:type="dxa"/>
            <w:vAlign w:val="bottom"/>
          </w:tcPr>
          <w:p>
            <w:pPr>
              <w:pStyle w:val="yTableNAm"/>
              <w:jc w:val="center"/>
            </w:pPr>
            <w:r>
              <w:t>8.707</w:t>
            </w:r>
          </w:p>
        </w:tc>
      </w:tr>
      <w:tr>
        <w:trPr>
          <w:gridAfter w:val="1"/>
          <w:wAfter w:w="33" w:type="dxa"/>
          <w:cantSplit/>
        </w:trPr>
        <w:tc>
          <w:tcPr>
            <w:tcW w:w="2173" w:type="dxa"/>
          </w:tcPr>
          <w:p>
            <w:pPr>
              <w:pStyle w:val="yTableNAm"/>
            </w:pPr>
            <w:r>
              <w:t>Margaret River</w:t>
            </w:r>
          </w:p>
        </w:tc>
        <w:tc>
          <w:tcPr>
            <w:tcW w:w="2173" w:type="dxa"/>
            <w:vAlign w:val="bottom"/>
          </w:tcPr>
          <w:p>
            <w:pPr>
              <w:pStyle w:val="yTableNAm"/>
              <w:jc w:val="center"/>
            </w:pPr>
            <w:r>
              <w:t>7.869</w:t>
            </w:r>
          </w:p>
        </w:tc>
        <w:tc>
          <w:tcPr>
            <w:tcW w:w="2174" w:type="dxa"/>
            <w:vAlign w:val="bottom"/>
          </w:tcPr>
          <w:p>
            <w:pPr>
              <w:pStyle w:val="yTableNAm"/>
              <w:jc w:val="center"/>
            </w:pPr>
            <w:r>
              <w:t>6.682</w:t>
            </w:r>
          </w:p>
        </w:tc>
      </w:tr>
      <w:tr>
        <w:trPr>
          <w:gridAfter w:val="1"/>
          <w:wAfter w:w="33" w:type="dxa"/>
          <w:cantSplit/>
        </w:trPr>
        <w:tc>
          <w:tcPr>
            <w:tcW w:w="2173" w:type="dxa"/>
          </w:tcPr>
          <w:p>
            <w:pPr>
              <w:pStyle w:val="yTableNAm"/>
            </w:pPr>
            <w:r>
              <w:t>Meckering</w:t>
            </w:r>
          </w:p>
        </w:tc>
        <w:tc>
          <w:tcPr>
            <w:tcW w:w="2173" w:type="dxa"/>
            <w:vAlign w:val="bottom"/>
          </w:tcPr>
          <w:p>
            <w:pPr>
              <w:pStyle w:val="yTableNAm"/>
              <w:jc w:val="center"/>
            </w:pPr>
            <w:r>
              <w:t>10.152</w:t>
            </w:r>
          </w:p>
        </w:tc>
        <w:tc>
          <w:tcPr>
            <w:tcW w:w="2174" w:type="dxa"/>
            <w:vAlign w:val="bottom"/>
          </w:tcPr>
          <w:p>
            <w:pPr>
              <w:pStyle w:val="yTableNAm"/>
              <w:jc w:val="center"/>
            </w:pPr>
            <w:r>
              <w:t>12.000</w:t>
            </w:r>
          </w:p>
        </w:tc>
      </w:tr>
      <w:tr>
        <w:trPr>
          <w:gridAfter w:val="1"/>
          <w:wAfter w:w="33" w:type="dxa"/>
          <w:cantSplit/>
        </w:trPr>
        <w:tc>
          <w:tcPr>
            <w:tcW w:w="2173" w:type="dxa"/>
          </w:tcPr>
          <w:p>
            <w:pPr>
              <w:pStyle w:val="yTableNAm"/>
            </w:pPr>
            <w:r>
              <w:t>Merredin</w:t>
            </w:r>
          </w:p>
        </w:tc>
        <w:tc>
          <w:tcPr>
            <w:tcW w:w="2173" w:type="dxa"/>
            <w:vAlign w:val="bottom"/>
          </w:tcPr>
          <w:p>
            <w:pPr>
              <w:pStyle w:val="yTableNAm"/>
              <w:jc w:val="center"/>
            </w:pPr>
            <w:r>
              <w:t>7.976</w:t>
            </w:r>
          </w:p>
        </w:tc>
        <w:tc>
          <w:tcPr>
            <w:tcW w:w="2174" w:type="dxa"/>
            <w:vAlign w:val="bottom"/>
          </w:tcPr>
          <w:p>
            <w:pPr>
              <w:pStyle w:val="yTableNAm"/>
              <w:jc w:val="center"/>
            </w:pPr>
            <w:r>
              <w:t>12.000</w:t>
            </w:r>
          </w:p>
        </w:tc>
      </w:tr>
      <w:tr>
        <w:trPr>
          <w:gridAfter w:val="1"/>
          <w:wAfter w:w="33" w:type="dxa"/>
          <w:cantSplit/>
        </w:trPr>
        <w:tc>
          <w:tcPr>
            <w:tcW w:w="2173" w:type="dxa"/>
          </w:tcPr>
          <w:p>
            <w:pPr>
              <w:pStyle w:val="yTableNAm"/>
            </w:pPr>
            <w:r>
              <w:t>Mount Barker</w:t>
            </w:r>
          </w:p>
        </w:tc>
        <w:tc>
          <w:tcPr>
            <w:tcW w:w="2173" w:type="dxa"/>
            <w:vAlign w:val="bottom"/>
          </w:tcPr>
          <w:p>
            <w:pPr>
              <w:pStyle w:val="yTableNAm"/>
              <w:jc w:val="center"/>
            </w:pPr>
            <w:r>
              <w:t>11.226</w:t>
            </w:r>
          </w:p>
        </w:tc>
        <w:tc>
          <w:tcPr>
            <w:tcW w:w="2174" w:type="dxa"/>
            <w:vAlign w:val="bottom"/>
          </w:tcPr>
          <w:p>
            <w:pPr>
              <w:pStyle w:val="yTableNAm"/>
              <w:jc w:val="center"/>
            </w:pPr>
            <w:r>
              <w:t>5.998</w:t>
            </w:r>
          </w:p>
        </w:tc>
      </w:tr>
      <w:tr>
        <w:trPr>
          <w:gridAfter w:val="1"/>
          <w:wAfter w:w="33" w:type="dxa"/>
          <w:cantSplit/>
        </w:trPr>
        <w:tc>
          <w:tcPr>
            <w:tcW w:w="2173" w:type="dxa"/>
          </w:tcPr>
          <w:p>
            <w:pPr>
              <w:pStyle w:val="yTableNAm"/>
            </w:pPr>
            <w:r>
              <w:t>Mukinbudin</w:t>
            </w:r>
          </w:p>
        </w:tc>
        <w:tc>
          <w:tcPr>
            <w:tcW w:w="2173" w:type="dxa"/>
            <w:vAlign w:val="bottom"/>
          </w:tcPr>
          <w:p>
            <w:pPr>
              <w:pStyle w:val="yTableNAm"/>
              <w:jc w:val="center"/>
            </w:pPr>
            <w:r>
              <w:t>12.000</w:t>
            </w:r>
          </w:p>
        </w:tc>
        <w:tc>
          <w:tcPr>
            <w:tcW w:w="2174" w:type="dxa"/>
            <w:vAlign w:val="bottom"/>
          </w:tcPr>
          <w:p>
            <w:pPr>
              <w:pStyle w:val="yTableNAm"/>
              <w:jc w:val="center"/>
            </w:pPr>
            <w:r>
              <w:t>12.000</w:t>
            </w:r>
          </w:p>
        </w:tc>
      </w:tr>
      <w:tr>
        <w:trPr>
          <w:gridAfter w:val="1"/>
          <w:wAfter w:w="33" w:type="dxa"/>
          <w:cantSplit/>
        </w:trPr>
        <w:tc>
          <w:tcPr>
            <w:tcW w:w="2173" w:type="dxa"/>
          </w:tcPr>
          <w:p>
            <w:pPr>
              <w:pStyle w:val="yTableNAm"/>
            </w:pPr>
            <w:r>
              <w:t>Nannup</w:t>
            </w:r>
          </w:p>
        </w:tc>
        <w:tc>
          <w:tcPr>
            <w:tcW w:w="2173" w:type="dxa"/>
            <w:vAlign w:val="bottom"/>
          </w:tcPr>
          <w:p>
            <w:pPr>
              <w:pStyle w:val="yTableNAm"/>
              <w:jc w:val="center"/>
            </w:pPr>
            <w:r>
              <w:t>11.479</w:t>
            </w:r>
          </w:p>
        </w:tc>
        <w:tc>
          <w:tcPr>
            <w:tcW w:w="2174" w:type="dxa"/>
            <w:vAlign w:val="bottom"/>
          </w:tcPr>
          <w:p>
            <w:pPr>
              <w:pStyle w:val="yTableNAm"/>
              <w:jc w:val="center"/>
            </w:pPr>
            <w:r>
              <w:t>12.000</w:t>
            </w:r>
          </w:p>
        </w:tc>
      </w:tr>
      <w:tr>
        <w:trPr>
          <w:gridAfter w:val="1"/>
          <w:wAfter w:w="33" w:type="dxa"/>
          <w:cantSplit/>
        </w:trPr>
        <w:tc>
          <w:tcPr>
            <w:tcW w:w="2173" w:type="dxa"/>
          </w:tcPr>
          <w:p>
            <w:pPr>
              <w:pStyle w:val="yTableNAm"/>
            </w:pPr>
            <w:r>
              <w:t>Narembeen</w:t>
            </w:r>
          </w:p>
        </w:tc>
        <w:tc>
          <w:tcPr>
            <w:tcW w:w="2173" w:type="dxa"/>
            <w:vAlign w:val="bottom"/>
          </w:tcPr>
          <w:p>
            <w:pPr>
              <w:pStyle w:val="yTableNAm"/>
              <w:jc w:val="center"/>
            </w:pPr>
            <w:r>
              <w:t>11.186</w:t>
            </w:r>
          </w:p>
        </w:tc>
        <w:tc>
          <w:tcPr>
            <w:tcW w:w="2174" w:type="dxa"/>
            <w:vAlign w:val="bottom"/>
          </w:tcPr>
          <w:p>
            <w:pPr>
              <w:pStyle w:val="yTableNAm"/>
              <w:jc w:val="center"/>
            </w:pPr>
            <w:r>
              <w:t>12.000</w:t>
            </w:r>
          </w:p>
        </w:tc>
      </w:tr>
      <w:tr>
        <w:trPr>
          <w:gridAfter w:val="1"/>
          <w:wAfter w:w="33" w:type="dxa"/>
          <w:cantSplit/>
        </w:trPr>
        <w:tc>
          <w:tcPr>
            <w:tcW w:w="2173" w:type="dxa"/>
          </w:tcPr>
          <w:p>
            <w:pPr>
              <w:pStyle w:val="yTableNAm"/>
            </w:pPr>
            <w:r>
              <w:t>Narrogin</w:t>
            </w:r>
          </w:p>
        </w:tc>
        <w:tc>
          <w:tcPr>
            <w:tcW w:w="2173" w:type="dxa"/>
            <w:vAlign w:val="bottom"/>
          </w:tcPr>
          <w:p>
            <w:pPr>
              <w:pStyle w:val="yTableNAm"/>
              <w:jc w:val="center"/>
            </w:pPr>
            <w:r>
              <w:t>5.327</w:t>
            </w:r>
          </w:p>
        </w:tc>
        <w:tc>
          <w:tcPr>
            <w:tcW w:w="2174" w:type="dxa"/>
            <w:vAlign w:val="bottom"/>
          </w:tcPr>
          <w:p>
            <w:pPr>
              <w:pStyle w:val="yTableNAm"/>
              <w:jc w:val="center"/>
            </w:pPr>
            <w:r>
              <w:t>8.343</w:t>
            </w:r>
          </w:p>
        </w:tc>
      </w:tr>
      <w:tr>
        <w:trPr>
          <w:gridAfter w:val="1"/>
          <w:wAfter w:w="33" w:type="dxa"/>
          <w:cantSplit/>
        </w:trPr>
        <w:tc>
          <w:tcPr>
            <w:tcW w:w="2173" w:type="dxa"/>
          </w:tcPr>
          <w:p>
            <w:pPr>
              <w:pStyle w:val="yTableNAm"/>
            </w:pPr>
            <w:r>
              <w:t>Newdegate</w:t>
            </w:r>
          </w:p>
        </w:tc>
        <w:tc>
          <w:tcPr>
            <w:tcW w:w="2173" w:type="dxa"/>
            <w:vAlign w:val="bottom"/>
          </w:tcPr>
          <w:p>
            <w:pPr>
              <w:pStyle w:val="yTableNAm"/>
              <w:jc w:val="center"/>
            </w:pPr>
            <w:r>
              <w:t>12.000</w:t>
            </w:r>
          </w:p>
        </w:tc>
        <w:tc>
          <w:tcPr>
            <w:tcW w:w="2174" w:type="dxa"/>
            <w:vAlign w:val="bottom"/>
          </w:tcPr>
          <w:p>
            <w:pPr>
              <w:pStyle w:val="yTableNAm"/>
              <w:jc w:val="center"/>
            </w:pPr>
            <w:r>
              <w:t>12.000</w:t>
            </w:r>
          </w:p>
        </w:tc>
      </w:tr>
      <w:tr>
        <w:trPr>
          <w:gridAfter w:val="1"/>
          <w:wAfter w:w="33" w:type="dxa"/>
          <w:cantSplit/>
        </w:trPr>
        <w:tc>
          <w:tcPr>
            <w:tcW w:w="2173" w:type="dxa"/>
          </w:tcPr>
          <w:p>
            <w:pPr>
              <w:pStyle w:val="yTableNAm"/>
            </w:pPr>
            <w:r>
              <w:t>Newman</w:t>
            </w:r>
          </w:p>
        </w:tc>
        <w:tc>
          <w:tcPr>
            <w:tcW w:w="2173" w:type="dxa"/>
            <w:vAlign w:val="bottom"/>
          </w:tcPr>
          <w:p>
            <w:pPr>
              <w:pStyle w:val="yTableNAm"/>
              <w:jc w:val="center"/>
            </w:pPr>
            <w:r>
              <w:t>0.833</w:t>
            </w:r>
          </w:p>
        </w:tc>
        <w:tc>
          <w:tcPr>
            <w:tcW w:w="2174" w:type="dxa"/>
            <w:vAlign w:val="bottom"/>
          </w:tcPr>
          <w:p>
            <w:pPr>
              <w:pStyle w:val="yTableNAm"/>
              <w:jc w:val="center"/>
            </w:pPr>
            <w:r>
              <w:t>0.724</w:t>
            </w:r>
          </w:p>
        </w:tc>
      </w:tr>
      <w:tr>
        <w:trPr>
          <w:gridAfter w:val="1"/>
          <w:wAfter w:w="33" w:type="dxa"/>
          <w:cantSplit/>
        </w:trPr>
        <w:tc>
          <w:tcPr>
            <w:tcW w:w="2173" w:type="dxa"/>
          </w:tcPr>
          <w:p>
            <w:pPr>
              <w:pStyle w:val="yTableNAm"/>
            </w:pPr>
            <w:r>
              <w:t>Northam</w:t>
            </w:r>
          </w:p>
        </w:tc>
        <w:tc>
          <w:tcPr>
            <w:tcW w:w="2173" w:type="dxa"/>
            <w:vAlign w:val="bottom"/>
          </w:tcPr>
          <w:p>
            <w:pPr>
              <w:pStyle w:val="yTableNAm"/>
              <w:jc w:val="center"/>
            </w:pPr>
            <w:r>
              <w:t>7.510</w:t>
            </w:r>
          </w:p>
        </w:tc>
        <w:tc>
          <w:tcPr>
            <w:tcW w:w="2174" w:type="dxa"/>
            <w:vAlign w:val="bottom"/>
          </w:tcPr>
          <w:p>
            <w:pPr>
              <w:pStyle w:val="yTableNAm"/>
              <w:jc w:val="center"/>
            </w:pPr>
            <w:r>
              <w:t>12.000</w:t>
            </w:r>
          </w:p>
        </w:tc>
      </w:tr>
      <w:tr>
        <w:trPr>
          <w:gridAfter w:val="1"/>
          <w:wAfter w:w="33" w:type="dxa"/>
          <w:cantSplit/>
        </w:trPr>
        <w:tc>
          <w:tcPr>
            <w:tcW w:w="2173" w:type="dxa"/>
          </w:tcPr>
          <w:p>
            <w:pPr>
              <w:pStyle w:val="yTableNAm"/>
            </w:pPr>
            <w:r>
              <w:t>Onslow</w:t>
            </w:r>
          </w:p>
        </w:tc>
        <w:tc>
          <w:tcPr>
            <w:tcW w:w="2173" w:type="dxa"/>
            <w:vAlign w:val="bottom"/>
          </w:tcPr>
          <w:p>
            <w:pPr>
              <w:pStyle w:val="yTableNAm"/>
              <w:jc w:val="center"/>
            </w:pPr>
            <w:r>
              <w:t>10.517</w:t>
            </w:r>
          </w:p>
        </w:tc>
        <w:tc>
          <w:tcPr>
            <w:tcW w:w="2174" w:type="dxa"/>
            <w:vAlign w:val="bottom"/>
          </w:tcPr>
          <w:p>
            <w:pPr>
              <w:pStyle w:val="yTableNAm"/>
              <w:jc w:val="center"/>
            </w:pPr>
            <w:r>
              <w:t>2.389</w:t>
            </w:r>
          </w:p>
        </w:tc>
      </w:tr>
      <w:tr>
        <w:trPr>
          <w:gridAfter w:val="1"/>
          <w:wAfter w:w="33" w:type="dxa"/>
          <w:cantSplit/>
        </w:trPr>
        <w:tc>
          <w:tcPr>
            <w:tcW w:w="2173" w:type="dxa"/>
          </w:tcPr>
          <w:p>
            <w:pPr>
              <w:pStyle w:val="yTableNAm"/>
            </w:pPr>
            <w:r>
              <w:t>Pemberton</w:t>
            </w:r>
          </w:p>
        </w:tc>
        <w:tc>
          <w:tcPr>
            <w:tcW w:w="2173" w:type="dxa"/>
            <w:vAlign w:val="bottom"/>
          </w:tcPr>
          <w:p>
            <w:pPr>
              <w:pStyle w:val="yTableNAm"/>
              <w:jc w:val="center"/>
            </w:pPr>
            <w:r>
              <w:t>10.986</w:t>
            </w:r>
          </w:p>
        </w:tc>
        <w:tc>
          <w:tcPr>
            <w:tcW w:w="2174" w:type="dxa"/>
            <w:vAlign w:val="bottom"/>
          </w:tcPr>
          <w:p>
            <w:pPr>
              <w:pStyle w:val="yTableNAm"/>
              <w:jc w:val="center"/>
            </w:pPr>
            <w:r>
              <w:t>12.000</w:t>
            </w:r>
          </w:p>
        </w:tc>
      </w:tr>
      <w:tr>
        <w:trPr>
          <w:gridAfter w:val="1"/>
          <w:wAfter w:w="33" w:type="dxa"/>
          <w:cantSplit/>
        </w:trPr>
        <w:tc>
          <w:tcPr>
            <w:tcW w:w="2173" w:type="dxa"/>
          </w:tcPr>
          <w:p>
            <w:pPr>
              <w:pStyle w:val="yTableNAm"/>
            </w:pPr>
            <w:r>
              <w:t>Pingelly</w:t>
            </w:r>
          </w:p>
        </w:tc>
        <w:tc>
          <w:tcPr>
            <w:tcW w:w="2173" w:type="dxa"/>
            <w:vAlign w:val="bottom"/>
          </w:tcPr>
          <w:p>
            <w:pPr>
              <w:pStyle w:val="yTableNAm"/>
              <w:jc w:val="center"/>
            </w:pPr>
            <w:r>
              <w:t>9.299</w:t>
            </w:r>
          </w:p>
        </w:tc>
        <w:tc>
          <w:tcPr>
            <w:tcW w:w="2174" w:type="dxa"/>
            <w:vAlign w:val="bottom"/>
          </w:tcPr>
          <w:p>
            <w:pPr>
              <w:pStyle w:val="yTableNAm"/>
              <w:jc w:val="center"/>
            </w:pPr>
            <w:r>
              <w:t>12.000</w:t>
            </w:r>
          </w:p>
        </w:tc>
      </w:tr>
      <w:tr>
        <w:trPr>
          <w:gridAfter w:val="1"/>
          <w:wAfter w:w="33" w:type="dxa"/>
          <w:cantSplit/>
        </w:trPr>
        <w:tc>
          <w:tcPr>
            <w:tcW w:w="2173" w:type="dxa"/>
          </w:tcPr>
          <w:p>
            <w:pPr>
              <w:pStyle w:val="yTableNAm"/>
            </w:pPr>
            <w:r>
              <w:t>Pinjarra</w:t>
            </w:r>
          </w:p>
        </w:tc>
        <w:tc>
          <w:tcPr>
            <w:tcW w:w="2173" w:type="dxa"/>
            <w:vAlign w:val="bottom"/>
          </w:tcPr>
          <w:p>
            <w:pPr>
              <w:pStyle w:val="yTableNAm"/>
              <w:jc w:val="center"/>
            </w:pPr>
            <w:r>
              <w:t>6.555</w:t>
            </w:r>
          </w:p>
        </w:tc>
        <w:tc>
          <w:tcPr>
            <w:tcW w:w="2174" w:type="dxa"/>
            <w:vAlign w:val="bottom"/>
          </w:tcPr>
          <w:p>
            <w:pPr>
              <w:pStyle w:val="yTableNAm"/>
              <w:jc w:val="center"/>
            </w:pPr>
            <w:r>
              <w:t>3.834</w:t>
            </w:r>
          </w:p>
        </w:tc>
      </w:tr>
      <w:tr>
        <w:trPr>
          <w:gridAfter w:val="1"/>
          <w:wAfter w:w="33" w:type="dxa"/>
          <w:cantSplit/>
        </w:trPr>
        <w:tc>
          <w:tcPr>
            <w:tcW w:w="2173" w:type="dxa"/>
          </w:tcPr>
          <w:p>
            <w:pPr>
              <w:pStyle w:val="yTableNAm"/>
            </w:pPr>
            <w:r>
              <w:t>Port Hedland</w:t>
            </w:r>
          </w:p>
        </w:tc>
        <w:tc>
          <w:tcPr>
            <w:tcW w:w="2173" w:type="dxa"/>
            <w:vAlign w:val="bottom"/>
          </w:tcPr>
          <w:p>
            <w:pPr>
              <w:pStyle w:val="yTableNAm"/>
              <w:jc w:val="center"/>
            </w:pPr>
            <w:r>
              <w:t>12.000</w:t>
            </w:r>
          </w:p>
        </w:tc>
        <w:tc>
          <w:tcPr>
            <w:tcW w:w="2174" w:type="dxa"/>
            <w:vAlign w:val="bottom"/>
          </w:tcPr>
          <w:p>
            <w:pPr>
              <w:pStyle w:val="yTableNAm"/>
              <w:jc w:val="center"/>
            </w:pPr>
            <w:r>
              <w:t>2.223</w:t>
            </w:r>
          </w:p>
        </w:tc>
      </w:tr>
      <w:tr>
        <w:trPr>
          <w:gridAfter w:val="1"/>
          <w:wAfter w:w="33" w:type="dxa"/>
          <w:cantSplit/>
        </w:trPr>
        <w:tc>
          <w:tcPr>
            <w:tcW w:w="2173" w:type="dxa"/>
          </w:tcPr>
          <w:p>
            <w:pPr>
              <w:pStyle w:val="yTableNAm"/>
            </w:pPr>
            <w:r>
              <w:t>Quairading</w:t>
            </w:r>
          </w:p>
        </w:tc>
        <w:tc>
          <w:tcPr>
            <w:tcW w:w="2173" w:type="dxa"/>
            <w:vAlign w:val="bottom"/>
          </w:tcPr>
          <w:p>
            <w:pPr>
              <w:pStyle w:val="yTableNAm"/>
              <w:jc w:val="center"/>
            </w:pPr>
            <w:r>
              <w:t>12.000</w:t>
            </w:r>
          </w:p>
        </w:tc>
        <w:tc>
          <w:tcPr>
            <w:tcW w:w="2174" w:type="dxa"/>
            <w:vAlign w:val="bottom"/>
          </w:tcPr>
          <w:p>
            <w:pPr>
              <w:pStyle w:val="yTableNAm"/>
              <w:jc w:val="center"/>
            </w:pPr>
            <w:r>
              <w:t>9.810</w:t>
            </w:r>
          </w:p>
        </w:tc>
      </w:tr>
      <w:tr>
        <w:trPr>
          <w:gridAfter w:val="1"/>
          <w:wAfter w:w="33" w:type="dxa"/>
          <w:cantSplit/>
        </w:trPr>
        <w:tc>
          <w:tcPr>
            <w:tcW w:w="2173" w:type="dxa"/>
          </w:tcPr>
          <w:p>
            <w:pPr>
              <w:pStyle w:val="yTableNAm"/>
            </w:pPr>
            <w:r>
              <w:t>Roebourne</w:t>
            </w:r>
          </w:p>
        </w:tc>
        <w:tc>
          <w:tcPr>
            <w:tcW w:w="2173" w:type="dxa"/>
            <w:vAlign w:val="bottom"/>
          </w:tcPr>
          <w:p>
            <w:pPr>
              <w:pStyle w:val="yTableNAm"/>
              <w:jc w:val="center"/>
            </w:pPr>
            <w:r>
              <w:t>7.150</w:t>
            </w:r>
          </w:p>
        </w:tc>
        <w:tc>
          <w:tcPr>
            <w:tcW w:w="2174" w:type="dxa"/>
            <w:vAlign w:val="bottom"/>
          </w:tcPr>
          <w:p>
            <w:pPr>
              <w:pStyle w:val="yTableNAm"/>
              <w:jc w:val="center"/>
            </w:pPr>
            <w:r>
              <w:t>8.630</w:t>
            </w:r>
          </w:p>
        </w:tc>
      </w:tr>
      <w:tr>
        <w:trPr>
          <w:gridAfter w:val="1"/>
          <w:wAfter w:w="33" w:type="dxa"/>
          <w:cantSplit/>
        </w:trPr>
        <w:tc>
          <w:tcPr>
            <w:tcW w:w="2173" w:type="dxa"/>
          </w:tcPr>
          <w:p>
            <w:pPr>
              <w:pStyle w:val="yTableNAm"/>
            </w:pPr>
            <w:r>
              <w:t>Seabird</w:t>
            </w:r>
          </w:p>
        </w:tc>
        <w:tc>
          <w:tcPr>
            <w:tcW w:w="2173" w:type="dxa"/>
            <w:vAlign w:val="bottom"/>
          </w:tcPr>
          <w:p>
            <w:pPr>
              <w:pStyle w:val="yTableNAm"/>
              <w:jc w:val="center"/>
            </w:pPr>
            <w:r>
              <w:t>8.409</w:t>
            </w:r>
          </w:p>
        </w:tc>
        <w:tc>
          <w:tcPr>
            <w:tcW w:w="2174" w:type="dxa"/>
            <w:vAlign w:val="bottom"/>
          </w:tcPr>
          <w:p>
            <w:pPr>
              <w:pStyle w:val="yTableNAm"/>
              <w:jc w:val="center"/>
            </w:pPr>
            <w:r>
              <w:t>6.142</w:t>
            </w:r>
          </w:p>
        </w:tc>
      </w:tr>
      <w:tr>
        <w:tblPrEx>
          <w:tblCellMar>
            <w:left w:w="108" w:type="dxa"/>
            <w:right w:w="108" w:type="dxa"/>
          </w:tblCellMar>
        </w:tblPrEx>
        <w:trPr>
          <w:cantSplit/>
        </w:trPr>
        <w:tc>
          <w:tcPr>
            <w:tcW w:w="2173" w:type="dxa"/>
          </w:tcPr>
          <w:p>
            <w:pPr>
              <w:pStyle w:val="yTableNAm"/>
            </w:pPr>
            <w:r>
              <w:t>Tambellup</w:t>
            </w:r>
          </w:p>
        </w:tc>
        <w:tc>
          <w:tcPr>
            <w:tcW w:w="2173" w:type="dxa"/>
            <w:vAlign w:val="bottom"/>
          </w:tcPr>
          <w:p>
            <w:pPr>
              <w:pStyle w:val="yTableNAm"/>
              <w:jc w:val="center"/>
            </w:pPr>
            <w:r>
              <w:t>12.000</w:t>
            </w:r>
          </w:p>
        </w:tc>
        <w:tc>
          <w:tcPr>
            <w:tcW w:w="2207" w:type="dxa"/>
            <w:gridSpan w:val="2"/>
            <w:vAlign w:val="bottom"/>
          </w:tcPr>
          <w:p>
            <w:pPr>
              <w:pStyle w:val="yTableNAm"/>
              <w:jc w:val="center"/>
            </w:pPr>
            <w:r>
              <w:t>12.000</w:t>
            </w:r>
          </w:p>
        </w:tc>
      </w:tr>
      <w:tr>
        <w:trPr>
          <w:gridAfter w:val="1"/>
          <w:wAfter w:w="33" w:type="dxa"/>
          <w:cantSplit/>
        </w:trPr>
        <w:tc>
          <w:tcPr>
            <w:tcW w:w="2173" w:type="dxa"/>
          </w:tcPr>
          <w:p>
            <w:pPr>
              <w:pStyle w:val="yTableNAm"/>
            </w:pPr>
            <w:r>
              <w:t>Three Springs</w:t>
            </w:r>
          </w:p>
        </w:tc>
        <w:tc>
          <w:tcPr>
            <w:tcW w:w="2173" w:type="dxa"/>
            <w:vAlign w:val="bottom"/>
          </w:tcPr>
          <w:p>
            <w:pPr>
              <w:pStyle w:val="yTableNAm"/>
              <w:jc w:val="center"/>
            </w:pPr>
            <w:r>
              <w:t>7.804</w:t>
            </w:r>
          </w:p>
        </w:tc>
        <w:tc>
          <w:tcPr>
            <w:tcW w:w="2174" w:type="dxa"/>
            <w:vAlign w:val="bottom"/>
          </w:tcPr>
          <w:p>
            <w:pPr>
              <w:pStyle w:val="yTableNAm"/>
              <w:jc w:val="center"/>
            </w:pPr>
            <w:r>
              <w:t>12.000</w:t>
            </w:r>
          </w:p>
        </w:tc>
      </w:tr>
      <w:tr>
        <w:trPr>
          <w:gridAfter w:val="1"/>
          <w:wAfter w:w="33" w:type="dxa"/>
          <w:cantSplit/>
        </w:trPr>
        <w:tc>
          <w:tcPr>
            <w:tcW w:w="2173" w:type="dxa"/>
          </w:tcPr>
          <w:p>
            <w:pPr>
              <w:pStyle w:val="yTableNAm"/>
            </w:pPr>
            <w:r>
              <w:t>Toodyay</w:t>
            </w:r>
          </w:p>
        </w:tc>
        <w:tc>
          <w:tcPr>
            <w:tcW w:w="2173" w:type="dxa"/>
            <w:vAlign w:val="bottom"/>
          </w:tcPr>
          <w:p>
            <w:pPr>
              <w:pStyle w:val="yTableNAm"/>
              <w:jc w:val="center"/>
            </w:pPr>
            <w:r>
              <w:t>12.000</w:t>
            </w:r>
          </w:p>
        </w:tc>
        <w:tc>
          <w:tcPr>
            <w:tcW w:w="2174" w:type="dxa"/>
            <w:vAlign w:val="bottom"/>
          </w:tcPr>
          <w:p>
            <w:pPr>
              <w:pStyle w:val="yTableNAm"/>
              <w:jc w:val="center"/>
            </w:pPr>
            <w:r>
              <w:t>8.063</w:t>
            </w:r>
          </w:p>
        </w:tc>
      </w:tr>
      <w:tr>
        <w:trPr>
          <w:gridAfter w:val="1"/>
          <w:wAfter w:w="33" w:type="dxa"/>
          <w:cantSplit/>
        </w:trPr>
        <w:tc>
          <w:tcPr>
            <w:tcW w:w="2173" w:type="dxa"/>
          </w:tcPr>
          <w:p>
            <w:pPr>
              <w:pStyle w:val="yTableNAm"/>
            </w:pPr>
            <w:r>
              <w:t>Wagin</w:t>
            </w:r>
          </w:p>
        </w:tc>
        <w:tc>
          <w:tcPr>
            <w:tcW w:w="2173" w:type="dxa"/>
            <w:vAlign w:val="bottom"/>
          </w:tcPr>
          <w:p>
            <w:pPr>
              <w:pStyle w:val="yTableNAm"/>
              <w:jc w:val="center"/>
            </w:pPr>
            <w:r>
              <w:t>10.625</w:t>
            </w:r>
          </w:p>
        </w:tc>
        <w:tc>
          <w:tcPr>
            <w:tcW w:w="2174" w:type="dxa"/>
            <w:vAlign w:val="bottom"/>
          </w:tcPr>
          <w:p>
            <w:pPr>
              <w:pStyle w:val="yTableNAm"/>
              <w:jc w:val="center"/>
            </w:pPr>
            <w:r>
              <w:t>12.000</w:t>
            </w:r>
          </w:p>
        </w:tc>
      </w:tr>
      <w:tr>
        <w:trPr>
          <w:gridAfter w:val="1"/>
          <w:wAfter w:w="33" w:type="dxa"/>
          <w:cantSplit/>
        </w:trPr>
        <w:tc>
          <w:tcPr>
            <w:tcW w:w="2173" w:type="dxa"/>
          </w:tcPr>
          <w:p>
            <w:pPr>
              <w:pStyle w:val="yTableNAm"/>
            </w:pPr>
            <w:r>
              <w:t>Walpole</w:t>
            </w:r>
          </w:p>
        </w:tc>
        <w:tc>
          <w:tcPr>
            <w:tcW w:w="2173" w:type="dxa"/>
            <w:vAlign w:val="bottom"/>
          </w:tcPr>
          <w:p>
            <w:pPr>
              <w:pStyle w:val="yTableNAm"/>
              <w:jc w:val="center"/>
            </w:pPr>
            <w:r>
              <w:t>11.516</w:t>
            </w:r>
          </w:p>
        </w:tc>
        <w:tc>
          <w:tcPr>
            <w:tcW w:w="2174" w:type="dxa"/>
            <w:vAlign w:val="bottom"/>
          </w:tcPr>
          <w:p>
            <w:pPr>
              <w:pStyle w:val="yTableNAm"/>
              <w:jc w:val="center"/>
            </w:pPr>
            <w:r>
              <w:t>10.852</w:t>
            </w:r>
          </w:p>
        </w:tc>
      </w:tr>
      <w:tr>
        <w:trPr>
          <w:gridAfter w:val="1"/>
          <w:wAfter w:w="33" w:type="dxa"/>
          <w:cantSplit/>
        </w:trPr>
        <w:tc>
          <w:tcPr>
            <w:tcW w:w="2173" w:type="dxa"/>
          </w:tcPr>
          <w:p>
            <w:pPr>
              <w:pStyle w:val="yTableNAm"/>
            </w:pPr>
            <w:r>
              <w:t>Waroona</w:t>
            </w:r>
          </w:p>
        </w:tc>
        <w:tc>
          <w:tcPr>
            <w:tcW w:w="2173" w:type="dxa"/>
            <w:vAlign w:val="bottom"/>
          </w:tcPr>
          <w:p>
            <w:pPr>
              <w:pStyle w:val="yTableNAm"/>
              <w:jc w:val="center"/>
            </w:pPr>
            <w:r>
              <w:t>5.664</w:t>
            </w:r>
          </w:p>
        </w:tc>
        <w:tc>
          <w:tcPr>
            <w:tcW w:w="2174" w:type="dxa"/>
            <w:vAlign w:val="bottom"/>
          </w:tcPr>
          <w:p>
            <w:pPr>
              <w:pStyle w:val="yTableNAm"/>
              <w:jc w:val="center"/>
            </w:pPr>
            <w:r>
              <w:t>6.255</w:t>
            </w:r>
          </w:p>
        </w:tc>
      </w:tr>
      <w:tr>
        <w:trPr>
          <w:gridAfter w:val="1"/>
          <w:wAfter w:w="33" w:type="dxa"/>
          <w:cantSplit/>
        </w:trPr>
        <w:tc>
          <w:tcPr>
            <w:tcW w:w="2173" w:type="dxa"/>
          </w:tcPr>
          <w:p>
            <w:pPr>
              <w:pStyle w:val="yTableNAm"/>
            </w:pPr>
            <w:r>
              <w:t>Wickham</w:t>
            </w:r>
          </w:p>
        </w:tc>
        <w:tc>
          <w:tcPr>
            <w:tcW w:w="2173" w:type="dxa"/>
            <w:vAlign w:val="bottom"/>
          </w:tcPr>
          <w:p>
            <w:pPr>
              <w:pStyle w:val="yTableNAm"/>
              <w:jc w:val="center"/>
            </w:pPr>
            <w:r>
              <w:t>4.850</w:t>
            </w:r>
          </w:p>
        </w:tc>
        <w:tc>
          <w:tcPr>
            <w:tcW w:w="2174" w:type="dxa"/>
            <w:vAlign w:val="bottom"/>
          </w:tcPr>
          <w:p>
            <w:pPr>
              <w:pStyle w:val="yTableNAm"/>
              <w:jc w:val="center"/>
            </w:pPr>
            <w:r>
              <w:t>5.445</w:t>
            </w:r>
          </w:p>
        </w:tc>
      </w:tr>
      <w:tr>
        <w:trPr>
          <w:gridAfter w:val="1"/>
          <w:wAfter w:w="33" w:type="dxa"/>
          <w:cantSplit/>
        </w:trPr>
        <w:tc>
          <w:tcPr>
            <w:tcW w:w="2173" w:type="dxa"/>
          </w:tcPr>
          <w:p>
            <w:pPr>
              <w:pStyle w:val="yTableNAm"/>
            </w:pPr>
            <w:r>
              <w:t>Williams</w:t>
            </w:r>
          </w:p>
        </w:tc>
        <w:tc>
          <w:tcPr>
            <w:tcW w:w="2173" w:type="dxa"/>
            <w:vAlign w:val="bottom"/>
          </w:tcPr>
          <w:p>
            <w:pPr>
              <w:pStyle w:val="yTableNAm"/>
              <w:jc w:val="center"/>
            </w:pPr>
            <w:r>
              <w:t>7.377</w:t>
            </w:r>
          </w:p>
        </w:tc>
        <w:tc>
          <w:tcPr>
            <w:tcW w:w="2174" w:type="dxa"/>
            <w:vAlign w:val="bottom"/>
          </w:tcPr>
          <w:p>
            <w:pPr>
              <w:pStyle w:val="yTableNAm"/>
              <w:jc w:val="center"/>
            </w:pPr>
            <w:r>
              <w:t>8.796</w:t>
            </w:r>
          </w:p>
        </w:tc>
      </w:tr>
      <w:tr>
        <w:tblPrEx>
          <w:tblCellMar>
            <w:left w:w="108" w:type="dxa"/>
            <w:right w:w="108" w:type="dxa"/>
          </w:tblCellMar>
        </w:tblPrEx>
        <w:trPr>
          <w:cantSplit/>
        </w:trPr>
        <w:tc>
          <w:tcPr>
            <w:tcW w:w="2173" w:type="dxa"/>
          </w:tcPr>
          <w:p>
            <w:pPr>
              <w:pStyle w:val="yTableNAm"/>
            </w:pPr>
            <w:r>
              <w:t>Wiluna</w:t>
            </w:r>
          </w:p>
        </w:tc>
        <w:tc>
          <w:tcPr>
            <w:tcW w:w="2173" w:type="dxa"/>
            <w:vAlign w:val="bottom"/>
          </w:tcPr>
          <w:p>
            <w:pPr>
              <w:pStyle w:val="yTableNAm"/>
              <w:jc w:val="center"/>
            </w:pPr>
            <w:r>
              <w:t>12.000</w:t>
            </w:r>
          </w:p>
        </w:tc>
        <w:tc>
          <w:tcPr>
            <w:tcW w:w="2207" w:type="dxa"/>
            <w:gridSpan w:val="2"/>
            <w:vAlign w:val="bottom"/>
          </w:tcPr>
          <w:p>
            <w:pPr>
              <w:pStyle w:val="yTableNAm"/>
              <w:jc w:val="center"/>
            </w:pPr>
            <w:r>
              <w:t>12.000</w:t>
            </w:r>
          </w:p>
        </w:tc>
      </w:tr>
      <w:tr>
        <w:trPr>
          <w:gridAfter w:val="1"/>
          <w:wAfter w:w="33" w:type="dxa"/>
          <w:cantSplit/>
        </w:trPr>
        <w:tc>
          <w:tcPr>
            <w:tcW w:w="2173" w:type="dxa"/>
          </w:tcPr>
          <w:p>
            <w:pPr>
              <w:pStyle w:val="yTableNAm"/>
            </w:pPr>
            <w:r>
              <w:t>Wongan Hills</w:t>
            </w:r>
          </w:p>
        </w:tc>
        <w:tc>
          <w:tcPr>
            <w:tcW w:w="2173" w:type="dxa"/>
            <w:vAlign w:val="bottom"/>
          </w:tcPr>
          <w:p>
            <w:pPr>
              <w:pStyle w:val="yTableNAm"/>
              <w:jc w:val="center"/>
            </w:pPr>
            <w:r>
              <w:t>9.250</w:t>
            </w:r>
          </w:p>
        </w:tc>
        <w:tc>
          <w:tcPr>
            <w:tcW w:w="2174" w:type="dxa"/>
            <w:vAlign w:val="bottom"/>
          </w:tcPr>
          <w:p>
            <w:pPr>
              <w:pStyle w:val="yTableNAm"/>
              <w:jc w:val="center"/>
            </w:pPr>
            <w:r>
              <w:t>12.000</w:t>
            </w:r>
          </w:p>
        </w:tc>
      </w:tr>
      <w:tr>
        <w:trPr>
          <w:gridAfter w:val="1"/>
          <w:wAfter w:w="33" w:type="dxa"/>
          <w:cantSplit/>
        </w:trPr>
        <w:tc>
          <w:tcPr>
            <w:tcW w:w="2173" w:type="dxa"/>
          </w:tcPr>
          <w:p>
            <w:pPr>
              <w:pStyle w:val="yTableNAm"/>
            </w:pPr>
            <w:r>
              <w:t>Wundowie</w:t>
            </w:r>
          </w:p>
        </w:tc>
        <w:tc>
          <w:tcPr>
            <w:tcW w:w="2173" w:type="dxa"/>
            <w:vAlign w:val="bottom"/>
          </w:tcPr>
          <w:p>
            <w:pPr>
              <w:pStyle w:val="yTableNAm"/>
              <w:jc w:val="center"/>
            </w:pPr>
            <w:r>
              <w:t>8.362</w:t>
            </w:r>
          </w:p>
        </w:tc>
        <w:tc>
          <w:tcPr>
            <w:tcW w:w="2174" w:type="dxa"/>
            <w:vAlign w:val="bottom"/>
          </w:tcPr>
          <w:p>
            <w:pPr>
              <w:pStyle w:val="yTableNAm"/>
              <w:jc w:val="center"/>
            </w:pPr>
            <w:r>
              <w:t>8.755</w:t>
            </w:r>
          </w:p>
        </w:tc>
      </w:tr>
      <w:tr>
        <w:trPr>
          <w:gridAfter w:val="1"/>
          <w:wAfter w:w="33" w:type="dxa"/>
          <w:cantSplit/>
        </w:trPr>
        <w:tc>
          <w:tcPr>
            <w:tcW w:w="2173" w:type="dxa"/>
          </w:tcPr>
          <w:p>
            <w:pPr>
              <w:pStyle w:val="yTableNAm"/>
            </w:pPr>
            <w:r>
              <w:t>Wyalkatchem</w:t>
            </w:r>
          </w:p>
        </w:tc>
        <w:tc>
          <w:tcPr>
            <w:tcW w:w="2173" w:type="dxa"/>
            <w:vAlign w:val="bottom"/>
          </w:tcPr>
          <w:p>
            <w:pPr>
              <w:pStyle w:val="yTableNAm"/>
              <w:jc w:val="center"/>
            </w:pPr>
            <w:r>
              <w:t>11.443</w:t>
            </w:r>
          </w:p>
        </w:tc>
        <w:tc>
          <w:tcPr>
            <w:tcW w:w="2174" w:type="dxa"/>
            <w:vAlign w:val="bottom"/>
          </w:tcPr>
          <w:p>
            <w:pPr>
              <w:pStyle w:val="yTableNAm"/>
              <w:jc w:val="center"/>
            </w:pPr>
            <w:r>
              <w:t>12.000</w:t>
            </w:r>
          </w:p>
        </w:tc>
      </w:tr>
      <w:tr>
        <w:trPr>
          <w:gridAfter w:val="1"/>
          <w:wAfter w:w="33" w:type="dxa"/>
          <w:cantSplit/>
        </w:trPr>
        <w:tc>
          <w:tcPr>
            <w:tcW w:w="2173" w:type="dxa"/>
          </w:tcPr>
          <w:p>
            <w:pPr>
              <w:pStyle w:val="yTableNAm"/>
            </w:pPr>
            <w:r>
              <w:t>Wyndham</w:t>
            </w:r>
          </w:p>
        </w:tc>
        <w:tc>
          <w:tcPr>
            <w:tcW w:w="2173" w:type="dxa"/>
            <w:vAlign w:val="bottom"/>
          </w:tcPr>
          <w:p>
            <w:pPr>
              <w:pStyle w:val="yTableNAm"/>
              <w:jc w:val="center"/>
            </w:pPr>
            <w:r>
              <w:t>8.445</w:t>
            </w:r>
          </w:p>
        </w:tc>
        <w:tc>
          <w:tcPr>
            <w:tcW w:w="2174" w:type="dxa"/>
            <w:vAlign w:val="bottom"/>
          </w:tcPr>
          <w:p>
            <w:pPr>
              <w:pStyle w:val="yTableNAm"/>
              <w:jc w:val="center"/>
            </w:pPr>
            <w:r>
              <w:t>12.000</w:t>
            </w:r>
          </w:p>
        </w:tc>
      </w:tr>
      <w:tr>
        <w:trPr>
          <w:gridAfter w:val="1"/>
          <w:wAfter w:w="33" w:type="dxa"/>
          <w:cantSplit/>
        </w:trPr>
        <w:tc>
          <w:tcPr>
            <w:tcW w:w="2173" w:type="dxa"/>
            <w:tcBorders>
              <w:bottom w:val="single" w:sz="4" w:space="0" w:color="auto"/>
            </w:tcBorders>
          </w:tcPr>
          <w:p>
            <w:pPr>
              <w:pStyle w:val="yTableNAm"/>
            </w:pPr>
            <w:r>
              <w:t>York</w:t>
            </w:r>
          </w:p>
        </w:tc>
        <w:tc>
          <w:tcPr>
            <w:tcW w:w="2173" w:type="dxa"/>
            <w:tcBorders>
              <w:bottom w:val="single" w:sz="4" w:space="0" w:color="auto"/>
            </w:tcBorders>
            <w:vAlign w:val="bottom"/>
          </w:tcPr>
          <w:p>
            <w:pPr>
              <w:pStyle w:val="yTableNAm"/>
              <w:jc w:val="center"/>
            </w:pPr>
            <w:r>
              <w:t>8.673</w:t>
            </w:r>
          </w:p>
        </w:tc>
        <w:tc>
          <w:tcPr>
            <w:tcW w:w="2174" w:type="dxa"/>
            <w:tcBorders>
              <w:bottom w:val="single" w:sz="4" w:space="0" w:color="auto"/>
            </w:tcBorders>
            <w:vAlign w:val="bottom"/>
          </w:tcPr>
          <w:p>
            <w:pPr>
              <w:pStyle w:val="yTableNAm"/>
              <w:jc w:val="center"/>
            </w:pPr>
            <w:r>
              <w:t>12.000</w:t>
            </w:r>
          </w:p>
        </w:tc>
      </w:tr>
    </w:tbl>
    <w:p>
      <w:pPr>
        <w:pStyle w:val="yFootnotesection"/>
      </w:pPr>
      <w:r>
        <w:tab/>
        <w:t>[Division 2 inserted in Gazette 20 Jun 2012 p. 2725</w:t>
      </w:r>
      <w:r>
        <w:noBreakHyphen/>
        <w:t>30.]</w:t>
      </w:r>
    </w:p>
    <w:p>
      <w:pPr>
        <w:pStyle w:val="yHeading3"/>
      </w:pPr>
      <w:bookmarkStart w:id="757" w:name="_Toc84427996"/>
      <w:bookmarkStart w:id="758" w:name="_Toc328403441"/>
      <w:bookmarkStart w:id="759" w:name="_Toc328471490"/>
      <w:r>
        <w:rPr>
          <w:rStyle w:val="CharSDivNo"/>
        </w:rPr>
        <w:t>Division 3</w:t>
      </w:r>
      <w:r>
        <w:t> — </w:t>
      </w:r>
      <w:r>
        <w:rPr>
          <w:rStyle w:val="CharSDivText"/>
        </w:rPr>
        <w:t>Variable charges</w:t>
      </w:r>
      <w:bookmarkEnd w:id="757"/>
      <w:bookmarkEnd w:id="758"/>
      <w:bookmarkEnd w:id="759"/>
    </w:p>
    <w:p>
      <w:pPr>
        <w:pStyle w:val="yFootnoteheading"/>
        <w:spacing w:after="60"/>
      </w:pPr>
      <w:r>
        <w:tab/>
        <w:t>[Heading inserted in Gazette 20 Jun 2012 p. 2730.]</w:t>
      </w:r>
    </w:p>
    <w:tbl>
      <w:tblPr>
        <w:tblW w:w="0" w:type="auto"/>
        <w:tblInd w:w="534" w:type="dxa"/>
        <w:tblLook w:val="0000" w:firstRow="0" w:lastRow="0" w:firstColumn="0" w:lastColumn="0" w:noHBand="0" w:noVBand="0"/>
      </w:tblPr>
      <w:tblGrid>
        <w:gridCol w:w="829"/>
        <w:gridCol w:w="4189"/>
        <w:gridCol w:w="1545"/>
      </w:tblGrid>
      <w:tr>
        <w:trPr>
          <w:cantSplit/>
        </w:trPr>
        <w:tc>
          <w:tcPr>
            <w:tcW w:w="850" w:type="dxa"/>
          </w:tcPr>
          <w:p>
            <w:pPr>
              <w:pStyle w:val="yTableNAm"/>
              <w:rPr>
                <w:b/>
              </w:rPr>
            </w:pPr>
            <w:r>
              <w:rPr>
                <w:b/>
              </w:rPr>
              <w:t>11.</w:t>
            </w:r>
          </w:p>
        </w:tc>
        <w:tc>
          <w:tcPr>
            <w:tcW w:w="5812" w:type="dxa"/>
            <w:gridSpan w:val="2"/>
          </w:tcPr>
          <w:p>
            <w:pPr>
              <w:pStyle w:val="yTableNAm"/>
              <w:rPr>
                <w:b/>
              </w:rPr>
            </w:pPr>
            <w:r>
              <w:rPr>
                <w:b/>
              </w:rPr>
              <w:t>Industrial waste discharged into a sewer of the Corporation pursuant to a permit</w:t>
            </w:r>
          </w:p>
        </w:tc>
      </w:tr>
      <w:tr>
        <w:trPr>
          <w:cantSplit/>
        </w:trPr>
        <w:tc>
          <w:tcPr>
            <w:tcW w:w="850" w:type="dxa"/>
          </w:tcPr>
          <w:p>
            <w:pPr>
              <w:pStyle w:val="yTableNAm"/>
              <w:rPr>
                <w:szCs w:val="22"/>
              </w:rPr>
            </w:pPr>
          </w:p>
        </w:tc>
        <w:tc>
          <w:tcPr>
            <w:tcW w:w="4236" w:type="dxa"/>
          </w:tcPr>
          <w:p>
            <w:pPr>
              <w:pStyle w:val="yTableNAm"/>
              <w:keepNext/>
              <w:keepLines/>
              <w:tabs>
                <w:tab w:val="right" w:leader="dot" w:pos="4253"/>
              </w:tabs>
              <w:rPr>
                <w:spacing w:val="-1"/>
              </w:rPr>
            </w:pPr>
            <w:r>
              <w:t>For industrial waste discharged into a sewer of the Corporation pursuant to a permit —</w:t>
            </w:r>
          </w:p>
        </w:tc>
        <w:tc>
          <w:tcPr>
            <w:tcW w:w="1576" w:type="dxa"/>
          </w:tcPr>
          <w:p>
            <w:pPr>
              <w:pStyle w:val="yTableNAm"/>
              <w:rPr>
                <w:szCs w:val="22"/>
              </w:rPr>
            </w:pPr>
          </w:p>
        </w:tc>
      </w:tr>
      <w:tr>
        <w:trPr>
          <w:cantSplit/>
        </w:trPr>
        <w:tc>
          <w:tcPr>
            <w:tcW w:w="850" w:type="dxa"/>
          </w:tcPr>
          <w:p>
            <w:pPr>
              <w:pStyle w:val="yTableNAm"/>
              <w:rPr>
                <w:szCs w:val="22"/>
              </w:rPr>
            </w:pPr>
          </w:p>
        </w:tc>
        <w:tc>
          <w:tcPr>
            <w:tcW w:w="4236" w:type="dxa"/>
          </w:tcPr>
          <w:p>
            <w:pPr>
              <w:pStyle w:val="yTableNAm"/>
              <w:keepNext/>
              <w:keepLines/>
              <w:tabs>
                <w:tab w:val="clear" w:pos="567"/>
                <w:tab w:val="left" w:pos="317"/>
                <w:tab w:val="left" w:pos="743"/>
                <w:tab w:val="right" w:leader="dot" w:pos="4253"/>
              </w:tabs>
              <w:ind w:left="743" w:hanging="709"/>
              <w:rPr>
                <w:szCs w:val="22"/>
              </w:rPr>
            </w:pPr>
            <w:r>
              <w:rPr>
                <w:szCs w:val="22"/>
              </w:rPr>
              <w:tab/>
              <w:t>(a)</w:t>
            </w:r>
            <w:r>
              <w:rPr>
                <w:szCs w:val="22"/>
              </w:rPr>
              <w:tab/>
              <w:t xml:space="preserve">for volume </w:t>
            </w:r>
            <w:r>
              <w:rPr>
                <w:szCs w:val="22"/>
              </w:rPr>
              <w:tab/>
            </w:r>
          </w:p>
        </w:tc>
        <w:tc>
          <w:tcPr>
            <w:tcW w:w="1576" w:type="dxa"/>
            <w:vAlign w:val="bottom"/>
          </w:tcPr>
          <w:p>
            <w:pPr>
              <w:pStyle w:val="yTableNAm"/>
              <w:rPr>
                <w:szCs w:val="22"/>
              </w:rPr>
            </w:pPr>
            <w:r>
              <w:rPr>
                <w:szCs w:val="22"/>
              </w:rPr>
              <w:t>132.0 c/kL</w:t>
            </w:r>
          </w:p>
        </w:tc>
      </w:tr>
      <w:tr>
        <w:trPr>
          <w:cantSplit/>
        </w:trPr>
        <w:tc>
          <w:tcPr>
            <w:tcW w:w="850" w:type="dxa"/>
          </w:tcPr>
          <w:p>
            <w:pPr>
              <w:pStyle w:val="yTableNAm"/>
              <w:rPr>
                <w:szCs w:val="22"/>
              </w:rPr>
            </w:pPr>
          </w:p>
        </w:tc>
        <w:tc>
          <w:tcPr>
            <w:tcW w:w="4236" w:type="dxa"/>
          </w:tcPr>
          <w:p>
            <w:pPr>
              <w:pStyle w:val="yTableNAm"/>
              <w:tabs>
                <w:tab w:val="clear" w:pos="567"/>
                <w:tab w:val="left" w:pos="317"/>
                <w:tab w:val="left" w:pos="743"/>
                <w:tab w:val="right" w:leader="dot" w:pos="4253"/>
              </w:tabs>
              <w:ind w:left="743" w:hanging="709"/>
              <w:rPr>
                <w:szCs w:val="22"/>
              </w:rPr>
            </w:pPr>
            <w:r>
              <w:rPr>
                <w:szCs w:val="22"/>
              </w:rPr>
              <w:tab/>
              <w:t>(b)</w:t>
            </w:r>
            <w:r>
              <w:rPr>
                <w:szCs w:val="22"/>
              </w:rPr>
              <w:tab/>
              <w:t xml:space="preserve">for B.O.D. — </w:t>
            </w:r>
          </w:p>
        </w:tc>
        <w:tc>
          <w:tcPr>
            <w:tcW w:w="1576" w:type="dxa"/>
            <w:vAlign w:val="bottom"/>
          </w:tcPr>
          <w:p>
            <w:pPr>
              <w:pStyle w:val="yTableNAm"/>
              <w:rPr>
                <w:szCs w:val="22"/>
              </w:rPr>
            </w:pPr>
          </w:p>
        </w:tc>
      </w:tr>
      <w:tr>
        <w:trPr>
          <w:cantSplit/>
        </w:trPr>
        <w:tc>
          <w:tcPr>
            <w:tcW w:w="850" w:type="dxa"/>
          </w:tcPr>
          <w:p>
            <w:pPr>
              <w:pStyle w:val="yTableNAm"/>
              <w:rPr>
                <w:szCs w:val="22"/>
              </w:rPr>
            </w:pPr>
          </w:p>
        </w:tc>
        <w:tc>
          <w:tcPr>
            <w:tcW w:w="4236" w:type="dxa"/>
          </w:tcPr>
          <w:p>
            <w:pPr>
              <w:pStyle w:val="yTableNAm"/>
              <w:tabs>
                <w:tab w:val="clear" w:pos="567"/>
                <w:tab w:val="left" w:pos="743"/>
                <w:tab w:val="left" w:pos="1168"/>
                <w:tab w:val="right" w:leader="dot" w:pos="4253"/>
              </w:tabs>
              <w:ind w:left="1168" w:hanging="1168"/>
              <w:rPr>
                <w:szCs w:val="22"/>
              </w:rPr>
            </w:pPr>
            <w:r>
              <w:rPr>
                <w:szCs w:val="22"/>
              </w:rPr>
              <w:tab/>
              <w:t>(i)</w:t>
            </w:r>
            <w:r>
              <w:rPr>
                <w:szCs w:val="22"/>
              </w:rPr>
              <w:tab/>
              <w:t xml:space="preserve">with a concentration of up to 5 kg per kL </w:t>
            </w:r>
            <w:r>
              <w:rPr>
                <w:szCs w:val="22"/>
              </w:rPr>
              <w:tab/>
            </w:r>
          </w:p>
        </w:tc>
        <w:tc>
          <w:tcPr>
            <w:tcW w:w="1576" w:type="dxa"/>
            <w:vAlign w:val="bottom"/>
          </w:tcPr>
          <w:p>
            <w:pPr>
              <w:pStyle w:val="yTableNAm"/>
              <w:rPr>
                <w:szCs w:val="22"/>
              </w:rPr>
            </w:pPr>
            <w:r>
              <w:rPr>
                <w:szCs w:val="22"/>
              </w:rPr>
              <w:t>112.0 c/kg</w:t>
            </w:r>
          </w:p>
        </w:tc>
      </w:tr>
      <w:tr>
        <w:trPr>
          <w:cantSplit/>
        </w:trPr>
        <w:tc>
          <w:tcPr>
            <w:tcW w:w="850" w:type="dxa"/>
          </w:tcPr>
          <w:p>
            <w:pPr>
              <w:pStyle w:val="yTableNAm"/>
              <w:rPr>
                <w:szCs w:val="22"/>
              </w:rPr>
            </w:pPr>
          </w:p>
        </w:tc>
        <w:tc>
          <w:tcPr>
            <w:tcW w:w="4236" w:type="dxa"/>
          </w:tcPr>
          <w:p>
            <w:pPr>
              <w:pStyle w:val="yTableNAm"/>
              <w:tabs>
                <w:tab w:val="clear" w:pos="567"/>
                <w:tab w:val="left" w:pos="743"/>
                <w:tab w:val="left" w:pos="1168"/>
                <w:tab w:val="right" w:leader="dot" w:pos="4253"/>
              </w:tabs>
              <w:ind w:left="1168" w:hanging="1168"/>
              <w:rPr>
                <w:szCs w:val="22"/>
              </w:rPr>
            </w:pPr>
            <w:r>
              <w:rPr>
                <w:szCs w:val="22"/>
              </w:rPr>
              <w:tab/>
              <w:t>(ii)</w:t>
            </w:r>
            <w:r>
              <w:rPr>
                <w:szCs w:val="22"/>
              </w:rPr>
              <w:tab/>
              <w:t xml:space="preserve">with a concentration of over 5 kg per kL </w:t>
            </w:r>
            <w:r>
              <w:rPr>
                <w:szCs w:val="22"/>
              </w:rPr>
              <w:tab/>
            </w:r>
          </w:p>
        </w:tc>
        <w:tc>
          <w:tcPr>
            <w:tcW w:w="1576" w:type="dxa"/>
            <w:vAlign w:val="bottom"/>
          </w:tcPr>
          <w:p>
            <w:pPr>
              <w:pStyle w:val="yTableNAm"/>
              <w:rPr>
                <w:szCs w:val="22"/>
              </w:rPr>
            </w:pPr>
            <w:r>
              <w:rPr>
                <w:szCs w:val="22"/>
              </w:rPr>
              <w:t>226.0 c/kg</w:t>
            </w:r>
          </w:p>
        </w:tc>
      </w:tr>
      <w:tr>
        <w:trPr>
          <w:cantSplit/>
        </w:trPr>
        <w:tc>
          <w:tcPr>
            <w:tcW w:w="850" w:type="dxa"/>
          </w:tcPr>
          <w:p>
            <w:pPr>
              <w:pStyle w:val="yTableNAm"/>
              <w:rPr>
                <w:szCs w:val="22"/>
              </w:rPr>
            </w:pPr>
          </w:p>
        </w:tc>
        <w:tc>
          <w:tcPr>
            <w:tcW w:w="4236" w:type="dxa"/>
          </w:tcPr>
          <w:p>
            <w:pPr>
              <w:pStyle w:val="yTableNAm"/>
              <w:keepNext/>
              <w:keepLines/>
              <w:tabs>
                <w:tab w:val="clear" w:pos="567"/>
                <w:tab w:val="left" w:pos="317"/>
                <w:tab w:val="left" w:pos="743"/>
                <w:tab w:val="right" w:leader="dot" w:pos="4253"/>
              </w:tabs>
              <w:ind w:left="743" w:hanging="709"/>
              <w:rPr>
                <w:szCs w:val="22"/>
              </w:rPr>
            </w:pPr>
            <w:r>
              <w:rPr>
                <w:szCs w:val="22"/>
              </w:rPr>
              <w:tab/>
              <w:t>(c)</w:t>
            </w:r>
            <w:r>
              <w:rPr>
                <w:szCs w:val="22"/>
              </w:rPr>
              <w:tab/>
              <w:t xml:space="preserve">for suspended solids — </w:t>
            </w:r>
          </w:p>
        </w:tc>
        <w:tc>
          <w:tcPr>
            <w:tcW w:w="1576" w:type="dxa"/>
            <w:vAlign w:val="bottom"/>
          </w:tcPr>
          <w:p>
            <w:pPr>
              <w:pStyle w:val="yTableNAm"/>
              <w:rPr>
                <w:szCs w:val="22"/>
              </w:rPr>
            </w:pPr>
          </w:p>
        </w:tc>
      </w:tr>
      <w:tr>
        <w:trPr>
          <w:cantSplit/>
        </w:trPr>
        <w:tc>
          <w:tcPr>
            <w:tcW w:w="850" w:type="dxa"/>
          </w:tcPr>
          <w:p>
            <w:pPr>
              <w:pStyle w:val="yTableNAm"/>
              <w:rPr>
                <w:szCs w:val="22"/>
              </w:rPr>
            </w:pPr>
          </w:p>
        </w:tc>
        <w:tc>
          <w:tcPr>
            <w:tcW w:w="4236" w:type="dxa"/>
          </w:tcPr>
          <w:p>
            <w:pPr>
              <w:pStyle w:val="yTableNAm"/>
              <w:tabs>
                <w:tab w:val="clear" w:pos="567"/>
                <w:tab w:val="left" w:pos="743"/>
                <w:tab w:val="left" w:pos="1168"/>
                <w:tab w:val="right" w:leader="dot" w:pos="4253"/>
              </w:tabs>
              <w:ind w:left="1168" w:hanging="1168"/>
              <w:rPr>
                <w:szCs w:val="22"/>
              </w:rPr>
            </w:pPr>
            <w:r>
              <w:rPr>
                <w:szCs w:val="22"/>
              </w:rPr>
              <w:tab/>
              <w:t>(i)</w:t>
            </w:r>
            <w:r>
              <w:rPr>
                <w:szCs w:val="22"/>
              </w:rPr>
              <w:tab/>
              <w:t xml:space="preserve">with a concentration of up to 2 kg per kL </w:t>
            </w:r>
            <w:r>
              <w:rPr>
                <w:szCs w:val="22"/>
              </w:rPr>
              <w:tab/>
            </w:r>
          </w:p>
        </w:tc>
        <w:tc>
          <w:tcPr>
            <w:tcW w:w="1576" w:type="dxa"/>
            <w:vAlign w:val="bottom"/>
          </w:tcPr>
          <w:p>
            <w:pPr>
              <w:pStyle w:val="yTableNAm"/>
              <w:rPr>
                <w:szCs w:val="22"/>
              </w:rPr>
            </w:pPr>
            <w:r>
              <w:rPr>
                <w:szCs w:val="22"/>
              </w:rPr>
              <w:t>151.0 c/kg</w:t>
            </w:r>
          </w:p>
        </w:tc>
      </w:tr>
      <w:tr>
        <w:trPr>
          <w:cantSplit/>
        </w:trPr>
        <w:tc>
          <w:tcPr>
            <w:tcW w:w="850" w:type="dxa"/>
          </w:tcPr>
          <w:p>
            <w:pPr>
              <w:pStyle w:val="yTableNAm"/>
              <w:rPr>
                <w:szCs w:val="22"/>
              </w:rPr>
            </w:pPr>
          </w:p>
        </w:tc>
        <w:tc>
          <w:tcPr>
            <w:tcW w:w="4236" w:type="dxa"/>
          </w:tcPr>
          <w:p>
            <w:pPr>
              <w:pStyle w:val="yTableNAm"/>
              <w:tabs>
                <w:tab w:val="clear" w:pos="567"/>
                <w:tab w:val="left" w:pos="743"/>
                <w:tab w:val="left" w:pos="1168"/>
                <w:tab w:val="right" w:leader="dot" w:pos="4253"/>
              </w:tabs>
              <w:ind w:left="1168" w:hanging="1168"/>
              <w:rPr>
                <w:szCs w:val="22"/>
              </w:rPr>
            </w:pPr>
            <w:r>
              <w:rPr>
                <w:szCs w:val="22"/>
              </w:rPr>
              <w:tab/>
              <w:t>(ii)</w:t>
            </w:r>
            <w:r>
              <w:rPr>
                <w:szCs w:val="22"/>
              </w:rPr>
              <w:tab/>
              <w:t xml:space="preserve">with a concentration of over 2 kg per kL </w:t>
            </w:r>
            <w:r>
              <w:rPr>
                <w:szCs w:val="22"/>
              </w:rPr>
              <w:tab/>
            </w:r>
          </w:p>
        </w:tc>
        <w:tc>
          <w:tcPr>
            <w:tcW w:w="1576" w:type="dxa"/>
            <w:vAlign w:val="bottom"/>
          </w:tcPr>
          <w:p>
            <w:pPr>
              <w:pStyle w:val="yTableNAm"/>
              <w:rPr>
                <w:szCs w:val="22"/>
              </w:rPr>
            </w:pPr>
            <w:r>
              <w:rPr>
                <w:szCs w:val="22"/>
              </w:rPr>
              <w:t>304.0 c/kg</w:t>
            </w:r>
          </w:p>
        </w:tc>
      </w:tr>
      <w:tr>
        <w:trPr>
          <w:cantSplit/>
        </w:trPr>
        <w:tc>
          <w:tcPr>
            <w:tcW w:w="850" w:type="dxa"/>
          </w:tcPr>
          <w:p>
            <w:pPr>
              <w:pStyle w:val="yTableNAm"/>
              <w:rPr>
                <w:szCs w:val="22"/>
              </w:rPr>
            </w:pPr>
          </w:p>
        </w:tc>
        <w:tc>
          <w:tcPr>
            <w:tcW w:w="4236" w:type="dxa"/>
          </w:tcPr>
          <w:p>
            <w:pPr>
              <w:pStyle w:val="yTableNAm"/>
              <w:keepNext/>
              <w:keepLines/>
              <w:tabs>
                <w:tab w:val="clear" w:pos="567"/>
                <w:tab w:val="left" w:pos="317"/>
                <w:tab w:val="left" w:pos="743"/>
                <w:tab w:val="right" w:leader="dot" w:pos="4253"/>
              </w:tabs>
              <w:ind w:left="743" w:hanging="709"/>
              <w:rPr>
                <w:szCs w:val="22"/>
              </w:rPr>
            </w:pPr>
            <w:r>
              <w:rPr>
                <w:szCs w:val="22"/>
              </w:rPr>
              <w:tab/>
              <w:t>(d)</w:t>
            </w:r>
            <w:r>
              <w:rPr>
                <w:szCs w:val="22"/>
              </w:rPr>
              <w:tab/>
              <w:t xml:space="preserve">for chemical oxygen demand — </w:t>
            </w:r>
          </w:p>
        </w:tc>
        <w:tc>
          <w:tcPr>
            <w:tcW w:w="1576" w:type="dxa"/>
            <w:vAlign w:val="bottom"/>
          </w:tcPr>
          <w:p>
            <w:pPr>
              <w:pStyle w:val="yTableNAm"/>
              <w:rPr>
                <w:szCs w:val="22"/>
              </w:rPr>
            </w:pPr>
          </w:p>
        </w:tc>
      </w:tr>
      <w:tr>
        <w:trPr>
          <w:cantSplit/>
        </w:trPr>
        <w:tc>
          <w:tcPr>
            <w:tcW w:w="850" w:type="dxa"/>
          </w:tcPr>
          <w:p>
            <w:pPr>
              <w:pStyle w:val="yTableNAm"/>
              <w:rPr>
                <w:szCs w:val="22"/>
              </w:rPr>
            </w:pPr>
          </w:p>
        </w:tc>
        <w:tc>
          <w:tcPr>
            <w:tcW w:w="4236" w:type="dxa"/>
          </w:tcPr>
          <w:p>
            <w:pPr>
              <w:pStyle w:val="yTableNAm"/>
              <w:tabs>
                <w:tab w:val="clear" w:pos="567"/>
                <w:tab w:val="left" w:pos="743"/>
                <w:tab w:val="left" w:pos="1168"/>
                <w:tab w:val="right" w:leader="dot" w:pos="4253"/>
              </w:tabs>
              <w:ind w:left="1168" w:hanging="1168"/>
              <w:rPr>
                <w:szCs w:val="22"/>
              </w:rPr>
            </w:pPr>
            <w:r>
              <w:rPr>
                <w:szCs w:val="22"/>
              </w:rPr>
              <w:tab/>
              <w:t>(i)</w:t>
            </w:r>
            <w:r>
              <w:rPr>
                <w:szCs w:val="22"/>
              </w:rPr>
              <w:tab/>
              <w:t xml:space="preserve">with a concentration of up to 10 kg per kL </w:t>
            </w:r>
            <w:r>
              <w:rPr>
                <w:szCs w:val="22"/>
              </w:rPr>
              <w:tab/>
            </w:r>
          </w:p>
        </w:tc>
        <w:tc>
          <w:tcPr>
            <w:tcW w:w="1576" w:type="dxa"/>
            <w:vAlign w:val="bottom"/>
          </w:tcPr>
          <w:p>
            <w:pPr>
              <w:pStyle w:val="yTableNAm"/>
              <w:rPr>
                <w:szCs w:val="22"/>
              </w:rPr>
            </w:pPr>
            <w:r>
              <w:rPr>
                <w:szCs w:val="22"/>
              </w:rPr>
              <w:t>45.0 c/kg</w:t>
            </w:r>
          </w:p>
        </w:tc>
      </w:tr>
      <w:tr>
        <w:trPr>
          <w:cantSplit/>
        </w:trPr>
        <w:tc>
          <w:tcPr>
            <w:tcW w:w="850" w:type="dxa"/>
          </w:tcPr>
          <w:p>
            <w:pPr>
              <w:pStyle w:val="yTableNAm"/>
              <w:rPr>
                <w:szCs w:val="22"/>
              </w:rPr>
            </w:pPr>
          </w:p>
        </w:tc>
        <w:tc>
          <w:tcPr>
            <w:tcW w:w="4236" w:type="dxa"/>
          </w:tcPr>
          <w:p>
            <w:pPr>
              <w:pStyle w:val="yTableNAm"/>
              <w:tabs>
                <w:tab w:val="clear" w:pos="567"/>
                <w:tab w:val="left" w:pos="743"/>
                <w:tab w:val="left" w:pos="1168"/>
                <w:tab w:val="right" w:leader="dot" w:pos="4253"/>
              </w:tabs>
              <w:ind w:left="1168" w:hanging="1168"/>
              <w:rPr>
                <w:szCs w:val="22"/>
              </w:rPr>
            </w:pPr>
            <w:r>
              <w:rPr>
                <w:szCs w:val="22"/>
              </w:rPr>
              <w:tab/>
              <w:t>(ii)</w:t>
            </w:r>
            <w:r>
              <w:rPr>
                <w:szCs w:val="22"/>
              </w:rPr>
              <w:tab/>
              <w:t xml:space="preserve">with a concentration of over 10 kg per kL </w:t>
            </w:r>
            <w:r>
              <w:rPr>
                <w:szCs w:val="22"/>
              </w:rPr>
              <w:tab/>
            </w:r>
          </w:p>
        </w:tc>
        <w:tc>
          <w:tcPr>
            <w:tcW w:w="1576" w:type="dxa"/>
            <w:vAlign w:val="bottom"/>
          </w:tcPr>
          <w:p>
            <w:pPr>
              <w:pStyle w:val="yTableNAm"/>
              <w:rPr>
                <w:szCs w:val="22"/>
              </w:rPr>
            </w:pPr>
            <w:r>
              <w:rPr>
                <w:szCs w:val="22"/>
              </w:rPr>
              <w:t>91.0 c/kg</w:t>
            </w:r>
          </w:p>
        </w:tc>
      </w:tr>
      <w:tr>
        <w:trPr>
          <w:cantSplit/>
        </w:trPr>
        <w:tc>
          <w:tcPr>
            <w:tcW w:w="850" w:type="dxa"/>
          </w:tcPr>
          <w:p>
            <w:pPr>
              <w:pStyle w:val="yTableNAm"/>
              <w:keepNext/>
              <w:rPr>
                <w:szCs w:val="22"/>
              </w:rPr>
            </w:pPr>
          </w:p>
        </w:tc>
        <w:tc>
          <w:tcPr>
            <w:tcW w:w="4236" w:type="dxa"/>
          </w:tcPr>
          <w:p>
            <w:pPr>
              <w:pStyle w:val="yTableNAm"/>
              <w:keepNext/>
              <w:keepLines/>
              <w:tabs>
                <w:tab w:val="clear" w:pos="567"/>
                <w:tab w:val="left" w:pos="317"/>
                <w:tab w:val="left" w:pos="743"/>
                <w:tab w:val="right" w:leader="dot" w:pos="4253"/>
              </w:tabs>
              <w:ind w:left="743" w:hanging="709"/>
              <w:rPr>
                <w:szCs w:val="22"/>
              </w:rPr>
            </w:pPr>
            <w:r>
              <w:rPr>
                <w:szCs w:val="22"/>
              </w:rPr>
              <w:tab/>
              <w:t>(e)</w:t>
            </w:r>
            <w:r>
              <w:rPr>
                <w:szCs w:val="22"/>
              </w:rPr>
              <w:tab/>
              <w:t xml:space="preserve">for oil and grease — </w:t>
            </w:r>
          </w:p>
        </w:tc>
        <w:tc>
          <w:tcPr>
            <w:tcW w:w="1576" w:type="dxa"/>
            <w:vAlign w:val="bottom"/>
          </w:tcPr>
          <w:p>
            <w:pPr>
              <w:pStyle w:val="yTableNAm"/>
              <w:keepNext/>
              <w:rPr>
                <w:szCs w:val="22"/>
              </w:rPr>
            </w:pPr>
          </w:p>
        </w:tc>
      </w:tr>
      <w:tr>
        <w:trPr>
          <w:cantSplit/>
        </w:trPr>
        <w:tc>
          <w:tcPr>
            <w:tcW w:w="850" w:type="dxa"/>
          </w:tcPr>
          <w:p>
            <w:pPr>
              <w:pStyle w:val="yTableNAm"/>
              <w:rPr>
                <w:szCs w:val="22"/>
              </w:rPr>
            </w:pPr>
          </w:p>
        </w:tc>
        <w:tc>
          <w:tcPr>
            <w:tcW w:w="4236" w:type="dxa"/>
          </w:tcPr>
          <w:p>
            <w:pPr>
              <w:pStyle w:val="yTableNAm"/>
              <w:tabs>
                <w:tab w:val="clear" w:pos="567"/>
                <w:tab w:val="left" w:pos="743"/>
                <w:tab w:val="left" w:pos="1168"/>
                <w:tab w:val="right" w:leader="dot" w:pos="4253"/>
              </w:tabs>
              <w:ind w:left="1168" w:hanging="1168"/>
              <w:rPr>
                <w:szCs w:val="22"/>
              </w:rPr>
            </w:pPr>
            <w:r>
              <w:rPr>
                <w:szCs w:val="22"/>
              </w:rPr>
              <w:tab/>
              <w:t>(i)</w:t>
            </w:r>
            <w:r>
              <w:rPr>
                <w:szCs w:val="22"/>
              </w:rPr>
              <w:tab/>
              <w:t>with a concentration of up to 0.3 kg per kL …..............</w:t>
            </w:r>
          </w:p>
        </w:tc>
        <w:tc>
          <w:tcPr>
            <w:tcW w:w="1576" w:type="dxa"/>
            <w:vAlign w:val="bottom"/>
          </w:tcPr>
          <w:p>
            <w:pPr>
              <w:pStyle w:val="yTableNAm"/>
              <w:rPr>
                <w:szCs w:val="22"/>
              </w:rPr>
            </w:pPr>
            <w:r>
              <w:rPr>
                <w:szCs w:val="22"/>
              </w:rPr>
              <w:t>136.0 c/kg</w:t>
            </w:r>
          </w:p>
        </w:tc>
      </w:tr>
      <w:tr>
        <w:trPr>
          <w:cantSplit/>
        </w:trPr>
        <w:tc>
          <w:tcPr>
            <w:tcW w:w="850" w:type="dxa"/>
          </w:tcPr>
          <w:p>
            <w:pPr>
              <w:pStyle w:val="yTableNAm"/>
              <w:rPr>
                <w:szCs w:val="22"/>
              </w:rPr>
            </w:pPr>
          </w:p>
        </w:tc>
        <w:tc>
          <w:tcPr>
            <w:tcW w:w="4236" w:type="dxa"/>
          </w:tcPr>
          <w:p>
            <w:pPr>
              <w:pStyle w:val="yTableNAm"/>
              <w:tabs>
                <w:tab w:val="clear" w:pos="567"/>
                <w:tab w:val="left" w:pos="743"/>
                <w:tab w:val="left" w:pos="1168"/>
                <w:tab w:val="right" w:leader="dot" w:pos="4253"/>
              </w:tabs>
              <w:ind w:left="1168" w:hanging="1168"/>
              <w:rPr>
                <w:szCs w:val="22"/>
              </w:rPr>
            </w:pPr>
            <w:r>
              <w:rPr>
                <w:szCs w:val="22"/>
              </w:rPr>
              <w:tab/>
              <w:t>(ii)</w:t>
            </w:r>
            <w:r>
              <w:rPr>
                <w:szCs w:val="22"/>
              </w:rPr>
              <w:tab/>
              <w:t xml:space="preserve">with a concentration over 0.3 kg per kL but not over 0.6 kg per kL </w:t>
            </w:r>
            <w:r>
              <w:rPr>
                <w:szCs w:val="22"/>
              </w:rPr>
              <w:tab/>
            </w:r>
          </w:p>
        </w:tc>
        <w:tc>
          <w:tcPr>
            <w:tcW w:w="1576" w:type="dxa"/>
            <w:vAlign w:val="bottom"/>
          </w:tcPr>
          <w:p>
            <w:pPr>
              <w:pStyle w:val="yTableNAm"/>
              <w:rPr>
                <w:szCs w:val="22"/>
              </w:rPr>
            </w:pPr>
            <w:r>
              <w:rPr>
                <w:szCs w:val="22"/>
              </w:rPr>
              <w:t>270.0 c/kg</w:t>
            </w:r>
          </w:p>
        </w:tc>
      </w:tr>
      <w:tr>
        <w:trPr>
          <w:cantSplit/>
        </w:trPr>
        <w:tc>
          <w:tcPr>
            <w:tcW w:w="850" w:type="dxa"/>
          </w:tcPr>
          <w:p>
            <w:pPr>
              <w:pStyle w:val="yTableNAm"/>
              <w:rPr>
                <w:szCs w:val="22"/>
              </w:rPr>
            </w:pPr>
          </w:p>
        </w:tc>
        <w:tc>
          <w:tcPr>
            <w:tcW w:w="4236" w:type="dxa"/>
          </w:tcPr>
          <w:p>
            <w:pPr>
              <w:pStyle w:val="yTableNAm"/>
              <w:tabs>
                <w:tab w:val="clear" w:pos="567"/>
                <w:tab w:val="left" w:pos="743"/>
                <w:tab w:val="left" w:pos="1168"/>
                <w:tab w:val="right" w:leader="dot" w:pos="4253"/>
              </w:tabs>
              <w:ind w:left="1168" w:hanging="1168"/>
              <w:rPr>
                <w:szCs w:val="22"/>
              </w:rPr>
            </w:pPr>
            <w:r>
              <w:rPr>
                <w:szCs w:val="22"/>
              </w:rPr>
              <w:tab/>
              <w:t>(iii)</w:t>
            </w:r>
            <w:r>
              <w:rPr>
                <w:szCs w:val="22"/>
              </w:rPr>
              <w:tab/>
              <w:t xml:space="preserve">with a concentration of over 0.6 kg per kL </w:t>
            </w:r>
            <w:r>
              <w:rPr>
                <w:szCs w:val="22"/>
              </w:rPr>
              <w:tab/>
            </w:r>
          </w:p>
        </w:tc>
        <w:tc>
          <w:tcPr>
            <w:tcW w:w="1576" w:type="dxa"/>
            <w:vAlign w:val="bottom"/>
          </w:tcPr>
          <w:p>
            <w:pPr>
              <w:pStyle w:val="yTableNAm"/>
              <w:rPr>
                <w:szCs w:val="22"/>
              </w:rPr>
            </w:pPr>
            <w:r>
              <w:rPr>
                <w:szCs w:val="22"/>
              </w:rPr>
              <w:t>540.0 c/kg</w:t>
            </w:r>
          </w:p>
        </w:tc>
      </w:tr>
      <w:tr>
        <w:trPr>
          <w:cantSplit/>
        </w:trPr>
        <w:tc>
          <w:tcPr>
            <w:tcW w:w="850" w:type="dxa"/>
          </w:tcPr>
          <w:p>
            <w:pPr>
              <w:pStyle w:val="yTableNAm"/>
              <w:rPr>
                <w:szCs w:val="22"/>
              </w:rPr>
            </w:pPr>
          </w:p>
        </w:tc>
        <w:tc>
          <w:tcPr>
            <w:tcW w:w="4236" w:type="dxa"/>
          </w:tcPr>
          <w:p>
            <w:pPr>
              <w:pStyle w:val="yTableNAm"/>
              <w:keepNext/>
              <w:keepLines/>
              <w:tabs>
                <w:tab w:val="clear" w:pos="567"/>
                <w:tab w:val="left" w:pos="317"/>
                <w:tab w:val="left" w:pos="743"/>
                <w:tab w:val="right" w:leader="dot" w:pos="4253"/>
              </w:tabs>
              <w:ind w:left="743" w:hanging="709"/>
              <w:rPr>
                <w:szCs w:val="22"/>
              </w:rPr>
            </w:pPr>
            <w:r>
              <w:rPr>
                <w:szCs w:val="22"/>
              </w:rPr>
              <w:tab/>
              <w:t>(f)</w:t>
            </w:r>
            <w:r>
              <w:rPr>
                <w:szCs w:val="22"/>
              </w:rPr>
              <w:tab/>
              <w:t xml:space="preserve">for acidity (pH &lt; 6) — </w:t>
            </w:r>
          </w:p>
        </w:tc>
        <w:tc>
          <w:tcPr>
            <w:tcW w:w="1576" w:type="dxa"/>
            <w:vAlign w:val="bottom"/>
          </w:tcPr>
          <w:p>
            <w:pPr>
              <w:pStyle w:val="yTableNAm"/>
              <w:rPr>
                <w:szCs w:val="22"/>
              </w:rPr>
            </w:pPr>
          </w:p>
        </w:tc>
      </w:tr>
      <w:tr>
        <w:trPr>
          <w:cantSplit/>
        </w:trPr>
        <w:tc>
          <w:tcPr>
            <w:tcW w:w="850" w:type="dxa"/>
          </w:tcPr>
          <w:p>
            <w:pPr>
              <w:pStyle w:val="yTableNAm"/>
              <w:rPr>
                <w:szCs w:val="22"/>
              </w:rPr>
            </w:pPr>
          </w:p>
        </w:tc>
        <w:tc>
          <w:tcPr>
            <w:tcW w:w="4236" w:type="dxa"/>
          </w:tcPr>
          <w:p>
            <w:pPr>
              <w:pStyle w:val="yTableNAm"/>
              <w:tabs>
                <w:tab w:val="clear" w:pos="567"/>
                <w:tab w:val="left" w:pos="743"/>
                <w:tab w:val="left" w:pos="1168"/>
                <w:tab w:val="right" w:leader="dot" w:pos="4253"/>
              </w:tabs>
              <w:ind w:left="1168" w:hanging="1168"/>
              <w:rPr>
                <w:szCs w:val="22"/>
              </w:rPr>
            </w:pPr>
            <w:r>
              <w:rPr>
                <w:szCs w:val="22"/>
              </w:rPr>
              <w:tab/>
              <w:t>(i)</w:t>
            </w:r>
            <w:r>
              <w:rPr>
                <w:szCs w:val="22"/>
              </w:rPr>
              <w:tab/>
              <w:t xml:space="preserve">with a concentration of up to 0.1 kg per kL </w:t>
            </w:r>
            <w:r>
              <w:rPr>
                <w:szCs w:val="22"/>
              </w:rPr>
              <w:tab/>
            </w:r>
          </w:p>
        </w:tc>
        <w:tc>
          <w:tcPr>
            <w:tcW w:w="1576" w:type="dxa"/>
            <w:vAlign w:val="bottom"/>
          </w:tcPr>
          <w:p>
            <w:pPr>
              <w:pStyle w:val="yTableNAm"/>
              <w:rPr>
                <w:szCs w:val="22"/>
              </w:rPr>
            </w:pPr>
            <w:r>
              <w:rPr>
                <w:szCs w:val="22"/>
              </w:rPr>
              <w:t>39.0 c/kg</w:t>
            </w:r>
          </w:p>
        </w:tc>
      </w:tr>
      <w:tr>
        <w:trPr>
          <w:cantSplit/>
        </w:trPr>
        <w:tc>
          <w:tcPr>
            <w:tcW w:w="850" w:type="dxa"/>
          </w:tcPr>
          <w:p>
            <w:pPr>
              <w:pStyle w:val="yTableNAm"/>
              <w:rPr>
                <w:szCs w:val="22"/>
              </w:rPr>
            </w:pPr>
          </w:p>
        </w:tc>
        <w:tc>
          <w:tcPr>
            <w:tcW w:w="4236" w:type="dxa"/>
          </w:tcPr>
          <w:p>
            <w:pPr>
              <w:pStyle w:val="yTableNAm"/>
              <w:tabs>
                <w:tab w:val="clear" w:pos="567"/>
                <w:tab w:val="left" w:pos="743"/>
                <w:tab w:val="left" w:pos="1168"/>
                <w:tab w:val="right" w:leader="dot" w:pos="4253"/>
              </w:tabs>
              <w:ind w:left="1168" w:hanging="1168"/>
              <w:rPr>
                <w:szCs w:val="22"/>
              </w:rPr>
            </w:pPr>
            <w:r>
              <w:rPr>
                <w:szCs w:val="22"/>
              </w:rPr>
              <w:tab/>
              <w:t>(ii)</w:t>
            </w:r>
            <w:r>
              <w:rPr>
                <w:szCs w:val="22"/>
              </w:rPr>
              <w:tab/>
              <w:t xml:space="preserve">with a concentration over 0.1 kg per kL but not over 0.3 kg per kL </w:t>
            </w:r>
            <w:r>
              <w:rPr>
                <w:szCs w:val="22"/>
              </w:rPr>
              <w:tab/>
            </w:r>
          </w:p>
        </w:tc>
        <w:tc>
          <w:tcPr>
            <w:tcW w:w="1576" w:type="dxa"/>
            <w:vAlign w:val="bottom"/>
          </w:tcPr>
          <w:p>
            <w:pPr>
              <w:pStyle w:val="yTableNAm"/>
              <w:rPr>
                <w:szCs w:val="22"/>
              </w:rPr>
            </w:pPr>
            <w:r>
              <w:rPr>
                <w:szCs w:val="22"/>
              </w:rPr>
              <w:t>79.0 c/kg</w:t>
            </w:r>
          </w:p>
        </w:tc>
      </w:tr>
      <w:tr>
        <w:trPr>
          <w:cantSplit/>
        </w:trPr>
        <w:tc>
          <w:tcPr>
            <w:tcW w:w="850" w:type="dxa"/>
          </w:tcPr>
          <w:p>
            <w:pPr>
              <w:pStyle w:val="yTableNAm"/>
              <w:rPr>
                <w:szCs w:val="22"/>
              </w:rPr>
            </w:pPr>
          </w:p>
        </w:tc>
        <w:tc>
          <w:tcPr>
            <w:tcW w:w="4236" w:type="dxa"/>
          </w:tcPr>
          <w:p>
            <w:pPr>
              <w:pStyle w:val="yTableNAm"/>
              <w:tabs>
                <w:tab w:val="clear" w:pos="567"/>
                <w:tab w:val="left" w:pos="743"/>
                <w:tab w:val="left" w:pos="1168"/>
                <w:tab w:val="right" w:leader="dot" w:pos="4253"/>
              </w:tabs>
              <w:ind w:left="1168" w:hanging="1168"/>
              <w:rPr>
                <w:szCs w:val="22"/>
              </w:rPr>
            </w:pPr>
            <w:r>
              <w:rPr>
                <w:szCs w:val="22"/>
              </w:rPr>
              <w:tab/>
              <w:t>(iii)</w:t>
            </w:r>
            <w:r>
              <w:rPr>
                <w:szCs w:val="22"/>
              </w:rPr>
              <w:tab/>
              <w:t xml:space="preserve">with a concentration of over 0.3 kg per kL </w:t>
            </w:r>
            <w:r>
              <w:rPr>
                <w:szCs w:val="22"/>
              </w:rPr>
              <w:tab/>
            </w:r>
          </w:p>
        </w:tc>
        <w:tc>
          <w:tcPr>
            <w:tcW w:w="1576" w:type="dxa"/>
            <w:vAlign w:val="bottom"/>
          </w:tcPr>
          <w:p>
            <w:pPr>
              <w:pStyle w:val="yTableNAm"/>
              <w:rPr>
                <w:szCs w:val="22"/>
              </w:rPr>
            </w:pPr>
            <w:r>
              <w:rPr>
                <w:szCs w:val="22"/>
              </w:rPr>
              <w:t>157.0 c/kg</w:t>
            </w:r>
          </w:p>
        </w:tc>
      </w:tr>
      <w:tr>
        <w:trPr>
          <w:cantSplit/>
        </w:trPr>
        <w:tc>
          <w:tcPr>
            <w:tcW w:w="850" w:type="dxa"/>
          </w:tcPr>
          <w:p>
            <w:pPr>
              <w:pStyle w:val="yTableNAm"/>
              <w:rPr>
                <w:szCs w:val="22"/>
              </w:rPr>
            </w:pPr>
          </w:p>
        </w:tc>
        <w:tc>
          <w:tcPr>
            <w:tcW w:w="4236" w:type="dxa"/>
          </w:tcPr>
          <w:p>
            <w:pPr>
              <w:pStyle w:val="yTableNAm"/>
              <w:keepNext/>
              <w:keepLines/>
              <w:tabs>
                <w:tab w:val="clear" w:pos="567"/>
                <w:tab w:val="left" w:pos="317"/>
                <w:tab w:val="left" w:pos="743"/>
                <w:tab w:val="right" w:leader="dot" w:pos="4253"/>
              </w:tabs>
              <w:ind w:left="743" w:hanging="709"/>
              <w:rPr>
                <w:szCs w:val="22"/>
              </w:rPr>
            </w:pPr>
            <w:r>
              <w:rPr>
                <w:szCs w:val="22"/>
              </w:rPr>
              <w:tab/>
              <w:t>(g)</w:t>
            </w:r>
            <w:r>
              <w:rPr>
                <w:szCs w:val="22"/>
              </w:rPr>
              <w:tab/>
              <w:t xml:space="preserve">for alkalinity (pH &gt; 10) — </w:t>
            </w:r>
          </w:p>
        </w:tc>
        <w:tc>
          <w:tcPr>
            <w:tcW w:w="1576" w:type="dxa"/>
            <w:vAlign w:val="bottom"/>
          </w:tcPr>
          <w:p>
            <w:pPr>
              <w:pStyle w:val="yTableNAm"/>
              <w:rPr>
                <w:szCs w:val="22"/>
              </w:rPr>
            </w:pPr>
          </w:p>
        </w:tc>
      </w:tr>
      <w:tr>
        <w:trPr>
          <w:cantSplit/>
        </w:trPr>
        <w:tc>
          <w:tcPr>
            <w:tcW w:w="850" w:type="dxa"/>
          </w:tcPr>
          <w:p>
            <w:pPr>
              <w:pStyle w:val="yTableNAm"/>
              <w:rPr>
                <w:szCs w:val="22"/>
              </w:rPr>
            </w:pPr>
          </w:p>
        </w:tc>
        <w:tc>
          <w:tcPr>
            <w:tcW w:w="4236" w:type="dxa"/>
          </w:tcPr>
          <w:p>
            <w:pPr>
              <w:pStyle w:val="yTableNAm"/>
              <w:tabs>
                <w:tab w:val="clear" w:pos="567"/>
                <w:tab w:val="left" w:pos="743"/>
                <w:tab w:val="left" w:pos="1168"/>
                <w:tab w:val="right" w:leader="dot" w:pos="4253"/>
              </w:tabs>
              <w:ind w:left="1168" w:hanging="1168"/>
              <w:rPr>
                <w:szCs w:val="22"/>
              </w:rPr>
            </w:pPr>
            <w:r>
              <w:rPr>
                <w:szCs w:val="22"/>
              </w:rPr>
              <w:tab/>
              <w:t>(i)</w:t>
            </w:r>
            <w:r>
              <w:rPr>
                <w:szCs w:val="22"/>
              </w:rPr>
              <w:tab/>
              <w:t xml:space="preserve">with a concentration of up to 0.1 kg per kL </w:t>
            </w:r>
            <w:r>
              <w:rPr>
                <w:szCs w:val="22"/>
              </w:rPr>
              <w:tab/>
            </w:r>
          </w:p>
        </w:tc>
        <w:tc>
          <w:tcPr>
            <w:tcW w:w="1576" w:type="dxa"/>
            <w:vAlign w:val="bottom"/>
          </w:tcPr>
          <w:p>
            <w:pPr>
              <w:pStyle w:val="yTableNAm"/>
              <w:rPr>
                <w:szCs w:val="22"/>
              </w:rPr>
            </w:pPr>
            <w:r>
              <w:rPr>
                <w:szCs w:val="22"/>
              </w:rPr>
              <w:t>14.0 c/kg</w:t>
            </w:r>
          </w:p>
        </w:tc>
      </w:tr>
      <w:tr>
        <w:trPr>
          <w:cantSplit/>
        </w:trPr>
        <w:tc>
          <w:tcPr>
            <w:tcW w:w="850" w:type="dxa"/>
          </w:tcPr>
          <w:p>
            <w:pPr>
              <w:pStyle w:val="yTableNAm"/>
              <w:rPr>
                <w:szCs w:val="22"/>
              </w:rPr>
            </w:pPr>
          </w:p>
        </w:tc>
        <w:tc>
          <w:tcPr>
            <w:tcW w:w="4236" w:type="dxa"/>
          </w:tcPr>
          <w:p>
            <w:pPr>
              <w:pStyle w:val="yTableNAm"/>
              <w:tabs>
                <w:tab w:val="clear" w:pos="567"/>
                <w:tab w:val="left" w:pos="743"/>
                <w:tab w:val="left" w:pos="1168"/>
                <w:tab w:val="right" w:leader="dot" w:pos="4253"/>
              </w:tabs>
              <w:ind w:left="1168" w:hanging="1168"/>
              <w:rPr>
                <w:szCs w:val="22"/>
              </w:rPr>
            </w:pPr>
            <w:r>
              <w:rPr>
                <w:szCs w:val="22"/>
              </w:rPr>
              <w:tab/>
              <w:t>(ii)</w:t>
            </w:r>
            <w:r>
              <w:rPr>
                <w:szCs w:val="22"/>
              </w:rPr>
              <w:tab/>
              <w:t xml:space="preserve">with a concentration over 0.1 kg per kL but not over 0.2 kg per kL </w:t>
            </w:r>
            <w:r>
              <w:rPr>
                <w:szCs w:val="22"/>
              </w:rPr>
              <w:tab/>
            </w:r>
          </w:p>
        </w:tc>
        <w:tc>
          <w:tcPr>
            <w:tcW w:w="1576" w:type="dxa"/>
            <w:vAlign w:val="bottom"/>
          </w:tcPr>
          <w:p>
            <w:pPr>
              <w:pStyle w:val="yTableNAm"/>
              <w:rPr>
                <w:szCs w:val="22"/>
              </w:rPr>
            </w:pPr>
            <w:r>
              <w:rPr>
                <w:szCs w:val="22"/>
              </w:rPr>
              <w:t>29.0 c/kg</w:t>
            </w:r>
          </w:p>
        </w:tc>
      </w:tr>
      <w:tr>
        <w:trPr>
          <w:cantSplit/>
        </w:trPr>
        <w:tc>
          <w:tcPr>
            <w:tcW w:w="850" w:type="dxa"/>
          </w:tcPr>
          <w:p>
            <w:pPr>
              <w:pStyle w:val="yTableNAm"/>
              <w:rPr>
                <w:szCs w:val="22"/>
              </w:rPr>
            </w:pPr>
          </w:p>
        </w:tc>
        <w:tc>
          <w:tcPr>
            <w:tcW w:w="4236" w:type="dxa"/>
          </w:tcPr>
          <w:p>
            <w:pPr>
              <w:pStyle w:val="yTableNAm"/>
              <w:tabs>
                <w:tab w:val="clear" w:pos="567"/>
                <w:tab w:val="left" w:pos="743"/>
                <w:tab w:val="left" w:pos="1168"/>
                <w:tab w:val="right" w:leader="dot" w:pos="4253"/>
              </w:tabs>
              <w:ind w:left="1168" w:hanging="1168"/>
              <w:rPr>
                <w:szCs w:val="22"/>
              </w:rPr>
            </w:pPr>
            <w:r>
              <w:rPr>
                <w:szCs w:val="22"/>
              </w:rPr>
              <w:tab/>
              <w:t>(iii)</w:t>
            </w:r>
            <w:r>
              <w:rPr>
                <w:szCs w:val="22"/>
              </w:rPr>
              <w:tab/>
              <w:t xml:space="preserve">with a concentration of over 0.2 kg per kL </w:t>
            </w:r>
            <w:r>
              <w:rPr>
                <w:szCs w:val="22"/>
              </w:rPr>
              <w:tab/>
            </w:r>
          </w:p>
        </w:tc>
        <w:tc>
          <w:tcPr>
            <w:tcW w:w="1576" w:type="dxa"/>
            <w:vAlign w:val="bottom"/>
          </w:tcPr>
          <w:p>
            <w:pPr>
              <w:pStyle w:val="yTableNAm"/>
              <w:rPr>
                <w:szCs w:val="22"/>
              </w:rPr>
            </w:pPr>
            <w:r>
              <w:rPr>
                <w:szCs w:val="22"/>
              </w:rPr>
              <w:t>57.0 c/kg</w:t>
            </w:r>
          </w:p>
        </w:tc>
      </w:tr>
      <w:tr>
        <w:trPr>
          <w:cantSplit/>
        </w:trPr>
        <w:tc>
          <w:tcPr>
            <w:tcW w:w="850" w:type="dxa"/>
          </w:tcPr>
          <w:p>
            <w:pPr>
              <w:pStyle w:val="yTableNAm"/>
              <w:rPr>
                <w:szCs w:val="22"/>
              </w:rPr>
            </w:pPr>
          </w:p>
        </w:tc>
        <w:tc>
          <w:tcPr>
            <w:tcW w:w="4236" w:type="dxa"/>
          </w:tcPr>
          <w:p>
            <w:pPr>
              <w:pStyle w:val="yTableNAm"/>
              <w:keepNext/>
              <w:keepLines/>
              <w:tabs>
                <w:tab w:val="clear" w:pos="567"/>
                <w:tab w:val="left" w:pos="317"/>
                <w:tab w:val="left" w:pos="743"/>
                <w:tab w:val="right" w:leader="dot" w:pos="4253"/>
              </w:tabs>
              <w:ind w:left="743" w:hanging="709"/>
              <w:rPr>
                <w:szCs w:val="22"/>
              </w:rPr>
            </w:pPr>
            <w:r>
              <w:rPr>
                <w:szCs w:val="22"/>
              </w:rPr>
              <w:tab/>
              <w:t>(h)</w:t>
            </w:r>
            <w:r>
              <w:rPr>
                <w:szCs w:val="22"/>
              </w:rPr>
              <w:tab/>
              <w:t xml:space="preserve">for nitrogen </w:t>
            </w:r>
            <w:r>
              <w:rPr>
                <w:szCs w:val="22"/>
              </w:rPr>
              <w:tab/>
            </w:r>
          </w:p>
        </w:tc>
        <w:tc>
          <w:tcPr>
            <w:tcW w:w="1576" w:type="dxa"/>
            <w:vAlign w:val="bottom"/>
          </w:tcPr>
          <w:p>
            <w:pPr>
              <w:pStyle w:val="yTableNAm"/>
              <w:rPr>
                <w:szCs w:val="22"/>
              </w:rPr>
            </w:pPr>
            <w:r>
              <w:rPr>
                <w:szCs w:val="22"/>
              </w:rPr>
              <w:t>122.0 c/kg</w:t>
            </w:r>
          </w:p>
        </w:tc>
      </w:tr>
      <w:tr>
        <w:trPr>
          <w:cantSplit/>
        </w:trPr>
        <w:tc>
          <w:tcPr>
            <w:tcW w:w="850" w:type="dxa"/>
          </w:tcPr>
          <w:p>
            <w:pPr>
              <w:pStyle w:val="yTableNAm"/>
              <w:rPr>
                <w:szCs w:val="22"/>
              </w:rPr>
            </w:pPr>
          </w:p>
        </w:tc>
        <w:tc>
          <w:tcPr>
            <w:tcW w:w="4236" w:type="dxa"/>
          </w:tcPr>
          <w:p>
            <w:pPr>
              <w:pStyle w:val="yTableNAm"/>
              <w:keepNext/>
              <w:keepLines/>
              <w:tabs>
                <w:tab w:val="clear" w:pos="567"/>
                <w:tab w:val="left" w:pos="317"/>
                <w:tab w:val="left" w:pos="743"/>
                <w:tab w:val="right" w:leader="dot" w:pos="4253"/>
              </w:tabs>
              <w:ind w:left="743" w:hanging="709"/>
              <w:rPr>
                <w:szCs w:val="22"/>
              </w:rPr>
            </w:pPr>
            <w:r>
              <w:rPr>
                <w:szCs w:val="22"/>
              </w:rPr>
              <w:tab/>
              <w:t>(i)</w:t>
            </w:r>
            <w:r>
              <w:rPr>
                <w:szCs w:val="22"/>
              </w:rPr>
              <w:tab/>
              <w:t xml:space="preserve">for phosphorus </w:t>
            </w:r>
            <w:r>
              <w:rPr>
                <w:szCs w:val="22"/>
              </w:rPr>
              <w:tab/>
            </w:r>
          </w:p>
        </w:tc>
        <w:tc>
          <w:tcPr>
            <w:tcW w:w="1576" w:type="dxa"/>
            <w:vAlign w:val="bottom"/>
          </w:tcPr>
          <w:p>
            <w:pPr>
              <w:pStyle w:val="yTableNAm"/>
              <w:rPr>
                <w:szCs w:val="22"/>
              </w:rPr>
            </w:pPr>
            <w:r>
              <w:rPr>
                <w:szCs w:val="22"/>
              </w:rPr>
              <w:t>35.0 c/kg</w:t>
            </w:r>
          </w:p>
        </w:tc>
      </w:tr>
      <w:tr>
        <w:trPr>
          <w:cantSplit/>
        </w:trPr>
        <w:tc>
          <w:tcPr>
            <w:tcW w:w="850" w:type="dxa"/>
          </w:tcPr>
          <w:p>
            <w:pPr>
              <w:pStyle w:val="yTableNAm"/>
              <w:rPr>
                <w:szCs w:val="22"/>
              </w:rPr>
            </w:pPr>
          </w:p>
        </w:tc>
        <w:tc>
          <w:tcPr>
            <w:tcW w:w="4236" w:type="dxa"/>
          </w:tcPr>
          <w:p>
            <w:pPr>
              <w:pStyle w:val="yTableNAm"/>
              <w:keepNext/>
              <w:keepLines/>
              <w:tabs>
                <w:tab w:val="clear" w:pos="567"/>
                <w:tab w:val="left" w:pos="317"/>
                <w:tab w:val="left" w:pos="743"/>
                <w:tab w:val="right" w:leader="dot" w:pos="4253"/>
              </w:tabs>
              <w:ind w:left="743" w:hanging="709"/>
              <w:rPr>
                <w:szCs w:val="22"/>
              </w:rPr>
            </w:pPr>
            <w:r>
              <w:rPr>
                <w:szCs w:val="22"/>
              </w:rPr>
              <w:tab/>
              <w:t>(j)</w:t>
            </w:r>
            <w:r>
              <w:rPr>
                <w:szCs w:val="22"/>
              </w:rPr>
              <w:tab/>
              <w:t xml:space="preserve">for sulphate — </w:t>
            </w:r>
          </w:p>
        </w:tc>
        <w:tc>
          <w:tcPr>
            <w:tcW w:w="1576" w:type="dxa"/>
            <w:vAlign w:val="bottom"/>
          </w:tcPr>
          <w:p>
            <w:pPr>
              <w:pStyle w:val="yTableNAm"/>
              <w:rPr>
                <w:szCs w:val="22"/>
              </w:rPr>
            </w:pPr>
          </w:p>
        </w:tc>
      </w:tr>
      <w:tr>
        <w:trPr>
          <w:cantSplit/>
        </w:trPr>
        <w:tc>
          <w:tcPr>
            <w:tcW w:w="850" w:type="dxa"/>
          </w:tcPr>
          <w:p>
            <w:pPr>
              <w:pStyle w:val="yTableNAm"/>
              <w:rPr>
                <w:szCs w:val="22"/>
              </w:rPr>
            </w:pPr>
          </w:p>
        </w:tc>
        <w:tc>
          <w:tcPr>
            <w:tcW w:w="4236" w:type="dxa"/>
          </w:tcPr>
          <w:p>
            <w:pPr>
              <w:pStyle w:val="yTableNAm"/>
              <w:tabs>
                <w:tab w:val="clear" w:pos="567"/>
                <w:tab w:val="left" w:pos="743"/>
                <w:tab w:val="left" w:pos="1168"/>
                <w:tab w:val="right" w:leader="dot" w:pos="4253"/>
              </w:tabs>
              <w:ind w:left="1168" w:hanging="1168"/>
              <w:rPr>
                <w:szCs w:val="22"/>
              </w:rPr>
            </w:pPr>
            <w:r>
              <w:rPr>
                <w:szCs w:val="22"/>
              </w:rPr>
              <w:tab/>
              <w:t>(i)</w:t>
            </w:r>
            <w:r>
              <w:rPr>
                <w:szCs w:val="22"/>
              </w:rPr>
              <w:tab/>
              <w:t xml:space="preserve">with a concentration of up to 0.05 kg per kL </w:t>
            </w:r>
            <w:r>
              <w:rPr>
                <w:szCs w:val="22"/>
              </w:rPr>
              <w:tab/>
            </w:r>
          </w:p>
        </w:tc>
        <w:tc>
          <w:tcPr>
            <w:tcW w:w="1576" w:type="dxa"/>
            <w:vAlign w:val="bottom"/>
          </w:tcPr>
          <w:p>
            <w:pPr>
              <w:pStyle w:val="yTableNAm"/>
              <w:rPr>
                <w:szCs w:val="22"/>
              </w:rPr>
            </w:pPr>
            <w:r>
              <w:rPr>
                <w:szCs w:val="22"/>
              </w:rPr>
              <w:t>no charge</w:t>
            </w:r>
          </w:p>
        </w:tc>
      </w:tr>
      <w:tr>
        <w:trPr>
          <w:cantSplit/>
        </w:trPr>
        <w:tc>
          <w:tcPr>
            <w:tcW w:w="850" w:type="dxa"/>
          </w:tcPr>
          <w:p>
            <w:pPr>
              <w:pStyle w:val="yTableNAm"/>
              <w:rPr>
                <w:szCs w:val="22"/>
              </w:rPr>
            </w:pPr>
          </w:p>
        </w:tc>
        <w:tc>
          <w:tcPr>
            <w:tcW w:w="4236" w:type="dxa"/>
          </w:tcPr>
          <w:p>
            <w:pPr>
              <w:pStyle w:val="yTableNAm"/>
              <w:tabs>
                <w:tab w:val="clear" w:pos="567"/>
                <w:tab w:val="left" w:pos="743"/>
                <w:tab w:val="left" w:pos="1168"/>
                <w:tab w:val="right" w:leader="dot" w:pos="4253"/>
              </w:tabs>
              <w:ind w:left="1168" w:hanging="1168"/>
              <w:rPr>
                <w:szCs w:val="22"/>
              </w:rPr>
            </w:pPr>
            <w:r>
              <w:rPr>
                <w:szCs w:val="22"/>
              </w:rPr>
              <w:tab/>
              <w:t>(ii)</w:t>
            </w:r>
            <w:r>
              <w:rPr>
                <w:szCs w:val="22"/>
              </w:rPr>
              <w:tab/>
              <w:t xml:space="preserve">with a concentration of over 0.05 kg per kL </w:t>
            </w:r>
            <w:r>
              <w:rPr>
                <w:szCs w:val="22"/>
              </w:rPr>
              <w:tab/>
            </w:r>
          </w:p>
        </w:tc>
        <w:tc>
          <w:tcPr>
            <w:tcW w:w="1576" w:type="dxa"/>
            <w:vAlign w:val="bottom"/>
          </w:tcPr>
          <w:p>
            <w:pPr>
              <w:pStyle w:val="yTableNAm"/>
              <w:rPr>
                <w:szCs w:val="22"/>
              </w:rPr>
            </w:pPr>
            <w:r>
              <w:rPr>
                <w:szCs w:val="22"/>
              </w:rPr>
              <w:t>64.0 c/kg</w:t>
            </w:r>
          </w:p>
        </w:tc>
      </w:tr>
      <w:tr>
        <w:trPr>
          <w:cantSplit/>
        </w:trPr>
        <w:tc>
          <w:tcPr>
            <w:tcW w:w="850" w:type="dxa"/>
          </w:tcPr>
          <w:p>
            <w:pPr>
              <w:pStyle w:val="yTableNAm"/>
              <w:keepNext/>
              <w:rPr>
                <w:szCs w:val="22"/>
              </w:rPr>
            </w:pPr>
          </w:p>
        </w:tc>
        <w:tc>
          <w:tcPr>
            <w:tcW w:w="4236" w:type="dxa"/>
          </w:tcPr>
          <w:p>
            <w:pPr>
              <w:pStyle w:val="yTableNAm"/>
              <w:keepNext/>
              <w:keepLines/>
              <w:tabs>
                <w:tab w:val="clear" w:pos="567"/>
                <w:tab w:val="left" w:pos="317"/>
                <w:tab w:val="left" w:pos="743"/>
                <w:tab w:val="right" w:leader="dot" w:pos="4253"/>
              </w:tabs>
              <w:ind w:left="743" w:hanging="709"/>
              <w:rPr>
                <w:szCs w:val="22"/>
              </w:rPr>
            </w:pPr>
            <w:r>
              <w:rPr>
                <w:szCs w:val="22"/>
              </w:rPr>
              <w:tab/>
              <w:t>(k)</w:t>
            </w:r>
            <w:r>
              <w:rPr>
                <w:szCs w:val="22"/>
              </w:rPr>
              <w:tab/>
              <w:t xml:space="preserve">for total dissolved salts — </w:t>
            </w:r>
          </w:p>
        </w:tc>
        <w:tc>
          <w:tcPr>
            <w:tcW w:w="1576" w:type="dxa"/>
            <w:vAlign w:val="bottom"/>
          </w:tcPr>
          <w:p>
            <w:pPr>
              <w:pStyle w:val="yTableNAm"/>
              <w:keepNext/>
              <w:rPr>
                <w:szCs w:val="22"/>
              </w:rPr>
            </w:pPr>
          </w:p>
        </w:tc>
      </w:tr>
      <w:tr>
        <w:trPr>
          <w:cantSplit/>
        </w:trPr>
        <w:tc>
          <w:tcPr>
            <w:tcW w:w="850" w:type="dxa"/>
          </w:tcPr>
          <w:p>
            <w:pPr>
              <w:pStyle w:val="yTableNAm"/>
              <w:rPr>
                <w:szCs w:val="22"/>
              </w:rPr>
            </w:pPr>
          </w:p>
        </w:tc>
        <w:tc>
          <w:tcPr>
            <w:tcW w:w="4236" w:type="dxa"/>
          </w:tcPr>
          <w:p>
            <w:pPr>
              <w:pStyle w:val="yTableNAm"/>
              <w:tabs>
                <w:tab w:val="clear" w:pos="567"/>
                <w:tab w:val="left" w:pos="743"/>
                <w:tab w:val="left" w:pos="1168"/>
                <w:tab w:val="right" w:leader="dot" w:pos="4253"/>
              </w:tabs>
              <w:ind w:left="1168" w:hanging="1168"/>
              <w:rPr>
                <w:szCs w:val="22"/>
              </w:rPr>
            </w:pPr>
            <w:r>
              <w:rPr>
                <w:szCs w:val="22"/>
              </w:rPr>
              <w:tab/>
              <w:t>(i)</w:t>
            </w:r>
            <w:r>
              <w:rPr>
                <w:szCs w:val="22"/>
              </w:rPr>
              <w:tab/>
              <w:t xml:space="preserve">with a concentration of up to 1 kg per kL </w:t>
            </w:r>
            <w:r>
              <w:rPr>
                <w:szCs w:val="22"/>
              </w:rPr>
              <w:tab/>
            </w:r>
          </w:p>
        </w:tc>
        <w:tc>
          <w:tcPr>
            <w:tcW w:w="1576" w:type="dxa"/>
            <w:vAlign w:val="bottom"/>
          </w:tcPr>
          <w:p>
            <w:pPr>
              <w:pStyle w:val="yTableNAm"/>
              <w:rPr>
                <w:szCs w:val="22"/>
              </w:rPr>
            </w:pPr>
            <w:r>
              <w:rPr>
                <w:szCs w:val="22"/>
              </w:rPr>
              <w:t>no charge</w:t>
            </w:r>
          </w:p>
        </w:tc>
      </w:tr>
      <w:tr>
        <w:trPr>
          <w:cantSplit/>
        </w:trPr>
        <w:tc>
          <w:tcPr>
            <w:tcW w:w="850" w:type="dxa"/>
          </w:tcPr>
          <w:p>
            <w:pPr>
              <w:pStyle w:val="yTableNAm"/>
              <w:rPr>
                <w:szCs w:val="22"/>
              </w:rPr>
            </w:pPr>
          </w:p>
        </w:tc>
        <w:tc>
          <w:tcPr>
            <w:tcW w:w="4236" w:type="dxa"/>
          </w:tcPr>
          <w:p>
            <w:pPr>
              <w:pStyle w:val="yTableNAm"/>
              <w:tabs>
                <w:tab w:val="clear" w:pos="567"/>
                <w:tab w:val="left" w:pos="743"/>
                <w:tab w:val="left" w:pos="1168"/>
                <w:tab w:val="right" w:leader="dot" w:pos="4253"/>
              </w:tabs>
              <w:ind w:left="1168" w:hanging="1168"/>
              <w:rPr>
                <w:szCs w:val="22"/>
              </w:rPr>
            </w:pPr>
            <w:r>
              <w:rPr>
                <w:szCs w:val="22"/>
              </w:rPr>
              <w:tab/>
              <w:t>(ii)</w:t>
            </w:r>
            <w:r>
              <w:rPr>
                <w:szCs w:val="22"/>
              </w:rPr>
              <w:tab/>
              <w:t xml:space="preserve">with a concentration over 1 kg per kL but not over 3 kg per kL </w:t>
            </w:r>
            <w:r>
              <w:rPr>
                <w:szCs w:val="22"/>
              </w:rPr>
              <w:tab/>
            </w:r>
          </w:p>
        </w:tc>
        <w:tc>
          <w:tcPr>
            <w:tcW w:w="1576" w:type="dxa"/>
            <w:vAlign w:val="bottom"/>
          </w:tcPr>
          <w:p>
            <w:pPr>
              <w:pStyle w:val="yTableNAm"/>
              <w:rPr>
                <w:szCs w:val="22"/>
              </w:rPr>
            </w:pPr>
            <w:r>
              <w:rPr>
                <w:szCs w:val="22"/>
              </w:rPr>
              <w:t>0.1 c/kg</w:t>
            </w:r>
          </w:p>
        </w:tc>
      </w:tr>
      <w:tr>
        <w:trPr>
          <w:cantSplit/>
        </w:trPr>
        <w:tc>
          <w:tcPr>
            <w:tcW w:w="850" w:type="dxa"/>
          </w:tcPr>
          <w:p>
            <w:pPr>
              <w:pStyle w:val="yTableNAm"/>
              <w:rPr>
                <w:szCs w:val="22"/>
              </w:rPr>
            </w:pPr>
          </w:p>
        </w:tc>
        <w:tc>
          <w:tcPr>
            <w:tcW w:w="4236" w:type="dxa"/>
          </w:tcPr>
          <w:p>
            <w:pPr>
              <w:pStyle w:val="yTableNAm"/>
              <w:tabs>
                <w:tab w:val="clear" w:pos="567"/>
                <w:tab w:val="left" w:pos="743"/>
                <w:tab w:val="left" w:pos="1168"/>
                <w:tab w:val="right" w:leader="dot" w:pos="4253"/>
              </w:tabs>
              <w:ind w:left="1168" w:hanging="1168"/>
              <w:rPr>
                <w:szCs w:val="22"/>
              </w:rPr>
            </w:pPr>
            <w:r>
              <w:rPr>
                <w:szCs w:val="22"/>
              </w:rPr>
              <w:tab/>
              <w:t>(iii)</w:t>
            </w:r>
            <w:r>
              <w:rPr>
                <w:szCs w:val="22"/>
              </w:rPr>
              <w:tab/>
              <w:t xml:space="preserve">with a concentration over 3 kg per kL but not over 6 kg per kL </w:t>
            </w:r>
            <w:r>
              <w:rPr>
                <w:szCs w:val="22"/>
              </w:rPr>
              <w:tab/>
            </w:r>
          </w:p>
        </w:tc>
        <w:tc>
          <w:tcPr>
            <w:tcW w:w="1576" w:type="dxa"/>
            <w:vAlign w:val="bottom"/>
          </w:tcPr>
          <w:p>
            <w:pPr>
              <w:pStyle w:val="yTableNAm"/>
              <w:rPr>
                <w:szCs w:val="22"/>
              </w:rPr>
            </w:pPr>
            <w:r>
              <w:rPr>
                <w:szCs w:val="22"/>
              </w:rPr>
              <w:t>3.7 c/kg</w:t>
            </w:r>
          </w:p>
        </w:tc>
      </w:tr>
      <w:tr>
        <w:trPr>
          <w:cantSplit/>
        </w:trPr>
        <w:tc>
          <w:tcPr>
            <w:tcW w:w="850" w:type="dxa"/>
          </w:tcPr>
          <w:p>
            <w:pPr>
              <w:pStyle w:val="yTableNAm"/>
              <w:rPr>
                <w:szCs w:val="22"/>
              </w:rPr>
            </w:pPr>
          </w:p>
        </w:tc>
        <w:tc>
          <w:tcPr>
            <w:tcW w:w="4236" w:type="dxa"/>
          </w:tcPr>
          <w:p>
            <w:pPr>
              <w:pStyle w:val="yTableNAm"/>
              <w:tabs>
                <w:tab w:val="clear" w:pos="567"/>
                <w:tab w:val="left" w:pos="743"/>
                <w:tab w:val="left" w:pos="1168"/>
                <w:tab w:val="right" w:leader="dot" w:pos="4253"/>
              </w:tabs>
              <w:ind w:left="1168" w:hanging="1168"/>
              <w:rPr>
                <w:szCs w:val="22"/>
              </w:rPr>
            </w:pPr>
            <w:r>
              <w:rPr>
                <w:szCs w:val="22"/>
              </w:rPr>
              <w:tab/>
              <w:t>(iv)</w:t>
            </w:r>
            <w:r>
              <w:rPr>
                <w:szCs w:val="22"/>
              </w:rPr>
              <w:tab/>
              <w:t xml:space="preserve">with a concentration of over 6 kg per kL </w:t>
            </w:r>
            <w:r>
              <w:rPr>
                <w:szCs w:val="22"/>
              </w:rPr>
              <w:tab/>
            </w:r>
          </w:p>
        </w:tc>
        <w:tc>
          <w:tcPr>
            <w:tcW w:w="1576" w:type="dxa"/>
            <w:vAlign w:val="bottom"/>
          </w:tcPr>
          <w:p>
            <w:pPr>
              <w:pStyle w:val="yTableNAm"/>
              <w:rPr>
                <w:szCs w:val="22"/>
              </w:rPr>
            </w:pPr>
            <w:r>
              <w:rPr>
                <w:szCs w:val="22"/>
              </w:rPr>
              <w:t>12.8 c/kg</w:t>
            </w:r>
          </w:p>
        </w:tc>
      </w:tr>
      <w:tr>
        <w:trPr>
          <w:cantSplit/>
        </w:trPr>
        <w:tc>
          <w:tcPr>
            <w:tcW w:w="850" w:type="dxa"/>
          </w:tcPr>
          <w:p>
            <w:pPr>
              <w:pStyle w:val="yTableNAm"/>
              <w:rPr>
                <w:szCs w:val="22"/>
              </w:rPr>
            </w:pPr>
          </w:p>
        </w:tc>
        <w:tc>
          <w:tcPr>
            <w:tcW w:w="4236" w:type="dxa"/>
          </w:tcPr>
          <w:p>
            <w:pPr>
              <w:pStyle w:val="yTableNAm"/>
              <w:keepNext/>
              <w:keepLines/>
              <w:tabs>
                <w:tab w:val="clear" w:pos="567"/>
                <w:tab w:val="left" w:pos="317"/>
                <w:tab w:val="left" w:pos="743"/>
                <w:tab w:val="right" w:leader="dot" w:pos="4253"/>
              </w:tabs>
              <w:ind w:left="743" w:hanging="709"/>
              <w:rPr>
                <w:szCs w:val="22"/>
              </w:rPr>
            </w:pPr>
            <w:r>
              <w:rPr>
                <w:szCs w:val="22"/>
              </w:rPr>
              <w:tab/>
              <w:t>(l)</w:t>
            </w:r>
            <w:r>
              <w:rPr>
                <w:szCs w:val="22"/>
              </w:rPr>
              <w:tab/>
              <w:t xml:space="preserve">for chromium — </w:t>
            </w:r>
          </w:p>
        </w:tc>
        <w:tc>
          <w:tcPr>
            <w:tcW w:w="1576" w:type="dxa"/>
            <w:vAlign w:val="bottom"/>
          </w:tcPr>
          <w:p>
            <w:pPr>
              <w:pStyle w:val="yTableNAm"/>
              <w:rPr>
                <w:szCs w:val="22"/>
              </w:rPr>
            </w:pPr>
          </w:p>
        </w:tc>
      </w:tr>
      <w:tr>
        <w:trPr>
          <w:cantSplit/>
        </w:trPr>
        <w:tc>
          <w:tcPr>
            <w:tcW w:w="850" w:type="dxa"/>
          </w:tcPr>
          <w:p>
            <w:pPr>
              <w:pStyle w:val="yTableNAm"/>
              <w:rPr>
                <w:szCs w:val="22"/>
              </w:rPr>
            </w:pPr>
          </w:p>
        </w:tc>
        <w:tc>
          <w:tcPr>
            <w:tcW w:w="4236" w:type="dxa"/>
          </w:tcPr>
          <w:p>
            <w:pPr>
              <w:pStyle w:val="yTableNAm"/>
              <w:tabs>
                <w:tab w:val="clear" w:pos="567"/>
                <w:tab w:val="left" w:pos="743"/>
                <w:tab w:val="left" w:pos="1168"/>
                <w:tab w:val="right" w:leader="dot" w:pos="4253"/>
              </w:tabs>
              <w:ind w:left="1168" w:hanging="1168"/>
              <w:rPr>
                <w:szCs w:val="22"/>
              </w:rPr>
            </w:pPr>
            <w:r>
              <w:rPr>
                <w:szCs w:val="22"/>
              </w:rPr>
              <w:tab/>
              <w:t>(i)</w:t>
            </w:r>
            <w:r>
              <w:rPr>
                <w:szCs w:val="22"/>
              </w:rPr>
              <w:tab/>
              <w:t xml:space="preserve">with a concentration of up to 0.03 kg per day </w:t>
            </w:r>
            <w:r>
              <w:rPr>
                <w:szCs w:val="22"/>
              </w:rPr>
              <w:tab/>
            </w:r>
          </w:p>
        </w:tc>
        <w:tc>
          <w:tcPr>
            <w:tcW w:w="1576" w:type="dxa"/>
            <w:vAlign w:val="bottom"/>
          </w:tcPr>
          <w:p>
            <w:pPr>
              <w:pStyle w:val="yTableNAm"/>
              <w:rPr>
                <w:szCs w:val="22"/>
              </w:rPr>
            </w:pPr>
            <w:r>
              <w:rPr>
                <w:szCs w:val="22"/>
              </w:rPr>
              <w:t>1005.0 c/kg</w:t>
            </w:r>
          </w:p>
        </w:tc>
      </w:tr>
      <w:tr>
        <w:trPr>
          <w:cantSplit/>
        </w:trPr>
        <w:tc>
          <w:tcPr>
            <w:tcW w:w="850" w:type="dxa"/>
          </w:tcPr>
          <w:p>
            <w:pPr>
              <w:pStyle w:val="yTableNAm"/>
              <w:rPr>
                <w:szCs w:val="22"/>
              </w:rPr>
            </w:pPr>
          </w:p>
        </w:tc>
        <w:tc>
          <w:tcPr>
            <w:tcW w:w="4236" w:type="dxa"/>
          </w:tcPr>
          <w:p>
            <w:pPr>
              <w:pStyle w:val="yTableNAm"/>
              <w:tabs>
                <w:tab w:val="clear" w:pos="567"/>
                <w:tab w:val="left" w:pos="743"/>
                <w:tab w:val="left" w:pos="1168"/>
                <w:tab w:val="right" w:leader="dot" w:pos="4253"/>
              </w:tabs>
              <w:ind w:left="1168" w:hanging="1168"/>
              <w:rPr>
                <w:szCs w:val="22"/>
              </w:rPr>
            </w:pPr>
            <w:r>
              <w:rPr>
                <w:szCs w:val="22"/>
              </w:rPr>
              <w:tab/>
              <w:t>(ii)</w:t>
            </w:r>
            <w:r>
              <w:rPr>
                <w:szCs w:val="22"/>
              </w:rPr>
              <w:tab/>
              <w:t xml:space="preserve">with a concentration over 0.03 kg per day but not over 1 kg per day </w:t>
            </w:r>
            <w:r>
              <w:rPr>
                <w:szCs w:val="22"/>
              </w:rPr>
              <w:tab/>
            </w:r>
          </w:p>
        </w:tc>
        <w:tc>
          <w:tcPr>
            <w:tcW w:w="1576" w:type="dxa"/>
            <w:vAlign w:val="bottom"/>
          </w:tcPr>
          <w:p>
            <w:pPr>
              <w:pStyle w:val="yTableNAm"/>
              <w:rPr>
                <w:szCs w:val="22"/>
              </w:rPr>
            </w:pPr>
            <w:r>
              <w:rPr>
                <w:szCs w:val="22"/>
              </w:rPr>
              <w:t>2005.0 c/kg</w:t>
            </w:r>
          </w:p>
        </w:tc>
      </w:tr>
      <w:tr>
        <w:trPr>
          <w:cantSplit/>
        </w:trPr>
        <w:tc>
          <w:tcPr>
            <w:tcW w:w="850" w:type="dxa"/>
          </w:tcPr>
          <w:p>
            <w:pPr>
              <w:pStyle w:val="yTableNAm"/>
              <w:rPr>
                <w:szCs w:val="22"/>
              </w:rPr>
            </w:pPr>
          </w:p>
        </w:tc>
        <w:tc>
          <w:tcPr>
            <w:tcW w:w="4236" w:type="dxa"/>
          </w:tcPr>
          <w:p>
            <w:pPr>
              <w:pStyle w:val="yTableNAm"/>
              <w:tabs>
                <w:tab w:val="clear" w:pos="567"/>
                <w:tab w:val="left" w:pos="743"/>
                <w:tab w:val="left" w:pos="1168"/>
                <w:tab w:val="right" w:leader="dot" w:pos="4253"/>
              </w:tabs>
              <w:ind w:left="1168" w:hanging="1168"/>
              <w:rPr>
                <w:szCs w:val="22"/>
              </w:rPr>
            </w:pPr>
            <w:r>
              <w:rPr>
                <w:szCs w:val="22"/>
              </w:rPr>
              <w:tab/>
              <w:t>(iii)</w:t>
            </w:r>
            <w:r>
              <w:rPr>
                <w:szCs w:val="22"/>
              </w:rPr>
              <w:tab/>
              <w:t xml:space="preserve">with a concentration of over 1 kg per day </w:t>
            </w:r>
            <w:r>
              <w:rPr>
                <w:szCs w:val="22"/>
              </w:rPr>
              <w:tab/>
            </w:r>
          </w:p>
        </w:tc>
        <w:tc>
          <w:tcPr>
            <w:tcW w:w="1576" w:type="dxa"/>
            <w:vAlign w:val="bottom"/>
          </w:tcPr>
          <w:p>
            <w:pPr>
              <w:pStyle w:val="yTableNAm"/>
              <w:rPr>
                <w:szCs w:val="22"/>
              </w:rPr>
            </w:pPr>
            <w:r>
              <w:rPr>
                <w:szCs w:val="22"/>
              </w:rPr>
              <w:t>8030.0 c/kg</w:t>
            </w:r>
          </w:p>
        </w:tc>
      </w:tr>
      <w:tr>
        <w:trPr>
          <w:cantSplit/>
        </w:trPr>
        <w:tc>
          <w:tcPr>
            <w:tcW w:w="850" w:type="dxa"/>
          </w:tcPr>
          <w:p>
            <w:pPr>
              <w:pStyle w:val="yTableNAm"/>
              <w:rPr>
                <w:szCs w:val="22"/>
              </w:rPr>
            </w:pPr>
          </w:p>
        </w:tc>
        <w:tc>
          <w:tcPr>
            <w:tcW w:w="4236" w:type="dxa"/>
          </w:tcPr>
          <w:p>
            <w:pPr>
              <w:pStyle w:val="yTableNAm"/>
              <w:keepNext/>
              <w:keepLines/>
              <w:tabs>
                <w:tab w:val="clear" w:pos="567"/>
                <w:tab w:val="left" w:pos="317"/>
                <w:tab w:val="left" w:pos="743"/>
                <w:tab w:val="right" w:leader="dot" w:pos="4253"/>
              </w:tabs>
              <w:ind w:left="743" w:hanging="709"/>
              <w:rPr>
                <w:szCs w:val="22"/>
              </w:rPr>
            </w:pPr>
            <w:r>
              <w:rPr>
                <w:szCs w:val="22"/>
              </w:rPr>
              <w:tab/>
              <w:t>(m)</w:t>
            </w:r>
            <w:r>
              <w:rPr>
                <w:szCs w:val="22"/>
              </w:rPr>
              <w:tab/>
              <w:t xml:space="preserve">for copper — </w:t>
            </w:r>
          </w:p>
        </w:tc>
        <w:tc>
          <w:tcPr>
            <w:tcW w:w="1576" w:type="dxa"/>
            <w:vAlign w:val="bottom"/>
          </w:tcPr>
          <w:p>
            <w:pPr>
              <w:pStyle w:val="yTableNAm"/>
              <w:rPr>
                <w:szCs w:val="22"/>
              </w:rPr>
            </w:pPr>
          </w:p>
        </w:tc>
      </w:tr>
      <w:tr>
        <w:trPr>
          <w:cantSplit/>
        </w:trPr>
        <w:tc>
          <w:tcPr>
            <w:tcW w:w="850" w:type="dxa"/>
          </w:tcPr>
          <w:p>
            <w:pPr>
              <w:pStyle w:val="yTableNAm"/>
              <w:rPr>
                <w:szCs w:val="22"/>
              </w:rPr>
            </w:pPr>
          </w:p>
        </w:tc>
        <w:tc>
          <w:tcPr>
            <w:tcW w:w="4236" w:type="dxa"/>
          </w:tcPr>
          <w:p>
            <w:pPr>
              <w:pStyle w:val="yTableNAm"/>
              <w:tabs>
                <w:tab w:val="clear" w:pos="567"/>
                <w:tab w:val="left" w:pos="743"/>
                <w:tab w:val="left" w:pos="1168"/>
                <w:tab w:val="right" w:leader="dot" w:pos="4253"/>
              </w:tabs>
              <w:ind w:left="1168" w:hanging="1168"/>
              <w:rPr>
                <w:szCs w:val="22"/>
              </w:rPr>
            </w:pPr>
            <w:r>
              <w:rPr>
                <w:szCs w:val="22"/>
              </w:rPr>
              <w:tab/>
              <w:t>(i)</w:t>
            </w:r>
            <w:r>
              <w:rPr>
                <w:szCs w:val="22"/>
              </w:rPr>
              <w:tab/>
              <w:t xml:space="preserve">with a concentration of up to 0.03 kg per day </w:t>
            </w:r>
            <w:r>
              <w:rPr>
                <w:szCs w:val="22"/>
              </w:rPr>
              <w:tab/>
            </w:r>
          </w:p>
        </w:tc>
        <w:tc>
          <w:tcPr>
            <w:tcW w:w="1576" w:type="dxa"/>
            <w:vAlign w:val="bottom"/>
          </w:tcPr>
          <w:p>
            <w:pPr>
              <w:pStyle w:val="yTableNAm"/>
              <w:rPr>
                <w:szCs w:val="22"/>
              </w:rPr>
            </w:pPr>
            <w:r>
              <w:rPr>
                <w:szCs w:val="22"/>
              </w:rPr>
              <w:t>1005.0 c/kg</w:t>
            </w:r>
          </w:p>
        </w:tc>
      </w:tr>
      <w:tr>
        <w:trPr>
          <w:cantSplit/>
        </w:trPr>
        <w:tc>
          <w:tcPr>
            <w:tcW w:w="850" w:type="dxa"/>
          </w:tcPr>
          <w:p>
            <w:pPr>
              <w:pStyle w:val="yTableNAm"/>
              <w:rPr>
                <w:szCs w:val="22"/>
              </w:rPr>
            </w:pPr>
          </w:p>
        </w:tc>
        <w:tc>
          <w:tcPr>
            <w:tcW w:w="4236" w:type="dxa"/>
          </w:tcPr>
          <w:p>
            <w:pPr>
              <w:pStyle w:val="yTableNAm"/>
              <w:tabs>
                <w:tab w:val="clear" w:pos="567"/>
                <w:tab w:val="left" w:pos="743"/>
                <w:tab w:val="left" w:pos="1168"/>
                <w:tab w:val="right" w:leader="dot" w:pos="4253"/>
              </w:tabs>
              <w:ind w:left="1168" w:hanging="1168"/>
              <w:rPr>
                <w:szCs w:val="22"/>
              </w:rPr>
            </w:pPr>
            <w:r>
              <w:rPr>
                <w:szCs w:val="22"/>
              </w:rPr>
              <w:tab/>
              <w:t>(ii)</w:t>
            </w:r>
            <w:r>
              <w:rPr>
                <w:szCs w:val="22"/>
              </w:rPr>
              <w:tab/>
              <w:t xml:space="preserve">with a concentration over 0.03 kg per day but not over 0.12 kg per day </w:t>
            </w:r>
            <w:r>
              <w:rPr>
                <w:szCs w:val="22"/>
              </w:rPr>
              <w:tab/>
            </w:r>
          </w:p>
        </w:tc>
        <w:tc>
          <w:tcPr>
            <w:tcW w:w="1576" w:type="dxa"/>
            <w:vAlign w:val="bottom"/>
          </w:tcPr>
          <w:p>
            <w:pPr>
              <w:pStyle w:val="yTableNAm"/>
              <w:rPr>
                <w:szCs w:val="22"/>
              </w:rPr>
            </w:pPr>
            <w:r>
              <w:rPr>
                <w:szCs w:val="22"/>
              </w:rPr>
              <w:t>2005.0 c/kg</w:t>
            </w:r>
          </w:p>
        </w:tc>
      </w:tr>
      <w:tr>
        <w:trPr>
          <w:cantSplit/>
        </w:trPr>
        <w:tc>
          <w:tcPr>
            <w:tcW w:w="850" w:type="dxa"/>
          </w:tcPr>
          <w:p>
            <w:pPr>
              <w:pStyle w:val="yTableNAm"/>
              <w:rPr>
                <w:szCs w:val="22"/>
              </w:rPr>
            </w:pPr>
          </w:p>
        </w:tc>
        <w:tc>
          <w:tcPr>
            <w:tcW w:w="4236" w:type="dxa"/>
          </w:tcPr>
          <w:p>
            <w:pPr>
              <w:pStyle w:val="yTableNAm"/>
              <w:tabs>
                <w:tab w:val="clear" w:pos="567"/>
                <w:tab w:val="left" w:pos="743"/>
                <w:tab w:val="left" w:pos="1168"/>
                <w:tab w:val="right" w:leader="dot" w:pos="4253"/>
              </w:tabs>
              <w:ind w:left="1168" w:hanging="1168"/>
              <w:rPr>
                <w:szCs w:val="22"/>
              </w:rPr>
            </w:pPr>
            <w:r>
              <w:rPr>
                <w:szCs w:val="22"/>
              </w:rPr>
              <w:tab/>
              <w:t>(iii)</w:t>
            </w:r>
            <w:r>
              <w:rPr>
                <w:szCs w:val="22"/>
              </w:rPr>
              <w:tab/>
              <w:t xml:space="preserve">with a concentration of over 0.12 kg per day </w:t>
            </w:r>
            <w:r>
              <w:rPr>
                <w:szCs w:val="22"/>
              </w:rPr>
              <w:tab/>
            </w:r>
          </w:p>
        </w:tc>
        <w:tc>
          <w:tcPr>
            <w:tcW w:w="1576" w:type="dxa"/>
            <w:vAlign w:val="bottom"/>
          </w:tcPr>
          <w:p>
            <w:pPr>
              <w:pStyle w:val="yTableNAm"/>
              <w:rPr>
                <w:szCs w:val="22"/>
              </w:rPr>
            </w:pPr>
            <w:r>
              <w:rPr>
                <w:szCs w:val="22"/>
              </w:rPr>
              <w:t>8030.0 c/kg</w:t>
            </w:r>
          </w:p>
        </w:tc>
      </w:tr>
      <w:tr>
        <w:trPr>
          <w:cantSplit/>
        </w:trPr>
        <w:tc>
          <w:tcPr>
            <w:tcW w:w="850" w:type="dxa"/>
          </w:tcPr>
          <w:p>
            <w:pPr>
              <w:pStyle w:val="yTableNAm"/>
              <w:rPr>
                <w:szCs w:val="22"/>
              </w:rPr>
            </w:pPr>
          </w:p>
        </w:tc>
        <w:tc>
          <w:tcPr>
            <w:tcW w:w="4236" w:type="dxa"/>
          </w:tcPr>
          <w:p>
            <w:pPr>
              <w:pStyle w:val="yTableNAm"/>
              <w:keepNext/>
              <w:keepLines/>
              <w:tabs>
                <w:tab w:val="clear" w:pos="567"/>
                <w:tab w:val="left" w:pos="317"/>
                <w:tab w:val="left" w:pos="743"/>
                <w:tab w:val="right" w:leader="dot" w:pos="4253"/>
              </w:tabs>
              <w:ind w:left="743" w:hanging="709"/>
              <w:rPr>
                <w:szCs w:val="22"/>
              </w:rPr>
            </w:pPr>
            <w:r>
              <w:rPr>
                <w:szCs w:val="22"/>
              </w:rPr>
              <w:tab/>
              <w:t>(n)</w:t>
            </w:r>
            <w:r>
              <w:rPr>
                <w:szCs w:val="22"/>
              </w:rPr>
              <w:tab/>
              <w:t xml:space="preserve">for lead — </w:t>
            </w:r>
          </w:p>
        </w:tc>
        <w:tc>
          <w:tcPr>
            <w:tcW w:w="1576" w:type="dxa"/>
            <w:vAlign w:val="bottom"/>
          </w:tcPr>
          <w:p>
            <w:pPr>
              <w:pStyle w:val="yTableNAm"/>
              <w:rPr>
                <w:szCs w:val="22"/>
              </w:rPr>
            </w:pPr>
          </w:p>
        </w:tc>
      </w:tr>
      <w:tr>
        <w:trPr>
          <w:cantSplit/>
        </w:trPr>
        <w:tc>
          <w:tcPr>
            <w:tcW w:w="850" w:type="dxa"/>
          </w:tcPr>
          <w:p>
            <w:pPr>
              <w:pStyle w:val="yTableNAm"/>
              <w:rPr>
                <w:szCs w:val="22"/>
              </w:rPr>
            </w:pPr>
          </w:p>
        </w:tc>
        <w:tc>
          <w:tcPr>
            <w:tcW w:w="4236" w:type="dxa"/>
          </w:tcPr>
          <w:p>
            <w:pPr>
              <w:pStyle w:val="yTableNAm"/>
              <w:tabs>
                <w:tab w:val="clear" w:pos="567"/>
                <w:tab w:val="left" w:pos="743"/>
                <w:tab w:val="left" w:pos="1168"/>
                <w:tab w:val="right" w:leader="dot" w:pos="4253"/>
              </w:tabs>
              <w:ind w:left="1168" w:hanging="1168"/>
              <w:rPr>
                <w:szCs w:val="22"/>
              </w:rPr>
            </w:pPr>
            <w:r>
              <w:rPr>
                <w:szCs w:val="22"/>
              </w:rPr>
              <w:tab/>
              <w:t>(i)</w:t>
            </w:r>
            <w:r>
              <w:rPr>
                <w:szCs w:val="22"/>
              </w:rPr>
              <w:tab/>
              <w:t xml:space="preserve">with a concentration of up to 0.03 kg per day </w:t>
            </w:r>
            <w:r>
              <w:rPr>
                <w:szCs w:val="22"/>
              </w:rPr>
              <w:tab/>
            </w:r>
          </w:p>
        </w:tc>
        <w:tc>
          <w:tcPr>
            <w:tcW w:w="1576" w:type="dxa"/>
            <w:vAlign w:val="bottom"/>
          </w:tcPr>
          <w:p>
            <w:pPr>
              <w:pStyle w:val="yTableNAm"/>
              <w:rPr>
                <w:szCs w:val="22"/>
              </w:rPr>
            </w:pPr>
            <w:r>
              <w:rPr>
                <w:szCs w:val="22"/>
              </w:rPr>
              <w:t>1005.0 c/kg</w:t>
            </w:r>
          </w:p>
        </w:tc>
      </w:tr>
      <w:tr>
        <w:trPr>
          <w:cantSplit/>
        </w:trPr>
        <w:tc>
          <w:tcPr>
            <w:tcW w:w="850" w:type="dxa"/>
          </w:tcPr>
          <w:p>
            <w:pPr>
              <w:pStyle w:val="yTableNAm"/>
              <w:rPr>
                <w:szCs w:val="22"/>
              </w:rPr>
            </w:pPr>
          </w:p>
        </w:tc>
        <w:tc>
          <w:tcPr>
            <w:tcW w:w="4236" w:type="dxa"/>
          </w:tcPr>
          <w:p>
            <w:pPr>
              <w:pStyle w:val="yTableNAm"/>
              <w:tabs>
                <w:tab w:val="clear" w:pos="567"/>
                <w:tab w:val="left" w:pos="743"/>
                <w:tab w:val="left" w:pos="1168"/>
                <w:tab w:val="right" w:leader="dot" w:pos="4253"/>
              </w:tabs>
              <w:ind w:left="1168" w:hanging="1168"/>
              <w:rPr>
                <w:szCs w:val="22"/>
              </w:rPr>
            </w:pPr>
            <w:r>
              <w:rPr>
                <w:szCs w:val="22"/>
              </w:rPr>
              <w:tab/>
              <w:t>(ii)</w:t>
            </w:r>
            <w:r>
              <w:rPr>
                <w:szCs w:val="22"/>
              </w:rPr>
              <w:tab/>
              <w:t xml:space="preserve">with a concentration over 0.03 kg per day but not over 0.3 kg per day </w:t>
            </w:r>
            <w:r>
              <w:rPr>
                <w:szCs w:val="22"/>
              </w:rPr>
              <w:tab/>
            </w:r>
          </w:p>
        </w:tc>
        <w:tc>
          <w:tcPr>
            <w:tcW w:w="1576" w:type="dxa"/>
            <w:vAlign w:val="bottom"/>
          </w:tcPr>
          <w:p>
            <w:pPr>
              <w:pStyle w:val="yTableNAm"/>
              <w:rPr>
                <w:szCs w:val="22"/>
              </w:rPr>
            </w:pPr>
            <w:r>
              <w:rPr>
                <w:szCs w:val="22"/>
              </w:rPr>
              <w:t>2005.0 c/kg</w:t>
            </w:r>
          </w:p>
        </w:tc>
      </w:tr>
      <w:tr>
        <w:trPr>
          <w:cantSplit/>
        </w:trPr>
        <w:tc>
          <w:tcPr>
            <w:tcW w:w="850" w:type="dxa"/>
          </w:tcPr>
          <w:p>
            <w:pPr>
              <w:pStyle w:val="yTableNAm"/>
              <w:rPr>
                <w:szCs w:val="22"/>
              </w:rPr>
            </w:pPr>
          </w:p>
        </w:tc>
        <w:tc>
          <w:tcPr>
            <w:tcW w:w="4236" w:type="dxa"/>
          </w:tcPr>
          <w:p>
            <w:pPr>
              <w:pStyle w:val="yTableNAm"/>
              <w:tabs>
                <w:tab w:val="clear" w:pos="567"/>
                <w:tab w:val="left" w:pos="743"/>
                <w:tab w:val="left" w:pos="1168"/>
                <w:tab w:val="right" w:leader="dot" w:pos="4253"/>
              </w:tabs>
              <w:ind w:left="1168" w:hanging="1168"/>
              <w:rPr>
                <w:szCs w:val="22"/>
              </w:rPr>
            </w:pPr>
            <w:r>
              <w:rPr>
                <w:szCs w:val="22"/>
              </w:rPr>
              <w:tab/>
              <w:t>(iii)</w:t>
            </w:r>
            <w:r>
              <w:rPr>
                <w:szCs w:val="22"/>
              </w:rPr>
              <w:tab/>
              <w:t xml:space="preserve">with a concentration of over 0.3 kg per day </w:t>
            </w:r>
            <w:r>
              <w:rPr>
                <w:szCs w:val="22"/>
              </w:rPr>
              <w:tab/>
            </w:r>
          </w:p>
        </w:tc>
        <w:tc>
          <w:tcPr>
            <w:tcW w:w="1576" w:type="dxa"/>
            <w:vAlign w:val="bottom"/>
          </w:tcPr>
          <w:p>
            <w:pPr>
              <w:pStyle w:val="yTableNAm"/>
              <w:rPr>
                <w:szCs w:val="22"/>
              </w:rPr>
            </w:pPr>
            <w:r>
              <w:rPr>
                <w:szCs w:val="22"/>
              </w:rPr>
              <w:t>8030.0 c/kg</w:t>
            </w:r>
          </w:p>
        </w:tc>
      </w:tr>
      <w:tr>
        <w:trPr>
          <w:cantSplit/>
        </w:trPr>
        <w:tc>
          <w:tcPr>
            <w:tcW w:w="850" w:type="dxa"/>
          </w:tcPr>
          <w:p>
            <w:pPr>
              <w:pStyle w:val="yTableNAm"/>
              <w:rPr>
                <w:szCs w:val="22"/>
              </w:rPr>
            </w:pPr>
          </w:p>
        </w:tc>
        <w:tc>
          <w:tcPr>
            <w:tcW w:w="4236" w:type="dxa"/>
          </w:tcPr>
          <w:p>
            <w:pPr>
              <w:pStyle w:val="yTableNAm"/>
              <w:keepNext/>
              <w:keepLines/>
              <w:tabs>
                <w:tab w:val="clear" w:pos="567"/>
                <w:tab w:val="left" w:pos="317"/>
                <w:tab w:val="left" w:pos="743"/>
                <w:tab w:val="right" w:leader="dot" w:pos="4253"/>
              </w:tabs>
              <w:ind w:left="743" w:hanging="709"/>
              <w:rPr>
                <w:szCs w:val="22"/>
              </w:rPr>
            </w:pPr>
            <w:r>
              <w:rPr>
                <w:szCs w:val="22"/>
              </w:rPr>
              <w:tab/>
              <w:t>(o)</w:t>
            </w:r>
            <w:r>
              <w:rPr>
                <w:szCs w:val="22"/>
              </w:rPr>
              <w:tab/>
              <w:t xml:space="preserve">for nickel — </w:t>
            </w:r>
          </w:p>
        </w:tc>
        <w:tc>
          <w:tcPr>
            <w:tcW w:w="1576" w:type="dxa"/>
            <w:vAlign w:val="bottom"/>
          </w:tcPr>
          <w:p>
            <w:pPr>
              <w:pStyle w:val="yTableNAm"/>
              <w:rPr>
                <w:szCs w:val="22"/>
              </w:rPr>
            </w:pPr>
          </w:p>
        </w:tc>
      </w:tr>
      <w:tr>
        <w:trPr>
          <w:cantSplit/>
        </w:trPr>
        <w:tc>
          <w:tcPr>
            <w:tcW w:w="850" w:type="dxa"/>
          </w:tcPr>
          <w:p>
            <w:pPr>
              <w:pStyle w:val="yTableNAm"/>
              <w:rPr>
                <w:szCs w:val="22"/>
              </w:rPr>
            </w:pPr>
          </w:p>
        </w:tc>
        <w:tc>
          <w:tcPr>
            <w:tcW w:w="4236" w:type="dxa"/>
          </w:tcPr>
          <w:p>
            <w:pPr>
              <w:pStyle w:val="yTableNAm"/>
              <w:tabs>
                <w:tab w:val="clear" w:pos="567"/>
                <w:tab w:val="left" w:pos="743"/>
                <w:tab w:val="left" w:pos="1168"/>
                <w:tab w:val="right" w:leader="dot" w:pos="4253"/>
              </w:tabs>
              <w:ind w:left="1168" w:hanging="1168"/>
              <w:rPr>
                <w:szCs w:val="22"/>
              </w:rPr>
            </w:pPr>
            <w:r>
              <w:rPr>
                <w:szCs w:val="22"/>
              </w:rPr>
              <w:tab/>
              <w:t>(i)</w:t>
            </w:r>
            <w:r>
              <w:rPr>
                <w:szCs w:val="22"/>
              </w:rPr>
              <w:tab/>
              <w:t xml:space="preserve">with a concentration of up to 0.006 kg per day </w:t>
            </w:r>
            <w:r>
              <w:rPr>
                <w:szCs w:val="22"/>
              </w:rPr>
              <w:tab/>
            </w:r>
          </w:p>
        </w:tc>
        <w:tc>
          <w:tcPr>
            <w:tcW w:w="1576" w:type="dxa"/>
            <w:vAlign w:val="bottom"/>
          </w:tcPr>
          <w:p>
            <w:pPr>
              <w:pStyle w:val="yTableNAm"/>
              <w:rPr>
                <w:szCs w:val="22"/>
              </w:rPr>
            </w:pPr>
            <w:r>
              <w:rPr>
                <w:szCs w:val="22"/>
              </w:rPr>
              <w:t>1005.0 c/kg</w:t>
            </w:r>
          </w:p>
        </w:tc>
      </w:tr>
      <w:tr>
        <w:trPr>
          <w:cantSplit/>
        </w:trPr>
        <w:tc>
          <w:tcPr>
            <w:tcW w:w="850" w:type="dxa"/>
          </w:tcPr>
          <w:p>
            <w:pPr>
              <w:pStyle w:val="yTableNAm"/>
              <w:rPr>
                <w:szCs w:val="22"/>
              </w:rPr>
            </w:pPr>
          </w:p>
        </w:tc>
        <w:tc>
          <w:tcPr>
            <w:tcW w:w="4236" w:type="dxa"/>
          </w:tcPr>
          <w:p>
            <w:pPr>
              <w:pStyle w:val="yTableNAm"/>
              <w:tabs>
                <w:tab w:val="clear" w:pos="567"/>
                <w:tab w:val="left" w:pos="743"/>
                <w:tab w:val="left" w:pos="1168"/>
                <w:tab w:val="right" w:leader="dot" w:pos="4253"/>
              </w:tabs>
              <w:ind w:left="1168" w:hanging="1168"/>
              <w:rPr>
                <w:szCs w:val="22"/>
              </w:rPr>
            </w:pPr>
            <w:r>
              <w:rPr>
                <w:szCs w:val="22"/>
              </w:rPr>
              <w:tab/>
              <w:t>(ii)</w:t>
            </w:r>
            <w:r>
              <w:rPr>
                <w:szCs w:val="22"/>
              </w:rPr>
              <w:tab/>
              <w:t xml:space="preserve">with a concentration over 0.006 kg per day but not over 0.15 kg per day </w:t>
            </w:r>
            <w:r>
              <w:rPr>
                <w:szCs w:val="22"/>
              </w:rPr>
              <w:tab/>
            </w:r>
          </w:p>
        </w:tc>
        <w:tc>
          <w:tcPr>
            <w:tcW w:w="1576" w:type="dxa"/>
            <w:vAlign w:val="bottom"/>
          </w:tcPr>
          <w:p>
            <w:pPr>
              <w:pStyle w:val="yTableNAm"/>
              <w:rPr>
                <w:szCs w:val="22"/>
              </w:rPr>
            </w:pPr>
            <w:r>
              <w:rPr>
                <w:szCs w:val="22"/>
              </w:rPr>
              <w:t>2005.0 c/kg</w:t>
            </w:r>
          </w:p>
        </w:tc>
      </w:tr>
      <w:tr>
        <w:trPr>
          <w:cantSplit/>
        </w:trPr>
        <w:tc>
          <w:tcPr>
            <w:tcW w:w="850" w:type="dxa"/>
          </w:tcPr>
          <w:p>
            <w:pPr>
              <w:pStyle w:val="yTableNAm"/>
              <w:rPr>
                <w:szCs w:val="22"/>
              </w:rPr>
            </w:pPr>
          </w:p>
        </w:tc>
        <w:tc>
          <w:tcPr>
            <w:tcW w:w="4236" w:type="dxa"/>
          </w:tcPr>
          <w:p>
            <w:pPr>
              <w:pStyle w:val="yTableNAm"/>
              <w:tabs>
                <w:tab w:val="clear" w:pos="567"/>
                <w:tab w:val="left" w:pos="743"/>
                <w:tab w:val="left" w:pos="1168"/>
                <w:tab w:val="right" w:leader="dot" w:pos="4253"/>
              </w:tabs>
              <w:ind w:left="1168" w:hanging="1168"/>
              <w:rPr>
                <w:szCs w:val="22"/>
              </w:rPr>
            </w:pPr>
            <w:r>
              <w:rPr>
                <w:szCs w:val="22"/>
              </w:rPr>
              <w:tab/>
              <w:t>(iii)</w:t>
            </w:r>
            <w:r>
              <w:rPr>
                <w:szCs w:val="22"/>
              </w:rPr>
              <w:tab/>
              <w:t xml:space="preserve">with a concentration of over 0.15 kg per day </w:t>
            </w:r>
            <w:r>
              <w:rPr>
                <w:szCs w:val="22"/>
              </w:rPr>
              <w:tab/>
            </w:r>
          </w:p>
        </w:tc>
        <w:tc>
          <w:tcPr>
            <w:tcW w:w="1576" w:type="dxa"/>
            <w:vAlign w:val="bottom"/>
          </w:tcPr>
          <w:p>
            <w:pPr>
              <w:pStyle w:val="yTableNAm"/>
              <w:rPr>
                <w:szCs w:val="22"/>
              </w:rPr>
            </w:pPr>
            <w:r>
              <w:rPr>
                <w:szCs w:val="22"/>
              </w:rPr>
              <w:t>8030.0 c/kg</w:t>
            </w:r>
          </w:p>
        </w:tc>
      </w:tr>
      <w:tr>
        <w:trPr>
          <w:cantSplit/>
        </w:trPr>
        <w:tc>
          <w:tcPr>
            <w:tcW w:w="850" w:type="dxa"/>
          </w:tcPr>
          <w:p>
            <w:pPr>
              <w:pStyle w:val="yTableNAm"/>
              <w:rPr>
                <w:szCs w:val="22"/>
              </w:rPr>
            </w:pPr>
          </w:p>
        </w:tc>
        <w:tc>
          <w:tcPr>
            <w:tcW w:w="4236" w:type="dxa"/>
          </w:tcPr>
          <w:p>
            <w:pPr>
              <w:pStyle w:val="yTableNAm"/>
              <w:keepNext/>
              <w:keepLines/>
              <w:tabs>
                <w:tab w:val="clear" w:pos="567"/>
                <w:tab w:val="left" w:pos="317"/>
                <w:tab w:val="left" w:pos="743"/>
                <w:tab w:val="right" w:leader="dot" w:pos="4253"/>
              </w:tabs>
              <w:ind w:left="743" w:hanging="709"/>
              <w:rPr>
                <w:szCs w:val="22"/>
              </w:rPr>
            </w:pPr>
            <w:r>
              <w:rPr>
                <w:szCs w:val="22"/>
              </w:rPr>
              <w:tab/>
              <w:t>(p)</w:t>
            </w:r>
            <w:r>
              <w:rPr>
                <w:szCs w:val="22"/>
              </w:rPr>
              <w:tab/>
              <w:t xml:space="preserve">for zinc — </w:t>
            </w:r>
          </w:p>
        </w:tc>
        <w:tc>
          <w:tcPr>
            <w:tcW w:w="1576" w:type="dxa"/>
            <w:vAlign w:val="bottom"/>
          </w:tcPr>
          <w:p>
            <w:pPr>
              <w:pStyle w:val="yTableNAm"/>
              <w:rPr>
                <w:szCs w:val="22"/>
              </w:rPr>
            </w:pPr>
          </w:p>
        </w:tc>
      </w:tr>
      <w:tr>
        <w:trPr>
          <w:cantSplit/>
        </w:trPr>
        <w:tc>
          <w:tcPr>
            <w:tcW w:w="850" w:type="dxa"/>
          </w:tcPr>
          <w:p>
            <w:pPr>
              <w:pStyle w:val="yTableNAm"/>
              <w:rPr>
                <w:szCs w:val="22"/>
              </w:rPr>
            </w:pPr>
          </w:p>
        </w:tc>
        <w:tc>
          <w:tcPr>
            <w:tcW w:w="4236" w:type="dxa"/>
          </w:tcPr>
          <w:p>
            <w:pPr>
              <w:pStyle w:val="yTableNAm"/>
              <w:tabs>
                <w:tab w:val="clear" w:pos="567"/>
                <w:tab w:val="left" w:pos="743"/>
                <w:tab w:val="left" w:pos="1168"/>
                <w:tab w:val="right" w:leader="dot" w:pos="4253"/>
              </w:tabs>
              <w:ind w:left="1168" w:hanging="1168"/>
              <w:rPr>
                <w:szCs w:val="22"/>
              </w:rPr>
            </w:pPr>
            <w:r>
              <w:rPr>
                <w:szCs w:val="22"/>
              </w:rPr>
              <w:tab/>
              <w:t>(i)</w:t>
            </w:r>
            <w:r>
              <w:rPr>
                <w:szCs w:val="22"/>
              </w:rPr>
              <w:tab/>
              <w:t xml:space="preserve">with a concentration of up to 0.05 kg per day </w:t>
            </w:r>
            <w:r>
              <w:rPr>
                <w:szCs w:val="22"/>
              </w:rPr>
              <w:tab/>
            </w:r>
          </w:p>
        </w:tc>
        <w:tc>
          <w:tcPr>
            <w:tcW w:w="1576" w:type="dxa"/>
            <w:vAlign w:val="bottom"/>
          </w:tcPr>
          <w:p>
            <w:pPr>
              <w:pStyle w:val="yTableNAm"/>
              <w:rPr>
                <w:szCs w:val="22"/>
              </w:rPr>
            </w:pPr>
            <w:r>
              <w:rPr>
                <w:szCs w:val="22"/>
              </w:rPr>
              <w:t>1005.0 c/kg</w:t>
            </w:r>
          </w:p>
        </w:tc>
      </w:tr>
      <w:tr>
        <w:trPr>
          <w:cantSplit/>
        </w:trPr>
        <w:tc>
          <w:tcPr>
            <w:tcW w:w="850" w:type="dxa"/>
          </w:tcPr>
          <w:p>
            <w:pPr>
              <w:pStyle w:val="yTableNAm"/>
              <w:rPr>
                <w:szCs w:val="22"/>
              </w:rPr>
            </w:pPr>
          </w:p>
        </w:tc>
        <w:tc>
          <w:tcPr>
            <w:tcW w:w="4236" w:type="dxa"/>
          </w:tcPr>
          <w:p>
            <w:pPr>
              <w:pStyle w:val="yTableNAm"/>
              <w:tabs>
                <w:tab w:val="clear" w:pos="567"/>
                <w:tab w:val="left" w:pos="743"/>
                <w:tab w:val="left" w:pos="1168"/>
                <w:tab w:val="right" w:leader="dot" w:pos="4253"/>
              </w:tabs>
              <w:ind w:left="1168" w:hanging="1168"/>
              <w:rPr>
                <w:szCs w:val="22"/>
              </w:rPr>
            </w:pPr>
            <w:r>
              <w:rPr>
                <w:szCs w:val="22"/>
              </w:rPr>
              <w:tab/>
              <w:t>(ii)</w:t>
            </w:r>
            <w:r>
              <w:rPr>
                <w:szCs w:val="22"/>
              </w:rPr>
              <w:tab/>
              <w:t xml:space="preserve">with a concentration over 0.05 kg per day but not over 0.5 kg per day </w:t>
            </w:r>
            <w:r>
              <w:rPr>
                <w:szCs w:val="22"/>
              </w:rPr>
              <w:tab/>
            </w:r>
          </w:p>
        </w:tc>
        <w:tc>
          <w:tcPr>
            <w:tcW w:w="1576" w:type="dxa"/>
            <w:vAlign w:val="bottom"/>
          </w:tcPr>
          <w:p>
            <w:pPr>
              <w:pStyle w:val="yTableNAm"/>
              <w:rPr>
                <w:szCs w:val="22"/>
              </w:rPr>
            </w:pPr>
            <w:r>
              <w:rPr>
                <w:szCs w:val="22"/>
              </w:rPr>
              <w:t>2005.0 c/kg</w:t>
            </w:r>
          </w:p>
        </w:tc>
      </w:tr>
      <w:tr>
        <w:trPr>
          <w:cantSplit/>
        </w:trPr>
        <w:tc>
          <w:tcPr>
            <w:tcW w:w="850" w:type="dxa"/>
          </w:tcPr>
          <w:p>
            <w:pPr>
              <w:pStyle w:val="yTableNAm"/>
              <w:rPr>
                <w:szCs w:val="22"/>
              </w:rPr>
            </w:pPr>
          </w:p>
        </w:tc>
        <w:tc>
          <w:tcPr>
            <w:tcW w:w="4236" w:type="dxa"/>
          </w:tcPr>
          <w:p>
            <w:pPr>
              <w:pStyle w:val="yTableNAm"/>
              <w:tabs>
                <w:tab w:val="clear" w:pos="567"/>
                <w:tab w:val="left" w:pos="743"/>
                <w:tab w:val="left" w:pos="1168"/>
                <w:tab w:val="right" w:leader="dot" w:pos="4253"/>
              </w:tabs>
              <w:ind w:left="1168" w:hanging="1168"/>
              <w:rPr>
                <w:szCs w:val="22"/>
              </w:rPr>
            </w:pPr>
            <w:r>
              <w:rPr>
                <w:szCs w:val="22"/>
              </w:rPr>
              <w:tab/>
              <w:t>(iii)</w:t>
            </w:r>
            <w:r>
              <w:rPr>
                <w:szCs w:val="22"/>
              </w:rPr>
              <w:tab/>
              <w:t xml:space="preserve">with a concentration of over 0.5 kg per day </w:t>
            </w:r>
            <w:r>
              <w:rPr>
                <w:szCs w:val="22"/>
              </w:rPr>
              <w:tab/>
            </w:r>
          </w:p>
        </w:tc>
        <w:tc>
          <w:tcPr>
            <w:tcW w:w="1576" w:type="dxa"/>
            <w:vAlign w:val="bottom"/>
          </w:tcPr>
          <w:p>
            <w:pPr>
              <w:pStyle w:val="yTableNAm"/>
              <w:rPr>
                <w:szCs w:val="22"/>
              </w:rPr>
            </w:pPr>
            <w:r>
              <w:rPr>
                <w:szCs w:val="22"/>
              </w:rPr>
              <w:t>8030.0 c/kg</w:t>
            </w:r>
          </w:p>
        </w:tc>
      </w:tr>
      <w:tr>
        <w:trPr>
          <w:cantSplit/>
        </w:trPr>
        <w:tc>
          <w:tcPr>
            <w:tcW w:w="850" w:type="dxa"/>
          </w:tcPr>
          <w:p>
            <w:pPr>
              <w:pStyle w:val="yTableNAm"/>
              <w:rPr>
                <w:szCs w:val="22"/>
              </w:rPr>
            </w:pPr>
          </w:p>
        </w:tc>
        <w:tc>
          <w:tcPr>
            <w:tcW w:w="4236" w:type="dxa"/>
          </w:tcPr>
          <w:p>
            <w:pPr>
              <w:pStyle w:val="yTableNAm"/>
              <w:keepNext/>
              <w:keepLines/>
              <w:tabs>
                <w:tab w:val="clear" w:pos="567"/>
                <w:tab w:val="left" w:pos="317"/>
                <w:tab w:val="left" w:pos="743"/>
                <w:tab w:val="right" w:leader="dot" w:pos="4253"/>
              </w:tabs>
              <w:ind w:left="743" w:hanging="709"/>
              <w:rPr>
                <w:szCs w:val="22"/>
              </w:rPr>
            </w:pPr>
            <w:r>
              <w:rPr>
                <w:szCs w:val="22"/>
              </w:rPr>
              <w:tab/>
              <w:t>(q)</w:t>
            </w:r>
            <w:r>
              <w:rPr>
                <w:szCs w:val="22"/>
              </w:rPr>
              <w:tab/>
              <w:t xml:space="preserve">for arsenic — </w:t>
            </w:r>
          </w:p>
        </w:tc>
        <w:tc>
          <w:tcPr>
            <w:tcW w:w="1576" w:type="dxa"/>
            <w:vAlign w:val="bottom"/>
          </w:tcPr>
          <w:p>
            <w:pPr>
              <w:pStyle w:val="yTableNAm"/>
              <w:rPr>
                <w:szCs w:val="22"/>
              </w:rPr>
            </w:pPr>
          </w:p>
        </w:tc>
      </w:tr>
      <w:tr>
        <w:trPr>
          <w:cantSplit/>
        </w:trPr>
        <w:tc>
          <w:tcPr>
            <w:tcW w:w="850" w:type="dxa"/>
          </w:tcPr>
          <w:p>
            <w:pPr>
              <w:pStyle w:val="yTableNAm"/>
              <w:rPr>
                <w:szCs w:val="22"/>
              </w:rPr>
            </w:pPr>
          </w:p>
        </w:tc>
        <w:tc>
          <w:tcPr>
            <w:tcW w:w="4236" w:type="dxa"/>
          </w:tcPr>
          <w:p>
            <w:pPr>
              <w:pStyle w:val="yTableNAm"/>
              <w:tabs>
                <w:tab w:val="clear" w:pos="567"/>
                <w:tab w:val="left" w:pos="743"/>
                <w:tab w:val="left" w:pos="1168"/>
                <w:tab w:val="right" w:leader="dot" w:pos="4253"/>
              </w:tabs>
              <w:ind w:left="1168" w:hanging="1168"/>
              <w:rPr>
                <w:szCs w:val="22"/>
              </w:rPr>
            </w:pPr>
            <w:r>
              <w:rPr>
                <w:szCs w:val="22"/>
              </w:rPr>
              <w:tab/>
              <w:t>(i)</w:t>
            </w:r>
            <w:r>
              <w:rPr>
                <w:szCs w:val="22"/>
              </w:rPr>
              <w:tab/>
              <w:t xml:space="preserve">with a concentration of up to 0.001 kg per day </w:t>
            </w:r>
            <w:r>
              <w:rPr>
                <w:szCs w:val="22"/>
              </w:rPr>
              <w:tab/>
            </w:r>
          </w:p>
        </w:tc>
        <w:tc>
          <w:tcPr>
            <w:tcW w:w="1576" w:type="dxa"/>
            <w:vAlign w:val="bottom"/>
          </w:tcPr>
          <w:p>
            <w:pPr>
              <w:pStyle w:val="yTableNAm"/>
              <w:rPr>
                <w:szCs w:val="22"/>
              </w:rPr>
            </w:pPr>
            <w:r>
              <w:rPr>
                <w:szCs w:val="22"/>
              </w:rPr>
              <w:t>1005.0 c/kg</w:t>
            </w:r>
          </w:p>
        </w:tc>
      </w:tr>
      <w:tr>
        <w:trPr>
          <w:cantSplit/>
        </w:trPr>
        <w:tc>
          <w:tcPr>
            <w:tcW w:w="850" w:type="dxa"/>
          </w:tcPr>
          <w:p>
            <w:pPr>
              <w:pStyle w:val="yTableNAm"/>
              <w:rPr>
                <w:szCs w:val="22"/>
              </w:rPr>
            </w:pPr>
          </w:p>
        </w:tc>
        <w:tc>
          <w:tcPr>
            <w:tcW w:w="4236" w:type="dxa"/>
          </w:tcPr>
          <w:p>
            <w:pPr>
              <w:pStyle w:val="yTableNAm"/>
              <w:tabs>
                <w:tab w:val="clear" w:pos="567"/>
                <w:tab w:val="left" w:pos="743"/>
                <w:tab w:val="left" w:pos="1168"/>
                <w:tab w:val="right" w:leader="dot" w:pos="4253"/>
              </w:tabs>
              <w:ind w:left="1168" w:hanging="1168"/>
              <w:rPr>
                <w:szCs w:val="22"/>
              </w:rPr>
            </w:pPr>
            <w:r>
              <w:rPr>
                <w:szCs w:val="22"/>
              </w:rPr>
              <w:tab/>
              <w:t>(ii)</w:t>
            </w:r>
            <w:r>
              <w:rPr>
                <w:szCs w:val="22"/>
              </w:rPr>
              <w:tab/>
              <w:t xml:space="preserve">with a concentration over 0.001 kg per day but not over 0.04 kg per day </w:t>
            </w:r>
            <w:r>
              <w:rPr>
                <w:szCs w:val="22"/>
              </w:rPr>
              <w:tab/>
            </w:r>
          </w:p>
        </w:tc>
        <w:tc>
          <w:tcPr>
            <w:tcW w:w="1576" w:type="dxa"/>
            <w:vAlign w:val="bottom"/>
          </w:tcPr>
          <w:p>
            <w:pPr>
              <w:pStyle w:val="yTableNAm"/>
              <w:rPr>
                <w:szCs w:val="22"/>
              </w:rPr>
            </w:pPr>
            <w:r>
              <w:rPr>
                <w:szCs w:val="22"/>
              </w:rPr>
              <w:t>10035.0 c/kg</w:t>
            </w:r>
          </w:p>
        </w:tc>
      </w:tr>
      <w:tr>
        <w:trPr>
          <w:cantSplit/>
        </w:trPr>
        <w:tc>
          <w:tcPr>
            <w:tcW w:w="850" w:type="dxa"/>
          </w:tcPr>
          <w:p>
            <w:pPr>
              <w:pStyle w:val="yTableNAm"/>
              <w:rPr>
                <w:szCs w:val="22"/>
              </w:rPr>
            </w:pPr>
          </w:p>
        </w:tc>
        <w:tc>
          <w:tcPr>
            <w:tcW w:w="4236" w:type="dxa"/>
          </w:tcPr>
          <w:p>
            <w:pPr>
              <w:pStyle w:val="yTableNAm"/>
              <w:tabs>
                <w:tab w:val="clear" w:pos="567"/>
                <w:tab w:val="left" w:pos="743"/>
                <w:tab w:val="left" w:pos="1168"/>
                <w:tab w:val="right" w:leader="dot" w:pos="4253"/>
              </w:tabs>
              <w:ind w:left="1168" w:hanging="1168"/>
              <w:rPr>
                <w:szCs w:val="22"/>
              </w:rPr>
            </w:pPr>
            <w:r>
              <w:rPr>
                <w:szCs w:val="22"/>
              </w:rPr>
              <w:tab/>
              <w:t>(iii)</w:t>
            </w:r>
            <w:r>
              <w:rPr>
                <w:szCs w:val="22"/>
              </w:rPr>
              <w:tab/>
              <w:t xml:space="preserve">with a concentration of over 0.04 kg per day </w:t>
            </w:r>
            <w:r>
              <w:rPr>
                <w:szCs w:val="22"/>
              </w:rPr>
              <w:tab/>
            </w:r>
          </w:p>
        </w:tc>
        <w:tc>
          <w:tcPr>
            <w:tcW w:w="1576" w:type="dxa"/>
            <w:vAlign w:val="bottom"/>
          </w:tcPr>
          <w:p>
            <w:pPr>
              <w:pStyle w:val="yTableNAm"/>
              <w:rPr>
                <w:szCs w:val="22"/>
              </w:rPr>
            </w:pPr>
            <w:r>
              <w:rPr>
                <w:szCs w:val="22"/>
              </w:rPr>
              <w:t>100340.0 c/kg</w:t>
            </w:r>
          </w:p>
        </w:tc>
      </w:tr>
      <w:tr>
        <w:trPr>
          <w:cantSplit/>
        </w:trPr>
        <w:tc>
          <w:tcPr>
            <w:tcW w:w="850" w:type="dxa"/>
          </w:tcPr>
          <w:p>
            <w:pPr>
              <w:pStyle w:val="yTableNAm"/>
              <w:rPr>
                <w:szCs w:val="22"/>
              </w:rPr>
            </w:pPr>
          </w:p>
        </w:tc>
        <w:tc>
          <w:tcPr>
            <w:tcW w:w="4236" w:type="dxa"/>
          </w:tcPr>
          <w:p>
            <w:pPr>
              <w:pStyle w:val="yTableNAm"/>
              <w:keepNext/>
              <w:keepLines/>
              <w:tabs>
                <w:tab w:val="clear" w:pos="567"/>
                <w:tab w:val="left" w:pos="317"/>
                <w:tab w:val="left" w:pos="743"/>
                <w:tab w:val="right" w:leader="dot" w:pos="4253"/>
              </w:tabs>
              <w:ind w:left="743" w:hanging="709"/>
              <w:rPr>
                <w:szCs w:val="22"/>
              </w:rPr>
            </w:pPr>
            <w:r>
              <w:rPr>
                <w:szCs w:val="22"/>
              </w:rPr>
              <w:tab/>
              <w:t>(r)</w:t>
            </w:r>
            <w:r>
              <w:rPr>
                <w:szCs w:val="22"/>
              </w:rPr>
              <w:tab/>
              <w:t xml:space="preserve">for cadmium — </w:t>
            </w:r>
          </w:p>
        </w:tc>
        <w:tc>
          <w:tcPr>
            <w:tcW w:w="1576" w:type="dxa"/>
            <w:vAlign w:val="bottom"/>
          </w:tcPr>
          <w:p>
            <w:pPr>
              <w:pStyle w:val="yTableNAm"/>
              <w:rPr>
                <w:szCs w:val="22"/>
              </w:rPr>
            </w:pPr>
          </w:p>
        </w:tc>
      </w:tr>
      <w:tr>
        <w:trPr>
          <w:cantSplit/>
        </w:trPr>
        <w:tc>
          <w:tcPr>
            <w:tcW w:w="850" w:type="dxa"/>
          </w:tcPr>
          <w:p>
            <w:pPr>
              <w:pStyle w:val="yTableNAm"/>
              <w:rPr>
                <w:szCs w:val="22"/>
              </w:rPr>
            </w:pPr>
          </w:p>
        </w:tc>
        <w:tc>
          <w:tcPr>
            <w:tcW w:w="4236" w:type="dxa"/>
          </w:tcPr>
          <w:p>
            <w:pPr>
              <w:pStyle w:val="yTableNAm"/>
              <w:tabs>
                <w:tab w:val="clear" w:pos="567"/>
                <w:tab w:val="left" w:pos="743"/>
                <w:tab w:val="left" w:pos="1168"/>
                <w:tab w:val="right" w:leader="dot" w:pos="4253"/>
              </w:tabs>
              <w:ind w:left="1168" w:hanging="1168"/>
              <w:rPr>
                <w:szCs w:val="22"/>
              </w:rPr>
            </w:pPr>
            <w:r>
              <w:rPr>
                <w:szCs w:val="22"/>
              </w:rPr>
              <w:tab/>
              <w:t>(i)</w:t>
            </w:r>
            <w:r>
              <w:rPr>
                <w:szCs w:val="22"/>
              </w:rPr>
              <w:tab/>
              <w:t xml:space="preserve">with a concentration of up to 0.001 kg per day </w:t>
            </w:r>
            <w:r>
              <w:rPr>
                <w:szCs w:val="22"/>
              </w:rPr>
              <w:tab/>
            </w:r>
          </w:p>
        </w:tc>
        <w:tc>
          <w:tcPr>
            <w:tcW w:w="1576" w:type="dxa"/>
            <w:vAlign w:val="bottom"/>
          </w:tcPr>
          <w:p>
            <w:pPr>
              <w:pStyle w:val="yTableNAm"/>
              <w:rPr>
                <w:szCs w:val="22"/>
              </w:rPr>
            </w:pPr>
            <w:r>
              <w:rPr>
                <w:szCs w:val="22"/>
              </w:rPr>
              <w:t>1005.0 c/kg</w:t>
            </w:r>
          </w:p>
        </w:tc>
      </w:tr>
      <w:tr>
        <w:trPr>
          <w:cantSplit/>
        </w:trPr>
        <w:tc>
          <w:tcPr>
            <w:tcW w:w="850" w:type="dxa"/>
          </w:tcPr>
          <w:p>
            <w:pPr>
              <w:pStyle w:val="yTableNAm"/>
              <w:rPr>
                <w:szCs w:val="22"/>
              </w:rPr>
            </w:pPr>
          </w:p>
        </w:tc>
        <w:tc>
          <w:tcPr>
            <w:tcW w:w="4236" w:type="dxa"/>
          </w:tcPr>
          <w:p>
            <w:pPr>
              <w:pStyle w:val="yTableNAm"/>
              <w:tabs>
                <w:tab w:val="clear" w:pos="567"/>
                <w:tab w:val="left" w:pos="743"/>
                <w:tab w:val="left" w:pos="1168"/>
                <w:tab w:val="right" w:leader="dot" w:pos="4253"/>
              </w:tabs>
              <w:ind w:left="1168" w:hanging="1168"/>
              <w:rPr>
                <w:szCs w:val="22"/>
              </w:rPr>
            </w:pPr>
            <w:r>
              <w:rPr>
                <w:szCs w:val="22"/>
              </w:rPr>
              <w:tab/>
              <w:t>(ii)</w:t>
            </w:r>
            <w:r>
              <w:rPr>
                <w:szCs w:val="22"/>
              </w:rPr>
              <w:tab/>
              <w:t xml:space="preserve">with a concentration over 0.001 kg per day but not over 0.015 kg per day </w:t>
            </w:r>
            <w:r>
              <w:rPr>
                <w:szCs w:val="22"/>
              </w:rPr>
              <w:tab/>
            </w:r>
          </w:p>
        </w:tc>
        <w:tc>
          <w:tcPr>
            <w:tcW w:w="1576" w:type="dxa"/>
            <w:vAlign w:val="bottom"/>
          </w:tcPr>
          <w:p>
            <w:pPr>
              <w:pStyle w:val="yTableNAm"/>
              <w:rPr>
                <w:szCs w:val="22"/>
              </w:rPr>
            </w:pPr>
            <w:r>
              <w:rPr>
                <w:szCs w:val="22"/>
              </w:rPr>
              <w:t>10035.0 c/kg</w:t>
            </w:r>
          </w:p>
        </w:tc>
      </w:tr>
      <w:tr>
        <w:trPr>
          <w:cantSplit/>
        </w:trPr>
        <w:tc>
          <w:tcPr>
            <w:tcW w:w="850" w:type="dxa"/>
          </w:tcPr>
          <w:p>
            <w:pPr>
              <w:pStyle w:val="yTableNAm"/>
              <w:rPr>
                <w:szCs w:val="22"/>
              </w:rPr>
            </w:pPr>
          </w:p>
        </w:tc>
        <w:tc>
          <w:tcPr>
            <w:tcW w:w="4236" w:type="dxa"/>
          </w:tcPr>
          <w:p>
            <w:pPr>
              <w:pStyle w:val="yTableNAm"/>
              <w:tabs>
                <w:tab w:val="clear" w:pos="567"/>
                <w:tab w:val="left" w:pos="743"/>
                <w:tab w:val="left" w:pos="1168"/>
                <w:tab w:val="right" w:leader="dot" w:pos="4253"/>
              </w:tabs>
              <w:ind w:left="1168" w:hanging="1168"/>
              <w:rPr>
                <w:szCs w:val="22"/>
              </w:rPr>
            </w:pPr>
            <w:r>
              <w:rPr>
                <w:szCs w:val="22"/>
              </w:rPr>
              <w:tab/>
              <w:t>(iii)</w:t>
            </w:r>
            <w:r>
              <w:rPr>
                <w:szCs w:val="22"/>
              </w:rPr>
              <w:tab/>
              <w:t xml:space="preserve">with a concentration of over 0.015 kg per day </w:t>
            </w:r>
            <w:r>
              <w:rPr>
                <w:szCs w:val="22"/>
              </w:rPr>
              <w:tab/>
            </w:r>
          </w:p>
        </w:tc>
        <w:tc>
          <w:tcPr>
            <w:tcW w:w="1576" w:type="dxa"/>
            <w:vAlign w:val="bottom"/>
          </w:tcPr>
          <w:p>
            <w:pPr>
              <w:pStyle w:val="yTableNAm"/>
              <w:rPr>
                <w:szCs w:val="22"/>
              </w:rPr>
            </w:pPr>
            <w:r>
              <w:rPr>
                <w:szCs w:val="22"/>
              </w:rPr>
              <w:t>100340.0 c/kg</w:t>
            </w:r>
          </w:p>
        </w:tc>
      </w:tr>
      <w:tr>
        <w:trPr>
          <w:cantSplit/>
        </w:trPr>
        <w:tc>
          <w:tcPr>
            <w:tcW w:w="850" w:type="dxa"/>
          </w:tcPr>
          <w:p>
            <w:pPr>
              <w:pStyle w:val="yTableNAm"/>
              <w:rPr>
                <w:szCs w:val="22"/>
              </w:rPr>
            </w:pPr>
          </w:p>
        </w:tc>
        <w:tc>
          <w:tcPr>
            <w:tcW w:w="4236" w:type="dxa"/>
          </w:tcPr>
          <w:p>
            <w:pPr>
              <w:pStyle w:val="yTableNAm"/>
              <w:keepNext/>
              <w:keepLines/>
              <w:tabs>
                <w:tab w:val="clear" w:pos="567"/>
                <w:tab w:val="left" w:pos="317"/>
                <w:tab w:val="left" w:pos="743"/>
                <w:tab w:val="right" w:leader="dot" w:pos="4253"/>
              </w:tabs>
              <w:ind w:left="743" w:hanging="709"/>
              <w:rPr>
                <w:szCs w:val="22"/>
              </w:rPr>
            </w:pPr>
            <w:r>
              <w:rPr>
                <w:szCs w:val="22"/>
              </w:rPr>
              <w:tab/>
              <w:t>(s)</w:t>
            </w:r>
            <w:r>
              <w:rPr>
                <w:szCs w:val="22"/>
              </w:rPr>
              <w:tab/>
              <w:t xml:space="preserve">for molybdenum or selenium — </w:t>
            </w:r>
          </w:p>
        </w:tc>
        <w:tc>
          <w:tcPr>
            <w:tcW w:w="1576" w:type="dxa"/>
            <w:vAlign w:val="bottom"/>
          </w:tcPr>
          <w:p>
            <w:pPr>
              <w:pStyle w:val="yTableNAm"/>
              <w:rPr>
                <w:szCs w:val="22"/>
              </w:rPr>
            </w:pPr>
          </w:p>
        </w:tc>
      </w:tr>
      <w:tr>
        <w:trPr>
          <w:cantSplit/>
        </w:trPr>
        <w:tc>
          <w:tcPr>
            <w:tcW w:w="850" w:type="dxa"/>
          </w:tcPr>
          <w:p>
            <w:pPr>
              <w:pStyle w:val="yTableNAm"/>
              <w:rPr>
                <w:szCs w:val="22"/>
              </w:rPr>
            </w:pPr>
          </w:p>
        </w:tc>
        <w:tc>
          <w:tcPr>
            <w:tcW w:w="4236" w:type="dxa"/>
          </w:tcPr>
          <w:p>
            <w:pPr>
              <w:pStyle w:val="yTableNAm"/>
              <w:tabs>
                <w:tab w:val="clear" w:pos="567"/>
                <w:tab w:val="left" w:pos="743"/>
                <w:tab w:val="left" w:pos="1168"/>
                <w:tab w:val="right" w:leader="dot" w:pos="4253"/>
              </w:tabs>
              <w:ind w:left="1168" w:hanging="1168"/>
              <w:rPr>
                <w:szCs w:val="22"/>
              </w:rPr>
            </w:pPr>
            <w:r>
              <w:rPr>
                <w:szCs w:val="22"/>
              </w:rPr>
              <w:tab/>
              <w:t>(i)</w:t>
            </w:r>
            <w:r>
              <w:rPr>
                <w:szCs w:val="22"/>
              </w:rPr>
              <w:tab/>
              <w:t xml:space="preserve">with a concentration of up to 0.001 kg per day </w:t>
            </w:r>
            <w:r>
              <w:rPr>
                <w:szCs w:val="22"/>
              </w:rPr>
              <w:tab/>
            </w:r>
          </w:p>
        </w:tc>
        <w:tc>
          <w:tcPr>
            <w:tcW w:w="1576" w:type="dxa"/>
            <w:vAlign w:val="bottom"/>
          </w:tcPr>
          <w:p>
            <w:pPr>
              <w:pStyle w:val="yTableNAm"/>
              <w:rPr>
                <w:szCs w:val="22"/>
              </w:rPr>
            </w:pPr>
            <w:r>
              <w:rPr>
                <w:szCs w:val="22"/>
              </w:rPr>
              <w:t>1005.0 c/kg</w:t>
            </w:r>
          </w:p>
        </w:tc>
      </w:tr>
      <w:tr>
        <w:trPr>
          <w:cantSplit/>
        </w:trPr>
        <w:tc>
          <w:tcPr>
            <w:tcW w:w="850" w:type="dxa"/>
          </w:tcPr>
          <w:p>
            <w:pPr>
              <w:pStyle w:val="yTableNAm"/>
              <w:rPr>
                <w:szCs w:val="22"/>
              </w:rPr>
            </w:pPr>
          </w:p>
        </w:tc>
        <w:tc>
          <w:tcPr>
            <w:tcW w:w="4236" w:type="dxa"/>
          </w:tcPr>
          <w:p>
            <w:pPr>
              <w:pStyle w:val="yTableNAm"/>
              <w:tabs>
                <w:tab w:val="clear" w:pos="567"/>
                <w:tab w:val="left" w:pos="743"/>
                <w:tab w:val="left" w:pos="1168"/>
                <w:tab w:val="right" w:leader="dot" w:pos="4253"/>
              </w:tabs>
              <w:ind w:left="1168" w:hanging="1168"/>
              <w:rPr>
                <w:szCs w:val="22"/>
              </w:rPr>
            </w:pPr>
            <w:r>
              <w:rPr>
                <w:szCs w:val="22"/>
              </w:rPr>
              <w:tab/>
              <w:t>(ii)</w:t>
            </w:r>
            <w:r>
              <w:rPr>
                <w:szCs w:val="22"/>
              </w:rPr>
              <w:tab/>
              <w:t xml:space="preserve">with a concentration over 0.001 kg per day but not over 0.02 kg per day </w:t>
            </w:r>
            <w:r>
              <w:rPr>
                <w:szCs w:val="22"/>
              </w:rPr>
              <w:tab/>
            </w:r>
          </w:p>
        </w:tc>
        <w:tc>
          <w:tcPr>
            <w:tcW w:w="1576" w:type="dxa"/>
            <w:vAlign w:val="bottom"/>
          </w:tcPr>
          <w:p>
            <w:pPr>
              <w:pStyle w:val="yTableNAm"/>
              <w:rPr>
                <w:szCs w:val="22"/>
              </w:rPr>
            </w:pPr>
            <w:r>
              <w:rPr>
                <w:szCs w:val="22"/>
              </w:rPr>
              <w:t>10035.0 c/kg</w:t>
            </w:r>
          </w:p>
        </w:tc>
      </w:tr>
      <w:tr>
        <w:trPr>
          <w:cantSplit/>
        </w:trPr>
        <w:tc>
          <w:tcPr>
            <w:tcW w:w="850" w:type="dxa"/>
          </w:tcPr>
          <w:p>
            <w:pPr>
              <w:pStyle w:val="yTableNAm"/>
              <w:rPr>
                <w:szCs w:val="22"/>
              </w:rPr>
            </w:pPr>
          </w:p>
        </w:tc>
        <w:tc>
          <w:tcPr>
            <w:tcW w:w="4236" w:type="dxa"/>
          </w:tcPr>
          <w:p>
            <w:pPr>
              <w:pStyle w:val="yTableNAm"/>
              <w:tabs>
                <w:tab w:val="clear" w:pos="567"/>
                <w:tab w:val="left" w:pos="743"/>
                <w:tab w:val="left" w:pos="1168"/>
                <w:tab w:val="right" w:leader="dot" w:pos="4253"/>
              </w:tabs>
              <w:ind w:left="1168" w:hanging="1168"/>
              <w:rPr>
                <w:szCs w:val="22"/>
              </w:rPr>
            </w:pPr>
            <w:r>
              <w:rPr>
                <w:szCs w:val="22"/>
              </w:rPr>
              <w:tab/>
              <w:t>(iii)</w:t>
            </w:r>
            <w:r>
              <w:rPr>
                <w:szCs w:val="22"/>
              </w:rPr>
              <w:tab/>
              <w:t xml:space="preserve">with a concentration of over 0.02 kg per day </w:t>
            </w:r>
            <w:r>
              <w:rPr>
                <w:szCs w:val="22"/>
              </w:rPr>
              <w:tab/>
            </w:r>
          </w:p>
        </w:tc>
        <w:tc>
          <w:tcPr>
            <w:tcW w:w="1576" w:type="dxa"/>
            <w:vAlign w:val="bottom"/>
          </w:tcPr>
          <w:p>
            <w:pPr>
              <w:pStyle w:val="yTableNAm"/>
              <w:rPr>
                <w:szCs w:val="22"/>
              </w:rPr>
            </w:pPr>
            <w:r>
              <w:rPr>
                <w:szCs w:val="22"/>
              </w:rPr>
              <w:t>100340.0 c/kg</w:t>
            </w:r>
          </w:p>
        </w:tc>
      </w:tr>
      <w:tr>
        <w:trPr>
          <w:cantSplit/>
        </w:trPr>
        <w:tc>
          <w:tcPr>
            <w:tcW w:w="850" w:type="dxa"/>
          </w:tcPr>
          <w:p>
            <w:pPr>
              <w:pStyle w:val="yTableNAm"/>
              <w:rPr>
                <w:szCs w:val="22"/>
              </w:rPr>
            </w:pPr>
          </w:p>
        </w:tc>
        <w:tc>
          <w:tcPr>
            <w:tcW w:w="4236" w:type="dxa"/>
          </w:tcPr>
          <w:p>
            <w:pPr>
              <w:pStyle w:val="yTableNAm"/>
              <w:keepNext/>
              <w:keepLines/>
              <w:tabs>
                <w:tab w:val="clear" w:pos="567"/>
                <w:tab w:val="left" w:pos="317"/>
                <w:tab w:val="left" w:pos="743"/>
                <w:tab w:val="right" w:leader="dot" w:pos="4253"/>
              </w:tabs>
              <w:ind w:left="743" w:hanging="709"/>
              <w:rPr>
                <w:szCs w:val="22"/>
              </w:rPr>
            </w:pPr>
            <w:r>
              <w:rPr>
                <w:szCs w:val="22"/>
              </w:rPr>
              <w:tab/>
              <w:t>(t)</w:t>
            </w:r>
            <w:r>
              <w:rPr>
                <w:szCs w:val="22"/>
              </w:rPr>
              <w:tab/>
              <w:t xml:space="preserve">for silver — </w:t>
            </w:r>
          </w:p>
        </w:tc>
        <w:tc>
          <w:tcPr>
            <w:tcW w:w="1576" w:type="dxa"/>
            <w:vAlign w:val="bottom"/>
          </w:tcPr>
          <w:p>
            <w:pPr>
              <w:pStyle w:val="yTableNAm"/>
              <w:rPr>
                <w:szCs w:val="22"/>
              </w:rPr>
            </w:pPr>
          </w:p>
        </w:tc>
      </w:tr>
      <w:tr>
        <w:trPr>
          <w:cantSplit/>
        </w:trPr>
        <w:tc>
          <w:tcPr>
            <w:tcW w:w="850" w:type="dxa"/>
          </w:tcPr>
          <w:p>
            <w:pPr>
              <w:pStyle w:val="yTableNAm"/>
              <w:rPr>
                <w:szCs w:val="22"/>
              </w:rPr>
            </w:pPr>
          </w:p>
        </w:tc>
        <w:tc>
          <w:tcPr>
            <w:tcW w:w="4236" w:type="dxa"/>
          </w:tcPr>
          <w:p>
            <w:pPr>
              <w:pStyle w:val="yTableNAm"/>
              <w:tabs>
                <w:tab w:val="clear" w:pos="567"/>
                <w:tab w:val="left" w:pos="743"/>
                <w:tab w:val="left" w:pos="1168"/>
                <w:tab w:val="right" w:leader="dot" w:pos="4253"/>
              </w:tabs>
              <w:ind w:left="1168" w:hanging="1168"/>
              <w:rPr>
                <w:szCs w:val="22"/>
              </w:rPr>
            </w:pPr>
            <w:r>
              <w:rPr>
                <w:szCs w:val="22"/>
              </w:rPr>
              <w:tab/>
              <w:t>(i)</w:t>
            </w:r>
            <w:r>
              <w:rPr>
                <w:szCs w:val="22"/>
              </w:rPr>
              <w:tab/>
              <w:t xml:space="preserve">with a concentration of up to 0.002 kg per day </w:t>
            </w:r>
            <w:r>
              <w:rPr>
                <w:szCs w:val="22"/>
              </w:rPr>
              <w:tab/>
            </w:r>
          </w:p>
        </w:tc>
        <w:tc>
          <w:tcPr>
            <w:tcW w:w="1576" w:type="dxa"/>
            <w:vAlign w:val="bottom"/>
          </w:tcPr>
          <w:p>
            <w:pPr>
              <w:pStyle w:val="yTableNAm"/>
              <w:rPr>
                <w:szCs w:val="22"/>
              </w:rPr>
            </w:pPr>
            <w:r>
              <w:rPr>
                <w:szCs w:val="22"/>
              </w:rPr>
              <w:t>1005.0 c/kg</w:t>
            </w:r>
          </w:p>
        </w:tc>
      </w:tr>
      <w:tr>
        <w:trPr>
          <w:cantSplit/>
        </w:trPr>
        <w:tc>
          <w:tcPr>
            <w:tcW w:w="850" w:type="dxa"/>
          </w:tcPr>
          <w:p>
            <w:pPr>
              <w:pStyle w:val="yTableNAm"/>
              <w:rPr>
                <w:szCs w:val="22"/>
              </w:rPr>
            </w:pPr>
          </w:p>
        </w:tc>
        <w:tc>
          <w:tcPr>
            <w:tcW w:w="4236" w:type="dxa"/>
          </w:tcPr>
          <w:p>
            <w:pPr>
              <w:pStyle w:val="yTableNAm"/>
              <w:tabs>
                <w:tab w:val="clear" w:pos="567"/>
                <w:tab w:val="left" w:pos="743"/>
                <w:tab w:val="left" w:pos="1168"/>
                <w:tab w:val="right" w:leader="dot" w:pos="4253"/>
              </w:tabs>
              <w:ind w:left="1168" w:hanging="1168"/>
              <w:rPr>
                <w:szCs w:val="22"/>
              </w:rPr>
            </w:pPr>
            <w:r>
              <w:rPr>
                <w:szCs w:val="22"/>
              </w:rPr>
              <w:tab/>
              <w:t>(ii)</w:t>
            </w:r>
            <w:r>
              <w:rPr>
                <w:szCs w:val="22"/>
              </w:rPr>
              <w:tab/>
              <w:t xml:space="preserve">with a concentration over 0.002 kg per day but not over 0.01 kg per day </w:t>
            </w:r>
            <w:r>
              <w:rPr>
                <w:szCs w:val="22"/>
              </w:rPr>
              <w:tab/>
            </w:r>
          </w:p>
        </w:tc>
        <w:tc>
          <w:tcPr>
            <w:tcW w:w="1576" w:type="dxa"/>
            <w:vAlign w:val="bottom"/>
          </w:tcPr>
          <w:p>
            <w:pPr>
              <w:pStyle w:val="yTableNAm"/>
              <w:rPr>
                <w:szCs w:val="22"/>
              </w:rPr>
            </w:pPr>
            <w:r>
              <w:rPr>
                <w:szCs w:val="22"/>
              </w:rPr>
              <w:t>10035.0 c/kg</w:t>
            </w:r>
          </w:p>
        </w:tc>
      </w:tr>
      <w:tr>
        <w:trPr>
          <w:cantSplit/>
        </w:trPr>
        <w:tc>
          <w:tcPr>
            <w:tcW w:w="850" w:type="dxa"/>
          </w:tcPr>
          <w:p>
            <w:pPr>
              <w:pStyle w:val="yTableNAm"/>
              <w:rPr>
                <w:szCs w:val="22"/>
              </w:rPr>
            </w:pPr>
          </w:p>
        </w:tc>
        <w:tc>
          <w:tcPr>
            <w:tcW w:w="4236" w:type="dxa"/>
          </w:tcPr>
          <w:p>
            <w:pPr>
              <w:pStyle w:val="yTableNAm"/>
              <w:tabs>
                <w:tab w:val="clear" w:pos="567"/>
                <w:tab w:val="left" w:pos="743"/>
                <w:tab w:val="left" w:pos="1168"/>
                <w:tab w:val="right" w:leader="dot" w:pos="4253"/>
              </w:tabs>
              <w:ind w:left="1168" w:hanging="1168"/>
              <w:rPr>
                <w:szCs w:val="22"/>
              </w:rPr>
            </w:pPr>
            <w:r>
              <w:rPr>
                <w:szCs w:val="22"/>
              </w:rPr>
              <w:tab/>
              <w:t>(iii)</w:t>
            </w:r>
            <w:r>
              <w:rPr>
                <w:szCs w:val="22"/>
              </w:rPr>
              <w:tab/>
              <w:t xml:space="preserve">with a concentration of over 0.01 kg per day </w:t>
            </w:r>
            <w:r>
              <w:rPr>
                <w:szCs w:val="22"/>
              </w:rPr>
              <w:tab/>
            </w:r>
          </w:p>
        </w:tc>
        <w:tc>
          <w:tcPr>
            <w:tcW w:w="1576" w:type="dxa"/>
            <w:vAlign w:val="bottom"/>
          </w:tcPr>
          <w:p>
            <w:pPr>
              <w:pStyle w:val="yTableNAm"/>
              <w:rPr>
                <w:szCs w:val="22"/>
              </w:rPr>
            </w:pPr>
            <w:r>
              <w:rPr>
                <w:szCs w:val="22"/>
              </w:rPr>
              <w:t>100340.0 c/kg</w:t>
            </w:r>
          </w:p>
        </w:tc>
      </w:tr>
      <w:tr>
        <w:trPr>
          <w:cantSplit/>
        </w:trPr>
        <w:tc>
          <w:tcPr>
            <w:tcW w:w="850" w:type="dxa"/>
          </w:tcPr>
          <w:p>
            <w:pPr>
              <w:pStyle w:val="yTableNAm"/>
              <w:rPr>
                <w:szCs w:val="22"/>
              </w:rPr>
            </w:pPr>
          </w:p>
        </w:tc>
        <w:tc>
          <w:tcPr>
            <w:tcW w:w="4236" w:type="dxa"/>
          </w:tcPr>
          <w:p>
            <w:pPr>
              <w:pStyle w:val="yTableNAm"/>
              <w:keepNext/>
              <w:keepLines/>
              <w:tabs>
                <w:tab w:val="clear" w:pos="567"/>
                <w:tab w:val="left" w:pos="317"/>
                <w:tab w:val="left" w:pos="743"/>
                <w:tab w:val="right" w:leader="dot" w:pos="4253"/>
              </w:tabs>
              <w:ind w:left="743" w:hanging="709"/>
              <w:rPr>
                <w:szCs w:val="22"/>
              </w:rPr>
            </w:pPr>
            <w:r>
              <w:rPr>
                <w:szCs w:val="22"/>
              </w:rPr>
              <w:tab/>
              <w:t>(u)</w:t>
            </w:r>
            <w:r>
              <w:rPr>
                <w:szCs w:val="22"/>
              </w:rPr>
              <w:tab/>
              <w:t xml:space="preserve">for mercury — </w:t>
            </w:r>
          </w:p>
        </w:tc>
        <w:tc>
          <w:tcPr>
            <w:tcW w:w="1576" w:type="dxa"/>
            <w:vAlign w:val="bottom"/>
          </w:tcPr>
          <w:p>
            <w:pPr>
              <w:pStyle w:val="yTableNAm"/>
              <w:rPr>
                <w:szCs w:val="22"/>
              </w:rPr>
            </w:pPr>
          </w:p>
        </w:tc>
      </w:tr>
      <w:tr>
        <w:trPr>
          <w:cantSplit/>
        </w:trPr>
        <w:tc>
          <w:tcPr>
            <w:tcW w:w="850" w:type="dxa"/>
          </w:tcPr>
          <w:p>
            <w:pPr>
              <w:pStyle w:val="yTableNAm"/>
              <w:rPr>
                <w:szCs w:val="22"/>
              </w:rPr>
            </w:pPr>
          </w:p>
        </w:tc>
        <w:tc>
          <w:tcPr>
            <w:tcW w:w="4236" w:type="dxa"/>
          </w:tcPr>
          <w:p>
            <w:pPr>
              <w:pStyle w:val="yTableNAm"/>
              <w:tabs>
                <w:tab w:val="clear" w:pos="567"/>
                <w:tab w:val="left" w:pos="743"/>
                <w:tab w:val="left" w:pos="1168"/>
                <w:tab w:val="right" w:leader="dot" w:pos="4253"/>
              </w:tabs>
              <w:ind w:left="1168" w:hanging="1168"/>
              <w:rPr>
                <w:szCs w:val="22"/>
              </w:rPr>
            </w:pPr>
            <w:r>
              <w:rPr>
                <w:szCs w:val="22"/>
              </w:rPr>
              <w:tab/>
              <w:t>(i)</w:t>
            </w:r>
            <w:r>
              <w:rPr>
                <w:szCs w:val="22"/>
              </w:rPr>
              <w:tab/>
              <w:t xml:space="preserve">with a concentration of up to 0.0001 kg per day </w:t>
            </w:r>
            <w:r>
              <w:rPr>
                <w:szCs w:val="22"/>
              </w:rPr>
              <w:tab/>
            </w:r>
          </w:p>
        </w:tc>
        <w:tc>
          <w:tcPr>
            <w:tcW w:w="1576" w:type="dxa"/>
            <w:vAlign w:val="bottom"/>
          </w:tcPr>
          <w:p>
            <w:pPr>
              <w:pStyle w:val="yTableNAm"/>
              <w:rPr>
                <w:szCs w:val="22"/>
              </w:rPr>
            </w:pPr>
            <w:r>
              <w:rPr>
                <w:szCs w:val="22"/>
              </w:rPr>
              <w:t>1005.0 c/kg</w:t>
            </w:r>
          </w:p>
        </w:tc>
      </w:tr>
      <w:tr>
        <w:trPr>
          <w:cantSplit/>
        </w:trPr>
        <w:tc>
          <w:tcPr>
            <w:tcW w:w="850" w:type="dxa"/>
          </w:tcPr>
          <w:p>
            <w:pPr>
              <w:pStyle w:val="yTableNAm"/>
              <w:rPr>
                <w:szCs w:val="22"/>
              </w:rPr>
            </w:pPr>
          </w:p>
        </w:tc>
        <w:tc>
          <w:tcPr>
            <w:tcW w:w="4236" w:type="dxa"/>
          </w:tcPr>
          <w:p>
            <w:pPr>
              <w:pStyle w:val="yTableNAm"/>
              <w:tabs>
                <w:tab w:val="clear" w:pos="567"/>
                <w:tab w:val="left" w:pos="743"/>
                <w:tab w:val="left" w:pos="1168"/>
                <w:tab w:val="right" w:leader="dot" w:pos="4253"/>
              </w:tabs>
              <w:ind w:left="1168" w:hanging="1168"/>
              <w:rPr>
                <w:szCs w:val="22"/>
              </w:rPr>
            </w:pPr>
            <w:r>
              <w:rPr>
                <w:szCs w:val="22"/>
              </w:rPr>
              <w:tab/>
              <w:t>(ii)</w:t>
            </w:r>
            <w:r>
              <w:rPr>
                <w:szCs w:val="22"/>
              </w:rPr>
              <w:tab/>
              <w:t xml:space="preserve">with a concentration over 0.0001 kg per day but not over 0.001 kg per day </w:t>
            </w:r>
            <w:r>
              <w:rPr>
                <w:szCs w:val="22"/>
              </w:rPr>
              <w:tab/>
            </w:r>
          </w:p>
        </w:tc>
        <w:tc>
          <w:tcPr>
            <w:tcW w:w="1576" w:type="dxa"/>
            <w:vAlign w:val="bottom"/>
          </w:tcPr>
          <w:p>
            <w:pPr>
              <w:pStyle w:val="yTableNAm"/>
              <w:rPr>
                <w:szCs w:val="22"/>
              </w:rPr>
            </w:pPr>
            <w:r>
              <w:rPr>
                <w:szCs w:val="22"/>
              </w:rPr>
              <w:t>100340.0 c/kg</w:t>
            </w:r>
          </w:p>
        </w:tc>
      </w:tr>
      <w:tr>
        <w:trPr>
          <w:cantSplit/>
        </w:trPr>
        <w:tc>
          <w:tcPr>
            <w:tcW w:w="850" w:type="dxa"/>
          </w:tcPr>
          <w:p>
            <w:pPr>
              <w:pStyle w:val="yTableNAm"/>
              <w:rPr>
                <w:szCs w:val="22"/>
              </w:rPr>
            </w:pPr>
          </w:p>
        </w:tc>
        <w:tc>
          <w:tcPr>
            <w:tcW w:w="4236" w:type="dxa"/>
          </w:tcPr>
          <w:p>
            <w:pPr>
              <w:pStyle w:val="yTableNAm"/>
              <w:tabs>
                <w:tab w:val="clear" w:pos="567"/>
                <w:tab w:val="left" w:pos="743"/>
                <w:tab w:val="left" w:pos="1168"/>
                <w:tab w:val="right" w:leader="dot" w:pos="4253"/>
              </w:tabs>
              <w:ind w:left="1168" w:hanging="1168"/>
              <w:rPr>
                <w:szCs w:val="22"/>
              </w:rPr>
            </w:pPr>
            <w:r>
              <w:rPr>
                <w:szCs w:val="22"/>
              </w:rPr>
              <w:tab/>
              <w:t>(iii)</w:t>
            </w:r>
            <w:r>
              <w:rPr>
                <w:szCs w:val="22"/>
              </w:rPr>
              <w:tab/>
              <w:t xml:space="preserve">with a concentration of over 0.001 kg per day </w:t>
            </w:r>
            <w:r>
              <w:rPr>
                <w:szCs w:val="22"/>
              </w:rPr>
              <w:tab/>
            </w:r>
          </w:p>
        </w:tc>
        <w:tc>
          <w:tcPr>
            <w:tcW w:w="1576" w:type="dxa"/>
            <w:vAlign w:val="bottom"/>
          </w:tcPr>
          <w:p>
            <w:pPr>
              <w:pStyle w:val="yTableNAm"/>
              <w:rPr>
                <w:szCs w:val="22"/>
              </w:rPr>
            </w:pPr>
            <w:r>
              <w:rPr>
                <w:szCs w:val="22"/>
              </w:rPr>
              <w:t>752565.0 c/kg</w:t>
            </w:r>
          </w:p>
        </w:tc>
      </w:tr>
      <w:tr>
        <w:trPr>
          <w:cantSplit/>
        </w:trPr>
        <w:tc>
          <w:tcPr>
            <w:tcW w:w="850" w:type="dxa"/>
          </w:tcPr>
          <w:p>
            <w:pPr>
              <w:pStyle w:val="yTableNAm"/>
              <w:keepNext/>
              <w:keepLines/>
              <w:rPr>
                <w:b/>
                <w:szCs w:val="22"/>
              </w:rPr>
            </w:pPr>
            <w:r>
              <w:rPr>
                <w:b/>
                <w:szCs w:val="22"/>
              </w:rPr>
              <w:t>12.</w:t>
            </w:r>
          </w:p>
        </w:tc>
        <w:tc>
          <w:tcPr>
            <w:tcW w:w="5812" w:type="dxa"/>
            <w:gridSpan w:val="2"/>
          </w:tcPr>
          <w:p>
            <w:pPr>
              <w:pStyle w:val="yTableNAm"/>
              <w:rPr>
                <w:b/>
                <w:szCs w:val="22"/>
              </w:rPr>
            </w:pPr>
            <w:r>
              <w:rPr>
                <w:b/>
                <w:szCs w:val="22"/>
              </w:rPr>
              <w:t>Effluent discharged from a septic tank effluent pumping system into a sewer of the Corporation</w:t>
            </w:r>
          </w:p>
        </w:tc>
      </w:tr>
      <w:tr>
        <w:trPr>
          <w:cantSplit/>
        </w:trPr>
        <w:tc>
          <w:tcPr>
            <w:tcW w:w="850" w:type="dxa"/>
          </w:tcPr>
          <w:p>
            <w:pPr>
              <w:pStyle w:val="yTableNAm"/>
              <w:keepNext/>
              <w:keepLines/>
              <w:rPr>
                <w:szCs w:val="22"/>
              </w:rPr>
            </w:pPr>
          </w:p>
        </w:tc>
        <w:tc>
          <w:tcPr>
            <w:tcW w:w="4236" w:type="dxa"/>
          </w:tcPr>
          <w:p>
            <w:pPr>
              <w:pStyle w:val="yTableNAm"/>
              <w:tabs>
                <w:tab w:val="right" w:leader="dot" w:pos="5103"/>
              </w:tabs>
              <w:rPr>
                <w:szCs w:val="22"/>
              </w:rPr>
            </w:pPr>
            <w:r>
              <w:rPr>
                <w:szCs w:val="22"/>
              </w:rPr>
              <w:t xml:space="preserve">For effluent discharged from a septic tank effluent pumping system into a sewer of the Corporation </w:t>
            </w:r>
            <w:r>
              <w:rPr>
                <w:szCs w:val="22"/>
              </w:rPr>
              <w:tab/>
            </w:r>
          </w:p>
        </w:tc>
        <w:tc>
          <w:tcPr>
            <w:tcW w:w="1576" w:type="dxa"/>
            <w:vAlign w:val="bottom"/>
          </w:tcPr>
          <w:p>
            <w:pPr>
              <w:pStyle w:val="yTableNAm"/>
              <w:rPr>
                <w:szCs w:val="22"/>
              </w:rPr>
            </w:pPr>
            <w:r>
              <w:rPr>
                <w:szCs w:val="22"/>
              </w:rPr>
              <w:t>150.0 c/kL</w:t>
            </w:r>
          </w:p>
        </w:tc>
      </w:tr>
    </w:tbl>
    <w:p>
      <w:pPr>
        <w:pStyle w:val="yFootnotesection"/>
      </w:pPr>
      <w:r>
        <w:tab/>
        <w:t>[Division 3 inserted in Gazette 20 Jun 2012 p. 2730</w:t>
      </w:r>
      <w:r>
        <w:noBreakHyphen/>
        <w:t>5.]</w:t>
      </w:r>
    </w:p>
    <w:p>
      <w:pPr>
        <w:pStyle w:val="yHeading3"/>
      </w:pPr>
      <w:bookmarkStart w:id="760" w:name="_Toc84427997"/>
      <w:bookmarkStart w:id="761" w:name="_Toc328403442"/>
      <w:bookmarkStart w:id="762" w:name="_Toc328471491"/>
      <w:r>
        <w:rPr>
          <w:rStyle w:val="CharSDivNo"/>
        </w:rPr>
        <w:t>Division 4</w:t>
      </w:r>
      <w:r>
        <w:rPr>
          <w:b w:val="0"/>
        </w:rPr>
        <w:t> </w:t>
      </w:r>
      <w:r>
        <w:t>— </w:t>
      </w:r>
      <w:r>
        <w:rPr>
          <w:rStyle w:val="CharSDivText"/>
        </w:rPr>
        <w:t>Metropolitan combined charges</w:t>
      </w:r>
      <w:bookmarkEnd w:id="760"/>
      <w:bookmarkEnd w:id="761"/>
      <w:bookmarkEnd w:id="762"/>
    </w:p>
    <w:p>
      <w:pPr>
        <w:pStyle w:val="yFootnoteheading"/>
        <w:spacing w:after="60"/>
      </w:pPr>
      <w:r>
        <w:tab/>
        <w:t>[Heading inserted in Gazette 20 Jun 2012 p. 2735.]</w:t>
      </w:r>
    </w:p>
    <w:p>
      <w:pPr>
        <w:pStyle w:val="yHeading5"/>
      </w:pPr>
      <w:bookmarkStart w:id="763" w:name="_Toc84427998"/>
      <w:bookmarkStart w:id="764" w:name="_Toc328471492"/>
      <w:r>
        <w:t>13.</w:t>
      </w:r>
      <w:r>
        <w:tab/>
        <w:t>Metropolitan non</w:t>
      </w:r>
      <w:r>
        <w:noBreakHyphen/>
        <w:t>residential (other than vacant land)</w:t>
      </w:r>
      <w:bookmarkEnd w:id="763"/>
      <w:bookmarkEnd w:id="764"/>
    </w:p>
    <w:p>
      <w:pPr>
        <w:pStyle w:val="ySubsection"/>
      </w:pPr>
      <w:r>
        <w:tab/>
      </w:r>
      <w:r>
        <w:tab/>
        <w:t xml:space="preserve">In respect of </w:t>
      </w:r>
      <w:r>
        <w:rPr>
          <w:snapToGrid w:val="0"/>
        </w:rPr>
        <w:t>land</w:t>
      </w:r>
      <w:r>
        <w:t xml:space="preserve"> in the metropolitan area that is not — </w:t>
      </w:r>
    </w:p>
    <w:p>
      <w:pPr>
        <w:pStyle w:val="yIndenta"/>
      </w:pPr>
      <w:r>
        <w:tab/>
        <w:t>(a)</w:t>
      </w:r>
      <w:r>
        <w:tab/>
        <w:t>comprised in a residential property; and</w:t>
      </w:r>
    </w:p>
    <w:p>
      <w:pPr>
        <w:pStyle w:val="yIndenta"/>
      </w:pPr>
      <w:r>
        <w:tab/>
        <w:t>(b)</w:t>
      </w:r>
      <w:r>
        <w:tab/>
        <w:t>referred to in item 1, 3, 4, 5, 14, 15 or 16,</w:t>
      </w:r>
    </w:p>
    <w:p>
      <w:pPr>
        <w:pStyle w:val="ySubsection"/>
      </w:pPr>
      <w:r>
        <w:tab/>
      </w:r>
      <w:r>
        <w:tab/>
        <w:t xml:space="preserve">the charge is calculated in accordance with the following formula — </w:t>
      </w:r>
    </w:p>
    <w:p>
      <w:pPr>
        <w:pStyle w:val="yIndenta"/>
      </w:pPr>
      <w:r>
        <w:tab/>
      </w:r>
      <w:r>
        <w:tab/>
        <w:t>If (</w:t>
      </w:r>
      <w:r>
        <w:rPr>
          <w:b/>
        </w:rPr>
        <w:t>P</w:t>
      </w:r>
      <w:r>
        <w:t xml:space="preserve"> + </w:t>
      </w:r>
      <w:r>
        <w:rPr>
          <w:b/>
        </w:rPr>
        <w:t>Q</w:t>
      </w:r>
      <w:r>
        <w:t xml:space="preserve">) </w:t>
      </w:r>
      <w:r>
        <w:sym w:font="Symbol" w:char="F0A3"/>
      </w:r>
      <w:r>
        <w:t xml:space="preserve"> </w:t>
      </w:r>
      <w:r>
        <w:rPr>
          <w:b/>
        </w:rPr>
        <w:t>R</w:t>
      </w:r>
      <w:r>
        <w:t xml:space="preserve">, then — </w:t>
      </w:r>
    </w:p>
    <w:p>
      <w:pPr>
        <w:pStyle w:val="yIndenta"/>
      </w:pPr>
      <w:r>
        <w:tab/>
      </w:r>
      <w:r>
        <w:tab/>
      </w:r>
      <w:r>
        <w:rPr>
          <w:b/>
          <w:bCs/>
        </w:rPr>
        <w:t>P</w:t>
      </w:r>
      <w:r>
        <w:t xml:space="preserve"> + </w:t>
      </w:r>
      <w:r>
        <w:rPr>
          <w:b/>
          <w:bCs/>
        </w:rPr>
        <w:t>Q</w:t>
      </w:r>
    </w:p>
    <w:p>
      <w:pPr>
        <w:pStyle w:val="yIndenta"/>
      </w:pPr>
      <w:r>
        <w:tab/>
      </w:r>
      <w:r>
        <w:tab/>
        <w:t xml:space="preserve">or if — </w:t>
      </w:r>
    </w:p>
    <w:p>
      <w:pPr>
        <w:pStyle w:val="yIndenta"/>
        <w:rPr>
          <w:b/>
        </w:rPr>
      </w:pPr>
      <w:r>
        <w:rPr>
          <w:b/>
        </w:rPr>
        <w:tab/>
      </w:r>
      <w:r>
        <w:rPr>
          <w:b/>
        </w:rPr>
        <w:tab/>
      </w:r>
      <w:r>
        <w:rPr>
          <w:b/>
        </w:rPr>
        <w:tab/>
      </w:r>
      <w:r>
        <w:t>(</w:t>
      </w:r>
      <w:r>
        <w:rPr>
          <w:b/>
        </w:rPr>
        <w:t>P</w:t>
      </w:r>
      <w:r>
        <w:t xml:space="preserve"> + </w:t>
      </w:r>
      <w:r>
        <w:rPr>
          <w:b/>
        </w:rPr>
        <w:t>Q</w:t>
      </w:r>
      <w:r>
        <w:t xml:space="preserve">) &gt; </w:t>
      </w:r>
      <w:r>
        <w:rPr>
          <w:b/>
        </w:rPr>
        <w:t>R</w:t>
      </w:r>
      <w:r>
        <w:t>; and</w:t>
      </w:r>
    </w:p>
    <w:p>
      <w:pPr>
        <w:pStyle w:val="yIndenta"/>
        <w:rPr>
          <w:b/>
        </w:rPr>
      </w:pPr>
      <w:r>
        <w:rPr>
          <w:b/>
        </w:rPr>
        <w:tab/>
      </w:r>
      <w:r>
        <w:rPr>
          <w:b/>
        </w:rPr>
        <w:tab/>
      </w:r>
      <w:r>
        <w:rPr>
          <w:b/>
        </w:rPr>
        <w:tab/>
        <w:t>N</w:t>
      </w:r>
      <w:r>
        <w:t xml:space="preserve"> </w:t>
      </w:r>
      <w:r>
        <w:sym w:font="Symbol" w:char="F0A3"/>
      </w:r>
      <w:r>
        <w:t xml:space="preserve"> </w:t>
      </w:r>
      <w:r>
        <w:rPr>
          <w:b/>
        </w:rPr>
        <w:t>W</w:t>
      </w:r>
      <w:r>
        <w:t>,</w:t>
      </w:r>
    </w:p>
    <w:p>
      <w:pPr>
        <w:pStyle w:val="yIndenta"/>
      </w:pPr>
      <w:r>
        <w:tab/>
      </w:r>
      <w:r>
        <w:tab/>
        <w:t xml:space="preserve">then — </w:t>
      </w:r>
    </w:p>
    <w:p>
      <w:pPr>
        <w:pStyle w:val="yIndenta"/>
        <w:rPr>
          <w:b/>
        </w:rPr>
      </w:pPr>
      <w:r>
        <w:rPr>
          <w:b/>
        </w:rPr>
        <w:tab/>
      </w:r>
      <w:r>
        <w:rPr>
          <w:b/>
        </w:rPr>
        <w:tab/>
      </w:r>
      <w:r>
        <w:rPr>
          <w:b/>
        </w:rPr>
        <w:tab/>
        <w:t>R</w:t>
      </w:r>
    </w:p>
    <w:p>
      <w:pPr>
        <w:pStyle w:val="yIndenta"/>
      </w:pPr>
      <w:r>
        <w:tab/>
      </w:r>
      <w:r>
        <w:tab/>
        <w:t xml:space="preserve">or if — </w:t>
      </w:r>
    </w:p>
    <w:p>
      <w:pPr>
        <w:pStyle w:val="yIndenta"/>
        <w:rPr>
          <w:b/>
        </w:rPr>
      </w:pPr>
      <w:r>
        <w:rPr>
          <w:b/>
        </w:rPr>
        <w:tab/>
      </w:r>
      <w:r>
        <w:rPr>
          <w:b/>
        </w:rPr>
        <w:tab/>
      </w:r>
      <w:r>
        <w:rPr>
          <w:b/>
        </w:rPr>
        <w:tab/>
      </w:r>
      <w:r>
        <w:t>(</w:t>
      </w:r>
      <w:r>
        <w:rPr>
          <w:b/>
        </w:rPr>
        <w:t>P</w:t>
      </w:r>
      <w:r>
        <w:t xml:space="preserve"> </w:t>
      </w:r>
      <w:r>
        <w:rPr>
          <w:b/>
        </w:rPr>
        <w:t>+</w:t>
      </w:r>
      <w:r>
        <w:t xml:space="preserve"> </w:t>
      </w:r>
      <w:r>
        <w:rPr>
          <w:b/>
        </w:rPr>
        <w:t>Q</w:t>
      </w:r>
      <w:r>
        <w:t xml:space="preserve">) </w:t>
      </w:r>
      <w:r>
        <w:rPr>
          <w:b/>
        </w:rPr>
        <w:t>&gt;</w:t>
      </w:r>
      <w:r>
        <w:t xml:space="preserve"> </w:t>
      </w:r>
      <w:r>
        <w:rPr>
          <w:b/>
        </w:rPr>
        <w:t>R</w:t>
      </w:r>
      <w:r>
        <w:t>; and</w:t>
      </w:r>
    </w:p>
    <w:p>
      <w:pPr>
        <w:pStyle w:val="yIndenta"/>
        <w:rPr>
          <w:b/>
        </w:rPr>
      </w:pPr>
      <w:r>
        <w:rPr>
          <w:b/>
        </w:rPr>
        <w:tab/>
      </w:r>
      <w:r>
        <w:rPr>
          <w:b/>
        </w:rPr>
        <w:tab/>
      </w:r>
      <w:r>
        <w:rPr>
          <w:b/>
        </w:rPr>
        <w:tab/>
        <w:t>N &gt; W</w:t>
      </w:r>
      <w:r>
        <w:t>,</w:t>
      </w:r>
    </w:p>
    <w:p>
      <w:pPr>
        <w:pStyle w:val="yIndenta"/>
      </w:pPr>
      <w:r>
        <w:tab/>
      </w:r>
      <w:r>
        <w:tab/>
        <w:t xml:space="preserve">then — </w:t>
      </w:r>
    </w:p>
    <w:p>
      <w:pPr>
        <w:pStyle w:val="yIndenta"/>
      </w:pPr>
      <w:r>
        <w:tab/>
      </w:r>
      <w:r>
        <w:tab/>
      </w:r>
      <w:r>
        <w:tab/>
      </w:r>
      <w:r>
        <w:rPr>
          <w:b/>
        </w:rPr>
        <w:t>R</w:t>
      </w:r>
      <w:r>
        <w:t xml:space="preserve"> + {(</w:t>
      </w:r>
      <w:r>
        <w:rPr>
          <w:b/>
        </w:rPr>
        <w:t>N</w:t>
      </w:r>
      <w:r>
        <w:t xml:space="preserve"> </w:t>
      </w:r>
      <w:r>
        <w:sym w:font="Symbol" w:char="F02D"/>
      </w:r>
      <w:r>
        <w:t xml:space="preserve"> </w:t>
      </w:r>
      <w:r>
        <w:rPr>
          <w:b/>
        </w:rPr>
        <w:t>W</w:t>
      </w:r>
      <w:r>
        <w:t xml:space="preserve">) </w:t>
      </w:r>
      <w:r>
        <w:sym w:font="Symbol" w:char="F0B4"/>
      </w:r>
      <w:r>
        <w:t xml:space="preserve"> </w:t>
      </w:r>
      <w:r>
        <w:rPr>
          <w:b/>
        </w:rPr>
        <w:t>I</w:t>
      </w:r>
      <w:r>
        <w:t>}</w:t>
      </w:r>
    </w:p>
    <w:p>
      <w:pPr>
        <w:pStyle w:val="yIndenta"/>
      </w:pPr>
      <w:r>
        <w:tab/>
      </w:r>
      <w:r>
        <w:tab/>
        <w:t xml:space="preserve">where — </w:t>
      </w:r>
    </w:p>
    <w:p>
      <w:pPr>
        <w:pStyle w:val="yIndenta"/>
        <w:tabs>
          <w:tab w:val="left" w:pos="2160"/>
        </w:tabs>
        <w:ind w:left="2880" w:hanging="2880"/>
      </w:pPr>
      <w:r>
        <w:tab/>
      </w:r>
      <w:r>
        <w:tab/>
      </w:r>
      <w:r>
        <w:tab/>
        <w:t>P =</w:t>
      </w:r>
      <w:r>
        <w:tab/>
        <w:t>the annual charge calculated in accordance with the formula in item 18;</w:t>
      </w:r>
    </w:p>
    <w:p>
      <w:pPr>
        <w:pStyle w:val="yIndenta"/>
        <w:tabs>
          <w:tab w:val="left" w:pos="2160"/>
        </w:tabs>
        <w:ind w:left="2880" w:hanging="2880"/>
      </w:pPr>
      <w:r>
        <w:tab/>
      </w:r>
      <w:r>
        <w:tab/>
      </w:r>
      <w:r>
        <w:tab/>
      </w:r>
      <w:r>
        <w:rPr>
          <w:b/>
        </w:rPr>
        <w:t>Q</w:t>
      </w:r>
      <w:r>
        <w:t xml:space="preserve"> =</w:t>
      </w:r>
      <w:r>
        <w:tab/>
        <w:t>the quantity charge calculated in accordance with the formula in item 19;</w:t>
      </w:r>
    </w:p>
    <w:p>
      <w:pPr>
        <w:pStyle w:val="yIndenti0"/>
      </w:pPr>
      <w:r>
        <w:rPr>
          <w:b/>
        </w:rPr>
        <w:tab/>
      </w:r>
      <w:r>
        <w:rPr>
          <w:b/>
        </w:rPr>
        <w:tab/>
        <w:t>R</w:t>
      </w:r>
      <w:r>
        <w:t xml:space="preserve"> =</w:t>
      </w:r>
      <w:r>
        <w:tab/>
        <w:t>the charge calculated in accordance with the following formula — </w:t>
      </w:r>
    </w:p>
    <w:p>
      <w:pPr>
        <w:pStyle w:val="yIndenti0"/>
      </w:pPr>
      <w:r>
        <w:rPr>
          <w:b/>
        </w:rPr>
        <w:tab/>
      </w:r>
      <w:r>
        <w:rPr>
          <w:b/>
        </w:rPr>
        <w:tab/>
      </w:r>
      <w:r>
        <w:rPr>
          <w:b/>
        </w:rPr>
        <w:tab/>
        <w:t>A</w:t>
      </w:r>
      <w:r>
        <w:t xml:space="preserve"> </w:t>
      </w:r>
      <w:r>
        <w:sym w:font="Symbol" w:char="F0B4"/>
      </w:r>
      <w:r>
        <w:t xml:space="preserve"> </w:t>
      </w:r>
      <w:r>
        <w:rPr>
          <w:b/>
        </w:rPr>
        <w:t>S</w:t>
      </w:r>
    </w:p>
    <w:p>
      <w:pPr>
        <w:pStyle w:val="yIndenti0"/>
      </w:pPr>
      <w:r>
        <w:tab/>
      </w:r>
      <w:r>
        <w:tab/>
      </w:r>
      <w:r>
        <w:tab/>
        <w:t xml:space="preserve">where — </w:t>
      </w:r>
    </w:p>
    <w:p>
      <w:pPr>
        <w:pStyle w:val="yIndenti0"/>
        <w:rPr>
          <w:b/>
        </w:rPr>
      </w:pPr>
      <w:r>
        <w:rPr>
          <w:b/>
        </w:rPr>
        <w:tab/>
      </w:r>
      <w:r>
        <w:rPr>
          <w:b/>
        </w:rPr>
        <w:tab/>
        <w:t xml:space="preserve">A </w:t>
      </w:r>
      <w:r>
        <w:t>=</w:t>
      </w:r>
      <w:r>
        <w:rPr>
          <w:b/>
        </w:rPr>
        <w:tab/>
      </w:r>
      <w:r>
        <w:t>the charge payable in the 2011/2012 year</w:t>
      </w:r>
      <w:r>
        <w:rPr>
          <w:b/>
        </w:rPr>
        <w:t>;</w:t>
      </w:r>
    </w:p>
    <w:p>
      <w:pPr>
        <w:pStyle w:val="yIndenti0"/>
      </w:pPr>
      <w:r>
        <w:rPr>
          <w:b/>
        </w:rPr>
        <w:tab/>
      </w:r>
      <w:r>
        <w:rPr>
          <w:b/>
        </w:rPr>
        <w:tab/>
        <w:t xml:space="preserve">S </w:t>
      </w:r>
      <w:r>
        <w:t>=</w:t>
      </w:r>
      <w:r>
        <w:rPr>
          <w:b/>
        </w:rPr>
        <w:tab/>
      </w:r>
      <w:r>
        <w:t>1.136;</w:t>
      </w:r>
    </w:p>
    <w:p>
      <w:pPr>
        <w:pStyle w:val="yIndenti0"/>
      </w:pPr>
      <w:r>
        <w:rPr>
          <w:b/>
        </w:rPr>
        <w:tab/>
      </w:r>
      <w:r>
        <w:rPr>
          <w:b/>
        </w:rPr>
        <w:tab/>
        <w:t xml:space="preserve">N </w:t>
      </w:r>
      <w:r>
        <w:t>=</w:t>
      </w:r>
      <w:r>
        <w:rPr>
          <w:b/>
        </w:rPr>
        <w:tab/>
      </w:r>
      <w:r>
        <w:t>the discharge volume for the 2012/2013 year;</w:t>
      </w:r>
    </w:p>
    <w:p>
      <w:pPr>
        <w:pStyle w:val="yIndenti0"/>
      </w:pPr>
      <w:r>
        <w:rPr>
          <w:b/>
        </w:rPr>
        <w:tab/>
      </w:r>
      <w:r>
        <w:rPr>
          <w:b/>
        </w:rPr>
        <w:tab/>
        <w:t xml:space="preserve">W </w:t>
      </w:r>
      <w:r>
        <w:t>=</w:t>
      </w:r>
      <w:r>
        <w:rPr>
          <w:b/>
        </w:rPr>
        <w:tab/>
      </w:r>
      <w:r>
        <w:t>the discharge volume for the 2011/2012 year;</w:t>
      </w:r>
    </w:p>
    <w:p>
      <w:pPr>
        <w:pStyle w:val="yIndenti0"/>
      </w:pPr>
      <w:r>
        <w:rPr>
          <w:b/>
        </w:rPr>
        <w:tab/>
      </w:r>
      <w:r>
        <w:rPr>
          <w:b/>
        </w:rPr>
        <w:tab/>
        <w:t xml:space="preserve">I </w:t>
      </w:r>
      <w:r>
        <w:t>=</w:t>
      </w:r>
      <w:r>
        <w:rPr>
          <w:b/>
        </w:rPr>
        <w:tab/>
      </w:r>
      <w:r>
        <w:t>2.677.</w:t>
      </w:r>
    </w:p>
    <w:p>
      <w:pPr>
        <w:pStyle w:val="yHeading5"/>
      </w:pPr>
      <w:bookmarkStart w:id="765" w:name="_Toc84427999"/>
      <w:bookmarkStart w:id="766" w:name="_Toc328471493"/>
      <w:r>
        <w:t>14.</w:t>
      </w:r>
      <w:r>
        <w:tab/>
        <w:t>Metropolitan Government trading organisation and non</w:t>
      </w:r>
      <w:r>
        <w:noBreakHyphen/>
        <w:t>commercial Government property</w:t>
      </w:r>
      <w:bookmarkEnd w:id="765"/>
      <w:bookmarkEnd w:id="766"/>
    </w:p>
    <w:p>
      <w:pPr>
        <w:pStyle w:val="ySubsection"/>
      </w:pPr>
      <w:r>
        <w:tab/>
      </w:r>
      <w:r>
        <w:tab/>
        <w:t xml:space="preserve">In respect of a </w:t>
      </w:r>
      <w:r>
        <w:rPr>
          <w:snapToGrid w:val="0"/>
        </w:rPr>
        <w:t>non</w:t>
      </w:r>
      <w:r>
        <w:noBreakHyphen/>
        <w:t xml:space="preserve">commercial Government property, or a property held by a Government trading organisation, in the metropolitan area the charge payable in accordance with the following formula — </w:t>
      </w:r>
    </w:p>
    <w:p>
      <w:pPr>
        <w:pStyle w:val="ySubsection"/>
      </w:pPr>
      <w:r>
        <w:rPr>
          <w:b/>
        </w:rPr>
        <w:tab/>
      </w:r>
      <w:r>
        <w:rPr>
          <w:b/>
        </w:rPr>
        <w:tab/>
        <w:t>Y</w:t>
      </w:r>
      <w:r>
        <w:t xml:space="preserve"> + </w:t>
      </w:r>
      <w:r>
        <w:rPr>
          <w:b/>
        </w:rPr>
        <w:t>Q</w:t>
      </w:r>
    </w:p>
    <w:p>
      <w:pPr>
        <w:pStyle w:val="ySubsection"/>
      </w:pPr>
      <w:r>
        <w:tab/>
      </w:r>
      <w:r>
        <w:tab/>
        <w:t xml:space="preserve">where — </w:t>
      </w:r>
    </w:p>
    <w:p>
      <w:pPr>
        <w:pStyle w:val="yIndenta"/>
      </w:pPr>
      <w:r>
        <w:rPr>
          <w:b/>
        </w:rPr>
        <w:tab/>
        <w:t>Y</w:t>
      </w:r>
      <w:r>
        <w:t xml:space="preserve"> =</w:t>
      </w:r>
      <w:r>
        <w:tab/>
        <w:t>the charge payable for the relevant number of major fixtures in the 2012/2013 year as set out in the Table to item 18;</w:t>
      </w:r>
    </w:p>
    <w:p>
      <w:pPr>
        <w:pStyle w:val="yIndenta"/>
      </w:pPr>
      <w:r>
        <w:rPr>
          <w:b/>
        </w:rPr>
        <w:tab/>
        <w:t>Q</w:t>
      </w:r>
      <w:r>
        <w:t xml:space="preserve"> =</w:t>
      </w:r>
      <w:r>
        <w:tab/>
        <w:t>the quantity charge calculated in accordance with the formula in item 19.</w:t>
      </w:r>
    </w:p>
    <w:p>
      <w:pPr>
        <w:pStyle w:val="yHeading5"/>
      </w:pPr>
      <w:bookmarkStart w:id="767" w:name="_Toc84428000"/>
      <w:bookmarkStart w:id="768" w:name="_Toc328471494"/>
      <w:r>
        <w:t>15.</w:t>
      </w:r>
      <w:r>
        <w:tab/>
        <w:t>Metropolitan non strata</w:t>
      </w:r>
      <w:r>
        <w:noBreakHyphen/>
        <w:t>titled caravan park with long</w:t>
      </w:r>
      <w:r>
        <w:noBreakHyphen/>
        <w:t>term residential caravan bays</w:t>
      </w:r>
      <w:bookmarkEnd w:id="767"/>
      <w:bookmarkEnd w:id="768"/>
    </w:p>
    <w:p>
      <w:pPr>
        <w:pStyle w:val="ySubsection"/>
      </w:pPr>
      <w:r>
        <w:tab/>
      </w:r>
      <w:r>
        <w:tab/>
        <w:t xml:space="preserve">In respect of a caravan park in the metropolitan area — </w:t>
      </w:r>
    </w:p>
    <w:p>
      <w:pPr>
        <w:pStyle w:val="yIndenta"/>
      </w:pPr>
      <w:r>
        <w:tab/>
        <w:t>(a)</w:t>
      </w:r>
      <w:r>
        <w:tab/>
        <w:t>not consisting of strata</w:t>
      </w:r>
      <w:r>
        <w:noBreakHyphen/>
        <w:t>titled caravan bays referred to in item 3; and</w:t>
      </w:r>
    </w:p>
    <w:p>
      <w:pPr>
        <w:pStyle w:val="yIndenta"/>
      </w:pPr>
      <w:r>
        <w:tab/>
        <w:t>(b)</w:t>
      </w:r>
      <w:r>
        <w:tab/>
        <w:t>having long</w:t>
      </w:r>
      <w:r>
        <w:noBreakHyphen/>
        <w:t xml:space="preserve">term residential caravan bays, the charge payable in accordance with the following formula — </w:t>
      </w:r>
    </w:p>
    <w:p>
      <w:pPr>
        <w:pStyle w:val="yIndenta"/>
      </w:pPr>
      <w:r>
        <w:rPr>
          <w:b/>
        </w:rPr>
        <w:tab/>
      </w:r>
      <w:r>
        <w:rPr>
          <w:b/>
        </w:rPr>
        <w:tab/>
        <w:t>AA</w:t>
      </w:r>
      <w:r>
        <w:t xml:space="preserve"> + </w:t>
      </w:r>
      <w:r>
        <w:rPr>
          <w:b/>
        </w:rPr>
        <w:t>AB</w:t>
      </w:r>
    </w:p>
    <w:p>
      <w:pPr>
        <w:pStyle w:val="yIndenta"/>
      </w:pPr>
      <w:r>
        <w:tab/>
      </w:r>
      <w:r>
        <w:tab/>
        <w:t xml:space="preserve">where — </w:t>
      </w:r>
    </w:p>
    <w:p>
      <w:pPr>
        <w:pStyle w:val="yIndenti0"/>
      </w:pPr>
      <w:r>
        <w:rPr>
          <w:b/>
          <w:bCs/>
        </w:rPr>
        <w:tab/>
        <w:t>AA =</w:t>
      </w:r>
      <w:r>
        <w:tab/>
        <w:t>a charge of $240.50 for each long</w:t>
      </w:r>
      <w:r>
        <w:noBreakHyphen/>
        <w:t>term residential caravan bay;</w:t>
      </w:r>
    </w:p>
    <w:p>
      <w:pPr>
        <w:pStyle w:val="yIndenti0"/>
      </w:pPr>
      <w:r>
        <w:tab/>
        <w:t>AB =</w:t>
      </w:r>
      <w:r>
        <w:tab/>
        <w:t>the charge for any part of the caravan park not comprised in long</w:t>
      </w:r>
      <w:r>
        <w:noBreakHyphen/>
        <w:t xml:space="preserve">term residential caravan bays, calculated in accordance with the following formula — </w:t>
      </w:r>
    </w:p>
    <w:p>
      <w:pPr>
        <w:pStyle w:val="yIndenti0"/>
      </w:pPr>
      <w:r>
        <w:tab/>
      </w:r>
      <w:r>
        <w:tab/>
        <w:t>If (</w:t>
      </w:r>
      <w:r>
        <w:rPr>
          <w:b/>
        </w:rPr>
        <w:t>Y</w:t>
      </w:r>
      <w:r>
        <w:t xml:space="preserve"> + </w:t>
      </w:r>
      <w:r>
        <w:rPr>
          <w:b/>
        </w:rPr>
        <w:t>Q</w:t>
      </w:r>
      <w:r>
        <w:t xml:space="preserve">) </w:t>
      </w:r>
      <w:r>
        <w:sym w:font="Symbol" w:char="F0A3"/>
      </w:r>
      <w:r>
        <w:t xml:space="preserve"> </w:t>
      </w:r>
      <w:r>
        <w:rPr>
          <w:b/>
        </w:rPr>
        <w:t>R</w:t>
      </w:r>
      <w:r>
        <w:t xml:space="preserve">, then — </w:t>
      </w:r>
    </w:p>
    <w:p>
      <w:pPr>
        <w:pStyle w:val="yIndenti0"/>
      </w:pPr>
      <w:r>
        <w:tab/>
      </w:r>
      <w:r>
        <w:tab/>
      </w:r>
      <w:r>
        <w:rPr>
          <w:b/>
        </w:rPr>
        <w:t>Y</w:t>
      </w:r>
      <w:r>
        <w:t xml:space="preserve"> + </w:t>
      </w:r>
      <w:r>
        <w:rPr>
          <w:b/>
        </w:rPr>
        <w:t>Q</w:t>
      </w:r>
    </w:p>
    <w:p>
      <w:pPr>
        <w:pStyle w:val="yIndenti0"/>
      </w:pPr>
      <w:r>
        <w:tab/>
      </w:r>
      <w:r>
        <w:tab/>
        <w:t xml:space="preserve">or if — </w:t>
      </w:r>
    </w:p>
    <w:p>
      <w:pPr>
        <w:pStyle w:val="yIndenti0"/>
      </w:pPr>
      <w:r>
        <w:tab/>
      </w:r>
      <w:r>
        <w:tab/>
        <w:t>(</w:t>
      </w:r>
      <w:r>
        <w:rPr>
          <w:b/>
        </w:rPr>
        <w:t>Y</w:t>
      </w:r>
      <w:r>
        <w:t xml:space="preserve"> + </w:t>
      </w:r>
      <w:r>
        <w:rPr>
          <w:b/>
        </w:rPr>
        <w:t>Q</w:t>
      </w:r>
      <w:r>
        <w:t xml:space="preserve">) &gt; </w:t>
      </w:r>
      <w:r>
        <w:rPr>
          <w:b/>
        </w:rPr>
        <w:t>R</w:t>
      </w:r>
      <w:r>
        <w:t>; and</w:t>
      </w:r>
    </w:p>
    <w:p>
      <w:pPr>
        <w:pStyle w:val="yIndenti0"/>
      </w:pPr>
      <w:r>
        <w:tab/>
      </w:r>
      <w:r>
        <w:tab/>
      </w:r>
      <w:r>
        <w:rPr>
          <w:b/>
        </w:rPr>
        <w:t>N</w:t>
      </w:r>
      <w:r>
        <w:t xml:space="preserve"> </w:t>
      </w:r>
      <w:r>
        <w:sym w:font="Symbol" w:char="F0A3"/>
      </w:r>
      <w:r>
        <w:t xml:space="preserve"> </w:t>
      </w:r>
      <w:r>
        <w:rPr>
          <w:b/>
        </w:rPr>
        <w:t>W</w:t>
      </w:r>
      <w:r>
        <w:t>,</w:t>
      </w:r>
    </w:p>
    <w:p>
      <w:pPr>
        <w:pStyle w:val="yIndenti0"/>
      </w:pPr>
      <w:r>
        <w:tab/>
      </w:r>
      <w:r>
        <w:tab/>
        <w:t xml:space="preserve">then — </w:t>
      </w:r>
    </w:p>
    <w:p>
      <w:pPr>
        <w:pStyle w:val="yIndenti0"/>
        <w:rPr>
          <w:b/>
        </w:rPr>
      </w:pPr>
      <w:r>
        <w:tab/>
      </w:r>
      <w:r>
        <w:tab/>
      </w:r>
      <w:r>
        <w:rPr>
          <w:b/>
        </w:rPr>
        <w:t>R</w:t>
      </w:r>
    </w:p>
    <w:p>
      <w:pPr>
        <w:pStyle w:val="yIndenti0"/>
      </w:pPr>
      <w:r>
        <w:tab/>
      </w:r>
      <w:r>
        <w:tab/>
        <w:t xml:space="preserve">or if — </w:t>
      </w:r>
    </w:p>
    <w:p>
      <w:pPr>
        <w:pStyle w:val="yIndenti0"/>
      </w:pPr>
      <w:r>
        <w:tab/>
      </w:r>
      <w:r>
        <w:tab/>
        <w:t>(</w:t>
      </w:r>
      <w:r>
        <w:rPr>
          <w:b/>
        </w:rPr>
        <w:t>Y</w:t>
      </w:r>
      <w:r>
        <w:t xml:space="preserve"> + </w:t>
      </w:r>
      <w:r>
        <w:rPr>
          <w:b/>
        </w:rPr>
        <w:t>Q</w:t>
      </w:r>
      <w:r>
        <w:t xml:space="preserve">) &gt; </w:t>
      </w:r>
      <w:r>
        <w:rPr>
          <w:b/>
        </w:rPr>
        <w:t>R</w:t>
      </w:r>
      <w:r>
        <w:t>; and</w:t>
      </w:r>
    </w:p>
    <w:p>
      <w:pPr>
        <w:pStyle w:val="yIndenti0"/>
      </w:pPr>
      <w:r>
        <w:tab/>
      </w:r>
      <w:r>
        <w:tab/>
      </w:r>
      <w:r>
        <w:rPr>
          <w:b/>
        </w:rPr>
        <w:t>N</w:t>
      </w:r>
      <w:r>
        <w:t xml:space="preserve"> &gt; </w:t>
      </w:r>
      <w:r>
        <w:rPr>
          <w:b/>
        </w:rPr>
        <w:t>W</w:t>
      </w:r>
      <w:r>
        <w:t>,</w:t>
      </w:r>
    </w:p>
    <w:p>
      <w:pPr>
        <w:pStyle w:val="yIndenti0"/>
      </w:pPr>
      <w:r>
        <w:tab/>
      </w:r>
      <w:r>
        <w:tab/>
        <w:t xml:space="preserve">then — </w:t>
      </w:r>
    </w:p>
    <w:p>
      <w:pPr>
        <w:pStyle w:val="yIndenti0"/>
      </w:pPr>
      <w:r>
        <w:tab/>
      </w:r>
      <w:r>
        <w:tab/>
      </w:r>
      <w:r>
        <w:rPr>
          <w:b/>
        </w:rPr>
        <w:t>R</w:t>
      </w:r>
      <w:r>
        <w:t xml:space="preserve"> + {(</w:t>
      </w:r>
      <w:r>
        <w:rPr>
          <w:b/>
        </w:rPr>
        <w:t>N</w:t>
      </w:r>
      <w:r>
        <w:t xml:space="preserve"> – </w:t>
      </w:r>
      <w:r>
        <w:rPr>
          <w:b/>
        </w:rPr>
        <w:t>W</w:t>
      </w:r>
      <w:r>
        <w:t xml:space="preserve">) </w:t>
      </w:r>
      <w:r>
        <w:sym w:font="Symbol" w:char="F0B4"/>
      </w:r>
      <w:r>
        <w:t xml:space="preserve"> </w:t>
      </w:r>
      <w:r>
        <w:rPr>
          <w:b/>
        </w:rPr>
        <w:t>I</w:t>
      </w:r>
      <w:r>
        <w:t>}</w:t>
      </w:r>
    </w:p>
    <w:p>
      <w:pPr>
        <w:pStyle w:val="yIndenti0"/>
      </w:pPr>
      <w:r>
        <w:tab/>
      </w:r>
      <w:r>
        <w:tab/>
        <w:t xml:space="preserve">where — </w:t>
      </w:r>
    </w:p>
    <w:p>
      <w:pPr>
        <w:pStyle w:val="yIndenti0"/>
        <w:ind w:left="2880" w:hanging="2880"/>
      </w:pPr>
      <w:r>
        <w:tab/>
      </w:r>
      <w:r>
        <w:tab/>
      </w:r>
      <w:r>
        <w:rPr>
          <w:b/>
        </w:rPr>
        <w:t>Y</w:t>
      </w:r>
      <w:r>
        <w:t xml:space="preserve"> =</w:t>
      </w:r>
      <w:r>
        <w:tab/>
        <w:t>the charge payable for the number of major fixtures in the relevant part of the caravan park in the 2012/2013 year as set out in the Table to item 18;</w:t>
      </w:r>
    </w:p>
    <w:p>
      <w:pPr>
        <w:pStyle w:val="yIndenti0"/>
        <w:ind w:left="2880" w:hanging="2880"/>
      </w:pPr>
      <w:r>
        <w:tab/>
      </w:r>
      <w:r>
        <w:tab/>
      </w:r>
      <w:r>
        <w:rPr>
          <w:b/>
        </w:rPr>
        <w:t xml:space="preserve">Q </w:t>
      </w:r>
      <w:r>
        <w:t>=</w:t>
      </w:r>
      <w:r>
        <w:tab/>
        <w:t>the quantity charge calculated in accordance with the formula in item 19;</w:t>
      </w:r>
    </w:p>
    <w:p>
      <w:pPr>
        <w:pStyle w:val="yIndenti0"/>
        <w:ind w:left="2880" w:hanging="2880"/>
      </w:pPr>
      <w:r>
        <w:tab/>
      </w:r>
      <w:r>
        <w:tab/>
      </w:r>
      <w:r>
        <w:rPr>
          <w:b/>
        </w:rPr>
        <w:t>R</w:t>
      </w:r>
      <w:r>
        <w:t xml:space="preserve"> =</w:t>
      </w:r>
      <w:r>
        <w:tab/>
        <w:t>the charge calculated in accordance with the following formula — </w:t>
      </w:r>
    </w:p>
    <w:p>
      <w:pPr>
        <w:pStyle w:val="yIndenti0"/>
      </w:pPr>
      <w:r>
        <w:tab/>
      </w:r>
      <w:r>
        <w:tab/>
      </w:r>
      <w:r>
        <w:tab/>
      </w:r>
      <w:r>
        <w:rPr>
          <w:b/>
        </w:rPr>
        <w:t>A</w:t>
      </w:r>
      <w:r>
        <w:t xml:space="preserve"> </w:t>
      </w:r>
      <w:r>
        <w:sym w:font="Symbol" w:char="F0B4"/>
      </w:r>
      <w:r>
        <w:t xml:space="preserve"> </w:t>
      </w:r>
      <w:r>
        <w:rPr>
          <w:b/>
        </w:rPr>
        <w:t>S</w:t>
      </w:r>
    </w:p>
    <w:p>
      <w:pPr>
        <w:pStyle w:val="yIndenti0"/>
      </w:pPr>
      <w:r>
        <w:tab/>
      </w:r>
      <w:r>
        <w:tab/>
      </w:r>
      <w:r>
        <w:tab/>
        <w:t xml:space="preserve">where — </w:t>
      </w:r>
    </w:p>
    <w:p>
      <w:pPr>
        <w:pStyle w:val="yIndentA0"/>
      </w:pPr>
      <w:r>
        <w:rPr>
          <w:b/>
        </w:rPr>
        <w:tab/>
        <w:t>A</w:t>
      </w:r>
      <w:r>
        <w:t xml:space="preserve"> =</w:t>
      </w:r>
      <w:r>
        <w:tab/>
        <w:t>the amount payable in the 2011/2012 year;</w:t>
      </w:r>
    </w:p>
    <w:p>
      <w:pPr>
        <w:pStyle w:val="yIndentA0"/>
        <w:rPr>
          <w:b/>
        </w:rPr>
      </w:pPr>
      <w:r>
        <w:rPr>
          <w:b/>
        </w:rPr>
        <w:tab/>
        <w:t>S</w:t>
      </w:r>
      <w:r>
        <w:t xml:space="preserve"> </w:t>
      </w:r>
      <w:r>
        <w:rPr>
          <w:b/>
        </w:rPr>
        <w:t>=</w:t>
      </w:r>
      <w:r>
        <w:rPr>
          <w:b/>
        </w:rPr>
        <w:tab/>
      </w:r>
      <w:r>
        <w:t>1.136;</w:t>
      </w:r>
    </w:p>
    <w:p>
      <w:pPr>
        <w:pStyle w:val="yIndenti0"/>
      </w:pPr>
      <w:r>
        <w:tab/>
      </w:r>
      <w:r>
        <w:tab/>
      </w:r>
      <w:r>
        <w:rPr>
          <w:b/>
        </w:rPr>
        <w:t>N</w:t>
      </w:r>
      <w:r>
        <w:t xml:space="preserve"> =</w:t>
      </w:r>
      <w:r>
        <w:tab/>
        <w:t>the discharge volume for the 2012/2013 year;</w:t>
      </w:r>
    </w:p>
    <w:p>
      <w:pPr>
        <w:pStyle w:val="yIndenti0"/>
      </w:pPr>
      <w:r>
        <w:tab/>
      </w:r>
      <w:r>
        <w:tab/>
      </w:r>
      <w:r>
        <w:rPr>
          <w:b/>
        </w:rPr>
        <w:t>W</w:t>
      </w:r>
      <w:r>
        <w:t xml:space="preserve"> =</w:t>
      </w:r>
      <w:r>
        <w:tab/>
        <w:t>the discharge volume for the 2011/2012 year;</w:t>
      </w:r>
    </w:p>
    <w:p>
      <w:pPr>
        <w:pStyle w:val="yIndenti0"/>
      </w:pPr>
      <w:r>
        <w:tab/>
      </w:r>
      <w:r>
        <w:tab/>
      </w:r>
      <w:r>
        <w:rPr>
          <w:b/>
        </w:rPr>
        <w:t>I</w:t>
      </w:r>
      <w:r>
        <w:t xml:space="preserve"> =</w:t>
      </w:r>
      <w:r>
        <w:tab/>
        <w:t>2.677.</w:t>
      </w:r>
    </w:p>
    <w:p>
      <w:pPr>
        <w:pStyle w:val="yHeading5"/>
      </w:pPr>
      <w:bookmarkStart w:id="769" w:name="_Toc84428001"/>
      <w:bookmarkStart w:id="770" w:name="_Toc328471495"/>
      <w:r>
        <w:t>16.</w:t>
      </w:r>
      <w:r>
        <w:tab/>
        <w:t>Metropolitan nursing home</w:t>
      </w:r>
      <w:bookmarkEnd w:id="769"/>
      <w:bookmarkEnd w:id="770"/>
    </w:p>
    <w:p>
      <w:pPr>
        <w:pStyle w:val="ySubsection"/>
      </w:pPr>
      <w:r>
        <w:tab/>
      </w:r>
      <w:r>
        <w:tab/>
        <w:t>In respect of a nursing home in the metropolitan area, not being a nursing home which is, or is part of, an aged home the charge is calculated in accordance with the following formula —</w:t>
      </w:r>
    </w:p>
    <w:p>
      <w:pPr>
        <w:pStyle w:val="ySubsection"/>
      </w:pPr>
      <w:r>
        <w:tab/>
      </w:r>
      <w:r>
        <w:tab/>
        <w:t>If (</w:t>
      </w:r>
      <w:r>
        <w:rPr>
          <w:b/>
        </w:rPr>
        <w:t>T + Q</w:t>
      </w:r>
      <w:r>
        <w:t xml:space="preserve">) </w:t>
      </w:r>
      <w:r>
        <w:rPr>
          <w:b/>
        </w:rPr>
        <w:sym w:font="Symbol" w:char="F0A3"/>
      </w:r>
      <w:r>
        <w:t xml:space="preserve"> </w:t>
      </w:r>
      <w:r>
        <w:rPr>
          <w:b/>
        </w:rPr>
        <w:t>R</w:t>
      </w:r>
      <w:r>
        <w:t xml:space="preserve">, then — </w:t>
      </w:r>
    </w:p>
    <w:p>
      <w:pPr>
        <w:pStyle w:val="ySubsection"/>
      </w:pPr>
      <w:r>
        <w:tab/>
      </w:r>
      <w:r>
        <w:tab/>
      </w:r>
      <w:r>
        <w:rPr>
          <w:b/>
        </w:rPr>
        <w:t>T</w:t>
      </w:r>
      <w:r>
        <w:t xml:space="preserve"> + </w:t>
      </w:r>
      <w:r>
        <w:rPr>
          <w:b/>
        </w:rPr>
        <w:t>Q</w:t>
      </w:r>
    </w:p>
    <w:p>
      <w:pPr>
        <w:pStyle w:val="ySubsection"/>
      </w:pPr>
      <w:r>
        <w:tab/>
      </w:r>
      <w:r>
        <w:tab/>
        <w:t>or if (</w:t>
      </w:r>
      <w:r>
        <w:rPr>
          <w:b/>
        </w:rPr>
        <w:t>T</w:t>
      </w:r>
      <w:r>
        <w:t xml:space="preserve"> </w:t>
      </w:r>
      <w:r>
        <w:rPr>
          <w:b/>
        </w:rPr>
        <w:t>+</w:t>
      </w:r>
      <w:r>
        <w:t xml:space="preserve"> </w:t>
      </w:r>
      <w:r>
        <w:rPr>
          <w:b/>
        </w:rPr>
        <w:t>Q</w:t>
      </w:r>
      <w:r>
        <w:t xml:space="preserve">) </w:t>
      </w:r>
      <w:r>
        <w:rPr>
          <w:b/>
        </w:rPr>
        <w:t>&gt;</w:t>
      </w:r>
      <w:r>
        <w:t xml:space="preserve"> </w:t>
      </w:r>
      <w:r>
        <w:rPr>
          <w:b/>
        </w:rPr>
        <w:t>R</w:t>
      </w:r>
      <w:r>
        <w:t xml:space="preserve">, then — </w:t>
      </w:r>
    </w:p>
    <w:p>
      <w:pPr>
        <w:pStyle w:val="ySubsection"/>
        <w:rPr>
          <w:b/>
        </w:rPr>
      </w:pPr>
      <w:r>
        <w:rPr>
          <w:b/>
        </w:rPr>
        <w:tab/>
      </w:r>
      <w:r>
        <w:rPr>
          <w:b/>
        </w:rPr>
        <w:tab/>
        <w:t>R</w:t>
      </w:r>
    </w:p>
    <w:p>
      <w:pPr>
        <w:pStyle w:val="ySubsection"/>
      </w:pPr>
      <w:r>
        <w:tab/>
      </w:r>
      <w:r>
        <w:tab/>
        <w:t xml:space="preserve">where — </w:t>
      </w:r>
    </w:p>
    <w:p>
      <w:pPr>
        <w:pStyle w:val="yIndenta"/>
      </w:pPr>
      <w:r>
        <w:rPr>
          <w:b/>
        </w:rPr>
        <w:tab/>
        <w:t>T</w:t>
      </w:r>
      <w:r>
        <w:t xml:space="preserve"> =</w:t>
      </w:r>
      <w:r>
        <w:tab/>
        <w:t>the charge calculated in accordance with the following formula — </w:t>
      </w:r>
    </w:p>
    <w:p>
      <w:pPr>
        <w:pStyle w:val="yIndenta"/>
      </w:pPr>
      <w:r>
        <w:rPr>
          <w:b/>
        </w:rPr>
        <w:tab/>
      </w:r>
      <w:r>
        <w:rPr>
          <w:b/>
        </w:rPr>
        <w:tab/>
        <w:t>U</w:t>
      </w:r>
      <w:r>
        <w:t xml:space="preserve"> </w:t>
      </w:r>
      <w:r>
        <w:sym w:font="Symbol" w:char="F0B4"/>
      </w:r>
      <w:r>
        <w:t xml:space="preserve"> </w:t>
      </w:r>
      <w:r>
        <w:rPr>
          <w:b/>
        </w:rPr>
        <w:t>V</w:t>
      </w:r>
    </w:p>
    <w:p>
      <w:pPr>
        <w:pStyle w:val="yIndenta"/>
      </w:pPr>
      <w:r>
        <w:tab/>
      </w:r>
      <w:r>
        <w:tab/>
        <w:t xml:space="preserve">where — </w:t>
      </w:r>
    </w:p>
    <w:p>
      <w:pPr>
        <w:pStyle w:val="yIndenti0"/>
      </w:pPr>
      <w:r>
        <w:rPr>
          <w:b/>
        </w:rPr>
        <w:tab/>
        <w:t>U</w:t>
      </w:r>
      <w:r>
        <w:t xml:space="preserve"> =</w:t>
      </w:r>
      <w:r>
        <w:tab/>
        <w:t>the number of beds in the nursing home;</w:t>
      </w:r>
    </w:p>
    <w:p>
      <w:pPr>
        <w:pStyle w:val="yIndenti0"/>
      </w:pPr>
      <w:r>
        <w:rPr>
          <w:b/>
        </w:rPr>
        <w:tab/>
        <w:t>V</w:t>
      </w:r>
      <w:r>
        <w:t xml:space="preserve"> =</w:t>
      </w:r>
      <w:r>
        <w:tab/>
        <w:t>$131.80;</w:t>
      </w:r>
    </w:p>
    <w:p>
      <w:pPr>
        <w:pStyle w:val="yIndenta"/>
      </w:pPr>
      <w:r>
        <w:rPr>
          <w:b/>
        </w:rPr>
        <w:tab/>
        <w:t>Q</w:t>
      </w:r>
      <w:r>
        <w:t xml:space="preserve"> =</w:t>
      </w:r>
      <w:r>
        <w:tab/>
        <w:t>the quantity charge calculated in accordance with the formula in item 19;</w:t>
      </w:r>
    </w:p>
    <w:p>
      <w:pPr>
        <w:pStyle w:val="yIndenta"/>
      </w:pPr>
      <w:r>
        <w:rPr>
          <w:b/>
        </w:rPr>
        <w:tab/>
        <w:t>R</w:t>
      </w:r>
      <w:r>
        <w:t xml:space="preserve"> =</w:t>
      </w:r>
      <w:r>
        <w:tab/>
        <w:t xml:space="preserve">the charge calculated in accordance with the following formula — </w:t>
      </w:r>
    </w:p>
    <w:p>
      <w:pPr>
        <w:pStyle w:val="yIndenta"/>
      </w:pPr>
      <w:r>
        <w:rPr>
          <w:b/>
        </w:rPr>
        <w:tab/>
      </w:r>
      <w:r>
        <w:rPr>
          <w:b/>
        </w:rPr>
        <w:tab/>
        <w:t>A</w:t>
      </w:r>
      <w:r>
        <w:t xml:space="preserve"> </w:t>
      </w:r>
      <w:r>
        <w:sym w:font="Symbol" w:char="F0B4"/>
      </w:r>
      <w:r>
        <w:t xml:space="preserve"> </w:t>
      </w:r>
      <w:r>
        <w:rPr>
          <w:b/>
        </w:rPr>
        <w:t>S</w:t>
      </w:r>
    </w:p>
    <w:p>
      <w:pPr>
        <w:pStyle w:val="yIndenta"/>
      </w:pPr>
      <w:r>
        <w:tab/>
      </w:r>
      <w:r>
        <w:tab/>
        <w:t xml:space="preserve">where — </w:t>
      </w:r>
    </w:p>
    <w:p>
      <w:pPr>
        <w:pStyle w:val="yIndenti0"/>
      </w:pPr>
      <w:r>
        <w:rPr>
          <w:b/>
        </w:rPr>
        <w:tab/>
        <w:t>A</w:t>
      </w:r>
      <w:r>
        <w:t xml:space="preserve"> =</w:t>
      </w:r>
      <w:r>
        <w:tab/>
        <w:t xml:space="preserve">the amount payable in the 2011/2012 year; </w:t>
      </w:r>
    </w:p>
    <w:p>
      <w:pPr>
        <w:pStyle w:val="yIndenti0"/>
      </w:pPr>
      <w:r>
        <w:rPr>
          <w:b/>
        </w:rPr>
        <w:tab/>
        <w:t>S</w:t>
      </w:r>
      <w:r>
        <w:t xml:space="preserve"> =</w:t>
      </w:r>
      <w:r>
        <w:tab/>
        <w:t>1.136.</w:t>
      </w:r>
    </w:p>
    <w:p>
      <w:pPr>
        <w:pStyle w:val="yHeading5"/>
      </w:pPr>
      <w:bookmarkStart w:id="771" w:name="_Toc84428002"/>
      <w:bookmarkStart w:id="772" w:name="_Toc328471496"/>
      <w:r>
        <w:t>17.</w:t>
      </w:r>
      <w:r>
        <w:tab/>
        <w:t>Certain metropolitan strata</w:t>
      </w:r>
      <w:r>
        <w:noBreakHyphen/>
        <w:t>titled units</w:t>
      </w:r>
      <w:bookmarkEnd w:id="771"/>
      <w:bookmarkEnd w:id="772"/>
    </w:p>
    <w:p>
      <w:pPr>
        <w:pStyle w:val="ySubsection"/>
      </w:pPr>
      <w:r>
        <w:tab/>
      </w:r>
      <w:r>
        <w:tab/>
        <w:t>In respect of land in the metropolitan area that —</w:t>
      </w:r>
    </w:p>
    <w:p>
      <w:pPr>
        <w:pStyle w:val="yIndenta"/>
      </w:pPr>
      <w:r>
        <w:tab/>
        <w:t>(a)</w:t>
      </w:r>
      <w:r>
        <w:tab/>
        <w:t>is not classified residential or vacant land; and</w:t>
      </w:r>
    </w:p>
    <w:p>
      <w:pPr>
        <w:pStyle w:val="yIndenta"/>
      </w:pPr>
      <w:r>
        <w:tab/>
        <w:t>(b)</w:t>
      </w:r>
      <w:r>
        <w:tab/>
        <w:t xml:space="preserve">comprises a unit that is a lot within the meaning of the </w:t>
      </w:r>
      <w:r>
        <w:rPr>
          <w:i/>
        </w:rPr>
        <w:t>Strata Titles Act 1985</w:t>
      </w:r>
      <w:r>
        <w:t>; and</w:t>
      </w:r>
    </w:p>
    <w:p>
      <w:pPr>
        <w:pStyle w:val="yIndenta"/>
      </w:pPr>
      <w:r>
        <w:tab/>
        <w:t>(c)</w:t>
      </w:r>
      <w:r>
        <w:tab/>
        <w:t xml:space="preserve">shares a major fixture with another unit described in paragraph (b) and </w:t>
      </w:r>
      <w:r>
        <w:rPr>
          <w:spacing w:val="-1"/>
        </w:rPr>
        <w:t>has no other major fixtures that discharge into the sewer,</w:t>
      </w:r>
    </w:p>
    <w:p>
      <w:pPr>
        <w:pStyle w:val="ySubsection"/>
      </w:pPr>
      <w:r>
        <w:tab/>
      </w:r>
      <w:r>
        <w:tab/>
      </w:r>
      <w:r>
        <w:rPr>
          <w:spacing w:val="-1"/>
        </w:rPr>
        <w:t xml:space="preserve">and </w:t>
      </w:r>
      <w:r>
        <w:t>where</w:t>
      </w:r>
      <w:r>
        <w:rPr>
          <w:spacing w:val="-1"/>
        </w:rPr>
        <w:t xml:space="preserve"> </w:t>
      </w:r>
      <w:r>
        <w:t>the</w:t>
      </w:r>
      <w:r>
        <w:rPr>
          <w:spacing w:val="-1"/>
        </w:rPr>
        <w:t xml:space="preserve"> </w:t>
      </w:r>
      <w:r>
        <w:t>total</w:t>
      </w:r>
      <w:r>
        <w:rPr>
          <w:spacing w:val="-1"/>
        </w:rPr>
        <w:t xml:space="preserve"> number of major fixtures shared by all the units on the relevant strata plan is less than the number of those units,</w:t>
      </w:r>
      <w:r>
        <w:t xml:space="preserve"> an amount calculated in accordance with the following formula — </w:t>
      </w:r>
    </w:p>
    <w:p>
      <w:pPr>
        <w:pStyle w:val="ySubsection"/>
      </w:pPr>
      <w:r>
        <w:tab/>
      </w:r>
      <w:r>
        <w:tab/>
      </w:r>
      <w:r>
        <w:rPr>
          <w:b/>
          <w:bCs/>
        </w:rPr>
        <w:t>T</w:t>
      </w:r>
      <w:r>
        <w:t xml:space="preserve"> + </w:t>
      </w:r>
      <w:r>
        <w:rPr>
          <w:b/>
          <w:bCs/>
        </w:rPr>
        <w:t>Q</w:t>
      </w:r>
    </w:p>
    <w:p>
      <w:pPr>
        <w:pStyle w:val="ySubsection"/>
      </w:pPr>
      <w:r>
        <w:tab/>
      </w:r>
      <w:r>
        <w:tab/>
        <w:t xml:space="preserve">where — </w:t>
      </w:r>
    </w:p>
    <w:p>
      <w:pPr>
        <w:pStyle w:val="yIndenta"/>
      </w:pPr>
      <w:r>
        <w:rPr>
          <w:b/>
        </w:rPr>
        <w:tab/>
        <w:t>T</w:t>
      </w:r>
      <w:r>
        <w:t xml:space="preserve"> =</w:t>
      </w:r>
      <w:r>
        <w:tab/>
        <w:t>$452.80;</w:t>
      </w:r>
    </w:p>
    <w:p>
      <w:pPr>
        <w:pStyle w:val="yIndenta"/>
      </w:pPr>
      <w:r>
        <w:rPr>
          <w:b/>
        </w:rPr>
        <w:tab/>
        <w:t>Q</w:t>
      </w:r>
      <w:r>
        <w:t xml:space="preserve"> =</w:t>
      </w:r>
      <w:r>
        <w:tab/>
        <w:t>the quantity charge calculated in accordance with the formula in item 19.</w:t>
      </w:r>
    </w:p>
    <w:p>
      <w:pPr>
        <w:pStyle w:val="yFootnotesection"/>
      </w:pPr>
      <w:r>
        <w:tab/>
        <w:t>[Division 4 inserted in Gazette 20 Jun 2012 p. 2735</w:t>
      </w:r>
      <w:r>
        <w:noBreakHyphen/>
        <w:t>9.]</w:t>
      </w:r>
    </w:p>
    <w:p>
      <w:pPr>
        <w:pStyle w:val="yHeading3"/>
      </w:pPr>
      <w:bookmarkStart w:id="773" w:name="_Toc84428003"/>
      <w:bookmarkStart w:id="774" w:name="_Toc328403448"/>
      <w:bookmarkStart w:id="775" w:name="_Toc328471497"/>
      <w:r>
        <w:rPr>
          <w:rStyle w:val="CharSDivNo"/>
        </w:rPr>
        <w:t>Division 5</w:t>
      </w:r>
      <w:r>
        <w:rPr>
          <w:b w:val="0"/>
        </w:rPr>
        <w:t> — </w:t>
      </w:r>
      <w:r>
        <w:rPr>
          <w:rStyle w:val="CharSDivText"/>
        </w:rPr>
        <w:t>Computation of combined metropolitan charges</w:t>
      </w:r>
      <w:bookmarkEnd w:id="773"/>
      <w:bookmarkEnd w:id="774"/>
      <w:bookmarkEnd w:id="775"/>
    </w:p>
    <w:p>
      <w:pPr>
        <w:pStyle w:val="yFootnoteheading"/>
        <w:spacing w:after="60"/>
      </w:pPr>
      <w:r>
        <w:tab/>
        <w:t>[Heading inserted in Gazette 20 Jun 2012 p. 2739.]</w:t>
      </w:r>
    </w:p>
    <w:p>
      <w:pPr>
        <w:pStyle w:val="yHeading5"/>
      </w:pPr>
      <w:bookmarkStart w:id="776" w:name="_Toc84428004"/>
      <w:bookmarkStart w:id="777" w:name="_Toc328471498"/>
      <w:r>
        <w:t>18.</w:t>
      </w:r>
      <w:r>
        <w:tab/>
        <w:t>Formula for annual charge</w:t>
      </w:r>
      <w:bookmarkEnd w:id="776"/>
      <w:bookmarkEnd w:id="777"/>
    </w:p>
    <w:p>
      <w:pPr>
        <w:pStyle w:val="ySubsection"/>
      </w:pPr>
      <w:r>
        <w:tab/>
      </w:r>
      <w:r>
        <w:tab/>
        <w:t>For the purposes of Division 4, the annual charge (</w:t>
      </w:r>
      <w:r>
        <w:rPr>
          <w:rStyle w:val="CharDefText"/>
        </w:rPr>
        <w:t>P</w:t>
      </w:r>
      <w:r>
        <w:t xml:space="preserve">) is calculated according to the following formula — </w:t>
      </w:r>
    </w:p>
    <w:p>
      <w:pPr>
        <w:pStyle w:val="ySubsection"/>
      </w:pPr>
      <w:r>
        <w:tab/>
      </w:r>
      <w:r>
        <w:tab/>
        <w:t>If (</w:t>
      </w:r>
      <w:r>
        <w:rPr>
          <w:b/>
        </w:rPr>
        <w:t>A</w:t>
      </w:r>
      <w:r>
        <w:t xml:space="preserve"> </w:t>
      </w:r>
      <w:r>
        <w:sym w:font="Symbol" w:char="F0B4"/>
      </w:r>
      <w:r>
        <w:t xml:space="preserve"> </w:t>
      </w:r>
      <w:r>
        <w:rPr>
          <w:b/>
        </w:rPr>
        <w:t>B</w:t>
      </w:r>
      <w:r>
        <w:t xml:space="preserve">) </w:t>
      </w:r>
      <w:r>
        <w:sym w:font="Symbol" w:char="F0A3"/>
      </w:r>
      <w:r>
        <w:t xml:space="preserve"> (</w:t>
      </w:r>
      <w:r>
        <w:rPr>
          <w:b/>
        </w:rPr>
        <w:t>C</w:t>
      </w:r>
      <w:r>
        <w:t xml:space="preserve"> + </w:t>
      </w:r>
      <w:r>
        <w:rPr>
          <w:b/>
        </w:rPr>
        <w:t>D</w:t>
      </w:r>
      <w:r>
        <w:t xml:space="preserve">), then — </w:t>
      </w:r>
    </w:p>
    <w:p>
      <w:pPr>
        <w:pStyle w:val="ySubsection"/>
        <w:rPr>
          <w:b/>
        </w:rPr>
      </w:pPr>
      <w:r>
        <w:tab/>
      </w:r>
      <w:r>
        <w:tab/>
      </w:r>
      <w:r>
        <w:rPr>
          <w:b/>
        </w:rPr>
        <w:t>X</w:t>
      </w:r>
    </w:p>
    <w:p>
      <w:pPr>
        <w:pStyle w:val="ySubsection"/>
      </w:pPr>
      <w:r>
        <w:tab/>
      </w:r>
      <w:r>
        <w:tab/>
        <w:t>or if (</w:t>
      </w:r>
      <w:r>
        <w:rPr>
          <w:b/>
        </w:rPr>
        <w:t>A</w:t>
      </w:r>
      <w:r>
        <w:t xml:space="preserve"> </w:t>
      </w:r>
      <w:r>
        <w:sym w:font="Symbol" w:char="F0B4"/>
      </w:r>
      <w:r>
        <w:t xml:space="preserve"> </w:t>
      </w:r>
      <w:r>
        <w:rPr>
          <w:b/>
        </w:rPr>
        <w:t>B</w:t>
      </w:r>
      <w:r>
        <w:t>) &gt; (</w:t>
      </w:r>
      <w:r>
        <w:rPr>
          <w:b/>
        </w:rPr>
        <w:t>C</w:t>
      </w:r>
      <w:r>
        <w:t xml:space="preserve"> + </w:t>
      </w:r>
      <w:r>
        <w:rPr>
          <w:b/>
        </w:rPr>
        <w:t>D</w:t>
      </w:r>
      <w:r>
        <w:t xml:space="preserve">), then — </w:t>
      </w:r>
    </w:p>
    <w:p>
      <w:pPr>
        <w:pStyle w:val="ySubsection"/>
      </w:pPr>
      <w:r>
        <w:tab/>
      </w:r>
      <w:r>
        <w:tab/>
        <w:t>(</w:t>
      </w:r>
      <w:r>
        <w:rPr>
          <w:b/>
        </w:rPr>
        <w:t>A</w:t>
      </w:r>
      <w:r>
        <w:t xml:space="preserve"> </w:t>
      </w:r>
      <w:r>
        <w:sym w:font="Symbol" w:char="F0B4"/>
      </w:r>
      <w:r>
        <w:t xml:space="preserve"> </w:t>
      </w:r>
      <w:r>
        <w:rPr>
          <w:b/>
        </w:rPr>
        <w:t>B</w:t>
      </w:r>
      <w:r>
        <w:t>) – [{(</w:t>
      </w:r>
      <w:r>
        <w:rPr>
          <w:b/>
        </w:rPr>
        <w:t>A</w:t>
      </w:r>
      <w:r>
        <w:t xml:space="preserve"> </w:t>
      </w:r>
      <w:r>
        <w:sym w:font="Symbol" w:char="F0B4"/>
      </w:r>
      <w:r>
        <w:t xml:space="preserve"> </w:t>
      </w:r>
      <w:r>
        <w:rPr>
          <w:b/>
        </w:rPr>
        <w:t>B</w:t>
      </w:r>
      <w:r>
        <w:t>) – (</w:t>
      </w:r>
      <w:r>
        <w:rPr>
          <w:b/>
        </w:rPr>
        <w:t>C</w:t>
      </w:r>
      <w:r>
        <w:t xml:space="preserve"> + </w:t>
      </w:r>
      <w:r>
        <w:rPr>
          <w:b/>
        </w:rPr>
        <w:t>D</w:t>
      </w:r>
      <w:r>
        <w:t xml:space="preserve">)} </w:t>
      </w:r>
      <w:r>
        <w:sym w:font="Symbol" w:char="F0B4"/>
      </w:r>
      <w:r>
        <w:t xml:space="preserve"> </w:t>
      </w:r>
      <w:r>
        <w:rPr>
          <w:b/>
        </w:rPr>
        <w:t>E</w:t>
      </w:r>
      <w:r>
        <w:t>]</w:t>
      </w:r>
    </w:p>
    <w:p>
      <w:pPr>
        <w:pStyle w:val="ySubsection"/>
      </w:pPr>
      <w:r>
        <w:tab/>
      </w:r>
      <w:r>
        <w:tab/>
        <w:t xml:space="preserve">where — </w:t>
      </w:r>
    </w:p>
    <w:p>
      <w:pPr>
        <w:pStyle w:val="yIndenta"/>
      </w:pPr>
      <w:r>
        <w:tab/>
      </w:r>
      <w:r>
        <w:rPr>
          <w:b/>
        </w:rPr>
        <w:t>A</w:t>
      </w:r>
      <w:r>
        <w:t xml:space="preserve"> =</w:t>
      </w:r>
      <w:r>
        <w:tab/>
        <w:t>the amount payable in the 2011/2012 year;</w:t>
      </w:r>
    </w:p>
    <w:p>
      <w:pPr>
        <w:pStyle w:val="yIndenta"/>
      </w:pPr>
      <w:r>
        <w:tab/>
      </w:r>
      <w:r>
        <w:rPr>
          <w:b/>
        </w:rPr>
        <w:t>B</w:t>
      </w:r>
      <w:r>
        <w:t xml:space="preserve"> =</w:t>
      </w:r>
      <w:r>
        <w:tab/>
        <w:t>1.136;</w:t>
      </w:r>
    </w:p>
    <w:p>
      <w:pPr>
        <w:pStyle w:val="yIndenta"/>
      </w:pPr>
      <w:r>
        <w:tab/>
      </w:r>
      <w:r>
        <w:rPr>
          <w:b/>
        </w:rPr>
        <w:t>C</w:t>
      </w:r>
      <w:r>
        <w:t xml:space="preserve"> =</w:t>
      </w:r>
      <w:r>
        <w:tab/>
        <w:t>the charge payable for the relevant number of major fixtures for the 2012/2013 year as set out in the Table;</w:t>
      </w:r>
    </w:p>
    <w:p>
      <w:pPr>
        <w:pStyle w:val="yIndenta"/>
      </w:pPr>
      <w:r>
        <w:tab/>
      </w:r>
      <w:r>
        <w:rPr>
          <w:b/>
        </w:rPr>
        <w:t>D</w:t>
      </w:r>
      <w:r>
        <w:t xml:space="preserve"> =</w:t>
      </w:r>
      <w:r>
        <w:tab/>
        <w:t>discharge charge;</w:t>
      </w:r>
    </w:p>
    <w:p>
      <w:pPr>
        <w:pStyle w:val="yIndenta"/>
      </w:pPr>
      <w:r>
        <w:tab/>
      </w:r>
      <w:r>
        <w:rPr>
          <w:b/>
        </w:rPr>
        <w:t>E</w:t>
      </w:r>
      <w:r>
        <w:t xml:space="preserve"> =</w:t>
      </w:r>
      <w:r>
        <w:tab/>
        <w:t>1.000;</w:t>
      </w:r>
    </w:p>
    <w:p>
      <w:pPr>
        <w:pStyle w:val="yIndenta"/>
      </w:pPr>
      <w:r>
        <w:rPr>
          <w:b/>
        </w:rPr>
        <w:tab/>
        <w:t>X</w:t>
      </w:r>
      <w:r>
        <w:t xml:space="preserve"> =</w:t>
      </w:r>
      <w:r>
        <w:tab/>
        <w:t>the amount specified in relation to the 2012/2013 year for the relevant number of major fixtures as set out in the Table.</w:t>
      </w:r>
    </w:p>
    <w:p>
      <w:pPr>
        <w:pStyle w:val="yTHeadingNAm"/>
        <w:rPr>
          <w:bCs w:val="0"/>
        </w:rPr>
      </w:pPr>
      <w:r>
        <w:rPr>
          <w:bCs w:val="0"/>
        </w:rPr>
        <w:t>Table of major fixture</w:t>
      </w:r>
      <w:r>
        <w:rPr>
          <w:bCs w:val="0"/>
        </w:rPr>
        <w:noBreakHyphen/>
        <w:t>based minimum charges</w:t>
      </w:r>
      <w:r>
        <w:rPr>
          <w:bCs w:val="0"/>
        </w:rPr>
        <w:br/>
        <w:t>(per fixture)</w:t>
      </w:r>
    </w:p>
    <w:tbl>
      <w:tblPr>
        <w:tblW w:w="0" w:type="auto"/>
        <w:tblInd w:w="1446" w:type="dxa"/>
        <w:tblLayout w:type="fixed"/>
        <w:tblCellMar>
          <w:left w:w="28" w:type="dxa"/>
          <w:right w:w="28" w:type="dxa"/>
        </w:tblCellMar>
        <w:tblLook w:val="0000" w:firstRow="0" w:lastRow="0" w:firstColumn="0" w:lastColumn="0" w:noHBand="0" w:noVBand="0"/>
      </w:tblPr>
      <w:tblGrid>
        <w:gridCol w:w="2268"/>
        <w:gridCol w:w="2268"/>
      </w:tblGrid>
      <w:tr>
        <w:trPr>
          <w:tblHeader/>
        </w:trPr>
        <w:tc>
          <w:tcPr>
            <w:tcW w:w="2268" w:type="dxa"/>
            <w:tcBorders>
              <w:top w:val="single" w:sz="4" w:space="0" w:color="auto"/>
              <w:bottom w:val="single" w:sz="4" w:space="0" w:color="auto"/>
            </w:tcBorders>
          </w:tcPr>
          <w:p>
            <w:pPr>
              <w:pStyle w:val="yTableNAm"/>
              <w:jc w:val="center"/>
            </w:pPr>
            <w:r>
              <w:rPr>
                <w:b/>
                <w:bCs/>
              </w:rPr>
              <w:t>No. of fixtures</w:t>
            </w:r>
          </w:p>
        </w:tc>
        <w:tc>
          <w:tcPr>
            <w:tcW w:w="2268" w:type="dxa"/>
            <w:tcBorders>
              <w:top w:val="single" w:sz="4" w:space="0" w:color="auto"/>
              <w:bottom w:val="single" w:sz="4" w:space="0" w:color="auto"/>
            </w:tcBorders>
          </w:tcPr>
          <w:p>
            <w:pPr>
              <w:pStyle w:val="yTableNAm"/>
              <w:jc w:val="center"/>
            </w:pPr>
            <w:r>
              <w:rPr>
                <w:b/>
                <w:bCs/>
              </w:rPr>
              <w:t>Charge</w:t>
            </w:r>
            <w:r>
              <w:rPr>
                <w:b/>
                <w:bCs/>
              </w:rPr>
              <w:br/>
              <w:t>$</w:t>
            </w:r>
          </w:p>
        </w:tc>
      </w:tr>
      <w:tr>
        <w:tc>
          <w:tcPr>
            <w:tcW w:w="2268" w:type="dxa"/>
          </w:tcPr>
          <w:p>
            <w:pPr>
              <w:pStyle w:val="yTableNAm"/>
              <w:jc w:val="center"/>
            </w:pPr>
            <w:r>
              <w:t>1</w:t>
            </w:r>
          </w:p>
        </w:tc>
        <w:tc>
          <w:tcPr>
            <w:tcW w:w="2268" w:type="dxa"/>
          </w:tcPr>
          <w:p>
            <w:pPr>
              <w:pStyle w:val="yTableNAm"/>
              <w:jc w:val="center"/>
            </w:pPr>
            <w:r>
              <w:t>728.40</w:t>
            </w:r>
          </w:p>
        </w:tc>
      </w:tr>
      <w:tr>
        <w:tc>
          <w:tcPr>
            <w:tcW w:w="2268" w:type="dxa"/>
          </w:tcPr>
          <w:p>
            <w:pPr>
              <w:pStyle w:val="yTableNAm"/>
              <w:jc w:val="center"/>
            </w:pPr>
            <w:r>
              <w:t>2</w:t>
            </w:r>
          </w:p>
        </w:tc>
        <w:tc>
          <w:tcPr>
            <w:tcW w:w="2268" w:type="dxa"/>
          </w:tcPr>
          <w:p>
            <w:pPr>
              <w:pStyle w:val="yTableNAm"/>
              <w:jc w:val="center"/>
            </w:pPr>
            <w:r>
              <w:t>311.80</w:t>
            </w:r>
          </w:p>
        </w:tc>
      </w:tr>
      <w:tr>
        <w:tc>
          <w:tcPr>
            <w:tcW w:w="2268" w:type="dxa"/>
          </w:tcPr>
          <w:p>
            <w:pPr>
              <w:pStyle w:val="yTableNAm"/>
              <w:jc w:val="center"/>
            </w:pPr>
            <w:r>
              <w:t>3</w:t>
            </w:r>
          </w:p>
        </w:tc>
        <w:tc>
          <w:tcPr>
            <w:tcW w:w="2268" w:type="dxa"/>
          </w:tcPr>
          <w:p>
            <w:pPr>
              <w:pStyle w:val="yTableNAm"/>
              <w:jc w:val="center"/>
            </w:pPr>
            <w:r>
              <w:t>416.40</w:t>
            </w:r>
          </w:p>
        </w:tc>
      </w:tr>
      <w:tr>
        <w:tc>
          <w:tcPr>
            <w:tcW w:w="2268" w:type="dxa"/>
            <w:tcBorders>
              <w:bottom w:val="single" w:sz="4" w:space="0" w:color="auto"/>
            </w:tcBorders>
          </w:tcPr>
          <w:p>
            <w:pPr>
              <w:pStyle w:val="yTableNAm"/>
              <w:jc w:val="center"/>
            </w:pPr>
            <w:r>
              <w:t>4+</w:t>
            </w:r>
          </w:p>
        </w:tc>
        <w:tc>
          <w:tcPr>
            <w:tcW w:w="2268" w:type="dxa"/>
            <w:tcBorders>
              <w:bottom w:val="single" w:sz="4" w:space="0" w:color="auto"/>
            </w:tcBorders>
          </w:tcPr>
          <w:p>
            <w:pPr>
              <w:pStyle w:val="yTableNAm"/>
              <w:jc w:val="center"/>
            </w:pPr>
            <w:r>
              <w:t>452.80</w:t>
            </w:r>
          </w:p>
        </w:tc>
      </w:tr>
    </w:tbl>
    <w:p>
      <w:pPr>
        <w:pStyle w:val="yHeading5"/>
      </w:pPr>
      <w:bookmarkStart w:id="778" w:name="_Toc84428005"/>
      <w:bookmarkStart w:id="779" w:name="_Toc328471499"/>
      <w:r>
        <w:t>19.</w:t>
      </w:r>
      <w:r>
        <w:tab/>
        <w:t>Formula for quantity charge</w:t>
      </w:r>
      <w:bookmarkEnd w:id="778"/>
      <w:bookmarkEnd w:id="779"/>
    </w:p>
    <w:p>
      <w:pPr>
        <w:pStyle w:val="ySubsection"/>
        <w:rPr>
          <w:snapToGrid w:val="0"/>
        </w:rPr>
      </w:pPr>
      <w:r>
        <w:rPr>
          <w:snapToGrid w:val="0"/>
        </w:rPr>
        <w:tab/>
      </w:r>
      <w:r>
        <w:rPr>
          <w:snapToGrid w:val="0"/>
        </w:rPr>
        <w:tab/>
        <w:t xml:space="preserve">For the </w:t>
      </w:r>
      <w:r>
        <w:t>purposes</w:t>
      </w:r>
      <w:r>
        <w:rPr>
          <w:snapToGrid w:val="0"/>
        </w:rPr>
        <w:t xml:space="preserve"> of </w:t>
      </w:r>
      <w:r>
        <w:t>Division </w:t>
      </w:r>
      <w:r>
        <w:rPr>
          <w:snapToGrid w:val="0"/>
        </w:rPr>
        <w:t>4, the quantity charge (</w:t>
      </w:r>
      <w:r>
        <w:rPr>
          <w:rStyle w:val="CharDefText"/>
        </w:rPr>
        <w:t>Q</w:t>
      </w:r>
      <w:r>
        <w:rPr>
          <w:snapToGrid w:val="0"/>
        </w:rPr>
        <w:t xml:space="preserve">) is calculated in accordance with the following formula — </w:t>
      </w:r>
    </w:p>
    <w:p>
      <w:pPr>
        <w:pStyle w:val="ySubsection"/>
      </w:pPr>
      <w:r>
        <w:tab/>
      </w:r>
      <w:r>
        <w:tab/>
        <w:t>If (</w:t>
      </w:r>
      <w:r>
        <w:rPr>
          <w:b/>
        </w:rPr>
        <w:t>F</w:t>
      </w:r>
      <w:r>
        <w:t xml:space="preserve"> </w:t>
      </w:r>
      <w:r>
        <w:sym w:font="Symbol" w:char="F0B4"/>
      </w:r>
      <w:r>
        <w:t xml:space="preserve"> </w:t>
      </w:r>
      <w:r>
        <w:rPr>
          <w:b/>
        </w:rPr>
        <w:t>G</w:t>
      </w:r>
      <w:r>
        <w:t xml:space="preserve">) </w:t>
      </w:r>
      <w:r>
        <w:sym w:font="Symbol" w:char="F0A3"/>
      </w:r>
      <w:r>
        <w:t xml:space="preserve"> </w:t>
      </w:r>
      <w:r>
        <w:rPr>
          <w:b/>
        </w:rPr>
        <w:t>H</w:t>
      </w:r>
      <w:r>
        <w:t xml:space="preserve">, then — </w:t>
      </w:r>
    </w:p>
    <w:p>
      <w:pPr>
        <w:pStyle w:val="ySubsection"/>
      </w:pPr>
      <w:r>
        <w:tab/>
      </w:r>
      <w:r>
        <w:tab/>
        <w:t>nil</w:t>
      </w:r>
    </w:p>
    <w:p>
      <w:pPr>
        <w:pStyle w:val="ySubsection"/>
      </w:pPr>
      <w:r>
        <w:tab/>
      </w:r>
      <w:r>
        <w:tab/>
        <w:t>or if (</w:t>
      </w:r>
      <w:r>
        <w:rPr>
          <w:b/>
        </w:rPr>
        <w:t xml:space="preserve">F </w:t>
      </w:r>
      <w:r>
        <w:sym w:font="Symbol" w:char="F0B4"/>
      </w:r>
      <w:r>
        <w:t xml:space="preserve"> </w:t>
      </w:r>
      <w:r>
        <w:rPr>
          <w:b/>
        </w:rPr>
        <w:t>G</w:t>
      </w:r>
      <w:r>
        <w:t xml:space="preserve">) &gt; </w:t>
      </w:r>
      <w:r>
        <w:rPr>
          <w:b/>
        </w:rPr>
        <w:t>H</w:t>
      </w:r>
      <w:r>
        <w:t xml:space="preserve">, then — </w:t>
      </w:r>
    </w:p>
    <w:p>
      <w:pPr>
        <w:pStyle w:val="ySubsection"/>
      </w:pPr>
      <w:r>
        <w:tab/>
      </w:r>
      <w:r>
        <w:tab/>
        <w:t>{(</w:t>
      </w:r>
      <w:r>
        <w:rPr>
          <w:b/>
        </w:rPr>
        <w:t>F</w:t>
      </w:r>
      <w:r>
        <w:t xml:space="preserve"> </w:t>
      </w:r>
      <w:r>
        <w:sym w:font="Symbol" w:char="F0B4"/>
      </w:r>
      <w:r>
        <w:t xml:space="preserve"> </w:t>
      </w:r>
      <w:r>
        <w:rPr>
          <w:b/>
        </w:rPr>
        <w:t>G</w:t>
      </w:r>
      <w:r>
        <w:t xml:space="preserve">) – </w:t>
      </w:r>
      <w:r>
        <w:rPr>
          <w:b/>
        </w:rPr>
        <w:t>H</w:t>
      </w:r>
      <w:r>
        <w:t xml:space="preserve">} </w:t>
      </w:r>
      <w:r>
        <w:sym w:font="Symbol" w:char="F0B4"/>
      </w:r>
      <w:r>
        <w:t xml:space="preserve"> </w:t>
      </w:r>
      <w:r>
        <w:rPr>
          <w:b/>
        </w:rPr>
        <w:t>I</w:t>
      </w:r>
    </w:p>
    <w:p>
      <w:pPr>
        <w:pStyle w:val="ySubsection"/>
      </w:pPr>
      <w:r>
        <w:tab/>
      </w:r>
      <w:r>
        <w:tab/>
        <w:t xml:space="preserve">where — </w:t>
      </w:r>
    </w:p>
    <w:p>
      <w:pPr>
        <w:pStyle w:val="yIndenta"/>
      </w:pPr>
      <w:r>
        <w:rPr>
          <w:b/>
        </w:rPr>
        <w:tab/>
        <w:t>F</w:t>
      </w:r>
      <w:r>
        <w:t xml:space="preserve"> =</w:t>
      </w:r>
      <w:r>
        <w:tab/>
        <w:t>the volume of water delivered to the property in the 2012/2013 year;</w:t>
      </w:r>
    </w:p>
    <w:p>
      <w:pPr>
        <w:pStyle w:val="yIndenta"/>
      </w:pPr>
      <w:r>
        <w:rPr>
          <w:b/>
        </w:rPr>
        <w:tab/>
        <w:t>G</w:t>
      </w:r>
      <w:r>
        <w:t xml:space="preserve"> =</w:t>
      </w:r>
      <w:r>
        <w:tab/>
        <w:t>the discharge factor set for the property for the 2012/2013 year;</w:t>
      </w:r>
    </w:p>
    <w:p>
      <w:pPr>
        <w:pStyle w:val="yIndenta"/>
      </w:pPr>
      <w:r>
        <w:rPr>
          <w:b/>
        </w:rPr>
        <w:tab/>
        <w:t>H</w:t>
      </w:r>
      <w:r>
        <w:t xml:space="preserve"> =</w:t>
      </w:r>
      <w:r>
        <w:tab/>
        <w:t>the discharge allowance for the 2012/2013 year calculated in accordance with item 20;</w:t>
      </w:r>
    </w:p>
    <w:p>
      <w:pPr>
        <w:pStyle w:val="yIndenta"/>
      </w:pPr>
      <w:r>
        <w:rPr>
          <w:b/>
        </w:rPr>
        <w:tab/>
        <w:t>I</w:t>
      </w:r>
      <w:r>
        <w:t xml:space="preserve"> =</w:t>
      </w:r>
      <w:r>
        <w:tab/>
        <w:t>2.677.</w:t>
      </w:r>
    </w:p>
    <w:p>
      <w:pPr>
        <w:pStyle w:val="yHeading5"/>
      </w:pPr>
      <w:bookmarkStart w:id="780" w:name="_Toc84428006"/>
      <w:bookmarkStart w:id="781" w:name="_Toc328471500"/>
      <w:r>
        <w:t>20.</w:t>
      </w:r>
      <w:r>
        <w:tab/>
        <w:t>Discharge allowance</w:t>
      </w:r>
      <w:bookmarkEnd w:id="780"/>
      <w:bookmarkEnd w:id="781"/>
    </w:p>
    <w:p>
      <w:pPr>
        <w:pStyle w:val="ySubsection"/>
        <w:rPr>
          <w:snapToGrid w:val="0"/>
        </w:rPr>
      </w:pPr>
      <w:r>
        <w:rPr>
          <w:snapToGrid w:val="0"/>
        </w:rPr>
        <w:tab/>
      </w:r>
      <w:r>
        <w:rPr>
          <w:snapToGrid w:val="0"/>
        </w:rPr>
        <w:tab/>
        <w:t xml:space="preserve">For the purposes of item 19, the discharge </w:t>
      </w:r>
      <w:r>
        <w:t>allowance</w:t>
      </w:r>
      <w:r>
        <w:rPr>
          <w:snapToGrid w:val="0"/>
        </w:rPr>
        <w:t xml:space="preserve"> is — </w:t>
      </w:r>
    </w:p>
    <w:p>
      <w:pPr>
        <w:pStyle w:val="yIndenta"/>
        <w:rPr>
          <w:snapToGrid w:val="0"/>
        </w:rPr>
      </w:pPr>
      <w:r>
        <w:rPr>
          <w:snapToGrid w:val="0"/>
        </w:rPr>
        <w:tab/>
        <w:t>(a)</w:t>
      </w:r>
      <w:r>
        <w:rPr>
          <w:snapToGrid w:val="0"/>
        </w:rPr>
        <w:tab/>
        <w:t>for land to which item 13 applies that is not mentioned in paragraph (e), 200 kL of water; and</w:t>
      </w:r>
    </w:p>
    <w:p>
      <w:pPr>
        <w:pStyle w:val="yIndenta"/>
        <w:rPr>
          <w:snapToGrid w:val="0"/>
        </w:rPr>
      </w:pPr>
      <w:r>
        <w:rPr>
          <w:snapToGrid w:val="0"/>
        </w:rPr>
        <w:tab/>
        <w:t>(b)</w:t>
      </w:r>
      <w:r>
        <w:rPr>
          <w:snapToGrid w:val="0"/>
        </w:rPr>
        <w:tab/>
        <w:t>for a non</w:t>
      </w:r>
      <w:r>
        <w:rPr>
          <w:snapToGrid w:val="0"/>
        </w:rPr>
        <w:noBreakHyphen/>
        <w:t xml:space="preserve">commercial Government property, or a property held by a </w:t>
      </w:r>
      <w:r>
        <w:t>Government trading organisation</w:t>
      </w:r>
      <w:r>
        <w:rPr>
          <w:snapToGrid w:val="0"/>
        </w:rPr>
        <w:t>, 200 kL of water; and</w:t>
      </w:r>
    </w:p>
    <w:p>
      <w:pPr>
        <w:pStyle w:val="yIndenta"/>
        <w:rPr>
          <w:snapToGrid w:val="0"/>
        </w:rPr>
      </w:pPr>
      <w:r>
        <w:rPr>
          <w:snapToGrid w:val="0"/>
        </w:rPr>
        <w:tab/>
        <w:t>(c)</w:t>
      </w:r>
      <w:r>
        <w:rPr>
          <w:snapToGrid w:val="0"/>
        </w:rPr>
        <w:tab/>
        <w:t>for a caravan park referred to in item 15, an amount of water in kilolitres calculated in accordance with the following formula — </w:t>
      </w:r>
    </w:p>
    <w:p>
      <w:pPr>
        <w:pStyle w:val="yIndenta"/>
      </w:pPr>
      <w:r>
        <w:rPr>
          <w:b/>
        </w:rPr>
        <w:tab/>
      </w:r>
      <w:r>
        <w:rPr>
          <w:b/>
        </w:rPr>
        <w:tab/>
        <w:t>L</w:t>
      </w:r>
      <w:r>
        <w:t xml:space="preserve"> + </w:t>
      </w:r>
      <w:r>
        <w:rPr>
          <w:b/>
        </w:rPr>
        <w:t>M</w:t>
      </w:r>
    </w:p>
    <w:p>
      <w:pPr>
        <w:pStyle w:val="yIndenta"/>
      </w:pPr>
      <w:r>
        <w:tab/>
      </w:r>
      <w:r>
        <w:tab/>
        <w:t xml:space="preserve">where — </w:t>
      </w:r>
    </w:p>
    <w:p>
      <w:pPr>
        <w:pStyle w:val="yIndenti0"/>
        <w:tabs>
          <w:tab w:val="clear" w:pos="2041"/>
          <w:tab w:val="right" w:pos="2160"/>
        </w:tabs>
      </w:pPr>
      <w:r>
        <w:tab/>
      </w:r>
      <w:r>
        <w:rPr>
          <w:b/>
        </w:rPr>
        <w:t>L =</w:t>
      </w:r>
      <w:r>
        <w:rPr>
          <w:b/>
        </w:rPr>
        <w:tab/>
      </w:r>
      <w:r>
        <w:t>200;</w:t>
      </w:r>
    </w:p>
    <w:p>
      <w:pPr>
        <w:pStyle w:val="yIndenti0"/>
        <w:tabs>
          <w:tab w:val="clear" w:pos="2041"/>
          <w:tab w:val="right" w:pos="2160"/>
        </w:tabs>
      </w:pPr>
      <w:r>
        <w:rPr>
          <w:b/>
        </w:rPr>
        <w:tab/>
        <w:t xml:space="preserve">M </w:t>
      </w:r>
      <w:r>
        <w:t>=</w:t>
      </w:r>
      <w:r>
        <w:tab/>
        <w:t>75 kL of water for each long</w:t>
      </w:r>
      <w:r>
        <w:noBreakHyphen/>
        <w:t>term residential caravan bay;</w:t>
      </w:r>
    </w:p>
    <w:p>
      <w:pPr>
        <w:pStyle w:val="yIndenta"/>
      </w:pPr>
      <w:r>
        <w:tab/>
      </w:r>
      <w:r>
        <w:tab/>
        <w:t>and</w:t>
      </w:r>
    </w:p>
    <w:p>
      <w:pPr>
        <w:pStyle w:val="yIndenta"/>
        <w:rPr>
          <w:snapToGrid w:val="0"/>
        </w:rPr>
      </w:pPr>
      <w:r>
        <w:rPr>
          <w:snapToGrid w:val="0"/>
        </w:rPr>
        <w:tab/>
        <w:t>(d)</w:t>
      </w:r>
      <w:r>
        <w:rPr>
          <w:snapToGrid w:val="0"/>
        </w:rPr>
        <w:tab/>
        <w:t>for a nursing home referred to in item 16, 75 kL of water per bed; and</w:t>
      </w:r>
    </w:p>
    <w:p>
      <w:pPr>
        <w:pStyle w:val="yIndenta"/>
        <w:rPr>
          <w:snapToGrid w:val="0"/>
        </w:rPr>
      </w:pPr>
      <w:r>
        <w:rPr>
          <w:snapToGrid w:val="0"/>
        </w:rPr>
        <w:tab/>
        <w:t>(e)</w:t>
      </w:r>
      <w:r>
        <w:rPr>
          <w:snapToGrid w:val="0"/>
        </w:rPr>
        <w:tab/>
        <w:t>for properties served through a common metered service, 200 kL of water for each property.</w:t>
      </w:r>
    </w:p>
    <w:p>
      <w:pPr>
        <w:pStyle w:val="yFootnotesection"/>
      </w:pPr>
      <w:r>
        <w:tab/>
        <w:t>[Division 5 inserted in Gazette 20 Jun 2012 p. 2739</w:t>
      </w:r>
      <w:r>
        <w:noBreakHyphen/>
        <w:t>41.]</w:t>
      </w:r>
    </w:p>
    <w:p>
      <w:pPr>
        <w:pStyle w:val="yHeading3"/>
      </w:pPr>
      <w:bookmarkStart w:id="782" w:name="_Toc84428007"/>
      <w:bookmarkStart w:id="783" w:name="_Toc328403452"/>
      <w:bookmarkStart w:id="784" w:name="_Toc328471501"/>
      <w:r>
        <w:rPr>
          <w:rStyle w:val="CharSDivNo"/>
        </w:rPr>
        <w:t>Division 6 </w:t>
      </w:r>
      <w:r>
        <w:t>—</w:t>
      </w:r>
      <w:r>
        <w:rPr>
          <w:rStyle w:val="CharSDivNo"/>
        </w:rPr>
        <w:t> </w:t>
      </w:r>
      <w:r>
        <w:rPr>
          <w:rStyle w:val="CharSDivText"/>
        </w:rPr>
        <w:t>Service charges for industrial waste</w:t>
      </w:r>
      <w:bookmarkEnd w:id="782"/>
      <w:bookmarkEnd w:id="783"/>
      <w:bookmarkEnd w:id="784"/>
    </w:p>
    <w:p>
      <w:pPr>
        <w:pStyle w:val="yFootnoteheading"/>
        <w:spacing w:after="60"/>
      </w:pPr>
      <w:r>
        <w:tab/>
        <w:t>[Heading inserted in Gazette 20 Jun 2012 p. 2742.]</w:t>
      </w:r>
    </w:p>
    <w:tbl>
      <w:tblPr>
        <w:tblW w:w="0" w:type="auto"/>
        <w:tblInd w:w="534" w:type="dxa"/>
        <w:tblLayout w:type="fixed"/>
        <w:tblLook w:val="0000" w:firstRow="0" w:lastRow="0" w:firstColumn="0" w:lastColumn="0" w:noHBand="0" w:noVBand="0"/>
      </w:tblPr>
      <w:tblGrid>
        <w:gridCol w:w="850"/>
        <w:gridCol w:w="4198"/>
        <w:gridCol w:w="14"/>
        <w:gridCol w:w="14"/>
        <w:gridCol w:w="1444"/>
      </w:tblGrid>
      <w:tr>
        <w:trPr>
          <w:cantSplit/>
        </w:trPr>
        <w:tc>
          <w:tcPr>
            <w:tcW w:w="850" w:type="dxa"/>
          </w:tcPr>
          <w:p>
            <w:pPr>
              <w:pStyle w:val="yTableNAm"/>
              <w:rPr>
                <w:b/>
                <w:szCs w:val="22"/>
              </w:rPr>
            </w:pPr>
            <w:r>
              <w:rPr>
                <w:b/>
                <w:szCs w:val="22"/>
              </w:rPr>
              <w:t>21.</w:t>
            </w:r>
          </w:p>
        </w:tc>
        <w:tc>
          <w:tcPr>
            <w:tcW w:w="5670" w:type="dxa"/>
            <w:gridSpan w:val="4"/>
          </w:tcPr>
          <w:p>
            <w:pPr>
              <w:pStyle w:val="yTableNAm"/>
              <w:rPr>
                <w:b/>
                <w:bCs/>
                <w:spacing w:val="-1"/>
                <w:szCs w:val="22"/>
              </w:rPr>
            </w:pPr>
            <w:r>
              <w:rPr>
                <w:b/>
                <w:bCs/>
                <w:szCs w:val="22"/>
              </w:rPr>
              <w:t>Inspection — routine programme</w:t>
            </w:r>
          </w:p>
        </w:tc>
      </w:tr>
      <w:tr>
        <w:tc>
          <w:tcPr>
            <w:tcW w:w="850" w:type="dxa"/>
          </w:tcPr>
          <w:p>
            <w:pPr>
              <w:pStyle w:val="yTableNAm"/>
              <w:rPr>
                <w:szCs w:val="22"/>
              </w:rPr>
            </w:pPr>
          </w:p>
        </w:tc>
        <w:tc>
          <w:tcPr>
            <w:tcW w:w="4226" w:type="dxa"/>
            <w:gridSpan w:val="3"/>
          </w:tcPr>
          <w:p>
            <w:pPr>
              <w:pStyle w:val="yTableNAm"/>
              <w:tabs>
                <w:tab w:val="right" w:leader="dot" w:pos="4253"/>
              </w:tabs>
              <w:rPr>
                <w:szCs w:val="22"/>
              </w:rPr>
            </w:pPr>
            <w:r>
              <w:rPr>
                <w:szCs w:val="22"/>
              </w:rPr>
              <w:t xml:space="preserve">For an inspection for a routine programme </w:t>
            </w:r>
            <w:r>
              <w:rPr>
                <w:szCs w:val="22"/>
              </w:rPr>
              <w:tab/>
            </w:r>
          </w:p>
        </w:tc>
        <w:tc>
          <w:tcPr>
            <w:tcW w:w="1444" w:type="dxa"/>
            <w:vAlign w:val="bottom"/>
          </w:tcPr>
          <w:p>
            <w:pPr>
              <w:pStyle w:val="yTableNAm"/>
              <w:tabs>
                <w:tab w:val="clear" w:pos="567"/>
                <w:tab w:val="left" w:pos="202"/>
              </w:tabs>
              <w:rPr>
                <w:spacing w:val="-1"/>
                <w:szCs w:val="22"/>
              </w:rPr>
            </w:pPr>
            <w:r>
              <w:rPr>
                <w:spacing w:val="-1"/>
                <w:szCs w:val="22"/>
              </w:rPr>
              <w:t>$132.00/hour</w:t>
            </w:r>
          </w:p>
        </w:tc>
      </w:tr>
      <w:tr>
        <w:tc>
          <w:tcPr>
            <w:tcW w:w="850" w:type="dxa"/>
          </w:tcPr>
          <w:p>
            <w:pPr>
              <w:pStyle w:val="yTableNAm"/>
              <w:rPr>
                <w:b/>
                <w:szCs w:val="22"/>
              </w:rPr>
            </w:pPr>
            <w:r>
              <w:rPr>
                <w:b/>
                <w:szCs w:val="22"/>
              </w:rPr>
              <w:t>22.</w:t>
            </w:r>
          </w:p>
        </w:tc>
        <w:tc>
          <w:tcPr>
            <w:tcW w:w="4226" w:type="dxa"/>
            <w:gridSpan w:val="3"/>
          </w:tcPr>
          <w:p>
            <w:pPr>
              <w:pStyle w:val="yTableNAm"/>
              <w:tabs>
                <w:tab w:val="right" w:leader="dot" w:pos="4253"/>
              </w:tabs>
              <w:rPr>
                <w:b/>
                <w:bCs/>
                <w:szCs w:val="22"/>
              </w:rPr>
            </w:pPr>
            <w:r>
              <w:rPr>
                <w:b/>
                <w:bCs/>
                <w:snapToGrid w:val="0"/>
                <w:szCs w:val="22"/>
              </w:rPr>
              <w:t>Meter reading — routine programme</w:t>
            </w:r>
          </w:p>
        </w:tc>
        <w:tc>
          <w:tcPr>
            <w:tcW w:w="1444" w:type="dxa"/>
            <w:vAlign w:val="bottom"/>
          </w:tcPr>
          <w:p>
            <w:pPr>
              <w:pStyle w:val="yTableNAm"/>
              <w:tabs>
                <w:tab w:val="clear" w:pos="567"/>
                <w:tab w:val="left" w:pos="194"/>
              </w:tabs>
              <w:rPr>
                <w:spacing w:val="-1"/>
                <w:szCs w:val="22"/>
              </w:rPr>
            </w:pPr>
          </w:p>
        </w:tc>
      </w:tr>
      <w:tr>
        <w:tc>
          <w:tcPr>
            <w:tcW w:w="850" w:type="dxa"/>
          </w:tcPr>
          <w:p>
            <w:pPr>
              <w:pStyle w:val="yTableNAm"/>
              <w:rPr>
                <w:szCs w:val="22"/>
              </w:rPr>
            </w:pPr>
          </w:p>
        </w:tc>
        <w:tc>
          <w:tcPr>
            <w:tcW w:w="4226" w:type="dxa"/>
            <w:gridSpan w:val="3"/>
          </w:tcPr>
          <w:p>
            <w:pPr>
              <w:pStyle w:val="yTableNAm"/>
              <w:tabs>
                <w:tab w:val="right" w:leader="dot" w:pos="4253"/>
              </w:tabs>
              <w:rPr>
                <w:szCs w:val="22"/>
              </w:rPr>
            </w:pPr>
            <w:r>
              <w:rPr>
                <w:szCs w:val="22"/>
              </w:rPr>
              <w:t xml:space="preserve">For each meter reading for a routine programme </w:t>
            </w:r>
            <w:r>
              <w:rPr>
                <w:szCs w:val="22"/>
              </w:rPr>
              <w:tab/>
            </w:r>
          </w:p>
        </w:tc>
        <w:tc>
          <w:tcPr>
            <w:tcW w:w="1444" w:type="dxa"/>
            <w:vAlign w:val="bottom"/>
          </w:tcPr>
          <w:p>
            <w:pPr>
              <w:pStyle w:val="yTableNAm"/>
              <w:tabs>
                <w:tab w:val="clear" w:pos="567"/>
                <w:tab w:val="left" w:pos="194"/>
              </w:tabs>
              <w:rPr>
                <w:spacing w:val="-1"/>
                <w:szCs w:val="22"/>
              </w:rPr>
            </w:pPr>
            <w:r>
              <w:rPr>
                <w:spacing w:val="-1"/>
                <w:szCs w:val="22"/>
              </w:rPr>
              <w:t>$24.10</w:t>
            </w:r>
          </w:p>
        </w:tc>
      </w:tr>
      <w:tr>
        <w:tc>
          <w:tcPr>
            <w:tcW w:w="850" w:type="dxa"/>
          </w:tcPr>
          <w:p>
            <w:pPr>
              <w:pStyle w:val="yTableNAm"/>
              <w:rPr>
                <w:b/>
                <w:szCs w:val="22"/>
              </w:rPr>
            </w:pPr>
            <w:r>
              <w:rPr>
                <w:b/>
                <w:szCs w:val="22"/>
              </w:rPr>
              <w:t>23.</w:t>
            </w:r>
          </w:p>
        </w:tc>
        <w:tc>
          <w:tcPr>
            <w:tcW w:w="4226" w:type="dxa"/>
            <w:gridSpan w:val="3"/>
          </w:tcPr>
          <w:p>
            <w:pPr>
              <w:pStyle w:val="yTableNAm"/>
              <w:tabs>
                <w:tab w:val="right" w:leader="dot" w:pos="4253"/>
              </w:tabs>
              <w:rPr>
                <w:b/>
                <w:bCs/>
                <w:szCs w:val="22"/>
              </w:rPr>
            </w:pPr>
            <w:r>
              <w:rPr>
                <w:b/>
                <w:bCs/>
                <w:snapToGrid w:val="0"/>
                <w:szCs w:val="22"/>
              </w:rPr>
              <w:t>Grab samples — routine programme</w:t>
            </w:r>
          </w:p>
        </w:tc>
        <w:tc>
          <w:tcPr>
            <w:tcW w:w="1444" w:type="dxa"/>
            <w:vAlign w:val="bottom"/>
          </w:tcPr>
          <w:p>
            <w:pPr>
              <w:pStyle w:val="yTableNAm"/>
              <w:tabs>
                <w:tab w:val="clear" w:pos="567"/>
                <w:tab w:val="left" w:pos="194"/>
              </w:tabs>
              <w:rPr>
                <w:spacing w:val="-1"/>
                <w:szCs w:val="22"/>
              </w:rPr>
            </w:pPr>
          </w:p>
        </w:tc>
      </w:tr>
      <w:tr>
        <w:tc>
          <w:tcPr>
            <w:tcW w:w="850" w:type="dxa"/>
          </w:tcPr>
          <w:p>
            <w:pPr>
              <w:pStyle w:val="yTableNAm"/>
              <w:rPr>
                <w:szCs w:val="22"/>
              </w:rPr>
            </w:pPr>
          </w:p>
        </w:tc>
        <w:tc>
          <w:tcPr>
            <w:tcW w:w="4226" w:type="dxa"/>
            <w:gridSpan w:val="3"/>
          </w:tcPr>
          <w:p>
            <w:pPr>
              <w:pStyle w:val="yTableNAm"/>
              <w:tabs>
                <w:tab w:val="right" w:leader="dot" w:pos="4253"/>
              </w:tabs>
              <w:rPr>
                <w:spacing w:val="-12"/>
                <w:szCs w:val="22"/>
              </w:rPr>
            </w:pPr>
            <w:r>
              <w:rPr>
                <w:szCs w:val="22"/>
              </w:rPr>
              <w:t xml:space="preserve">For each grab sample for a routine programme </w:t>
            </w:r>
            <w:r>
              <w:rPr>
                <w:szCs w:val="22"/>
              </w:rPr>
              <w:tab/>
            </w:r>
          </w:p>
        </w:tc>
        <w:tc>
          <w:tcPr>
            <w:tcW w:w="1444" w:type="dxa"/>
            <w:vAlign w:val="bottom"/>
          </w:tcPr>
          <w:p>
            <w:pPr>
              <w:pStyle w:val="yTableNAm"/>
              <w:tabs>
                <w:tab w:val="clear" w:pos="567"/>
                <w:tab w:val="left" w:pos="194"/>
              </w:tabs>
              <w:rPr>
                <w:spacing w:val="-1"/>
                <w:szCs w:val="22"/>
              </w:rPr>
            </w:pPr>
            <w:r>
              <w:rPr>
                <w:spacing w:val="-1"/>
                <w:szCs w:val="22"/>
              </w:rPr>
              <w:t>$280.50</w:t>
            </w:r>
          </w:p>
        </w:tc>
      </w:tr>
      <w:tr>
        <w:tc>
          <w:tcPr>
            <w:tcW w:w="850" w:type="dxa"/>
          </w:tcPr>
          <w:p>
            <w:pPr>
              <w:pStyle w:val="yTableNAm"/>
              <w:keepNext/>
              <w:keepLines/>
              <w:rPr>
                <w:b/>
                <w:szCs w:val="22"/>
              </w:rPr>
            </w:pPr>
            <w:r>
              <w:rPr>
                <w:b/>
                <w:szCs w:val="22"/>
              </w:rPr>
              <w:t>24.</w:t>
            </w:r>
          </w:p>
        </w:tc>
        <w:tc>
          <w:tcPr>
            <w:tcW w:w="4226" w:type="dxa"/>
            <w:gridSpan w:val="3"/>
          </w:tcPr>
          <w:p>
            <w:pPr>
              <w:pStyle w:val="yTableNAm"/>
              <w:keepNext/>
              <w:keepLines/>
              <w:tabs>
                <w:tab w:val="right" w:leader="dot" w:pos="4253"/>
              </w:tabs>
              <w:rPr>
                <w:b/>
                <w:bCs/>
                <w:szCs w:val="22"/>
              </w:rPr>
            </w:pPr>
            <w:r>
              <w:rPr>
                <w:b/>
                <w:bCs/>
                <w:snapToGrid w:val="0"/>
                <w:szCs w:val="22"/>
              </w:rPr>
              <w:t xml:space="preserve">Composite samples — </w:t>
            </w:r>
            <w:r>
              <w:rPr>
                <w:b/>
                <w:bCs/>
                <w:spacing w:val="-1"/>
                <w:szCs w:val="22"/>
              </w:rPr>
              <w:t>routine programme</w:t>
            </w:r>
          </w:p>
        </w:tc>
        <w:tc>
          <w:tcPr>
            <w:tcW w:w="1444" w:type="dxa"/>
            <w:vAlign w:val="bottom"/>
          </w:tcPr>
          <w:p>
            <w:pPr>
              <w:pStyle w:val="yTableNAm"/>
              <w:keepNext/>
              <w:keepLines/>
              <w:tabs>
                <w:tab w:val="clear" w:pos="567"/>
                <w:tab w:val="left" w:pos="194"/>
              </w:tabs>
              <w:rPr>
                <w:spacing w:val="-1"/>
                <w:szCs w:val="22"/>
              </w:rPr>
            </w:pPr>
          </w:p>
        </w:tc>
      </w:tr>
      <w:tr>
        <w:tc>
          <w:tcPr>
            <w:tcW w:w="850" w:type="dxa"/>
          </w:tcPr>
          <w:p>
            <w:pPr>
              <w:pStyle w:val="yTableNAm"/>
              <w:keepNext/>
              <w:keepLines/>
              <w:rPr>
                <w:szCs w:val="22"/>
              </w:rPr>
            </w:pPr>
          </w:p>
        </w:tc>
        <w:tc>
          <w:tcPr>
            <w:tcW w:w="4226" w:type="dxa"/>
            <w:gridSpan w:val="3"/>
          </w:tcPr>
          <w:p>
            <w:pPr>
              <w:pStyle w:val="yTableNAm"/>
              <w:keepNext/>
              <w:keepLines/>
              <w:tabs>
                <w:tab w:val="right" w:leader="dot" w:pos="4253"/>
              </w:tabs>
              <w:rPr>
                <w:spacing w:val="-1"/>
                <w:szCs w:val="22"/>
              </w:rPr>
            </w:pPr>
            <w:r>
              <w:rPr>
                <w:spacing w:val="-1"/>
                <w:szCs w:val="22"/>
              </w:rPr>
              <w:t xml:space="preserve">For each </w:t>
            </w:r>
            <w:r>
              <w:rPr>
                <w:szCs w:val="22"/>
              </w:rPr>
              <w:t>composite sample</w:t>
            </w:r>
            <w:r>
              <w:rPr>
                <w:spacing w:val="-1"/>
                <w:szCs w:val="22"/>
              </w:rPr>
              <w:t xml:space="preserve"> for a routine </w:t>
            </w:r>
            <w:r>
              <w:rPr>
                <w:szCs w:val="22"/>
              </w:rPr>
              <w:t>programme</w:t>
            </w:r>
            <w:r>
              <w:rPr>
                <w:spacing w:val="-1"/>
                <w:szCs w:val="22"/>
              </w:rPr>
              <w:t xml:space="preserve"> </w:t>
            </w:r>
            <w:r>
              <w:rPr>
                <w:spacing w:val="-1"/>
                <w:szCs w:val="22"/>
              </w:rPr>
              <w:tab/>
            </w:r>
          </w:p>
        </w:tc>
        <w:tc>
          <w:tcPr>
            <w:tcW w:w="1444" w:type="dxa"/>
            <w:vAlign w:val="bottom"/>
          </w:tcPr>
          <w:p>
            <w:pPr>
              <w:pStyle w:val="yTableNAm"/>
              <w:keepNext/>
              <w:keepLines/>
              <w:tabs>
                <w:tab w:val="clear" w:pos="567"/>
                <w:tab w:val="left" w:pos="194"/>
              </w:tabs>
              <w:rPr>
                <w:spacing w:val="-1"/>
                <w:szCs w:val="22"/>
              </w:rPr>
            </w:pPr>
            <w:r>
              <w:rPr>
                <w:spacing w:val="-1"/>
                <w:szCs w:val="22"/>
              </w:rPr>
              <w:t>$658.90</w:t>
            </w:r>
          </w:p>
        </w:tc>
      </w:tr>
      <w:tr>
        <w:tc>
          <w:tcPr>
            <w:tcW w:w="850" w:type="dxa"/>
          </w:tcPr>
          <w:p>
            <w:pPr>
              <w:pStyle w:val="yTableNAm"/>
              <w:rPr>
                <w:b/>
                <w:szCs w:val="22"/>
              </w:rPr>
            </w:pPr>
            <w:r>
              <w:rPr>
                <w:b/>
                <w:szCs w:val="22"/>
              </w:rPr>
              <w:t>25.</w:t>
            </w:r>
          </w:p>
        </w:tc>
        <w:tc>
          <w:tcPr>
            <w:tcW w:w="4226" w:type="dxa"/>
            <w:gridSpan w:val="3"/>
          </w:tcPr>
          <w:p>
            <w:pPr>
              <w:pStyle w:val="yTableNAm"/>
              <w:keepNext/>
              <w:tabs>
                <w:tab w:val="right" w:leader="dot" w:pos="4253"/>
              </w:tabs>
              <w:rPr>
                <w:b/>
                <w:bCs/>
                <w:szCs w:val="22"/>
              </w:rPr>
            </w:pPr>
            <w:r>
              <w:rPr>
                <w:b/>
                <w:bCs/>
                <w:szCs w:val="22"/>
              </w:rPr>
              <w:t>Establishment charge — unscheduled visit</w:t>
            </w:r>
          </w:p>
        </w:tc>
        <w:tc>
          <w:tcPr>
            <w:tcW w:w="1444" w:type="dxa"/>
            <w:vAlign w:val="bottom"/>
          </w:tcPr>
          <w:p>
            <w:pPr>
              <w:pStyle w:val="yTableNAm"/>
              <w:keepNext/>
              <w:tabs>
                <w:tab w:val="clear" w:pos="567"/>
                <w:tab w:val="left" w:pos="194"/>
              </w:tabs>
              <w:rPr>
                <w:spacing w:val="-1"/>
                <w:szCs w:val="22"/>
              </w:rPr>
            </w:pPr>
          </w:p>
        </w:tc>
      </w:tr>
      <w:tr>
        <w:tc>
          <w:tcPr>
            <w:tcW w:w="850" w:type="dxa"/>
          </w:tcPr>
          <w:p>
            <w:pPr>
              <w:pStyle w:val="yTableNAm"/>
              <w:rPr>
                <w:szCs w:val="22"/>
              </w:rPr>
            </w:pPr>
          </w:p>
        </w:tc>
        <w:tc>
          <w:tcPr>
            <w:tcW w:w="4226" w:type="dxa"/>
            <w:gridSpan w:val="3"/>
          </w:tcPr>
          <w:p>
            <w:pPr>
              <w:pStyle w:val="yTableNAm"/>
              <w:keepNext/>
              <w:tabs>
                <w:tab w:val="right" w:leader="dot" w:pos="4253"/>
              </w:tabs>
              <w:rPr>
                <w:spacing w:val="-1"/>
                <w:szCs w:val="22"/>
              </w:rPr>
            </w:pPr>
            <w:r>
              <w:rPr>
                <w:spacing w:val="-1"/>
                <w:szCs w:val="22"/>
              </w:rPr>
              <w:t xml:space="preserve">Establishment charge </w:t>
            </w:r>
            <w:r>
              <w:rPr>
                <w:spacing w:val="-12"/>
                <w:szCs w:val="22"/>
              </w:rPr>
              <w:t>for</w:t>
            </w:r>
            <w:r>
              <w:rPr>
                <w:spacing w:val="-1"/>
                <w:szCs w:val="22"/>
              </w:rPr>
              <w:t xml:space="preserve"> an </w:t>
            </w:r>
            <w:r>
              <w:rPr>
                <w:szCs w:val="22"/>
              </w:rPr>
              <w:t>unscheduled</w:t>
            </w:r>
            <w:r>
              <w:rPr>
                <w:spacing w:val="-1"/>
                <w:szCs w:val="22"/>
              </w:rPr>
              <w:t xml:space="preserve"> visit</w:t>
            </w:r>
            <w:r>
              <w:rPr>
                <w:spacing w:val="-1"/>
                <w:szCs w:val="22"/>
              </w:rPr>
              <w:tab/>
              <w:t xml:space="preserve"> </w:t>
            </w:r>
          </w:p>
        </w:tc>
        <w:tc>
          <w:tcPr>
            <w:tcW w:w="1444" w:type="dxa"/>
            <w:vAlign w:val="bottom"/>
          </w:tcPr>
          <w:p>
            <w:pPr>
              <w:pStyle w:val="yTableNAm"/>
              <w:keepNext/>
              <w:tabs>
                <w:tab w:val="clear" w:pos="567"/>
                <w:tab w:val="left" w:pos="194"/>
              </w:tabs>
              <w:rPr>
                <w:spacing w:val="-1"/>
                <w:szCs w:val="22"/>
              </w:rPr>
            </w:pPr>
            <w:r>
              <w:rPr>
                <w:spacing w:val="-1"/>
                <w:szCs w:val="22"/>
              </w:rPr>
              <w:t>$120.00/hour</w:t>
            </w:r>
          </w:p>
        </w:tc>
      </w:tr>
      <w:tr>
        <w:tc>
          <w:tcPr>
            <w:tcW w:w="850" w:type="dxa"/>
          </w:tcPr>
          <w:p>
            <w:pPr>
              <w:pStyle w:val="yTableNAm"/>
              <w:rPr>
                <w:b/>
                <w:szCs w:val="22"/>
              </w:rPr>
            </w:pPr>
            <w:r>
              <w:rPr>
                <w:b/>
                <w:szCs w:val="22"/>
              </w:rPr>
              <w:t>26.</w:t>
            </w:r>
          </w:p>
        </w:tc>
        <w:tc>
          <w:tcPr>
            <w:tcW w:w="4226" w:type="dxa"/>
            <w:gridSpan w:val="3"/>
          </w:tcPr>
          <w:p>
            <w:pPr>
              <w:pStyle w:val="yTableNAm"/>
              <w:tabs>
                <w:tab w:val="right" w:leader="dot" w:pos="4253"/>
              </w:tabs>
              <w:rPr>
                <w:b/>
                <w:bCs/>
                <w:spacing w:val="-1"/>
                <w:szCs w:val="22"/>
              </w:rPr>
            </w:pPr>
            <w:r>
              <w:rPr>
                <w:b/>
                <w:bCs/>
                <w:snapToGrid w:val="0"/>
                <w:szCs w:val="22"/>
              </w:rPr>
              <w:t xml:space="preserve">Product evaluation — </w:t>
            </w:r>
            <w:r>
              <w:rPr>
                <w:b/>
                <w:bCs/>
                <w:spacing w:val="-1"/>
                <w:szCs w:val="22"/>
              </w:rPr>
              <w:t>unscheduled visit</w:t>
            </w:r>
          </w:p>
        </w:tc>
        <w:tc>
          <w:tcPr>
            <w:tcW w:w="1444" w:type="dxa"/>
            <w:vAlign w:val="bottom"/>
          </w:tcPr>
          <w:p>
            <w:pPr>
              <w:pStyle w:val="yTableNAm"/>
              <w:tabs>
                <w:tab w:val="clear" w:pos="567"/>
                <w:tab w:val="left" w:pos="194"/>
              </w:tabs>
              <w:rPr>
                <w:spacing w:val="-1"/>
                <w:szCs w:val="22"/>
              </w:rPr>
            </w:pPr>
          </w:p>
        </w:tc>
      </w:tr>
      <w:tr>
        <w:tc>
          <w:tcPr>
            <w:tcW w:w="850" w:type="dxa"/>
          </w:tcPr>
          <w:p>
            <w:pPr>
              <w:pStyle w:val="yTableNAm"/>
              <w:rPr>
                <w:szCs w:val="22"/>
              </w:rPr>
            </w:pPr>
          </w:p>
        </w:tc>
        <w:tc>
          <w:tcPr>
            <w:tcW w:w="4226" w:type="dxa"/>
            <w:gridSpan w:val="3"/>
          </w:tcPr>
          <w:p>
            <w:pPr>
              <w:pStyle w:val="yTableNAm"/>
              <w:tabs>
                <w:tab w:val="right" w:leader="dot" w:pos="4253"/>
              </w:tabs>
              <w:rPr>
                <w:spacing w:val="-1"/>
                <w:szCs w:val="22"/>
              </w:rPr>
            </w:pPr>
            <w:r>
              <w:rPr>
                <w:spacing w:val="-1"/>
                <w:szCs w:val="22"/>
              </w:rPr>
              <w:t xml:space="preserve">Product evaluation for an unscheduled visit </w:t>
            </w:r>
            <w:r>
              <w:rPr>
                <w:spacing w:val="-1"/>
                <w:szCs w:val="22"/>
              </w:rPr>
              <w:tab/>
            </w:r>
          </w:p>
        </w:tc>
        <w:tc>
          <w:tcPr>
            <w:tcW w:w="1444" w:type="dxa"/>
            <w:vAlign w:val="bottom"/>
          </w:tcPr>
          <w:p>
            <w:pPr>
              <w:pStyle w:val="yTableNAm"/>
              <w:tabs>
                <w:tab w:val="clear" w:pos="567"/>
                <w:tab w:val="left" w:pos="194"/>
              </w:tabs>
              <w:rPr>
                <w:spacing w:val="-1"/>
                <w:szCs w:val="22"/>
              </w:rPr>
            </w:pPr>
            <w:r>
              <w:rPr>
                <w:spacing w:val="-1"/>
                <w:szCs w:val="22"/>
              </w:rPr>
              <w:t>$150.30/hour</w:t>
            </w:r>
          </w:p>
        </w:tc>
      </w:tr>
      <w:tr>
        <w:tc>
          <w:tcPr>
            <w:tcW w:w="850" w:type="dxa"/>
          </w:tcPr>
          <w:p>
            <w:pPr>
              <w:pStyle w:val="yTableNAm"/>
              <w:rPr>
                <w:b/>
                <w:szCs w:val="22"/>
              </w:rPr>
            </w:pPr>
            <w:r>
              <w:rPr>
                <w:b/>
                <w:szCs w:val="22"/>
              </w:rPr>
              <w:t>27.</w:t>
            </w:r>
          </w:p>
        </w:tc>
        <w:tc>
          <w:tcPr>
            <w:tcW w:w="4226" w:type="dxa"/>
            <w:gridSpan w:val="3"/>
          </w:tcPr>
          <w:p>
            <w:pPr>
              <w:pStyle w:val="yTableNAm"/>
              <w:tabs>
                <w:tab w:val="right" w:leader="dot" w:pos="4253"/>
              </w:tabs>
              <w:rPr>
                <w:b/>
                <w:bCs/>
                <w:spacing w:val="-1"/>
                <w:szCs w:val="22"/>
              </w:rPr>
            </w:pPr>
            <w:r>
              <w:rPr>
                <w:b/>
                <w:bCs/>
                <w:snapToGrid w:val="0"/>
                <w:szCs w:val="22"/>
              </w:rPr>
              <w:t xml:space="preserve">Grab samples — </w:t>
            </w:r>
            <w:r>
              <w:rPr>
                <w:b/>
                <w:bCs/>
                <w:spacing w:val="-1"/>
                <w:szCs w:val="22"/>
              </w:rPr>
              <w:t>unscheduled visit</w:t>
            </w:r>
          </w:p>
        </w:tc>
        <w:tc>
          <w:tcPr>
            <w:tcW w:w="1444" w:type="dxa"/>
            <w:vAlign w:val="bottom"/>
          </w:tcPr>
          <w:p>
            <w:pPr>
              <w:pStyle w:val="yTableNAm"/>
              <w:tabs>
                <w:tab w:val="clear" w:pos="567"/>
                <w:tab w:val="left" w:pos="194"/>
              </w:tabs>
              <w:rPr>
                <w:spacing w:val="-1"/>
                <w:szCs w:val="22"/>
              </w:rPr>
            </w:pPr>
          </w:p>
        </w:tc>
      </w:tr>
      <w:tr>
        <w:tc>
          <w:tcPr>
            <w:tcW w:w="850" w:type="dxa"/>
          </w:tcPr>
          <w:p>
            <w:pPr>
              <w:pStyle w:val="yTableNAm"/>
              <w:rPr>
                <w:szCs w:val="22"/>
              </w:rPr>
            </w:pPr>
          </w:p>
        </w:tc>
        <w:tc>
          <w:tcPr>
            <w:tcW w:w="4226" w:type="dxa"/>
            <w:gridSpan w:val="3"/>
          </w:tcPr>
          <w:p>
            <w:pPr>
              <w:pStyle w:val="yTableNAm"/>
              <w:tabs>
                <w:tab w:val="right" w:leader="dot" w:pos="4253"/>
              </w:tabs>
              <w:rPr>
                <w:spacing w:val="-1"/>
                <w:szCs w:val="22"/>
              </w:rPr>
            </w:pPr>
            <w:r>
              <w:rPr>
                <w:spacing w:val="-1"/>
                <w:szCs w:val="22"/>
              </w:rPr>
              <w:t xml:space="preserve">For each grab sample for an unscheduled visit </w:t>
            </w:r>
          </w:p>
        </w:tc>
        <w:tc>
          <w:tcPr>
            <w:tcW w:w="1444" w:type="dxa"/>
            <w:vAlign w:val="bottom"/>
          </w:tcPr>
          <w:p>
            <w:pPr>
              <w:pStyle w:val="yTableNAm"/>
              <w:tabs>
                <w:tab w:val="clear" w:pos="567"/>
                <w:tab w:val="left" w:pos="194"/>
              </w:tabs>
              <w:rPr>
                <w:spacing w:val="-1"/>
                <w:szCs w:val="22"/>
              </w:rPr>
            </w:pPr>
            <w:r>
              <w:rPr>
                <w:spacing w:val="-1"/>
                <w:szCs w:val="22"/>
              </w:rPr>
              <w:t>At cost</w:t>
            </w:r>
          </w:p>
        </w:tc>
      </w:tr>
      <w:tr>
        <w:tc>
          <w:tcPr>
            <w:tcW w:w="850" w:type="dxa"/>
          </w:tcPr>
          <w:p>
            <w:pPr>
              <w:pStyle w:val="yTableNAm"/>
              <w:rPr>
                <w:b/>
                <w:szCs w:val="22"/>
              </w:rPr>
            </w:pPr>
            <w:r>
              <w:rPr>
                <w:b/>
                <w:szCs w:val="22"/>
              </w:rPr>
              <w:t>28.</w:t>
            </w:r>
          </w:p>
        </w:tc>
        <w:tc>
          <w:tcPr>
            <w:tcW w:w="4226" w:type="dxa"/>
            <w:gridSpan w:val="3"/>
          </w:tcPr>
          <w:p>
            <w:pPr>
              <w:pStyle w:val="yTableNAm"/>
              <w:tabs>
                <w:tab w:val="right" w:leader="dot" w:pos="4253"/>
              </w:tabs>
              <w:rPr>
                <w:b/>
                <w:bCs/>
                <w:spacing w:val="-1"/>
                <w:szCs w:val="22"/>
              </w:rPr>
            </w:pPr>
            <w:r>
              <w:rPr>
                <w:b/>
                <w:bCs/>
                <w:snapToGrid w:val="0"/>
                <w:szCs w:val="22"/>
              </w:rPr>
              <w:t xml:space="preserve">Composite samples — </w:t>
            </w:r>
            <w:r>
              <w:rPr>
                <w:b/>
                <w:bCs/>
                <w:spacing w:val="-1"/>
                <w:szCs w:val="22"/>
              </w:rPr>
              <w:t>unscheduled visit</w:t>
            </w:r>
          </w:p>
        </w:tc>
        <w:tc>
          <w:tcPr>
            <w:tcW w:w="1444" w:type="dxa"/>
            <w:vAlign w:val="bottom"/>
          </w:tcPr>
          <w:p>
            <w:pPr>
              <w:pStyle w:val="yTableNAm"/>
              <w:tabs>
                <w:tab w:val="clear" w:pos="567"/>
                <w:tab w:val="left" w:pos="194"/>
              </w:tabs>
              <w:rPr>
                <w:spacing w:val="-1"/>
                <w:szCs w:val="22"/>
              </w:rPr>
            </w:pPr>
          </w:p>
        </w:tc>
      </w:tr>
      <w:tr>
        <w:tc>
          <w:tcPr>
            <w:tcW w:w="850" w:type="dxa"/>
          </w:tcPr>
          <w:p>
            <w:pPr>
              <w:pStyle w:val="yTableNAm"/>
              <w:rPr>
                <w:szCs w:val="22"/>
              </w:rPr>
            </w:pPr>
          </w:p>
        </w:tc>
        <w:tc>
          <w:tcPr>
            <w:tcW w:w="4226" w:type="dxa"/>
            <w:gridSpan w:val="3"/>
          </w:tcPr>
          <w:p>
            <w:pPr>
              <w:pStyle w:val="yTableNAm"/>
              <w:tabs>
                <w:tab w:val="right" w:leader="dot" w:pos="4253"/>
              </w:tabs>
              <w:rPr>
                <w:spacing w:val="-1"/>
                <w:szCs w:val="22"/>
              </w:rPr>
            </w:pPr>
            <w:r>
              <w:rPr>
                <w:spacing w:val="-1"/>
                <w:szCs w:val="22"/>
              </w:rPr>
              <w:t xml:space="preserve">For each composite sample for an unscheduled visit </w:t>
            </w:r>
            <w:r>
              <w:rPr>
                <w:spacing w:val="-1"/>
                <w:szCs w:val="22"/>
              </w:rPr>
              <w:tab/>
            </w:r>
          </w:p>
        </w:tc>
        <w:tc>
          <w:tcPr>
            <w:tcW w:w="1444" w:type="dxa"/>
            <w:vAlign w:val="bottom"/>
          </w:tcPr>
          <w:p>
            <w:pPr>
              <w:pStyle w:val="yTableNAm"/>
              <w:tabs>
                <w:tab w:val="clear" w:pos="567"/>
                <w:tab w:val="left" w:pos="194"/>
              </w:tabs>
              <w:rPr>
                <w:spacing w:val="-1"/>
                <w:szCs w:val="22"/>
              </w:rPr>
            </w:pPr>
            <w:r>
              <w:rPr>
                <w:spacing w:val="-1"/>
                <w:szCs w:val="22"/>
              </w:rPr>
              <w:t>At cost</w:t>
            </w:r>
          </w:p>
        </w:tc>
      </w:tr>
      <w:tr>
        <w:trPr>
          <w:cantSplit/>
        </w:trPr>
        <w:tc>
          <w:tcPr>
            <w:tcW w:w="850" w:type="dxa"/>
          </w:tcPr>
          <w:p>
            <w:pPr>
              <w:pStyle w:val="yTableNAm"/>
              <w:rPr>
                <w:b/>
                <w:szCs w:val="22"/>
              </w:rPr>
            </w:pPr>
            <w:r>
              <w:rPr>
                <w:b/>
                <w:szCs w:val="22"/>
              </w:rPr>
              <w:t>29.</w:t>
            </w:r>
          </w:p>
        </w:tc>
        <w:tc>
          <w:tcPr>
            <w:tcW w:w="5670" w:type="dxa"/>
            <w:gridSpan w:val="4"/>
          </w:tcPr>
          <w:p>
            <w:pPr>
              <w:pStyle w:val="yTableNAm"/>
              <w:rPr>
                <w:b/>
                <w:bCs/>
                <w:spacing w:val="-1"/>
                <w:szCs w:val="22"/>
              </w:rPr>
            </w:pPr>
            <w:r>
              <w:rPr>
                <w:b/>
                <w:bCs/>
                <w:snapToGrid w:val="0"/>
                <w:szCs w:val="22"/>
              </w:rPr>
              <w:t>Non</w:t>
            </w:r>
            <w:r>
              <w:rPr>
                <w:b/>
                <w:bCs/>
                <w:snapToGrid w:val="0"/>
                <w:szCs w:val="22"/>
              </w:rPr>
              <w:noBreakHyphen/>
              <w:t xml:space="preserve">permit </w:t>
            </w:r>
            <w:r>
              <w:rPr>
                <w:b/>
                <w:bCs/>
                <w:spacing w:val="-1"/>
                <w:szCs w:val="22"/>
              </w:rPr>
              <w:t>holders</w:t>
            </w:r>
            <w:r>
              <w:rPr>
                <w:b/>
                <w:bCs/>
                <w:snapToGrid w:val="0"/>
                <w:szCs w:val="22"/>
              </w:rPr>
              <w:t xml:space="preserve"> discharging industrial waste</w:t>
            </w:r>
          </w:p>
        </w:tc>
      </w:tr>
      <w:tr>
        <w:tc>
          <w:tcPr>
            <w:tcW w:w="850" w:type="dxa"/>
          </w:tcPr>
          <w:p>
            <w:pPr>
              <w:pStyle w:val="yTableNAm"/>
              <w:rPr>
                <w:szCs w:val="22"/>
              </w:rPr>
            </w:pPr>
          </w:p>
        </w:tc>
        <w:tc>
          <w:tcPr>
            <w:tcW w:w="4212" w:type="dxa"/>
            <w:gridSpan w:val="2"/>
          </w:tcPr>
          <w:p>
            <w:pPr>
              <w:pStyle w:val="yTableNAm"/>
              <w:tabs>
                <w:tab w:val="right" w:leader="dot" w:pos="4253"/>
              </w:tabs>
              <w:rPr>
                <w:spacing w:val="-1"/>
                <w:szCs w:val="22"/>
              </w:rPr>
            </w:pPr>
            <w:r>
              <w:rPr>
                <w:spacing w:val="-1"/>
                <w:szCs w:val="22"/>
              </w:rPr>
              <w:t>For a one</w:t>
            </w:r>
            <w:r>
              <w:rPr>
                <w:spacing w:val="-1"/>
                <w:szCs w:val="22"/>
              </w:rPr>
              <w:noBreakHyphen/>
              <w:t xml:space="preserve">off discharge of industrial waste by a person who does not hold an industrial waste permit </w:t>
            </w:r>
            <w:r>
              <w:rPr>
                <w:spacing w:val="-1"/>
                <w:szCs w:val="22"/>
              </w:rPr>
              <w:tab/>
            </w:r>
          </w:p>
        </w:tc>
        <w:tc>
          <w:tcPr>
            <w:tcW w:w="1458" w:type="dxa"/>
            <w:gridSpan w:val="2"/>
            <w:vAlign w:val="bottom"/>
          </w:tcPr>
          <w:p>
            <w:pPr>
              <w:pStyle w:val="yTableNAm"/>
              <w:tabs>
                <w:tab w:val="clear" w:pos="567"/>
                <w:tab w:val="left" w:pos="202"/>
              </w:tabs>
              <w:rPr>
                <w:spacing w:val="-1"/>
                <w:szCs w:val="22"/>
              </w:rPr>
            </w:pPr>
            <w:r>
              <w:rPr>
                <w:spacing w:val="-1"/>
                <w:szCs w:val="22"/>
              </w:rPr>
              <w:t>$120.00/hour</w:t>
            </w:r>
          </w:p>
        </w:tc>
      </w:tr>
      <w:tr>
        <w:trPr>
          <w:cantSplit/>
        </w:trPr>
        <w:tc>
          <w:tcPr>
            <w:tcW w:w="850" w:type="dxa"/>
          </w:tcPr>
          <w:p>
            <w:pPr>
              <w:pStyle w:val="yTableNAm"/>
              <w:rPr>
                <w:b/>
                <w:szCs w:val="22"/>
              </w:rPr>
            </w:pPr>
            <w:r>
              <w:rPr>
                <w:b/>
                <w:szCs w:val="22"/>
              </w:rPr>
              <w:t>30.</w:t>
            </w:r>
          </w:p>
        </w:tc>
        <w:tc>
          <w:tcPr>
            <w:tcW w:w="5670" w:type="dxa"/>
            <w:gridSpan w:val="4"/>
          </w:tcPr>
          <w:p>
            <w:pPr>
              <w:pStyle w:val="yTableNAm"/>
              <w:rPr>
                <w:b/>
                <w:bCs/>
                <w:spacing w:val="-1"/>
                <w:szCs w:val="22"/>
              </w:rPr>
            </w:pPr>
            <w:r>
              <w:rPr>
                <w:b/>
                <w:bCs/>
                <w:snapToGrid w:val="0"/>
                <w:szCs w:val="22"/>
              </w:rPr>
              <w:t>Discharging industrial waste from an open area</w:t>
            </w:r>
          </w:p>
        </w:tc>
      </w:tr>
      <w:tr>
        <w:tc>
          <w:tcPr>
            <w:tcW w:w="850" w:type="dxa"/>
          </w:tcPr>
          <w:p>
            <w:pPr>
              <w:pStyle w:val="yTableNAm"/>
              <w:rPr>
                <w:szCs w:val="22"/>
              </w:rPr>
            </w:pPr>
          </w:p>
        </w:tc>
        <w:tc>
          <w:tcPr>
            <w:tcW w:w="4198" w:type="dxa"/>
          </w:tcPr>
          <w:p>
            <w:pPr>
              <w:pStyle w:val="yTableNAm"/>
              <w:tabs>
                <w:tab w:val="right" w:leader="dot" w:pos="4253"/>
              </w:tabs>
              <w:rPr>
                <w:spacing w:val="-1"/>
                <w:szCs w:val="22"/>
              </w:rPr>
            </w:pPr>
            <w:r>
              <w:rPr>
                <w:spacing w:val="-1"/>
                <w:szCs w:val="22"/>
              </w:rPr>
              <w:t xml:space="preserve">For discharging industrial waste from an open area </w:t>
            </w:r>
            <w:r>
              <w:rPr>
                <w:spacing w:val="-1"/>
                <w:szCs w:val="22"/>
              </w:rPr>
              <w:tab/>
            </w:r>
          </w:p>
        </w:tc>
        <w:tc>
          <w:tcPr>
            <w:tcW w:w="1472" w:type="dxa"/>
            <w:gridSpan w:val="3"/>
            <w:vAlign w:val="bottom"/>
          </w:tcPr>
          <w:p>
            <w:pPr>
              <w:pStyle w:val="yTableNAm"/>
              <w:tabs>
                <w:tab w:val="clear" w:pos="567"/>
                <w:tab w:val="left" w:pos="202"/>
              </w:tabs>
              <w:rPr>
                <w:spacing w:val="-1"/>
                <w:szCs w:val="22"/>
              </w:rPr>
            </w:pPr>
            <w:r>
              <w:rPr>
                <w:spacing w:val="-1"/>
                <w:szCs w:val="22"/>
              </w:rPr>
              <w:br/>
              <w:t>$1.42/square metre</w:t>
            </w:r>
          </w:p>
        </w:tc>
      </w:tr>
    </w:tbl>
    <w:p>
      <w:pPr>
        <w:pStyle w:val="yFootnotesection"/>
      </w:pPr>
      <w:r>
        <w:tab/>
        <w:t>[Division 6 inserted in Gazette 20 Jun 2012 p. 2742.]</w:t>
      </w:r>
    </w:p>
    <w:p>
      <w:pPr>
        <w:pStyle w:val="yHeading3"/>
        <w:keepLines/>
      </w:pPr>
      <w:bookmarkStart w:id="785" w:name="_Toc84428008"/>
      <w:bookmarkStart w:id="786" w:name="_Toc328403453"/>
      <w:bookmarkStart w:id="787" w:name="_Toc328471502"/>
      <w:r>
        <w:rPr>
          <w:rStyle w:val="CharSDivNo"/>
        </w:rPr>
        <w:t>Division 7</w:t>
      </w:r>
      <w:r>
        <w:rPr>
          <w:b w:val="0"/>
        </w:rPr>
        <w:t> — </w:t>
      </w:r>
      <w:r>
        <w:rPr>
          <w:rStyle w:val="CharSDivText"/>
        </w:rPr>
        <w:t>Combined charges for country</w:t>
      </w:r>
      <w:bookmarkEnd w:id="785"/>
      <w:bookmarkEnd w:id="786"/>
      <w:bookmarkEnd w:id="787"/>
    </w:p>
    <w:p>
      <w:pPr>
        <w:pStyle w:val="yFootnoteheading"/>
        <w:keepNext/>
        <w:keepLines/>
        <w:spacing w:after="60"/>
      </w:pPr>
      <w:r>
        <w:tab/>
        <w:t>[Heading inserted in Gazette 20 Jun 2012 p. 2743.]</w:t>
      </w:r>
    </w:p>
    <w:p>
      <w:pPr>
        <w:pStyle w:val="zyHeading5"/>
      </w:pPr>
      <w:r>
        <w:t>31.</w:t>
      </w:r>
      <w:r>
        <w:tab/>
        <w:t>Country non</w:t>
      </w:r>
      <w:r>
        <w:noBreakHyphen/>
        <w:t>residential or commercial residential property, Government trading organisations and non-commercial Government property</w:t>
      </w:r>
    </w:p>
    <w:p>
      <w:pPr>
        <w:pStyle w:val="zySubsection"/>
      </w:pPr>
      <w:r>
        <w:tab/>
      </w:r>
      <w:r>
        <w:tab/>
        <w:t>In respect of land in a country sewerage area that is classified as country non</w:t>
      </w:r>
      <w:r>
        <w:noBreakHyphen/>
        <w:t>residential or commercial residential property, Government trading organisation or non-commercial Government property and is not referred to in item 2, 4, 5, 32, 33 or 34, the charge is calculated in accordance with the following formula —</w:t>
      </w:r>
    </w:p>
    <w:p>
      <w:pPr>
        <w:pStyle w:val="zySubsection"/>
      </w:pPr>
      <w:r>
        <w:tab/>
      </w:r>
      <w:r>
        <w:tab/>
        <w:t>If (</w:t>
      </w:r>
      <w:r>
        <w:rPr>
          <w:b/>
        </w:rPr>
        <w:t>P</w:t>
      </w:r>
      <w:r>
        <w:t xml:space="preserve"> + </w:t>
      </w:r>
      <w:r>
        <w:rPr>
          <w:b/>
        </w:rPr>
        <w:t>Q</w:t>
      </w:r>
      <w:r>
        <w:t xml:space="preserve">) </w:t>
      </w:r>
      <w:r>
        <w:sym w:font="Symbol" w:char="F0A3"/>
      </w:r>
      <w:r>
        <w:t xml:space="preserve"> </w:t>
      </w:r>
      <w:r>
        <w:rPr>
          <w:b/>
        </w:rPr>
        <w:t>R</w:t>
      </w:r>
      <w:r>
        <w:t xml:space="preserve">, then — </w:t>
      </w:r>
    </w:p>
    <w:p>
      <w:pPr>
        <w:pStyle w:val="zySubsection"/>
      </w:pPr>
      <w:r>
        <w:rPr>
          <w:b/>
        </w:rPr>
        <w:tab/>
      </w:r>
      <w:r>
        <w:rPr>
          <w:b/>
        </w:rPr>
        <w:tab/>
        <w:t>P</w:t>
      </w:r>
      <w:r>
        <w:t xml:space="preserve"> + </w:t>
      </w:r>
      <w:r>
        <w:rPr>
          <w:b/>
        </w:rPr>
        <w:t>Q</w:t>
      </w:r>
    </w:p>
    <w:p>
      <w:pPr>
        <w:pStyle w:val="zySubsection"/>
      </w:pPr>
      <w:r>
        <w:tab/>
      </w:r>
      <w:r>
        <w:tab/>
        <w:t xml:space="preserve">or if — </w:t>
      </w:r>
    </w:p>
    <w:p>
      <w:pPr>
        <w:pStyle w:val="zySubsection"/>
      </w:pPr>
      <w:r>
        <w:tab/>
      </w:r>
      <w:r>
        <w:tab/>
        <w:t>(</w:t>
      </w:r>
      <w:r>
        <w:rPr>
          <w:b/>
        </w:rPr>
        <w:t>P</w:t>
      </w:r>
      <w:r>
        <w:t xml:space="preserve"> + </w:t>
      </w:r>
      <w:r>
        <w:rPr>
          <w:b/>
        </w:rPr>
        <w:t>Q</w:t>
      </w:r>
      <w:r>
        <w:t xml:space="preserve">) &gt; </w:t>
      </w:r>
      <w:r>
        <w:rPr>
          <w:b/>
        </w:rPr>
        <w:t>R</w:t>
      </w:r>
      <w:r>
        <w:t>; and</w:t>
      </w:r>
    </w:p>
    <w:p>
      <w:pPr>
        <w:pStyle w:val="zySubsection"/>
      </w:pPr>
      <w:r>
        <w:rPr>
          <w:b/>
        </w:rPr>
        <w:tab/>
      </w:r>
      <w:r>
        <w:rPr>
          <w:b/>
        </w:rPr>
        <w:tab/>
        <w:t>N</w:t>
      </w:r>
      <w:r>
        <w:t xml:space="preserve"> </w:t>
      </w:r>
      <w:r>
        <w:sym w:font="Symbol" w:char="F0A3"/>
      </w:r>
      <w:r>
        <w:t xml:space="preserve"> </w:t>
      </w:r>
      <w:r>
        <w:rPr>
          <w:b/>
        </w:rPr>
        <w:t>W</w:t>
      </w:r>
      <w:r>
        <w:t>,</w:t>
      </w:r>
    </w:p>
    <w:p>
      <w:pPr>
        <w:pStyle w:val="zySubsection"/>
      </w:pPr>
      <w:r>
        <w:tab/>
      </w:r>
      <w:r>
        <w:tab/>
        <w:t xml:space="preserve">then — </w:t>
      </w:r>
    </w:p>
    <w:p>
      <w:pPr>
        <w:pStyle w:val="zySubsection"/>
        <w:rPr>
          <w:b/>
        </w:rPr>
      </w:pPr>
      <w:r>
        <w:rPr>
          <w:b/>
        </w:rPr>
        <w:tab/>
      </w:r>
      <w:r>
        <w:rPr>
          <w:b/>
        </w:rPr>
        <w:tab/>
        <w:t>R</w:t>
      </w:r>
      <w:r>
        <w:t xml:space="preserve"> + {(</w:t>
      </w:r>
      <w:r>
        <w:rPr>
          <w:b/>
        </w:rPr>
        <w:t>N</w:t>
      </w:r>
      <w:r>
        <w:t xml:space="preserve"> </w:t>
      </w:r>
      <w:r>
        <w:sym w:font="Symbol" w:char="F02D"/>
      </w:r>
      <w:r>
        <w:t xml:space="preserve"> </w:t>
      </w:r>
      <w:r>
        <w:rPr>
          <w:b/>
        </w:rPr>
        <w:t>W</w:t>
      </w:r>
      <w:r>
        <w:t xml:space="preserve">) </w:t>
      </w:r>
      <w:r>
        <w:sym w:font="Symbol" w:char="F0B4"/>
      </w:r>
      <w:r>
        <w:rPr>
          <w:b/>
        </w:rPr>
        <w:t xml:space="preserve"> I</w:t>
      </w:r>
      <w:r>
        <w:t>}</w:t>
      </w:r>
    </w:p>
    <w:p>
      <w:pPr>
        <w:pStyle w:val="zySubsection"/>
      </w:pPr>
      <w:r>
        <w:tab/>
      </w:r>
      <w:r>
        <w:tab/>
        <w:t xml:space="preserve">where — </w:t>
      </w:r>
    </w:p>
    <w:p>
      <w:pPr>
        <w:pStyle w:val="zyIndenta"/>
      </w:pPr>
      <w:r>
        <w:rPr>
          <w:b/>
        </w:rPr>
        <w:tab/>
        <w:t>P</w:t>
      </w:r>
      <w:r>
        <w:t xml:space="preserve"> =</w:t>
      </w:r>
      <w:r>
        <w:tab/>
        <w:t xml:space="preserve">the </w:t>
      </w:r>
      <w:r>
        <w:rPr>
          <w:snapToGrid w:val="0"/>
        </w:rPr>
        <w:t>annual</w:t>
      </w:r>
      <w:r>
        <w:t xml:space="preserve"> charge calculated in accordance with the formula in item 36;</w:t>
      </w:r>
    </w:p>
    <w:p>
      <w:pPr>
        <w:pStyle w:val="zyIndenta"/>
      </w:pPr>
      <w:r>
        <w:rPr>
          <w:b/>
        </w:rPr>
        <w:tab/>
        <w:t>Q</w:t>
      </w:r>
      <w:r>
        <w:t xml:space="preserve"> =</w:t>
      </w:r>
      <w:r>
        <w:tab/>
        <w:t>the quantity charge calculated in accordance with the formula in item 37;</w:t>
      </w:r>
    </w:p>
    <w:p>
      <w:pPr>
        <w:pStyle w:val="zyIndenta"/>
      </w:pPr>
      <w:r>
        <w:rPr>
          <w:b/>
        </w:rPr>
        <w:tab/>
        <w:t>R</w:t>
      </w:r>
      <w:r>
        <w:t xml:space="preserve"> =</w:t>
      </w:r>
      <w:r>
        <w:tab/>
        <w:t>the maximum charge calculated in accordance with the formula in item 35;</w:t>
      </w:r>
    </w:p>
    <w:p>
      <w:pPr>
        <w:pStyle w:val="zyIndenta"/>
      </w:pPr>
      <w:r>
        <w:rPr>
          <w:b/>
        </w:rPr>
        <w:tab/>
        <w:t>N</w:t>
      </w:r>
      <w:r>
        <w:t xml:space="preserve"> =</w:t>
      </w:r>
      <w:r>
        <w:tab/>
        <w:t>the discharge volume for the 2012/2013 year;</w:t>
      </w:r>
    </w:p>
    <w:p>
      <w:pPr>
        <w:pStyle w:val="zyIndenta"/>
      </w:pPr>
      <w:r>
        <w:rPr>
          <w:b/>
        </w:rPr>
        <w:tab/>
        <w:t>W</w:t>
      </w:r>
      <w:r>
        <w:t xml:space="preserve"> =</w:t>
      </w:r>
      <w:r>
        <w:tab/>
        <w:t>the discharge volume for the last available consumption year;</w:t>
      </w:r>
    </w:p>
    <w:p>
      <w:pPr>
        <w:pStyle w:val="zyIndenta"/>
      </w:pPr>
      <w:r>
        <w:rPr>
          <w:b/>
        </w:rPr>
        <w:tab/>
        <w:t>I</w:t>
      </w:r>
      <w:r>
        <w:t xml:space="preserve"> =</w:t>
      </w:r>
      <w:r>
        <w:tab/>
        <w:t>2.677.</w:t>
      </w:r>
    </w:p>
    <w:p>
      <w:pPr>
        <w:pStyle w:val="zyHeading5"/>
      </w:pPr>
      <w:r>
        <w:t>32.</w:t>
      </w:r>
      <w:r>
        <w:tab/>
        <w:t>Country non strata</w:t>
      </w:r>
      <w:r>
        <w:noBreakHyphen/>
        <w:t>titled caravan park with long</w:t>
      </w:r>
      <w:r>
        <w:noBreakHyphen/>
        <w:t>term residential caravan bays</w:t>
      </w:r>
    </w:p>
    <w:p>
      <w:pPr>
        <w:pStyle w:val="zySubsection"/>
        <w:keepNext/>
        <w:keepLines/>
      </w:pPr>
      <w:r>
        <w:tab/>
      </w:r>
      <w:r>
        <w:tab/>
        <w:t>In respect of a caravan park in a country sewerage area —</w:t>
      </w:r>
    </w:p>
    <w:p>
      <w:pPr>
        <w:pStyle w:val="zyIndenta"/>
        <w:keepNext/>
        <w:keepLines/>
      </w:pPr>
      <w:r>
        <w:tab/>
        <w:t>(a)</w:t>
      </w:r>
      <w:r>
        <w:tab/>
        <w:t>not consisting of strata</w:t>
      </w:r>
      <w:r>
        <w:noBreakHyphen/>
        <w:t>titled caravan bays referred to in item 3 of this Schedule; and</w:t>
      </w:r>
    </w:p>
    <w:p>
      <w:pPr>
        <w:pStyle w:val="zyIndenta"/>
      </w:pPr>
      <w:r>
        <w:tab/>
        <w:t>(b)</w:t>
      </w:r>
      <w:r>
        <w:tab/>
        <w:t>having long</w:t>
      </w:r>
      <w:r>
        <w:noBreakHyphen/>
        <w:t>term residential caravan bays,</w:t>
      </w:r>
    </w:p>
    <w:p>
      <w:pPr>
        <w:pStyle w:val="zySubsection"/>
      </w:pPr>
      <w:r>
        <w:tab/>
      </w:r>
      <w:r>
        <w:tab/>
        <w:t xml:space="preserve">the charge payable in accordance with the following formula — </w:t>
      </w:r>
    </w:p>
    <w:p>
      <w:pPr>
        <w:pStyle w:val="zySubsection"/>
      </w:pPr>
      <w:r>
        <w:rPr>
          <w:b/>
        </w:rPr>
        <w:tab/>
      </w:r>
      <w:r>
        <w:rPr>
          <w:b/>
        </w:rPr>
        <w:tab/>
        <w:t>AA</w:t>
      </w:r>
      <w:r>
        <w:t xml:space="preserve"> + </w:t>
      </w:r>
      <w:r>
        <w:rPr>
          <w:b/>
        </w:rPr>
        <w:t>AB</w:t>
      </w:r>
    </w:p>
    <w:p>
      <w:pPr>
        <w:pStyle w:val="zySubsection"/>
      </w:pPr>
      <w:r>
        <w:tab/>
      </w:r>
      <w:r>
        <w:tab/>
        <w:t xml:space="preserve">where — </w:t>
      </w:r>
    </w:p>
    <w:p>
      <w:pPr>
        <w:pStyle w:val="zyIndenta"/>
      </w:pPr>
      <w:r>
        <w:rPr>
          <w:b/>
        </w:rPr>
        <w:tab/>
        <w:t>AA</w:t>
      </w:r>
      <w:r>
        <w:t xml:space="preserve"> =</w:t>
      </w:r>
      <w:r>
        <w:tab/>
        <w:t>a charge of $240.50 for each long</w:t>
      </w:r>
      <w:r>
        <w:noBreakHyphen/>
        <w:t xml:space="preserve">term residential caravan bay; </w:t>
      </w:r>
    </w:p>
    <w:p>
      <w:pPr>
        <w:pStyle w:val="zyIndenta"/>
      </w:pPr>
      <w:r>
        <w:rPr>
          <w:b/>
        </w:rPr>
        <w:tab/>
        <w:t>AB</w:t>
      </w:r>
      <w:r>
        <w:t xml:space="preserve"> =</w:t>
      </w:r>
      <w:r>
        <w:tab/>
        <w:t>the charge for any part of the caravan park not comprised in long</w:t>
      </w:r>
      <w:r>
        <w:noBreakHyphen/>
        <w:t xml:space="preserve">term residential caravan bays, calculated in accordance with the following formula — </w:t>
      </w:r>
    </w:p>
    <w:p>
      <w:pPr>
        <w:pStyle w:val="zyIndenta"/>
      </w:pPr>
      <w:r>
        <w:tab/>
      </w:r>
      <w:r>
        <w:tab/>
        <w:t>If (</w:t>
      </w:r>
      <w:r>
        <w:rPr>
          <w:b/>
        </w:rPr>
        <w:t>Y</w:t>
      </w:r>
      <w:r>
        <w:t xml:space="preserve"> + </w:t>
      </w:r>
      <w:r>
        <w:rPr>
          <w:b/>
        </w:rPr>
        <w:t>Q</w:t>
      </w:r>
      <w:r>
        <w:t xml:space="preserve">) </w:t>
      </w:r>
      <w:r>
        <w:sym w:font="Symbol" w:char="F0A3"/>
      </w:r>
      <w:r>
        <w:t xml:space="preserve"> </w:t>
      </w:r>
      <w:r>
        <w:rPr>
          <w:b/>
        </w:rPr>
        <w:t>R</w:t>
      </w:r>
      <w:r>
        <w:t xml:space="preserve">, then — </w:t>
      </w:r>
    </w:p>
    <w:p>
      <w:pPr>
        <w:pStyle w:val="zyIndenta"/>
      </w:pPr>
      <w:r>
        <w:rPr>
          <w:b/>
        </w:rPr>
        <w:tab/>
      </w:r>
      <w:r>
        <w:rPr>
          <w:b/>
        </w:rPr>
        <w:tab/>
        <w:t>Y</w:t>
      </w:r>
      <w:r>
        <w:t xml:space="preserve"> + </w:t>
      </w:r>
      <w:r>
        <w:rPr>
          <w:b/>
        </w:rPr>
        <w:t>Q</w:t>
      </w:r>
    </w:p>
    <w:p>
      <w:pPr>
        <w:pStyle w:val="zyIndenta"/>
      </w:pPr>
      <w:r>
        <w:tab/>
      </w:r>
      <w:r>
        <w:tab/>
        <w:t xml:space="preserve">or if — </w:t>
      </w:r>
    </w:p>
    <w:p>
      <w:pPr>
        <w:pStyle w:val="zyIndenta"/>
      </w:pPr>
      <w:r>
        <w:tab/>
      </w:r>
      <w:r>
        <w:tab/>
        <w:t>(</w:t>
      </w:r>
      <w:r>
        <w:rPr>
          <w:b/>
        </w:rPr>
        <w:t>Y</w:t>
      </w:r>
      <w:r>
        <w:t xml:space="preserve"> + </w:t>
      </w:r>
      <w:r>
        <w:rPr>
          <w:b/>
        </w:rPr>
        <w:t>Q</w:t>
      </w:r>
      <w:r>
        <w:t xml:space="preserve">) &gt; </w:t>
      </w:r>
      <w:r>
        <w:rPr>
          <w:b/>
        </w:rPr>
        <w:t>R</w:t>
      </w:r>
      <w:r>
        <w:t>; and</w:t>
      </w:r>
    </w:p>
    <w:p>
      <w:pPr>
        <w:pStyle w:val="zyIndenta"/>
      </w:pPr>
      <w:r>
        <w:rPr>
          <w:b/>
        </w:rPr>
        <w:tab/>
      </w:r>
      <w:r>
        <w:rPr>
          <w:b/>
        </w:rPr>
        <w:tab/>
        <w:t>N</w:t>
      </w:r>
      <w:r>
        <w:t xml:space="preserve"> </w:t>
      </w:r>
      <w:r>
        <w:sym w:font="Symbol" w:char="F0A3"/>
      </w:r>
      <w:r>
        <w:t xml:space="preserve"> </w:t>
      </w:r>
      <w:r>
        <w:rPr>
          <w:b/>
        </w:rPr>
        <w:t>W</w:t>
      </w:r>
      <w:r>
        <w:t>,</w:t>
      </w:r>
    </w:p>
    <w:p>
      <w:pPr>
        <w:pStyle w:val="zyIndenta"/>
      </w:pPr>
      <w:r>
        <w:tab/>
      </w:r>
      <w:r>
        <w:tab/>
        <w:t xml:space="preserve">then — </w:t>
      </w:r>
    </w:p>
    <w:p>
      <w:pPr>
        <w:pStyle w:val="zyIndenta"/>
        <w:rPr>
          <w:b/>
        </w:rPr>
      </w:pPr>
      <w:r>
        <w:rPr>
          <w:b/>
        </w:rPr>
        <w:tab/>
      </w:r>
      <w:r>
        <w:rPr>
          <w:b/>
        </w:rPr>
        <w:tab/>
        <w:t>R</w:t>
      </w:r>
    </w:p>
    <w:p>
      <w:pPr>
        <w:pStyle w:val="zyIndenta"/>
      </w:pPr>
      <w:r>
        <w:tab/>
      </w:r>
      <w:r>
        <w:tab/>
        <w:t xml:space="preserve">or if — </w:t>
      </w:r>
    </w:p>
    <w:p>
      <w:pPr>
        <w:pStyle w:val="zyIndenta"/>
      </w:pPr>
      <w:r>
        <w:tab/>
      </w:r>
      <w:r>
        <w:tab/>
        <w:t>(</w:t>
      </w:r>
      <w:r>
        <w:rPr>
          <w:b/>
        </w:rPr>
        <w:t>Y</w:t>
      </w:r>
      <w:r>
        <w:t xml:space="preserve"> + </w:t>
      </w:r>
      <w:r>
        <w:rPr>
          <w:b/>
        </w:rPr>
        <w:t>Q</w:t>
      </w:r>
      <w:r>
        <w:t xml:space="preserve">) &gt; </w:t>
      </w:r>
      <w:r>
        <w:rPr>
          <w:b/>
        </w:rPr>
        <w:t>R</w:t>
      </w:r>
      <w:r>
        <w:t>; and</w:t>
      </w:r>
    </w:p>
    <w:p>
      <w:pPr>
        <w:pStyle w:val="zyIndenta"/>
      </w:pPr>
      <w:r>
        <w:rPr>
          <w:b/>
        </w:rPr>
        <w:tab/>
      </w:r>
      <w:r>
        <w:rPr>
          <w:b/>
        </w:rPr>
        <w:tab/>
        <w:t>N</w:t>
      </w:r>
      <w:r>
        <w:t xml:space="preserve"> &gt; </w:t>
      </w:r>
      <w:r>
        <w:rPr>
          <w:b/>
        </w:rPr>
        <w:t>W</w:t>
      </w:r>
      <w:r>
        <w:t>,</w:t>
      </w:r>
    </w:p>
    <w:p>
      <w:pPr>
        <w:pStyle w:val="zyIndenta"/>
      </w:pPr>
      <w:r>
        <w:tab/>
      </w:r>
      <w:r>
        <w:tab/>
        <w:t xml:space="preserve">then — </w:t>
      </w:r>
    </w:p>
    <w:p>
      <w:pPr>
        <w:pStyle w:val="zyIndenta"/>
      </w:pPr>
      <w:r>
        <w:rPr>
          <w:b/>
        </w:rPr>
        <w:tab/>
      </w:r>
      <w:r>
        <w:rPr>
          <w:b/>
        </w:rPr>
        <w:tab/>
        <w:t>R</w:t>
      </w:r>
      <w:r>
        <w:t xml:space="preserve"> + {(</w:t>
      </w:r>
      <w:r>
        <w:rPr>
          <w:b/>
        </w:rPr>
        <w:t>N</w:t>
      </w:r>
      <w:r>
        <w:t xml:space="preserve"> – </w:t>
      </w:r>
      <w:r>
        <w:rPr>
          <w:b/>
        </w:rPr>
        <w:t>W</w:t>
      </w:r>
      <w:r>
        <w:t xml:space="preserve">) </w:t>
      </w:r>
      <w:r>
        <w:sym w:font="Symbol" w:char="F0B4"/>
      </w:r>
      <w:r>
        <w:t xml:space="preserve"> </w:t>
      </w:r>
      <w:r>
        <w:rPr>
          <w:b/>
        </w:rPr>
        <w:t>I</w:t>
      </w:r>
      <w:r>
        <w:t>}</w:t>
      </w:r>
    </w:p>
    <w:p>
      <w:pPr>
        <w:pStyle w:val="zyIndenta"/>
      </w:pPr>
      <w:r>
        <w:tab/>
      </w:r>
      <w:r>
        <w:tab/>
        <w:t xml:space="preserve">where — </w:t>
      </w:r>
    </w:p>
    <w:p>
      <w:pPr>
        <w:pStyle w:val="zyIndenti"/>
      </w:pPr>
      <w:r>
        <w:rPr>
          <w:b/>
        </w:rPr>
        <w:tab/>
        <w:t>Y</w:t>
      </w:r>
      <w:r>
        <w:t xml:space="preserve"> =</w:t>
      </w:r>
      <w:r>
        <w:tab/>
        <w:t>the charge payable for the number of major fixtures in the relevant part of the caravan park in the 2012/2013 year as set out in the Table to item 36;</w:t>
      </w:r>
    </w:p>
    <w:p>
      <w:pPr>
        <w:pStyle w:val="zyIndenti"/>
      </w:pPr>
      <w:r>
        <w:rPr>
          <w:b/>
        </w:rPr>
        <w:tab/>
        <w:t>Q</w:t>
      </w:r>
      <w:r>
        <w:t xml:space="preserve"> =</w:t>
      </w:r>
      <w:r>
        <w:tab/>
        <w:t>the quantity charge calculated in accordance with the formula in item 37;</w:t>
      </w:r>
    </w:p>
    <w:p>
      <w:pPr>
        <w:pStyle w:val="zyIndenti"/>
      </w:pPr>
      <w:r>
        <w:rPr>
          <w:b/>
        </w:rPr>
        <w:tab/>
        <w:t>R</w:t>
      </w:r>
      <w:r>
        <w:t xml:space="preserve"> =</w:t>
      </w:r>
      <w:r>
        <w:tab/>
        <w:t>the charge calculated in accordance with the formula in item 35;</w:t>
      </w:r>
    </w:p>
    <w:p>
      <w:pPr>
        <w:pStyle w:val="zyIndenti"/>
      </w:pPr>
      <w:r>
        <w:rPr>
          <w:b/>
        </w:rPr>
        <w:tab/>
        <w:t>N =</w:t>
      </w:r>
      <w:r>
        <w:rPr>
          <w:b/>
        </w:rPr>
        <w:tab/>
      </w:r>
      <w:r>
        <w:t>the discharge volume for the 2012/2013 year;</w:t>
      </w:r>
    </w:p>
    <w:p>
      <w:pPr>
        <w:pStyle w:val="zyIndenti"/>
      </w:pPr>
      <w:r>
        <w:rPr>
          <w:b/>
        </w:rPr>
        <w:tab/>
        <w:t>W =</w:t>
      </w:r>
      <w:r>
        <w:rPr>
          <w:b/>
        </w:rPr>
        <w:tab/>
      </w:r>
      <w:r>
        <w:t>the discharge volume for the last available consumption year;</w:t>
      </w:r>
    </w:p>
    <w:p>
      <w:pPr>
        <w:pStyle w:val="zyIndenti"/>
      </w:pPr>
      <w:r>
        <w:rPr>
          <w:b/>
        </w:rPr>
        <w:tab/>
        <w:t>I =</w:t>
      </w:r>
      <w:r>
        <w:rPr>
          <w:b/>
        </w:rPr>
        <w:tab/>
      </w:r>
      <w:r>
        <w:t>2.677.</w:t>
      </w:r>
    </w:p>
    <w:p>
      <w:pPr>
        <w:pStyle w:val="zyHeading5"/>
      </w:pPr>
      <w:r>
        <w:t>33.</w:t>
      </w:r>
      <w:r>
        <w:tab/>
        <w:t>Country nursing home</w:t>
      </w:r>
    </w:p>
    <w:p>
      <w:pPr>
        <w:pStyle w:val="zySubsection"/>
      </w:pPr>
      <w:r>
        <w:tab/>
      </w:r>
      <w:r>
        <w:tab/>
        <w:t>In respect of a nursing home in a country sewerage area, not being a nursing home which is, or is part of, an aged home, the charge is calculated in accordance with the following formula —</w:t>
      </w:r>
    </w:p>
    <w:p>
      <w:pPr>
        <w:pStyle w:val="zySubsection"/>
      </w:pPr>
      <w:r>
        <w:tab/>
      </w:r>
      <w:r>
        <w:tab/>
        <w:t>If (</w:t>
      </w:r>
      <w:r>
        <w:rPr>
          <w:b/>
        </w:rPr>
        <w:t>T</w:t>
      </w:r>
      <w:r>
        <w:t xml:space="preserve"> + </w:t>
      </w:r>
      <w:r>
        <w:rPr>
          <w:b/>
        </w:rPr>
        <w:t>Q</w:t>
      </w:r>
      <w:r>
        <w:t xml:space="preserve">) </w:t>
      </w:r>
      <w:r>
        <w:sym w:font="Symbol" w:char="F0A3"/>
      </w:r>
      <w:r>
        <w:t xml:space="preserve"> </w:t>
      </w:r>
      <w:r>
        <w:rPr>
          <w:b/>
        </w:rPr>
        <w:t>R</w:t>
      </w:r>
      <w:r>
        <w:t xml:space="preserve">, then — </w:t>
      </w:r>
    </w:p>
    <w:p>
      <w:pPr>
        <w:pStyle w:val="zySubsection"/>
      </w:pPr>
      <w:r>
        <w:tab/>
      </w:r>
      <w:r>
        <w:tab/>
      </w:r>
      <w:r>
        <w:rPr>
          <w:b/>
        </w:rPr>
        <w:t>T</w:t>
      </w:r>
      <w:r>
        <w:t xml:space="preserve"> + </w:t>
      </w:r>
      <w:r>
        <w:rPr>
          <w:b/>
        </w:rPr>
        <w:t>Q</w:t>
      </w:r>
    </w:p>
    <w:p>
      <w:pPr>
        <w:pStyle w:val="zySubsection"/>
      </w:pPr>
      <w:r>
        <w:tab/>
      </w:r>
      <w:r>
        <w:tab/>
        <w:t>or if (</w:t>
      </w:r>
      <w:r>
        <w:rPr>
          <w:b/>
        </w:rPr>
        <w:t>T</w:t>
      </w:r>
      <w:r>
        <w:t xml:space="preserve"> + </w:t>
      </w:r>
      <w:r>
        <w:rPr>
          <w:b/>
        </w:rPr>
        <w:t>Q</w:t>
      </w:r>
      <w:r>
        <w:t xml:space="preserve">) &gt; </w:t>
      </w:r>
      <w:r>
        <w:rPr>
          <w:b/>
        </w:rPr>
        <w:t>R</w:t>
      </w:r>
      <w:r>
        <w:t xml:space="preserve">, then — </w:t>
      </w:r>
    </w:p>
    <w:p>
      <w:pPr>
        <w:pStyle w:val="zySubsection"/>
        <w:rPr>
          <w:b/>
        </w:rPr>
      </w:pPr>
      <w:r>
        <w:tab/>
      </w:r>
      <w:r>
        <w:tab/>
      </w:r>
      <w:r>
        <w:rPr>
          <w:b/>
        </w:rPr>
        <w:t>R</w:t>
      </w:r>
    </w:p>
    <w:p>
      <w:pPr>
        <w:pStyle w:val="zySubsection"/>
      </w:pPr>
      <w:r>
        <w:tab/>
      </w:r>
      <w:r>
        <w:tab/>
        <w:t xml:space="preserve">where — </w:t>
      </w:r>
    </w:p>
    <w:p>
      <w:pPr>
        <w:pStyle w:val="zyIndenta"/>
      </w:pPr>
      <w:r>
        <w:rPr>
          <w:b/>
        </w:rPr>
        <w:tab/>
        <w:t>T</w:t>
      </w:r>
      <w:r>
        <w:t xml:space="preserve"> =</w:t>
      </w:r>
      <w:r>
        <w:tab/>
        <w:t>the charge calculated in accordance with the following formula — </w:t>
      </w:r>
    </w:p>
    <w:p>
      <w:pPr>
        <w:pStyle w:val="zyIndenta"/>
      </w:pPr>
      <w:r>
        <w:rPr>
          <w:b/>
        </w:rPr>
        <w:tab/>
      </w:r>
      <w:r>
        <w:rPr>
          <w:b/>
        </w:rPr>
        <w:tab/>
        <w:t>U</w:t>
      </w:r>
      <w:r>
        <w:t xml:space="preserve"> </w:t>
      </w:r>
      <w:r>
        <w:sym w:font="Symbol" w:char="F0B4"/>
      </w:r>
      <w:r>
        <w:t xml:space="preserve"> </w:t>
      </w:r>
      <w:r>
        <w:rPr>
          <w:b/>
        </w:rPr>
        <w:t>V</w:t>
      </w:r>
    </w:p>
    <w:p>
      <w:pPr>
        <w:pStyle w:val="zyIndenta"/>
      </w:pPr>
      <w:r>
        <w:tab/>
      </w:r>
      <w:r>
        <w:tab/>
        <w:t xml:space="preserve">where — </w:t>
      </w:r>
    </w:p>
    <w:p>
      <w:pPr>
        <w:pStyle w:val="zyIndenti"/>
      </w:pPr>
      <w:r>
        <w:rPr>
          <w:b/>
        </w:rPr>
        <w:tab/>
        <w:t>U</w:t>
      </w:r>
      <w:r>
        <w:t xml:space="preserve"> =</w:t>
      </w:r>
      <w:r>
        <w:tab/>
        <w:t xml:space="preserve">the number of beds in the nursing home; </w:t>
      </w:r>
    </w:p>
    <w:p>
      <w:pPr>
        <w:pStyle w:val="zyIndenti"/>
      </w:pPr>
      <w:r>
        <w:rPr>
          <w:b/>
        </w:rPr>
        <w:tab/>
        <w:t>V</w:t>
      </w:r>
      <w:r>
        <w:t xml:space="preserve"> =</w:t>
      </w:r>
      <w:r>
        <w:tab/>
        <w:t>$131.80;</w:t>
      </w:r>
    </w:p>
    <w:p>
      <w:pPr>
        <w:pStyle w:val="zyIndenta"/>
      </w:pPr>
      <w:r>
        <w:rPr>
          <w:b/>
        </w:rPr>
        <w:tab/>
        <w:t>Q</w:t>
      </w:r>
      <w:r>
        <w:t xml:space="preserve"> =</w:t>
      </w:r>
      <w:r>
        <w:tab/>
        <w:t>the quantity charge calculated in accordance with the formula in item 37;</w:t>
      </w:r>
    </w:p>
    <w:p>
      <w:pPr>
        <w:pStyle w:val="zyIndenta"/>
      </w:pPr>
      <w:r>
        <w:rPr>
          <w:b/>
        </w:rPr>
        <w:tab/>
        <w:t>R</w:t>
      </w:r>
      <w:r>
        <w:t xml:space="preserve"> =</w:t>
      </w:r>
      <w:r>
        <w:tab/>
        <w:t>the charge calculated in accordance with the formula in item 35.</w:t>
      </w:r>
    </w:p>
    <w:p>
      <w:pPr>
        <w:pStyle w:val="zyHeading5"/>
      </w:pPr>
      <w:r>
        <w:t>34.</w:t>
      </w:r>
      <w:r>
        <w:tab/>
        <w:t>Certain country strata</w:t>
      </w:r>
      <w:r>
        <w:noBreakHyphen/>
        <w:t>titled units</w:t>
      </w:r>
    </w:p>
    <w:p>
      <w:pPr>
        <w:pStyle w:val="zySubsection"/>
      </w:pPr>
      <w:r>
        <w:tab/>
      </w:r>
      <w:r>
        <w:tab/>
        <w:t>In respect of country non</w:t>
      </w:r>
      <w:r>
        <w:noBreakHyphen/>
        <w:t xml:space="preserve">residential or commercial residential property that is in a country sewerage area that — </w:t>
      </w:r>
    </w:p>
    <w:p>
      <w:pPr>
        <w:pStyle w:val="zyIndenta"/>
      </w:pPr>
      <w:r>
        <w:tab/>
        <w:t>(a)</w:t>
      </w:r>
      <w:r>
        <w:tab/>
      </w:r>
      <w:r>
        <w:rPr>
          <w:snapToGrid w:val="0"/>
        </w:rPr>
        <w:t>comprises</w:t>
      </w:r>
      <w:r>
        <w:t xml:space="preserve"> a unit that is a lot within the meaning of the </w:t>
      </w:r>
      <w:r>
        <w:rPr>
          <w:i/>
        </w:rPr>
        <w:t>Strata Titles Act 1985</w:t>
      </w:r>
      <w:r>
        <w:t>; and</w:t>
      </w:r>
    </w:p>
    <w:p>
      <w:pPr>
        <w:pStyle w:val="zyIndenta"/>
      </w:pPr>
      <w:r>
        <w:tab/>
        <w:t>(b)</w:t>
      </w:r>
      <w:r>
        <w:tab/>
      </w:r>
      <w:r>
        <w:rPr>
          <w:snapToGrid w:val="0"/>
        </w:rPr>
        <w:t>shares</w:t>
      </w:r>
      <w:r>
        <w:t xml:space="preserve"> a major fixture with another unit described in paragraph (a) and </w:t>
      </w:r>
      <w:r>
        <w:rPr>
          <w:spacing w:val="-1"/>
        </w:rPr>
        <w:t>has no other major fixtures that discharge into the sewer,</w:t>
      </w:r>
    </w:p>
    <w:p>
      <w:pPr>
        <w:pStyle w:val="zySubsection"/>
      </w:pPr>
      <w:r>
        <w:tab/>
      </w:r>
      <w:r>
        <w:tab/>
      </w:r>
      <w:r>
        <w:rPr>
          <w:spacing w:val="-1"/>
        </w:rPr>
        <w:t xml:space="preserve">and where the </w:t>
      </w:r>
      <w:r>
        <w:t>total</w:t>
      </w:r>
      <w:r>
        <w:rPr>
          <w:spacing w:val="-1"/>
        </w:rPr>
        <w:t xml:space="preserve"> number of major fixtures shared by all the units on the relevant strata plan is less than the number of those units,</w:t>
      </w:r>
      <w:r>
        <w:t xml:space="preserve"> an amount is calculated in accordance with the following formula — </w:t>
      </w:r>
    </w:p>
    <w:p>
      <w:pPr>
        <w:pStyle w:val="zySubsection"/>
      </w:pPr>
      <w:r>
        <w:tab/>
      </w:r>
      <w:r>
        <w:tab/>
      </w:r>
      <w:r>
        <w:rPr>
          <w:b/>
          <w:bCs/>
        </w:rPr>
        <w:t>T</w:t>
      </w:r>
      <w:r>
        <w:t xml:space="preserve"> + </w:t>
      </w:r>
      <w:r>
        <w:rPr>
          <w:b/>
          <w:bCs/>
        </w:rPr>
        <w:t>Q</w:t>
      </w:r>
    </w:p>
    <w:p>
      <w:pPr>
        <w:pStyle w:val="zySubsection"/>
      </w:pPr>
      <w:r>
        <w:tab/>
      </w:r>
      <w:r>
        <w:tab/>
        <w:t xml:space="preserve">where — </w:t>
      </w:r>
    </w:p>
    <w:p>
      <w:pPr>
        <w:pStyle w:val="zyIndenta"/>
      </w:pPr>
      <w:r>
        <w:rPr>
          <w:b/>
        </w:rPr>
        <w:tab/>
        <w:t>T</w:t>
      </w:r>
      <w:r>
        <w:t xml:space="preserve"> =</w:t>
      </w:r>
      <w:r>
        <w:tab/>
        <w:t>$452.80;</w:t>
      </w:r>
    </w:p>
    <w:p>
      <w:pPr>
        <w:pStyle w:val="zyIndenta"/>
      </w:pPr>
      <w:r>
        <w:rPr>
          <w:b/>
        </w:rPr>
        <w:tab/>
        <w:t>Q</w:t>
      </w:r>
      <w:r>
        <w:t xml:space="preserve"> =</w:t>
      </w:r>
      <w:r>
        <w:tab/>
        <w:t>the quantity charge calculated in accordance with the formula in item 37.</w:t>
      </w:r>
    </w:p>
    <w:p>
      <w:pPr>
        <w:pStyle w:val="zyHeading5"/>
      </w:pPr>
      <w:r>
        <w:t>35.</w:t>
      </w:r>
      <w:r>
        <w:tab/>
        <w:t>Limit on increase</w:t>
      </w:r>
    </w:p>
    <w:p>
      <w:pPr>
        <w:pStyle w:val="zySubsection"/>
      </w:pPr>
      <w:r>
        <w:tab/>
      </w:r>
      <w:r>
        <w:tab/>
        <w:t xml:space="preserve">For the </w:t>
      </w:r>
      <w:r>
        <w:rPr>
          <w:spacing w:val="-1"/>
        </w:rPr>
        <w:t>purposes</w:t>
      </w:r>
      <w:r>
        <w:t xml:space="preserve"> of this Division, the maximum charge (</w:t>
      </w:r>
      <w:r>
        <w:rPr>
          <w:rStyle w:val="CharDefText"/>
        </w:rPr>
        <w:t>R</w:t>
      </w:r>
      <w:r>
        <w:t xml:space="preserve">) is calculated in accordance with the following formula — </w:t>
      </w:r>
    </w:p>
    <w:p>
      <w:pPr>
        <w:pStyle w:val="zySubsection"/>
      </w:pPr>
      <w:r>
        <w:tab/>
      </w:r>
      <w:r>
        <w:tab/>
        <w:t>If (</w:t>
      </w:r>
      <w:r>
        <w:rPr>
          <w:b/>
        </w:rPr>
        <w:t>P</w:t>
      </w:r>
      <w:r>
        <w:t xml:space="preserve"> + </w:t>
      </w:r>
      <w:r>
        <w:rPr>
          <w:b/>
        </w:rPr>
        <w:t>Q</w:t>
      </w:r>
      <w:r>
        <w:t xml:space="preserve">) </w:t>
      </w:r>
      <w:r>
        <w:sym w:font="Symbol" w:char="F02D"/>
      </w:r>
      <w:r>
        <w:t xml:space="preserve"> </w:t>
      </w:r>
      <w:r>
        <w:rPr>
          <w:b/>
        </w:rPr>
        <w:t>A</w:t>
      </w:r>
      <w:r>
        <w:t xml:space="preserve"> &gt; </w:t>
      </w:r>
      <w:r>
        <w:rPr>
          <w:b/>
        </w:rPr>
        <w:t>B</w:t>
      </w:r>
      <w:r>
        <w:t xml:space="preserve">, then — </w:t>
      </w:r>
    </w:p>
    <w:p>
      <w:pPr>
        <w:pStyle w:val="zySubsection"/>
      </w:pPr>
      <w:r>
        <w:tab/>
      </w:r>
      <w:r>
        <w:tab/>
        <w:t>if (</w:t>
      </w:r>
      <w:r>
        <w:rPr>
          <w:b/>
        </w:rPr>
        <w:t>A</w:t>
      </w:r>
      <w:r>
        <w:t xml:space="preserve"> </w:t>
      </w:r>
      <w:r>
        <w:sym w:font="Symbol" w:char="F0B4"/>
      </w:r>
      <w:r>
        <w:t xml:space="preserve"> </w:t>
      </w:r>
      <w:r>
        <w:rPr>
          <w:b/>
        </w:rPr>
        <w:t>S</w:t>
      </w:r>
      <w:r>
        <w:t>) &gt; (</w:t>
      </w:r>
      <w:r>
        <w:rPr>
          <w:b/>
        </w:rPr>
        <w:t>A</w:t>
      </w:r>
      <w:r>
        <w:t xml:space="preserve"> + </w:t>
      </w:r>
      <w:r>
        <w:rPr>
          <w:b/>
        </w:rPr>
        <w:t>J</w:t>
      </w:r>
      <w:r>
        <w:t>), then</w:t>
      </w:r>
    </w:p>
    <w:p>
      <w:pPr>
        <w:pStyle w:val="zySubsection"/>
        <w:rPr>
          <w:b/>
        </w:rPr>
      </w:pPr>
      <w:r>
        <w:rPr>
          <w:b/>
        </w:rPr>
        <w:tab/>
      </w:r>
      <w:r>
        <w:rPr>
          <w:b/>
        </w:rPr>
        <w:tab/>
      </w:r>
      <w:r>
        <w:t>(</w:t>
      </w:r>
      <w:r>
        <w:rPr>
          <w:b/>
        </w:rPr>
        <w:t>A</w:t>
      </w:r>
      <w:r>
        <w:rPr>
          <w:bCs/>
        </w:rPr>
        <w:t xml:space="preserve"> </w:t>
      </w:r>
      <w:r>
        <w:rPr>
          <w:bCs/>
        </w:rPr>
        <w:sym w:font="Symbol" w:char="F0B4"/>
      </w:r>
      <w:r>
        <w:rPr>
          <w:bCs/>
        </w:rPr>
        <w:t xml:space="preserve"> </w:t>
      </w:r>
      <w:r>
        <w:rPr>
          <w:b/>
        </w:rPr>
        <w:t>S</w:t>
      </w:r>
      <w:r>
        <w:t>)</w:t>
      </w:r>
    </w:p>
    <w:p>
      <w:pPr>
        <w:pStyle w:val="zySubsection"/>
      </w:pPr>
      <w:r>
        <w:tab/>
      </w:r>
      <w:r>
        <w:tab/>
        <w:t>or if (</w:t>
      </w:r>
      <w:r>
        <w:rPr>
          <w:b/>
        </w:rPr>
        <w:t>A</w:t>
      </w:r>
      <w:r>
        <w:t xml:space="preserve"> </w:t>
      </w:r>
      <w:r>
        <w:sym w:font="Symbol" w:char="F0B4"/>
      </w:r>
      <w:r>
        <w:t xml:space="preserve"> </w:t>
      </w:r>
      <w:r>
        <w:rPr>
          <w:b/>
        </w:rPr>
        <w:t>S</w:t>
      </w:r>
      <w:r>
        <w:t xml:space="preserve">) </w:t>
      </w:r>
      <w:r>
        <w:sym w:font="Symbol" w:char="F0A3"/>
      </w:r>
      <w:r>
        <w:t xml:space="preserve"> (</w:t>
      </w:r>
      <w:r>
        <w:rPr>
          <w:b/>
        </w:rPr>
        <w:t>A</w:t>
      </w:r>
      <w:r>
        <w:t xml:space="preserve"> + </w:t>
      </w:r>
      <w:r>
        <w:rPr>
          <w:b/>
        </w:rPr>
        <w:t>J</w:t>
      </w:r>
      <w:r>
        <w:t>), then</w:t>
      </w:r>
    </w:p>
    <w:p>
      <w:pPr>
        <w:pStyle w:val="zySubsection"/>
      </w:pPr>
      <w:r>
        <w:rPr>
          <w:b/>
        </w:rPr>
        <w:tab/>
      </w:r>
      <w:r>
        <w:rPr>
          <w:b/>
        </w:rPr>
        <w:tab/>
      </w:r>
      <w:r>
        <w:t>(</w:t>
      </w:r>
      <w:r>
        <w:rPr>
          <w:b/>
        </w:rPr>
        <w:t xml:space="preserve">A </w:t>
      </w:r>
      <w:r>
        <w:t xml:space="preserve">+ </w:t>
      </w:r>
      <w:r>
        <w:rPr>
          <w:b/>
        </w:rPr>
        <w:t>J</w:t>
      </w:r>
      <w:r>
        <w:t>)</w:t>
      </w:r>
    </w:p>
    <w:p>
      <w:pPr>
        <w:pStyle w:val="zySubsection"/>
      </w:pPr>
      <w:r>
        <w:tab/>
      </w:r>
      <w:r>
        <w:tab/>
        <w:t>or if (</w:t>
      </w:r>
      <w:r>
        <w:rPr>
          <w:b/>
        </w:rPr>
        <w:t>P</w:t>
      </w:r>
      <w:r>
        <w:t xml:space="preserve"> + </w:t>
      </w:r>
      <w:r>
        <w:rPr>
          <w:b/>
        </w:rPr>
        <w:t>Q</w:t>
      </w:r>
      <w:r>
        <w:t xml:space="preserve">) </w:t>
      </w:r>
      <w:r>
        <w:sym w:font="Symbol" w:char="F02D"/>
      </w:r>
      <w:r>
        <w:t xml:space="preserve"> </w:t>
      </w:r>
      <w:r>
        <w:rPr>
          <w:b/>
        </w:rPr>
        <w:t>A</w:t>
      </w:r>
      <w:r>
        <w:t xml:space="preserve"> </w:t>
      </w:r>
      <w:r>
        <w:sym w:font="Symbol" w:char="F0A3"/>
      </w:r>
      <w:r>
        <w:t xml:space="preserve"> </w:t>
      </w:r>
      <w:r>
        <w:rPr>
          <w:b/>
        </w:rPr>
        <w:t>B</w:t>
      </w:r>
      <w:r>
        <w:t xml:space="preserve">, then — </w:t>
      </w:r>
    </w:p>
    <w:p>
      <w:pPr>
        <w:pStyle w:val="zySubsection"/>
      </w:pPr>
      <w:r>
        <w:tab/>
      </w:r>
      <w:r>
        <w:tab/>
        <w:t>if (</w:t>
      </w:r>
      <w:r>
        <w:rPr>
          <w:b/>
        </w:rPr>
        <w:t>A</w:t>
      </w:r>
      <w:r>
        <w:t xml:space="preserve"> </w:t>
      </w:r>
      <w:r>
        <w:sym w:font="Symbol" w:char="F0B4"/>
      </w:r>
      <w:r>
        <w:t xml:space="preserve"> </w:t>
      </w:r>
      <w:r>
        <w:rPr>
          <w:b/>
        </w:rPr>
        <w:t>S</w:t>
      </w:r>
      <w:r>
        <w:t>) &gt; [</w:t>
      </w:r>
      <w:r>
        <w:rPr>
          <w:b/>
        </w:rPr>
        <w:t>A</w:t>
      </w:r>
      <w:r>
        <w:t xml:space="preserve"> + {(</w:t>
      </w:r>
      <w:r>
        <w:rPr>
          <w:b/>
        </w:rPr>
        <w:t>P</w:t>
      </w:r>
      <w:r>
        <w:t xml:space="preserve"> + </w:t>
      </w:r>
      <w:r>
        <w:rPr>
          <w:b/>
        </w:rPr>
        <w:t>Q</w:t>
      </w:r>
      <w:r>
        <w:t xml:space="preserve">) </w:t>
      </w:r>
      <w:r>
        <w:sym w:font="Symbol" w:char="F02D"/>
      </w:r>
      <w:r>
        <w:t xml:space="preserve"> </w:t>
      </w:r>
      <w:r>
        <w:rPr>
          <w:b/>
        </w:rPr>
        <w:t>A</w:t>
      </w:r>
      <w:r>
        <w:t xml:space="preserve">} / </w:t>
      </w:r>
      <w:r>
        <w:rPr>
          <w:b/>
        </w:rPr>
        <w:t>O</w:t>
      </w:r>
      <w:r>
        <w:t>], then</w:t>
      </w:r>
    </w:p>
    <w:p>
      <w:pPr>
        <w:pStyle w:val="zySubsection"/>
      </w:pPr>
      <w:r>
        <w:rPr>
          <w:b/>
        </w:rPr>
        <w:tab/>
      </w:r>
      <w:r>
        <w:rPr>
          <w:b/>
        </w:rPr>
        <w:tab/>
      </w:r>
      <w:r>
        <w:t>(</w:t>
      </w:r>
      <w:r>
        <w:rPr>
          <w:b/>
        </w:rPr>
        <w:t>A</w:t>
      </w:r>
      <w:r>
        <w:rPr>
          <w:bCs/>
        </w:rPr>
        <w:t xml:space="preserve"> </w:t>
      </w:r>
      <w:r>
        <w:rPr>
          <w:bCs/>
        </w:rPr>
        <w:sym w:font="Symbol" w:char="F0B4"/>
      </w:r>
      <w:r>
        <w:rPr>
          <w:bCs/>
        </w:rPr>
        <w:t xml:space="preserve"> </w:t>
      </w:r>
      <w:r>
        <w:rPr>
          <w:b/>
        </w:rPr>
        <w:t>S</w:t>
      </w:r>
      <w:r>
        <w:t>)</w:t>
      </w:r>
    </w:p>
    <w:p>
      <w:pPr>
        <w:pStyle w:val="zySubsection"/>
      </w:pPr>
      <w:r>
        <w:tab/>
      </w:r>
      <w:r>
        <w:tab/>
        <w:t>or if (</w:t>
      </w:r>
      <w:r>
        <w:rPr>
          <w:b/>
        </w:rPr>
        <w:t>A</w:t>
      </w:r>
      <w:r>
        <w:t xml:space="preserve"> </w:t>
      </w:r>
      <w:r>
        <w:sym w:font="Symbol" w:char="F0B4"/>
      </w:r>
      <w:r>
        <w:t xml:space="preserve"> </w:t>
      </w:r>
      <w:r>
        <w:rPr>
          <w:b/>
        </w:rPr>
        <w:t>S</w:t>
      </w:r>
      <w:r>
        <w:t xml:space="preserve">) </w:t>
      </w:r>
      <w:r>
        <w:sym w:font="Symbol" w:char="F0A3"/>
      </w:r>
      <w:r>
        <w:t xml:space="preserve"> [</w:t>
      </w:r>
      <w:r>
        <w:rPr>
          <w:b/>
        </w:rPr>
        <w:t>A</w:t>
      </w:r>
      <w:r>
        <w:t xml:space="preserve"> + {(</w:t>
      </w:r>
      <w:r>
        <w:rPr>
          <w:b/>
        </w:rPr>
        <w:t>P</w:t>
      </w:r>
      <w:r>
        <w:t xml:space="preserve"> + </w:t>
      </w:r>
      <w:r>
        <w:rPr>
          <w:b/>
        </w:rPr>
        <w:t>Q</w:t>
      </w:r>
      <w:r>
        <w:t xml:space="preserve">) </w:t>
      </w:r>
      <w:r>
        <w:sym w:font="Symbol" w:char="F02D"/>
      </w:r>
      <w:r>
        <w:t xml:space="preserve"> </w:t>
      </w:r>
      <w:r>
        <w:rPr>
          <w:b/>
        </w:rPr>
        <w:t>A</w:t>
      </w:r>
      <w:r>
        <w:t xml:space="preserve">} / </w:t>
      </w:r>
      <w:r>
        <w:rPr>
          <w:b/>
        </w:rPr>
        <w:t>O</w:t>
      </w:r>
      <w:r>
        <w:t xml:space="preserve">], then — </w:t>
      </w:r>
    </w:p>
    <w:p>
      <w:pPr>
        <w:pStyle w:val="zySubsection"/>
      </w:pPr>
      <w:r>
        <w:rPr>
          <w:b/>
        </w:rPr>
        <w:tab/>
      </w:r>
      <w:r>
        <w:rPr>
          <w:b/>
        </w:rPr>
        <w:tab/>
      </w:r>
      <w:r>
        <w:t>[</w:t>
      </w:r>
      <w:r>
        <w:rPr>
          <w:b/>
        </w:rPr>
        <w:t>A</w:t>
      </w:r>
      <w:r>
        <w:t xml:space="preserve"> + {(</w:t>
      </w:r>
      <w:r>
        <w:rPr>
          <w:b/>
        </w:rPr>
        <w:t>P</w:t>
      </w:r>
      <w:r>
        <w:t xml:space="preserve"> + </w:t>
      </w:r>
      <w:r>
        <w:rPr>
          <w:b/>
        </w:rPr>
        <w:t>Q</w:t>
      </w:r>
      <w:r>
        <w:t xml:space="preserve">) </w:t>
      </w:r>
      <w:r>
        <w:sym w:font="Symbol" w:char="F02D"/>
      </w:r>
      <w:r>
        <w:t xml:space="preserve"> </w:t>
      </w:r>
      <w:r>
        <w:rPr>
          <w:b/>
        </w:rPr>
        <w:t>A</w:t>
      </w:r>
      <w:r>
        <w:t xml:space="preserve">} / </w:t>
      </w:r>
      <w:r>
        <w:rPr>
          <w:b/>
        </w:rPr>
        <w:t>O</w:t>
      </w:r>
      <w:r>
        <w:t>]</w:t>
      </w:r>
    </w:p>
    <w:p>
      <w:pPr>
        <w:pStyle w:val="zySubsection"/>
      </w:pPr>
      <w:r>
        <w:tab/>
      </w:r>
      <w:r>
        <w:tab/>
        <w:t xml:space="preserve">where — </w:t>
      </w:r>
    </w:p>
    <w:p>
      <w:pPr>
        <w:pStyle w:val="zyIndenta"/>
      </w:pPr>
      <w:r>
        <w:rPr>
          <w:b/>
        </w:rPr>
        <w:tab/>
        <w:t>P</w:t>
      </w:r>
      <w:r>
        <w:t xml:space="preserve"> =</w:t>
      </w:r>
      <w:r>
        <w:tab/>
        <w:t>the target annual charge, based on the number of major fixtures calculated using the Table in item 36;</w:t>
      </w:r>
    </w:p>
    <w:p>
      <w:pPr>
        <w:pStyle w:val="zyIndenta"/>
      </w:pPr>
      <w:r>
        <w:rPr>
          <w:b/>
        </w:rPr>
        <w:tab/>
        <w:t>Q</w:t>
      </w:r>
      <w:r>
        <w:t xml:space="preserve"> =</w:t>
      </w:r>
      <w:r>
        <w:tab/>
        <w:t>the ultimate discharge charge calculated using the formula in item 37, except that the discharge allowance calculated in accordance with item 38(a) is 200 kL;</w:t>
      </w:r>
    </w:p>
    <w:p>
      <w:pPr>
        <w:pStyle w:val="zyIndenta"/>
      </w:pPr>
      <w:r>
        <w:rPr>
          <w:b/>
        </w:rPr>
        <w:tab/>
        <w:t>A</w:t>
      </w:r>
      <w:r>
        <w:t xml:space="preserve"> =</w:t>
      </w:r>
      <w:r>
        <w:tab/>
        <w:t>the equivalent full year charge payable in the 2011/2012 year;</w:t>
      </w:r>
    </w:p>
    <w:p>
      <w:pPr>
        <w:pStyle w:val="zyIndenta"/>
      </w:pPr>
      <w:r>
        <w:rPr>
          <w:b/>
        </w:rPr>
        <w:tab/>
        <w:t>S</w:t>
      </w:r>
      <w:r>
        <w:t xml:space="preserve"> =</w:t>
      </w:r>
      <w:r>
        <w:tab/>
        <w:t>1.136;</w:t>
      </w:r>
    </w:p>
    <w:p>
      <w:pPr>
        <w:pStyle w:val="zyIndenta"/>
      </w:pPr>
      <w:r>
        <w:rPr>
          <w:b/>
        </w:rPr>
        <w:tab/>
        <w:t>B</w:t>
      </w:r>
      <w:r>
        <w:t xml:space="preserve"> =</w:t>
      </w:r>
      <w:r>
        <w:tab/>
        <w:t>$166.67;</w:t>
      </w:r>
    </w:p>
    <w:p>
      <w:pPr>
        <w:pStyle w:val="zyIndenta"/>
      </w:pPr>
      <w:r>
        <w:rPr>
          <w:b/>
        </w:rPr>
        <w:tab/>
        <w:t>J</w:t>
      </w:r>
      <w:r>
        <w:t xml:space="preserve"> =</w:t>
      </w:r>
      <w:r>
        <w:tab/>
        <w:t>$166.67;</w:t>
      </w:r>
    </w:p>
    <w:p>
      <w:pPr>
        <w:pStyle w:val="zyIndenta"/>
      </w:pPr>
      <w:r>
        <w:rPr>
          <w:b/>
        </w:rPr>
        <w:tab/>
        <w:t>O</w:t>
      </w:r>
      <w:r>
        <w:t xml:space="preserve"> =</w:t>
      </w:r>
      <w:r>
        <w:tab/>
        <w:t>1.</w:t>
      </w:r>
    </w:p>
    <w:p>
      <w:pPr>
        <w:pStyle w:val="yFootnotesection"/>
      </w:pPr>
      <w:r>
        <w:tab/>
        <w:t>[Division 7 inserted in Gazette 20 Jun 2012 p. 2743</w:t>
      </w:r>
      <w:r>
        <w:noBreakHyphen/>
        <w:t>7.]</w:t>
      </w:r>
    </w:p>
    <w:p>
      <w:pPr>
        <w:pStyle w:val="yHeading3"/>
        <w:rPr>
          <w:rStyle w:val="CharSDivNo"/>
        </w:rPr>
      </w:pPr>
      <w:bookmarkStart w:id="788" w:name="_Toc84428009"/>
      <w:bookmarkStart w:id="789" w:name="_Toc328403454"/>
      <w:bookmarkStart w:id="790" w:name="_Toc328471503"/>
      <w:r>
        <w:rPr>
          <w:rStyle w:val="CharSDivNo"/>
        </w:rPr>
        <w:t>Division 8 </w:t>
      </w:r>
      <w:r>
        <w:t>—</w:t>
      </w:r>
      <w:r>
        <w:rPr>
          <w:rStyle w:val="CharSDivNo"/>
        </w:rPr>
        <w:t> </w:t>
      </w:r>
      <w:r>
        <w:rPr>
          <w:rStyle w:val="CharSDivText"/>
        </w:rPr>
        <w:t>Computation of combined charges for country</w:t>
      </w:r>
      <w:bookmarkEnd w:id="788"/>
      <w:bookmarkEnd w:id="789"/>
      <w:bookmarkEnd w:id="790"/>
    </w:p>
    <w:p>
      <w:pPr>
        <w:pStyle w:val="yFootnoteheading"/>
        <w:keepNext/>
        <w:spacing w:after="60"/>
        <w:rPr>
          <w:rStyle w:val="CharSDivNo"/>
        </w:rPr>
      </w:pPr>
      <w:r>
        <w:tab/>
        <w:t>[Heading inserted in Gazette 20 Jun 2012 p. 2747.]</w:t>
      </w:r>
    </w:p>
    <w:p>
      <w:pPr>
        <w:pStyle w:val="zyHeading5"/>
      </w:pPr>
      <w:r>
        <w:t>36.</w:t>
      </w:r>
      <w:r>
        <w:tab/>
        <w:t>Formula for annual charge</w:t>
      </w:r>
    </w:p>
    <w:p>
      <w:pPr>
        <w:pStyle w:val="zySubsection"/>
      </w:pPr>
      <w:r>
        <w:tab/>
      </w:r>
      <w:r>
        <w:tab/>
        <w:t xml:space="preserve">For the </w:t>
      </w:r>
      <w:r>
        <w:rPr>
          <w:spacing w:val="-1"/>
        </w:rPr>
        <w:t>purposes</w:t>
      </w:r>
      <w:r>
        <w:t xml:space="preserve"> of Division 7, the annual charge (</w:t>
      </w:r>
      <w:r>
        <w:rPr>
          <w:rStyle w:val="CharDefText"/>
        </w:rPr>
        <w:t>P</w:t>
      </w:r>
      <w:r>
        <w:t xml:space="preserve">) is calculated according to the following formula — </w:t>
      </w:r>
    </w:p>
    <w:p>
      <w:pPr>
        <w:pStyle w:val="zySubsection"/>
      </w:pPr>
      <w:r>
        <w:tab/>
      </w:r>
      <w:r>
        <w:tab/>
        <w:t xml:space="preserve">If </w:t>
      </w:r>
      <w:r>
        <w:rPr>
          <w:b/>
        </w:rPr>
        <w:t>A</w:t>
      </w:r>
      <w:r>
        <w:t xml:space="preserve"> </w:t>
      </w:r>
      <w:r>
        <w:sym w:font="Symbol" w:char="F0A3"/>
      </w:r>
      <w:r>
        <w:t xml:space="preserve"> (</w:t>
      </w:r>
      <w:r>
        <w:rPr>
          <w:b/>
        </w:rPr>
        <w:t>C</w:t>
      </w:r>
      <w:r>
        <w:t xml:space="preserve"> + </w:t>
      </w:r>
      <w:r>
        <w:rPr>
          <w:b/>
        </w:rPr>
        <w:t>D</w:t>
      </w:r>
      <w:r>
        <w:t xml:space="preserve">), then — </w:t>
      </w:r>
    </w:p>
    <w:p>
      <w:pPr>
        <w:pStyle w:val="zySubsection"/>
        <w:rPr>
          <w:b/>
        </w:rPr>
      </w:pPr>
      <w:r>
        <w:tab/>
      </w:r>
      <w:r>
        <w:tab/>
      </w:r>
      <w:r>
        <w:rPr>
          <w:b/>
        </w:rPr>
        <w:t>X</w:t>
      </w:r>
    </w:p>
    <w:p>
      <w:pPr>
        <w:pStyle w:val="zySubsection"/>
      </w:pPr>
      <w:r>
        <w:tab/>
      </w:r>
      <w:r>
        <w:tab/>
        <w:t xml:space="preserve">or if </w:t>
      </w:r>
      <w:r>
        <w:rPr>
          <w:b/>
        </w:rPr>
        <w:t>A</w:t>
      </w:r>
      <w:r>
        <w:t xml:space="preserve"> &gt; (</w:t>
      </w:r>
      <w:r>
        <w:rPr>
          <w:b/>
        </w:rPr>
        <w:t>C</w:t>
      </w:r>
      <w:r>
        <w:t xml:space="preserve"> + </w:t>
      </w:r>
      <w:r>
        <w:rPr>
          <w:b/>
        </w:rPr>
        <w:t>D</w:t>
      </w:r>
      <w:r>
        <w:t xml:space="preserve">), then — </w:t>
      </w:r>
    </w:p>
    <w:p>
      <w:pPr>
        <w:pStyle w:val="zySubsection"/>
      </w:pPr>
      <w:r>
        <w:tab/>
      </w:r>
      <w:r>
        <w:tab/>
      </w:r>
      <w:r>
        <w:rPr>
          <w:b/>
        </w:rPr>
        <w:t>A</w:t>
      </w:r>
      <w:r>
        <w:t xml:space="preserve"> – [{</w:t>
      </w:r>
      <w:r>
        <w:rPr>
          <w:b/>
        </w:rPr>
        <w:t xml:space="preserve">A </w:t>
      </w:r>
      <w:r>
        <w:t>– (</w:t>
      </w:r>
      <w:r>
        <w:rPr>
          <w:b/>
        </w:rPr>
        <w:t>C</w:t>
      </w:r>
      <w:r>
        <w:t xml:space="preserve"> + </w:t>
      </w:r>
      <w:r>
        <w:rPr>
          <w:b/>
        </w:rPr>
        <w:t>D</w:t>
      </w:r>
      <w:r>
        <w:t xml:space="preserve">)} / </w:t>
      </w:r>
      <w:r>
        <w:rPr>
          <w:b/>
        </w:rPr>
        <w:t>E</w:t>
      </w:r>
      <w:r>
        <w:t>]</w:t>
      </w:r>
    </w:p>
    <w:p>
      <w:pPr>
        <w:pStyle w:val="zySubsection"/>
      </w:pPr>
      <w:r>
        <w:tab/>
      </w:r>
      <w:r>
        <w:tab/>
        <w:t xml:space="preserve">where — </w:t>
      </w:r>
    </w:p>
    <w:p>
      <w:pPr>
        <w:pStyle w:val="zyIndenta"/>
      </w:pPr>
      <w:r>
        <w:rPr>
          <w:b/>
        </w:rPr>
        <w:tab/>
        <w:t>A</w:t>
      </w:r>
      <w:r>
        <w:t xml:space="preserve"> =</w:t>
      </w:r>
      <w:r>
        <w:tab/>
        <w:t>the equivalent amount payable in the 2011/2012 year;</w:t>
      </w:r>
    </w:p>
    <w:p>
      <w:pPr>
        <w:pStyle w:val="zyIndenta"/>
      </w:pPr>
      <w:r>
        <w:rPr>
          <w:b/>
        </w:rPr>
        <w:tab/>
        <w:t>C</w:t>
      </w:r>
      <w:r>
        <w:t xml:space="preserve"> =</w:t>
      </w:r>
      <w:r>
        <w:tab/>
        <w:t>the charge payable for the relevant number of major fixtures for the 2012/2013 year as set out in the Table;</w:t>
      </w:r>
    </w:p>
    <w:p>
      <w:pPr>
        <w:pStyle w:val="zyIndenta"/>
      </w:pPr>
      <w:r>
        <w:rPr>
          <w:b/>
        </w:rPr>
        <w:tab/>
        <w:t>D</w:t>
      </w:r>
      <w:r>
        <w:t xml:space="preserve"> =</w:t>
      </w:r>
      <w:r>
        <w:tab/>
        <w:t>the ultimate discharge charge;</w:t>
      </w:r>
    </w:p>
    <w:p>
      <w:pPr>
        <w:pStyle w:val="zyIndenta"/>
      </w:pPr>
      <w:r>
        <w:rPr>
          <w:b/>
        </w:rPr>
        <w:tab/>
        <w:t>E</w:t>
      </w:r>
      <w:r>
        <w:t xml:space="preserve"> =</w:t>
      </w:r>
      <w:r>
        <w:tab/>
        <w:t>1;</w:t>
      </w:r>
    </w:p>
    <w:p>
      <w:pPr>
        <w:pStyle w:val="zyIndenta"/>
      </w:pPr>
      <w:r>
        <w:rPr>
          <w:b/>
        </w:rPr>
        <w:tab/>
        <w:t>X</w:t>
      </w:r>
      <w:r>
        <w:t xml:space="preserve"> =</w:t>
      </w:r>
      <w:r>
        <w:tab/>
        <w:t>the amount specified in relation to the 2012/2013 year for the relevant number of major fixtures as set out in the Table.</w:t>
      </w:r>
    </w:p>
    <w:p>
      <w:pPr>
        <w:pStyle w:val="yTHeadingNAm"/>
        <w:keepLines/>
      </w:pPr>
      <w:r>
        <w:rPr>
          <w:bCs w:val="0"/>
        </w:rPr>
        <w:t>Table of major fixture</w:t>
      </w:r>
      <w:r>
        <w:rPr>
          <w:bCs w:val="0"/>
        </w:rPr>
        <w:noBreakHyphen/>
        <w:t>based minimum charges</w:t>
      </w:r>
      <w:r>
        <w:rPr>
          <w:bCs w:val="0"/>
        </w:rPr>
        <w:br/>
        <w:t>(</w:t>
      </w:r>
      <w:r>
        <w:rPr>
          <w:bCs w:val="0"/>
          <w:iCs/>
        </w:rPr>
        <w:t>per fixture</w:t>
      </w:r>
      <w:r>
        <w:rPr>
          <w:bCs w:val="0"/>
        </w:rPr>
        <w:t>)</w:t>
      </w:r>
    </w:p>
    <w:tbl>
      <w:tblPr>
        <w:tblW w:w="0" w:type="auto"/>
        <w:tblInd w:w="910" w:type="dxa"/>
        <w:tblLayout w:type="fixed"/>
        <w:tblCellMar>
          <w:left w:w="28" w:type="dxa"/>
          <w:right w:w="28" w:type="dxa"/>
        </w:tblCellMar>
        <w:tblLook w:val="0000" w:firstRow="0" w:lastRow="0" w:firstColumn="0" w:lastColumn="0" w:noHBand="0" w:noVBand="0"/>
      </w:tblPr>
      <w:tblGrid>
        <w:gridCol w:w="2961"/>
        <w:gridCol w:w="2961"/>
      </w:tblGrid>
      <w:tr>
        <w:trPr>
          <w:cantSplit/>
          <w:tblHeader/>
        </w:trPr>
        <w:tc>
          <w:tcPr>
            <w:tcW w:w="2961" w:type="dxa"/>
            <w:tcBorders>
              <w:top w:val="single" w:sz="4" w:space="0" w:color="auto"/>
              <w:bottom w:val="single" w:sz="4" w:space="0" w:color="auto"/>
            </w:tcBorders>
          </w:tcPr>
          <w:p>
            <w:pPr>
              <w:pStyle w:val="yTableNAm"/>
              <w:keepNext/>
              <w:keepLines/>
              <w:jc w:val="center"/>
              <w:rPr>
                <w:b/>
                <w:bCs/>
              </w:rPr>
            </w:pPr>
            <w:r>
              <w:rPr>
                <w:b/>
                <w:bCs/>
              </w:rPr>
              <w:t>No. of fixtures</w:t>
            </w:r>
          </w:p>
        </w:tc>
        <w:tc>
          <w:tcPr>
            <w:tcW w:w="2961" w:type="dxa"/>
            <w:tcBorders>
              <w:top w:val="single" w:sz="4" w:space="0" w:color="auto"/>
              <w:bottom w:val="single" w:sz="4" w:space="0" w:color="auto"/>
            </w:tcBorders>
          </w:tcPr>
          <w:p>
            <w:pPr>
              <w:pStyle w:val="yTableNAm"/>
              <w:keepNext/>
              <w:keepLines/>
              <w:jc w:val="center"/>
              <w:rPr>
                <w:b/>
                <w:bCs/>
              </w:rPr>
            </w:pPr>
            <w:r>
              <w:rPr>
                <w:b/>
                <w:bCs/>
              </w:rPr>
              <w:t>Charges</w:t>
            </w:r>
            <w:r>
              <w:rPr>
                <w:b/>
                <w:bCs/>
              </w:rPr>
              <w:br/>
              <w:t>$</w:t>
            </w:r>
          </w:p>
        </w:tc>
      </w:tr>
      <w:tr>
        <w:trPr>
          <w:cantSplit/>
        </w:trPr>
        <w:tc>
          <w:tcPr>
            <w:tcW w:w="2961" w:type="dxa"/>
          </w:tcPr>
          <w:p>
            <w:pPr>
              <w:pStyle w:val="yTableNAm"/>
              <w:jc w:val="center"/>
            </w:pPr>
            <w:r>
              <w:t>1</w:t>
            </w:r>
          </w:p>
        </w:tc>
        <w:tc>
          <w:tcPr>
            <w:tcW w:w="2961" w:type="dxa"/>
            <w:vAlign w:val="bottom"/>
          </w:tcPr>
          <w:p>
            <w:pPr>
              <w:pStyle w:val="yTableNAm"/>
              <w:jc w:val="center"/>
            </w:pPr>
            <w:r>
              <w:t>728.40</w:t>
            </w:r>
          </w:p>
        </w:tc>
      </w:tr>
      <w:tr>
        <w:trPr>
          <w:cantSplit/>
        </w:trPr>
        <w:tc>
          <w:tcPr>
            <w:tcW w:w="2961" w:type="dxa"/>
          </w:tcPr>
          <w:p>
            <w:pPr>
              <w:pStyle w:val="yTableNAm"/>
              <w:jc w:val="center"/>
            </w:pPr>
            <w:r>
              <w:t>2</w:t>
            </w:r>
          </w:p>
        </w:tc>
        <w:tc>
          <w:tcPr>
            <w:tcW w:w="2961" w:type="dxa"/>
            <w:vAlign w:val="bottom"/>
          </w:tcPr>
          <w:p>
            <w:pPr>
              <w:pStyle w:val="yTableNAm"/>
              <w:jc w:val="center"/>
            </w:pPr>
            <w:r>
              <w:t>311.80</w:t>
            </w:r>
          </w:p>
        </w:tc>
      </w:tr>
      <w:tr>
        <w:trPr>
          <w:cantSplit/>
        </w:trPr>
        <w:tc>
          <w:tcPr>
            <w:tcW w:w="2961" w:type="dxa"/>
          </w:tcPr>
          <w:p>
            <w:pPr>
              <w:pStyle w:val="yTableNAm"/>
              <w:jc w:val="center"/>
            </w:pPr>
            <w:r>
              <w:t>3</w:t>
            </w:r>
          </w:p>
        </w:tc>
        <w:tc>
          <w:tcPr>
            <w:tcW w:w="2961" w:type="dxa"/>
            <w:vAlign w:val="bottom"/>
          </w:tcPr>
          <w:p>
            <w:pPr>
              <w:pStyle w:val="yTableNAm"/>
              <w:jc w:val="center"/>
            </w:pPr>
            <w:r>
              <w:t>416.40</w:t>
            </w:r>
          </w:p>
        </w:tc>
      </w:tr>
      <w:tr>
        <w:trPr>
          <w:cantSplit/>
        </w:trPr>
        <w:tc>
          <w:tcPr>
            <w:tcW w:w="2961" w:type="dxa"/>
            <w:tcBorders>
              <w:bottom w:val="single" w:sz="4" w:space="0" w:color="auto"/>
            </w:tcBorders>
          </w:tcPr>
          <w:p>
            <w:pPr>
              <w:pStyle w:val="yTableNAm"/>
              <w:jc w:val="center"/>
            </w:pPr>
            <w:r>
              <w:t>4+</w:t>
            </w:r>
          </w:p>
        </w:tc>
        <w:tc>
          <w:tcPr>
            <w:tcW w:w="2961" w:type="dxa"/>
            <w:tcBorders>
              <w:bottom w:val="single" w:sz="4" w:space="0" w:color="auto"/>
            </w:tcBorders>
            <w:vAlign w:val="bottom"/>
          </w:tcPr>
          <w:p>
            <w:pPr>
              <w:pStyle w:val="yTableNAm"/>
              <w:jc w:val="center"/>
            </w:pPr>
            <w:r>
              <w:t>452.80</w:t>
            </w:r>
          </w:p>
        </w:tc>
      </w:tr>
    </w:tbl>
    <w:p>
      <w:pPr>
        <w:pStyle w:val="zyHeading5"/>
      </w:pPr>
      <w:r>
        <w:t>37.</w:t>
      </w:r>
      <w:r>
        <w:tab/>
        <w:t>Formula for quantity charge</w:t>
      </w:r>
    </w:p>
    <w:p>
      <w:pPr>
        <w:pStyle w:val="zySubsection"/>
        <w:rPr>
          <w:snapToGrid w:val="0"/>
        </w:rPr>
      </w:pPr>
      <w:r>
        <w:rPr>
          <w:snapToGrid w:val="0"/>
        </w:rPr>
        <w:tab/>
      </w:r>
      <w:r>
        <w:rPr>
          <w:snapToGrid w:val="0"/>
        </w:rPr>
        <w:tab/>
        <w:t xml:space="preserve">For the purposes of </w:t>
      </w:r>
      <w:r>
        <w:rPr>
          <w:spacing w:val="-1"/>
        </w:rPr>
        <w:t>Division</w:t>
      </w:r>
      <w:r>
        <w:t> 7</w:t>
      </w:r>
      <w:r>
        <w:rPr>
          <w:snapToGrid w:val="0"/>
        </w:rPr>
        <w:t>, the quantity charge (</w:t>
      </w:r>
      <w:r>
        <w:rPr>
          <w:rStyle w:val="CharDefText"/>
        </w:rPr>
        <w:t>Q</w:t>
      </w:r>
      <w:r>
        <w:rPr>
          <w:snapToGrid w:val="0"/>
        </w:rPr>
        <w:t xml:space="preserve">) is calculated in accordance with the following formula — </w:t>
      </w:r>
    </w:p>
    <w:p>
      <w:pPr>
        <w:pStyle w:val="zySubsection"/>
      </w:pPr>
      <w:r>
        <w:tab/>
      </w:r>
      <w:r>
        <w:tab/>
        <w:t>If (</w:t>
      </w:r>
      <w:r>
        <w:rPr>
          <w:b/>
        </w:rPr>
        <w:t>F</w:t>
      </w:r>
      <w:r>
        <w:t xml:space="preserve"> </w:t>
      </w:r>
      <w:r>
        <w:sym w:font="Symbol" w:char="F0B4"/>
      </w:r>
      <w:r>
        <w:t xml:space="preserve"> </w:t>
      </w:r>
      <w:r>
        <w:rPr>
          <w:b/>
        </w:rPr>
        <w:t>G</w:t>
      </w:r>
      <w:r>
        <w:t xml:space="preserve">) </w:t>
      </w:r>
      <w:r>
        <w:sym w:font="Symbol" w:char="F0A3"/>
      </w:r>
      <w:r>
        <w:t xml:space="preserve"> </w:t>
      </w:r>
      <w:r>
        <w:rPr>
          <w:b/>
        </w:rPr>
        <w:t>H</w:t>
      </w:r>
      <w:r>
        <w:t xml:space="preserve">, then — </w:t>
      </w:r>
    </w:p>
    <w:p>
      <w:pPr>
        <w:pStyle w:val="zySubsection"/>
      </w:pPr>
      <w:r>
        <w:tab/>
      </w:r>
      <w:r>
        <w:tab/>
        <w:t>nil</w:t>
      </w:r>
    </w:p>
    <w:p>
      <w:pPr>
        <w:pStyle w:val="zySubsection"/>
      </w:pPr>
      <w:r>
        <w:tab/>
      </w:r>
      <w:r>
        <w:tab/>
        <w:t>or if (</w:t>
      </w:r>
      <w:r>
        <w:rPr>
          <w:b/>
        </w:rPr>
        <w:t xml:space="preserve">F </w:t>
      </w:r>
      <w:r>
        <w:sym w:font="Symbol" w:char="F0B4"/>
      </w:r>
      <w:r>
        <w:t xml:space="preserve"> </w:t>
      </w:r>
      <w:r>
        <w:rPr>
          <w:b/>
        </w:rPr>
        <w:t>G</w:t>
      </w:r>
      <w:r>
        <w:t xml:space="preserve">) &gt; </w:t>
      </w:r>
      <w:r>
        <w:rPr>
          <w:b/>
        </w:rPr>
        <w:t>H</w:t>
      </w:r>
      <w:r>
        <w:t xml:space="preserve">, then — </w:t>
      </w:r>
    </w:p>
    <w:p>
      <w:pPr>
        <w:pStyle w:val="zySubsection"/>
      </w:pPr>
      <w:r>
        <w:tab/>
      </w:r>
      <w:r>
        <w:tab/>
        <w:t>{(</w:t>
      </w:r>
      <w:r>
        <w:rPr>
          <w:b/>
        </w:rPr>
        <w:t>F</w:t>
      </w:r>
      <w:r>
        <w:t xml:space="preserve"> </w:t>
      </w:r>
      <w:r>
        <w:sym w:font="Symbol" w:char="F0B4"/>
      </w:r>
      <w:r>
        <w:t xml:space="preserve"> </w:t>
      </w:r>
      <w:r>
        <w:rPr>
          <w:b/>
        </w:rPr>
        <w:t>G</w:t>
      </w:r>
      <w:r>
        <w:t xml:space="preserve">) – </w:t>
      </w:r>
      <w:r>
        <w:rPr>
          <w:b/>
        </w:rPr>
        <w:t>H</w:t>
      </w:r>
      <w:r>
        <w:t xml:space="preserve">} </w:t>
      </w:r>
      <w:r>
        <w:sym w:font="Symbol" w:char="F0B4"/>
      </w:r>
      <w:r>
        <w:t xml:space="preserve"> </w:t>
      </w:r>
      <w:r>
        <w:rPr>
          <w:b/>
        </w:rPr>
        <w:t>I</w:t>
      </w:r>
    </w:p>
    <w:p>
      <w:pPr>
        <w:pStyle w:val="zySubsection"/>
      </w:pPr>
      <w:r>
        <w:tab/>
      </w:r>
      <w:r>
        <w:tab/>
        <w:t xml:space="preserve">where — </w:t>
      </w:r>
    </w:p>
    <w:p>
      <w:pPr>
        <w:pStyle w:val="zyIndenta"/>
      </w:pPr>
      <w:r>
        <w:rPr>
          <w:b/>
        </w:rPr>
        <w:tab/>
        <w:t>F</w:t>
      </w:r>
      <w:r>
        <w:t xml:space="preserve"> =</w:t>
      </w:r>
      <w:r>
        <w:tab/>
        <w:t>the volume of water delivered to the property in the 2012/2013 year;</w:t>
      </w:r>
    </w:p>
    <w:p>
      <w:pPr>
        <w:pStyle w:val="zyIndenta"/>
      </w:pPr>
      <w:r>
        <w:rPr>
          <w:b/>
        </w:rPr>
        <w:tab/>
        <w:t>G</w:t>
      </w:r>
      <w:r>
        <w:t xml:space="preserve"> =</w:t>
      </w:r>
      <w:r>
        <w:tab/>
        <w:t>the discharge factor set for the property for the 2012/2013 year;</w:t>
      </w:r>
    </w:p>
    <w:p>
      <w:pPr>
        <w:pStyle w:val="zyIndenta"/>
      </w:pPr>
      <w:r>
        <w:rPr>
          <w:b/>
        </w:rPr>
        <w:tab/>
        <w:t>H</w:t>
      </w:r>
      <w:r>
        <w:t xml:space="preserve"> =</w:t>
      </w:r>
      <w:r>
        <w:tab/>
        <w:t>the discharge allowance for the 2012/2013 year calculated in accordance with item 38;</w:t>
      </w:r>
    </w:p>
    <w:p>
      <w:pPr>
        <w:pStyle w:val="zyIndenta"/>
      </w:pPr>
      <w:r>
        <w:rPr>
          <w:b/>
        </w:rPr>
        <w:tab/>
        <w:t>I</w:t>
      </w:r>
      <w:r>
        <w:t xml:space="preserve"> =</w:t>
      </w:r>
      <w:r>
        <w:tab/>
        <w:t>2.677,</w:t>
      </w:r>
    </w:p>
    <w:p>
      <w:pPr>
        <w:pStyle w:val="zySubsection"/>
      </w:pPr>
      <w:r>
        <w:tab/>
      </w:r>
      <w:r>
        <w:tab/>
        <w:t xml:space="preserve">and </w:t>
      </w:r>
      <w:r>
        <w:rPr>
          <w:snapToGrid w:val="0"/>
        </w:rPr>
        <w:t>where</w:t>
      </w:r>
      <w:r>
        <w:t xml:space="preserve"> only the integer value (i.e. rounded down to the nearest whole number) of (</w:t>
      </w:r>
      <w:r>
        <w:rPr>
          <w:b/>
        </w:rPr>
        <w:t>F</w:t>
      </w:r>
      <w:r>
        <w:t xml:space="preserve"> </w:t>
      </w:r>
      <w:r>
        <w:sym w:font="Symbol" w:char="F0B4"/>
      </w:r>
      <w:r>
        <w:t xml:space="preserve"> </w:t>
      </w:r>
      <w:r>
        <w:rPr>
          <w:b/>
        </w:rPr>
        <w:t>G</w:t>
      </w:r>
      <w:r>
        <w:t xml:space="preserve">) – </w:t>
      </w:r>
      <w:r>
        <w:rPr>
          <w:b/>
        </w:rPr>
        <w:t>H</w:t>
      </w:r>
      <w:r>
        <w:t xml:space="preserve"> is to be used in calculating the final charge.</w:t>
      </w:r>
    </w:p>
    <w:p>
      <w:pPr>
        <w:pStyle w:val="zyHeading5"/>
      </w:pPr>
      <w:r>
        <w:t>38.</w:t>
      </w:r>
      <w:r>
        <w:tab/>
        <w:t>Discharge allowance</w:t>
      </w:r>
    </w:p>
    <w:p>
      <w:pPr>
        <w:pStyle w:val="zySubsection"/>
        <w:rPr>
          <w:snapToGrid w:val="0"/>
        </w:rPr>
      </w:pPr>
      <w:r>
        <w:rPr>
          <w:snapToGrid w:val="0"/>
        </w:rPr>
        <w:tab/>
      </w:r>
      <w:r>
        <w:rPr>
          <w:snapToGrid w:val="0"/>
        </w:rPr>
        <w:tab/>
        <w:t xml:space="preserve">For the purposes of item 37, the discharge allowance is — </w:t>
      </w:r>
    </w:p>
    <w:p>
      <w:pPr>
        <w:pStyle w:val="zyIndenta"/>
        <w:rPr>
          <w:snapToGrid w:val="0"/>
        </w:rPr>
      </w:pPr>
      <w:r>
        <w:rPr>
          <w:snapToGrid w:val="0"/>
        </w:rPr>
        <w:tab/>
        <w:t>(a)</w:t>
      </w:r>
      <w:r>
        <w:rPr>
          <w:snapToGrid w:val="0"/>
        </w:rPr>
        <w:tab/>
        <w:t xml:space="preserve">for land to which item 35 applies that is not mentioned in paragraph (d), an amount of water in kilolitres calculated in accordance with the following formula — </w:t>
      </w:r>
    </w:p>
    <w:p>
      <w:pPr>
        <w:pStyle w:val="zyIndenta"/>
      </w:pPr>
      <w:r>
        <w:tab/>
      </w:r>
      <w:r>
        <w:tab/>
        <w:t xml:space="preserve">If </w:t>
      </w:r>
      <w:r>
        <w:rPr>
          <w:b/>
        </w:rPr>
        <w:t>X</w:t>
      </w:r>
      <w:r>
        <w:t xml:space="preserve"> </w:t>
      </w:r>
      <w:r>
        <w:sym w:font="Symbol" w:char="F0A3"/>
      </w:r>
      <w:r>
        <w:t xml:space="preserve"> </w:t>
      </w:r>
      <w:r>
        <w:rPr>
          <w:b/>
        </w:rPr>
        <w:t>C</w:t>
      </w:r>
      <w:r>
        <w:t xml:space="preserve">, then — </w:t>
      </w:r>
    </w:p>
    <w:p>
      <w:pPr>
        <w:pStyle w:val="zyIndenta"/>
        <w:rPr>
          <w:b/>
        </w:rPr>
      </w:pPr>
      <w:r>
        <w:rPr>
          <w:b/>
        </w:rPr>
        <w:tab/>
      </w:r>
      <w:r>
        <w:rPr>
          <w:b/>
        </w:rPr>
        <w:tab/>
        <w:t>L</w:t>
      </w:r>
    </w:p>
    <w:p>
      <w:pPr>
        <w:pStyle w:val="zyIndenta"/>
      </w:pPr>
      <w:r>
        <w:tab/>
      </w:r>
      <w:r>
        <w:tab/>
      </w:r>
      <w:r>
        <w:rPr>
          <w:snapToGrid w:val="0"/>
        </w:rPr>
        <w:t>or</w:t>
      </w:r>
      <w:r>
        <w:t xml:space="preserve"> if </w:t>
      </w:r>
      <w:r>
        <w:rPr>
          <w:b/>
        </w:rPr>
        <w:t>X</w:t>
      </w:r>
      <w:r>
        <w:t xml:space="preserve"> &gt; </w:t>
      </w:r>
      <w:r>
        <w:rPr>
          <w:b/>
        </w:rPr>
        <w:t>C</w:t>
      </w:r>
      <w:r>
        <w:t xml:space="preserve">, then — </w:t>
      </w:r>
    </w:p>
    <w:p>
      <w:pPr>
        <w:pStyle w:val="zyIndenta"/>
      </w:pPr>
      <w:r>
        <w:rPr>
          <w:b/>
        </w:rPr>
        <w:tab/>
      </w:r>
      <w:r>
        <w:rPr>
          <w:b/>
        </w:rPr>
        <w:tab/>
        <w:t>L</w:t>
      </w:r>
      <w:r>
        <w:t xml:space="preserve"> + [(</w:t>
      </w:r>
      <w:r>
        <w:rPr>
          <w:b/>
        </w:rPr>
        <w:t>X</w:t>
      </w:r>
      <w:r>
        <w:t xml:space="preserve"> – </w:t>
      </w:r>
      <w:r>
        <w:rPr>
          <w:b/>
        </w:rPr>
        <w:t>C</w:t>
      </w:r>
      <w:r>
        <w:t xml:space="preserve">) / </w:t>
      </w:r>
      <w:r>
        <w:rPr>
          <w:b/>
        </w:rPr>
        <w:t>K</w:t>
      </w:r>
      <w:r>
        <w:t>]</w:t>
      </w:r>
    </w:p>
    <w:p>
      <w:pPr>
        <w:pStyle w:val="zyIndenta"/>
      </w:pPr>
      <w:r>
        <w:tab/>
      </w:r>
      <w:r>
        <w:tab/>
        <w:t xml:space="preserve">where — </w:t>
      </w:r>
    </w:p>
    <w:p>
      <w:pPr>
        <w:pStyle w:val="zyIndenti"/>
        <w:rPr>
          <w:snapToGrid w:val="0"/>
        </w:rPr>
      </w:pPr>
      <w:r>
        <w:rPr>
          <w:b/>
        </w:rPr>
        <w:tab/>
        <w:t>X</w:t>
      </w:r>
      <w:r>
        <w:t xml:space="preserve"> =</w:t>
      </w:r>
      <w:r>
        <w:tab/>
        <w:t xml:space="preserve">the annual charge for the 2012/2013 year calculated in </w:t>
      </w:r>
      <w:r>
        <w:rPr>
          <w:snapToGrid w:val="0"/>
        </w:rPr>
        <w:t>accordance with the formula in item 36;</w:t>
      </w:r>
    </w:p>
    <w:p>
      <w:pPr>
        <w:pStyle w:val="zyIndenti"/>
      </w:pPr>
      <w:r>
        <w:rPr>
          <w:b/>
        </w:rPr>
        <w:tab/>
        <w:t>L</w:t>
      </w:r>
      <w:r>
        <w:t xml:space="preserve"> =</w:t>
      </w:r>
      <w:r>
        <w:tab/>
        <w:t>200;</w:t>
      </w:r>
    </w:p>
    <w:p>
      <w:pPr>
        <w:pStyle w:val="zyIndenti"/>
        <w:rPr>
          <w:b/>
        </w:rPr>
      </w:pPr>
      <w:r>
        <w:rPr>
          <w:b/>
        </w:rPr>
        <w:tab/>
        <w:t>C</w:t>
      </w:r>
      <w:r>
        <w:t xml:space="preserve"> =</w:t>
      </w:r>
      <w:r>
        <w:tab/>
        <w:t xml:space="preserve">the charge payable for the relevant number of major fixtures for the 2012/2013 year as set out in the Table to item 36; </w:t>
      </w:r>
    </w:p>
    <w:p>
      <w:pPr>
        <w:pStyle w:val="zyIndenti"/>
      </w:pPr>
      <w:r>
        <w:rPr>
          <w:b/>
        </w:rPr>
        <w:tab/>
        <w:t>K</w:t>
      </w:r>
      <w:r>
        <w:t xml:space="preserve"> =</w:t>
      </w:r>
      <w:r>
        <w:tab/>
        <w:t>2.677;</w:t>
      </w:r>
    </w:p>
    <w:p>
      <w:pPr>
        <w:pStyle w:val="zyIndenta"/>
      </w:pPr>
      <w:r>
        <w:tab/>
      </w:r>
      <w:r>
        <w:tab/>
        <w:t>and</w:t>
      </w:r>
    </w:p>
    <w:p>
      <w:pPr>
        <w:pStyle w:val="zyIndenta"/>
        <w:rPr>
          <w:snapToGrid w:val="0"/>
        </w:rPr>
      </w:pPr>
      <w:r>
        <w:rPr>
          <w:snapToGrid w:val="0"/>
        </w:rPr>
        <w:tab/>
        <w:t>(b)</w:t>
      </w:r>
      <w:r>
        <w:rPr>
          <w:snapToGrid w:val="0"/>
        </w:rPr>
        <w:tab/>
        <w:t>for a caravan park referred to in item 32, an amount of water in kilolitres calculated in accordance with the following formula — </w:t>
      </w:r>
    </w:p>
    <w:p>
      <w:pPr>
        <w:pStyle w:val="zyIndenta"/>
      </w:pPr>
      <w:r>
        <w:rPr>
          <w:b/>
        </w:rPr>
        <w:tab/>
      </w:r>
      <w:r>
        <w:rPr>
          <w:b/>
        </w:rPr>
        <w:tab/>
        <w:t>L</w:t>
      </w:r>
      <w:r>
        <w:t xml:space="preserve"> + </w:t>
      </w:r>
      <w:r>
        <w:rPr>
          <w:b/>
        </w:rPr>
        <w:t>M</w:t>
      </w:r>
    </w:p>
    <w:p>
      <w:pPr>
        <w:pStyle w:val="zyIndenta"/>
      </w:pPr>
      <w:r>
        <w:tab/>
      </w:r>
      <w:r>
        <w:tab/>
        <w:t xml:space="preserve">where — </w:t>
      </w:r>
    </w:p>
    <w:p>
      <w:pPr>
        <w:pStyle w:val="zyIndenti"/>
      </w:pPr>
      <w:r>
        <w:rPr>
          <w:b/>
        </w:rPr>
        <w:tab/>
        <w:t>L</w:t>
      </w:r>
      <w:r>
        <w:t xml:space="preserve"> =</w:t>
      </w:r>
      <w:r>
        <w:tab/>
        <w:t>200;</w:t>
      </w:r>
    </w:p>
    <w:p>
      <w:pPr>
        <w:pStyle w:val="zyIndenti"/>
      </w:pPr>
      <w:r>
        <w:rPr>
          <w:b/>
        </w:rPr>
        <w:tab/>
        <w:t>M</w:t>
      </w:r>
      <w:r>
        <w:t xml:space="preserve"> =</w:t>
      </w:r>
      <w:r>
        <w:tab/>
        <w:t>75 kL of water for each long</w:t>
      </w:r>
      <w:r>
        <w:noBreakHyphen/>
        <w:t>term residential caravan bay;</w:t>
      </w:r>
    </w:p>
    <w:p>
      <w:pPr>
        <w:pStyle w:val="zyIndenta"/>
      </w:pPr>
      <w:r>
        <w:tab/>
      </w:r>
      <w:r>
        <w:tab/>
        <w:t>and</w:t>
      </w:r>
    </w:p>
    <w:p>
      <w:pPr>
        <w:pStyle w:val="zyIndenta"/>
        <w:rPr>
          <w:snapToGrid w:val="0"/>
        </w:rPr>
      </w:pPr>
      <w:r>
        <w:rPr>
          <w:snapToGrid w:val="0"/>
        </w:rPr>
        <w:tab/>
        <w:t>(c)</w:t>
      </w:r>
      <w:r>
        <w:rPr>
          <w:snapToGrid w:val="0"/>
        </w:rPr>
        <w:tab/>
        <w:t>for a nursing home referred to in item 33, 75 kL of water per bed; and</w:t>
      </w:r>
    </w:p>
    <w:p>
      <w:pPr>
        <w:pStyle w:val="zyIndenta"/>
        <w:keepNext/>
        <w:keepLines/>
        <w:rPr>
          <w:snapToGrid w:val="0"/>
        </w:rPr>
      </w:pPr>
      <w:r>
        <w:rPr>
          <w:snapToGrid w:val="0"/>
        </w:rPr>
        <w:tab/>
        <w:t>(d)</w:t>
      </w:r>
      <w:r>
        <w:rPr>
          <w:snapToGrid w:val="0"/>
        </w:rPr>
        <w:tab/>
        <w:t>for properties served through a common metered service, 200 kL of water for each property; and</w:t>
      </w:r>
    </w:p>
    <w:p>
      <w:pPr>
        <w:pStyle w:val="zIndenta"/>
        <w:rPr>
          <w:sz w:val="22"/>
          <w:szCs w:val="22"/>
        </w:rPr>
      </w:pPr>
      <w:r>
        <w:tab/>
      </w:r>
      <w:r>
        <w:rPr>
          <w:sz w:val="22"/>
          <w:szCs w:val="22"/>
        </w:rPr>
        <w:t>(e)</w:t>
      </w:r>
      <w:r>
        <w:rPr>
          <w:sz w:val="22"/>
          <w:szCs w:val="22"/>
        </w:rPr>
        <w:tab/>
        <w:t>for a non-commercial Government property, or a property held by a Government trading organisation, 200 kL of water.</w:t>
      </w:r>
    </w:p>
    <w:p>
      <w:pPr>
        <w:pStyle w:val="yFootnotesection"/>
      </w:pPr>
      <w:r>
        <w:tab/>
        <w:t>[Division 8 inserted in Gazette 20 Jun 2012 p. 2747</w:t>
      </w:r>
      <w:r>
        <w:noBreakHyphen/>
        <w:t>50.]</w:t>
      </w:r>
    </w:p>
    <w:p>
      <w:pPr>
        <w:pStyle w:val="yScheduleHeading"/>
      </w:pPr>
      <w:bookmarkStart w:id="791" w:name="_Toc84428010"/>
      <w:bookmarkStart w:id="792" w:name="_Toc328403455"/>
      <w:bookmarkStart w:id="793" w:name="_Toc328471504"/>
      <w:bookmarkStart w:id="794" w:name="_Toc265743670"/>
      <w:bookmarkStart w:id="795" w:name="_Toc297540799"/>
      <w:bookmarkStart w:id="796" w:name="_Toc297541227"/>
      <w:bookmarkStart w:id="797" w:name="_Toc233448453"/>
      <w:bookmarkStart w:id="798" w:name="_Toc233611728"/>
      <w:bookmarkStart w:id="799" w:name="_Toc234730735"/>
      <w:bookmarkStart w:id="800" w:name="_Toc234733261"/>
      <w:bookmarkStart w:id="801" w:name="_Toc235863998"/>
      <w:bookmarkStart w:id="802" w:name="_Toc235933473"/>
      <w:bookmarkStart w:id="803" w:name="_Toc237164461"/>
      <w:bookmarkStart w:id="804" w:name="_Toc237244345"/>
      <w:bookmarkStart w:id="805" w:name="_Toc237245669"/>
      <w:bookmarkStart w:id="806" w:name="_Toc237245800"/>
      <w:bookmarkStart w:id="807" w:name="_Toc237247942"/>
      <w:bookmarkStart w:id="808" w:name="_Toc237254251"/>
      <w:bookmarkStart w:id="809" w:name="_Toc237309670"/>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r>
        <w:rPr>
          <w:rStyle w:val="CharSchNo"/>
        </w:rPr>
        <w:t>Schedule 4</w:t>
      </w:r>
      <w:r>
        <w:t> — </w:t>
      </w:r>
      <w:r>
        <w:rPr>
          <w:rStyle w:val="CharSchText"/>
        </w:rPr>
        <w:t>Charges for drainage for 2012/2013</w:t>
      </w:r>
      <w:bookmarkEnd w:id="791"/>
      <w:bookmarkEnd w:id="792"/>
      <w:bookmarkEnd w:id="793"/>
    </w:p>
    <w:p>
      <w:pPr>
        <w:pStyle w:val="yShoulderClause"/>
      </w:pPr>
      <w:r>
        <w:t>[bl. 27]</w:t>
      </w:r>
    </w:p>
    <w:p>
      <w:pPr>
        <w:pStyle w:val="yFootnoteheading"/>
        <w:spacing w:after="60"/>
      </w:pPr>
      <w:r>
        <w:tab/>
        <w:t>[Heading inserted in Gazette 20 Jun 2012 p. 2750.]</w:t>
      </w:r>
    </w:p>
    <w:p>
      <w:pPr>
        <w:pStyle w:val="yHeading3"/>
      </w:pPr>
      <w:bookmarkStart w:id="810" w:name="_Toc84428011"/>
      <w:bookmarkStart w:id="811" w:name="_Toc328403456"/>
      <w:bookmarkStart w:id="812" w:name="_Toc328471505"/>
      <w:r>
        <w:rPr>
          <w:rStyle w:val="CharSDivNo"/>
        </w:rPr>
        <w:t>Division 1</w:t>
      </w:r>
      <w:r>
        <w:t> — </w:t>
      </w:r>
      <w:r>
        <w:rPr>
          <w:rStyle w:val="CharSDivText"/>
        </w:rPr>
        <w:t>Fixed charges</w:t>
      </w:r>
      <w:bookmarkEnd w:id="810"/>
      <w:bookmarkEnd w:id="811"/>
      <w:bookmarkEnd w:id="812"/>
    </w:p>
    <w:p>
      <w:pPr>
        <w:pStyle w:val="yFootnoteheading"/>
        <w:spacing w:after="60"/>
      </w:pPr>
      <w:r>
        <w:tab/>
        <w:t>[Heading inserted in Gazette 20 Jun 2012 p. 2750.]</w:t>
      </w:r>
    </w:p>
    <w:tbl>
      <w:tblPr>
        <w:tblW w:w="0" w:type="auto"/>
        <w:tblInd w:w="534" w:type="dxa"/>
        <w:tblLook w:val="0000" w:firstRow="0" w:lastRow="0" w:firstColumn="0" w:lastColumn="0" w:noHBand="0" w:noVBand="0"/>
      </w:tblPr>
      <w:tblGrid>
        <w:gridCol w:w="850"/>
        <w:gridCol w:w="4235"/>
        <w:gridCol w:w="1435"/>
      </w:tblGrid>
      <w:tr>
        <w:trPr>
          <w:cantSplit/>
        </w:trPr>
        <w:tc>
          <w:tcPr>
            <w:tcW w:w="850" w:type="dxa"/>
          </w:tcPr>
          <w:p>
            <w:pPr>
              <w:pStyle w:val="yTableNAm"/>
              <w:keepNext/>
              <w:keepLines/>
              <w:rPr>
                <w:b/>
              </w:rPr>
            </w:pPr>
            <w:r>
              <w:rPr>
                <w:b/>
              </w:rPr>
              <w:t>1.</w:t>
            </w:r>
          </w:p>
        </w:tc>
        <w:tc>
          <w:tcPr>
            <w:tcW w:w="5670" w:type="dxa"/>
            <w:gridSpan w:val="2"/>
          </w:tcPr>
          <w:p>
            <w:pPr>
              <w:pStyle w:val="yTableNAm"/>
              <w:keepNext/>
              <w:keepLines/>
              <w:rPr>
                <w:b/>
                <w:bCs/>
              </w:rPr>
            </w:pPr>
            <w:r>
              <w:rPr>
                <w:b/>
                <w:bCs/>
              </w:rPr>
              <w:t>Strata</w:t>
            </w:r>
            <w:r>
              <w:rPr>
                <w:b/>
                <w:bCs/>
              </w:rPr>
              <w:noBreakHyphen/>
              <w:t>titled caravan bay</w:t>
            </w:r>
          </w:p>
        </w:tc>
      </w:tr>
      <w:tr>
        <w:trPr>
          <w:cantSplit/>
        </w:trPr>
        <w:tc>
          <w:tcPr>
            <w:tcW w:w="850" w:type="dxa"/>
          </w:tcPr>
          <w:p>
            <w:pPr>
              <w:pStyle w:val="yTableNAm"/>
              <w:keepNext/>
              <w:keepLines/>
            </w:pPr>
          </w:p>
        </w:tc>
        <w:tc>
          <w:tcPr>
            <w:tcW w:w="4235" w:type="dxa"/>
          </w:tcPr>
          <w:p>
            <w:pPr>
              <w:pStyle w:val="yTableNAm"/>
              <w:keepNext/>
              <w:keepLines/>
              <w:tabs>
                <w:tab w:val="right" w:leader="dot" w:pos="4253"/>
              </w:tabs>
            </w:pPr>
            <w:r>
              <w:t xml:space="preserve">In respect of each residential property being a single caravan bay that is a lot within the meaning of the </w:t>
            </w:r>
            <w:r>
              <w:rPr>
                <w:i/>
              </w:rPr>
              <w:t>Strata Titles Act 1985</w:t>
            </w:r>
            <w:r>
              <w:t xml:space="preserve"> </w:t>
            </w:r>
            <w:r>
              <w:tab/>
            </w:r>
          </w:p>
        </w:tc>
        <w:tc>
          <w:tcPr>
            <w:tcW w:w="1435" w:type="dxa"/>
            <w:vAlign w:val="bottom"/>
          </w:tcPr>
          <w:p>
            <w:pPr>
              <w:pStyle w:val="yTableNAm"/>
              <w:keepNext/>
              <w:keepLines/>
              <w:tabs>
                <w:tab w:val="clear" w:pos="567"/>
                <w:tab w:val="left" w:pos="194"/>
              </w:tabs>
              <w:rPr>
                <w:sz w:val="20"/>
              </w:rPr>
            </w:pPr>
            <w:r>
              <w:t>$26.70</w:t>
            </w:r>
          </w:p>
        </w:tc>
      </w:tr>
      <w:tr>
        <w:trPr>
          <w:cantSplit/>
        </w:trPr>
        <w:tc>
          <w:tcPr>
            <w:tcW w:w="850" w:type="dxa"/>
          </w:tcPr>
          <w:p>
            <w:pPr>
              <w:pStyle w:val="yTableNAm"/>
              <w:rPr>
                <w:b/>
              </w:rPr>
            </w:pPr>
            <w:r>
              <w:rPr>
                <w:b/>
              </w:rPr>
              <w:t>2.</w:t>
            </w:r>
          </w:p>
        </w:tc>
        <w:tc>
          <w:tcPr>
            <w:tcW w:w="5670" w:type="dxa"/>
            <w:gridSpan w:val="2"/>
          </w:tcPr>
          <w:p>
            <w:pPr>
              <w:pStyle w:val="yTableNAm"/>
              <w:rPr>
                <w:b/>
                <w:bCs/>
              </w:rPr>
            </w:pPr>
            <w:r>
              <w:rPr>
                <w:b/>
                <w:bCs/>
              </w:rPr>
              <w:t>Strata</w:t>
            </w:r>
            <w:r>
              <w:rPr>
                <w:b/>
                <w:bCs/>
              </w:rPr>
              <w:noBreakHyphen/>
              <w:t>titled storage unit and strata</w:t>
            </w:r>
            <w:r>
              <w:rPr>
                <w:b/>
                <w:bCs/>
              </w:rPr>
              <w:noBreakHyphen/>
              <w:t>titled parking bay</w:t>
            </w:r>
          </w:p>
        </w:tc>
      </w:tr>
      <w:tr>
        <w:trPr>
          <w:cantSplit/>
        </w:trPr>
        <w:tc>
          <w:tcPr>
            <w:tcW w:w="850" w:type="dxa"/>
          </w:tcPr>
          <w:p>
            <w:pPr>
              <w:pStyle w:val="yTableNAm"/>
            </w:pPr>
          </w:p>
        </w:tc>
        <w:tc>
          <w:tcPr>
            <w:tcW w:w="4235" w:type="dxa"/>
          </w:tcPr>
          <w:p>
            <w:pPr>
              <w:pStyle w:val="yTableNAm"/>
              <w:tabs>
                <w:tab w:val="right" w:leader="dot" w:pos="4253"/>
              </w:tabs>
              <w:rPr>
                <w:iCs/>
              </w:rPr>
            </w:pPr>
            <w:r>
              <w:t xml:space="preserve">In respect of land comprised in a unit used for storage purposes or as a parking bay that is a lot within the meaning of the </w:t>
            </w:r>
            <w:r>
              <w:rPr>
                <w:i/>
                <w:iCs/>
              </w:rPr>
              <w:t>Strata Titles Act 1985</w:t>
            </w:r>
            <w:r>
              <w:t xml:space="preserve"> </w:t>
            </w:r>
            <w:r>
              <w:tab/>
            </w:r>
          </w:p>
        </w:tc>
        <w:tc>
          <w:tcPr>
            <w:tcW w:w="1435" w:type="dxa"/>
            <w:vAlign w:val="bottom"/>
          </w:tcPr>
          <w:p>
            <w:pPr>
              <w:pStyle w:val="yTableNAm"/>
              <w:tabs>
                <w:tab w:val="clear" w:pos="567"/>
                <w:tab w:val="left" w:pos="194"/>
              </w:tabs>
            </w:pPr>
            <w:r>
              <w:t>$9.95</w:t>
            </w:r>
          </w:p>
        </w:tc>
      </w:tr>
    </w:tbl>
    <w:p>
      <w:pPr>
        <w:pStyle w:val="yFootnotesection"/>
      </w:pPr>
      <w:r>
        <w:tab/>
        <w:t>[Division 1 inserted in Gazette 20 Jun 2012 p. 2750.]</w:t>
      </w:r>
    </w:p>
    <w:p>
      <w:pPr>
        <w:pStyle w:val="yHeading3"/>
      </w:pPr>
      <w:bookmarkStart w:id="813" w:name="_Toc84428012"/>
      <w:bookmarkStart w:id="814" w:name="_Toc328403457"/>
      <w:bookmarkStart w:id="815" w:name="_Toc328471506"/>
      <w:r>
        <w:rPr>
          <w:rStyle w:val="CharSDivNo"/>
        </w:rPr>
        <w:t>Division 2</w:t>
      </w:r>
      <w:r>
        <w:t> — </w:t>
      </w:r>
      <w:r>
        <w:rPr>
          <w:rStyle w:val="CharSDivText"/>
        </w:rPr>
        <w:t>Charges by way of rate</w:t>
      </w:r>
      <w:bookmarkEnd w:id="813"/>
      <w:bookmarkEnd w:id="814"/>
      <w:bookmarkEnd w:id="815"/>
    </w:p>
    <w:p>
      <w:pPr>
        <w:pStyle w:val="yFootnoteheading"/>
        <w:keepNext/>
        <w:spacing w:after="60"/>
      </w:pPr>
      <w:r>
        <w:tab/>
        <w:t>[Heading inserted in Gazette 20 Jun 2012 p. 2750.]</w:t>
      </w:r>
    </w:p>
    <w:tbl>
      <w:tblPr>
        <w:tblW w:w="0" w:type="auto"/>
        <w:tblInd w:w="534" w:type="dxa"/>
        <w:tblLook w:val="0000" w:firstRow="0" w:lastRow="0" w:firstColumn="0" w:lastColumn="0" w:noHBand="0" w:noVBand="0"/>
      </w:tblPr>
      <w:tblGrid>
        <w:gridCol w:w="850"/>
        <w:gridCol w:w="4236"/>
        <w:gridCol w:w="1434"/>
      </w:tblGrid>
      <w:tr>
        <w:trPr>
          <w:cantSplit/>
        </w:trPr>
        <w:tc>
          <w:tcPr>
            <w:tcW w:w="850" w:type="dxa"/>
          </w:tcPr>
          <w:p>
            <w:pPr>
              <w:pStyle w:val="yTableNAm"/>
              <w:keepNext/>
              <w:rPr>
                <w:b/>
              </w:rPr>
            </w:pPr>
            <w:r>
              <w:rPr>
                <w:b/>
              </w:rPr>
              <w:t>3.</w:t>
            </w:r>
          </w:p>
        </w:tc>
        <w:tc>
          <w:tcPr>
            <w:tcW w:w="5670" w:type="dxa"/>
            <w:gridSpan w:val="2"/>
          </w:tcPr>
          <w:p>
            <w:pPr>
              <w:pStyle w:val="yTableNAm"/>
              <w:keepNext/>
              <w:tabs>
                <w:tab w:val="right" w:leader="dot" w:pos="4253"/>
              </w:tabs>
              <w:rPr>
                <w:b/>
              </w:rPr>
            </w:pPr>
            <w:r>
              <w:rPr>
                <w:b/>
              </w:rPr>
              <w:t>Land in a drainage area as referred to in by</w:t>
            </w:r>
            <w:r>
              <w:rPr>
                <w:b/>
              </w:rPr>
              <w:noBreakHyphen/>
              <w:t>law 27 classified as residential or semi</w:t>
            </w:r>
            <w:r>
              <w:rPr>
                <w:b/>
              </w:rPr>
              <w:noBreakHyphen/>
              <w:t>rural residential</w:t>
            </w:r>
          </w:p>
        </w:tc>
      </w:tr>
      <w:tr>
        <w:trPr>
          <w:cantSplit/>
        </w:trPr>
        <w:tc>
          <w:tcPr>
            <w:tcW w:w="850" w:type="dxa"/>
          </w:tcPr>
          <w:p>
            <w:pPr>
              <w:pStyle w:val="yTableNAm"/>
            </w:pPr>
          </w:p>
        </w:tc>
        <w:tc>
          <w:tcPr>
            <w:tcW w:w="4236" w:type="dxa"/>
          </w:tcPr>
          <w:p>
            <w:pPr>
              <w:pStyle w:val="yTableNAm"/>
              <w:tabs>
                <w:tab w:val="right" w:leader="dot" w:pos="4253"/>
              </w:tabs>
            </w:pPr>
            <w:r>
              <w:t>In respect of all land in a drainage area as referred to in by</w:t>
            </w:r>
            <w:r>
              <w:noBreakHyphen/>
              <w:t>law 27 that is classified as residential or semi</w:t>
            </w:r>
            <w:r>
              <w:noBreakHyphen/>
              <w:t xml:space="preserve">rural residential land </w:t>
            </w:r>
            <w:r>
              <w:tab/>
            </w:r>
          </w:p>
        </w:tc>
        <w:tc>
          <w:tcPr>
            <w:tcW w:w="1434" w:type="dxa"/>
            <w:vAlign w:val="bottom"/>
          </w:tcPr>
          <w:p>
            <w:pPr>
              <w:pStyle w:val="yTableNAm"/>
              <w:tabs>
                <w:tab w:val="left" w:pos="194"/>
                <w:tab w:val="right" w:leader="dot" w:pos="4253"/>
              </w:tabs>
            </w:pPr>
            <w:r>
              <w:br/>
            </w:r>
            <w:r>
              <w:br/>
              <w:t>0.514 cents/</w:t>
            </w:r>
            <w:r>
              <w:br/>
              <w:t>$ of GRV</w:t>
            </w:r>
          </w:p>
        </w:tc>
      </w:tr>
      <w:tr>
        <w:trPr>
          <w:cantSplit/>
        </w:trPr>
        <w:tc>
          <w:tcPr>
            <w:tcW w:w="850" w:type="dxa"/>
          </w:tcPr>
          <w:p>
            <w:pPr>
              <w:pStyle w:val="yTableNAm"/>
            </w:pPr>
          </w:p>
        </w:tc>
        <w:tc>
          <w:tcPr>
            <w:tcW w:w="4236" w:type="dxa"/>
          </w:tcPr>
          <w:p>
            <w:pPr>
              <w:pStyle w:val="yTableNAm"/>
              <w:tabs>
                <w:tab w:val="right" w:leader="dot" w:pos="4253"/>
              </w:tabs>
            </w:pPr>
            <w:r>
              <w:t xml:space="preserve">subject to a minimum in respect of any land the subject of a separate assessment of </w:t>
            </w:r>
            <w:r>
              <w:tab/>
            </w:r>
          </w:p>
        </w:tc>
        <w:tc>
          <w:tcPr>
            <w:tcW w:w="1434" w:type="dxa"/>
            <w:vAlign w:val="bottom"/>
          </w:tcPr>
          <w:p>
            <w:pPr>
              <w:pStyle w:val="yTableNAm"/>
              <w:tabs>
                <w:tab w:val="left" w:pos="194"/>
                <w:tab w:val="right" w:leader="dot" w:pos="4253"/>
              </w:tabs>
            </w:pPr>
            <w:r>
              <w:t>$88.30</w:t>
            </w:r>
          </w:p>
        </w:tc>
      </w:tr>
      <w:tr>
        <w:trPr>
          <w:cantSplit/>
        </w:trPr>
        <w:tc>
          <w:tcPr>
            <w:tcW w:w="850" w:type="dxa"/>
          </w:tcPr>
          <w:p>
            <w:pPr>
              <w:pStyle w:val="yTableNAm"/>
              <w:keepNext/>
              <w:rPr>
                <w:b/>
              </w:rPr>
            </w:pPr>
            <w:r>
              <w:rPr>
                <w:b/>
              </w:rPr>
              <w:t>4.</w:t>
            </w:r>
          </w:p>
        </w:tc>
        <w:tc>
          <w:tcPr>
            <w:tcW w:w="5670" w:type="dxa"/>
            <w:gridSpan w:val="2"/>
          </w:tcPr>
          <w:p>
            <w:pPr>
              <w:pStyle w:val="yTableNAm"/>
              <w:keepNext/>
              <w:keepLines/>
              <w:tabs>
                <w:tab w:val="right" w:leader="dot" w:pos="4253"/>
              </w:tabs>
              <w:rPr>
                <w:b/>
                <w:bCs/>
              </w:rPr>
            </w:pPr>
            <w:r>
              <w:rPr>
                <w:b/>
                <w:bCs/>
              </w:rPr>
              <w:t>Land in a drainage area classified as vacant land</w:t>
            </w:r>
          </w:p>
        </w:tc>
      </w:tr>
      <w:tr>
        <w:trPr>
          <w:cantSplit/>
        </w:trPr>
        <w:tc>
          <w:tcPr>
            <w:tcW w:w="850" w:type="dxa"/>
          </w:tcPr>
          <w:p>
            <w:pPr>
              <w:pStyle w:val="yTableNAm"/>
              <w:keepNext/>
              <w:keepLines/>
              <w:tabs>
                <w:tab w:val="right" w:leader="dot" w:pos="4253"/>
              </w:tabs>
            </w:pPr>
          </w:p>
        </w:tc>
        <w:tc>
          <w:tcPr>
            <w:tcW w:w="4236" w:type="dxa"/>
          </w:tcPr>
          <w:p>
            <w:pPr>
              <w:pStyle w:val="yTableNAm"/>
              <w:keepNext/>
              <w:keepLines/>
              <w:tabs>
                <w:tab w:val="right" w:leader="dot" w:pos="4253"/>
              </w:tabs>
            </w:pPr>
            <w:r>
              <w:t xml:space="preserve">In respect of all land in a drainage area classified as vacant land </w:t>
            </w:r>
            <w:r>
              <w:tab/>
            </w:r>
          </w:p>
        </w:tc>
        <w:tc>
          <w:tcPr>
            <w:tcW w:w="1434" w:type="dxa"/>
            <w:vAlign w:val="bottom"/>
          </w:tcPr>
          <w:p>
            <w:pPr>
              <w:pStyle w:val="yTableNAm"/>
              <w:keepNext/>
              <w:keepLines/>
              <w:tabs>
                <w:tab w:val="left" w:pos="194"/>
                <w:tab w:val="right" w:leader="dot" w:pos="4253"/>
              </w:tabs>
              <w:rPr>
                <w:sz w:val="20"/>
              </w:rPr>
            </w:pPr>
            <w:r>
              <w:br/>
            </w:r>
            <w:r>
              <w:br/>
              <w:t>0.687 cents/</w:t>
            </w:r>
            <w:r>
              <w:br/>
              <w:t>$ of GRV</w:t>
            </w:r>
          </w:p>
        </w:tc>
      </w:tr>
      <w:tr>
        <w:trPr>
          <w:cantSplit/>
        </w:trPr>
        <w:tc>
          <w:tcPr>
            <w:tcW w:w="850" w:type="dxa"/>
          </w:tcPr>
          <w:p>
            <w:pPr>
              <w:pStyle w:val="yTableNAm"/>
              <w:tabs>
                <w:tab w:val="right" w:leader="dot" w:pos="4253"/>
              </w:tabs>
            </w:pPr>
          </w:p>
        </w:tc>
        <w:tc>
          <w:tcPr>
            <w:tcW w:w="4236" w:type="dxa"/>
          </w:tcPr>
          <w:p>
            <w:pPr>
              <w:pStyle w:val="yTableNAm"/>
              <w:keepNext/>
              <w:keepLines/>
              <w:tabs>
                <w:tab w:val="right" w:leader="dot" w:pos="4253"/>
              </w:tabs>
            </w:pPr>
            <w:r>
              <w:t xml:space="preserve">subject to a minimum in respect of any land the subject of a separate assessment of </w:t>
            </w:r>
            <w:r>
              <w:tab/>
            </w:r>
          </w:p>
        </w:tc>
        <w:tc>
          <w:tcPr>
            <w:tcW w:w="1434" w:type="dxa"/>
            <w:vAlign w:val="bottom"/>
          </w:tcPr>
          <w:p>
            <w:pPr>
              <w:pStyle w:val="yTableNAm"/>
              <w:keepNext/>
              <w:keepLines/>
              <w:tabs>
                <w:tab w:val="left" w:pos="194"/>
                <w:tab w:val="right" w:leader="dot" w:pos="4253"/>
              </w:tabs>
              <w:rPr>
                <w:sz w:val="20"/>
              </w:rPr>
            </w:pPr>
            <w:r>
              <w:t>$88.30</w:t>
            </w:r>
          </w:p>
        </w:tc>
      </w:tr>
      <w:tr>
        <w:trPr>
          <w:cantSplit/>
        </w:trPr>
        <w:tc>
          <w:tcPr>
            <w:tcW w:w="850" w:type="dxa"/>
          </w:tcPr>
          <w:p>
            <w:pPr>
              <w:pStyle w:val="yTableNAm"/>
              <w:rPr>
                <w:b/>
              </w:rPr>
            </w:pPr>
            <w:r>
              <w:rPr>
                <w:b/>
              </w:rPr>
              <w:t>5.</w:t>
            </w:r>
          </w:p>
        </w:tc>
        <w:tc>
          <w:tcPr>
            <w:tcW w:w="5670" w:type="dxa"/>
            <w:gridSpan w:val="2"/>
          </w:tcPr>
          <w:p>
            <w:pPr>
              <w:pStyle w:val="yTableNAm"/>
              <w:tabs>
                <w:tab w:val="right" w:leader="dot" w:pos="4253"/>
              </w:tabs>
              <w:rPr>
                <w:b/>
                <w:bCs/>
              </w:rPr>
            </w:pPr>
            <w:r>
              <w:rPr>
                <w:b/>
                <w:bCs/>
              </w:rPr>
              <w:t>Land in a drainage area as referred to in by</w:t>
            </w:r>
            <w:r>
              <w:rPr>
                <w:b/>
                <w:bCs/>
              </w:rPr>
              <w:noBreakHyphen/>
              <w:t>law 27 other than land to which item 1, 2, 3 or 4 applies</w:t>
            </w:r>
          </w:p>
        </w:tc>
      </w:tr>
      <w:tr>
        <w:trPr>
          <w:cantSplit/>
        </w:trPr>
        <w:tc>
          <w:tcPr>
            <w:tcW w:w="850" w:type="dxa"/>
          </w:tcPr>
          <w:p>
            <w:pPr>
              <w:pStyle w:val="yTableNAm"/>
              <w:tabs>
                <w:tab w:val="right" w:leader="dot" w:pos="4253"/>
              </w:tabs>
            </w:pPr>
          </w:p>
        </w:tc>
        <w:tc>
          <w:tcPr>
            <w:tcW w:w="4236" w:type="dxa"/>
          </w:tcPr>
          <w:p>
            <w:pPr>
              <w:pStyle w:val="yTableNAm"/>
              <w:tabs>
                <w:tab w:val="right" w:leader="dot" w:pos="4253"/>
              </w:tabs>
            </w:pPr>
            <w:r>
              <w:t>In respect of all land in a drainage area as referred to in by</w:t>
            </w:r>
            <w:r>
              <w:noBreakHyphen/>
              <w:t xml:space="preserve">law 27 other than land to which item 1, 2, 3 or 4 applies </w:t>
            </w:r>
            <w:r>
              <w:tab/>
            </w:r>
          </w:p>
        </w:tc>
        <w:tc>
          <w:tcPr>
            <w:tcW w:w="1434" w:type="dxa"/>
            <w:vAlign w:val="bottom"/>
          </w:tcPr>
          <w:p>
            <w:pPr>
              <w:pStyle w:val="yTableNAm"/>
              <w:tabs>
                <w:tab w:val="left" w:pos="194"/>
                <w:tab w:val="right" w:leader="dot" w:pos="4253"/>
              </w:tabs>
              <w:rPr>
                <w:sz w:val="20"/>
              </w:rPr>
            </w:pPr>
            <w:r>
              <w:br/>
            </w:r>
            <w:r>
              <w:br/>
              <w:t>0.268 cents/</w:t>
            </w:r>
            <w:r>
              <w:br/>
              <w:t>$ of GRV</w:t>
            </w:r>
          </w:p>
        </w:tc>
      </w:tr>
      <w:tr>
        <w:trPr>
          <w:cantSplit/>
        </w:trPr>
        <w:tc>
          <w:tcPr>
            <w:tcW w:w="850" w:type="dxa"/>
          </w:tcPr>
          <w:p>
            <w:pPr>
              <w:pStyle w:val="yTableNAm"/>
              <w:keepNext/>
              <w:keepLines/>
              <w:tabs>
                <w:tab w:val="right" w:leader="dot" w:pos="4253"/>
              </w:tabs>
            </w:pPr>
          </w:p>
        </w:tc>
        <w:tc>
          <w:tcPr>
            <w:tcW w:w="4236" w:type="dxa"/>
          </w:tcPr>
          <w:p>
            <w:pPr>
              <w:pStyle w:val="yTableNAm"/>
              <w:keepNext/>
              <w:keepLines/>
              <w:tabs>
                <w:tab w:val="right" w:leader="dot" w:pos="4253"/>
              </w:tabs>
            </w:pPr>
            <w:r>
              <w:t xml:space="preserve">subject to a minimum in respect of any land the subject of a separate assessment of </w:t>
            </w:r>
            <w:r>
              <w:tab/>
            </w:r>
          </w:p>
        </w:tc>
        <w:tc>
          <w:tcPr>
            <w:tcW w:w="1434" w:type="dxa"/>
            <w:vAlign w:val="bottom"/>
          </w:tcPr>
          <w:p>
            <w:pPr>
              <w:pStyle w:val="yTableNAm"/>
              <w:keepNext/>
              <w:keepLines/>
              <w:tabs>
                <w:tab w:val="left" w:pos="194"/>
                <w:tab w:val="right" w:leader="dot" w:pos="4253"/>
              </w:tabs>
              <w:rPr>
                <w:sz w:val="20"/>
              </w:rPr>
            </w:pPr>
            <w:r>
              <w:t>$88.30</w:t>
            </w:r>
          </w:p>
        </w:tc>
      </w:tr>
    </w:tbl>
    <w:p>
      <w:pPr>
        <w:pStyle w:val="yFootnotesection"/>
      </w:pPr>
      <w:r>
        <w:tab/>
        <w:t>[Division 2 inserted in Gazette 20 Jun 2012 p. 2750</w:t>
      </w:r>
      <w:r>
        <w:noBreakHyphen/>
        <w:t>1.]</w:t>
      </w:r>
    </w:p>
    <w:p>
      <w:pPr>
        <w:pStyle w:val="yScheduleHeading"/>
      </w:pPr>
      <w:bookmarkStart w:id="816" w:name="_Toc84428013"/>
      <w:bookmarkStart w:id="817" w:name="_Toc328403458"/>
      <w:bookmarkStart w:id="818" w:name="_Toc328471507"/>
      <w:bookmarkStart w:id="819" w:name="_Toc297540802"/>
      <w:bookmarkStart w:id="820" w:name="_Toc297541230"/>
      <w:bookmarkStart w:id="821" w:name="_Toc265743673"/>
      <w:bookmarkEnd w:id="794"/>
      <w:bookmarkEnd w:id="795"/>
      <w:bookmarkEnd w:id="796"/>
      <w:r>
        <w:rPr>
          <w:rStyle w:val="CharSchNo"/>
        </w:rPr>
        <w:t>Schedule 5</w:t>
      </w:r>
      <w:r>
        <w:t> — </w:t>
      </w:r>
      <w:r>
        <w:rPr>
          <w:rStyle w:val="CharSchText"/>
        </w:rPr>
        <w:t>Charges for irrigation for 2012/2013</w:t>
      </w:r>
      <w:bookmarkEnd w:id="816"/>
      <w:bookmarkEnd w:id="817"/>
      <w:bookmarkEnd w:id="818"/>
    </w:p>
    <w:p>
      <w:pPr>
        <w:pStyle w:val="yShoulderClause"/>
      </w:pPr>
      <w:r>
        <w:t>[bl. 31]</w:t>
      </w:r>
    </w:p>
    <w:p>
      <w:pPr>
        <w:pStyle w:val="yFootnoteheading"/>
        <w:spacing w:after="60"/>
      </w:pPr>
      <w:r>
        <w:tab/>
        <w:t>[Heading inserted in Gazette 20 Jun 2012 p. 2751.]</w:t>
      </w:r>
    </w:p>
    <w:tbl>
      <w:tblPr>
        <w:tblW w:w="0" w:type="auto"/>
        <w:tblInd w:w="534" w:type="dxa"/>
        <w:tblLook w:val="0000" w:firstRow="0" w:lastRow="0" w:firstColumn="0" w:lastColumn="0" w:noHBand="0" w:noVBand="0"/>
      </w:tblPr>
      <w:tblGrid>
        <w:gridCol w:w="850"/>
        <w:gridCol w:w="4235"/>
        <w:gridCol w:w="1435"/>
      </w:tblGrid>
      <w:tr>
        <w:trPr>
          <w:cantSplit/>
        </w:trPr>
        <w:tc>
          <w:tcPr>
            <w:tcW w:w="850" w:type="dxa"/>
          </w:tcPr>
          <w:p>
            <w:pPr>
              <w:pStyle w:val="yTableNAm"/>
              <w:tabs>
                <w:tab w:val="right" w:leader="dot" w:pos="4253"/>
              </w:tabs>
              <w:rPr>
                <w:b/>
              </w:rPr>
            </w:pPr>
            <w:r>
              <w:rPr>
                <w:b/>
              </w:rPr>
              <w:t>1.</w:t>
            </w:r>
          </w:p>
        </w:tc>
        <w:tc>
          <w:tcPr>
            <w:tcW w:w="5670" w:type="dxa"/>
            <w:gridSpan w:val="2"/>
          </w:tcPr>
          <w:p>
            <w:pPr>
              <w:pStyle w:val="yTableNAm"/>
              <w:tabs>
                <w:tab w:val="right" w:leader="dot" w:pos="4253"/>
              </w:tabs>
              <w:rPr>
                <w:b/>
                <w:bCs/>
              </w:rPr>
            </w:pPr>
            <w:r>
              <w:rPr>
                <w:b/>
                <w:bCs/>
              </w:rPr>
              <w:t>Ord Irrigation District</w:t>
            </w:r>
          </w:p>
        </w:tc>
      </w:tr>
      <w:tr>
        <w:trPr>
          <w:cantSplit/>
        </w:trPr>
        <w:tc>
          <w:tcPr>
            <w:tcW w:w="850" w:type="dxa"/>
          </w:tcPr>
          <w:p>
            <w:pPr>
              <w:pStyle w:val="yTableNAm"/>
              <w:tabs>
                <w:tab w:val="right" w:leader="dot" w:pos="4253"/>
              </w:tabs>
            </w:pPr>
          </w:p>
        </w:tc>
        <w:tc>
          <w:tcPr>
            <w:tcW w:w="4235" w:type="dxa"/>
          </w:tcPr>
          <w:p>
            <w:pPr>
              <w:pStyle w:val="yTableNAm"/>
              <w:tabs>
                <w:tab w:val="right" w:leader="dot" w:pos="4253"/>
              </w:tabs>
            </w:pPr>
            <w:r>
              <w:t xml:space="preserve">Charges by way of rate for land in the Ord Irrigation District where under the </w:t>
            </w:r>
            <w:r>
              <w:rPr>
                <w:i/>
              </w:rPr>
              <w:t>Ord Irrigation District By</w:t>
            </w:r>
            <w:r>
              <w:rPr>
                <w:i/>
              </w:rPr>
              <w:noBreakHyphen/>
              <w:t>laws 1963</w:t>
            </w:r>
            <w:r>
              <w:t xml:space="preserve"> by</w:t>
            </w:r>
            <w:r>
              <w:noBreakHyphen/>
              <w:t>law 31A, the land is irrigated by pumping from works, an amount per hectare of land so irrigated of —</w:t>
            </w:r>
          </w:p>
        </w:tc>
        <w:tc>
          <w:tcPr>
            <w:tcW w:w="1435" w:type="dxa"/>
          </w:tcPr>
          <w:p>
            <w:pPr>
              <w:pStyle w:val="yTableNAm"/>
              <w:tabs>
                <w:tab w:val="right" w:leader="dot" w:pos="4253"/>
              </w:tabs>
              <w:rPr>
                <w:sz w:val="20"/>
              </w:rPr>
            </w:pPr>
          </w:p>
        </w:tc>
      </w:tr>
      <w:tr>
        <w:trPr>
          <w:cantSplit/>
        </w:trPr>
        <w:tc>
          <w:tcPr>
            <w:tcW w:w="850" w:type="dxa"/>
          </w:tcPr>
          <w:p>
            <w:pPr>
              <w:pStyle w:val="yTableNAm"/>
              <w:tabs>
                <w:tab w:val="right" w:leader="dot" w:pos="4253"/>
              </w:tabs>
            </w:pPr>
          </w:p>
        </w:tc>
        <w:tc>
          <w:tcPr>
            <w:tcW w:w="4235" w:type="dxa"/>
          </w:tcPr>
          <w:p>
            <w:pPr>
              <w:pStyle w:val="yTableNAm"/>
              <w:tabs>
                <w:tab w:val="clear" w:pos="567"/>
                <w:tab w:val="left" w:pos="317"/>
                <w:tab w:val="left" w:pos="743"/>
                <w:tab w:val="right" w:leader="dot" w:pos="4253"/>
              </w:tabs>
              <w:ind w:left="743" w:hanging="743"/>
            </w:pPr>
            <w:r>
              <w:tab/>
              <w:t>(a)</w:t>
            </w:r>
            <w:r>
              <w:tab/>
              <w:t xml:space="preserve">where the supply is assured </w:t>
            </w:r>
            <w:r>
              <w:tab/>
            </w:r>
          </w:p>
        </w:tc>
        <w:tc>
          <w:tcPr>
            <w:tcW w:w="1435" w:type="dxa"/>
          </w:tcPr>
          <w:p>
            <w:pPr>
              <w:pStyle w:val="yTableNAm"/>
              <w:tabs>
                <w:tab w:val="right" w:leader="dot" w:pos="4253"/>
              </w:tabs>
            </w:pPr>
            <w:r>
              <w:t>$139.00</w:t>
            </w:r>
          </w:p>
        </w:tc>
      </w:tr>
      <w:tr>
        <w:trPr>
          <w:cantSplit/>
        </w:trPr>
        <w:tc>
          <w:tcPr>
            <w:tcW w:w="850" w:type="dxa"/>
          </w:tcPr>
          <w:p>
            <w:pPr>
              <w:pStyle w:val="yTableNAm"/>
              <w:tabs>
                <w:tab w:val="right" w:leader="dot" w:pos="4253"/>
              </w:tabs>
            </w:pPr>
          </w:p>
        </w:tc>
        <w:tc>
          <w:tcPr>
            <w:tcW w:w="4235" w:type="dxa"/>
          </w:tcPr>
          <w:p>
            <w:pPr>
              <w:pStyle w:val="yTableNAm"/>
              <w:tabs>
                <w:tab w:val="clear" w:pos="567"/>
                <w:tab w:val="left" w:pos="317"/>
                <w:tab w:val="left" w:pos="743"/>
                <w:tab w:val="right" w:leader="dot" w:pos="4253"/>
              </w:tabs>
              <w:ind w:left="743" w:hanging="743"/>
            </w:pPr>
            <w:r>
              <w:tab/>
              <w:t>(b)</w:t>
            </w:r>
            <w:r>
              <w:tab/>
              <w:t xml:space="preserve">where the supply is not assured </w:t>
            </w:r>
            <w:r>
              <w:tab/>
            </w:r>
          </w:p>
        </w:tc>
        <w:tc>
          <w:tcPr>
            <w:tcW w:w="1435" w:type="dxa"/>
          </w:tcPr>
          <w:p>
            <w:pPr>
              <w:pStyle w:val="yTableNAm"/>
              <w:tabs>
                <w:tab w:val="right" w:leader="dot" w:pos="4253"/>
              </w:tabs>
            </w:pPr>
            <w:r>
              <w:t>$105.00</w:t>
            </w:r>
          </w:p>
        </w:tc>
      </w:tr>
    </w:tbl>
    <w:p>
      <w:pPr>
        <w:pStyle w:val="yFootnotesection"/>
      </w:pPr>
      <w:r>
        <w:tab/>
        <w:t>[Schedule 5 inserted in Gazette 20 Jun 2012 p. 2751.]</w:t>
      </w:r>
    </w:p>
    <w:p>
      <w:pPr>
        <w:pStyle w:val="yScheduleHeading"/>
      </w:pPr>
      <w:bookmarkStart w:id="822" w:name="_Toc84428014"/>
      <w:bookmarkStart w:id="823" w:name="_Toc297540803"/>
      <w:bookmarkStart w:id="824" w:name="_Toc297541231"/>
      <w:bookmarkStart w:id="825" w:name="_Toc328403459"/>
      <w:bookmarkStart w:id="826" w:name="_Toc328471508"/>
      <w:bookmarkEnd w:id="819"/>
      <w:bookmarkEnd w:id="820"/>
      <w:r>
        <w:rPr>
          <w:rStyle w:val="CharSchNo"/>
        </w:rPr>
        <w:t>Schedule 6</w:t>
      </w:r>
      <w:r>
        <w:t xml:space="preserve"> — </w:t>
      </w:r>
      <w:r>
        <w:rPr>
          <w:rStyle w:val="CharSchText"/>
        </w:rPr>
        <w:t>Formula for calculating AGRV</w:t>
      </w:r>
      <w:bookmarkEnd w:id="822"/>
      <w:bookmarkEnd w:id="648"/>
      <w:bookmarkEnd w:id="649"/>
      <w:bookmarkEnd w:id="650"/>
      <w:bookmarkEnd w:id="651"/>
      <w:bookmarkEnd w:id="652"/>
      <w:bookmarkEnd w:id="653"/>
      <w:bookmarkEnd w:id="703"/>
      <w:bookmarkEnd w:id="704"/>
      <w:bookmarkEnd w:id="705"/>
      <w:bookmarkEnd w:id="706"/>
      <w:bookmarkEnd w:id="707"/>
      <w:bookmarkEnd w:id="708"/>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97"/>
      <w:bookmarkEnd w:id="798"/>
      <w:bookmarkEnd w:id="799"/>
      <w:bookmarkEnd w:id="800"/>
      <w:bookmarkEnd w:id="801"/>
      <w:bookmarkEnd w:id="802"/>
      <w:bookmarkEnd w:id="803"/>
      <w:bookmarkEnd w:id="804"/>
      <w:bookmarkEnd w:id="805"/>
      <w:bookmarkEnd w:id="806"/>
      <w:bookmarkEnd w:id="807"/>
      <w:bookmarkEnd w:id="808"/>
      <w:bookmarkEnd w:id="809"/>
      <w:bookmarkEnd w:id="821"/>
      <w:bookmarkEnd w:id="823"/>
      <w:bookmarkEnd w:id="824"/>
      <w:bookmarkEnd w:id="825"/>
      <w:bookmarkEnd w:id="826"/>
    </w:p>
    <w:p>
      <w:pPr>
        <w:pStyle w:val="yShoulderClause"/>
      </w:pPr>
      <w:r>
        <w:t>[bl. 14(2) and 24(2)]</w:t>
      </w:r>
    </w:p>
    <w:p>
      <w:pPr>
        <w:pStyle w:val="yFootnotesection"/>
      </w:pPr>
      <w:bookmarkStart w:id="827" w:name="_Toc17278766"/>
      <w:r>
        <w:tab/>
        <w:t>[Heading inserted in Gazette 29 Jun 2001 p. 3224.]</w:t>
      </w:r>
    </w:p>
    <w:p>
      <w:pPr>
        <w:pStyle w:val="yHeading5"/>
      </w:pPr>
      <w:bookmarkStart w:id="828" w:name="_Toc180204903"/>
      <w:bookmarkStart w:id="829" w:name="_Toc84428015"/>
      <w:bookmarkStart w:id="830" w:name="_Toc328471509"/>
      <w:r>
        <w:rPr>
          <w:rStyle w:val="CharSClsNo"/>
        </w:rPr>
        <w:t>1</w:t>
      </w:r>
      <w:r>
        <w:t>.</w:t>
      </w:r>
      <w:r>
        <w:tab/>
      </w:r>
      <w:bookmarkEnd w:id="827"/>
      <w:r>
        <w:t>Term used</w:t>
      </w:r>
      <w:bookmarkEnd w:id="828"/>
      <w:r>
        <w:t>: relevant general valuation</w:t>
      </w:r>
      <w:bookmarkEnd w:id="829"/>
      <w:bookmarkEnd w:id="830"/>
    </w:p>
    <w:p>
      <w:pPr>
        <w:pStyle w:val="ySubsection"/>
      </w:pPr>
      <w:r>
        <w:tab/>
      </w:r>
      <w:r>
        <w:tab/>
        <w:t>In this Schedule —</w:t>
      </w:r>
    </w:p>
    <w:p>
      <w:pPr>
        <w:pStyle w:val="yDefstart"/>
      </w:pPr>
      <w:r>
        <w:tab/>
      </w:r>
      <w:r>
        <w:rPr>
          <w:rStyle w:val="CharDefText"/>
        </w:rPr>
        <w:t>relevant general valuation</w:t>
      </w:r>
      <w:r>
        <w:t xml:space="preserve">, in relation to a charge in respect of land, means the last general valuation under the </w:t>
      </w:r>
      <w:r>
        <w:rPr>
          <w:i/>
        </w:rPr>
        <w:t>Valuation of Land Act 1978</w:t>
      </w:r>
      <w:r>
        <w:t xml:space="preserve"> pursuant to which a value was assigned to that land and that —</w:t>
      </w:r>
    </w:p>
    <w:p>
      <w:pPr>
        <w:pStyle w:val="yDefpara"/>
      </w:pPr>
      <w:r>
        <w:tab/>
        <w:t>(a)</w:t>
      </w:r>
      <w:r>
        <w:tab/>
        <w:t>was expressed by a notice under section 21 or 22 of that Act to come into force; and</w:t>
      </w:r>
    </w:p>
    <w:p>
      <w:pPr>
        <w:pStyle w:val="yDefpara"/>
      </w:pPr>
      <w:r>
        <w:tab/>
        <w:t>(b)</w:t>
      </w:r>
      <w:r>
        <w:tab/>
        <w:t>came into force for the purposes of this Act,</w:t>
      </w:r>
    </w:p>
    <w:p>
      <w:pPr>
        <w:pStyle w:val="yDefstart"/>
      </w:pPr>
      <w:r>
        <w:tab/>
        <w:t>before the commencement of the period for which the charge is to be imposed.</w:t>
      </w:r>
    </w:p>
    <w:p>
      <w:pPr>
        <w:pStyle w:val="yHeading5"/>
      </w:pPr>
      <w:bookmarkStart w:id="831" w:name="_Toc84428016"/>
      <w:bookmarkStart w:id="832" w:name="_Toc17278767"/>
      <w:bookmarkStart w:id="833" w:name="_Toc180204904"/>
      <w:bookmarkStart w:id="834" w:name="_Toc328471510"/>
      <w:r>
        <w:rPr>
          <w:rStyle w:val="CharSClsNo"/>
        </w:rPr>
        <w:t>2</w:t>
      </w:r>
      <w:r>
        <w:t>.</w:t>
      </w:r>
      <w:r>
        <w:tab/>
        <w:t>Formula for calculating AGRV</w:t>
      </w:r>
      <w:bookmarkEnd w:id="831"/>
      <w:bookmarkEnd w:id="832"/>
      <w:bookmarkEnd w:id="833"/>
      <w:bookmarkEnd w:id="834"/>
    </w:p>
    <w:p>
      <w:pPr>
        <w:pStyle w:val="ySubsection"/>
      </w:pPr>
      <w:r>
        <w:tab/>
      </w:r>
      <w:r>
        <w:tab/>
        <w:t>If the relevant general valuation was conducted in the previous year, then —</w:t>
      </w:r>
    </w:p>
    <w:p>
      <w:pPr>
        <w:pStyle w:val="ySubsection"/>
        <w:rPr>
          <w:b/>
          <w:bCs/>
        </w:rPr>
      </w:pPr>
      <w:r>
        <w:tab/>
      </w:r>
      <w:r>
        <w:tab/>
      </w:r>
      <w:r>
        <w:rPr>
          <w:b/>
          <w:bCs/>
        </w:rPr>
        <w:t xml:space="preserve">AGRV = GRV </w:t>
      </w:r>
      <w:r>
        <w:rPr>
          <w:b/>
          <w:bCs/>
        </w:rPr>
        <w:sym w:font="Symbol" w:char="F0B4"/>
      </w:r>
      <w:r>
        <w:rPr>
          <w:b/>
          <w:bCs/>
        </w:rPr>
        <w:t xml:space="preserve"> A</w:t>
      </w:r>
    </w:p>
    <w:p>
      <w:pPr>
        <w:pStyle w:val="ySubsection"/>
      </w:pPr>
      <w:r>
        <w:tab/>
      </w:r>
      <w:r>
        <w:tab/>
        <w:t>or if the relevant general valuation was conducted in any earlier year —</w:t>
      </w:r>
    </w:p>
    <w:p>
      <w:pPr>
        <w:pStyle w:val="ySubsection"/>
        <w:rPr>
          <w:b/>
          <w:bCs/>
        </w:rPr>
      </w:pPr>
      <w:r>
        <w:tab/>
      </w:r>
      <w:r>
        <w:tab/>
      </w:r>
      <w:r>
        <w:rPr>
          <w:b/>
          <w:bCs/>
        </w:rPr>
        <w:t xml:space="preserve">AGRV = GRV </w:t>
      </w:r>
      <w:r>
        <w:rPr>
          <w:b/>
          <w:bCs/>
        </w:rPr>
        <w:sym w:font="Symbol" w:char="F0B4"/>
      </w:r>
      <w:r>
        <w:rPr>
          <w:b/>
          <w:bCs/>
        </w:rPr>
        <w:t xml:space="preserve"> A </w:t>
      </w:r>
      <w:r>
        <w:rPr>
          <w:b/>
          <w:bCs/>
        </w:rPr>
        <w:sym w:font="Symbol" w:char="F0B4"/>
      </w:r>
      <w:r>
        <w:rPr>
          <w:b/>
          <w:bCs/>
        </w:rPr>
        <w:t xml:space="preserve"> B</w:t>
      </w:r>
    </w:p>
    <w:p>
      <w:pPr>
        <w:pStyle w:val="ySubsection"/>
      </w:pPr>
      <w:r>
        <w:tab/>
      </w:r>
      <w:r>
        <w:tab/>
        <w:t>where —</w:t>
      </w:r>
    </w:p>
    <w:p>
      <w:pPr>
        <w:pStyle w:val="yIndenta"/>
      </w:pPr>
      <w:r>
        <w:rPr>
          <w:b/>
        </w:rPr>
        <w:tab/>
        <w:t xml:space="preserve">A  </w:t>
      </w:r>
      <w:r>
        <w:t>=</w:t>
      </w:r>
      <w:r>
        <w:tab/>
        <w:t>1.00; and</w:t>
      </w:r>
    </w:p>
    <w:p>
      <w:pPr>
        <w:pStyle w:val="yIndenta"/>
      </w:pPr>
      <w:r>
        <w:rPr>
          <w:b/>
        </w:rPr>
        <w:tab/>
        <w:t>B</w:t>
      </w:r>
      <w:r>
        <w:t xml:space="preserve">  =</w:t>
      </w:r>
      <w:r>
        <w:tab/>
        <w:t>the product of the values of “</w:t>
      </w:r>
      <w:r>
        <w:rPr>
          <w:b/>
        </w:rPr>
        <w:t>A</w:t>
      </w:r>
      <w:r>
        <w:t>” prescribed for each year after the year in which the relevant general valuation was conducted, up to but not including the previous year as defined in by</w:t>
      </w:r>
      <w:r>
        <w:noBreakHyphen/>
        <w:t>law 2(1).</w:t>
      </w:r>
    </w:p>
    <w:p>
      <w:pPr>
        <w:pStyle w:val="yFootnotesection"/>
      </w:pPr>
      <w:r>
        <w:tab/>
        <w:t>[Schedule 6, formerly Schedule 5, inserted in Gazette 29 Jun 1999 p. 2822</w:t>
      </w:r>
      <w:r>
        <w:noBreakHyphen/>
        <w:t>3; amended in Gazette 29 Jun 2000 p. 3357; 29 Jun 2001 p. 3224.]</w:t>
      </w:r>
    </w:p>
    <w:p>
      <w:pPr>
        <w:sectPr>
          <w:headerReference w:type="even" r:id="rId22"/>
          <w:headerReference w:type="default" r:id="rId23"/>
          <w:headerReference w:type="first" r:id="rId24"/>
          <w:pgSz w:w="11907" w:h="16840" w:code="9"/>
          <w:pgMar w:top="2604" w:right="2405" w:bottom="3542" w:left="2405" w:header="706" w:footer="3380" w:gutter="0"/>
          <w:cols w:space="720"/>
          <w:noEndnote/>
          <w:docGrid w:linePitch="326"/>
        </w:sectPr>
      </w:pPr>
      <w:bookmarkStart w:id="835" w:name="_Toc328403462"/>
      <w:bookmarkStart w:id="836" w:name="_Toc265743687"/>
      <w:bookmarkStart w:id="837" w:name="_Toc297540806"/>
      <w:bookmarkStart w:id="838" w:name="_Toc297541234"/>
      <w:bookmarkStart w:id="839" w:name="_Toc139771109"/>
      <w:bookmarkStart w:id="840" w:name="_Toc139771487"/>
      <w:bookmarkStart w:id="841" w:name="_Toc151191702"/>
      <w:bookmarkStart w:id="842" w:name="_Toc151260595"/>
      <w:bookmarkStart w:id="843" w:name="_Toc164158702"/>
      <w:bookmarkStart w:id="844" w:name="_Toc164221074"/>
    </w:p>
    <w:p>
      <w:pPr>
        <w:pStyle w:val="yScheduleHeading"/>
      </w:pPr>
      <w:bookmarkStart w:id="845" w:name="_Toc84428017"/>
      <w:bookmarkStart w:id="846" w:name="_Toc328471511"/>
      <w:r>
        <w:rPr>
          <w:rStyle w:val="CharSchNo"/>
        </w:rPr>
        <w:t>Schedule 7</w:t>
      </w:r>
      <w:r>
        <w:t> — </w:t>
      </w:r>
      <w:r>
        <w:rPr>
          <w:rStyle w:val="CharSchText"/>
        </w:rPr>
        <w:t>Discounts and additional charges</w:t>
      </w:r>
      <w:bookmarkEnd w:id="845"/>
      <w:bookmarkEnd w:id="835"/>
      <w:bookmarkEnd w:id="846"/>
    </w:p>
    <w:p>
      <w:pPr>
        <w:pStyle w:val="yShoulderClause"/>
      </w:pPr>
      <w:r>
        <w:t>[bl. 7, 8, 8A and 9]</w:t>
      </w:r>
    </w:p>
    <w:p>
      <w:pPr>
        <w:pStyle w:val="yFootnoteheading"/>
        <w:spacing w:after="60"/>
      </w:pPr>
      <w:r>
        <w:tab/>
        <w:t>[Heading inserted in Gazette 20 Jun 2012 p. 2752.]</w:t>
      </w:r>
    </w:p>
    <w:tbl>
      <w:tblPr>
        <w:tblW w:w="0" w:type="auto"/>
        <w:tblInd w:w="534" w:type="dxa"/>
        <w:tblLook w:val="0000" w:firstRow="0" w:lastRow="0" w:firstColumn="0" w:lastColumn="0" w:noHBand="0" w:noVBand="0"/>
      </w:tblPr>
      <w:tblGrid>
        <w:gridCol w:w="850"/>
        <w:gridCol w:w="4235"/>
        <w:gridCol w:w="1435"/>
      </w:tblGrid>
      <w:tr>
        <w:trPr>
          <w:cantSplit/>
        </w:trPr>
        <w:tc>
          <w:tcPr>
            <w:tcW w:w="850" w:type="dxa"/>
          </w:tcPr>
          <w:p>
            <w:pPr>
              <w:pStyle w:val="yTableNAm"/>
              <w:tabs>
                <w:tab w:val="right" w:leader="dot" w:pos="4253"/>
              </w:tabs>
              <w:rPr>
                <w:b/>
              </w:rPr>
            </w:pPr>
            <w:r>
              <w:rPr>
                <w:b/>
              </w:rPr>
              <w:t>1.</w:t>
            </w:r>
          </w:p>
        </w:tc>
        <w:tc>
          <w:tcPr>
            <w:tcW w:w="5670" w:type="dxa"/>
            <w:gridSpan w:val="2"/>
          </w:tcPr>
          <w:p>
            <w:pPr>
              <w:pStyle w:val="yTableNAm"/>
              <w:keepNext/>
              <w:keepLines/>
              <w:tabs>
                <w:tab w:val="right" w:leader="dot" w:pos="4253"/>
              </w:tabs>
              <w:rPr>
                <w:b/>
                <w:bCs/>
              </w:rPr>
            </w:pPr>
            <w:r>
              <w:rPr>
                <w:b/>
                <w:bCs/>
              </w:rPr>
              <w:t>Discount</w:t>
            </w:r>
          </w:p>
        </w:tc>
      </w:tr>
      <w:tr>
        <w:tc>
          <w:tcPr>
            <w:tcW w:w="850" w:type="dxa"/>
          </w:tcPr>
          <w:p>
            <w:pPr>
              <w:pStyle w:val="yTableNAm"/>
              <w:tabs>
                <w:tab w:val="right" w:leader="dot" w:pos="4253"/>
              </w:tabs>
            </w:pPr>
          </w:p>
        </w:tc>
        <w:tc>
          <w:tcPr>
            <w:tcW w:w="4235" w:type="dxa"/>
          </w:tcPr>
          <w:p>
            <w:pPr>
              <w:pStyle w:val="yTableNAm"/>
              <w:keepNext/>
              <w:keepLines/>
              <w:tabs>
                <w:tab w:val="right" w:leader="dot" w:pos="4253"/>
              </w:tabs>
            </w:pPr>
            <w:r>
              <w:t>By</w:t>
            </w:r>
            <w:r>
              <w:noBreakHyphen/>
              <w:t xml:space="preserve">law 7(4)(a)(i) </w:t>
            </w:r>
            <w:r>
              <w:tab/>
            </w:r>
          </w:p>
        </w:tc>
        <w:tc>
          <w:tcPr>
            <w:tcW w:w="1435" w:type="dxa"/>
          </w:tcPr>
          <w:p>
            <w:pPr>
              <w:pStyle w:val="yTableNAm"/>
              <w:keepNext/>
              <w:keepLines/>
              <w:tabs>
                <w:tab w:val="right" w:leader="dot" w:pos="4253"/>
              </w:tabs>
            </w:pPr>
            <w:r>
              <w:t>$1.50</w:t>
            </w:r>
          </w:p>
        </w:tc>
      </w:tr>
      <w:tr>
        <w:tc>
          <w:tcPr>
            <w:tcW w:w="850" w:type="dxa"/>
          </w:tcPr>
          <w:p>
            <w:pPr>
              <w:pStyle w:val="yTableNAm"/>
              <w:tabs>
                <w:tab w:val="right" w:leader="dot" w:pos="4253"/>
              </w:tabs>
              <w:rPr>
                <w:b/>
              </w:rPr>
            </w:pPr>
            <w:r>
              <w:rPr>
                <w:b/>
              </w:rPr>
              <w:t>2.</w:t>
            </w:r>
          </w:p>
        </w:tc>
        <w:tc>
          <w:tcPr>
            <w:tcW w:w="4235" w:type="dxa"/>
          </w:tcPr>
          <w:p>
            <w:pPr>
              <w:pStyle w:val="yTableNAm"/>
              <w:tabs>
                <w:tab w:val="right" w:leader="dot" w:pos="4253"/>
              </w:tabs>
              <w:rPr>
                <w:b/>
                <w:bCs/>
              </w:rPr>
            </w:pPr>
            <w:r>
              <w:rPr>
                <w:b/>
                <w:bCs/>
              </w:rPr>
              <w:t>Additional charges</w:t>
            </w:r>
          </w:p>
        </w:tc>
        <w:tc>
          <w:tcPr>
            <w:tcW w:w="1435" w:type="dxa"/>
          </w:tcPr>
          <w:p>
            <w:pPr>
              <w:pStyle w:val="yTableNAm"/>
              <w:tabs>
                <w:tab w:val="right" w:leader="dot" w:pos="4253"/>
              </w:tabs>
              <w:rPr>
                <w:b/>
                <w:bCs/>
              </w:rPr>
            </w:pPr>
          </w:p>
        </w:tc>
      </w:tr>
      <w:tr>
        <w:tc>
          <w:tcPr>
            <w:tcW w:w="850" w:type="dxa"/>
          </w:tcPr>
          <w:p>
            <w:pPr>
              <w:pStyle w:val="yTableNAm"/>
              <w:tabs>
                <w:tab w:val="right" w:leader="dot" w:pos="4253"/>
              </w:tabs>
            </w:pPr>
          </w:p>
        </w:tc>
        <w:tc>
          <w:tcPr>
            <w:tcW w:w="4235" w:type="dxa"/>
          </w:tcPr>
          <w:p>
            <w:pPr>
              <w:pStyle w:val="yTableNAm"/>
              <w:tabs>
                <w:tab w:val="right" w:leader="dot" w:pos="4253"/>
              </w:tabs>
            </w:pPr>
            <w:r>
              <w:t>By</w:t>
            </w:r>
            <w:r>
              <w:noBreakHyphen/>
              <w:t xml:space="preserve">law 7(4)(b)(i) </w:t>
            </w:r>
            <w:r>
              <w:tab/>
            </w:r>
          </w:p>
        </w:tc>
        <w:tc>
          <w:tcPr>
            <w:tcW w:w="1435" w:type="dxa"/>
          </w:tcPr>
          <w:p>
            <w:pPr>
              <w:pStyle w:val="yTableNAm"/>
              <w:tabs>
                <w:tab w:val="right" w:leader="dot" w:pos="4253"/>
              </w:tabs>
            </w:pPr>
            <w:r>
              <w:t>$3.00</w:t>
            </w:r>
          </w:p>
        </w:tc>
      </w:tr>
      <w:tr>
        <w:tc>
          <w:tcPr>
            <w:tcW w:w="850" w:type="dxa"/>
          </w:tcPr>
          <w:p>
            <w:pPr>
              <w:pStyle w:val="yTableNAm"/>
              <w:keepNext/>
              <w:keepLines/>
              <w:tabs>
                <w:tab w:val="right" w:leader="dot" w:pos="4253"/>
              </w:tabs>
              <w:rPr>
                <w:b/>
              </w:rPr>
            </w:pPr>
            <w:r>
              <w:rPr>
                <w:b/>
              </w:rPr>
              <w:t>3.</w:t>
            </w:r>
          </w:p>
        </w:tc>
        <w:tc>
          <w:tcPr>
            <w:tcW w:w="4235" w:type="dxa"/>
          </w:tcPr>
          <w:p>
            <w:pPr>
              <w:pStyle w:val="yTableNAm"/>
              <w:keepNext/>
              <w:keepLines/>
              <w:tabs>
                <w:tab w:val="right" w:leader="dot" w:pos="4253"/>
              </w:tabs>
              <w:rPr>
                <w:b/>
                <w:bCs/>
              </w:rPr>
            </w:pPr>
            <w:r>
              <w:rPr>
                <w:b/>
                <w:bCs/>
              </w:rPr>
              <w:t>Rates of interest</w:t>
            </w:r>
          </w:p>
        </w:tc>
        <w:tc>
          <w:tcPr>
            <w:tcW w:w="1435" w:type="dxa"/>
          </w:tcPr>
          <w:p>
            <w:pPr>
              <w:pStyle w:val="yTableNAm"/>
              <w:keepNext/>
              <w:keepLines/>
              <w:tabs>
                <w:tab w:val="right" w:leader="dot" w:pos="4253"/>
              </w:tabs>
              <w:rPr>
                <w:b/>
                <w:bCs/>
              </w:rPr>
            </w:pPr>
          </w:p>
        </w:tc>
      </w:tr>
      <w:tr>
        <w:tc>
          <w:tcPr>
            <w:tcW w:w="850" w:type="dxa"/>
          </w:tcPr>
          <w:p>
            <w:pPr>
              <w:pStyle w:val="yTableNAm"/>
              <w:keepNext/>
              <w:keepLines/>
              <w:tabs>
                <w:tab w:val="right" w:leader="dot" w:pos="4253"/>
              </w:tabs>
            </w:pPr>
          </w:p>
        </w:tc>
        <w:tc>
          <w:tcPr>
            <w:tcW w:w="4235" w:type="dxa"/>
          </w:tcPr>
          <w:p>
            <w:pPr>
              <w:pStyle w:val="yTableNAm"/>
              <w:keepNext/>
              <w:keepLines/>
              <w:tabs>
                <w:tab w:val="right" w:leader="dot" w:pos="4253"/>
              </w:tabs>
            </w:pPr>
            <w:r>
              <w:t>By</w:t>
            </w:r>
            <w:r>
              <w:noBreakHyphen/>
              <w:t xml:space="preserve">law 7(4)(a)(ii) </w:t>
            </w:r>
            <w:r>
              <w:tab/>
            </w:r>
          </w:p>
        </w:tc>
        <w:tc>
          <w:tcPr>
            <w:tcW w:w="1435" w:type="dxa"/>
          </w:tcPr>
          <w:p>
            <w:pPr>
              <w:pStyle w:val="yTableNAm"/>
              <w:keepNext/>
              <w:keepLines/>
              <w:tabs>
                <w:tab w:val="right" w:leader="dot" w:pos="4253"/>
              </w:tabs>
            </w:pPr>
            <w:r>
              <w:t>2.19% per annum</w:t>
            </w:r>
          </w:p>
        </w:tc>
      </w:tr>
      <w:tr>
        <w:tc>
          <w:tcPr>
            <w:tcW w:w="850" w:type="dxa"/>
          </w:tcPr>
          <w:p>
            <w:pPr>
              <w:pStyle w:val="yTableNAm"/>
              <w:tabs>
                <w:tab w:val="right" w:leader="dot" w:pos="4253"/>
              </w:tabs>
            </w:pPr>
          </w:p>
        </w:tc>
        <w:tc>
          <w:tcPr>
            <w:tcW w:w="4235" w:type="dxa"/>
          </w:tcPr>
          <w:p>
            <w:pPr>
              <w:pStyle w:val="yTableNAm"/>
              <w:tabs>
                <w:tab w:val="right" w:leader="dot" w:pos="4253"/>
              </w:tabs>
            </w:pPr>
            <w:r>
              <w:t>By</w:t>
            </w:r>
            <w:r>
              <w:noBreakHyphen/>
              <w:t xml:space="preserve">law 7(4)(b)(ii) </w:t>
            </w:r>
            <w:r>
              <w:tab/>
            </w:r>
          </w:p>
        </w:tc>
        <w:tc>
          <w:tcPr>
            <w:tcW w:w="1435" w:type="dxa"/>
          </w:tcPr>
          <w:p>
            <w:pPr>
              <w:pStyle w:val="yTableNAm"/>
              <w:tabs>
                <w:tab w:val="right" w:leader="dot" w:pos="4253"/>
              </w:tabs>
            </w:pPr>
            <w:r>
              <w:t>3.19% per annum</w:t>
            </w:r>
          </w:p>
        </w:tc>
      </w:tr>
      <w:tr>
        <w:tc>
          <w:tcPr>
            <w:tcW w:w="850" w:type="dxa"/>
          </w:tcPr>
          <w:p>
            <w:pPr>
              <w:pStyle w:val="yTableNAm"/>
              <w:tabs>
                <w:tab w:val="right" w:leader="dot" w:pos="4253"/>
              </w:tabs>
              <w:rPr>
                <w:b/>
              </w:rPr>
            </w:pPr>
            <w:r>
              <w:rPr>
                <w:b/>
              </w:rPr>
              <w:t>4.</w:t>
            </w:r>
          </w:p>
        </w:tc>
        <w:tc>
          <w:tcPr>
            <w:tcW w:w="4235" w:type="dxa"/>
          </w:tcPr>
          <w:p>
            <w:pPr>
              <w:pStyle w:val="yTableNAm"/>
              <w:tabs>
                <w:tab w:val="right" w:leader="dot" w:pos="4253"/>
              </w:tabs>
              <w:rPr>
                <w:b/>
                <w:bCs/>
              </w:rPr>
            </w:pPr>
            <w:r>
              <w:rPr>
                <w:b/>
                <w:bCs/>
              </w:rPr>
              <w:t>Concession (by</w:t>
            </w:r>
            <w:r>
              <w:rPr>
                <w:b/>
                <w:bCs/>
              </w:rPr>
              <w:noBreakHyphen/>
              <w:t>law 8A(2))</w:t>
            </w:r>
          </w:p>
        </w:tc>
        <w:tc>
          <w:tcPr>
            <w:tcW w:w="1435" w:type="dxa"/>
          </w:tcPr>
          <w:p>
            <w:pPr>
              <w:pStyle w:val="yTableNAm"/>
              <w:tabs>
                <w:tab w:val="right" w:leader="dot" w:pos="4253"/>
              </w:tabs>
              <w:rPr>
                <w:b/>
                <w:bCs/>
              </w:rPr>
            </w:pPr>
          </w:p>
        </w:tc>
      </w:tr>
      <w:tr>
        <w:tc>
          <w:tcPr>
            <w:tcW w:w="850" w:type="dxa"/>
          </w:tcPr>
          <w:p>
            <w:pPr>
              <w:pStyle w:val="yTableNAm"/>
              <w:tabs>
                <w:tab w:val="right" w:leader="dot" w:pos="4253"/>
              </w:tabs>
            </w:pPr>
          </w:p>
        </w:tc>
        <w:tc>
          <w:tcPr>
            <w:tcW w:w="4235" w:type="dxa"/>
          </w:tcPr>
          <w:p>
            <w:pPr>
              <w:pStyle w:val="yTableNAm"/>
              <w:tabs>
                <w:tab w:val="right" w:leader="dot" w:pos="4253"/>
              </w:tabs>
            </w:pPr>
            <w:r>
              <w:t xml:space="preserve">Charge for water supply </w:t>
            </w:r>
            <w:r>
              <w:tab/>
            </w:r>
          </w:p>
        </w:tc>
        <w:tc>
          <w:tcPr>
            <w:tcW w:w="1435" w:type="dxa"/>
          </w:tcPr>
          <w:p>
            <w:pPr>
              <w:pStyle w:val="yTableNAm"/>
              <w:tabs>
                <w:tab w:val="right" w:leader="dot" w:pos="4253"/>
              </w:tabs>
            </w:pPr>
            <w:r>
              <w:t>$89.75</w:t>
            </w:r>
          </w:p>
        </w:tc>
      </w:tr>
      <w:tr>
        <w:tc>
          <w:tcPr>
            <w:tcW w:w="850" w:type="dxa"/>
          </w:tcPr>
          <w:p>
            <w:pPr>
              <w:pStyle w:val="yTableNAm"/>
              <w:tabs>
                <w:tab w:val="right" w:leader="dot" w:pos="4253"/>
              </w:tabs>
            </w:pPr>
          </w:p>
        </w:tc>
        <w:tc>
          <w:tcPr>
            <w:tcW w:w="4235" w:type="dxa"/>
          </w:tcPr>
          <w:p>
            <w:pPr>
              <w:pStyle w:val="yTableNAm"/>
              <w:tabs>
                <w:tab w:val="right" w:leader="dot" w:pos="4253"/>
              </w:tabs>
            </w:pPr>
            <w:r>
              <w:t xml:space="preserve">Charge for sewerage </w:t>
            </w:r>
            <w:r>
              <w:tab/>
            </w:r>
          </w:p>
        </w:tc>
        <w:tc>
          <w:tcPr>
            <w:tcW w:w="1435" w:type="dxa"/>
          </w:tcPr>
          <w:p>
            <w:pPr>
              <w:pStyle w:val="yTableNAm"/>
              <w:tabs>
                <w:tab w:val="right" w:leader="dot" w:pos="4253"/>
              </w:tabs>
            </w:pPr>
            <w:r>
              <w:t>$184.70</w:t>
            </w:r>
          </w:p>
        </w:tc>
      </w:tr>
      <w:tr>
        <w:tc>
          <w:tcPr>
            <w:tcW w:w="850" w:type="dxa"/>
          </w:tcPr>
          <w:p>
            <w:pPr>
              <w:pStyle w:val="yTableNAm"/>
              <w:tabs>
                <w:tab w:val="right" w:leader="dot" w:pos="4253"/>
              </w:tabs>
            </w:pPr>
          </w:p>
        </w:tc>
        <w:tc>
          <w:tcPr>
            <w:tcW w:w="4235" w:type="dxa"/>
          </w:tcPr>
          <w:p>
            <w:pPr>
              <w:pStyle w:val="yTableNAm"/>
              <w:tabs>
                <w:tab w:val="right" w:leader="dot" w:pos="4253"/>
              </w:tabs>
            </w:pPr>
            <w:r>
              <w:t xml:space="preserve">Charge for drainage </w:t>
            </w:r>
            <w:r>
              <w:tab/>
            </w:r>
          </w:p>
        </w:tc>
        <w:tc>
          <w:tcPr>
            <w:tcW w:w="1435" w:type="dxa"/>
          </w:tcPr>
          <w:p>
            <w:pPr>
              <w:pStyle w:val="yTableNAm"/>
              <w:tabs>
                <w:tab w:val="right" w:leader="dot" w:pos="4253"/>
              </w:tabs>
            </w:pPr>
            <w:r>
              <w:t>$24.05</w:t>
            </w:r>
          </w:p>
        </w:tc>
      </w:tr>
      <w:tr>
        <w:tc>
          <w:tcPr>
            <w:tcW w:w="850" w:type="dxa"/>
          </w:tcPr>
          <w:p>
            <w:pPr>
              <w:pStyle w:val="yTableNAm"/>
              <w:tabs>
                <w:tab w:val="right" w:leader="dot" w:pos="4253"/>
              </w:tabs>
              <w:rPr>
                <w:b/>
              </w:rPr>
            </w:pPr>
            <w:r>
              <w:rPr>
                <w:b/>
              </w:rPr>
              <w:t>5.</w:t>
            </w:r>
          </w:p>
        </w:tc>
        <w:tc>
          <w:tcPr>
            <w:tcW w:w="4235" w:type="dxa"/>
          </w:tcPr>
          <w:p>
            <w:pPr>
              <w:pStyle w:val="yTableNAm"/>
              <w:tabs>
                <w:tab w:val="right" w:leader="dot" w:pos="4253"/>
              </w:tabs>
              <w:rPr>
                <w:b/>
                <w:bCs/>
              </w:rPr>
            </w:pPr>
            <w:r>
              <w:rPr>
                <w:b/>
                <w:bCs/>
              </w:rPr>
              <w:t>Interest on overdue amounts (by</w:t>
            </w:r>
            <w:r>
              <w:rPr>
                <w:b/>
                <w:bCs/>
              </w:rPr>
              <w:noBreakHyphen/>
              <w:t>law 9)</w:t>
            </w:r>
          </w:p>
        </w:tc>
        <w:tc>
          <w:tcPr>
            <w:tcW w:w="1435" w:type="dxa"/>
          </w:tcPr>
          <w:p>
            <w:pPr>
              <w:pStyle w:val="yTableNAm"/>
              <w:tabs>
                <w:tab w:val="right" w:leader="dot" w:pos="4253"/>
              </w:tabs>
              <w:rPr>
                <w:b/>
                <w:bCs/>
              </w:rPr>
            </w:pPr>
          </w:p>
        </w:tc>
      </w:tr>
      <w:tr>
        <w:tc>
          <w:tcPr>
            <w:tcW w:w="850" w:type="dxa"/>
          </w:tcPr>
          <w:p>
            <w:pPr>
              <w:pStyle w:val="yTableNAm"/>
              <w:tabs>
                <w:tab w:val="right" w:leader="dot" w:pos="4253"/>
              </w:tabs>
            </w:pPr>
          </w:p>
        </w:tc>
        <w:tc>
          <w:tcPr>
            <w:tcW w:w="4235" w:type="dxa"/>
          </w:tcPr>
          <w:p>
            <w:pPr>
              <w:pStyle w:val="yTableNAm"/>
              <w:tabs>
                <w:tab w:val="right" w:leader="dot" w:pos="4253"/>
              </w:tabs>
            </w:pPr>
            <w:r>
              <w:t>Interest on overdue amounts (by</w:t>
            </w:r>
            <w:r>
              <w:noBreakHyphen/>
              <w:t xml:space="preserve">law 9) </w:t>
            </w:r>
            <w:r>
              <w:tab/>
            </w:r>
          </w:p>
        </w:tc>
        <w:tc>
          <w:tcPr>
            <w:tcW w:w="1435" w:type="dxa"/>
          </w:tcPr>
          <w:p>
            <w:pPr>
              <w:pStyle w:val="yTableNAm"/>
              <w:tabs>
                <w:tab w:val="right" w:leader="dot" w:pos="4253"/>
              </w:tabs>
            </w:pPr>
            <w:r>
              <w:t>13.39% per annum</w:t>
            </w:r>
          </w:p>
        </w:tc>
      </w:tr>
    </w:tbl>
    <w:p>
      <w:pPr>
        <w:pStyle w:val="yFootnotesection"/>
      </w:pPr>
      <w:r>
        <w:tab/>
        <w:t>[Schedule 7 inserted in Gazette 20 Jun 2012 p. 2752.]</w:t>
      </w:r>
    </w:p>
    <w:p>
      <w:pPr>
        <w:pStyle w:val="yScheduleHeading"/>
      </w:pPr>
      <w:bookmarkStart w:id="847" w:name="_Toc84428018"/>
      <w:bookmarkStart w:id="848" w:name="_Toc328403463"/>
      <w:bookmarkStart w:id="849" w:name="_Toc328471512"/>
      <w:bookmarkStart w:id="850" w:name="_Toc297540807"/>
      <w:bookmarkStart w:id="851" w:name="_Toc297541235"/>
      <w:bookmarkEnd w:id="836"/>
      <w:bookmarkEnd w:id="837"/>
      <w:bookmarkEnd w:id="838"/>
      <w:r>
        <w:rPr>
          <w:rStyle w:val="CharSchNo"/>
        </w:rPr>
        <w:t>Schedule 8</w:t>
      </w:r>
      <w:r>
        <w:t> — </w:t>
      </w:r>
      <w:r>
        <w:rPr>
          <w:rStyle w:val="CharSchText"/>
        </w:rPr>
        <w:t>Water supply charges for Government trading organisations and non</w:t>
      </w:r>
      <w:r>
        <w:rPr>
          <w:rStyle w:val="CharSchText"/>
        </w:rPr>
        <w:noBreakHyphen/>
        <w:t>commercial Government property</w:t>
      </w:r>
      <w:bookmarkEnd w:id="847"/>
      <w:bookmarkEnd w:id="848"/>
      <w:bookmarkEnd w:id="849"/>
    </w:p>
    <w:p>
      <w:pPr>
        <w:pStyle w:val="yShoulderClause"/>
      </w:pPr>
      <w:r>
        <w:t>[bl. 8B]</w:t>
      </w:r>
    </w:p>
    <w:p>
      <w:pPr>
        <w:pStyle w:val="yFootnoteheading"/>
        <w:spacing w:after="60"/>
      </w:pPr>
      <w:r>
        <w:tab/>
        <w:t>[Heading inserted in Gazette 20 Jun 2012 p. 2753.]</w:t>
      </w:r>
    </w:p>
    <w:p>
      <w:pPr>
        <w:pStyle w:val="yMiscellaneousHeading"/>
        <w:tabs>
          <w:tab w:val="left" w:pos="993"/>
        </w:tabs>
        <w:ind w:left="480"/>
        <w:jc w:val="left"/>
        <w:rPr>
          <w:b/>
        </w:rPr>
      </w:pPr>
      <w:r>
        <w:rPr>
          <w:b/>
        </w:rPr>
        <w:t>1.</w:t>
      </w:r>
      <w:r>
        <w:rPr>
          <w:b/>
        </w:rPr>
        <w:tab/>
        <w:t>Annual charge (based on meter size)</w:t>
      </w:r>
    </w:p>
    <w:tbl>
      <w:tblPr>
        <w:tblW w:w="0" w:type="auto"/>
        <w:tblInd w:w="1166" w:type="dxa"/>
        <w:tblLayout w:type="fixed"/>
        <w:tblCellMar>
          <w:left w:w="284" w:type="dxa"/>
          <w:right w:w="284" w:type="dxa"/>
        </w:tblCellMar>
        <w:tblLook w:val="0000" w:firstRow="0" w:lastRow="0" w:firstColumn="0" w:lastColumn="0" w:noHBand="0" w:noVBand="0"/>
      </w:tblPr>
      <w:tblGrid>
        <w:gridCol w:w="3087"/>
        <w:gridCol w:w="2960"/>
        <w:gridCol w:w="17"/>
      </w:tblGrid>
      <w:tr>
        <w:trPr>
          <w:cantSplit/>
          <w:tblHeader/>
        </w:trPr>
        <w:tc>
          <w:tcPr>
            <w:tcW w:w="3087" w:type="dxa"/>
            <w:tcBorders>
              <w:top w:val="single" w:sz="4" w:space="0" w:color="auto"/>
              <w:bottom w:val="single" w:sz="4" w:space="0" w:color="auto"/>
            </w:tcBorders>
          </w:tcPr>
          <w:p>
            <w:pPr>
              <w:pStyle w:val="yTableNAm"/>
              <w:ind w:right="-142"/>
              <w:jc w:val="center"/>
              <w:rPr>
                <w:b/>
                <w:bCs/>
              </w:rPr>
            </w:pPr>
            <w:r>
              <w:rPr>
                <w:b/>
                <w:bCs/>
              </w:rPr>
              <w:t>Meter size</w:t>
            </w:r>
            <w:r>
              <w:rPr>
                <w:b/>
                <w:bCs/>
              </w:rPr>
              <w:br/>
              <w:t>mm</w:t>
            </w:r>
          </w:p>
        </w:tc>
        <w:tc>
          <w:tcPr>
            <w:tcW w:w="2977" w:type="dxa"/>
            <w:gridSpan w:val="2"/>
            <w:tcBorders>
              <w:top w:val="single" w:sz="4" w:space="0" w:color="auto"/>
              <w:bottom w:val="single" w:sz="4" w:space="0" w:color="auto"/>
            </w:tcBorders>
          </w:tcPr>
          <w:p>
            <w:pPr>
              <w:pStyle w:val="yTableNAm"/>
              <w:tabs>
                <w:tab w:val="clear" w:pos="567"/>
              </w:tabs>
              <w:ind w:right="-284"/>
              <w:jc w:val="center"/>
              <w:rPr>
                <w:b/>
                <w:bCs/>
              </w:rPr>
            </w:pPr>
            <w:r>
              <w:rPr>
                <w:b/>
                <w:bCs/>
              </w:rPr>
              <w:t>Charge</w:t>
            </w:r>
            <w:r>
              <w:rPr>
                <w:b/>
                <w:bCs/>
              </w:rPr>
              <w:br/>
              <w:t>$</w:t>
            </w:r>
          </w:p>
        </w:tc>
      </w:tr>
      <w:tr>
        <w:trPr>
          <w:cantSplit/>
        </w:trPr>
        <w:tc>
          <w:tcPr>
            <w:tcW w:w="3087" w:type="dxa"/>
          </w:tcPr>
          <w:p>
            <w:pPr>
              <w:pStyle w:val="yTableNAm"/>
              <w:ind w:right="-142"/>
              <w:jc w:val="center"/>
              <w:rPr>
                <w:spacing w:val="-2"/>
              </w:rPr>
            </w:pPr>
            <w:r>
              <w:rPr>
                <w:spacing w:val="-2"/>
              </w:rPr>
              <w:t>20 or less</w:t>
            </w:r>
          </w:p>
        </w:tc>
        <w:tc>
          <w:tcPr>
            <w:tcW w:w="2977" w:type="dxa"/>
            <w:gridSpan w:val="2"/>
            <w:vAlign w:val="bottom"/>
          </w:tcPr>
          <w:p>
            <w:pPr>
              <w:pStyle w:val="yTableNAm"/>
              <w:ind w:right="-142"/>
              <w:jc w:val="center"/>
              <w:rPr>
                <w:spacing w:val="-2"/>
              </w:rPr>
            </w:pPr>
            <w:r>
              <w:rPr>
                <w:spacing w:val="-2"/>
              </w:rPr>
              <w:t>188.10</w:t>
            </w:r>
          </w:p>
        </w:tc>
      </w:tr>
      <w:tr>
        <w:trPr>
          <w:cantSplit/>
        </w:trPr>
        <w:tc>
          <w:tcPr>
            <w:tcW w:w="3087" w:type="dxa"/>
          </w:tcPr>
          <w:p>
            <w:pPr>
              <w:pStyle w:val="yTableNAm"/>
              <w:ind w:right="-142"/>
              <w:jc w:val="center"/>
              <w:rPr>
                <w:spacing w:val="-2"/>
              </w:rPr>
            </w:pPr>
            <w:r>
              <w:rPr>
                <w:spacing w:val="-2"/>
              </w:rPr>
              <w:t>25</w:t>
            </w:r>
          </w:p>
        </w:tc>
        <w:tc>
          <w:tcPr>
            <w:tcW w:w="2977" w:type="dxa"/>
            <w:gridSpan w:val="2"/>
            <w:vAlign w:val="bottom"/>
          </w:tcPr>
          <w:p>
            <w:pPr>
              <w:pStyle w:val="yTableNAm"/>
              <w:ind w:right="-142"/>
              <w:jc w:val="center"/>
              <w:rPr>
                <w:spacing w:val="-2"/>
              </w:rPr>
            </w:pPr>
            <w:r>
              <w:rPr>
                <w:spacing w:val="-2"/>
              </w:rPr>
              <w:t>293.90</w:t>
            </w:r>
          </w:p>
        </w:tc>
      </w:tr>
      <w:tr>
        <w:trPr>
          <w:cantSplit/>
        </w:trPr>
        <w:tc>
          <w:tcPr>
            <w:tcW w:w="3087" w:type="dxa"/>
          </w:tcPr>
          <w:p>
            <w:pPr>
              <w:pStyle w:val="yTableNAm"/>
              <w:ind w:right="-142"/>
              <w:jc w:val="center"/>
              <w:rPr>
                <w:spacing w:val="-2"/>
              </w:rPr>
            </w:pPr>
            <w:r>
              <w:rPr>
                <w:spacing w:val="-2"/>
              </w:rPr>
              <w:t>30</w:t>
            </w:r>
          </w:p>
        </w:tc>
        <w:tc>
          <w:tcPr>
            <w:tcW w:w="2977" w:type="dxa"/>
            <w:gridSpan w:val="2"/>
            <w:vAlign w:val="bottom"/>
          </w:tcPr>
          <w:p>
            <w:pPr>
              <w:pStyle w:val="yTableNAm"/>
              <w:ind w:right="-142"/>
              <w:jc w:val="center"/>
              <w:rPr>
                <w:spacing w:val="-2"/>
              </w:rPr>
            </w:pPr>
            <w:r>
              <w:rPr>
                <w:spacing w:val="-2"/>
              </w:rPr>
              <w:t>423.20</w:t>
            </w:r>
          </w:p>
        </w:tc>
      </w:tr>
      <w:tr>
        <w:trPr>
          <w:cantSplit/>
        </w:trPr>
        <w:tc>
          <w:tcPr>
            <w:tcW w:w="3087" w:type="dxa"/>
          </w:tcPr>
          <w:p>
            <w:pPr>
              <w:pStyle w:val="yTableNAm"/>
              <w:ind w:right="-142"/>
              <w:jc w:val="center"/>
              <w:rPr>
                <w:spacing w:val="-2"/>
              </w:rPr>
            </w:pPr>
            <w:r>
              <w:rPr>
                <w:spacing w:val="-2"/>
              </w:rPr>
              <w:t>40</w:t>
            </w:r>
          </w:p>
        </w:tc>
        <w:tc>
          <w:tcPr>
            <w:tcW w:w="2977" w:type="dxa"/>
            <w:gridSpan w:val="2"/>
            <w:vAlign w:val="bottom"/>
          </w:tcPr>
          <w:p>
            <w:pPr>
              <w:pStyle w:val="yTableNAm"/>
              <w:ind w:right="-142"/>
              <w:jc w:val="center"/>
              <w:rPr>
                <w:spacing w:val="-2"/>
              </w:rPr>
            </w:pPr>
            <w:r>
              <w:rPr>
                <w:spacing w:val="-2"/>
              </w:rPr>
              <w:t>752.40</w:t>
            </w:r>
          </w:p>
        </w:tc>
      </w:tr>
      <w:tr>
        <w:trPr>
          <w:cantSplit/>
        </w:trPr>
        <w:tc>
          <w:tcPr>
            <w:tcW w:w="3087" w:type="dxa"/>
          </w:tcPr>
          <w:p>
            <w:pPr>
              <w:pStyle w:val="yTableNAm"/>
              <w:ind w:right="-142"/>
              <w:jc w:val="center"/>
              <w:rPr>
                <w:spacing w:val="-2"/>
              </w:rPr>
            </w:pPr>
            <w:r>
              <w:rPr>
                <w:spacing w:val="-2"/>
              </w:rPr>
              <w:t>50</w:t>
            </w:r>
          </w:p>
        </w:tc>
        <w:tc>
          <w:tcPr>
            <w:tcW w:w="2977" w:type="dxa"/>
            <w:gridSpan w:val="2"/>
            <w:vAlign w:val="bottom"/>
          </w:tcPr>
          <w:p>
            <w:pPr>
              <w:pStyle w:val="yTableNAm"/>
              <w:ind w:right="-142"/>
              <w:jc w:val="center"/>
              <w:rPr>
                <w:spacing w:val="-2"/>
              </w:rPr>
            </w:pPr>
            <w:r>
              <w:rPr>
                <w:spacing w:val="-2"/>
              </w:rPr>
              <w:t>1 175.60</w:t>
            </w:r>
          </w:p>
        </w:tc>
      </w:tr>
      <w:tr>
        <w:trPr>
          <w:cantSplit/>
        </w:trPr>
        <w:tc>
          <w:tcPr>
            <w:tcW w:w="3087" w:type="dxa"/>
          </w:tcPr>
          <w:p>
            <w:pPr>
              <w:pStyle w:val="yTableNAm"/>
              <w:ind w:right="-142"/>
              <w:jc w:val="center"/>
              <w:rPr>
                <w:spacing w:val="-2"/>
              </w:rPr>
            </w:pPr>
            <w:r>
              <w:rPr>
                <w:spacing w:val="-2"/>
              </w:rPr>
              <w:t>70, 75, 80</w:t>
            </w:r>
          </w:p>
        </w:tc>
        <w:tc>
          <w:tcPr>
            <w:tcW w:w="2977" w:type="dxa"/>
            <w:gridSpan w:val="2"/>
            <w:vAlign w:val="bottom"/>
          </w:tcPr>
          <w:p>
            <w:pPr>
              <w:pStyle w:val="yTableNAm"/>
              <w:ind w:right="-142"/>
              <w:jc w:val="center"/>
              <w:rPr>
                <w:spacing w:val="-2"/>
              </w:rPr>
            </w:pPr>
            <w:r>
              <w:rPr>
                <w:spacing w:val="-2"/>
              </w:rPr>
              <w:t>3 009.60</w:t>
            </w:r>
          </w:p>
        </w:tc>
      </w:tr>
      <w:tr>
        <w:trPr>
          <w:cantSplit/>
        </w:trPr>
        <w:tc>
          <w:tcPr>
            <w:tcW w:w="3087" w:type="dxa"/>
          </w:tcPr>
          <w:p>
            <w:pPr>
              <w:pStyle w:val="yTableNAm"/>
              <w:ind w:right="-142"/>
              <w:jc w:val="center"/>
              <w:rPr>
                <w:spacing w:val="-2"/>
              </w:rPr>
            </w:pPr>
            <w:r>
              <w:rPr>
                <w:spacing w:val="-2"/>
              </w:rPr>
              <w:t>100</w:t>
            </w:r>
          </w:p>
        </w:tc>
        <w:tc>
          <w:tcPr>
            <w:tcW w:w="2977" w:type="dxa"/>
            <w:gridSpan w:val="2"/>
            <w:vAlign w:val="bottom"/>
          </w:tcPr>
          <w:p>
            <w:pPr>
              <w:pStyle w:val="yTableNAm"/>
              <w:ind w:right="-142"/>
              <w:jc w:val="center"/>
              <w:rPr>
                <w:spacing w:val="-2"/>
              </w:rPr>
            </w:pPr>
            <w:r>
              <w:rPr>
                <w:spacing w:val="-2"/>
              </w:rPr>
              <w:t>4 702.50</w:t>
            </w:r>
          </w:p>
        </w:tc>
      </w:tr>
      <w:tr>
        <w:trPr>
          <w:cantSplit/>
        </w:trPr>
        <w:tc>
          <w:tcPr>
            <w:tcW w:w="3087" w:type="dxa"/>
          </w:tcPr>
          <w:p>
            <w:pPr>
              <w:pStyle w:val="yTableNAm"/>
              <w:ind w:right="-142"/>
              <w:jc w:val="center"/>
              <w:rPr>
                <w:spacing w:val="-2"/>
              </w:rPr>
            </w:pPr>
            <w:r>
              <w:rPr>
                <w:spacing w:val="-2"/>
              </w:rPr>
              <w:t>140, 150</w:t>
            </w:r>
          </w:p>
        </w:tc>
        <w:tc>
          <w:tcPr>
            <w:tcW w:w="2977" w:type="dxa"/>
            <w:gridSpan w:val="2"/>
            <w:vAlign w:val="bottom"/>
          </w:tcPr>
          <w:p>
            <w:pPr>
              <w:pStyle w:val="yTableNAm"/>
              <w:ind w:right="-142"/>
              <w:jc w:val="center"/>
              <w:rPr>
                <w:spacing w:val="-2"/>
              </w:rPr>
            </w:pPr>
            <w:r>
              <w:rPr>
                <w:spacing w:val="-2"/>
              </w:rPr>
              <w:t>10 580.60</w:t>
            </w:r>
          </w:p>
        </w:tc>
      </w:tr>
      <w:tr>
        <w:trPr>
          <w:cantSplit/>
        </w:trPr>
        <w:tc>
          <w:tcPr>
            <w:tcW w:w="3087" w:type="dxa"/>
          </w:tcPr>
          <w:p>
            <w:pPr>
              <w:pStyle w:val="yTableNAm"/>
              <w:ind w:right="-142"/>
              <w:jc w:val="center"/>
              <w:rPr>
                <w:spacing w:val="-2"/>
              </w:rPr>
            </w:pPr>
            <w:r>
              <w:rPr>
                <w:spacing w:val="-2"/>
              </w:rPr>
              <w:t>200</w:t>
            </w:r>
          </w:p>
        </w:tc>
        <w:tc>
          <w:tcPr>
            <w:tcW w:w="2977" w:type="dxa"/>
            <w:gridSpan w:val="2"/>
            <w:vAlign w:val="bottom"/>
          </w:tcPr>
          <w:p>
            <w:pPr>
              <w:pStyle w:val="yTableNAm"/>
              <w:ind w:right="-142"/>
              <w:jc w:val="center"/>
              <w:rPr>
                <w:spacing w:val="-2"/>
              </w:rPr>
            </w:pPr>
            <w:r>
              <w:rPr>
                <w:spacing w:val="-2"/>
              </w:rPr>
              <w:t>18 810.00</w:t>
            </w:r>
          </w:p>
        </w:tc>
      </w:tr>
      <w:tr>
        <w:trPr>
          <w:cantSplit/>
        </w:trPr>
        <w:tc>
          <w:tcPr>
            <w:tcW w:w="3087" w:type="dxa"/>
          </w:tcPr>
          <w:p>
            <w:pPr>
              <w:pStyle w:val="yTableNAm"/>
              <w:ind w:right="-142"/>
              <w:jc w:val="center"/>
              <w:rPr>
                <w:spacing w:val="-2"/>
              </w:rPr>
            </w:pPr>
            <w:r>
              <w:rPr>
                <w:spacing w:val="-2"/>
              </w:rPr>
              <w:t>250</w:t>
            </w:r>
          </w:p>
        </w:tc>
        <w:tc>
          <w:tcPr>
            <w:tcW w:w="2977" w:type="dxa"/>
            <w:gridSpan w:val="2"/>
            <w:vAlign w:val="bottom"/>
          </w:tcPr>
          <w:p>
            <w:pPr>
              <w:pStyle w:val="yTableNAm"/>
              <w:ind w:right="-142"/>
              <w:jc w:val="center"/>
              <w:rPr>
                <w:spacing w:val="-2"/>
              </w:rPr>
            </w:pPr>
            <w:r>
              <w:rPr>
                <w:spacing w:val="-2"/>
              </w:rPr>
              <w:t>29 390.60</w:t>
            </w:r>
          </w:p>
        </w:tc>
      </w:tr>
      <w:tr>
        <w:trPr>
          <w:cantSplit/>
        </w:trPr>
        <w:tc>
          <w:tcPr>
            <w:tcW w:w="3087" w:type="dxa"/>
          </w:tcPr>
          <w:p>
            <w:pPr>
              <w:pStyle w:val="yTableNAm"/>
              <w:ind w:right="-142"/>
              <w:jc w:val="center"/>
              <w:rPr>
                <w:spacing w:val="-2"/>
              </w:rPr>
            </w:pPr>
            <w:r>
              <w:rPr>
                <w:spacing w:val="-2"/>
              </w:rPr>
              <w:t>300</w:t>
            </w:r>
          </w:p>
        </w:tc>
        <w:tc>
          <w:tcPr>
            <w:tcW w:w="2977" w:type="dxa"/>
            <w:gridSpan w:val="2"/>
            <w:vAlign w:val="bottom"/>
          </w:tcPr>
          <w:p>
            <w:pPr>
              <w:pStyle w:val="yTableNAm"/>
              <w:ind w:right="-142"/>
              <w:jc w:val="center"/>
              <w:rPr>
                <w:spacing w:val="-2"/>
              </w:rPr>
            </w:pPr>
            <w:r>
              <w:rPr>
                <w:spacing w:val="-2"/>
              </w:rPr>
              <w:t>42 322.50</w:t>
            </w:r>
          </w:p>
        </w:tc>
      </w:tr>
      <w:tr>
        <w:trPr>
          <w:cantSplit/>
        </w:trPr>
        <w:tc>
          <w:tcPr>
            <w:tcW w:w="3087" w:type="dxa"/>
          </w:tcPr>
          <w:p>
            <w:pPr>
              <w:pStyle w:val="yTableNAm"/>
              <w:ind w:right="-142"/>
              <w:jc w:val="center"/>
              <w:rPr>
                <w:spacing w:val="-2"/>
              </w:rPr>
            </w:pPr>
            <w:r>
              <w:rPr>
                <w:spacing w:val="-2"/>
              </w:rPr>
              <w:t>350</w:t>
            </w:r>
          </w:p>
        </w:tc>
        <w:tc>
          <w:tcPr>
            <w:tcW w:w="2977" w:type="dxa"/>
            <w:gridSpan w:val="2"/>
            <w:vAlign w:val="bottom"/>
          </w:tcPr>
          <w:p>
            <w:pPr>
              <w:pStyle w:val="yTableNAm"/>
              <w:ind w:right="-142"/>
              <w:jc w:val="center"/>
              <w:rPr>
                <w:spacing w:val="-2"/>
              </w:rPr>
            </w:pPr>
            <w:r>
              <w:rPr>
                <w:spacing w:val="-2"/>
              </w:rPr>
              <w:t>57 605.60</w:t>
            </w:r>
          </w:p>
        </w:tc>
      </w:tr>
      <w:tr>
        <w:tblPrEx>
          <w:tblCellMar>
            <w:left w:w="142" w:type="dxa"/>
            <w:right w:w="142" w:type="dxa"/>
          </w:tblCellMar>
        </w:tblPrEx>
        <w:trPr>
          <w:gridAfter w:val="1"/>
          <w:wAfter w:w="17" w:type="dxa"/>
          <w:cantSplit/>
        </w:trPr>
        <w:tc>
          <w:tcPr>
            <w:tcW w:w="3087" w:type="dxa"/>
            <w:tcBorders>
              <w:bottom w:val="single" w:sz="4" w:space="0" w:color="auto"/>
            </w:tcBorders>
          </w:tcPr>
          <w:p>
            <w:pPr>
              <w:pStyle w:val="yTableNAm"/>
              <w:tabs>
                <w:tab w:val="right" w:leader="dot" w:pos="4253"/>
              </w:tabs>
              <w:ind w:right="-142"/>
            </w:pPr>
            <w:r>
              <w:t xml:space="preserve">subject to a minimum charge, where property is served but not metered by the Corporation, of </w:t>
            </w:r>
          </w:p>
        </w:tc>
        <w:tc>
          <w:tcPr>
            <w:tcW w:w="2960" w:type="dxa"/>
            <w:tcBorders>
              <w:bottom w:val="single" w:sz="4" w:space="0" w:color="auto"/>
            </w:tcBorders>
            <w:vAlign w:val="bottom"/>
          </w:tcPr>
          <w:p>
            <w:pPr>
              <w:pStyle w:val="yTableNAm"/>
              <w:ind w:right="-142"/>
              <w:jc w:val="center"/>
              <w:rPr>
                <w:spacing w:val="-2"/>
              </w:rPr>
            </w:pPr>
            <w:r>
              <w:rPr>
                <w:spacing w:val="-2"/>
              </w:rPr>
              <w:t>188.10</w:t>
            </w:r>
          </w:p>
        </w:tc>
      </w:tr>
    </w:tbl>
    <w:p>
      <w:pPr>
        <w:pStyle w:val="yMiscellaneousBody"/>
        <w:spacing w:before="0"/>
      </w:pPr>
    </w:p>
    <w:tbl>
      <w:tblPr>
        <w:tblW w:w="0" w:type="auto"/>
        <w:tblInd w:w="534" w:type="dxa"/>
        <w:tblLayout w:type="fixed"/>
        <w:tblLook w:val="0000" w:firstRow="0" w:lastRow="0" w:firstColumn="0" w:lastColumn="0" w:noHBand="0" w:noVBand="0"/>
      </w:tblPr>
      <w:tblGrid>
        <w:gridCol w:w="425"/>
        <w:gridCol w:w="4678"/>
        <w:gridCol w:w="1417"/>
      </w:tblGrid>
      <w:tr>
        <w:trPr>
          <w:cantSplit/>
        </w:trPr>
        <w:tc>
          <w:tcPr>
            <w:tcW w:w="425" w:type="dxa"/>
          </w:tcPr>
          <w:p>
            <w:pPr>
              <w:pStyle w:val="yTableNAm"/>
              <w:ind w:right="-97"/>
              <w:rPr>
                <w:rStyle w:val="CharSClsNo"/>
                <w:b/>
                <w:bCs/>
                <w:szCs w:val="22"/>
              </w:rPr>
            </w:pPr>
            <w:r>
              <w:rPr>
                <w:b/>
                <w:szCs w:val="22"/>
              </w:rPr>
              <w:t>2.</w:t>
            </w:r>
          </w:p>
        </w:tc>
        <w:tc>
          <w:tcPr>
            <w:tcW w:w="6095" w:type="dxa"/>
            <w:gridSpan w:val="2"/>
          </w:tcPr>
          <w:p>
            <w:pPr>
              <w:pStyle w:val="yTableNAm"/>
              <w:tabs>
                <w:tab w:val="right" w:leader="dot" w:pos="4253"/>
              </w:tabs>
              <w:rPr>
                <w:b/>
                <w:bCs/>
                <w:spacing w:val="-1"/>
                <w:szCs w:val="22"/>
              </w:rPr>
            </w:pPr>
            <w:r>
              <w:rPr>
                <w:b/>
                <w:bCs/>
                <w:szCs w:val="22"/>
              </w:rPr>
              <w:t>Volume charge (c/kL)</w:t>
            </w:r>
          </w:p>
        </w:tc>
      </w:tr>
      <w:tr>
        <w:tc>
          <w:tcPr>
            <w:tcW w:w="425" w:type="dxa"/>
          </w:tcPr>
          <w:p>
            <w:pPr>
              <w:pStyle w:val="yTableNAm"/>
              <w:tabs>
                <w:tab w:val="clear" w:pos="567"/>
                <w:tab w:val="left" w:pos="601"/>
                <w:tab w:val="right" w:leader="dot" w:pos="4253"/>
              </w:tabs>
              <w:ind w:left="601" w:hanging="601"/>
              <w:rPr>
                <w:szCs w:val="22"/>
              </w:rPr>
            </w:pPr>
          </w:p>
        </w:tc>
        <w:tc>
          <w:tcPr>
            <w:tcW w:w="4678" w:type="dxa"/>
          </w:tcPr>
          <w:p>
            <w:pPr>
              <w:pStyle w:val="yTableNAm"/>
              <w:tabs>
                <w:tab w:val="clear" w:pos="567"/>
                <w:tab w:val="left" w:pos="459"/>
                <w:tab w:val="right" w:leader="dot" w:pos="4570"/>
              </w:tabs>
              <w:ind w:left="459" w:hanging="459"/>
              <w:rPr>
                <w:spacing w:val="-1"/>
                <w:szCs w:val="22"/>
              </w:rPr>
            </w:pPr>
            <w:r>
              <w:rPr>
                <w:szCs w:val="22"/>
              </w:rPr>
              <w:t>(1)</w:t>
            </w:r>
            <w:r>
              <w:rPr>
                <w:szCs w:val="22"/>
              </w:rPr>
              <w:tab/>
              <w:t xml:space="preserve">Metropolitan </w:t>
            </w:r>
            <w:r>
              <w:rPr>
                <w:szCs w:val="22"/>
              </w:rPr>
              <w:tab/>
            </w:r>
          </w:p>
        </w:tc>
        <w:tc>
          <w:tcPr>
            <w:tcW w:w="1417" w:type="dxa"/>
          </w:tcPr>
          <w:p>
            <w:pPr>
              <w:pStyle w:val="yTableNAm"/>
              <w:tabs>
                <w:tab w:val="right" w:leader="dot" w:pos="4253"/>
              </w:tabs>
              <w:rPr>
                <w:spacing w:val="-2"/>
                <w:szCs w:val="22"/>
              </w:rPr>
            </w:pPr>
            <w:r>
              <w:rPr>
                <w:spacing w:val="-2"/>
                <w:szCs w:val="22"/>
              </w:rPr>
              <w:t>204.1 cents</w:t>
            </w:r>
          </w:p>
        </w:tc>
      </w:tr>
      <w:tr>
        <w:tc>
          <w:tcPr>
            <w:tcW w:w="425" w:type="dxa"/>
          </w:tcPr>
          <w:p>
            <w:pPr>
              <w:pStyle w:val="yTableNAm"/>
              <w:keepNext/>
              <w:tabs>
                <w:tab w:val="clear" w:pos="567"/>
                <w:tab w:val="left" w:pos="601"/>
                <w:tab w:val="right" w:leader="dot" w:pos="4253"/>
              </w:tabs>
              <w:ind w:left="601" w:hanging="601"/>
              <w:rPr>
                <w:szCs w:val="22"/>
              </w:rPr>
            </w:pPr>
          </w:p>
        </w:tc>
        <w:tc>
          <w:tcPr>
            <w:tcW w:w="4678" w:type="dxa"/>
          </w:tcPr>
          <w:p>
            <w:pPr>
              <w:pStyle w:val="yTableNAm"/>
              <w:keepNext/>
              <w:tabs>
                <w:tab w:val="clear" w:pos="567"/>
                <w:tab w:val="left" w:pos="459"/>
                <w:tab w:val="right" w:leader="dot" w:pos="4253"/>
                <w:tab w:val="right" w:leader="dot" w:pos="4536"/>
              </w:tabs>
              <w:ind w:left="459" w:hanging="459"/>
              <w:rPr>
                <w:szCs w:val="22"/>
              </w:rPr>
            </w:pPr>
            <w:r>
              <w:rPr>
                <w:szCs w:val="22"/>
              </w:rPr>
              <w:t>(2)</w:t>
            </w:r>
            <w:r>
              <w:rPr>
                <w:szCs w:val="22"/>
              </w:rPr>
              <w:tab/>
              <w:t>Country (according to the non</w:t>
            </w:r>
            <w:r>
              <w:rPr>
                <w:szCs w:val="22"/>
              </w:rPr>
              <w:noBreakHyphen/>
              <w:t>residential classification of the town/area in which that property is situated, as set out in Schedule 10) —</w:t>
            </w:r>
          </w:p>
        </w:tc>
        <w:tc>
          <w:tcPr>
            <w:tcW w:w="1417" w:type="dxa"/>
          </w:tcPr>
          <w:p>
            <w:pPr>
              <w:pStyle w:val="yTableNAm"/>
              <w:keepNext/>
              <w:tabs>
                <w:tab w:val="right" w:leader="dot" w:pos="4253"/>
              </w:tabs>
              <w:rPr>
                <w:szCs w:val="22"/>
              </w:rPr>
            </w:pPr>
          </w:p>
        </w:tc>
      </w:tr>
    </w:tbl>
    <w:p>
      <w:pPr>
        <w:pStyle w:val="yMiscellaneousBody"/>
        <w:spacing w:before="0"/>
      </w:pPr>
    </w:p>
    <w:tbl>
      <w:tblPr>
        <w:tblW w:w="6520" w:type="dxa"/>
        <w:tblInd w:w="454" w:type="dxa"/>
        <w:tblLayout w:type="fixed"/>
        <w:tblCellMar>
          <w:left w:w="28" w:type="dxa"/>
          <w:right w:w="28" w:type="dxa"/>
        </w:tblCellMar>
        <w:tblLook w:val="0000" w:firstRow="0" w:lastRow="0" w:firstColumn="0" w:lastColumn="0" w:noHBand="0" w:noVBand="0"/>
      </w:tblPr>
      <w:tblGrid>
        <w:gridCol w:w="2409"/>
        <w:gridCol w:w="2055"/>
        <w:gridCol w:w="2056"/>
      </w:tblGrid>
      <w:tr>
        <w:trPr>
          <w:cantSplit/>
          <w:trHeight w:val="217"/>
          <w:tblHeader/>
        </w:trPr>
        <w:tc>
          <w:tcPr>
            <w:tcW w:w="2409" w:type="dxa"/>
            <w:vMerge w:val="restart"/>
            <w:tcBorders>
              <w:top w:val="single" w:sz="4" w:space="0" w:color="auto"/>
            </w:tcBorders>
          </w:tcPr>
          <w:p>
            <w:pPr>
              <w:pStyle w:val="yTableNAm"/>
              <w:jc w:val="center"/>
              <w:rPr>
                <w:b/>
                <w:bCs/>
              </w:rPr>
            </w:pPr>
            <w:r>
              <w:rPr>
                <w:b/>
                <w:bCs/>
              </w:rPr>
              <w:t>Class</w:t>
            </w:r>
          </w:p>
        </w:tc>
        <w:tc>
          <w:tcPr>
            <w:tcW w:w="4111" w:type="dxa"/>
            <w:gridSpan w:val="2"/>
            <w:tcBorders>
              <w:top w:val="single" w:sz="4" w:space="0" w:color="auto"/>
            </w:tcBorders>
          </w:tcPr>
          <w:p>
            <w:pPr>
              <w:pStyle w:val="yTableNAm"/>
              <w:jc w:val="center"/>
              <w:rPr>
                <w:b/>
                <w:bCs/>
              </w:rPr>
            </w:pPr>
            <w:r>
              <w:rPr>
                <w:b/>
                <w:bCs/>
              </w:rPr>
              <w:t>Consumption (kL)</w:t>
            </w:r>
          </w:p>
        </w:tc>
      </w:tr>
      <w:tr>
        <w:trPr>
          <w:cantSplit/>
          <w:trHeight w:val="217"/>
          <w:tblHeader/>
        </w:trPr>
        <w:tc>
          <w:tcPr>
            <w:tcW w:w="2409" w:type="dxa"/>
            <w:vMerge/>
            <w:tcBorders>
              <w:bottom w:val="single" w:sz="4" w:space="0" w:color="auto"/>
            </w:tcBorders>
          </w:tcPr>
          <w:p>
            <w:pPr>
              <w:pStyle w:val="yTableNAm"/>
              <w:rPr>
                <w:b/>
                <w:bCs/>
              </w:rPr>
            </w:pPr>
          </w:p>
        </w:tc>
        <w:tc>
          <w:tcPr>
            <w:tcW w:w="2055" w:type="dxa"/>
            <w:tcBorders>
              <w:bottom w:val="single" w:sz="4" w:space="0" w:color="auto"/>
            </w:tcBorders>
          </w:tcPr>
          <w:p>
            <w:pPr>
              <w:pStyle w:val="yTableNAm"/>
              <w:jc w:val="center"/>
              <w:rPr>
                <w:b/>
                <w:bCs/>
              </w:rPr>
            </w:pPr>
            <w:r>
              <w:rPr>
                <w:b/>
                <w:bCs/>
              </w:rPr>
              <w:t>Up to 300</w:t>
            </w:r>
          </w:p>
        </w:tc>
        <w:tc>
          <w:tcPr>
            <w:tcW w:w="2056" w:type="dxa"/>
            <w:tcBorders>
              <w:bottom w:val="single" w:sz="4" w:space="0" w:color="auto"/>
            </w:tcBorders>
          </w:tcPr>
          <w:p>
            <w:pPr>
              <w:pStyle w:val="yTableNAm"/>
              <w:jc w:val="center"/>
              <w:rPr>
                <w:b/>
                <w:bCs/>
              </w:rPr>
            </w:pPr>
            <w:r>
              <w:rPr>
                <w:b/>
                <w:bCs/>
              </w:rPr>
              <w:t>Over 300</w:t>
            </w:r>
          </w:p>
        </w:tc>
      </w:tr>
      <w:tr>
        <w:tc>
          <w:tcPr>
            <w:tcW w:w="2409" w:type="dxa"/>
            <w:tcBorders>
              <w:top w:val="single" w:sz="4" w:space="0" w:color="auto"/>
            </w:tcBorders>
          </w:tcPr>
          <w:p>
            <w:pPr>
              <w:pStyle w:val="yTableNAm"/>
            </w:pPr>
            <w:r>
              <w:t>Class 1 (c/kL)</w:t>
            </w:r>
          </w:p>
        </w:tc>
        <w:tc>
          <w:tcPr>
            <w:tcW w:w="2055" w:type="dxa"/>
            <w:tcBorders>
              <w:top w:val="single" w:sz="4" w:space="0" w:color="auto"/>
            </w:tcBorders>
            <w:vAlign w:val="bottom"/>
          </w:tcPr>
          <w:p>
            <w:pPr>
              <w:pStyle w:val="yTableNAm"/>
              <w:jc w:val="center"/>
            </w:pPr>
            <w:r>
              <w:t>174.7</w:t>
            </w:r>
          </w:p>
        </w:tc>
        <w:tc>
          <w:tcPr>
            <w:tcW w:w="2056" w:type="dxa"/>
            <w:tcBorders>
              <w:top w:val="single" w:sz="4" w:space="0" w:color="auto"/>
            </w:tcBorders>
            <w:vAlign w:val="bottom"/>
          </w:tcPr>
          <w:p>
            <w:pPr>
              <w:pStyle w:val="yTableNAm"/>
              <w:jc w:val="center"/>
            </w:pPr>
            <w:r>
              <w:t>192.6</w:t>
            </w:r>
          </w:p>
        </w:tc>
      </w:tr>
      <w:tr>
        <w:tc>
          <w:tcPr>
            <w:tcW w:w="2409" w:type="dxa"/>
          </w:tcPr>
          <w:p>
            <w:pPr>
              <w:pStyle w:val="yTableNAm"/>
            </w:pPr>
            <w:r>
              <w:t>Class 2 (c/kL)</w:t>
            </w:r>
          </w:p>
        </w:tc>
        <w:tc>
          <w:tcPr>
            <w:tcW w:w="2055" w:type="dxa"/>
            <w:vAlign w:val="bottom"/>
          </w:tcPr>
          <w:p>
            <w:pPr>
              <w:pStyle w:val="yTableNAm"/>
              <w:jc w:val="center"/>
            </w:pPr>
            <w:r>
              <w:t>191.6</w:t>
            </w:r>
          </w:p>
        </w:tc>
        <w:tc>
          <w:tcPr>
            <w:tcW w:w="2056" w:type="dxa"/>
            <w:vAlign w:val="bottom"/>
          </w:tcPr>
          <w:p>
            <w:pPr>
              <w:pStyle w:val="yTableNAm"/>
              <w:jc w:val="center"/>
            </w:pPr>
            <w:r>
              <w:t>209.8</w:t>
            </w:r>
          </w:p>
        </w:tc>
      </w:tr>
      <w:tr>
        <w:tc>
          <w:tcPr>
            <w:tcW w:w="2409" w:type="dxa"/>
          </w:tcPr>
          <w:p>
            <w:pPr>
              <w:pStyle w:val="yTableNAm"/>
            </w:pPr>
            <w:r>
              <w:t>Class 3 (c/kL)</w:t>
            </w:r>
          </w:p>
        </w:tc>
        <w:tc>
          <w:tcPr>
            <w:tcW w:w="2055" w:type="dxa"/>
            <w:vAlign w:val="bottom"/>
          </w:tcPr>
          <w:p>
            <w:pPr>
              <w:pStyle w:val="yTableNAm"/>
              <w:jc w:val="center"/>
            </w:pPr>
            <w:r>
              <w:t>209.8</w:t>
            </w:r>
          </w:p>
        </w:tc>
        <w:tc>
          <w:tcPr>
            <w:tcW w:w="2056" w:type="dxa"/>
            <w:vAlign w:val="bottom"/>
          </w:tcPr>
          <w:p>
            <w:pPr>
              <w:pStyle w:val="yTableNAm"/>
              <w:jc w:val="center"/>
            </w:pPr>
            <w:r>
              <w:t>228.2</w:t>
            </w:r>
          </w:p>
        </w:tc>
      </w:tr>
      <w:tr>
        <w:tc>
          <w:tcPr>
            <w:tcW w:w="2409" w:type="dxa"/>
          </w:tcPr>
          <w:p>
            <w:pPr>
              <w:pStyle w:val="yTableNAm"/>
            </w:pPr>
            <w:r>
              <w:t>Class 4 (c/kL)</w:t>
            </w:r>
          </w:p>
        </w:tc>
        <w:tc>
          <w:tcPr>
            <w:tcW w:w="2055" w:type="dxa"/>
            <w:vAlign w:val="bottom"/>
          </w:tcPr>
          <w:p>
            <w:pPr>
              <w:pStyle w:val="yTableNAm"/>
              <w:jc w:val="center"/>
            </w:pPr>
            <w:r>
              <w:t>230.0</w:t>
            </w:r>
          </w:p>
        </w:tc>
        <w:tc>
          <w:tcPr>
            <w:tcW w:w="2056" w:type="dxa"/>
            <w:vAlign w:val="bottom"/>
          </w:tcPr>
          <w:p>
            <w:pPr>
              <w:pStyle w:val="yTableNAm"/>
              <w:jc w:val="center"/>
            </w:pPr>
            <w:r>
              <w:t>248.6</w:t>
            </w:r>
          </w:p>
        </w:tc>
      </w:tr>
      <w:tr>
        <w:tc>
          <w:tcPr>
            <w:tcW w:w="2409" w:type="dxa"/>
          </w:tcPr>
          <w:p>
            <w:pPr>
              <w:pStyle w:val="yTableNAm"/>
            </w:pPr>
            <w:r>
              <w:t>Class 5 (c/kL)</w:t>
            </w:r>
          </w:p>
        </w:tc>
        <w:tc>
          <w:tcPr>
            <w:tcW w:w="2055" w:type="dxa"/>
            <w:vAlign w:val="bottom"/>
          </w:tcPr>
          <w:p>
            <w:pPr>
              <w:pStyle w:val="yTableNAm"/>
              <w:jc w:val="center"/>
            </w:pPr>
            <w:r>
              <w:t>252.2</w:t>
            </w:r>
          </w:p>
        </w:tc>
        <w:tc>
          <w:tcPr>
            <w:tcW w:w="2056" w:type="dxa"/>
            <w:vAlign w:val="bottom"/>
          </w:tcPr>
          <w:p>
            <w:pPr>
              <w:pStyle w:val="yTableNAm"/>
              <w:jc w:val="center"/>
            </w:pPr>
            <w:r>
              <w:t>270.7</w:t>
            </w:r>
          </w:p>
        </w:tc>
      </w:tr>
      <w:tr>
        <w:tc>
          <w:tcPr>
            <w:tcW w:w="2409" w:type="dxa"/>
          </w:tcPr>
          <w:p>
            <w:pPr>
              <w:pStyle w:val="yTableNAm"/>
            </w:pPr>
            <w:r>
              <w:t>Class 6 (c/kL)</w:t>
            </w:r>
          </w:p>
        </w:tc>
        <w:tc>
          <w:tcPr>
            <w:tcW w:w="2055" w:type="dxa"/>
            <w:vAlign w:val="bottom"/>
          </w:tcPr>
          <w:p>
            <w:pPr>
              <w:pStyle w:val="yTableNAm"/>
              <w:jc w:val="center"/>
            </w:pPr>
            <w:r>
              <w:t>274.4</w:t>
            </w:r>
          </w:p>
        </w:tc>
        <w:tc>
          <w:tcPr>
            <w:tcW w:w="2056" w:type="dxa"/>
            <w:vAlign w:val="bottom"/>
          </w:tcPr>
          <w:p>
            <w:pPr>
              <w:pStyle w:val="yTableNAm"/>
              <w:jc w:val="center"/>
            </w:pPr>
            <w:r>
              <w:t>294.8</w:t>
            </w:r>
          </w:p>
        </w:tc>
      </w:tr>
      <w:tr>
        <w:tc>
          <w:tcPr>
            <w:tcW w:w="2409" w:type="dxa"/>
          </w:tcPr>
          <w:p>
            <w:pPr>
              <w:pStyle w:val="yTableNAm"/>
            </w:pPr>
            <w:r>
              <w:t>Class 7 (c/kL)</w:t>
            </w:r>
          </w:p>
        </w:tc>
        <w:tc>
          <w:tcPr>
            <w:tcW w:w="2055" w:type="dxa"/>
            <w:vAlign w:val="bottom"/>
          </w:tcPr>
          <w:p>
            <w:pPr>
              <w:pStyle w:val="yTableNAm"/>
              <w:jc w:val="center"/>
            </w:pPr>
            <w:r>
              <w:t>298.6</w:t>
            </w:r>
          </w:p>
        </w:tc>
        <w:tc>
          <w:tcPr>
            <w:tcW w:w="2056" w:type="dxa"/>
            <w:vAlign w:val="bottom"/>
          </w:tcPr>
          <w:p>
            <w:pPr>
              <w:pStyle w:val="yTableNAm"/>
              <w:jc w:val="center"/>
            </w:pPr>
            <w:r>
              <w:t>321.1</w:t>
            </w:r>
          </w:p>
        </w:tc>
      </w:tr>
      <w:tr>
        <w:tc>
          <w:tcPr>
            <w:tcW w:w="2409" w:type="dxa"/>
          </w:tcPr>
          <w:p>
            <w:pPr>
              <w:pStyle w:val="yTableNAm"/>
            </w:pPr>
            <w:r>
              <w:t>Class 8 (c/kL)</w:t>
            </w:r>
          </w:p>
        </w:tc>
        <w:tc>
          <w:tcPr>
            <w:tcW w:w="2055" w:type="dxa"/>
            <w:vAlign w:val="bottom"/>
          </w:tcPr>
          <w:p>
            <w:pPr>
              <w:pStyle w:val="yTableNAm"/>
              <w:jc w:val="center"/>
            </w:pPr>
            <w:r>
              <w:t>324.2</w:t>
            </w:r>
          </w:p>
        </w:tc>
        <w:tc>
          <w:tcPr>
            <w:tcW w:w="2056" w:type="dxa"/>
            <w:vAlign w:val="bottom"/>
          </w:tcPr>
          <w:p>
            <w:pPr>
              <w:pStyle w:val="yTableNAm"/>
              <w:jc w:val="center"/>
            </w:pPr>
            <w:r>
              <w:t>349.6</w:t>
            </w:r>
          </w:p>
        </w:tc>
      </w:tr>
      <w:tr>
        <w:tc>
          <w:tcPr>
            <w:tcW w:w="2409" w:type="dxa"/>
          </w:tcPr>
          <w:p>
            <w:pPr>
              <w:pStyle w:val="yTableNAm"/>
            </w:pPr>
            <w:r>
              <w:t>Class 9 (c/kL)</w:t>
            </w:r>
          </w:p>
        </w:tc>
        <w:tc>
          <w:tcPr>
            <w:tcW w:w="2055" w:type="dxa"/>
            <w:vAlign w:val="bottom"/>
          </w:tcPr>
          <w:p>
            <w:pPr>
              <w:pStyle w:val="yTableNAm"/>
              <w:jc w:val="center"/>
            </w:pPr>
            <w:r>
              <w:t>352.0</w:t>
            </w:r>
          </w:p>
        </w:tc>
        <w:tc>
          <w:tcPr>
            <w:tcW w:w="2056" w:type="dxa"/>
            <w:vAlign w:val="bottom"/>
          </w:tcPr>
          <w:p>
            <w:pPr>
              <w:pStyle w:val="yTableNAm"/>
              <w:jc w:val="center"/>
            </w:pPr>
            <w:r>
              <w:t>380.7</w:t>
            </w:r>
          </w:p>
        </w:tc>
      </w:tr>
      <w:tr>
        <w:tc>
          <w:tcPr>
            <w:tcW w:w="2409" w:type="dxa"/>
          </w:tcPr>
          <w:p>
            <w:pPr>
              <w:pStyle w:val="yTableNAm"/>
            </w:pPr>
            <w:r>
              <w:t>Class 10 (c/kL)</w:t>
            </w:r>
          </w:p>
        </w:tc>
        <w:tc>
          <w:tcPr>
            <w:tcW w:w="2055" w:type="dxa"/>
            <w:vAlign w:val="bottom"/>
          </w:tcPr>
          <w:p>
            <w:pPr>
              <w:pStyle w:val="yTableNAm"/>
              <w:jc w:val="center"/>
            </w:pPr>
            <w:r>
              <w:t>379.0</w:t>
            </w:r>
          </w:p>
        </w:tc>
        <w:tc>
          <w:tcPr>
            <w:tcW w:w="2056" w:type="dxa"/>
            <w:vAlign w:val="bottom"/>
          </w:tcPr>
          <w:p>
            <w:pPr>
              <w:pStyle w:val="yTableNAm"/>
              <w:jc w:val="center"/>
            </w:pPr>
            <w:r>
              <w:t>414.6</w:t>
            </w:r>
          </w:p>
        </w:tc>
      </w:tr>
      <w:tr>
        <w:tc>
          <w:tcPr>
            <w:tcW w:w="2409" w:type="dxa"/>
          </w:tcPr>
          <w:p>
            <w:pPr>
              <w:pStyle w:val="yTableNAm"/>
            </w:pPr>
            <w:r>
              <w:t>Class 11 (c/kL)</w:t>
            </w:r>
          </w:p>
        </w:tc>
        <w:tc>
          <w:tcPr>
            <w:tcW w:w="2055" w:type="dxa"/>
            <w:vAlign w:val="bottom"/>
          </w:tcPr>
          <w:p>
            <w:pPr>
              <w:pStyle w:val="yTableNAm"/>
              <w:jc w:val="center"/>
            </w:pPr>
            <w:r>
              <w:t>413.5</w:t>
            </w:r>
          </w:p>
        </w:tc>
        <w:tc>
          <w:tcPr>
            <w:tcW w:w="2056" w:type="dxa"/>
            <w:vAlign w:val="bottom"/>
          </w:tcPr>
          <w:p>
            <w:pPr>
              <w:pStyle w:val="yTableNAm"/>
              <w:jc w:val="center"/>
            </w:pPr>
            <w:r>
              <w:t>451.4</w:t>
            </w:r>
          </w:p>
        </w:tc>
      </w:tr>
      <w:tr>
        <w:tc>
          <w:tcPr>
            <w:tcW w:w="2409" w:type="dxa"/>
          </w:tcPr>
          <w:p>
            <w:pPr>
              <w:pStyle w:val="yTableNAm"/>
            </w:pPr>
            <w:r>
              <w:t>Class 12 (c/kL)</w:t>
            </w:r>
          </w:p>
        </w:tc>
        <w:tc>
          <w:tcPr>
            <w:tcW w:w="2055" w:type="dxa"/>
            <w:vAlign w:val="bottom"/>
          </w:tcPr>
          <w:p>
            <w:pPr>
              <w:pStyle w:val="yTableNAm"/>
              <w:jc w:val="center"/>
            </w:pPr>
            <w:r>
              <w:t>451.3</w:t>
            </w:r>
          </w:p>
        </w:tc>
        <w:tc>
          <w:tcPr>
            <w:tcW w:w="2056" w:type="dxa"/>
            <w:vAlign w:val="bottom"/>
          </w:tcPr>
          <w:p>
            <w:pPr>
              <w:pStyle w:val="yTableNAm"/>
              <w:jc w:val="center"/>
            </w:pPr>
            <w:r>
              <w:t>491.6</w:t>
            </w:r>
          </w:p>
        </w:tc>
      </w:tr>
      <w:tr>
        <w:tc>
          <w:tcPr>
            <w:tcW w:w="2409" w:type="dxa"/>
          </w:tcPr>
          <w:p>
            <w:pPr>
              <w:pStyle w:val="yTableNAm"/>
            </w:pPr>
            <w:r>
              <w:t>Class 13 (c/kL)</w:t>
            </w:r>
          </w:p>
        </w:tc>
        <w:tc>
          <w:tcPr>
            <w:tcW w:w="2055" w:type="dxa"/>
            <w:vAlign w:val="bottom"/>
          </w:tcPr>
          <w:p>
            <w:pPr>
              <w:pStyle w:val="yTableNAm"/>
              <w:jc w:val="center"/>
            </w:pPr>
            <w:r>
              <w:t>492.4</w:t>
            </w:r>
          </w:p>
        </w:tc>
        <w:tc>
          <w:tcPr>
            <w:tcW w:w="2056" w:type="dxa"/>
            <w:vAlign w:val="bottom"/>
          </w:tcPr>
          <w:p>
            <w:pPr>
              <w:pStyle w:val="yTableNAm"/>
              <w:jc w:val="center"/>
            </w:pPr>
            <w:r>
              <w:t>535.3</w:t>
            </w:r>
          </w:p>
        </w:tc>
      </w:tr>
      <w:tr>
        <w:tc>
          <w:tcPr>
            <w:tcW w:w="2409" w:type="dxa"/>
          </w:tcPr>
          <w:p>
            <w:pPr>
              <w:pStyle w:val="yTableNAm"/>
            </w:pPr>
            <w:r>
              <w:t>Class 14 (c/kL)</w:t>
            </w:r>
          </w:p>
        </w:tc>
        <w:tc>
          <w:tcPr>
            <w:tcW w:w="2055" w:type="dxa"/>
            <w:vAlign w:val="bottom"/>
          </w:tcPr>
          <w:p>
            <w:pPr>
              <w:pStyle w:val="yTableNAm"/>
              <w:jc w:val="center"/>
            </w:pPr>
            <w:r>
              <w:t>537.3</w:t>
            </w:r>
          </w:p>
        </w:tc>
        <w:tc>
          <w:tcPr>
            <w:tcW w:w="2056" w:type="dxa"/>
            <w:vAlign w:val="bottom"/>
          </w:tcPr>
          <w:p>
            <w:pPr>
              <w:pStyle w:val="yTableNAm"/>
              <w:jc w:val="center"/>
            </w:pPr>
            <w:r>
              <w:t>582.9</w:t>
            </w:r>
          </w:p>
        </w:tc>
      </w:tr>
      <w:tr>
        <w:tc>
          <w:tcPr>
            <w:tcW w:w="2409" w:type="dxa"/>
            <w:tcBorders>
              <w:bottom w:val="single" w:sz="4" w:space="0" w:color="auto"/>
            </w:tcBorders>
          </w:tcPr>
          <w:p>
            <w:pPr>
              <w:pStyle w:val="yTableNAm"/>
            </w:pPr>
            <w:r>
              <w:t>Class 15 (c/kL)</w:t>
            </w:r>
          </w:p>
        </w:tc>
        <w:tc>
          <w:tcPr>
            <w:tcW w:w="2055" w:type="dxa"/>
            <w:tcBorders>
              <w:bottom w:val="single" w:sz="4" w:space="0" w:color="auto"/>
            </w:tcBorders>
            <w:vAlign w:val="bottom"/>
          </w:tcPr>
          <w:p>
            <w:pPr>
              <w:pStyle w:val="yTableNAm"/>
              <w:jc w:val="center"/>
            </w:pPr>
            <w:r>
              <w:t>586.2</w:t>
            </w:r>
          </w:p>
        </w:tc>
        <w:tc>
          <w:tcPr>
            <w:tcW w:w="2056" w:type="dxa"/>
            <w:tcBorders>
              <w:bottom w:val="single" w:sz="4" w:space="0" w:color="auto"/>
            </w:tcBorders>
            <w:vAlign w:val="bottom"/>
          </w:tcPr>
          <w:p>
            <w:pPr>
              <w:pStyle w:val="yTableNAm"/>
              <w:jc w:val="center"/>
            </w:pPr>
            <w:r>
              <w:t>634.7</w:t>
            </w:r>
          </w:p>
        </w:tc>
      </w:tr>
    </w:tbl>
    <w:p>
      <w:pPr>
        <w:pStyle w:val="yFootnotesection"/>
      </w:pPr>
      <w:r>
        <w:tab/>
        <w:t>[Schedule 8 inserted in Gazette 20 Jun 2012 p. 2753</w:t>
      </w:r>
      <w:r>
        <w:noBreakHyphen/>
        <w:t>4.]</w:t>
      </w:r>
    </w:p>
    <w:bookmarkEnd w:id="850"/>
    <w:bookmarkEnd w:id="851"/>
    <w:p>
      <w:pPr>
        <w:tabs>
          <w:tab w:val="left" w:pos="416"/>
          <w:tab w:val="left" w:pos="697"/>
          <w:tab w:val="left" w:pos="776"/>
          <w:tab w:val="left" w:pos="840"/>
          <w:tab w:val="left" w:pos="896"/>
          <w:tab w:val="left" w:pos="1016"/>
          <w:tab w:val="left" w:pos="1057"/>
          <w:tab w:val="decimal" w:pos="1172"/>
          <w:tab w:val="right" w:pos="1212"/>
          <w:tab w:val="left" w:pos="1452"/>
          <w:tab w:val="left" w:pos="1856"/>
          <w:tab w:val="left" w:leader="dot" w:pos="4212"/>
          <w:tab w:val="right" w:leader="dot" w:pos="4253"/>
          <w:tab w:val="left" w:leader="dot" w:pos="4584"/>
          <w:tab w:val="left" w:pos="5387"/>
        </w:tabs>
        <w:spacing w:before="180"/>
        <w:ind w:left="896" w:right="116" w:hanging="896"/>
        <w:rPr>
          <w:b/>
          <w:bCs/>
        </w:rPr>
        <w:sectPr>
          <w:headerReference w:type="even" r:id="rId25"/>
          <w:pgSz w:w="11907" w:h="16840" w:code="9"/>
          <w:pgMar w:top="2604" w:right="2405" w:bottom="3542" w:left="2405" w:header="706" w:footer="3380" w:gutter="0"/>
          <w:cols w:space="720"/>
          <w:noEndnote/>
          <w:docGrid w:linePitch="326"/>
        </w:sectPr>
      </w:pPr>
    </w:p>
    <w:p>
      <w:pPr>
        <w:pStyle w:val="yScheduleHeading"/>
      </w:pPr>
      <w:bookmarkStart w:id="852" w:name="_Toc84428019"/>
      <w:bookmarkStart w:id="853" w:name="_Toc328471513"/>
      <w:bookmarkStart w:id="854" w:name="_Toc265743692"/>
      <w:bookmarkStart w:id="855" w:name="_Toc297540809"/>
      <w:bookmarkStart w:id="856" w:name="_Toc297541237"/>
      <w:bookmarkEnd w:id="839"/>
      <w:bookmarkEnd w:id="840"/>
      <w:bookmarkEnd w:id="841"/>
      <w:bookmarkEnd w:id="842"/>
      <w:bookmarkEnd w:id="843"/>
      <w:bookmarkEnd w:id="844"/>
      <w:r>
        <w:rPr>
          <w:rStyle w:val="CharSchNo"/>
        </w:rPr>
        <w:t>Schedule 9</w:t>
      </w:r>
      <w:r>
        <w:rPr>
          <w:rStyle w:val="CharSDivNo"/>
        </w:rPr>
        <w:t> </w:t>
      </w:r>
      <w:r>
        <w:t>—</w:t>
      </w:r>
      <w:r>
        <w:rPr>
          <w:rStyle w:val="CharSDivText"/>
        </w:rPr>
        <w:t> </w:t>
      </w:r>
      <w:r>
        <w:rPr>
          <w:rStyle w:val="CharSchText"/>
        </w:rPr>
        <w:t>Classification of towns/areas for the purpose of determining quantity charges in the previous year</w:t>
      </w:r>
      <w:bookmarkEnd w:id="852"/>
      <w:bookmarkEnd w:id="853"/>
    </w:p>
    <w:p>
      <w:pPr>
        <w:pStyle w:val="yShoulderClause"/>
      </w:pPr>
      <w:r>
        <w:t>[bl. 17D(3)]</w:t>
      </w:r>
    </w:p>
    <w:p>
      <w:pPr>
        <w:pStyle w:val="yFootnoteheading"/>
        <w:spacing w:after="60"/>
      </w:pPr>
      <w:r>
        <w:tab/>
        <w:t>[Heading inserted in Gazette 20 Jun 2012 p. 2755.]</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20"/>
        <w:gridCol w:w="1800"/>
        <w:gridCol w:w="1800"/>
      </w:tblGrid>
      <w:tr>
        <w:trPr>
          <w:tblHeader/>
        </w:trPr>
        <w:tc>
          <w:tcPr>
            <w:tcW w:w="2920" w:type="dxa"/>
            <w:tcBorders>
              <w:top w:val="single" w:sz="4" w:space="0" w:color="auto"/>
              <w:left w:val="nil"/>
              <w:bottom w:val="single" w:sz="4" w:space="0" w:color="auto"/>
              <w:right w:val="nil"/>
            </w:tcBorders>
          </w:tcPr>
          <w:p>
            <w:pPr>
              <w:pStyle w:val="yTableNAm"/>
              <w:jc w:val="center"/>
              <w:rPr>
                <w:b/>
                <w:bCs/>
              </w:rPr>
            </w:pPr>
            <w:r>
              <w:rPr>
                <w:b/>
                <w:bCs/>
              </w:rPr>
              <w:t>Town/area</w:t>
            </w:r>
          </w:p>
        </w:tc>
        <w:tc>
          <w:tcPr>
            <w:tcW w:w="1800" w:type="dxa"/>
            <w:tcBorders>
              <w:top w:val="single" w:sz="4" w:space="0" w:color="auto"/>
              <w:left w:val="nil"/>
              <w:bottom w:val="single" w:sz="4" w:space="0" w:color="auto"/>
              <w:right w:val="nil"/>
            </w:tcBorders>
          </w:tcPr>
          <w:p>
            <w:pPr>
              <w:pStyle w:val="yTableNAm"/>
              <w:jc w:val="center"/>
              <w:rPr>
                <w:b/>
                <w:bCs/>
              </w:rPr>
            </w:pPr>
            <w:r>
              <w:rPr>
                <w:b/>
                <w:bCs/>
              </w:rPr>
              <w:t>Residential classification</w:t>
            </w:r>
          </w:p>
        </w:tc>
        <w:tc>
          <w:tcPr>
            <w:tcW w:w="1800" w:type="dxa"/>
            <w:tcBorders>
              <w:top w:val="single" w:sz="4" w:space="0" w:color="auto"/>
              <w:left w:val="nil"/>
              <w:bottom w:val="single" w:sz="4" w:space="0" w:color="auto"/>
              <w:right w:val="nil"/>
            </w:tcBorders>
          </w:tcPr>
          <w:p>
            <w:pPr>
              <w:pStyle w:val="yTableNAm"/>
              <w:jc w:val="center"/>
              <w:rPr>
                <w:b/>
                <w:bCs/>
              </w:rPr>
            </w:pPr>
            <w:r>
              <w:rPr>
                <w:b/>
                <w:bCs/>
              </w:rPr>
              <w:t>Non</w:t>
            </w:r>
            <w:r>
              <w:rPr>
                <w:b/>
                <w:bCs/>
              </w:rPr>
              <w:noBreakHyphen/>
              <w:t>residential classification</w:t>
            </w:r>
          </w:p>
        </w:tc>
      </w:tr>
      <w:tr>
        <w:tc>
          <w:tcPr>
            <w:tcW w:w="2920" w:type="dxa"/>
            <w:tcBorders>
              <w:top w:val="single" w:sz="4" w:space="0" w:color="auto"/>
              <w:left w:val="nil"/>
              <w:bottom w:val="nil"/>
              <w:right w:val="nil"/>
            </w:tcBorders>
            <w:vAlign w:val="center"/>
          </w:tcPr>
          <w:p>
            <w:pPr>
              <w:pStyle w:val="yTableNAm"/>
              <w:rPr>
                <w:szCs w:val="22"/>
              </w:rPr>
            </w:pPr>
            <w:r>
              <w:rPr>
                <w:szCs w:val="22"/>
              </w:rPr>
              <w:t>Albany</w:t>
            </w:r>
          </w:p>
        </w:tc>
        <w:tc>
          <w:tcPr>
            <w:tcW w:w="1800" w:type="dxa"/>
            <w:tcBorders>
              <w:top w:val="single" w:sz="4" w:space="0" w:color="auto"/>
              <w:left w:val="nil"/>
              <w:bottom w:val="nil"/>
              <w:right w:val="nil"/>
            </w:tcBorders>
            <w:vAlign w:val="bottom"/>
          </w:tcPr>
          <w:p>
            <w:pPr>
              <w:pStyle w:val="yTableNAm"/>
              <w:jc w:val="center"/>
              <w:rPr>
                <w:szCs w:val="22"/>
              </w:rPr>
            </w:pPr>
            <w:r>
              <w:rPr>
                <w:szCs w:val="22"/>
              </w:rPr>
              <w:t>3</w:t>
            </w:r>
          </w:p>
        </w:tc>
        <w:tc>
          <w:tcPr>
            <w:tcW w:w="1800" w:type="dxa"/>
            <w:tcBorders>
              <w:top w:val="single" w:sz="4" w:space="0" w:color="auto"/>
              <w:left w:val="nil"/>
              <w:bottom w:val="nil"/>
              <w:right w:val="nil"/>
            </w:tcBorders>
            <w:vAlign w:val="bottom"/>
          </w:tcPr>
          <w:p>
            <w:pPr>
              <w:pStyle w:val="yTableNAm"/>
              <w:jc w:val="center"/>
              <w:rPr>
                <w:szCs w:val="22"/>
              </w:rPr>
            </w:pPr>
            <w:r>
              <w:rPr>
                <w:szCs w:val="22"/>
              </w:rPr>
              <w:t>5</w:t>
            </w:r>
          </w:p>
        </w:tc>
      </w:tr>
      <w:tr>
        <w:tc>
          <w:tcPr>
            <w:tcW w:w="2920" w:type="dxa"/>
            <w:tcBorders>
              <w:top w:val="nil"/>
              <w:left w:val="nil"/>
              <w:bottom w:val="nil"/>
              <w:right w:val="nil"/>
            </w:tcBorders>
            <w:vAlign w:val="center"/>
          </w:tcPr>
          <w:p>
            <w:pPr>
              <w:pStyle w:val="yTableNAm"/>
              <w:rPr>
                <w:szCs w:val="22"/>
              </w:rPr>
            </w:pPr>
            <w:r>
              <w:rPr>
                <w:szCs w:val="22"/>
              </w:rPr>
              <w:t>Albany Farmlands</w:t>
            </w:r>
          </w:p>
        </w:tc>
        <w:tc>
          <w:tcPr>
            <w:tcW w:w="1800" w:type="dxa"/>
            <w:tcBorders>
              <w:top w:val="nil"/>
              <w:left w:val="nil"/>
              <w:bottom w:val="nil"/>
              <w:right w:val="nil"/>
            </w:tcBorders>
            <w:vAlign w:val="bottom"/>
          </w:tcPr>
          <w:p>
            <w:pPr>
              <w:pStyle w:val="yTableNAm"/>
              <w:jc w:val="center"/>
              <w:rPr>
                <w:szCs w:val="22"/>
              </w:rPr>
            </w:pPr>
            <w:r>
              <w:rPr>
                <w:szCs w:val="22"/>
              </w:rPr>
              <w:t>3</w:t>
            </w:r>
          </w:p>
        </w:tc>
        <w:tc>
          <w:tcPr>
            <w:tcW w:w="1800" w:type="dxa"/>
            <w:tcBorders>
              <w:top w:val="nil"/>
              <w:left w:val="nil"/>
              <w:bottom w:val="nil"/>
              <w:right w:val="nil"/>
            </w:tcBorders>
            <w:vAlign w:val="bottom"/>
          </w:tcPr>
          <w:p>
            <w:pPr>
              <w:pStyle w:val="yTableNAm"/>
              <w:jc w:val="center"/>
              <w:rPr>
                <w:szCs w:val="22"/>
              </w:rPr>
            </w:pPr>
            <w:r>
              <w:rPr>
                <w:szCs w:val="22"/>
              </w:rPr>
              <w:t>5</w:t>
            </w:r>
          </w:p>
        </w:tc>
      </w:tr>
      <w:tr>
        <w:tc>
          <w:tcPr>
            <w:tcW w:w="2920" w:type="dxa"/>
            <w:tcBorders>
              <w:top w:val="nil"/>
              <w:left w:val="nil"/>
              <w:bottom w:val="nil"/>
              <w:right w:val="nil"/>
            </w:tcBorders>
            <w:vAlign w:val="center"/>
          </w:tcPr>
          <w:p>
            <w:pPr>
              <w:pStyle w:val="yTableNAm"/>
              <w:rPr>
                <w:szCs w:val="22"/>
              </w:rPr>
            </w:pPr>
            <w:r>
              <w:rPr>
                <w:szCs w:val="22"/>
              </w:rPr>
              <w:t>Allanooka Farmlands</w:t>
            </w:r>
          </w:p>
        </w:tc>
        <w:tc>
          <w:tcPr>
            <w:tcW w:w="1800" w:type="dxa"/>
            <w:tcBorders>
              <w:top w:val="nil"/>
              <w:left w:val="nil"/>
              <w:bottom w:val="nil"/>
              <w:right w:val="nil"/>
            </w:tcBorders>
            <w:vAlign w:val="bottom"/>
          </w:tcPr>
          <w:p>
            <w:pPr>
              <w:pStyle w:val="yTableNAm"/>
              <w:jc w:val="center"/>
              <w:rPr>
                <w:szCs w:val="22"/>
              </w:rPr>
            </w:pPr>
            <w:r>
              <w:rPr>
                <w:szCs w:val="22"/>
              </w:rPr>
              <w:t>1</w:t>
            </w:r>
          </w:p>
        </w:tc>
        <w:tc>
          <w:tcPr>
            <w:tcW w:w="1800" w:type="dxa"/>
            <w:tcBorders>
              <w:top w:val="nil"/>
              <w:left w:val="nil"/>
              <w:bottom w:val="nil"/>
              <w:right w:val="nil"/>
            </w:tcBorders>
            <w:vAlign w:val="bottom"/>
          </w:tcPr>
          <w:p>
            <w:pPr>
              <w:pStyle w:val="yTableNAm"/>
              <w:jc w:val="center"/>
              <w:rPr>
                <w:szCs w:val="22"/>
              </w:rPr>
            </w:pPr>
            <w:r>
              <w:rPr>
                <w:szCs w:val="22"/>
              </w:rPr>
              <w:t>1</w:t>
            </w:r>
          </w:p>
        </w:tc>
      </w:tr>
      <w:tr>
        <w:tc>
          <w:tcPr>
            <w:tcW w:w="2920" w:type="dxa"/>
            <w:tcBorders>
              <w:top w:val="nil"/>
              <w:left w:val="nil"/>
              <w:bottom w:val="nil"/>
              <w:right w:val="nil"/>
            </w:tcBorders>
            <w:vAlign w:val="center"/>
          </w:tcPr>
          <w:p>
            <w:pPr>
              <w:pStyle w:val="yTableNAm"/>
              <w:rPr>
                <w:szCs w:val="22"/>
              </w:rPr>
            </w:pPr>
            <w:r>
              <w:rPr>
                <w:szCs w:val="22"/>
              </w:rPr>
              <w:t>Allanson</w:t>
            </w:r>
          </w:p>
        </w:tc>
        <w:tc>
          <w:tcPr>
            <w:tcW w:w="1800" w:type="dxa"/>
            <w:tcBorders>
              <w:top w:val="nil"/>
              <w:left w:val="nil"/>
              <w:bottom w:val="nil"/>
              <w:right w:val="nil"/>
            </w:tcBorders>
            <w:vAlign w:val="bottom"/>
          </w:tcPr>
          <w:p>
            <w:pPr>
              <w:pStyle w:val="yTableNAm"/>
              <w:jc w:val="center"/>
              <w:rPr>
                <w:szCs w:val="22"/>
              </w:rPr>
            </w:pPr>
            <w:r>
              <w:rPr>
                <w:szCs w:val="22"/>
              </w:rPr>
              <w:t>4</w:t>
            </w:r>
          </w:p>
        </w:tc>
        <w:tc>
          <w:tcPr>
            <w:tcW w:w="1800" w:type="dxa"/>
            <w:tcBorders>
              <w:top w:val="nil"/>
              <w:left w:val="nil"/>
              <w:bottom w:val="nil"/>
              <w:right w:val="nil"/>
            </w:tcBorders>
            <w:vAlign w:val="bottom"/>
          </w:tcPr>
          <w:p>
            <w:pPr>
              <w:pStyle w:val="yTableNAm"/>
              <w:jc w:val="center"/>
              <w:rPr>
                <w:szCs w:val="22"/>
              </w:rPr>
            </w:pPr>
            <w:r>
              <w:rPr>
                <w:szCs w:val="22"/>
              </w:rPr>
              <w:t>9</w:t>
            </w:r>
          </w:p>
        </w:tc>
      </w:tr>
      <w:tr>
        <w:tc>
          <w:tcPr>
            <w:tcW w:w="2920" w:type="dxa"/>
            <w:tcBorders>
              <w:top w:val="nil"/>
              <w:left w:val="nil"/>
              <w:bottom w:val="nil"/>
              <w:right w:val="nil"/>
            </w:tcBorders>
            <w:vAlign w:val="center"/>
          </w:tcPr>
          <w:p>
            <w:pPr>
              <w:pStyle w:val="yTableNAm"/>
              <w:rPr>
                <w:szCs w:val="22"/>
              </w:rPr>
            </w:pPr>
            <w:r>
              <w:rPr>
                <w:szCs w:val="22"/>
              </w:rPr>
              <w:t>Arrino</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14</w:t>
            </w:r>
          </w:p>
        </w:tc>
      </w:tr>
      <w:tr>
        <w:tc>
          <w:tcPr>
            <w:tcW w:w="2920" w:type="dxa"/>
            <w:tcBorders>
              <w:top w:val="nil"/>
              <w:left w:val="nil"/>
              <w:bottom w:val="nil"/>
              <w:right w:val="nil"/>
            </w:tcBorders>
            <w:vAlign w:val="center"/>
          </w:tcPr>
          <w:p>
            <w:pPr>
              <w:pStyle w:val="yTableNAm"/>
              <w:rPr>
                <w:szCs w:val="22"/>
              </w:rPr>
            </w:pPr>
            <w:r>
              <w:rPr>
                <w:szCs w:val="22"/>
              </w:rPr>
              <w:t>Arrowsmith Farmlands</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11</w:t>
            </w:r>
          </w:p>
        </w:tc>
      </w:tr>
      <w:tr>
        <w:tc>
          <w:tcPr>
            <w:tcW w:w="2920" w:type="dxa"/>
            <w:tcBorders>
              <w:top w:val="nil"/>
              <w:left w:val="nil"/>
              <w:bottom w:val="nil"/>
              <w:right w:val="nil"/>
            </w:tcBorders>
            <w:vAlign w:val="center"/>
          </w:tcPr>
          <w:p>
            <w:pPr>
              <w:pStyle w:val="yTableNAm"/>
              <w:rPr>
                <w:szCs w:val="22"/>
              </w:rPr>
            </w:pPr>
            <w:r>
              <w:rPr>
                <w:szCs w:val="22"/>
              </w:rPr>
              <w:t>Augusta</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11</w:t>
            </w:r>
          </w:p>
        </w:tc>
      </w:tr>
      <w:tr>
        <w:tc>
          <w:tcPr>
            <w:tcW w:w="2920" w:type="dxa"/>
            <w:tcBorders>
              <w:top w:val="nil"/>
              <w:left w:val="nil"/>
              <w:bottom w:val="nil"/>
              <w:right w:val="nil"/>
            </w:tcBorders>
            <w:vAlign w:val="center"/>
          </w:tcPr>
          <w:p>
            <w:pPr>
              <w:pStyle w:val="yTableNAm"/>
              <w:rPr>
                <w:szCs w:val="22"/>
              </w:rPr>
            </w:pPr>
            <w:r>
              <w:rPr>
                <w:szCs w:val="22"/>
              </w:rPr>
              <w:t>Australind/Eaton</w:t>
            </w:r>
          </w:p>
        </w:tc>
        <w:tc>
          <w:tcPr>
            <w:tcW w:w="1800" w:type="dxa"/>
            <w:tcBorders>
              <w:top w:val="nil"/>
              <w:left w:val="nil"/>
              <w:bottom w:val="nil"/>
              <w:right w:val="nil"/>
            </w:tcBorders>
            <w:vAlign w:val="bottom"/>
          </w:tcPr>
          <w:p>
            <w:pPr>
              <w:pStyle w:val="yTableNAm"/>
              <w:jc w:val="center"/>
              <w:rPr>
                <w:szCs w:val="22"/>
              </w:rPr>
            </w:pPr>
            <w:r>
              <w:rPr>
                <w:szCs w:val="22"/>
              </w:rPr>
              <w:t>2</w:t>
            </w:r>
          </w:p>
        </w:tc>
        <w:tc>
          <w:tcPr>
            <w:tcW w:w="1800" w:type="dxa"/>
            <w:tcBorders>
              <w:top w:val="nil"/>
              <w:left w:val="nil"/>
              <w:bottom w:val="nil"/>
              <w:right w:val="nil"/>
            </w:tcBorders>
            <w:vAlign w:val="bottom"/>
          </w:tcPr>
          <w:p>
            <w:pPr>
              <w:pStyle w:val="yTableNAm"/>
              <w:jc w:val="center"/>
              <w:rPr>
                <w:szCs w:val="22"/>
              </w:rPr>
            </w:pPr>
            <w:r>
              <w:rPr>
                <w:szCs w:val="22"/>
              </w:rPr>
              <w:t>1</w:t>
            </w:r>
          </w:p>
        </w:tc>
      </w:tr>
      <w:tr>
        <w:tc>
          <w:tcPr>
            <w:tcW w:w="2920" w:type="dxa"/>
            <w:tcBorders>
              <w:top w:val="nil"/>
              <w:left w:val="nil"/>
              <w:bottom w:val="nil"/>
              <w:right w:val="nil"/>
            </w:tcBorders>
            <w:vAlign w:val="center"/>
          </w:tcPr>
          <w:p>
            <w:pPr>
              <w:pStyle w:val="yTableNAm"/>
              <w:rPr>
                <w:szCs w:val="22"/>
              </w:rPr>
            </w:pPr>
            <w:r>
              <w:rPr>
                <w:szCs w:val="22"/>
              </w:rPr>
              <w:t>Badgingarra</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14</w:t>
            </w:r>
          </w:p>
        </w:tc>
      </w:tr>
      <w:tr>
        <w:tc>
          <w:tcPr>
            <w:tcW w:w="2920" w:type="dxa"/>
            <w:tcBorders>
              <w:top w:val="nil"/>
              <w:left w:val="nil"/>
              <w:bottom w:val="nil"/>
              <w:right w:val="nil"/>
            </w:tcBorders>
            <w:vAlign w:val="center"/>
          </w:tcPr>
          <w:p>
            <w:pPr>
              <w:pStyle w:val="yTableNAm"/>
              <w:rPr>
                <w:szCs w:val="22"/>
              </w:rPr>
            </w:pPr>
            <w:r>
              <w:rPr>
                <w:szCs w:val="22"/>
              </w:rPr>
              <w:t>Bakers Hill</w:t>
            </w:r>
          </w:p>
        </w:tc>
        <w:tc>
          <w:tcPr>
            <w:tcW w:w="1800" w:type="dxa"/>
            <w:tcBorders>
              <w:top w:val="nil"/>
              <w:left w:val="nil"/>
              <w:bottom w:val="nil"/>
              <w:right w:val="nil"/>
            </w:tcBorders>
            <w:vAlign w:val="bottom"/>
          </w:tcPr>
          <w:p>
            <w:pPr>
              <w:pStyle w:val="yTableNAm"/>
              <w:jc w:val="center"/>
              <w:rPr>
                <w:szCs w:val="22"/>
              </w:rPr>
            </w:pPr>
            <w:r>
              <w:rPr>
                <w:szCs w:val="22"/>
              </w:rPr>
              <w:t>4</w:t>
            </w:r>
          </w:p>
        </w:tc>
        <w:tc>
          <w:tcPr>
            <w:tcW w:w="1800" w:type="dxa"/>
            <w:tcBorders>
              <w:top w:val="nil"/>
              <w:left w:val="nil"/>
              <w:bottom w:val="nil"/>
              <w:right w:val="nil"/>
            </w:tcBorders>
            <w:vAlign w:val="bottom"/>
          </w:tcPr>
          <w:p>
            <w:pPr>
              <w:pStyle w:val="yTableNAm"/>
              <w:jc w:val="center"/>
              <w:rPr>
                <w:szCs w:val="22"/>
              </w:rPr>
            </w:pPr>
            <w:r>
              <w:rPr>
                <w:szCs w:val="22"/>
              </w:rPr>
              <w:t>9</w:t>
            </w:r>
          </w:p>
        </w:tc>
      </w:tr>
      <w:tr>
        <w:tc>
          <w:tcPr>
            <w:tcW w:w="2920" w:type="dxa"/>
            <w:tcBorders>
              <w:top w:val="nil"/>
              <w:left w:val="nil"/>
              <w:bottom w:val="nil"/>
              <w:right w:val="nil"/>
            </w:tcBorders>
            <w:vAlign w:val="center"/>
          </w:tcPr>
          <w:p>
            <w:pPr>
              <w:pStyle w:val="yTableNAm"/>
              <w:rPr>
                <w:szCs w:val="22"/>
              </w:rPr>
            </w:pPr>
            <w:r>
              <w:rPr>
                <w:szCs w:val="22"/>
              </w:rPr>
              <w:t>Balingup</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11</w:t>
            </w:r>
          </w:p>
        </w:tc>
      </w:tr>
      <w:tr>
        <w:tc>
          <w:tcPr>
            <w:tcW w:w="2920" w:type="dxa"/>
            <w:tcBorders>
              <w:top w:val="nil"/>
              <w:left w:val="nil"/>
              <w:bottom w:val="nil"/>
              <w:right w:val="nil"/>
            </w:tcBorders>
            <w:vAlign w:val="center"/>
          </w:tcPr>
          <w:p>
            <w:pPr>
              <w:pStyle w:val="yTableNAm"/>
              <w:rPr>
                <w:szCs w:val="22"/>
              </w:rPr>
            </w:pPr>
            <w:r>
              <w:rPr>
                <w:szCs w:val="22"/>
              </w:rPr>
              <w:t>Ballidu</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13</w:t>
            </w:r>
          </w:p>
        </w:tc>
      </w:tr>
      <w:tr>
        <w:tc>
          <w:tcPr>
            <w:tcW w:w="2920" w:type="dxa"/>
            <w:tcBorders>
              <w:top w:val="nil"/>
              <w:left w:val="nil"/>
              <w:bottom w:val="nil"/>
              <w:right w:val="nil"/>
            </w:tcBorders>
            <w:vAlign w:val="center"/>
          </w:tcPr>
          <w:p>
            <w:pPr>
              <w:pStyle w:val="yTableNAm"/>
              <w:rPr>
                <w:szCs w:val="22"/>
              </w:rPr>
            </w:pPr>
            <w:r>
              <w:rPr>
                <w:szCs w:val="22"/>
              </w:rPr>
              <w:t>Beacon</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14</w:t>
            </w:r>
          </w:p>
        </w:tc>
      </w:tr>
      <w:tr>
        <w:tc>
          <w:tcPr>
            <w:tcW w:w="2920" w:type="dxa"/>
            <w:tcBorders>
              <w:top w:val="nil"/>
              <w:left w:val="nil"/>
              <w:bottom w:val="nil"/>
              <w:right w:val="nil"/>
            </w:tcBorders>
            <w:vAlign w:val="center"/>
          </w:tcPr>
          <w:p>
            <w:pPr>
              <w:pStyle w:val="yTableNAm"/>
              <w:rPr>
                <w:szCs w:val="22"/>
              </w:rPr>
            </w:pPr>
            <w:r>
              <w:rPr>
                <w:szCs w:val="22"/>
              </w:rPr>
              <w:t>Bencubbin</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14</w:t>
            </w:r>
          </w:p>
        </w:tc>
      </w:tr>
      <w:tr>
        <w:tc>
          <w:tcPr>
            <w:tcW w:w="2920" w:type="dxa"/>
            <w:tcBorders>
              <w:top w:val="nil"/>
              <w:left w:val="nil"/>
              <w:bottom w:val="nil"/>
              <w:right w:val="nil"/>
            </w:tcBorders>
            <w:vAlign w:val="center"/>
          </w:tcPr>
          <w:p>
            <w:pPr>
              <w:pStyle w:val="yTableNAm"/>
              <w:rPr>
                <w:szCs w:val="22"/>
              </w:rPr>
            </w:pPr>
            <w:r>
              <w:rPr>
                <w:szCs w:val="22"/>
              </w:rPr>
              <w:t>Beverley</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9</w:t>
            </w:r>
          </w:p>
        </w:tc>
      </w:tr>
      <w:tr>
        <w:tc>
          <w:tcPr>
            <w:tcW w:w="2920" w:type="dxa"/>
            <w:tcBorders>
              <w:top w:val="nil"/>
              <w:left w:val="nil"/>
              <w:bottom w:val="nil"/>
              <w:right w:val="nil"/>
            </w:tcBorders>
            <w:vAlign w:val="center"/>
          </w:tcPr>
          <w:p>
            <w:pPr>
              <w:pStyle w:val="yTableNAm"/>
              <w:rPr>
                <w:szCs w:val="22"/>
              </w:rPr>
            </w:pPr>
            <w:r>
              <w:rPr>
                <w:szCs w:val="22"/>
              </w:rPr>
              <w:t>Bindi Bindi</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14</w:t>
            </w:r>
          </w:p>
        </w:tc>
      </w:tr>
      <w:tr>
        <w:tc>
          <w:tcPr>
            <w:tcW w:w="2920" w:type="dxa"/>
            <w:tcBorders>
              <w:top w:val="nil"/>
              <w:left w:val="nil"/>
              <w:bottom w:val="nil"/>
              <w:right w:val="nil"/>
            </w:tcBorders>
            <w:vAlign w:val="center"/>
          </w:tcPr>
          <w:p>
            <w:pPr>
              <w:pStyle w:val="yTableNAm"/>
              <w:rPr>
                <w:szCs w:val="22"/>
              </w:rPr>
            </w:pPr>
            <w:r>
              <w:rPr>
                <w:szCs w:val="22"/>
              </w:rPr>
              <w:t>Bindoon/Chittering</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11</w:t>
            </w:r>
          </w:p>
        </w:tc>
      </w:tr>
      <w:tr>
        <w:tc>
          <w:tcPr>
            <w:tcW w:w="2920" w:type="dxa"/>
            <w:tcBorders>
              <w:top w:val="nil"/>
              <w:left w:val="nil"/>
              <w:bottom w:val="nil"/>
              <w:right w:val="nil"/>
            </w:tcBorders>
            <w:vAlign w:val="center"/>
          </w:tcPr>
          <w:p>
            <w:pPr>
              <w:pStyle w:val="yTableNAm"/>
              <w:rPr>
                <w:szCs w:val="22"/>
              </w:rPr>
            </w:pPr>
            <w:r>
              <w:rPr>
                <w:szCs w:val="22"/>
              </w:rPr>
              <w:t>Binningup</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9</w:t>
            </w:r>
          </w:p>
        </w:tc>
      </w:tr>
      <w:tr>
        <w:tc>
          <w:tcPr>
            <w:tcW w:w="2920" w:type="dxa"/>
            <w:tcBorders>
              <w:top w:val="nil"/>
              <w:left w:val="nil"/>
              <w:bottom w:val="nil"/>
              <w:right w:val="nil"/>
            </w:tcBorders>
            <w:vAlign w:val="center"/>
          </w:tcPr>
          <w:p>
            <w:pPr>
              <w:pStyle w:val="yTableNAm"/>
              <w:rPr>
                <w:szCs w:val="22"/>
              </w:rPr>
            </w:pPr>
            <w:r>
              <w:rPr>
                <w:szCs w:val="22"/>
              </w:rPr>
              <w:t>Bodallin</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9</w:t>
            </w:r>
          </w:p>
        </w:tc>
      </w:tr>
      <w:tr>
        <w:tc>
          <w:tcPr>
            <w:tcW w:w="2920" w:type="dxa"/>
            <w:tcBorders>
              <w:top w:val="nil"/>
              <w:left w:val="nil"/>
              <w:bottom w:val="nil"/>
              <w:right w:val="nil"/>
            </w:tcBorders>
            <w:vAlign w:val="center"/>
          </w:tcPr>
          <w:p>
            <w:pPr>
              <w:pStyle w:val="yTableNAm"/>
              <w:rPr>
                <w:szCs w:val="22"/>
              </w:rPr>
            </w:pPr>
            <w:r>
              <w:rPr>
                <w:szCs w:val="22"/>
              </w:rPr>
              <w:t>Boddington</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9</w:t>
            </w:r>
          </w:p>
        </w:tc>
      </w:tr>
      <w:tr>
        <w:tc>
          <w:tcPr>
            <w:tcW w:w="2920" w:type="dxa"/>
            <w:tcBorders>
              <w:top w:val="nil"/>
              <w:left w:val="nil"/>
              <w:bottom w:val="nil"/>
              <w:right w:val="nil"/>
            </w:tcBorders>
            <w:vAlign w:val="center"/>
          </w:tcPr>
          <w:p>
            <w:pPr>
              <w:pStyle w:val="yTableNAm"/>
              <w:rPr>
                <w:szCs w:val="22"/>
              </w:rPr>
            </w:pPr>
            <w:r>
              <w:rPr>
                <w:szCs w:val="22"/>
              </w:rPr>
              <w:t>Bolgart</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13</w:t>
            </w:r>
          </w:p>
        </w:tc>
      </w:tr>
      <w:tr>
        <w:tc>
          <w:tcPr>
            <w:tcW w:w="2920" w:type="dxa"/>
            <w:tcBorders>
              <w:top w:val="nil"/>
              <w:left w:val="nil"/>
              <w:bottom w:val="nil"/>
              <w:right w:val="nil"/>
            </w:tcBorders>
            <w:vAlign w:val="center"/>
          </w:tcPr>
          <w:p>
            <w:pPr>
              <w:pStyle w:val="yTableNAm"/>
              <w:rPr>
                <w:szCs w:val="22"/>
              </w:rPr>
            </w:pPr>
            <w:r>
              <w:rPr>
                <w:szCs w:val="22"/>
              </w:rPr>
              <w:t>Borden</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14</w:t>
            </w:r>
          </w:p>
        </w:tc>
      </w:tr>
      <w:tr>
        <w:tc>
          <w:tcPr>
            <w:tcW w:w="2920" w:type="dxa"/>
            <w:tcBorders>
              <w:top w:val="nil"/>
              <w:left w:val="nil"/>
              <w:bottom w:val="nil"/>
              <w:right w:val="nil"/>
            </w:tcBorders>
            <w:vAlign w:val="center"/>
          </w:tcPr>
          <w:p>
            <w:pPr>
              <w:pStyle w:val="yTableNAm"/>
              <w:rPr>
                <w:szCs w:val="22"/>
              </w:rPr>
            </w:pPr>
            <w:r>
              <w:rPr>
                <w:szCs w:val="22"/>
              </w:rPr>
              <w:t>Boyanup</w:t>
            </w:r>
          </w:p>
        </w:tc>
        <w:tc>
          <w:tcPr>
            <w:tcW w:w="1800" w:type="dxa"/>
            <w:tcBorders>
              <w:top w:val="nil"/>
              <w:left w:val="nil"/>
              <w:bottom w:val="nil"/>
              <w:right w:val="nil"/>
            </w:tcBorders>
            <w:vAlign w:val="bottom"/>
          </w:tcPr>
          <w:p>
            <w:pPr>
              <w:pStyle w:val="yTableNAm"/>
              <w:jc w:val="center"/>
              <w:rPr>
                <w:szCs w:val="22"/>
              </w:rPr>
            </w:pPr>
            <w:r>
              <w:rPr>
                <w:szCs w:val="22"/>
              </w:rPr>
              <w:t>3</w:t>
            </w:r>
          </w:p>
        </w:tc>
        <w:tc>
          <w:tcPr>
            <w:tcW w:w="1800" w:type="dxa"/>
            <w:tcBorders>
              <w:top w:val="nil"/>
              <w:left w:val="nil"/>
              <w:bottom w:val="nil"/>
              <w:right w:val="nil"/>
            </w:tcBorders>
            <w:vAlign w:val="bottom"/>
          </w:tcPr>
          <w:p>
            <w:pPr>
              <w:pStyle w:val="yTableNAm"/>
              <w:jc w:val="center"/>
              <w:rPr>
                <w:szCs w:val="22"/>
              </w:rPr>
            </w:pPr>
            <w:r>
              <w:rPr>
                <w:szCs w:val="22"/>
              </w:rPr>
              <w:t>5</w:t>
            </w:r>
          </w:p>
        </w:tc>
      </w:tr>
      <w:tr>
        <w:tc>
          <w:tcPr>
            <w:tcW w:w="2920" w:type="dxa"/>
            <w:tcBorders>
              <w:top w:val="nil"/>
              <w:left w:val="nil"/>
              <w:bottom w:val="nil"/>
              <w:right w:val="nil"/>
            </w:tcBorders>
            <w:vAlign w:val="center"/>
          </w:tcPr>
          <w:p>
            <w:pPr>
              <w:pStyle w:val="yTableNAm"/>
              <w:rPr>
                <w:szCs w:val="22"/>
              </w:rPr>
            </w:pPr>
            <w:r>
              <w:rPr>
                <w:szCs w:val="22"/>
              </w:rPr>
              <w:t>Boyup Brook</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9</w:t>
            </w:r>
          </w:p>
        </w:tc>
      </w:tr>
      <w:tr>
        <w:tc>
          <w:tcPr>
            <w:tcW w:w="2920" w:type="dxa"/>
            <w:tcBorders>
              <w:top w:val="nil"/>
              <w:left w:val="nil"/>
              <w:bottom w:val="nil"/>
              <w:right w:val="nil"/>
            </w:tcBorders>
            <w:vAlign w:val="center"/>
          </w:tcPr>
          <w:p>
            <w:pPr>
              <w:pStyle w:val="yTableNAm"/>
              <w:rPr>
                <w:szCs w:val="22"/>
              </w:rPr>
            </w:pPr>
            <w:r>
              <w:rPr>
                <w:szCs w:val="22"/>
              </w:rPr>
              <w:t>Bremer Bay</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11</w:t>
            </w:r>
          </w:p>
        </w:tc>
      </w:tr>
      <w:tr>
        <w:tc>
          <w:tcPr>
            <w:tcW w:w="2920" w:type="dxa"/>
            <w:tcBorders>
              <w:top w:val="nil"/>
              <w:left w:val="nil"/>
              <w:bottom w:val="nil"/>
              <w:right w:val="nil"/>
            </w:tcBorders>
            <w:vAlign w:val="center"/>
          </w:tcPr>
          <w:p>
            <w:pPr>
              <w:pStyle w:val="yTableNAm"/>
              <w:rPr>
                <w:szCs w:val="22"/>
              </w:rPr>
            </w:pPr>
            <w:r>
              <w:rPr>
                <w:szCs w:val="22"/>
              </w:rPr>
              <w:t>Bridgetown/Hester</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11</w:t>
            </w:r>
          </w:p>
        </w:tc>
      </w:tr>
      <w:tr>
        <w:tc>
          <w:tcPr>
            <w:tcW w:w="2920" w:type="dxa"/>
            <w:tcBorders>
              <w:top w:val="nil"/>
              <w:left w:val="nil"/>
              <w:bottom w:val="nil"/>
              <w:right w:val="nil"/>
            </w:tcBorders>
            <w:vAlign w:val="center"/>
          </w:tcPr>
          <w:p>
            <w:pPr>
              <w:pStyle w:val="yTableNAm"/>
              <w:rPr>
                <w:szCs w:val="22"/>
              </w:rPr>
            </w:pPr>
            <w:r>
              <w:rPr>
                <w:szCs w:val="22"/>
              </w:rPr>
              <w:t>Broad Arrow</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14</w:t>
            </w:r>
          </w:p>
        </w:tc>
      </w:tr>
      <w:tr>
        <w:tc>
          <w:tcPr>
            <w:tcW w:w="2920" w:type="dxa"/>
            <w:tcBorders>
              <w:top w:val="nil"/>
              <w:left w:val="nil"/>
              <w:bottom w:val="nil"/>
              <w:right w:val="nil"/>
            </w:tcBorders>
            <w:vAlign w:val="center"/>
          </w:tcPr>
          <w:p>
            <w:pPr>
              <w:pStyle w:val="yTableNAm"/>
              <w:rPr>
                <w:szCs w:val="22"/>
              </w:rPr>
            </w:pPr>
            <w:r>
              <w:rPr>
                <w:szCs w:val="22"/>
              </w:rPr>
              <w:t>Brookton</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11</w:t>
            </w:r>
          </w:p>
        </w:tc>
      </w:tr>
      <w:tr>
        <w:tc>
          <w:tcPr>
            <w:tcW w:w="2920" w:type="dxa"/>
            <w:tcBorders>
              <w:top w:val="nil"/>
              <w:left w:val="nil"/>
              <w:bottom w:val="nil"/>
              <w:right w:val="nil"/>
            </w:tcBorders>
            <w:vAlign w:val="center"/>
          </w:tcPr>
          <w:p>
            <w:pPr>
              <w:pStyle w:val="yTableNAm"/>
              <w:rPr>
                <w:szCs w:val="22"/>
              </w:rPr>
            </w:pPr>
            <w:r>
              <w:rPr>
                <w:szCs w:val="22"/>
              </w:rPr>
              <w:t>Broome</w:t>
            </w:r>
          </w:p>
        </w:tc>
        <w:tc>
          <w:tcPr>
            <w:tcW w:w="1800" w:type="dxa"/>
            <w:tcBorders>
              <w:top w:val="nil"/>
              <w:left w:val="nil"/>
              <w:bottom w:val="nil"/>
              <w:right w:val="nil"/>
            </w:tcBorders>
            <w:vAlign w:val="bottom"/>
          </w:tcPr>
          <w:p>
            <w:pPr>
              <w:pStyle w:val="yTableNAm"/>
              <w:jc w:val="center"/>
              <w:rPr>
                <w:szCs w:val="22"/>
              </w:rPr>
            </w:pPr>
            <w:r>
              <w:rPr>
                <w:szCs w:val="22"/>
              </w:rPr>
              <w:t>2</w:t>
            </w:r>
          </w:p>
        </w:tc>
        <w:tc>
          <w:tcPr>
            <w:tcW w:w="1800" w:type="dxa"/>
            <w:tcBorders>
              <w:top w:val="nil"/>
              <w:left w:val="nil"/>
              <w:bottom w:val="nil"/>
              <w:right w:val="nil"/>
            </w:tcBorders>
            <w:vAlign w:val="bottom"/>
          </w:tcPr>
          <w:p>
            <w:pPr>
              <w:pStyle w:val="yTableNAm"/>
              <w:jc w:val="center"/>
              <w:rPr>
                <w:szCs w:val="22"/>
              </w:rPr>
            </w:pPr>
            <w:r>
              <w:rPr>
                <w:szCs w:val="22"/>
              </w:rPr>
              <w:t>1</w:t>
            </w:r>
          </w:p>
        </w:tc>
      </w:tr>
      <w:tr>
        <w:tc>
          <w:tcPr>
            <w:tcW w:w="2920" w:type="dxa"/>
            <w:tcBorders>
              <w:top w:val="nil"/>
              <w:left w:val="nil"/>
              <w:bottom w:val="nil"/>
              <w:right w:val="nil"/>
            </w:tcBorders>
            <w:vAlign w:val="center"/>
          </w:tcPr>
          <w:p>
            <w:pPr>
              <w:pStyle w:val="yTableNAm"/>
              <w:rPr>
                <w:szCs w:val="22"/>
              </w:rPr>
            </w:pPr>
            <w:r>
              <w:rPr>
                <w:szCs w:val="22"/>
              </w:rPr>
              <w:t>Broomehill</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11</w:t>
            </w:r>
          </w:p>
        </w:tc>
      </w:tr>
      <w:tr>
        <w:tc>
          <w:tcPr>
            <w:tcW w:w="2920" w:type="dxa"/>
            <w:tcBorders>
              <w:top w:val="nil"/>
              <w:left w:val="nil"/>
              <w:bottom w:val="nil"/>
              <w:right w:val="nil"/>
            </w:tcBorders>
            <w:vAlign w:val="center"/>
          </w:tcPr>
          <w:p>
            <w:pPr>
              <w:pStyle w:val="yTableNAm"/>
              <w:rPr>
                <w:szCs w:val="22"/>
              </w:rPr>
            </w:pPr>
            <w:r>
              <w:rPr>
                <w:szCs w:val="22"/>
              </w:rPr>
              <w:t>Bruce Rock</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13</w:t>
            </w:r>
          </w:p>
        </w:tc>
      </w:tr>
      <w:tr>
        <w:tc>
          <w:tcPr>
            <w:tcW w:w="2920" w:type="dxa"/>
            <w:tcBorders>
              <w:top w:val="nil"/>
              <w:left w:val="nil"/>
              <w:bottom w:val="nil"/>
              <w:right w:val="nil"/>
            </w:tcBorders>
            <w:vAlign w:val="center"/>
          </w:tcPr>
          <w:p>
            <w:pPr>
              <w:pStyle w:val="yTableNAm"/>
              <w:rPr>
                <w:szCs w:val="22"/>
              </w:rPr>
            </w:pPr>
            <w:r>
              <w:rPr>
                <w:szCs w:val="22"/>
              </w:rPr>
              <w:t>Brunswick/Burekup/Roelands</w:t>
            </w:r>
          </w:p>
        </w:tc>
        <w:tc>
          <w:tcPr>
            <w:tcW w:w="1800" w:type="dxa"/>
            <w:tcBorders>
              <w:top w:val="nil"/>
              <w:left w:val="nil"/>
              <w:bottom w:val="nil"/>
              <w:right w:val="nil"/>
            </w:tcBorders>
            <w:vAlign w:val="bottom"/>
          </w:tcPr>
          <w:p>
            <w:pPr>
              <w:pStyle w:val="yTableNAm"/>
              <w:jc w:val="center"/>
              <w:rPr>
                <w:szCs w:val="22"/>
              </w:rPr>
            </w:pPr>
            <w:r>
              <w:rPr>
                <w:szCs w:val="22"/>
              </w:rPr>
              <w:t>3</w:t>
            </w:r>
          </w:p>
        </w:tc>
        <w:tc>
          <w:tcPr>
            <w:tcW w:w="1800" w:type="dxa"/>
            <w:tcBorders>
              <w:top w:val="nil"/>
              <w:left w:val="nil"/>
              <w:bottom w:val="nil"/>
              <w:right w:val="nil"/>
            </w:tcBorders>
            <w:vAlign w:val="bottom"/>
          </w:tcPr>
          <w:p>
            <w:pPr>
              <w:pStyle w:val="yTableNAm"/>
              <w:jc w:val="center"/>
              <w:rPr>
                <w:szCs w:val="22"/>
              </w:rPr>
            </w:pPr>
            <w:r>
              <w:rPr>
                <w:szCs w:val="22"/>
              </w:rPr>
              <w:t>6</w:t>
            </w:r>
          </w:p>
        </w:tc>
      </w:tr>
      <w:tr>
        <w:tc>
          <w:tcPr>
            <w:tcW w:w="2920" w:type="dxa"/>
            <w:tcBorders>
              <w:top w:val="nil"/>
              <w:left w:val="nil"/>
              <w:bottom w:val="nil"/>
              <w:right w:val="nil"/>
            </w:tcBorders>
            <w:vAlign w:val="center"/>
          </w:tcPr>
          <w:p>
            <w:pPr>
              <w:pStyle w:val="yTableNAm"/>
              <w:rPr>
                <w:szCs w:val="22"/>
              </w:rPr>
            </w:pPr>
            <w:r>
              <w:rPr>
                <w:szCs w:val="22"/>
              </w:rPr>
              <w:t>Bullaring</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11</w:t>
            </w:r>
          </w:p>
        </w:tc>
      </w:tr>
      <w:tr>
        <w:tc>
          <w:tcPr>
            <w:tcW w:w="2920" w:type="dxa"/>
            <w:tcBorders>
              <w:top w:val="nil"/>
              <w:left w:val="nil"/>
              <w:bottom w:val="nil"/>
              <w:right w:val="nil"/>
            </w:tcBorders>
            <w:vAlign w:val="center"/>
          </w:tcPr>
          <w:p>
            <w:pPr>
              <w:pStyle w:val="yTableNAm"/>
              <w:rPr>
                <w:szCs w:val="22"/>
              </w:rPr>
            </w:pPr>
            <w:r>
              <w:rPr>
                <w:szCs w:val="22"/>
              </w:rPr>
              <w:t>Bullfinch</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14</w:t>
            </w:r>
          </w:p>
        </w:tc>
      </w:tr>
      <w:tr>
        <w:tc>
          <w:tcPr>
            <w:tcW w:w="2920" w:type="dxa"/>
            <w:tcBorders>
              <w:top w:val="nil"/>
              <w:left w:val="nil"/>
              <w:bottom w:val="nil"/>
              <w:right w:val="nil"/>
            </w:tcBorders>
            <w:vAlign w:val="center"/>
          </w:tcPr>
          <w:p>
            <w:pPr>
              <w:pStyle w:val="yTableNAm"/>
              <w:rPr>
                <w:szCs w:val="22"/>
              </w:rPr>
            </w:pPr>
            <w:r>
              <w:rPr>
                <w:szCs w:val="22"/>
              </w:rPr>
              <w:t>Bunjil</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13</w:t>
            </w:r>
          </w:p>
        </w:tc>
      </w:tr>
      <w:tr>
        <w:tc>
          <w:tcPr>
            <w:tcW w:w="2920" w:type="dxa"/>
            <w:tcBorders>
              <w:top w:val="nil"/>
              <w:left w:val="nil"/>
              <w:bottom w:val="nil"/>
              <w:right w:val="nil"/>
            </w:tcBorders>
            <w:vAlign w:val="center"/>
          </w:tcPr>
          <w:p>
            <w:pPr>
              <w:pStyle w:val="yTableNAm"/>
              <w:rPr>
                <w:szCs w:val="22"/>
              </w:rPr>
            </w:pPr>
            <w:r>
              <w:rPr>
                <w:szCs w:val="22"/>
              </w:rPr>
              <w:t>Buntine</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14</w:t>
            </w:r>
          </w:p>
        </w:tc>
      </w:tr>
      <w:tr>
        <w:tc>
          <w:tcPr>
            <w:tcW w:w="2920" w:type="dxa"/>
            <w:tcBorders>
              <w:top w:val="nil"/>
              <w:left w:val="nil"/>
              <w:bottom w:val="nil"/>
              <w:right w:val="nil"/>
            </w:tcBorders>
            <w:vAlign w:val="center"/>
          </w:tcPr>
          <w:p>
            <w:pPr>
              <w:pStyle w:val="yTableNAm"/>
              <w:rPr>
                <w:szCs w:val="22"/>
              </w:rPr>
            </w:pPr>
            <w:r>
              <w:rPr>
                <w:szCs w:val="22"/>
              </w:rPr>
              <w:t>Burracoppin</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9</w:t>
            </w:r>
          </w:p>
        </w:tc>
      </w:tr>
      <w:tr>
        <w:tc>
          <w:tcPr>
            <w:tcW w:w="2920" w:type="dxa"/>
            <w:tcBorders>
              <w:top w:val="nil"/>
              <w:left w:val="nil"/>
              <w:bottom w:val="nil"/>
              <w:right w:val="nil"/>
            </w:tcBorders>
            <w:vAlign w:val="center"/>
          </w:tcPr>
          <w:p>
            <w:pPr>
              <w:pStyle w:val="yTableNAm"/>
              <w:rPr>
                <w:szCs w:val="22"/>
              </w:rPr>
            </w:pPr>
            <w:r>
              <w:rPr>
                <w:szCs w:val="22"/>
              </w:rPr>
              <w:t>Calingiri</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11</w:t>
            </w:r>
          </w:p>
        </w:tc>
      </w:tr>
      <w:tr>
        <w:tc>
          <w:tcPr>
            <w:tcW w:w="2920" w:type="dxa"/>
            <w:tcBorders>
              <w:top w:val="nil"/>
              <w:left w:val="nil"/>
              <w:bottom w:val="nil"/>
              <w:right w:val="nil"/>
            </w:tcBorders>
            <w:vAlign w:val="center"/>
          </w:tcPr>
          <w:p>
            <w:pPr>
              <w:pStyle w:val="yTableNAm"/>
              <w:rPr>
                <w:szCs w:val="22"/>
              </w:rPr>
            </w:pPr>
            <w:r>
              <w:rPr>
                <w:szCs w:val="22"/>
              </w:rPr>
              <w:t>Camballin</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13</w:t>
            </w:r>
          </w:p>
        </w:tc>
      </w:tr>
      <w:tr>
        <w:tc>
          <w:tcPr>
            <w:tcW w:w="2920" w:type="dxa"/>
            <w:tcBorders>
              <w:top w:val="nil"/>
              <w:left w:val="nil"/>
              <w:bottom w:val="nil"/>
              <w:right w:val="nil"/>
            </w:tcBorders>
            <w:vAlign w:val="center"/>
          </w:tcPr>
          <w:p>
            <w:pPr>
              <w:pStyle w:val="yTableNAm"/>
              <w:rPr>
                <w:szCs w:val="22"/>
              </w:rPr>
            </w:pPr>
            <w:r>
              <w:rPr>
                <w:szCs w:val="22"/>
              </w:rPr>
              <w:t>Capel</w:t>
            </w:r>
          </w:p>
        </w:tc>
        <w:tc>
          <w:tcPr>
            <w:tcW w:w="1800" w:type="dxa"/>
            <w:tcBorders>
              <w:top w:val="nil"/>
              <w:left w:val="nil"/>
              <w:bottom w:val="nil"/>
              <w:right w:val="nil"/>
            </w:tcBorders>
            <w:vAlign w:val="bottom"/>
          </w:tcPr>
          <w:p>
            <w:pPr>
              <w:pStyle w:val="yTableNAm"/>
              <w:jc w:val="center"/>
              <w:rPr>
                <w:szCs w:val="22"/>
              </w:rPr>
            </w:pPr>
            <w:r>
              <w:rPr>
                <w:szCs w:val="22"/>
              </w:rPr>
              <w:t>2</w:t>
            </w:r>
          </w:p>
        </w:tc>
        <w:tc>
          <w:tcPr>
            <w:tcW w:w="1800" w:type="dxa"/>
            <w:tcBorders>
              <w:top w:val="nil"/>
              <w:left w:val="nil"/>
              <w:bottom w:val="nil"/>
              <w:right w:val="nil"/>
            </w:tcBorders>
            <w:vAlign w:val="bottom"/>
          </w:tcPr>
          <w:p>
            <w:pPr>
              <w:pStyle w:val="yTableNAm"/>
              <w:jc w:val="center"/>
              <w:rPr>
                <w:szCs w:val="22"/>
              </w:rPr>
            </w:pPr>
            <w:r>
              <w:rPr>
                <w:szCs w:val="22"/>
              </w:rPr>
              <w:t>4</w:t>
            </w:r>
          </w:p>
        </w:tc>
      </w:tr>
      <w:tr>
        <w:tc>
          <w:tcPr>
            <w:tcW w:w="2920" w:type="dxa"/>
            <w:tcBorders>
              <w:top w:val="nil"/>
              <w:left w:val="nil"/>
              <w:bottom w:val="nil"/>
              <w:right w:val="nil"/>
            </w:tcBorders>
            <w:vAlign w:val="center"/>
          </w:tcPr>
          <w:p>
            <w:pPr>
              <w:pStyle w:val="yTableNAm"/>
              <w:rPr>
                <w:szCs w:val="22"/>
              </w:rPr>
            </w:pPr>
            <w:r>
              <w:rPr>
                <w:szCs w:val="22"/>
              </w:rPr>
              <w:t>Carnamah</w:t>
            </w:r>
          </w:p>
        </w:tc>
        <w:tc>
          <w:tcPr>
            <w:tcW w:w="1800" w:type="dxa"/>
            <w:tcBorders>
              <w:top w:val="nil"/>
              <w:left w:val="nil"/>
              <w:bottom w:val="nil"/>
              <w:right w:val="nil"/>
            </w:tcBorders>
            <w:vAlign w:val="bottom"/>
          </w:tcPr>
          <w:p>
            <w:pPr>
              <w:pStyle w:val="yTableNAm"/>
              <w:jc w:val="center"/>
              <w:rPr>
                <w:szCs w:val="22"/>
              </w:rPr>
            </w:pPr>
            <w:r>
              <w:rPr>
                <w:szCs w:val="22"/>
              </w:rPr>
              <w:t>4</w:t>
            </w:r>
          </w:p>
        </w:tc>
        <w:tc>
          <w:tcPr>
            <w:tcW w:w="1800" w:type="dxa"/>
            <w:tcBorders>
              <w:top w:val="nil"/>
              <w:left w:val="nil"/>
              <w:bottom w:val="nil"/>
              <w:right w:val="nil"/>
            </w:tcBorders>
            <w:vAlign w:val="bottom"/>
          </w:tcPr>
          <w:p>
            <w:pPr>
              <w:pStyle w:val="yTableNAm"/>
              <w:jc w:val="center"/>
              <w:rPr>
                <w:szCs w:val="22"/>
              </w:rPr>
            </w:pPr>
            <w:r>
              <w:rPr>
                <w:szCs w:val="22"/>
              </w:rPr>
              <w:t>9</w:t>
            </w:r>
          </w:p>
        </w:tc>
      </w:tr>
      <w:tr>
        <w:tc>
          <w:tcPr>
            <w:tcW w:w="2920" w:type="dxa"/>
            <w:tcBorders>
              <w:top w:val="nil"/>
              <w:left w:val="nil"/>
              <w:bottom w:val="nil"/>
              <w:right w:val="nil"/>
            </w:tcBorders>
            <w:vAlign w:val="center"/>
          </w:tcPr>
          <w:p>
            <w:pPr>
              <w:pStyle w:val="yTableNAm"/>
              <w:rPr>
                <w:szCs w:val="22"/>
              </w:rPr>
            </w:pPr>
            <w:r>
              <w:rPr>
                <w:szCs w:val="22"/>
              </w:rPr>
              <w:t>Carnarvon</w:t>
            </w:r>
          </w:p>
        </w:tc>
        <w:tc>
          <w:tcPr>
            <w:tcW w:w="1800" w:type="dxa"/>
            <w:tcBorders>
              <w:top w:val="nil"/>
              <w:left w:val="nil"/>
              <w:bottom w:val="nil"/>
              <w:right w:val="nil"/>
            </w:tcBorders>
            <w:vAlign w:val="bottom"/>
          </w:tcPr>
          <w:p>
            <w:pPr>
              <w:pStyle w:val="yTableNAm"/>
              <w:jc w:val="center"/>
              <w:rPr>
                <w:szCs w:val="22"/>
              </w:rPr>
            </w:pPr>
            <w:r>
              <w:rPr>
                <w:szCs w:val="22"/>
              </w:rPr>
              <w:t>4</w:t>
            </w:r>
          </w:p>
        </w:tc>
        <w:tc>
          <w:tcPr>
            <w:tcW w:w="1800" w:type="dxa"/>
            <w:tcBorders>
              <w:top w:val="nil"/>
              <w:left w:val="nil"/>
              <w:bottom w:val="nil"/>
              <w:right w:val="nil"/>
            </w:tcBorders>
            <w:vAlign w:val="bottom"/>
          </w:tcPr>
          <w:p>
            <w:pPr>
              <w:pStyle w:val="yTableNAm"/>
              <w:jc w:val="center"/>
              <w:rPr>
                <w:szCs w:val="22"/>
              </w:rPr>
            </w:pPr>
            <w:r>
              <w:rPr>
                <w:szCs w:val="22"/>
              </w:rPr>
              <w:t>9</w:t>
            </w:r>
          </w:p>
        </w:tc>
      </w:tr>
      <w:tr>
        <w:tc>
          <w:tcPr>
            <w:tcW w:w="2920" w:type="dxa"/>
            <w:tcBorders>
              <w:top w:val="nil"/>
              <w:left w:val="nil"/>
              <w:bottom w:val="nil"/>
              <w:right w:val="nil"/>
            </w:tcBorders>
            <w:vAlign w:val="center"/>
          </w:tcPr>
          <w:p>
            <w:pPr>
              <w:pStyle w:val="yTableNAm"/>
              <w:rPr>
                <w:szCs w:val="22"/>
              </w:rPr>
            </w:pPr>
            <w:r>
              <w:rPr>
                <w:szCs w:val="22"/>
              </w:rPr>
              <w:t>Caron</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13</w:t>
            </w:r>
          </w:p>
        </w:tc>
      </w:tr>
      <w:tr>
        <w:tc>
          <w:tcPr>
            <w:tcW w:w="2920" w:type="dxa"/>
            <w:tcBorders>
              <w:top w:val="nil"/>
              <w:left w:val="nil"/>
              <w:bottom w:val="nil"/>
              <w:right w:val="nil"/>
            </w:tcBorders>
            <w:vAlign w:val="center"/>
          </w:tcPr>
          <w:p>
            <w:pPr>
              <w:pStyle w:val="yTableNAm"/>
              <w:rPr>
                <w:szCs w:val="22"/>
              </w:rPr>
            </w:pPr>
            <w:r>
              <w:rPr>
                <w:szCs w:val="22"/>
              </w:rPr>
              <w:t>Cervantes</w:t>
            </w:r>
          </w:p>
        </w:tc>
        <w:tc>
          <w:tcPr>
            <w:tcW w:w="1800" w:type="dxa"/>
            <w:tcBorders>
              <w:top w:val="nil"/>
              <w:left w:val="nil"/>
              <w:bottom w:val="nil"/>
              <w:right w:val="nil"/>
            </w:tcBorders>
            <w:vAlign w:val="bottom"/>
          </w:tcPr>
          <w:p>
            <w:pPr>
              <w:pStyle w:val="yTableNAm"/>
              <w:jc w:val="center"/>
              <w:rPr>
                <w:szCs w:val="22"/>
              </w:rPr>
            </w:pPr>
            <w:r>
              <w:rPr>
                <w:szCs w:val="22"/>
              </w:rPr>
              <w:t>4</w:t>
            </w:r>
          </w:p>
        </w:tc>
        <w:tc>
          <w:tcPr>
            <w:tcW w:w="1800" w:type="dxa"/>
            <w:tcBorders>
              <w:top w:val="nil"/>
              <w:left w:val="nil"/>
              <w:bottom w:val="nil"/>
              <w:right w:val="nil"/>
            </w:tcBorders>
            <w:vAlign w:val="bottom"/>
          </w:tcPr>
          <w:p>
            <w:pPr>
              <w:pStyle w:val="yTableNAm"/>
              <w:jc w:val="center"/>
              <w:rPr>
                <w:szCs w:val="22"/>
              </w:rPr>
            </w:pPr>
            <w:r>
              <w:rPr>
                <w:szCs w:val="22"/>
              </w:rPr>
              <w:t>5</w:t>
            </w:r>
          </w:p>
        </w:tc>
      </w:tr>
      <w:tr>
        <w:tc>
          <w:tcPr>
            <w:tcW w:w="2920" w:type="dxa"/>
            <w:tcBorders>
              <w:top w:val="nil"/>
              <w:left w:val="nil"/>
              <w:bottom w:val="nil"/>
              <w:right w:val="nil"/>
            </w:tcBorders>
            <w:vAlign w:val="center"/>
          </w:tcPr>
          <w:p>
            <w:pPr>
              <w:pStyle w:val="yTableNAm"/>
              <w:rPr>
                <w:szCs w:val="22"/>
              </w:rPr>
            </w:pPr>
            <w:r>
              <w:rPr>
                <w:szCs w:val="22"/>
              </w:rPr>
              <w:t>Collie</w:t>
            </w:r>
          </w:p>
        </w:tc>
        <w:tc>
          <w:tcPr>
            <w:tcW w:w="1800" w:type="dxa"/>
            <w:tcBorders>
              <w:top w:val="nil"/>
              <w:left w:val="nil"/>
              <w:bottom w:val="nil"/>
              <w:right w:val="nil"/>
            </w:tcBorders>
            <w:vAlign w:val="bottom"/>
          </w:tcPr>
          <w:p>
            <w:pPr>
              <w:pStyle w:val="yTableNAm"/>
              <w:jc w:val="center"/>
              <w:rPr>
                <w:szCs w:val="22"/>
              </w:rPr>
            </w:pPr>
            <w:r>
              <w:rPr>
                <w:szCs w:val="22"/>
              </w:rPr>
              <w:t>2</w:t>
            </w:r>
          </w:p>
        </w:tc>
        <w:tc>
          <w:tcPr>
            <w:tcW w:w="1800" w:type="dxa"/>
            <w:tcBorders>
              <w:top w:val="nil"/>
              <w:left w:val="nil"/>
              <w:bottom w:val="nil"/>
              <w:right w:val="nil"/>
            </w:tcBorders>
            <w:vAlign w:val="bottom"/>
          </w:tcPr>
          <w:p>
            <w:pPr>
              <w:pStyle w:val="yTableNAm"/>
              <w:jc w:val="center"/>
              <w:rPr>
                <w:szCs w:val="22"/>
              </w:rPr>
            </w:pPr>
            <w:r>
              <w:rPr>
                <w:szCs w:val="22"/>
              </w:rPr>
              <w:t>5</w:t>
            </w:r>
          </w:p>
        </w:tc>
      </w:tr>
      <w:tr>
        <w:tc>
          <w:tcPr>
            <w:tcW w:w="2920" w:type="dxa"/>
            <w:tcBorders>
              <w:top w:val="nil"/>
              <w:left w:val="nil"/>
              <w:bottom w:val="nil"/>
              <w:right w:val="nil"/>
            </w:tcBorders>
            <w:vAlign w:val="center"/>
          </w:tcPr>
          <w:p>
            <w:pPr>
              <w:pStyle w:val="yTableNAm"/>
              <w:rPr>
                <w:szCs w:val="22"/>
              </w:rPr>
            </w:pPr>
            <w:r>
              <w:rPr>
                <w:szCs w:val="22"/>
              </w:rPr>
              <w:t>Collie Farmlands</w:t>
            </w:r>
          </w:p>
        </w:tc>
        <w:tc>
          <w:tcPr>
            <w:tcW w:w="1800" w:type="dxa"/>
            <w:tcBorders>
              <w:top w:val="nil"/>
              <w:left w:val="nil"/>
              <w:bottom w:val="nil"/>
              <w:right w:val="nil"/>
            </w:tcBorders>
            <w:vAlign w:val="bottom"/>
          </w:tcPr>
          <w:p>
            <w:pPr>
              <w:pStyle w:val="yTableNAm"/>
              <w:jc w:val="center"/>
              <w:rPr>
                <w:szCs w:val="22"/>
              </w:rPr>
            </w:pPr>
            <w:r>
              <w:rPr>
                <w:szCs w:val="22"/>
              </w:rPr>
              <w:t>1</w:t>
            </w:r>
          </w:p>
        </w:tc>
        <w:tc>
          <w:tcPr>
            <w:tcW w:w="1800" w:type="dxa"/>
            <w:tcBorders>
              <w:top w:val="nil"/>
              <w:left w:val="nil"/>
              <w:bottom w:val="nil"/>
              <w:right w:val="nil"/>
            </w:tcBorders>
            <w:vAlign w:val="bottom"/>
          </w:tcPr>
          <w:p>
            <w:pPr>
              <w:pStyle w:val="yTableNAm"/>
              <w:jc w:val="center"/>
              <w:rPr>
                <w:szCs w:val="22"/>
              </w:rPr>
            </w:pPr>
            <w:r>
              <w:rPr>
                <w:szCs w:val="22"/>
              </w:rPr>
              <w:t>1</w:t>
            </w:r>
          </w:p>
        </w:tc>
      </w:tr>
      <w:tr>
        <w:tc>
          <w:tcPr>
            <w:tcW w:w="2920" w:type="dxa"/>
            <w:tcBorders>
              <w:top w:val="nil"/>
              <w:left w:val="nil"/>
              <w:bottom w:val="nil"/>
              <w:right w:val="nil"/>
            </w:tcBorders>
            <w:vAlign w:val="center"/>
          </w:tcPr>
          <w:p>
            <w:pPr>
              <w:pStyle w:val="yTableNAm"/>
              <w:rPr>
                <w:szCs w:val="22"/>
              </w:rPr>
            </w:pPr>
            <w:r>
              <w:rPr>
                <w:szCs w:val="22"/>
              </w:rPr>
              <w:t>Condingup</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13</w:t>
            </w:r>
          </w:p>
        </w:tc>
      </w:tr>
      <w:tr>
        <w:tc>
          <w:tcPr>
            <w:tcW w:w="2920" w:type="dxa"/>
            <w:tcBorders>
              <w:top w:val="nil"/>
              <w:left w:val="nil"/>
              <w:bottom w:val="nil"/>
              <w:right w:val="nil"/>
            </w:tcBorders>
            <w:vAlign w:val="center"/>
          </w:tcPr>
          <w:p>
            <w:pPr>
              <w:pStyle w:val="yTableNAm"/>
              <w:rPr>
                <w:szCs w:val="22"/>
              </w:rPr>
            </w:pPr>
            <w:r>
              <w:rPr>
                <w:szCs w:val="22"/>
              </w:rPr>
              <w:t>Coolgardie</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11</w:t>
            </w:r>
          </w:p>
        </w:tc>
      </w:tr>
      <w:tr>
        <w:tc>
          <w:tcPr>
            <w:tcW w:w="2920" w:type="dxa"/>
            <w:tcBorders>
              <w:top w:val="nil"/>
              <w:left w:val="nil"/>
              <w:bottom w:val="nil"/>
              <w:right w:val="nil"/>
            </w:tcBorders>
            <w:vAlign w:val="center"/>
          </w:tcPr>
          <w:p>
            <w:pPr>
              <w:pStyle w:val="yTableNAm"/>
              <w:rPr>
                <w:szCs w:val="22"/>
              </w:rPr>
            </w:pPr>
            <w:r>
              <w:rPr>
                <w:szCs w:val="22"/>
              </w:rPr>
              <w:t>Coomberdale</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14</w:t>
            </w:r>
          </w:p>
        </w:tc>
      </w:tr>
      <w:tr>
        <w:tc>
          <w:tcPr>
            <w:tcW w:w="2920" w:type="dxa"/>
            <w:tcBorders>
              <w:top w:val="nil"/>
              <w:left w:val="nil"/>
              <w:bottom w:val="nil"/>
              <w:right w:val="nil"/>
            </w:tcBorders>
            <w:vAlign w:val="center"/>
          </w:tcPr>
          <w:p>
            <w:pPr>
              <w:pStyle w:val="yTableNAm"/>
              <w:rPr>
                <w:szCs w:val="22"/>
              </w:rPr>
            </w:pPr>
            <w:r>
              <w:rPr>
                <w:szCs w:val="22"/>
              </w:rPr>
              <w:t>Coorow</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9</w:t>
            </w:r>
          </w:p>
        </w:tc>
      </w:tr>
      <w:tr>
        <w:tc>
          <w:tcPr>
            <w:tcW w:w="2920" w:type="dxa"/>
            <w:tcBorders>
              <w:top w:val="nil"/>
              <w:left w:val="nil"/>
              <w:bottom w:val="nil"/>
              <w:right w:val="nil"/>
            </w:tcBorders>
            <w:vAlign w:val="center"/>
          </w:tcPr>
          <w:p>
            <w:pPr>
              <w:pStyle w:val="yTableNAm"/>
              <w:rPr>
                <w:szCs w:val="22"/>
              </w:rPr>
            </w:pPr>
            <w:r>
              <w:rPr>
                <w:szCs w:val="22"/>
              </w:rPr>
              <w:t>Coral Bay</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N/A</w:t>
            </w:r>
          </w:p>
        </w:tc>
      </w:tr>
      <w:tr>
        <w:tc>
          <w:tcPr>
            <w:tcW w:w="2920" w:type="dxa"/>
            <w:tcBorders>
              <w:top w:val="nil"/>
              <w:left w:val="nil"/>
              <w:bottom w:val="nil"/>
              <w:right w:val="nil"/>
            </w:tcBorders>
            <w:vAlign w:val="center"/>
          </w:tcPr>
          <w:p>
            <w:pPr>
              <w:pStyle w:val="yTableNAm"/>
              <w:rPr>
                <w:szCs w:val="22"/>
              </w:rPr>
            </w:pPr>
            <w:r>
              <w:rPr>
                <w:szCs w:val="22"/>
              </w:rPr>
              <w:t>Corrigin</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13</w:t>
            </w:r>
          </w:p>
        </w:tc>
      </w:tr>
      <w:tr>
        <w:tc>
          <w:tcPr>
            <w:tcW w:w="2920" w:type="dxa"/>
            <w:tcBorders>
              <w:top w:val="nil"/>
              <w:left w:val="nil"/>
              <w:bottom w:val="nil"/>
              <w:right w:val="nil"/>
            </w:tcBorders>
            <w:vAlign w:val="center"/>
          </w:tcPr>
          <w:p>
            <w:pPr>
              <w:pStyle w:val="yTableNAm"/>
              <w:rPr>
                <w:szCs w:val="22"/>
              </w:rPr>
            </w:pPr>
            <w:r>
              <w:rPr>
                <w:szCs w:val="22"/>
              </w:rPr>
              <w:t>Cowaramup</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11</w:t>
            </w:r>
          </w:p>
        </w:tc>
      </w:tr>
      <w:tr>
        <w:tc>
          <w:tcPr>
            <w:tcW w:w="2920" w:type="dxa"/>
            <w:tcBorders>
              <w:top w:val="nil"/>
              <w:left w:val="nil"/>
              <w:bottom w:val="nil"/>
              <w:right w:val="nil"/>
            </w:tcBorders>
            <w:vAlign w:val="center"/>
          </w:tcPr>
          <w:p>
            <w:pPr>
              <w:pStyle w:val="yTableNAm"/>
              <w:rPr>
                <w:szCs w:val="22"/>
              </w:rPr>
            </w:pPr>
            <w:r>
              <w:rPr>
                <w:szCs w:val="22"/>
              </w:rPr>
              <w:t>Cranbrook</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13</w:t>
            </w:r>
          </w:p>
        </w:tc>
      </w:tr>
      <w:tr>
        <w:tc>
          <w:tcPr>
            <w:tcW w:w="2920" w:type="dxa"/>
            <w:tcBorders>
              <w:top w:val="nil"/>
              <w:left w:val="nil"/>
              <w:bottom w:val="nil"/>
              <w:right w:val="nil"/>
            </w:tcBorders>
            <w:vAlign w:val="center"/>
          </w:tcPr>
          <w:p>
            <w:pPr>
              <w:pStyle w:val="yTableNAm"/>
              <w:rPr>
                <w:szCs w:val="22"/>
              </w:rPr>
            </w:pPr>
            <w:r>
              <w:rPr>
                <w:szCs w:val="22"/>
              </w:rPr>
              <w:t>Cuballing</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11</w:t>
            </w:r>
          </w:p>
        </w:tc>
      </w:tr>
      <w:tr>
        <w:tc>
          <w:tcPr>
            <w:tcW w:w="2920" w:type="dxa"/>
            <w:tcBorders>
              <w:top w:val="nil"/>
              <w:left w:val="nil"/>
              <w:bottom w:val="nil"/>
              <w:right w:val="nil"/>
            </w:tcBorders>
            <w:vAlign w:val="center"/>
          </w:tcPr>
          <w:p>
            <w:pPr>
              <w:pStyle w:val="yTableNAm"/>
              <w:rPr>
                <w:szCs w:val="22"/>
              </w:rPr>
            </w:pPr>
            <w:r>
              <w:rPr>
                <w:szCs w:val="22"/>
              </w:rPr>
              <w:t>Cue</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11</w:t>
            </w:r>
          </w:p>
        </w:tc>
      </w:tr>
      <w:tr>
        <w:tc>
          <w:tcPr>
            <w:tcW w:w="2920" w:type="dxa"/>
            <w:tcBorders>
              <w:top w:val="nil"/>
              <w:left w:val="nil"/>
              <w:bottom w:val="nil"/>
              <w:right w:val="nil"/>
            </w:tcBorders>
            <w:vAlign w:val="center"/>
          </w:tcPr>
          <w:p>
            <w:pPr>
              <w:pStyle w:val="yTableNAm"/>
              <w:rPr>
                <w:szCs w:val="22"/>
              </w:rPr>
            </w:pPr>
            <w:r>
              <w:rPr>
                <w:szCs w:val="22"/>
              </w:rPr>
              <w:t>Cunderdin</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5</w:t>
            </w:r>
          </w:p>
        </w:tc>
      </w:tr>
      <w:tr>
        <w:tc>
          <w:tcPr>
            <w:tcW w:w="2920" w:type="dxa"/>
            <w:tcBorders>
              <w:top w:val="nil"/>
              <w:left w:val="nil"/>
              <w:bottom w:val="nil"/>
              <w:right w:val="nil"/>
            </w:tcBorders>
            <w:vAlign w:val="center"/>
          </w:tcPr>
          <w:p>
            <w:pPr>
              <w:pStyle w:val="yTableNAm"/>
              <w:rPr>
                <w:szCs w:val="22"/>
              </w:rPr>
            </w:pPr>
            <w:r>
              <w:rPr>
                <w:szCs w:val="22"/>
              </w:rPr>
              <w:t>Dalwallinu</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11</w:t>
            </w:r>
          </w:p>
        </w:tc>
      </w:tr>
      <w:tr>
        <w:tc>
          <w:tcPr>
            <w:tcW w:w="2920" w:type="dxa"/>
            <w:tcBorders>
              <w:top w:val="nil"/>
              <w:left w:val="nil"/>
              <w:bottom w:val="nil"/>
              <w:right w:val="nil"/>
            </w:tcBorders>
            <w:vAlign w:val="center"/>
          </w:tcPr>
          <w:p>
            <w:pPr>
              <w:pStyle w:val="yTableNAm"/>
              <w:rPr>
                <w:szCs w:val="22"/>
              </w:rPr>
            </w:pPr>
            <w:r>
              <w:rPr>
                <w:szCs w:val="22"/>
              </w:rPr>
              <w:t>Dalyellup</w:t>
            </w:r>
          </w:p>
        </w:tc>
        <w:tc>
          <w:tcPr>
            <w:tcW w:w="1800" w:type="dxa"/>
            <w:tcBorders>
              <w:top w:val="nil"/>
              <w:left w:val="nil"/>
              <w:bottom w:val="nil"/>
              <w:right w:val="nil"/>
            </w:tcBorders>
            <w:vAlign w:val="bottom"/>
          </w:tcPr>
          <w:p>
            <w:pPr>
              <w:pStyle w:val="yTableNAm"/>
              <w:jc w:val="center"/>
              <w:rPr>
                <w:szCs w:val="22"/>
              </w:rPr>
            </w:pPr>
            <w:r>
              <w:rPr>
                <w:szCs w:val="22"/>
              </w:rPr>
              <w:t>2</w:t>
            </w:r>
          </w:p>
        </w:tc>
        <w:tc>
          <w:tcPr>
            <w:tcW w:w="1800" w:type="dxa"/>
            <w:tcBorders>
              <w:top w:val="nil"/>
              <w:left w:val="nil"/>
              <w:bottom w:val="nil"/>
              <w:right w:val="nil"/>
            </w:tcBorders>
            <w:vAlign w:val="bottom"/>
          </w:tcPr>
          <w:p>
            <w:pPr>
              <w:pStyle w:val="yTableNAm"/>
              <w:jc w:val="center"/>
              <w:rPr>
                <w:szCs w:val="22"/>
              </w:rPr>
            </w:pPr>
            <w:r>
              <w:rPr>
                <w:szCs w:val="22"/>
              </w:rPr>
              <w:t>4</w:t>
            </w:r>
          </w:p>
        </w:tc>
      </w:tr>
      <w:tr>
        <w:tc>
          <w:tcPr>
            <w:tcW w:w="2920" w:type="dxa"/>
            <w:tcBorders>
              <w:top w:val="nil"/>
              <w:left w:val="nil"/>
              <w:bottom w:val="nil"/>
              <w:right w:val="nil"/>
            </w:tcBorders>
            <w:vAlign w:val="center"/>
          </w:tcPr>
          <w:p>
            <w:pPr>
              <w:pStyle w:val="yTableNAm"/>
              <w:rPr>
                <w:szCs w:val="22"/>
              </w:rPr>
            </w:pPr>
            <w:r>
              <w:rPr>
                <w:szCs w:val="22"/>
              </w:rPr>
              <w:t>Dandaragan</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13</w:t>
            </w:r>
          </w:p>
        </w:tc>
      </w:tr>
      <w:tr>
        <w:tc>
          <w:tcPr>
            <w:tcW w:w="2920" w:type="dxa"/>
            <w:tcBorders>
              <w:top w:val="nil"/>
              <w:left w:val="nil"/>
              <w:bottom w:val="nil"/>
              <w:right w:val="nil"/>
            </w:tcBorders>
          </w:tcPr>
          <w:p>
            <w:pPr>
              <w:pStyle w:val="yTableNAm"/>
              <w:rPr>
                <w:szCs w:val="22"/>
              </w:rPr>
            </w:pPr>
            <w:r>
              <w:rPr>
                <w:szCs w:val="22"/>
              </w:rPr>
              <w:t>Dardanup</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11</w:t>
            </w:r>
          </w:p>
        </w:tc>
      </w:tr>
      <w:tr>
        <w:tc>
          <w:tcPr>
            <w:tcW w:w="2920" w:type="dxa"/>
            <w:tcBorders>
              <w:top w:val="nil"/>
              <w:left w:val="nil"/>
              <w:bottom w:val="nil"/>
              <w:right w:val="nil"/>
            </w:tcBorders>
            <w:vAlign w:val="center"/>
          </w:tcPr>
          <w:p>
            <w:pPr>
              <w:pStyle w:val="yTableNAm"/>
              <w:rPr>
                <w:szCs w:val="22"/>
              </w:rPr>
            </w:pPr>
            <w:r>
              <w:rPr>
                <w:szCs w:val="22"/>
              </w:rPr>
              <w:t>Darkan</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9</w:t>
            </w:r>
          </w:p>
        </w:tc>
      </w:tr>
      <w:tr>
        <w:tc>
          <w:tcPr>
            <w:tcW w:w="2920" w:type="dxa"/>
            <w:tcBorders>
              <w:top w:val="nil"/>
              <w:left w:val="nil"/>
              <w:bottom w:val="nil"/>
              <w:right w:val="nil"/>
            </w:tcBorders>
            <w:vAlign w:val="center"/>
          </w:tcPr>
          <w:p>
            <w:pPr>
              <w:pStyle w:val="yTableNAm"/>
              <w:rPr>
                <w:szCs w:val="22"/>
              </w:rPr>
            </w:pPr>
            <w:r>
              <w:rPr>
                <w:szCs w:val="22"/>
              </w:rPr>
              <w:t>Dathagnoorara Farmlands</w:t>
            </w:r>
          </w:p>
        </w:tc>
        <w:tc>
          <w:tcPr>
            <w:tcW w:w="1800" w:type="dxa"/>
            <w:tcBorders>
              <w:top w:val="nil"/>
              <w:left w:val="nil"/>
              <w:bottom w:val="nil"/>
              <w:right w:val="nil"/>
            </w:tcBorders>
            <w:vAlign w:val="bottom"/>
          </w:tcPr>
          <w:p>
            <w:pPr>
              <w:pStyle w:val="yTableNAm"/>
              <w:jc w:val="center"/>
              <w:rPr>
                <w:szCs w:val="22"/>
              </w:rPr>
            </w:pPr>
            <w:r>
              <w:rPr>
                <w:szCs w:val="22"/>
              </w:rPr>
              <w:t>3</w:t>
            </w:r>
          </w:p>
        </w:tc>
        <w:tc>
          <w:tcPr>
            <w:tcW w:w="1800" w:type="dxa"/>
            <w:tcBorders>
              <w:top w:val="nil"/>
              <w:left w:val="nil"/>
              <w:bottom w:val="nil"/>
              <w:right w:val="nil"/>
            </w:tcBorders>
            <w:vAlign w:val="bottom"/>
          </w:tcPr>
          <w:p>
            <w:pPr>
              <w:pStyle w:val="yTableNAm"/>
              <w:jc w:val="center"/>
              <w:rPr>
                <w:szCs w:val="22"/>
              </w:rPr>
            </w:pPr>
            <w:r>
              <w:rPr>
                <w:szCs w:val="22"/>
              </w:rPr>
              <w:t>5</w:t>
            </w:r>
          </w:p>
        </w:tc>
      </w:tr>
      <w:tr>
        <w:tc>
          <w:tcPr>
            <w:tcW w:w="2920" w:type="dxa"/>
            <w:tcBorders>
              <w:top w:val="nil"/>
              <w:left w:val="nil"/>
              <w:bottom w:val="nil"/>
              <w:right w:val="nil"/>
            </w:tcBorders>
            <w:vAlign w:val="center"/>
          </w:tcPr>
          <w:p>
            <w:pPr>
              <w:pStyle w:val="yTableNAm"/>
              <w:rPr>
                <w:szCs w:val="22"/>
              </w:rPr>
            </w:pPr>
            <w:r>
              <w:rPr>
                <w:szCs w:val="22"/>
              </w:rPr>
              <w:t>Denham (Saline)</w:t>
            </w:r>
          </w:p>
        </w:tc>
        <w:tc>
          <w:tcPr>
            <w:tcW w:w="1800" w:type="dxa"/>
            <w:tcBorders>
              <w:top w:val="nil"/>
              <w:left w:val="nil"/>
              <w:bottom w:val="nil"/>
              <w:right w:val="nil"/>
            </w:tcBorders>
            <w:vAlign w:val="bottom"/>
          </w:tcPr>
          <w:p>
            <w:pPr>
              <w:pStyle w:val="yTableNAm"/>
              <w:jc w:val="center"/>
              <w:rPr>
                <w:szCs w:val="22"/>
              </w:rPr>
            </w:pPr>
            <w:r>
              <w:rPr>
                <w:szCs w:val="22"/>
              </w:rPr>
              <w:t>2</w:t>
            </w:r>
          </w:p>
        </w:tc>
        <w:tc>
          <w:tcPr>
            <w:tcW w:w="1800" w:type="dxa"/>
            <w:tcBorders>
              <w:top w:val="nil"/>
              <w:left w:val="nil"/>
              <w:bottom w:val="nil"/>
              <w:right w:val="nil"/>
            </w:tcBorders>
            <w:vAlign w:val="bottom"/>
          </w:tcPr>
          <w:p>
            <w:pPr>
              <w:pStyle w:val="yTableNAm"/>
              <w:jc w:val="center"/>
              <w:rPr>
                <w:szCs w:val="22"/>
              </w:rPr>
            </w:pPr>
            <w:r>
              <w:rPr>
                <w:szCs w:val="22"/>
              </w:rPr>
              <w:t>5</w:t>
            </w:r>
          </w:p>
        </w:tc>
      </w:tr>
      <w:tr>
        <w:tc>
          <w:tcPr>
            <w:tcW w:w="2920" w:type="dxa"/>
            <w:tcBorders>
              <w:top w:val="nil"/>
              <w:left w:val="nil"/>
              <w:bottom w:val="nil"/>
              <w:right w:val="nil"/>
            </w:tcBorders>
            <w:vAlign w:val="center"/>
          </w:tcPr>
          <w:p>
            <w:pPr>
              <w:pStyle w:val="yTableNAm"/>
              <w:rPr>
                <w:szCs w:val="22"/>
              </w:rPr>
            </w:pPr>
            <w:r>
              <w:rPr>
                <w:szCs w:val="22"/>
              </w:rPr>
              <w:t>Denmark</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13</w:t>
            </w:r>
          </w:p>
        </w:tc>
      </w:tr>
      <w:tr>
        <w:tc>
          <w:tcPr>
            <w:tcW w:w="2920" w:type="dxa"/>
            <w:tcBorders>
              <w:top w:val="nil"/>
              <w:left w:val="nil"/>
              <w:bottom w:val="nil"/>
              <w:right w:val="nil"/>
            </w:tcBorders>
            <w:vAlign w:val="center"/>
          </w:tcPr>
          <w:p>
            <w:pPr>
              <w:pStyle w:val="yTableNAm"/>
              <w:rPr>
                <w:szCs w:val="22"/>
              </w:rPr>
            </w:pPr>
            <w:r>
              <w:rPr>
                <w:szCs w:val="22"/>
              </w:rPr>
              <w:t>Derby</w:t>
            </w:r>
          </w:p>
        </w:tc>
        <w:tc>
          <w:tcPr>
            <w:tcW w:w="1800" w:type="dxa"/>
            <w:tcBorders>
              <w:top w:val="nil"/>
              <w:left w:val="nil"/>
              <w:bottom w:val="nil"/>
              <w:right w:val="nil"/>
            </w:tcBorders>
            <w:vAlign w:val="bottom"/>
          </w:tcPr>
          <w:p>
            <w:pPr>
              <w:pStyle w:val="yTableNAm"/>
              <w:jc w:val="center"/>
              <w:rPr>
                <w:szCs w:val="22"/>
              </w:rPr>
            </w:pPr>
            <w:r>
              <w:rPr>
                <w:szCs w:val="22"/>
              </w:rPr>
              <w:t>2</w:t>
            </w:r>
          </w:p>
        </w:tc>
        <w:tc>
          <w:tcPr>
            <w:tcW w:w="1800" w:type="dxa"/>
            <w:tcBorders>
              <w:top w:val="nil"/>
              <w:left w:val="nil"/>
              <w:bottom w:val="nil"/>
              <w:right w:val="nil"/>
            </w:tcBorders>
            <w:vAlign w:val="bottom"/>
          </w:tcPr>
          <w:p>
            <w:pPr>
              <w:pStyle w:val="yTableNAm"/>
              <w:jc w:val="center"/>
              <w:rPr>
                <w:szCs w:val="22"/>
              </w:rPr>
            </w:pPr>
            <w:r>
              <w:rPr>
                <w:szCs w:val="22"/>
              </w:rPr>
              <w:t>5</w:t>
            </w:r>
          </w:p>
        </w:tc>
      </w:tr>
      <w:tr>
        <w:tc>
          <w:tcPr>
            <w:tcW w:w="2920" w:type="dxa"/>
            <w:tcBorders>
              <w:top w:val="nil"/>
              <w:left w:val="nil"/>
              <w:bottom w:val="nil"/>
              <w:right w:val="nil"/>
            </w:tcBorders>
            <w:vAlign w:val="center"/>
          </w:tcPr>
          <w:p>
            <w:pPr>
              <w:pStyle w:val="yTableNAm"/>
              <w:rPr>
                <w:szCs w:val="22"/>
              </w:rPr>
            </w:pPr>
            <w:r>
              <w:rPr>
                <w:szCs w:val="22"/>
              </w:rPr>
              <w:t>Dongara/Denison</w:t>
            </w:r>
          </w:p>
        </w:tc>
        <w:tc>
          <w:tcPr>
            <w:tcW w:w="1800" w:type="dxa"/>
            <w:tcBorders>
              <w:top w:val="nil"/>
              <w:left w:val="nil"/>
              <w:bottom w:val="nil"/>
              <w:right w:val="nil"/>
            </w:tcBorders>
            <w:vAlign w:val="bottom"/>
          </w:tcPr>
          <w:p>
            <w:pPr>
              <w:pStyle w:val="yTableNAm"/>
              <w:jc w:val="center"/>
              <w:rPr>
                <w:szCs w:val="22"/>
              </w:rPr>
            </w:pPr>
            <w:r>
              <w:rPr>
                <w:szCs w:val="22"/>
              </w:rPr>
              <w:t>2</w:t>
            </w:r>
          </w:p>
        </w:tc>
        <w:tc>
          <w:tcPr>
            <w:tcW w:w="1800" w:type="dxa"/>
            <w:tcBorders>
              <w:top w:val="nil"/>
              <w:left w:val="nil"/>
              <w:bottom w:val="nil"/>
              <w:right w:val="nil"/>
            </w:tcBorders>
            <w:vAlign w:val="bottom"/>
          </w:tcPr>
          <w:p>
            <w:pPr>
              <w:pStyle w:val="yTableNAm"/>
              <w:jc w:val="center"/>
              <w:rPr>
                <w:szCs w:val="22"/>
              </w:rPr>
            </w:pPr>
            <w:r>
              <w:rPr>
                <w:szCs w:val="22"/>
              </w:rPr>
              <w:t>1</w:t>
            </w:r>
          </w:p>
        </w:tc>
      </w:tr>
      <w:tr>
        <w:tc>
          <w:tcPr>
            <w:tcW w:w="2920" w:type="dxa"/>
            <w:tcBorders>
              <w:top w:val="nil"/>
              <w:left w:val="nil"/>
              <w:bottom w:val="nil"/>
              <w:right w:val="nil"/>
            </w:tcBorders>
            <w:vAlign w:val="center"/>
          </w:tcPr>
          <w:p>
            <w:pPr>
              <w:pStyle w:val="yTableNAm"/>
              <w:rPr>
                <w:szCs w:val="22"/>
              </w:rPr>
            </w:pPr>
            <w:r>
              <w:rPr>
                <w:szCs w:val="22"/>
              </w:rPr>
              <w:t>Donnybrook</w:t>
            </w:r>
          </w:p>
        </w:tc>
        <w:tc>
          <w:tcPr>
            <w:tcW w:w="1800" w:type="dxa"/>
            <w:tcBorders>
              <w:top w:val="nil"/>
              <w:left w:val="nil"/>
              <w:bottom w:val="nil"/>
              <w:right w:val="nil"/>
            </w:tcBorders>
            <w:vAlign w:val="bottom"/>
          </w:tcPr>
          <w:p>
            <w:pPr>
              <w:pStyle w:val="yTableNAm"/>
              <w:jc w:val="center"/>
              <w:rPr>
                <w:szCs w:val="22"/>
              </w:rPr>
            </w:pPr>
            <w:r>
              <w:rPr>
                <w:szCs w:val="22"/>
              </w:rPr>
              <w:t>2</w:t>
            </w:r>
          </w:p>
        </w:tc>
        <w:tc>
          <w:tcPr>
            <w:tcW w:w="1800" w:type="dxa"/>
            <w:tcBorders>
              <w:top w:val="nil"/>
              <w:left w:val="nil"/>
              <w:bottom w:val="nil"/>
              <w:right w:val="nil"/>
            </w:tcBorders>
            <w:vAlign w:val="bottom"/>
          </w:tcPr>
          <w:p>
            <w:pPr>
              <w:pStyle w:val="yTableNAm"/>
              <w:jc w:val="center"/>
              <w:rPr>
                <w:szCs w:val="22"/>
              </w:rPr>
            </w:pPr>
            <w:r>
              <w:rPr>
                <w:szCs w:val="22"/>
              </w:rPr>
              <w:t>4</w:t>
            </w:r>
          </w:p>
        </w:tc>
      </w:tr>
      <w:tr>
        <w:tc>
          <w:tcPr>
            <w:tcW w:w="2920" w:type="dxa"/>
            <w:tcBorders>
              <w:top w:val="nil"/>
              <w:left w:val="nil"/>
              <w:bottom w:val="nil"/>
              <w:right w:val="nil"/>
            </w:tcBorders>
            <w:vAlign w:val="center"/>
          </w:tcPr>
          <w:p>
            <w:pPr>
              <w:pStyle w:val="yTableNAm"/>
              <w:rPr>
                <w:szCs w:val="22"/>
              </w:rPr>
            </w:pPr>
            <w:r>
              <w:rPr>
                <w:szCs w:val="22"/>
              </w:rPr>
              <w:t>Doodlakine</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11</w:t>
            </w:r>
          </w:p>
        </w:tc>
      </w:tr>
      <w:tr>
        <w:tc>
          <w:tcPr>
            <w:tcW w:w="2920" w:type="dxa"/>
            <w:tcBorders>
              <w:top w:val="nil"/>
              <w:left w:val="nil"/>
              <w:bottom w:val="nil"/>
              <w:right w:val="nil"/>
            </w:tcBorders>
            <w:vAlign w:val="center"/>
          </w:tcPr>
          <w:p>
            <w:pPr>
              <w:pStyle w:val="yTableNAm"/>
              <w:rPr>
                <w:szCs w:val="22"/>
              </w:rPr>
            </w:pPr>
            <w:r>
              <w:rPr>
                <w:szCs w:val="22"/>
              </w:rPr>
              <w:t>Dowerin</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9</w:t>
            </w:r>
          </w:p>
        </w:tc>
      </w:tr>
      <w:tr>
        <w:tc>
          <w:tcPr>
            <w:tcW w:w="2920" w:type="dxa"/>
            <w:tcBorders>
              <w:top w:val="nil"/>
              <w:left w:val="nil"/>
              <w:bottom w:val="nil"/>
              <w:right w:val="nil"/>
            </w:tcBorders>
            <w:vAlign w:val="center"/>
          </w:tcPr>
          <w:p>
            <w:pPr>
              <w:pStyle w:val="yTableNAm"/>
              <w:rPr>
                <w:szCs w:val="22"/>
              </w:rPr>
            </w:pPr>
            <w:r>
              <w:rPr>
                <w:szCs w:val="22"/>
              </w:rPr>
              <w:t>Dudinin/Harrismith/Jitarning</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14</w:t>
            </w:r>
          </w:p>
        </w:tc>
      </w:tr>
      <w:tr>
        <w:tc>
          <w:tcPr>
            <w:tcW w:w="2920" w:type="dxa"/>
            <w:tcBorders>
              <w:top w:val="nil"/>
              <w:left w:val="nil"/>
              <w:bottom w:val="nil"/>
              <w:right w:val="nil"/>
            </w:tcBorders>
            <w:vAlign w:val="center"/>
          </w:tcPr>
          <w:p>
            <w:pPr>
              <w:pStyle w:val="yTableNAm"/>
              <w:rPr>
                <w:szCs w:val="22"/>
              </w:rPr>
            </w:pPr>
            <w:r>
              <w:rPr>
                <w:szCs w:val="22"/>
              </w:rPr>
              <w:t>Dumbleyung</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14</w:t>
            </w:r>
          </w:p>
        </w:tc>
      </w:tr>
      <w:tr>
        <w:tc>
          <w:tcPr>
            <w:tcW w:w="2920" w:type="dxa"/>
            <w:tcBorders>
              <w:top w:val="nil"/>
              <w:left w:val="nil"/>
              <w:bottom w:val="nil"/>
              <w:right w:val="nil"/>
            </w:tcBorders>
            <w:vAlign w:val="center"/>
          </w:tcPr>
          <w:p>
            <w:pPr>
              <w:pStyle w:val="yTableNAm"/>
              <w:rPr>
                <w:szCs w:val="22"/>
              </w:rPr>
            </w:pPr>
            <w:r>
              <w:rPr>
                <w:szCs w:val="22"/>
              </w:rPr>
              <w:t>Dunsborough/Yallingup</w:t>
            </w:r>
          </w:p>
        </w:tc>
        <w:tc>
          <w:tcPr>
            <w:tcW w:w="1800" w:type="dxa"/>
            <w:tcBorders>
              <w:top w:val="nil"/>
              <w:left w:val="nil"/>
              <w:bottom w:val="nil"/>
              <w:right w:val="nil"/>
            </w:tcBorders>
            <w:vAlign w:val="bottom"/>
          </w:tcPr>
          <w:p>
            <w:pPr>
              <w:pStyle w:val="yTableNAm"/>
              <w:jc w:val="center"/>
              <w:rPr>
                <w:szCs w:val="22"/>
              </w:rPr>
            </w:pPr>
            <w:r>
              <w:rPr>
                <w:szCs w:val="22"/>
              </w:rPr>
              <w:t>2</w:t>
            </w:r>
          </w:p>
        </w:tc>
        <w:tc>
          <w:tcPr>
            <w:tcW w:w="1800" w:type="dxa"/>
            <w:tcBorders>
              <w:top w:val="nil"/>
              <w:left w:val="nil"/>
              <w:bottom w:val="nil"/>
              <w:right w:val="nil"/>
            </w:tcBorders>
            <w:vAlign w:val="bottom"/>
          </w:tcPr>
          <w:p>
            <w:pPr>
              <w:pStyle w:val="yTableNAm"/>
              <w:jc w:val="center"/>
              <w:rPr>
                <w:szCs w:val="22"/>
              </w:rPr>
            </w:pPr>
            <w:r>
              <w:rPr>
                <w:szCs w:val="22"/>
              </w:rPr>
              <w:t>5</w:t>
            </w:r>
          </w:p>
        </w:tc>
      </w:tr>
      <w:tr>
        <w:tc>
          <w:tcPr>
            <w:tcW w:w="2920" w:type="dxa"/>
            <w:tcBorders>
              <w:top w:val="nil"/>
              <w:left w:val="nil"/>
              <w:bottom w:val="nil"/>
              <w:right w:val="nil"/>
            </w:tcBorders>
            <w:vAlign w:val="center"/>
          </w:tcPr>
          <w:p>
            <w:pPr>
              <w:pStyle w:val="yTableNAm"/>
              <w:rPr>
                <w:szCs w:val="22"/>
              </w:rPr>
            </w:pPr>
            <w:r>
              <w:rPr>
                <w:szCs w:val="22"/>
              </w:rPr>
              <w:t>Dwellingup</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11</w:t>
            </w:r>
          </w:p>
        </w:tc>
      </w:tr>
      <w:tr>
        <w:tc>
          <w:tcPr>
            <w:tcW w:w="2920" w:type="dxa"/>
            <w:tcBorders>
              <w:top w:val="nil"/>
              <w:left w:val="nil"/>
              <w:bottom w:val="nil"/>
              <w:right w:val="nil"/>
            </w:tcBorders>
            <w:vAlign w:val="center"/>
          </w:tcPr>
          <w:p>
            <w:pPr>
              <w:pStyle w:val="yTableNAm"/>
              <w:rPr>
                <w:szCs w:val="22"/>
              </w:rPr>
            </w:pPr>
            <w:r>
              <w:rPr>
                <w:szCs w:val="22"/>
              </w:rPr>
              <w:t>Eneabba</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9</w:t>
            </w:r>
          </w:p>
        </w:tc>
      </w:tr>
      <w:tr>
        <w:tc>
          <w:tcPr>
            <w:tcW w:w="2920" w:type="dxa"/>
            <w:tcBorders>
              <w:top w:val="nil"/>
              <w:left w:val="nil"/>
              <w:bottom w:val="nil"/>
              <w:right w:val="nil"/>
            </w:tcBorders>
            <w:vAlign w:val="center"/>
          </w:tcPr>
          <w:p>
            <w:pPr>
              <w:pStyle w:val="yTableNAm"/>
              <w:rPr>
                <w:szCs w:val="22"/>
              </w:rPr>
            </w:pPr>
            <w:r>
              <w:rPr>
                <w:szCs w:val="22"/>
              </w:rPr>
              <w:t>Eradu</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11</w:t>
            </w:r>
          </w:p>
        </w:tc>
      </w:tr>
      <w:tr>
        <w:tc>
          <w:tcPr>
            <w:tcW w:w="2920" w:type="dxa"/>
            <w:tcBorders>
              <w:top w:val="nil"/>
              <w:left w:val="nil"/>
              <w:bottom w:val="nil"/>
              <w:right w:val="nil"/>
            </w:tcBorders>
            <w:vAlign w:val="center"/>
          </w:tcPr>
          <w:p>
            <w:pPr>
              <w:pStyle w:val="yTableNAm"/>
              <w:rPr>
                <w:szCs w:val="22"/>
              </w:rPr>
            </w:pPr>
            <w:r>
              <w:rPr>
                <w:szCs w:val="22"/>
              </w:rPr>
              <w:t>Esperance</w:t>
            </w:r>
          </w:p>
        </w:tc>
        <w:tc>
          <w:tcPr>
            <w:tcW w:w="1800" w:type="dxa"/>
            <w:tcBorders>
              <w:top w:val="nil"/>
              <w:left w:val="nil"/>
              <w:bottom w:val="nil"/>
              <w:right w:val="nil"/>
            </w:tcBorders>
            <w:vAlign w:val="bottom"/>
          </w:tcPr>
          <w:p>
            <w:pPr>
              <w:pStyle w:val="yTableNAm"/>
              <w:jc w:val="center"/>
              <w:rPr>
                <w:szCs w:val="22"/>
              </w:rPr>
            </w:pPr>
            <w:r>
              <w:rPr>
                <w:szCs w:val="22"/>
              </w:rPr>
              <w:t>2</w:t>
            </w:r>
          </w:p>
        </w:tc>
        <w:tc>
          <w:tcPr>
            <w:tcW w:w="1800" w:type="dxa"/>
            <w:tcBorders>
              <w:top w:val="nil"/>
              <w:left w:val="nil"/>
              <w:bottom w:val="nil"/>
              <w:right w:val="nil"/>
            </w:tcBorders>
            <w:vAlign w:val="bottom"/>
          </w:tcPr>
          <w:p>
            <w:pPr>
              <w:pStyle w:val="yTableNAm"/>
              <w:jc w:val="center"/>
              <w:rPr>
                <w:szCs w:val="22"/>
              </w:rPr>
            </w:pPr>
            <w:r>
              <w:rPr>
                <w:szCs w:val="22"/>
              </w:rPr>
              <w:t>5</w:t>
            </w:r>
          </w:p>
        </w:tc>
      </w:tr>
      <w:tr>
        <w:tc>
          <w:tcPr>
            <w:tcW w:w="2920" w:type="dxa"/>
            <w:tcBorders>
              <w:top w:val="nil"/>
              <w:left w:val="nil"/>
              <w:bottom w:val="nil"/>
              <w:right w:val="nil"/>
            </w:tcBorders>
            <w:vAlign w:val="center"/>
          </w:tcPr>
          <w:p>
            <w:pPr>
              <w:pStyle w:val="yTableNAm"/>
              <w:rPr>
                <w:szCs w:val="22"/>
              </w:rPr>
            </w:pPr>
            <w:r>
              <w:rPr>
                <w:szCs w:val="22"/>
              </w:rPr>
              <w:t>Exmouth</w:t>
            </w:r>
          </w:p>
        </w:tc>
        <w:tc>
          <w:tcPr>
            <w:tcW w:w="1800" w:type="dxa"/>
            <w:tcBorders>
              <w:top w:val="nil"/>
              <w:left w:val="nil"/>
              <w:bottom w:val="nil"/>
              <w:right w:val="nil"/>
            </w:tcBorders>
            <w:vAlign w:val="bottom"/>
          </w:tcPr>
          <w:p>
            <w:pPr>
              <w:pStyle w:val="yTableNAm"/>
              <w:jc w:val="center"/>
              <w:rPr>
                <w:szCs w:val="22"/>
              </w:rPr>
            </w:pPr>
            <w:r>
              <w:rPr>
                <w:szCs w:val="22"/>
              </w:rPr>
              <w:t>3</w:t>
            </w:r>
          </w:p>
        </w:tc>
        <w:tc>
          <w:tcPr>
            <w:tcW w:w="1800" w:type="dxa"/>
            <w:tcBorders>
              <w:top w:val="nil"/>
              <w:left w:val="nil"/>
              <w:bottom w:val="nil"/>
              <w:right w:val="nil"/>
            </w:tcBorders>
            <w:vAlign w:val="bottom"/>
          </w:tcPr>
          <w:p>
            <w:pPr>
              <w:pStyle w:val="yTableNAm"/>
              <w:jc w:val="center"/>
              <w:rPr>
                <w:szCs w:val="22"/>
              </w:rPr>
            </w:pPr>
            <w:r>
              <w:rPr>
                <w:szCs w:val="22"/>
              </w:rPr>
              <w:t>9</w:t>
            </w:r>
          </w:p>
        </w:tc>
      </w:tr>
      <w:tr>
        <w:tc>
          <w:tcPr>
            <w:tcW w:w="2920" w:type="dxa"/>
            <w:tcBorders>
              <w:top w:val="nil"/>
              <w:left w:val="nil"/>
              <w:bottom w:val="nil"/>
              <w:right w:val="nil"/>
            </w:tcBorders>
            <w:vAlign w:val="center"/>
          </w:tcPr>
          <w:p>
            <w:pPr>
              <w:pStyle w:val="yTableNAm"/>
              <w:rPr>
                <w:szCs w:val="22"/>
              </w:rPr>
            </w:pPr>
            <w:r>
              <w:rPr>
                <w:szCs w:val="22"/>
              </w:rPr>
              <w:t>Fitzroy Crossing</w:t>
            </w:r>
          </w:p>
        </w:tc>
        <w:tc>
          <w:tcPr>
            <w:tcW w:w="1800" w:type="dxa"/>
            <w:tcBorders>
              <w:top w:val="nil"/>
              <w:left w:val="nil"/>
              <w:bottom w:val="nil"/>
              <w:right w:val="nil"/>
            </w:tcBorders>
            <w:vAlign w:val="bottom"/>
          </w:tcPr>
          <w:p>
            <w:pPr>
              <w:pStyle w:val="yTableNAm"/>
              <w:jc w:val="center"/>
              <w:rPr>
                <w:szCs w:val="22"/>
              </w:rPr>
            </w:pPr>
            <w:r>
              <w:rPr>
                <w:szCs w:val="22"/>
              </w:rPr>
              <w:t>2</w:t>
            </w:r>
          </w:p>
        </w:tc>
        <w:tc>
          <w:tcPr>
            <w:tcW w:w="1800" w:type="dxa"/>
            <w:tcBorders>
              <w:top w:val="nil"/>
              <w:left w:val="nil"/>
              <w:bottom w:val="nil"/>
              <w:right w:val="nil"/>
            </w:tcBorders>
            <w:vAlign w:val="bottom"/>
          </w:tcPr>
          <w:p>
            <w:pPr>
              <w:pStyle w:val="yTableNAm"/>
              <w:jc w:val="center"/>
              <w:rPr>
                <w:szCs w:val="22"/>
              </w:rPr>
            </w:pPr>
            <w:r>
              <w:rPr>
                <w:szCs w:val="22"/>
              </w:rPr>
              <w:t>3</w:t>
            </w:r>
          </w:p>
        </w:tc>
      </w:tr>
      <w:tr>
        <w:tc>
          <w:tcPr>
            <w:tcW w:w="2920" w:type="dxa"/>
            <w:tcBorders>
              <w:top w:val="nil"/>
              <w:left w:val="nil"/>
              <w:bottom w:val="nil"/>
              <w:right w:val="nil"/>
            </w:tcBorders>
            <w:vAlign w:val="center"/>
          </w:tcPr>
          <w:p>
            <w:pPr>
              <w:pStyle w:val="yTableNAm"/>
              <w:rPr>
                <w:szCs w:val="22"/>
              </w:rPr>
            </w:pPr>
            <w:r>
              <w:rPr>
                <w:szCs w:val="22"/>
              </w:rPr>
              <w:t>Frankland</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13</w:t>
            </w:r>
          </w:p>
        </w:tc>
      </w:tr>
      <w:tr>
        <w:tc>
          <w:tcPr>
            <w:tcW w:w="2920" w:type="dxa"/>
            <w:tcBorders>
              <w:top w:val="nil"/>
              <w:left w:val="nil"/>
              <w:bottom w:val="nil"/>
              <w:right w:val="nil"/>
            </w:tcBorders>
            <w:vAlign w:val="center"/>
          </w:tcPr>
          <w:p>
            <w:pPr>
              <w:pStyle w:val="yTableNAm"/>
              <w:rPr>
                <w:szCs w:val="22"/>
              </w:rPr>
            </w:pPr>
            <w:r>
              <w:rPr>
                <w:szCs w:val="22"/>
              </w:rPr>
              <w:t>Gabbadah</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9</w:t>
            </w:r>
          </w:p>
        </w:tc>
      </w:tr>
      <w:tr>
        <w:tc>
          <w:tcPr>
            <w:tcW w:w="2920" w:type="dxa"/>
            <w:tcBorders>
              <w:top w:val="nil"/>
              <w:left w:val="nil"/>
              <w:bottom w:val="nil"/>
              <w:right w:val="nil"/>
            </w:tcBorders>
            <w:vAlign w:val="center"/>
          </w:tcPr>
          <w:p>
            <w:pPr>
              <w:pStyle w:val="yTableNAm"/>
              <w:rPr>
                <w:szCs w:val="22"/>
              </w:rPr>
            </w:pPr>
            <w:r>
              <w:rPr>
                <w:szCs w:val="22"/>
              </w:rPr>
              <w:t>Gascoyne Junction</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13</w:t>
            </w:r>
          </w:p>
        </w:tc>
      </w:tr>
      <w:tr>
        <w:tc>
          <w:tcPr>
            <w:tcW w:w="2920" w:type="dxa"/>
            <w:tcBorders>
              <w:top w:val="nil"/>
              <w:left w:val="nil"/>
              <w:bottom w:val="nil"/>
              <w:right w:val="nil"/>
            </w:tcBorders>
            <w:vAlign w:val="center"/>
          </w:tcPr>
          <w:p>
            <w:pPr>
              <w:pStyle w:val="yTableNAm"/>
              <w:rPr>
                <w:szCs w:val="22"/>
              </w:rPr>
            </w:pPr>
            <w:r>
              <w:rPr>
                <w:szCs w:val="22"/>
              </w:rPr>
              <w:t>Geraldton</w:t>
            </w:r>
          </w:p>
        </w:tc>
        <w:tc>
          <w:tcPr>
            <w:tcW w:w="1800" w:type="dxa"/>
            <w:tcBorders>
              <w:top w:val="nil"/>
              <w:left w:val="nil"/>
              <w:bottom w:val="nil"/>
              <w:right w:val="nil"/>
            </w:tcBorders>
            <w:vAlign w:val="bottom"/>
          </w:tcPr>
          <w:p>
            <w:pPr>
              <w:pStyle w:val="yTableNAm"/>
              <w:jc w:val="center"/>
              <w:rPr>
                <w:szCs w:val="22"/>
              </w:rPr>
            </w:pPr>
            <w:r>
              <w:rPr>
                <w:szCs w:val="22"/>
              </w:rPr>
              <w:t>2</w:t>
            </w:r>
          </w:p>
        </w:tc>
        <w:tc>
          <w:tcPr>
            <w:tcW w:w="1800" w:type="dxa"/>
            <w:tcBorders>
              <w:top w:val="nil"/>
              <w:left w:val="nil"/>
              <w:bottom w:val="nil"/>
              <w:right w:val="nil"/>
            </w:tcBorders>
            <w:vAlign w:val="bottom"/>
          </w:tcPr>
          <w:p>
            <w:pPr>
              <w:pStyle w:val="yTableNAm"/>
              <w:jc w:val="center"/>
              <w:rPr>
                <w:szCs w:val="22"/>
              </w:rPr>
            </w:pPr>
            <w:r>
              <w:rPr>
                <w:szCs w:val="22"/>
              </w:rPr>
              <w:t>1</w:t>
            </w:r>
          </w:p>
        </w:tc>
      </w:tr>
      <w:tr>
        <w:tc>
          <w:tcPr>
            <w:tcW w:w="2920" w:type="dxa"/>
            <w:tcBorders>
              <w:top w:val="nil"/>
              <w:left w:val="nil"/>
              <w:bottom w:val="nil"/>
              <w:right w:val="nil"/>
            </w:tcBorders>
            <w:vAlign w:val="center"/>
          </w:tcPr>
          <w:p>
            <w:pPr>
              <w:pStyle w:val="yTableNAm"/>
              <w:rPr>
                <w:szCs w:val="22"/>
              </w:rPr>
            </w:pPr>
            <w:r>
              <w:rPr>
                <w:szCs w:val="22"/>
              </w:rPr>
              <w:t>Gibson</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13</w:t>
            </w:r>
          </w:p>
        </w:tc>
      </w:tr>
      <w:tr>
        <w:tc>
          <w:tcPr>
            <w:tcW w:w="2920" w:type="dxa"/>
            <w:tcBorders>
              <w:top w:val="nil"/>
              <w:left w:val="nil"/>
              <w:bottom w:val="nil"/>
              <w:right w:val="nil"/>
            </w:tcBorders>
            <w:vAlign w:val="center"/>
          </w:tcPr>
          <w:p>
            <w:pPr>
              <w:pStyle w:val="yTableNAm"/>
              <w:rPr>
                <w:szCs w:val="22"/>
              </w:rPr>
            </w:pPr>
            <w:r>
              <w:rPr>
                <w:szCs w:val="22"/>
              </w:rPr>
              <w:t>Gingin</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9</w:t>
            </w:r>
          </w:p>
        </w:tc>
      </w:tr>
      <w:tr>
        <w:tc>
          <w:tcPr>
            <w:tcW w:w="2920" w:type="dxa"/>
            <w:tcBorders>
              <w:top w:val="nil"/>
              <w:left w:val="nil"/>
              <w:bottom w:val="nil"/>
              <w:right w:val="nil"/>
            </w:tcBorders>
            <w:vAlign w:val="center"/>
          </w:tcPr>
          <w:p>
            <w:pPr>
              <w:pStyle w:val="yTableNAm"/>
              <w:rPr>
                <w:szCs w:val="22"/>
              </w:rPr>
            </w:pPr>
            <w:r>
              <w:rPr>
                <w:szCs w:val="22"/>
              </w:rPr>
              <w:t>Gnarabup</w:t>
            </w:r>
          </w:p>
        </w:tc>
        <w:tc>
          <w:tcPr>
            <w:tcW w:w="1800" w:type="dxa"/>
            <w:tcBorders>
              <w:top w:val="nil"/>
              <w:left w:val="nil"/>
              <w:bottom w:val="nil"/>
              <w:right w:val="nil"/>
            </w:tcBorders>
            <w:vAlign w:val="bottom"/>
          </w:tcPr>
          <w:p>
            <w:pPr>
              <w:pStyle w:val="yTableNAm"/>
              <w:jc w:val="center"/>
              <w:rPr>
                <w:szCs w:val="22"/>
              </w:rPr>
            </w:pPr>
            <w:r>
              <w:rPr>
                <w:szCs w:val="22"/>
              </w:rPr>
              <w:t>4</w:t>
            </w:r>
          </w:p>
        </w:tc>
        <w:tc>
          <w:tcPr>
            <w:tcW w:w="1800" w:type="dxa"/>
            <w:tcBorders>
              <w:top w:val="nil"/>
              <w:left w:val="nil"/>
              <w:bottom w:val="nil"/>
              <w:right w:val="nil"/>
            </w:tcBorders>
            <w:vAlign w:val="bottom"/>
          </w:tcPr>
          <w:p>
            <w:pPr>
              <w:pStyle w:val="yTableNAm"/>
              <w:jc w:val="center"/>
              <w:rPr>
                <w:szCs w:val="22"/>
              </w:rPr>
            </w:pPr>
            <w:r>
              <w:rPr>
                <w:szCs w:val="22"/>
              </w:rPr>
              <w:t>5</w:t>
            </w:r>
          </w:p>
        </w:tc>
      </w:tr>
      <w:tr>
        <w:tc>
          <w:tcPr>
            <w:tcW w:w="2920" w:type="dxa"/>
            <w:tcBorders>
              <w:top w:val="nil"/>
              <w:left w:val="nil"/>
              <w:bottom w:val="nil"/>
              <w:right w:val="nil"/>
            </w:tcBorders>
            <w:vAlign w:val="center"/>
          </w:tcPr>
          <w:p>
            <w:pPr>
              <w:pStyle w:val="yTableNAm"/>
              <w:rPr>
                <w:szCs w:val="22"/>
              </w:rPr>
            </w:pPr>
            <w:r>
              <w:rPr>
                <w:szCs w:val="22"/>
              </w:rPr>
              <w:t>Gnowangerup</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13</w:t>
            </w:r>
          </w:p>
        </w:tc>
      </w:tr>
      <w:tr>
        <w:tc>
          <w:tcPr>
            <w:tcW w:w="2920" w:type="dxa"/>
            <w:tcBorders>
              <w:top w:val="nil"/>
              <w:left w:val="nil"/>
              <w:bottom w:val="nil"/>
              <w:right w:val="nil"/>
            </w:tcBorders>
            <w:vAlign w:val="center"/>
          </w:tcPr>
          <w:p>
            <w:pPr>
              <w:pStyle w:val="yTableNAm"/>
              <w:rPr>
                <w:szCs w:val="22"/>
              </w:rPr>
            </w:pPr>
            <w:r>
              <w:rPr>
                <w:szCs w:val="22"/>
              </w:rPr>
              <w:t>Goomalling</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11</w:t>
            </w:r>
          </w:p>
        </w:tc>
      </w:tr>
      <w:tr>
        <w:tc>
          <w:tcPr>
            <w:tcW w:w="2920" w:type="dxa"/>
            <w:tcBorders>
              <w:top w:val="nil"/>
              <w:left w:val="nil"/>
              <w:bottom w:val="nil"/>
              <w:right w:val="nil"/>
            </w:tcBorders>
            <w:vAlign w:val="center"/>
          </w:tcPr>
          <w:p>
            <w:pPr>
              <w:pStyle w:val="yTableNAm"/>
              <w:rPr>
                <w:szCs w:val="22"/>
              </w:rPr>
            </w:pPr>
            <w:r>
              <w:rPr>
                <w:szCs w:val="22"/>
              </w:rPr>
              <w:t>Grass Patch</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14</w:t>
            </w:r>
          </w:p>
        </w:tc>
      </w:tr>
      <w:tr>
        <w:tc>
          <w:tcPr>
            <w:tcW w:w="2920" w:type="dxa"/>
            <w:tcBorders>
              <w:top w:val="nil"/>
              <w:left w:val="nil"/>
              <w:bottom w:val="nil"/>
              <w:right w:val="nil"/>
            </w:tcBorders>
            <w:vAlign w:val="center"/>
          </w:tcPr>
          <w:p>
            <w:pPr>
              <w:pStyle w:val="yTableNAm"/>
              <w:rPr>
                <w:szCs w:val="22"/>
              </w:rPr>
            </w:pPr>
            <w:r>
              <w:rPr>
                <w:szCs w:val="22"/>
              </w:rPr>
              <w:t>Grass Valley</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9</w:t>
            </w:r>
          </w:p>
        </w:tc>
      </w:tr>
      <w:tr>
        <w:tc>
          <w:tcPr>
            <w:tcW w:w="2920" w:type="dxa"/>
            <w:tcBorders>
              <w:top w:val="nil"/>
              <w:left w:val="nil"/>
              <w:bottom w:val="nil"/>
              <w:right w:val="nil"/>
            </w:tcBorders>
            <w:vAlign w:val="center"/>
          </w:tcPr>
          <w:p>
            <w:pPr>
              <w:pStyle w:val="yTableNAm"/>
              <w:rPr>
                <w:szCs w:val="22"/>
              </w:rPr>
            </w:pPr>
            <w:r>
              <w:rPr>
                <w:szCs w:val="22"/>
              </w:rPr>
              <w:t>Greenbushes</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11</w:t>
            </w:r>
          </w:p>
        </w:tc>
      </w:tr>
      <w:tr>
        <w:tc>
          <w:tcPr>
            <w:tcW w:w="2920" w:type="dxa"/>
            <w:tcBorders>
              <w:top w:val="nil"/>
              <w:left w:val="nil"/>
              <w:bottom w:val="nil"/>
              <w:right w:val="nil"/>
            </w:tcBorders>
            <w:vAlign w:val="center"/>
          </w:tcPr>
          <w:p>
            <w:pPr>
              <w:pStyle w:val="yTableNAm"/>
              <w:rPr>
                <w:szCs w:val="22"/>
              </w:rPr>
            </w:pPr>
            <w:r>
              <w:rPr>
                <w:szCs w:val="22"/>
              </w:rPr>
              <w:t>Greenhead</w:t>
            </w:r>
          </w:p>
        </w:tc>
        <w:tc>
          <w:tcPr>
            <w:tcW w:w="1800" w:type="dxa"/>
            <w:tcBorders>
              <w:top w:val="nil"/>
              <w:left w:val="nil"/>
              <w:bottom w:val="nil"/>
              <w:right w:val="nil"/>
            </w:tcBorders>
            <w:vAlign w:val="bottom"/>
          </w:tcPr>
          <w:p>
            <w:pPr>
              <w:pStyle w:val="yTableNAm"/>
              <w:jc w:val="center"/>
              <w:rPr>
                <w:szCs w:val="22"/>
              </w:rPr>
            </w:pPr>
            <w:r>
              <w:rPr>
                <w:szCs w:val="22"/>
              </w:rPr>
              <w:t>4</w:t>
            </w:r>
          </w:p>
        </w:tc>
        <w:tc>
          <w:tcPr>
            <w:tcW w:w="1800" w:type="dxa"/>
            <w:tcBorders>
              <w:top w:val="nil"/>
              <w:left w:val="nil"/>
              <w:bottom w:val="nil"/>
              <w:right w:val="nil"/>
            </w:tcBorders>
            <w:vAlign w:val="bottom"/>
          </w:tcPr>
          <w:p>
            <w:pPr>
              <w:pStyle w:val="yTableNAm"/>
              <w:jc w:val="center"/>
              <w:rPr>
                <w:szCs w:val="22"/>
              </w:rPr>
            </w:pPr>
            <w:r>
              <w:rPr>
                <w:szCs w:val="22"/>
              </w:rPr>
              <w:t>9</w:t>
            </w:r>
          </w:p>
        </w:tc>
      </w:tr>
      <w:tr>
        <w:tc>
          <w:tcPr>
            <w:tcW w:w="2920" w:type="dxa"/>
            <w:tcBorders>
              <w:top w:val="nil"/>
              <w:left w:val="nil"/>
              <w:bottom w:val="nil"/>
              <w:right w:val="nil"/>
            </w:tcBorders>
            <w:vAlign w:val="center"/>
          </w:tcPr>
          <w:p>
            <w:pPr>
              <w:pStyle w:val="yTableNAm"/>
              <w:rPr>
                <w:szCs w:val="22"/>
              </w:rPr>
            </w:pPr>
            <w:r>
              <w:rPr>
                <w:szCs w:val="22"/>
              </w:rPr>
              <w:t>Guilderton</w:t>
            </w:r>
          </w:p>
        </w:tc>
        <w:tc>
          <w:tcPr>
            <w:tcW w:w="1800" w:type="dxa"/>
            <w:tcBorders>
              <w:top w:val="nil"/>
              <w:left w:val="nil"/>
              <w:bottom w:val="nil"/>
              <w:right w:val="nil"/>
            </w:tcBorders>
            <w:vAlign w:val="bottom"/>
          </w:tcPr>
          <w:p>
            <w:pPr>
              <w:pStyle w:val="yTableNAm"/>
              <w:jc w:val="center"/>
              <w:rPr>
                <w:szCs w:val="22"/>
              </w:rPr>
            </w:pPr>
            <w:r>
              <w:rPr>
                <w:szCs w:val="22"/>
              </w:rPr>
              <w:t>3</w:t>
            </w:r>
          </w:p>
        </w:tc>
        <w:tc>
          <w:tcPr>
            <w:tcW w:w="1800" w:type="dxa"/>
            <w:tcBorders>
              <w:top w:val="nil"/>
              <w:left w:val="nil"/>
              <w:bottom w:val="nil"/>
              <w:right w:val="nil"/>
            </w:tcBorders>
            <w:vAlign w:val="bottom"/>
          </w:tcPr>
          <w:p>
            <w:pPr>
              <w:pStyle w:val="yTableNAm"/>
              <w:jc w:val="center"/>
              <w:rPr>
                <w:szCs w:val="22"/>
              </w:rPr>
            </w:pPr>
            <w:r>
              <w:rPr>
                <w:szCs w:val="22"/>
              </w:rPr>
              <w:t>8</w:t>
            </w:r>
          </w:p>
        </w:tc>
      </w:tr>
      <w:tr>
        <w:tc>
          <w:tcPr>
            <w:tcW w:w="2920" w:type="dxa"/>
            <w:tcBorders>
              <w:top w:val="nil"/>
              <w:left w:val="nil"/>
              <w:bottom w:val="nil"/>
              <w:right w:val="nil"/>
            </w:tcBorders>
            <w:vAlign w:val="center"/>
          </w:tcPr>
          <w:p>
            <w:pPr>
              <w:pStyle w:val="yTableNAm"/>
              <w:rPr>
                <w:szCs w:val="22"/>
              </w:rPr>
            </w:pPr>
            <w:r>
              <w:rPr>
                <w:szCs w:val="22"/>
              </w:rPr>
              <w:t>Halls Creek</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11</w:t>
            </w:r>
          </w:p>
        </w:tc>
      </w:tr>
      <w:tr>
        <w:tc>
          <w:tcPr>
            <w:tcW w:w="2920" w:type="dxa"/>
            <w:tcBorders>
              <w:top w:val="nil"/>
              <w:left w:val="nil"/>
              <w:bottom w:val="nil"/>
              <w:right w:val="nil"/>
            </w:tcBorders>
            <w:vAlign w:val="center"/>
          </w:tcPr>
          <w:p>
            <w:pPr>
              <w:pStyle w:val="yTableNAm"/>
              <w:rPr>
                <w:szCs w:val="22"/>
              </w:rPr>
            </w:pPr>
            <w:r>
              <w:rPr>
                <w:szCs w:val="22"/>
              </w:rPr>
              <w:t>Hamel/Waroona</w:t>
            </w:r>
          </w:p>
        </w:tc>
        <w:tc>
          <w:tcPr>
            <w:tcW w:w="1800" w:type="dxa"/>
            <w:tcBorders>
              <w:top w:val="nil"/>
              <w:left w:val="nil"/>
              <w:bottom w:val="nil"/>
              <w:right w:val="nil"/>
            </w:tcBorders>
            <w:vAlign w:val="bottom"/>
          </w:tcPr>
          <w:p>
            <w:pPr>
              <w:pStyle w:val="yTableNAm"/>
              <w:jc w:val="center"/>
              <w:rPr>
                <w:szCs w:val="22"/>
              </w:rPr>
            </w:pPr>
            <w:r>
              <w:rPr>
                <w:szCs w:val="22"/>
              </w:rPr>
              <w:t>2</w:t>
            </w:r>
          </w:p>
        </w:tc>
        <w:tc>
          <w:tcPr>
            <w:tcW w:w="1800" w:type="dxa"/>
            <w:tcBorders>
              <w:top w:val="nil"/>
              <w:left w:val="nil"/>
              <w:bottom w:val="nil"/>
              <w:right w:val="nil"/>
            </w:tcBorders>
            <w:vAlign w:val="bottom"/>
          </w:tcPr>
          <w:p>
            <w:pPr>
              <w:pStyle w:val="yTableNAm"/>
              <w:jc w:val="center"/>
              <w:rPr>
                <w:szCs w:val="22"/>
              </w:rPr>
            </w:pPr>
            <w:r>
              <w:rPr>
                <w:szCs w:val="22"/>
              </w:rPr>
              <w:t>3</w:t>
            </w:r>
          </w:p>
        </w:tc>
      </w:tr>
      <w:tr>
        <w:tc>
          <w:tcPr>
            <w:tcW w:w="2920" w:type="dxa"/>
            <w:tcBorders>
              <w:top w:val="nil"/>
              <w:left w:val="nil"/>
              <w:bottom w:val="nil"/>
              <w:right w:val="nil"/>
            </w:tcBorders>
            <w:vAlign w:val="center"/>
          </w:tcPr>
          <w:p>
            <w:pPr>
              <w:pStyle w:val="yTableNAm"/>
              <w:rPr>
                <w:szCs w:val="22"/>
              </w:rPr>
            </w:pPr>
            <w:r>
              <w:rPr>
                <w:szCs w:val="22"/>
              </w:rPr>
              <w:t>Harvey/Wokalup</w:t>
            </w:r>
          </w:p>
        </w:tc>
        <w:tc>
          <w:tcPr>
            <w:tcW w:w="1800" w:type="dxa"/>
            <w:tcBorders>
              <w:top w:val="nil"/>
              <w:left w:val="nil"/>
              <w:bottom w:val="nil"/>
              <w:right w:val="nil"/>
            </w:tcBorders>
            <w:vAlign w:val="bottom"/>
          </w:tcPr>
          <w:p>
            <w:pPr>
              <w:pStyle w:val="yTableNAm"/>
              <w:jc w:val="center"/>
              <w:rPr>
                <w:szCs w:val="22"/>
              </w:rPr>
            </w:pPr>
            <w:r>
              <w:rPr>
                <w:szCs w:val="22"/>
              </w:rPr>
              <w:t>3</w:t>
            </w:r>
          </w:p>
        </w:tc>
        <w:tc>
          <w:tcPr>
            <w:tcW w:w="1800" w:type="dxa"/>
            <w:tcBorders>
              <w:top w:val="nil"/>
              <w:left w:val="nil"/>
              <w:bottom w:val="nil"/>
              <w:right w:val="nil"/>
            </w:tcBorders>
            <w:vAlign w:val="bottom"/>
          </w:tcPr>
          <w:p>
            <w:pPr>
              <w:pStyle w:val="yTableNAm"/>
              <w:jc w:val="center"/>
              <w:rPr>
                <w:szCs w:val="22"/>
              </w:rPr>
            </w:pPr>
            <w:r>
              <w:rPr>
                <w:szCs w:val="22"/>
              </w:rPr>
              <w:t>3</w:t>
            </w:r>
          </w:p>
        </w:tc>
      </w:tr>
      <w:tr>
        <w:tc>
          <w:tcPr>
            <w:tcW w:w="2920" w:type="dxa"/>
            <w:tcBorders>
              <w:top w:val="nil"/>
              <w:left w:val="nil"/>
              <w:bottom w:val="nil"/>
              <w:right w:val="nil"/>
            </w:tcBorders>
            <w:vAlign w:val="center"/>
          </w:tcPr>
          <w:p>
            <w:pPr>
              <w:pStyle w:val="yTableNAm"/>
              <w:rPr>
                <w:szCs w:val="22"/>
              </w:rPr>
            </w:pPr>
            <w:r>
              <w:rPr>
                <w:szCs w:val="22"/>
              </w:rPr>
              <w:t>Highbury/Piesseville</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11</w:t>
            </w:r>
          </w:p>
        </w:tc>
      </w:tr>
      <w:tr>
        <w:tc>
          <w:tcPr>
            <w:tcW w:w="2920" w:type="dxa"/>
            <w:tcBorders>
              <w:top w:val="nil"/>
              <w:left w:val="nil"/>
              <w:bottom w:val="nil"/>
              <w:right w:val="nil"/>
            </w:tcBorders>
            <w:vAlign w:val="center"/>
          </w:tcPr>
          <w:p>
            <w:pPr>
              <w:pStyle w:val="yTableNAm"/>
              <w:rPr>
                <w:szCs w:val="22"/>
              </w:rPr>
            </w:pPr>
            <w:r>
              <w:rPr>
                <w:szCs w:val="22"/>
              </w:rPr>
              <w:t>Hines Hill</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11</w:t>
            </w:r>
          </w:p>
        </w:tc>
      </w:tr>
      <w:tr>
        <w:tc>
          <w:tcPr>
            <w:tcW w:w="2920" w:type="dxa"/>
            <w:tcBorders>
              <w:top w:val="nil"/>
              <w:left w:val="nil"/>
              <w:bottom w:val="nil"/>
              <w:right w:val="nil"/>
            </w:tcBorders>
            <w:vAlign w:val="center"/>
          </w:tcPr>
          <w:p>
            <w:pPr>
              <w:pStyle w:val="yTableNAm"/>
              <w:rPr>
                <w:szCs w:val="22"/>
              </w:rPr>
            </w:pPr>
            <w:r>
              <w:rPr>
                <w:szCs w:val="22"/>
              </w:rPr>
              <w:t>Hopetoun</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11</w:t>
            </w:r>
          </w:p>
        </w:tc>
      </w:tr>
      <w:tr>
        <w:tc>
          <w:tcPr>
            <w:tcW w:w="2920" w:type="dxa"/>
            <w:tcBorders>
              <w:top w:val="nil"/>
              <w:left w:val="nil"/>
              <w:bottom w:val="nil"/>
              <w:right w:val="nil"/>
            </w:tcBorders>
            <w:vAlign w:val="center"/>
          </w:tcPr>
          <w:p>
            <w:pPr>
              <w:pStyle w:val="yTableNAm"/>
              <w:rPr>
                <w:szCs w:val="22"/>
              </w:rPr>
            </w:pPr>
            <w:r>
              <w:rPr>
                <w:szCs w:val="22"/>
              </w:rPr>
              <w:t>Horrocks</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13</w:t>
            </w:r>
          </w:p>
        </w:tc>
      </w:tr>
      <w:tr>
        <w:tc>
          <w:tcPr>
            <w:tcW w:w="2920" w:type="dxa"/>
            <w:tcBorders>
              <w:top w:val="nil"/>
              <w:left w:val="nil"/>
              <w:bottom w:val="nil"/>
              <w:right w:val="nil"/>
            </w:tcBorders>
            <w:vAlign w:val="center"/>
          </w:tcPr>
          <w:p>
            <w:pPr>
              <w:pStyle w:val="yTableNAm"/>
              <w:rPr>
                <w:szCs w:val="22"/>
              </w:rPr>
            </w:pPr>
            <w:r>
              <w:rPr>
                <w:szCs w:val="22"/>
              </w:rPr>
              <w:t>Hyden</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13</w:t>
            </w:r>
          </w:p>
        </w:tc>
      </w:tr>
      <w:tr>
        <w:tc>
          <w:tcPr>
            <w:tcW w:w="2920" w:type="dxa"/>
            <w:tcBorders>
              <w:top w:val="nil"/>
              <w:left w:val="nil"/>
              <w:bottom w:val="nil"/>
              <w:right w:val="nil"/>
            </w:tcBorders>
            <w:vAlign w:val="center"/>
          </w:tcPr>
          <w:p>
            <w:pPr>
              <w:pStyle w:val="yTableNAm"/>
              <w:rPr>
                <w:szCs w:val="22"/>
              </w:rPr>
            </w:pPr>
            <w:r>
              <w:rPr>
                <w:szCs w:val="22"/>
              </w:rPr>
              <w:t>Jerramungup</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13</w:t>
            </w:r>
          </w:p>
        </w:tc>
      </w:tr>
      <w:tr>
        <w:tc>
          <w:tcPr>
            <w:tcW w:w="2920" w:type="dxa"/>
            <w:tcBorders>
              <w:top w:val="nil"/>
              <w:left w:val="nil"/>
              <w:bottom w:val="nil"/>
              <w:right w:val="nil"/>
            </w:tcBorders>
            <w:vAlign w:val="center"/>
          </w:tcPr>
          <w:p>
            <w:pPr>
              <w:pStyle w:val="yTableNAm"/>
              <w:rPr>
                <w:szCs w:val="22"/>
              </w:rPr>
            </w:pPr>
            <w:r>
              <w:rPr>
                <w:szCs w:val="22"/>
              </w:rPr>
              <w:t>Jurien Bay</w:t>
            </w:r>
          </w:p>
        </w:tc>
        <w:tc>
          <w:tcPr>
            <w:tcW w:w="1800" w:type="dxa"/>
            <w:tcBorders>
              <w:top w:val="nil"/>
              <w:left w:val="nil"/>
              <w:bottom w:val="nil"/>
              <w:right w:val="nil"/>
            </w:tcBorders>
            <w:vAlign w:val="bottom"/>
          </w:tcPr>
          <w:p>
            <w:pPr>
              <w:pStyle w:val="yTableNAm"/>
              <w:jc w:val="center"/>
              <w:rPr>
                <w:szCs w:val="22"/>
              </w:rPr>
            </w:pPr>
            <w:r>
              <w:rPr>
                <w:szCs w:val="22"/>
              </w:rPr>
              <w:t>2</w:t>
            </w:r>
          </w:p>
        </w:tc>
        <w:tc>
          <w:tcPr>
            <w:tcW w:w="1800" w:type="dxa"/>
            <w:tcBorders>
              <w:top w:val="nil"/>
              <w:left w:val="nil"/>
              <w:bottom w:val="nil"/>
              <w:right w:val="nil"/>
            </w:tcBorders>
            <w:vAlign w:val="bottom"/>
          </w:tcPr>
          <w:p>
            <w:pPr>
              <w:pStyle w:val="yTableNAm"/>
              <w:jc w:val="center"/>
              <w:rPr>
                <w:szCs w:val="22"/>
              </w:rPr>
            </w:pPr>
            <w:r>
              <w:rPr>
                <w:szCs w:val="22"/>
              </w:rPr>
              <w:t>3</w:t>
            </w:r>
          </w:p>
        </w:tc>
      </w:tr>
      <w:tr>
        <w:tc>
          <w:tcPr>
            <w:tcW w:w="2920" w:type="dxa"/>
            <w:tcBorders>
              <w:top w:val="nil"/>
              <w:left w:val="nil"/>
              <w:bottom w:val="nil"/>
              <w:right w:val="nil"/>
            </w:tcBorders>
            <w:vAlign w:val="center"/>
          </w:tcPr>
          <w:p>
            <w:pPr>
              <w:pStyle w:val="yTableNAm"/>
              <w:rPr>
                <w:szCs w:val="22"/>
              </w:rPr>
            </w:pPr>
            <w:r>
              <w:rPr>
                <w:szCs w:val="22"/>
              </w:rPr>
              <w:t>Kalannie</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13</w:t>
            </w:r>
          </w:p>
        </w:tc>
      </w:tr>
      <w:tr>
        <w:tc>
          <w:tcPr>
            <w:tcW w:w="2920" w:type="dxa"/>
            <w:tcBorders>
              <w:top w:val="nil"/>
              <w:left w:val="nil"/>
              <w:bottom w:val="nil"/>
              <w:right w:val="nil"/>
            </w:tcBorders>
            <w:vAlign w:val="center"/>
          </w:tcPr>
          <w:p>
            <w:pPr>
              <w:pStyle w:val="yTableNAm"/>
              <w:rPr>
                <w:szCs w:val="22"/>
              </w:rPr>
            </w:pPr>
            <w:r>
              <w:rPr>
                <w:szCs w:val="22"/>
              </w:rPr>
              <w:t>Kalbarri</w:t>
            </w:r>
          </w:p>
        </w:tc>
        <w:tc>
          <w:tcPr>
            <w:tcW w:w="1800" w:type="dxa"/>
            <w:tcBorders>
              <w:top w:val="nil"/>
              <w:left w:val="nil"/>
              <w:bottom w:val="nil"/>
              <w:right w:val="nil"/>
            </w:tcBorders>
            <w:vAlign w:val="bottom"/>
          </w:tcPr>
          <w:p>
            <w:pPr>
              <w:pStyle w:val="yTableNAm"/>
              <w:jc w:val="center"/>
              <w:rPr>
                <w:szCs w:val="22"/>
              </w:rPr>
            </w:pPr>
            <w:r>
              <w:rPr>
                <w:szCs w:val="22"/>
              </w:rPr>
              <w:t>2</w:t>
            </w:r>
          </w:p>
        </w:tc>
        <w:tc>
          <w:tcPr>
            <w:tcW w:w="1800" w:type="dxa"/>
            <w:tcBorders>
              <w:top w:val="nil"/>
              <w:left w:val="nil"/>
              <w:bottom w:val="nil"/>
              <w:right w:val="nil"/>
            </w:tcBorders>
            <w:vAlign w:val="bottom"/>
          </w:tcPr>
          <w:p>
            <w:pPr>
              <w:pStyle w:val="yTableNAm"/>
              <w:jc w:val="center"/>
              <w:rPr>
                <w:szCs w:val="22"/>
              </w:rPr>
            </w:pPr>
            <w:r>
              <w:rPr>
                <w:szCs w:val="22"/>
              </w:rPr>
              <w:t>2</w:t>
            </w:r>
          </w:p>
        </w:tc>
      </w:tr>
      <w:tr>
        <w:tc>
          <w:tcPr>
            <w:tcW w:w="2920" w:type="dxa"/>
            <w:tcBorders>
              <w:top w:val="nil"/>
              <w:left w:val="nil"/>
              <w:bottom w:val="nil"/>
              <w:right w:val="nil"/>
            </w:tcBorders>
            <w:vAlign w:val="center"/>
          </w:tcPr>
          <w:p>
            <w:pPr>
              <w:pStyle w:val="yTableNAm"/>
              <w:rPr>
                <w:szCs w:val="22"/>
              </w:rPr>
            </w:pPr>
            <w:r>
              <w:rPr>
                <w:szCs w:val="22"/>
              </w:rPr>
              <w:t>Kalgoorlie/Boulder</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11</w:t>
            </w:r>
          </w:p>
        </w:tc>
      </w:tr>
      <w:tr>
        <w:tc>
          <w:tcPr>
            <w:tcW w:w="2920" w:type="dxa"/>
            <w:tcBorders>
              <w:top w:val="nil"/>
              <w:left w:val="nil"/>
              <w:bottom w:val="nil"/>
              <w:right w:val="nil"/>
            </w:tcBorders>
            <w:vAlign w:val="center"/>
          </w:tcPr>
          <w:p>
            <w:pPr>
              <w:pStyle w:val="yTableNAm"/>
              <w:rPr>
                <w:szCs w:val="22"/>
              </w:rPr>
            </w:pPr>
            <w:r>
              <w:rPr>
                <w:szCs w:val="22"/>
              </w:rPr>
              <w:t>Kambalda</w:t>
            </w:r>
          </w:p>
        </w:tc>
        <w:tc>
          <w:tcPr>
            <w:tcW w:w="1800" w:type="dxa"/>
            <w:tcBorders>
              <w:top w:val="nil"/>
              <w:left w:val="nil"/>
              <w:bottom w:val="nil"/>
              <w:right w:val="nil"/>
            </w:tcBorders>
            <w:vAlign w:val="bottom"/>
          </w:tcPr>
          <w:p>
            <w:pPr>
              <w:pStyle w:val="yTableNAm"/>
              <w:jc w:val="center"/>
              <w:rPr>
                <w:szCs w:val="22"/>
              </w:rPr>
            </w:pPr>
            <w:r>
              <w:rPr>
                <w:szCs w:val="22"/>
              </w:rPr>
              <w:t>4</w:t>
            </w:r>
          </w:p>
        </w:tc>
        <w:tc>
          <w:tcPr>
            <w:tcW w:w="1800" w:type="dxa"/>
            <w:tcBorders>
              <w:top w:val="nil"/>
              <w:left w:val="nil"/>
              <w:bottom w:val="nil"/>
              <w:right w:val="nil"/>
            </w:tcBorders>
            <w:vAlign w:val="bottom"/>
          </w:tcPr>
          <w:p>
            <w:pPr>
              <w:pStyle w:val="yTableNAm"/>
              <w:jc w:val="center"/>
              <w:rPr>
                <w:szCs w:val="22"/>
              </w:rPr>
            </w:pPr>
            <w:r>
              <w:rPr>
                <w:szCs w:val="22"/>
              </w:rPr>
              <w:t>7</w:t>
            </w:r>
          </w:p>
        </w:tc>
      </w:tr>
      <w:tr>
        <w:tc>
          <w:tcPr>
            <w:tcW w:w="2920" w:type="dxa"/>
            <w:tcBorders>
              <w:top w:val="nil"/>
              <w:left w:val="nil"/>
              <w:bottom w:val="nil"/>
              <w:right w:val="nil"/>
            </w:tcBorders>
            <w:vAlign w:val="center"/>
          </w:tcPr>
          <w:p>
            <w:pPr>
              <w:pStyle w:val="yTableNAm"/>
              <w:rPr>
                <w:szCs w:val="22"/>
              </w:rPr>
            </w:pPr>
            <w:r>
              <w:rPr>
                <w:szCs w:val="22"/>
              </w:rPr>
              <w:t>Karakin</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9</w:t>
            </w:r>
          </w:p>
        </w:tc>
      </w:tr>
      <w:tr>
        <w:tc>
          <w:tcPr>
            <w:tcW w:w="2920" w:type="dxa"/>
            <w:tcBorders>
              <w:top w:val="nil"/>
              <w:left w:val="nil"/>
              <w:bottom w:val="nil"/>
              <w:right w:val="nil"/>
            </w:tcBorders>
            <w:vAlign w:val="center"/>
          </w:tcPr>
          <w:p>
            <w:pPr>
              <w:pStyle w:val="yTableNAm"/>
              <w:rPr>
                <w:szCs w:val="22"/>
              </w:rPr>
            </w:pPr>
            <w:r>
              <w:rPr>
                <w:szCs w:val="22"/>
              </w:rPr>
              <w:t>Karlgarin</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14</w:t>
            </w:r>
          </w:p>
        </w:tc>
      </w:tr>
      <w:tr>
        <w:tc>
          <w:tcPr>
            <w:tcW w:w="2920" w:type="dxa"/>
            <w:tcBorders>
              <w:top w:val="nil"/>
              <w:left w:val="nil"/>
              <w:bottom w:val="nil"/>
              <w:right w:val="nil"/>
            </w:tcBorders>
            <w:vAlign w:val="center"/>
          </w:tcPr>
          <w:p>
            <w:pPr>
              <w:pStyle w:val="yTableNAm"/>
              <w:rPr>
                <w:szCs w:val="22"/>
              </w:rPr>
            </w:pPr>
            <w:r>
              <w:rPr>
                <w:szCs w:val="22"/>
              </w:rPr>
              <w:t>Karratha</w:t>
            </w:r>
          </w:p>
        </w:tc>
        <w:tc>
          <w:tcPr>
            <w:tcW w:w="1800" w:type="dxa"/>
            <w:tcBorders>
              <w:top w:val="nil"/>
              <w:left w:val="nil"/>
              <w:bottom w:val="nil"/>
              <w:right w:val="nil"/>
            </w:tcBorders>
            <w:vAlign w:val="bottom"/>
          </w:tcPr>
          <w:p>
            <w:pPr>
              <w:pStyle w:val="yTableNAm"/>
              <w:jc w:val="center"/>
              <w:rPr>
                <w:szCs w:val="22"/>
              </w:rPr>
            </w:pPr>
            <w:r>
              <w:rPr>
                <w:szCs w:val="22"/>
              </w:rPr>
              <w:t>2</w:t>
            </w:r>
          </w:p>
        </w:tc>
        <w:tc>
          <w:tcPr>
            <w:tcW w:w="1800" w:type="dxa"/>
            <w:tcBorders>
              <w:top w:val="nil"/>
              <w:left w:val="nil"/>
              <w:bottom w:val="nil"/>
              <w:right w:val="nil"/>
            </w:tcBorders>
            <w:vAlign w:val="bottom"/>
          </w:tcPr>
          <w:p>
            <w:pPr>
              <w:pStyle w:val="yTableNAm"/>
              <w:jc w:val="center"/>
              <w:rPr>
                <w:szCs w:val="22"/>
              </w:rPr>
            </w:pPr>
            <w:r>
              <w:rPr>
                <w:szCs w:val="22"/>
              </w:rPr>
              <w:t>6</w:t>
            </w:r>
          </w:p>
        </w:tc>
      </w:tr>
      <w:tr>
        <w:tc>
          <w:tcPr>
            <w:tcW w:w="2920" w:type="dxa"/>
            <w:tcBorders>
              <w:top w:val="nil"/>
              <w:left w:val="nil"/>
              <w:bottom w:val="nil"/>
              <w:right w:val="nil"/>
            </w:tcBorders>
            <w:vAlign w:val="center"/>
          </w:tcPr>
          <w:p>
            <w:pPr>
              <w:pStyle w:val="yTableNAm"/>
              <w:rPr>
                <w:szCs w:val="22"/>
              </w:rPr>
            </w:pPr>
            <w:r>
              <w:rPr>
                <w:szCs w:val="22"/>
              </w:rPr>
              <w:t>Katanning</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11</w:t>
            </w:r>
          </w:p>
        </w:tc>
      </w:tr>
      <w:tr>
        <w:tc>
          <w:tcPr>
            <w:tcW w:w="2920" w:type="dxa"/>
            <w:tcBorders>
              <w:top w:val="nil"/>
              <w:left w:val="nil"/>
              <w:bottom w:val="nil"/>
              <w:right w:val="nil"/>
            </w:tcBorders>
            <w:vAlign w:val="center"/>
          </w:tcPr>
          <w:p>
            <w:pPr>
              <w:pStyle w:val="yTableNAm"/>
              <w:rPr>
                <w:szCs w:val="22"/>
              </w:rPr>
            </w:pPr>
            <w:r>
              <w:rPr>
                <w:szCs w:val="22"/>
              </w:rPr>
              <w:t>Katanning Farmlands</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11</w:t>
            </w:r>
          </w:p>
        </w:tc>
      </w:tr>
      <w:tr>
        <w:tc>
          <w:tcPr>
            <w:tcW w:w="2920" w:type="dxa"/>
            <w:tcBorders>
              <w:top w:val="nil"/>
              <w:left w:val="nil"/>
              <w:bottom w:val="nil"/>
              <w:right w:val="nil"/>
            </w:tcBorders>
            <w:vAlign w:val="center"/>
          </w:tcPr>
          <w:p>
            <w:pPr>
              <w:pStyle w:val="yTableNAm"/>
              <w:rPr>
                <w:szCs w:val="22"/>
              </w:rPr>
            </w:pPr>
            <w:r>
              <w:rPr>
                <w:szCs w:val="22"/>
              </w:rPr>
              <w:t>Kellerberrin</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11</w:t>
            </w:r>
          </w:p>
        </w:tc>
      </w:tr>
      <w:tr>
        <w:tc>
          <w:tcPr>
            <w:tcW w:w="2920" w:type="dxa"/>
            <w:tcBorders>
              <w:top w:val="nil"/>
              <w:left w:val="nil"/>
              <w:bottom w:val="nil"/>
              <w:right w:val="nil"/>
            </w:tcBorders>
            <w:vAlign w:val="center"/>
          </w:tcPr>
          <w:p>
            <w:pPr>
              <w:pStyle w:val="yTableNAm"/>
              <w:rPr>
                <w:szCs w:val="22"/>
              </w:rPr>
            </w:pPr>
            <w:r>
              <w:rPr>
                <w:szCs w:val="22"/>
              </w:rPr>
              <w:t>Kendenup</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13</w:t>
            </w:r>
          </w:p>
        </w:tc>
      </w:tr>
      <w:tr>
        <w:tc>
          <w:tcPr>
            <w:tcW w:w="2920" w:type="dxa"/>
            <w:tcBorders>
              <w:top w:val="nil"/>
              <w:left w:val="nil"/>
              <w:bottom w:val="nil"/>
              <w:right w:val="nil"/>
            </w:tcBorders>
            <w:vAlign w:val="center"/>
          </w:tcPr>
          <w:p>
            <w:pPr>
              <w:pStyle w:val="yTableNAm"/>
              <w:rPr>
                <w:szCs w:val="22"/>
              </w:rPr>
            </w:pPr>
            <w:r>
              <w:rPr>
                <w:szCs w:val="22"/>
              </w:rPr>
              <w:t>Kendenup Farmlands</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11</w:t>
            </w:r>
          </w:p>
        </w:tc>
      </w:tr>
      <w:tr>
        <w:tc>
          <w:tcPr>
            <w:tcW w:w="2920" w:type="dxa"/>
            <w:tcBorders>
              <w:top w:val="nil"/>
              <w:left w:val="nil"/>
              <w:bottom w:val="nil"/>
              <w:right w:val="nil"/>
            </w:tcBorders>
            <w:vAlign w:val="center"/>
          </w:tcPr>
          <w:p>
            <w:pPr>
              <w:pStyle w:val="yTableNAm"/>
              <w:rPr>
                <w:szCs w:val="22"/>
              </w:rPr>
            </w:pPr>
            <w:r>
              <w:rPr>
                <w:szCs w:val="22"/>
              </w:rPr>
              <w:t>Kirup</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13</w:t>
            </w:r>
          </w:p>
        </w:tc>
      </w:tr>
      <w:tr>
        <w:tc>
          <w:tcPr>
            <w:tcW w:w="2920" w:type="dxa"/>
            <w:tcBorders>
              <w:top w:val="nil"/>
              <w:left w:val="nil"/>
              <w:bottom w:val="nil"/>
              <w:right w:val="nil"/>
            </w:tcBorders>
            <w:vAlign w:val="center"/>
          </w:tcPr>
          <w:p>
            <w:pPr>
              <w:pStyle w:val="yTableNAm"/>
              <w:rPr>
                <w:szCs w:val="22"/>
              </w:rPr>
            </w:pPr>
            <w:r>
              <w:rPr>
                <w:szCs w:val="22"/>
              </w:rPr>
              <w:t>Kojonup/Muradup</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11</w:t>
            </w:r>
          </w:p>
        </w:tc>
      </w:tr>
      <w:tr>
        <w:tc>
          <w:tcPr>
            <w:tcW w:w="2920" w:type="dxa"/>
            <w:tcBorders>
              <w:top w:val="nil"/>
              <w:left w:val="nil"/>
              <w:bottom w:val="nil"/>
              <w:right w:val="nil"/>
            </w:tcBorders>
            <w:vAlign w:val="center"/>
          </w:tcPr>
          <w:p>
            <w:pPr>
              <w:pStyle w:val="yTableNAm"/>
              <w:rPr>
                <w:szCs w:val="22"/>
              </w:rPr>
            </w:pPr>
            <w:r>
              <w:rPr>
                <w:szCs w:val="22"/>
              </w:rPr>
              <w:t>Kondinin</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13</w:t>
            </w:r>
          </w:p>
        </w:tc>
      </w:tr>
      <w:tr>
        <w:tc>
          <w:tcPr>
            <w:tcW w:w="2920" w:type="dxa"/>
            <w:tcBorders>
              <w:top w:val="nil"/>
              <w:left w:val="nil"/>
              <w:bottom w:val="nil"/>
              <w:right w:val="nil"/>
            </w:tcBorders>
            <w:vAlign w:val="center"/>
          </w:tcPr>
          <w:p>
            <w:pPr>
              <w:pStyle w:val="yTableNAm"/>
              <w:rPr>
                <w:szCs w:val="22"/>
              </w:rPr>
            </w:pPr>
            <w:r>
              <w:rPr>
                <w:szCs w:val="22"/>
              </w:rPr>
              <w:t>Koorda</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11</w:t>
            </w:r>
          </w:p>
        </w:tc>
      </w:tr>
      <w:tr>
        <w:tc>
          <w:tcPr>
            <w:tcW w:w="2920" w:type="dxa"/>
            <w:tcBorders>
              <w:top w:val="nil"/>
              <w:left w:val="nil"/>
              <w:bottom w:val="nil"/>
              <w:right w:val="nil"/>
            </w:tcBorders>
            <w:vAlign w:val="center"/>
          </w:tcPr>
          <w:p>
            <w:pPr>
              <w:pStyle w:val="yTableNAm"/>
              <w:rPr>
                <w:szCs w:val="22"/>
              </w:rPr>
            </w:pPr>
            <w:r>
              <w:rPr>
                <w:szCs w:val="22"/>
              </w:rPr>
              <w:t>Kukerin/Moulyinning</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14</w:t>
            </w:r>
          </w:p>
        </w:tc>
      </w:tr>
      <w:tr>
        <w:tc>
          <w:tcPr>
            <w:tcW w:w="2920" w:type="dxa"/>
            <w:tcBorders>
              <w:top w:val="nil"/>
              <w:left w:val="nil"/>
              <w:bottom w:val="nil"/>
              <w:right w:val="nil"/>
            </w:tcBorders>
            <w:vAlign w:val="center"/>
          </w:tcPr>
          <w:p>
            <w:pPr>
              <w:pStyle w:val="yTableNAm"/>
              <w:rPr>
                <w:szCs w:val="22"/>
              </w:rPr>
            </w:pPr>
            <w:r>
              <w:rPr>
                <w:szCs w:val="22"/>
              </w:rPr>
              <w:t>Kulin</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13</w:t>
            </w:r>
          </w:p>
        </w:tc>
      </w:tr>
      <w:tr>
        <w:tc>
          <w:tcPr>
            <w:tcW w:w="2920" w:type="dxa"/>
            <w:tcBorders>
              <w:top w:val="nil"/>
              <w:left w:val="nil"/>
              <w:bottom w:val="nil"/>
              <w:right w:val="nil"/>
            </w:tcBorders>
            <w:vAlign w:val="center"/>
          </w:tcPr>
          <w:p>
            <w:pPr>
              <w:pStyle w:val="yTableNAm"/>
              <w:rPr>
                <w:szCs w:val="22"/>
              </w:rPr>
            </w:pPr>
            <w:r>
              <w:rPr>
                <w:szCs w:val="22"/>
              </w:rPr>
              <w:t>Kununoppin</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13</w:t>
            </w:r>
          </w:p>
        </w:tc>
      </w:tr>
      <w:tr>
        <w:tc>
          <w:tcPr>
            <w:tcW w:w="2920" w:type="dxa"/>
            <w:tcBorders>
              <w:top w:val="nil"/>
              <w:left w:val="nil"/>
              <w:bottom w:val="nil"/>
              <w:right w:val="nil"/>
            </w:tcBorders>
          </w:tcPr>
          <w:p>
            <w:pPr>
              <w:pStyle w:val="yTableNAm"/>
              <w:rPr>
                <w:szCs w:val="22"/>
              </w:rPr>
            </w:pPr>
            <w:r>
              <w:rPr>
                <w:szCs w:val="22"/>
              </w:rPr>
              <w:t>Kununurra</w:t>
            </w:r>
          </w:p>
        </w:tc>
        <w:tc>
          <w:tcPr>
            <w:tcW w:w="1800" w:type="dxa"/>
            <w:tcBorders>
              <w:top w:val="nil"/>
              <w:left w:val="nil"/>
              <w:bottom w:val="nil"/>
              <w:right w:val="nil"/>
            </w:tcBorders>
            <w:vAlign w:val="bottom"/>
          </w:tcPr>
          <w:p>
            <w:pPr>
              <w:pStyle w:val="yTableNAm"/>
              <w:jc w:val="center"/>
              <w:rPr>
                <w:szCs w:val="22"/>
              </w:rPr>
            </w:pPr>
            <w:r>
              <w:rPr>
                <w:szCs w:val="22"/>
              </w:rPr>
              <w:t>2</w:t>
            </w:r>
          </w:p>
        </w:tc>
        <w:tc>
          <w:tcPr>
            <w:tcW w:w="1800" w:type="dxa"/>
            <w:tcBorders>
              <w:top w:val="nil"/>
              <w:left w:val="nil"/>
              <w:bottom w:val="nil"/>
              <w:right w:val="nil"/>
            </w:tcBorders>
            <w:vAlign w:val="bottom"/>
          </w:tcPr>
          <w:p>
            <w:pPr>
              <w:pStyle w:val="yTableNAm"/>
              <w:jc w:val="center"/>
              <w:rPr>
                <w:szCs w:val="22"/>
              </w:rPr>
            </w:pPr>
            <w:r>
              <w:rPr>
                <w:szCs w:val="22"/>
              </w:rPr>
              <w:t>2</w:t>
            </w:r>
          </w:p>
        </w:tc>
      </w:tr>
      <w:tr>
        <w:tc>
          <w:tcPr>
            <w:tcW w:w="2920" w:type="dxa"/>
            <w:tcBorders>
              <w:top w:val="nil"/>
              <w:left w:val="nil"/>
              <w:bottom w:val="nil"/>
              <w:right w:val="nil"/>
            </w:tcBorders>
            <w:vAlign w:val="center"/>
          </w:tcPr>
          <w:p>
            <w:pPr>
              <w:pStyle w:val="yTableNAm"/>
              <w:rPr>
                <w:szCs w:val="22"/>
              </w:rPr>
            </w:pPr>
            <w:r>
              <w:rPr>
                <w:szCs w:val="22"/>
              </w:rPr>
              <w:t>Lake Argyle</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13</w:t>
            </w:r>
          </w:p>
        </w:tc>
      </w:tr>
      <w:tr>
        <w:tc>
          <w:tcPr>
            <w:tcW w:w="2920" w:type="dxa"/>
            <w:tcBorders>
              <w:top w:val="nil"/>
              <w:left w:val="nil"/>
              <w:bottom w:val="nil"/>
              <w:right w:val="nil"/>
            </w:tcBorders>
            <w:vAlign w:val="center"/>
          </w:tcPr>
          <w:p>
            <w:pPr>
              <w:pStyle w:val="yTableNAm"/>
              <w:rPr>
                <w:szCs w:val="22"/>
              </w:rPr>
            </w:pPr>
            <w:r>
              <w:rPr>
                <w:szCs w:val="22"/>
              </w:rPr>
              <w:t>Lake Grace</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13</w:t>
            </w:r>
          </w:p>
        </w:tc>
      </w:tr>
      <w:tr>
        <w:tc>
          <w:tcPr>
            <w:tcW w:w="2920" w:type="dxa"/>
            <w:tcBorders>
              <w:top w:val="nil"/>
              <w:left w:val="nil"/>
              <w:bottom w:val="nil"/>
              <w:right w:val="nil"/>
            </w:tcBorders>
            <w:vAlign w:val="center"/>
          </w:tcPr>
          <w:p>
            <w:pPr>
              <w:pStyle w:val="yTableNAm"/>
              <w:rPr>
                <w:szCs w:val="22"/>
              </w:rPr>
            </w:pPr>
            <w:r>
              <w:rPr>
                <w:szCs w:val="22"/>
              </w:rPr>
              <w:t>Lake King</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14</w:t>
            </w:r>
          </w:p>
        </w:tc>
      </w:tr>
      <w:tr>
        <w:tc>
          <w:tcPr>
            <w:tcW w:w="2920" w:type="dxa"/>
            <w:tcBorders>
              <w:top w:val="nil"/>
              <w:left w:val="nil"/>
              <w:bottom w:val="nil"/>
              <w:right w:val="nil"/>
            </w:tcBorders>
            <w:vAlign w:val="center"/>
          </w:tcPr>
          <w:p>
            <w:pPr>
              <w:pStyle w:val="yTableNAm"/>
              <w:rPr>
                <w:szCs w:val="22"/>
              </w:rPr>
            </w:pPr>
            <w:r>
              <w:rPr>
                <w:szCs w:val="22"/>
              </w:rPr>
              <w:t>Lancelin</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9</w:t>
            </w:r>
          </w:p>
        </w:tc>
      </w:tr>
      <w:tr>
        <w:tc>
          <w:tcPr>
            <w:tcW w:w="2920" w:type="dxa"/>
            <w:tcBorders>
              <w:top w:val="nil"/>
              <w:left w:val="nil"/>
              <w:bottom w:val="nil"/>
              <w:right w:val="nil"/>
            </w:tcBorders>
            <w:vAlign w:val="center"/>
          </w:tcPr>
          <w:p>
            <w:pPr>
              <w:pStyle w:val="yTableNAm"/>
              <w:rPr>
                <w:szCs w:val="22"/>
              </w:rPr>
            </w:pPr>
            <w:r>
              <w:rPr>
                <w:szCs w:val="22"/>
              </w:rPr>
              <w:t>Latham</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13</w:t>
            </w:r>
          </w:p>
        </w:tc>
      </w:tr>
      <w:tr>
        <w:tc>
          <w:tcPr>
            <w:tcW w:w="2920" w:type="dxa"/>
            <w:tcBorders>
              <w:top w:val="nil"/>
              <w:left w:val="nil"/>
              <w:bottom w:val="nil"/>
              <w:right w:val="nil"/>
            </w:tcBorders>
            <w:vAlign w:val="center"/>
          </w:tcPr>
          <w:p>
            <w:pPr>
              <w:pStyle w:val="yTableNAm"/>
              <w:rPr>
                <w:szCs w:val="22"/>
              </w:rPr>
            </w:pPr>
            <w:r>
              <w:rPr>
                <w:szCs w:val="22"/>
              </w:rPr>
              <w:t>Laverton</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11</w:t>
            </w:r>
          </w:p>
        </w:tc>
      </w:tr>
      <w:tr>
        <w:tc>
          <w:tcPr>
            <w:tcW w:w="2920" w:type="dxa"/>
            <w:tcBorders>
              <w:top w:val="nil"/>
              <w:left w:val="nil"/>
              <w:bottom w:val="nil"/>
              <w:right w:val="nil"/>
            </w:tcBorders>
            <w:vAlign w:val="center"/>
          </w:tcPr>
          <w:p>
            <w:pPr>
              <w:pStyle w:val="yTableNAm"/>
              <w:rPr>
                <w:szCs w:val="22"/>
              </w:rPr>
            </w:pPr>
            <w:r>
              <w:rPr>
                <w:szCs w:val="22"/>
              </w:rPr>
              <w:t>Ledge Point</w:t>
            </w:r>
          </w:p>
        </w:tc>
        <w:tc>
          <w:tcPr>
            <w:tcW w:w="1800" w:type="dxa"/>
            <w:tcBorders>
              <w:top w:val="nil"/>
              <w:left w:val="nil"/>
              <w:bottom w:val="nil"/>
              <w:right w:val="nil"/>
            </w:tcBorders>
            <w:vAlign w:val="bottom"/>
          </w:tcPr>
          <w:p>
            <w:pPr>
              <w:pStyle w:val="yTableNAm"/>
              <w:jc w:val="center"/>
              <w:rPr>
                <w:szCs w:val="22"/>
              </w:rPr>
            </w:pPr>
            <w:r>
              <w:rPr>
                <w:szCs w:val="22"/>
              </w:rPr>
              <w:t>4</w:t>
            </w:r>
          </w:p>
        </w:tc>
        <w:tc>
          <w:tcPr>
            <w:tcW w:w="1800" w:type="dxa"/>
            <w:tcBorders>
              <w:top w:val="nil"/>
              <w:left w:val="nil"/>
              <w:bottom w:val="nil"/>
              <w:right w:val="nil"/>
            </w:tcBorders>
            <w:vAlign w:val="bottom"/>
          </w:tcPr>
          <w:p>
            <w:pPr>
              <w:pStyle w:val="yTableNAm"/>
              <w:jc w:val="center"/>
              <w:rPr>
                <w:szCs w:val="22"/>
              </w:rPr>
            </w:pPr>
            <w:r>
              <w:rPr>
                <w:szCs w:val="22"/>
              </w:rPr>
              <w:t>9</w:t>
            </w:r>
          </w:p>
        </w:tc>
      </w:tr>
      <w:tr>
        <w:tc>
          <w:tcPr>
            <w:tcW w:w="2920" w:type="dxa"/>
            <w:tcBorders>
              <w:top w:val="nil"/>
              <w:left w:val="nil"/>
              <w:bottom w:val="nil"/>
              <w:right w:val="nil"/>
            </w:tcBorders>
            <w:vAlign w:val="center"/>
          </w:tcPr>
          <w:p>
            <w:pPr>
              <w:pStyle w:val="yTableNAm"/>
              <w:rPr>
                <w:szCs w:val="22"/>
              </w:rPr>
            </w:pPr>
            <w:r>
              <w:rPr>
                <w:szCs w:val="22"/>
              </w:rPr>
              <w:t>Leeman</w:t>
            </w:r>
          </w:p>
        </w:tc>
        <w:tc>
          <w:tcPr>
            <w:tcW w:w="1800" w:type="dxa"/>
            <w:tcBorders>
              <w:top w:val="nil"/>
              <w:left w:val="nil"/>
              <w:bottom w:val="nil"/>
              <w:right w:val="nil"/>
            </w:tcBorders>
            <w:vAlign w:val="bottom"/>
          </w:tcPr>
          <w:p>
            <w:pPr>
              <w:pStyle w:val="yTableNAm"/>
              <w:jc w:val="center"/>
              <w:rPr>
                <w:szCs w:val="22"/>
              </w:rPr>
            </w:pPr>
            <w:r>
              <w:rPr>
                <w:szCs w:val="22"/>
              </w:rPr>
              <w:t>4</w:t>
            </w:r>
          </w:p>
        </w:tc>
        <w:tc>
          <w:tcPr>
            <w:tcW w:w="1800" w:type="dxa"/>
            <w:tcBorders>
              <w:top w:val="nil"/>
              <w:left w:val="nil"/>
              <w:bottom w:val="nil"/>
              <w:right w:val="nil"/>
            </w:tcBorders>
            <w:vAlign w:val="bottom"/>
          </w:tcPr>
          <w:p>
            <w:pPr>
              <w:pStyle w:val="yTableNAm"/>
              <w:jc w:val="center"/>
              <w:rPr>
                <w:szCs w:val="22"/>
              </w:rPr>
            </w:pPr>
            <w:r>
              <w:rPr>
                <w:szCs w:val="22"/>
              </w:rPr>
              <w:t>9</w:t>
            </w:r>
          </w:p>
        </w:tc>
      </w:tr>
      <w:tr>
        <w:tc>
          <w:tcPr>
            <w:tcW w:w="2920" w:type="dxa"/>
            <w:tcBorders>
              <w:top w:val="nil"/>
              <w:left w:val="nil"/>
              <w:bottom w:val="nil"/>
              <w:right w:val="nil"/>
            </w:tcBorders>
            <w:vAlign w:val="center"/>
          </w:tcPr>
          <w:p>
            <w:pPr>
              <w:pStyle w:val="yTableNAm"/>
              <w:rPr>
                <w:szCs w:val="22"/>
              </w:rPr>
            </w:pPr>
            <w:r>
              <w:rPr>
                <w:szCs w:val="22"/>
              </w:rPr>
              <w:t>Leonora</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11</w:t>
            </w:r>
          </w:p>
        </w:tc>
      </w:tr>
      <w:tr>
        <w:tc>
          <w:tcPr>
            <w:tcW w:w="2920" w:type="dxa"/>
            <w:tcBorders>
              <w:top w:val="nil"/>
              <w:left w:val="nil"/>
              <w:bottom w:val="nil"/>
              <w:right w:val="nil"/>
            </w:tcBorders>
            <w:vAlign w:val="center"/>
          </w:tcPr>
          <w:p>
            <w:pPr>
              <w:pStyle w:val="yTableNAm"/>
              <w:rPr>
                <w:szCs w:val="22"/>
              </w:rPr>
            </w:pPr>
            <w:r>
              <w:rPr>
                <w:szCs w:val="22"/>
              </w:rPr>
              <w:t>Mandurah</w:t>
            </w:r>
          </w:p>
        </w:tc>
        <w:tc>
          <w:tcPr>
            <w:tcW w:w="1800" w:type="dxa"/>
            <w:tcBorders>
              <w:top w:val="nil"/>
              <w:left w:val="nil"/>
              <w:bottom w:val="nil"/>
              <w:right w:val="nil"/>
            </w:tcBorders>
            <w:vAlign w:val="bottom"/>
          </w:tcPr>
          <w:p>
            <w:pPr>
              <w:pStyle w:val="yTableNAm"/>
              <w:jc w:val="center"/>
              <w:rPr>
                <w:szCs w:val="22"/>
              </w:rPr>
            </w:pPr>
            <w:r>
              <w:rPr>
                <w:szCs w:val="22"/>
              </w:rPr>
              <w:t>2</w:t>
            </w:r>
          </w:p>
        </w:tc>
        <w:tc>
          <w:tcPr>
            <w:tcW w:w="1800" w:type="dxa"/>
            <w:tcBorders>
              <w:top w:val="nil"/>
              <w:left w:val="nil"/>
              <w:bottom w:val="nil"/>
              <w:right w:val="nil"/>
            </w:tcBorders>
            <w:vAlign w:val="bottom"/>
          </w:tcPr>
          <w:p>
            <w:pPr>
              <w:pStyle w:val="yTableNAm"/>
              <w:jc w:val="center"/>
              <w:rPr>
                <w:szCs w:val="22"/>
              </w:rPr>
            </w:pPr>
            <w:r>
              <w:rPr>
                <w:szCs w:val="22"/>
              </w:rPr>
              <w:t>3</w:t>
            </w:r>
          </w:p>
        </w:tc>
      </w:tr>
      <w:tr>
        <w:tc>
          <w:tcPr>
            <w:tcW w:w="2920" w:type="dxa"/>
            <w:tcBorders>
              <w:top w:val="nil"/>
              <w:left w:val="nil"/>
              <w:bottom w:val="nil"/>
              <w:right w:val="nil"/>
            </w:tcBorders>
            <w:vAlign w:val="center"/>
          </w:tcPr>
          <w:p>
            <w:pPr>
              <w:pStyle w:val="yTableNAm"/>
              <w:rPr>
                <w:szCs w:val="22"/>
              </w:rPr>
            </w:pPr>
            <w:r>
              <w:rPr>
                <w:szCs w:val="22"/>
              </w:rPr>
              <w:t>Manjimup</w:t>
            </w:r>
          </w:p>
        </w:tc>
        <w:tc>
          <w:tcPr>
            <w:tcW w:w="1800" w:type="dxa"/>
            <w:tcBorders>
              <w:top w:val="nil"/>
              <w:left w:val="nil"/>
              <w:bottom w:val="nil"/>
              <w:right w:val="nil"/>
            </w:tcBorders>
            <w:vAlign w:val="bottom"/>
          </w:tcPr>
          <w:p>
            <w:pPr>
              <w:pStyle w:val="yTableNAm"/>
              <w:jc w:val="center"/>
              <w:rPr>
                <w:szCs w:val="22"/>
              </w:rPr>
            </w:pPr>
            <w:r>
              <w:rPr>
                <w:szCs w:val="22"/>
              </w:rPr>
              <w:t>4</w:t>
            </w:r>
          </w:p>
        </w:tc>
        <w:tc>
          <w:tcPr>
            <w:tcW w:w="1800" w:type="dxa"/>
            <w:tcBorders>
              <w:top w:val="nil"/>
              <w:left w:val="nil"/>
              <w:bottom w:val="nil"/>
              <w:right w:val="nil"/>
            </w:tcBorders>
            <w:vAlign w:val="bottom"/>
          </w:tcPr>
          <w:p>
            <w:pPr>
              <w:pStyle w:val="yTableNAm"/>
              <w:jc w:val="center"/>
              <w:rPr>
                <w:szCs w:val="22"/>
              </w:rPr>
            </w:pPr>
            <w:r>
              <w:rPr>
                <w:szCs w:val="22"/>
              </w:rPr>
              <w:t>9</w:t>
            </w:r>
          </w:p>
        </w:tc>
      </w:tr>
      <w:tr>
        <w:tc>
          <w:tcPr>
            <w:tcW w:w="2920" w:type="dxa"/>
            <w:tcBorders>
              <w:top w:val="nil"/>
              <w:left w:val="nil"/>
              <w:bottom w:val="nil"/>
              <w:right w:val="nil"/>
            </w:tcBorders>
            <w:vAlign w:val="center"/>
          </w:tcPr>
          <w:p>
            <w:pPr>
              <w:pStyle w:val="yTableNAm"/>
              <w:rPr>
                <w:szCs w:val="22"/>
              </w:rPr>
            </w:pPr>
            <w:r>
              <w:rPr>
                <w:szCs w:val="22"/>
              </w:rPr>
              <w:t>Marble Bar</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13</w:t>
            </w:r>
          </w:p>
        </w:tc>
      </w:tr>
      <w:tr>
        <w:tc>
          <w:tcPr>
            <w:tcW w:w="2920" w:type="dxa"/>
            <w:tcBorders>
              <w:top w:val="nil"/>
              <w:left w:val="nil"/>
              <w:bottom w:val="nil"/>
              <w:right w:val="nil"/>
            </w:tcBorders>
            <w:vAlign w:val="center"/>
          </w:tcPr>
          <w:p>
            <w:pPr>
              <w:pStyle w:val="yTableNAm"/>
              <w:rPr>
                <w:szCs w:val="22"/>
              </w:rPr>
            </w:pPr>
            <w:r>
              <w:rPr>
                <w:szCs w:val="22"/>
              </w:rPr>
              <w:t>Margaret River</w:t>
            </w:r>
          </w:p>
        </w:tc>
        <w:tc>
          <w:tcPr>
            <w:tcW w:w="1800" w:type="dxa"/>
            <w:tcBorders>
              <w:top w:val="nil"/>
              <w:left w:val="nil"/>
              <w:bottom w:val="nil"/>
              <w:right w:val="nil"/>
            </w:tcBorders>
            <w:vAlign w:val="bottom"/>
          </w:tcPr>
          <w:p>
            <w:pPr>
              <w:pStyle w:val="yTableNAm"/>
              <w:jc w:val="center"/>
              <w:rPr>
                <w:szCs w:val="22"/>
              </w:rPr>
            </w:pPr>
            <w:r>
              <w:rPr>
                <w:szCs w:val="22"/>
              </w:rPr>
              <w:t>2</w:t>
            </w:r>
          </w:p>
        </w:tc>
        <w:tc>
          <w:tcPr>
            <w:tcW w:w="1800" w:type="dxa"/>
            <w:tcBorders>
              <w:top w:val="nil"/>
              <w:left w:val="nil"/>
              <w:bottom w:val="nil"/>
              <w:right w:val="nil"/>
            </w:tcBorders>
            <w:vAlign w:val="bottom"/>
          </w:tcPr>
          <w:p>
            <w:pPr>
              <w:pStyle w:val="yTableNAm"/>
              <w:jc w:val="center"/>
              <w:rPr>
                <w:szCs w:val="22"/>
              </w:rPr>
            </w:pPr>
            <w:r>
              <w:rPr>
                <w:szCs w:val="22"/>
              </w:rPr>
              <w:t>3</w:t>
            </w:r>
          </w:p>
        </w:tc>
      </w:tr>
      <w:tr>
        <w:tc>
          <w:tcPr>
            <w:tcW w:w="2920" w:type="dxa"/>
            <w:tcBorders>
              <w:top w:val="nil"/>
              <w:left w:val="nil"/>
              <w:bottom w:val="nil"/>
              <w:right w:val="nil"/>
            </w:tcBorders>
            <w:vAlign w:val="center"/>
          </w:tcPr>
          <w:p>
            <w:pPr>
              <w:pStyle w:val="yTableNAm"/>
              <w:rPr>
                <w:szCs w:val="22"/>
              </w:rPr>
            </w:pPr>
            <w:r>
              <w:rPr>
                <w:szCs w:val="22"/>
              </w:rPr>
              <w:t>Marvel Loch</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13</w:t>
            </w:r>
          </w:p>
        </w:tc>
      </w:tr>
      <w:tr>
        <w:tc>
          <w:tcPr>
            <w:tcW w:w="2920" w:type="dxa"/>
            <w:tcBorders>
              <w:top w:val="nil"/>
              <w:left w:val="nil"/>
              <w:bottom w:val="nil"/>
              <w:right w:val="nil"/>
            </w:tcBorders>
            <w:vAlign w:val="center"/>
          </w:tcPr>
          <w:p>
            <w:pPr>
              <w:pStyle w:val="yTableNAm"/>
              <w:rPr>
                <w:szCs w:val="22"/>
              </w:rPr>
            </w:pPr>
            <w:r>
              <w:rPr>
                <w:szCs w:val="22"/>
              </w:rPr>
              <w:t>Meckering</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9</w:t>
            </w:r>
          </w:p>
        </w:tc>
      </w:tr>
      <w:tr>
        <w:tc>
          <w:tcPr>
            <w:tcW w:w="2920" w:type="dxa"/>
            <w:tcBorders>
              <w:top w:val="nil"/>
              <w:left w:val="nil"/>
              <w:bottom w:val="nil"/>
              <w:right w:val="nil"/>
            </w:tcBorders>
            <w:vAlign w:val="center"/>
          </w:tcPr>
          <w:p>
            <w:pPr>
              <w:pStyle w:val="yTableNAm"/>
              <w:rPr>
                <w:szCs w:val="22"/>
              </w:rPr>
            </w:pPr>
            <w:r>
              <w:rPr>
                <w:szCs w:val="22"/>
              </w:rPr>
              <w:t>Meekatharra</w:t>
            </w:r>
          </w:p>
        </w:tc>
        <w:tc>
          <w:tcPr>
            <w:tcW w:w="1800" w:type="dxa"/>
            <w:tcBorders>
              <w:top w:val="nil"/>
              <w:left w:val="nil"/>
              <w:bottom w:val="nil"/>
              <w:right w:val="nil"/>
            </w:tcBorders>
            <w:vAlign w:val="bottom"/>
          </w:tcPr>
          <w:p>
            <w:pPr>
              <w:pStyle w:val="yTableNAm"/>
              <w:jc w:val="center"/>
              <w:rPr>
                <w:szCs w:val="22"/>
              </w:rPr>
            </w:pPr>
            <w:r>
              <w:rPr>
                <w:szCs w:val="22"/>
              </w:rPr>
              <w:t>4</w:t>
            </w:r>
          </w:p>
        </w:tc>
        <w:tc>
          <w:tcPr>
            <w:tcW w:w="1800" w:type="dxa"/>
            <w:tcBorders>
              <w:top w:val="nil"/>
              <w:left w:val="nil"/>
              <w:bottom w:val="nil"/>
              <w:right w:val="nil"/>
            </w:tcBorders>
            <w:vAlign w:val="bottom"/>
          </w:tcPr>
          <w:p>
            <w:pPr>
              <w:pStyle w:val="yTableNAm"/>
              <w:jc w:val="center"/>
              <w:rPr>
                <w:szCs w:val="22"/>
              </w:rPr>
            </w:pPr>
            <w:r>
              <w:rPr>
                <w:szCs w:val="22"/>
              </w:rPr>
              <w:t>10</w:t>
            </w:r>
          </w:p>
        </w:tc>
      </w:tr>
      <w:tr>
        <w:tc>
          <w:tcPr>
            <w:tcW w:w="2920" w:type="dxa"/>
            <w:tcBorders>
              <w:top w:val="nil"/>
              <w:left w:val="nil"/>
              <w:bottom w:val="nil"/>
              <w:right w:val="nil"/>
            </w:tcBorders>
            <w:vAlign w:val="center"/>
          </w:tcPr>
          <w:p>
            <w:pPr>
              <w:pStyle w:val="yTableNAm"/>
              <w:rPr>
                <w:szCs w:val="22"/>
              </w:rPr>
            </w:pPr>
            <w:r>
              <w:rPr>
                <w:szCs w:val="22"/>
              </w:rPr>
              <w:t>Menzies</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14</w:t>
            </w:r>
          </w:p>
        </w:tc>
      </w:tr>
      <w:tr>
        <w:tc>
          <w:tcPr>
            <w:tcW w:w="2920" w:type="dxa"/>
            <w:tcBorders>
              <w:top w:val="nil"/>
              <w:left w:val="nil"/>
              <w:bottom w:val="nil"/>
              <w:right w:val="nil"/>
            </w:tcBorders>
            <w:vAlign w:val="center"/>
          </w:tcPr>
          <w:p>
            <w:pPr>
              <w:pStyle w:val="yTableNAm"/>
              <w:rPr>
                <w:szCs w:val="22"/>
              </w:rPr>
            </w:pPr>
            <w:r>
              <w:rPr>
                <w:szCs w:val="22"/>
              </w:rPr>
              <w:t>Merredin</w:t>
            </w:r>
          </w:p>
        </w:tc>
        <w:tc>
          <w:tcPr>
            <w:tcW w:w="1800" w:type="dxa"/>
            <w:tcBorders>
              <w:top w:val="nil"/>
              <w:left w:val="nil"/>
              <w:bottom w:val="nil"/>
              <w:right w:val="nil"/>
            </w:tcBorders>
            <w:vAlign w:val="bottom"/>
          </w:tcPr>
          <w:p>
            <w:pPr>
              <w:pStyle w:val="yTableNAm"/>
              <w:jc w:val="center"/>
              <w:rPr>
                <w:szCs w:val="22"/>
              </w:rPr>
            </w:pPr>
            <w:r>
              <w:rPr>
                <w:szCs w:val="22"/>
              </w:rPr>
              <w:t>4</w:t>
            </w:r>
          </w:p>
        </w:tc>
        <w:tc>
          <w:tcPr>
            <w:tcW w:w="1800" w:type="dxa"/>
            <w:tcBorders>
              <w:top w:val="nil"/>
              <w:left w:val="nil"/>
              <w:bottom w:val="nil"/>
              <w:right w:val="nil"/>
            </w:tcBorders>
            <w:vAlign w:val="bottom"/>
          </w:tcPr>
          <w:p>
            <w:pPr>
              <w:pStyle w:val="yTableNAm"/>
              <w:jc w:val="center"/>
              <w:rPr>
                <w:szCs w:val="22"/>
              </w:rPr>
            </w:pPr>
            <w:r>
              <w:rPr>
                <w:szCs w:val="22"/>
              </w:rPr>
              <w:t>9</w:t>
            </w:r>
          </w:p>
        </w:tc>
      </w:tr>
      <w:tr>
        <w:tc>
          <w:tcPr>
            <w:tcW w:w="2920" w:type="dxa"/>
            <w:tcBorders>
              <w:top w:val="nil"/>
              <w:left w:val="nil"/>
              <w:bottom w:val="nil"/>
              <w:right w:val="nil"/>
            </w:tcBorders>
            <w:vAlign w:val="center"/>
          </w:tcPr>
          <w:p>
            <w:pPr>
              <w:pStyle w:val="yTableNAm"/>
              <w:rPr>
                <w:szCs w:val="22"/>
              </w:rPr>
            </w:pPr>
            <w:r>
              <w:rPr>
                <w:szCs w:val="22"/>
              </w:rPr>
              <w:t>Merredin Farmlands</w:t>
            </w:r>
          </w:p>
        </w:tc>
        <w:tc>
          <w:tcPr>
            <w:tcW w:w="1800" w:type="dxa"/>
            <w:tcBorders>
              <w:top w:val="nil"/>
              <w:left w:val="nil"/>
              <w:bottom w:val="nil"/>
              <w:right w:val="nil"/>
            </w:tcBorders>
            <w:vAlign w:val="bottom"/>
          </w:tcPr>
          <w:p>
            <w:pPr>
              <w:pStyle w:val="yTableNAm"/>
              <w:jc w:val="center"/>
              <w:rPr>
                <w:szCs w:val="22"/>
              </w:rPr>
            </w:pPr>
            <w:r>
              <w:rPr>
                <w:szCs w:val="22"/>
              </w:rPr>
              <w:t>3</w:t>
            </w:r>
          </w:p>
        </w:tc>
        <w:tc>
          <w:tcPr>
            <w:tcW w:w="1800" w:type="dxa"/>
            <w:tcBorders>
              <w:top w:val="nil"/>
              <w:left w:val="nil"/>
              <w:bottom w:val="nil"/>
              <w:right w:val="nil"/>
            </w:tcBorders>
            <w:vAlign w:val="bottom"/>
          </w:tcPr>
          <w:p>
            <w:pPr>
              <w:pStyle w:val="yTableNAm"/>
              <w:jc w:val="center"/>
              <w:rPr>
                <w:szCs w:val="22"/>
              </w:rPr>
            </w:pPr>
            <w:r>
              <w:rPr>
                <w:szCs w:val="22"/>
              </w:rPr>
              <w:t>9</w:t>
            </w:r>
          </w:p>
        </w:tc>
      </w:tr>
      <w:tr>
        <w:tc>
          <w:tcPr>
            <w:tcW w:w="2920" w:type="dxa"/>
            <w:tcBorders>
              <w:top w:val="nil"/>
              <w:left w:val="nil"/>
              <w:bottom w:val="nil"/>
              <w:right w:val="nil"/>
            </w:tcBorders>
            <w:vAlign w:val="center"/>
          </w:tcPr>
          <w:p>
            <w:pPr>
              <w:pStyle w:val="yTableNAm"/>
              <w:rPr>
                <w:szCs w:val="22"/>
              </w:rPr>
            </w:pPr>
            <w:r>
              <w:rPr>
                <w:szCs w:val="22"/>
              </w:rPr>
              <w:t>Miling</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11</w:t>
            </w:r>
          </w:p>
        </w:tc>
      </w:tr>
      <w:tr>
        <w:tc>
          <w:tcPr>
            <w:tcW w:w="2920" w:type="dxa"/>
            <w:tcBorders>
              <w:top w:val="nil"/>
              <w:left w:val="nil"/>
              <w:bottom w:val="nil"/>
              <w:right w:val="nil"/>
            </w:tcBorders>
            <w:vAlign w:val="center"/>
          </w:tcPr>
          <w:p>
            <w:pPr>
              <w:pStyle w:val="yTableNAm"/>
              <w:rPr>
                <w:szCs w:val="22"/>
              </w:rPr>
            </w:pPr>
            <w:r>
              <w:rPr>
                <w:szCs w:val="22"/>
              </w:rPr>
              <w:t>Mingenew</w:t>
            </w:r>
          </w:p>
        </w:tc>
        <w:tc>
          <w:tcPr>
            <w:tcW w:w="1800" w:type="dxa"/>
            <w:tcBorders>
              <w:top w:val="nil"/>
              <w:left w:val="nil"/>
              <w:bottom w:val="nil"/>
              <w:right w:val="nil"/>
            </w:tcBorders>
            <w:vAlign w:val="bottom"/>
          </w:tcPr>
          <w:p>
            <w:pPr>
              <w:pStyle w:val="yTableNAm"/>
              <w:jc w:val="center"/>
              <w:rPr>
                <w:szCs w:val="22"/>
              </w:rPr>
            </w:pPr>
            <w:r>
              <w:rPr>
                <w:szCs w:val="22"/>
              </w:rPr>
              <w:t>4</w:t>
            </w:r>
          </w:p>
        </w:tc>
        <w:tc>
          <w:tcPr>
            <w:tcW w:w="1800" w:type="dxa"/>
            <w:tcBorders>
              <w:top w:val="nil"/>
              <w:left w:val="nil"/>
              <w:bottom w:val="nil"/>
              <w:right w:val="nil"/>
            </w:tcBorders>
            <w:vAlign w:val="bottom"/>
          </w:tcPr>
          <w:p>
            <w:pPr>
              <w:pStyle w:val="yTableNAm"/>
              <w:jc w:val="center"/>
              <w:rPr>
                <w:szCs w:val="22"/>
              </w:rPr>
            </w:pPr>
            <w:r>
              <w:rPr>
                <w:szCs w:val="22"/>
              </w:rPr>
              <w:t>9</w:t>
            </w:r>
          </w:p>
        </w:tc>
      </w:tr>
      <w:tr>
        <w:tc>
          <w:tcPr>
            <w:tcW w:w="2920" w:type="dxa"/>
            <w:tcBorders>
              <w:top w:val="nil"/>
              <w:left w:val="nil"/>
              <w:bottom w:val="nil"/>
              <w:right w:val="nil"/>
            </w:tcBorders>
            <w:vAlign w:val="center"/>
          </w:tcPr>
          <w:p>
            <w:pPr>
              <w:pStyle w:val="yTableNAm"/>
              <w:rPr>
                <w:szCs w:val="22"/>
              </w:rPr>
            </w:pPr>
            <w:r>
              <w:rPr>
                <w:szCs w:val="22"/>
              </w:rPr>
              <w:t>Moora</w:t>
            </w:r>
          </w:p>
        </w:tc>
        <w:tc>
          <w:tcPr>
            <w:tcW w:w="1800" w:type="dxa"/>
            <w:tcBorders>
              <w:top w:val="nil"/>
              <w:left w:val="nil"/>
              <w:bottom w:val="nil"/>
              <w:right w:val="nil"/>
            </w:tcBorders>
            <w:vAlign w:val="bottom"/>
          </w:tcPr>
          <w:p>
            <w:pPr>
              <w:pStyle w:val="yTableNAm"/>
              <w:jc w:val="center"/>
              <w:rPr>
                <w:szCs w:val="22"/>
              </w:rPr>
            </w:pPr>
            <w:r>
              <w:rPr>
                <w:szCs w:val="22"/>
              </w:rPr>
              <w:t>2</w:t>
            </w:r>
          </w:p>
        </w:tc>
        <w:tc>
          <w:tcPr>
            <w:tcW w:w="1800" w:type="dxa"/>
            <w:tcBorders>
              <w:top w:val="nil"/>
              <w:left w:val="nil"/>
              <w:bottom w:val="nil"/>
              <w:right w:val="nil"/>
            </w:tcBorders>
            <w:vAlign w:val="bottom"/>
          </w:tcPr>
          <w:p>
            <w:pPr>
              <w:pStyle w:val="yTableNAm"/>
              <w:jc w:val="center"/>
              <w:rPr>
                <w:szCs w:val="22"/>
              </w:rPr>
            </w:pPr>
            <w:r>
              <w:rPr>
                <w:szCs w:val="22"/>
              </w:rPr>
              <w:t>3</w:t>
            </w:r>
          </w:p>
        </w:tc>
      </w:tr>
      <w:tr>
        <w:tc>
          <w:tcPr>
            <w:tcW w:w="2920" w:type="dxa"/>
            <w:tcBorders>
              <w:top w:val="nil"/>
              <w:left w:val="nil"/>
              <w:bottom w:val="nil"/>
              <w:right w:val="nil"/>
            </w:tcBorders>
            <w:vAlign w:val="center"/>
          </w:tcPr>
          <w:p>
            <w:pPr>
              <w:pStyle w:val="yTableNAm"/>
              <w:rPr>
                <w:szCs w:val="22"/>
              </w:rPr>
            </w:pPr>
            <w:r>
              <w:rPr>
                <w:szCs w:val="22"/>
              </w:rPr>
              <w:t>Moorine Rock</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14</w:t>
            </w:r>
          </w:p>
        </w:tc>
      </w:tr>
      <w:tr>
        <w:tc>
          <w:tcPr>
            <w:tcW w:w="2920" w:type="dxa"/>
            <w:tcBorders>
              <w:top w:val="nil"/>
              <w:left w:val="nil"/>
              <w:bottom w:val="nil"/>
              <w:right w:val="nil"/>
            </w:tcBorders>
            <w:vAlign w:val="center"/>
          </w:tcPr>
          <w:p>
            <w:pPr>
              <w:pStyle w:val="yTableNAm"/>
              <w:rPr>
                <w:szCs w:val="22"/>
              </w:rPr>
            </w:pPr>
            <w:r>
              <w:rPr>
                <w:szCs w:val="22"/>
              </w:rPr>
              <w:t>Morawa</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11</w:t>
            </w:r>
          </w:p>
        </w:tc>
      </w:tr>
      <w:tr>
        <w:tc>
          <w:tcPr>
            <w:tcW w:w="2920" w:type="dxa"/>
            <w:tcBorders>
              <w:top w:val="nil"/>
              <w:left w:val="nil"/>
              <w:bottom w:val="nil"/>
              <w:right w:val="nil"/>
            </w:tcBorders>
            <w:vAlign w:val="center"/>
          </w:tcPr>
          <w:p>
            <w:pPr>
              <w:pStyle w:val="yTableNAm"/>
              <w:rPr>
                <w:szCs w:val="22"/>
              </w:rPr>
            </w:pPr>
            <w:r>
              <w:rPr>
                <w:szCs w:val="22"/>
              </w:rPr>
              <w:t>Mount Barker</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11</w:t>
            </w:r>
          </w:p>
        </w:tc>
      </w:tr>
      <w:tr>
        <w:tc>
          <w:tcPr>
            <w:tcW w:w="2920" w:type="dxa"/>
            <w:tcBorders>
              <w:top w:val="nil"/>
              <w:left w:val="nil"/>
              <w:bottom w:val="nil"/>
              <w:right w:val="nil"/>
            </w:tcBorders>
            <w:vAlign w:val="center"/>
          </w:tcPr>
          <w:p>
            <w:pPr>
              <w:pStyle w:val="yTableNAm"/>
              <w:rPr>
                <w:szCs w:val="22"/>
              </w:rPr>
            </w:pPr>
            <w:r>
              <w:rPr>
                <w:szCs w:val="22"/>
              </w:rPr>
              <w:t>Mount Magnet</w:t>
            </w:r>
          </w:p>
        </w:tc>
        <w:tc>
          <w:tcPr>
            <w:tcW w:w="1800" w:type="dxa"/>
            <w:tcBorders>
              <w:top w:val="nil"/>
              <w:left w:val="nil"/>
              <w:bottom w:val="nil"/>
              <w:right w:val="nil"/>
            </w:tcBorders>
            <w:vAlign w:val="bottom"/>
          </w:tcPr>
          <w:p>
            <w:pPr>
              <w:pStyle w:val="yTableNAm"/>
              <w:jc w:val="center"/>
              <w:rPr>
                <w:szCs w:val="22"/>
              </w:rPr>
            </w:pPr>
            <w:r>
              <w:rPr>
                <w:szCs w:val="22"/>
              </w:rPr>
              <w:t>4</w:t>
            </w:r>
          </w:p>
        </w:tc>
        <w:tc>
          <w:tcPr>
            <w:tcW w:w="1800" w:type="dxa"/>
            <w:tcBorders>
              <w:top w:val="nil"/>
              <w:left w:val="nil"/>
              <w:bottom w:val="nil"/>
              <w:right w:val="nil"/>
            </w:tcBorders>
            <w:vAlign w:val="bottom"/>
          </w:tcPr>
          <w:p>
            <w:pPr>
              <w:pStyle w:val="yTableNAm"/>
              <w:jc w:val="center"/>
              <w:rPr>
                <w:szCs w:val="22"/>
              </w:rPr>
            </w:pPr>
            <w:r>
              <w:rPr>
                <w:szCs w:val="22"/>
              </w:rPr>
              <w:t>9</w:t>
            </w:r>
          </w:p>
        </w:tc>
      </w:tr>
      <w:tr>
        <w:tc>
          <w:tcPr>
            <w:tcW w:w="2920" w:type="dxa"/>
            <w:tcBorders>
              <w:top w:val="nil"/>
              <w:left w:val="nil"/>
              <w:bottom w:val="nil"/>
              <w:right w:val="nil"/>
            </w:tcBorders>
            <w:vAlign w:val="center"/>
          </w:tcPr>
          <w:p>
            <w:pPr>
              <w:pStyle w:val="yTableNAm"/>
              <w:rPr>
                <w:szCs w:val="22"/>
              </w:rPr>
            </w:pPr>
            <w:r>
              <w:rPr>
                <w:szCs w:val="22"/>
              </w:rPr>
              <w:t>Mount Roe</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14</w:t>
            </w:r>
          </w:p>
        </w:tc>
      </w:tr>
      <w:tr>
        <w:tc>
          <w:tcPr>
            <w:tcW w:w="2920" w:type="dxa"/>
            <w:tcBorders>
              <w:top w:val="nil"/>
              <w:left w:val="nil"/>
              <w:bottom w:val="nil"/>
              <w:right w:val="nil"/>
            </w:tcBorders>
            <w:vAlign w:val="center"/>
          </w:tcPr>
          <w:p>
            <w:pPr>
              <w:pStyle w:val="yTableNAm"/>
              <w:rPr>
                <w:szCs w:val="22"/>
              </w:rPr>
            </w:pPr>
            <w:r>
              <w:rPr>
                <w:szCs w:val="22"/>
              </w:rPr>
              <w:t>Mukinbudin</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13</w:t>
            </w:r>
          </w:p>
        </w:tc>
      </w:tr>
      <w:tr>
        <w:tc>
          <w:tcPr>
            <w:tcW w:w="2920" w:type="dxa"/>
            <w:tcBorders>
              <w:top w:val="nil"/>
              <w:left w:val="nil"/>
              <w:bottom w:val="nil"/>
              <w:right w:val="nil"/>
            </w:tcBorders>
            <w:vAlign w:val="center"/>
          </w:tcPr>
          <w:p>
            <w:pPr>
              <w:pStyle w:val="yTableNAm"/>
              <w:rPr>
                <w:szCs w:val="22"/>
              </w:rPr>
            </w:pPr>
            <w:r>
              <w:rPr>
                <w:szCs w:val="22"/>
              </w:rPr>
              <w:t>Mullalyup</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14</w:t>
            </w:r>
          </w:p>
        </w:tc>
      </w:tr>
      <w:tr>
        <w:tc>
          <w:tcPr>
            <w:tcW w:w="2920" w:type="dxa"/>
            <w:tcBorders>
              <w:top w:val="nil"/>
              <w:left w:val="nil"/>
              <w:bottom w:val="nil"/>
              <w:right w:val="nil"/>
            </w:tcBorders>
            <w:vAlign w:val="center"/>
          </w:tcPr>
          <w:p>
            <w:pPr>
              <w:pStyle w:val="yTableNAm"/>
              <w:rPr>
                <w:szCs w:val="22"/>
              </w:rPr>
            </w:pPr>
            <w:r>
              <w:rPr>
                <w:szCs w:val="22"/>
              </w:rPr>
              <w:t>Mullewa</w:t>
            </w:r>
          </w:p>
        </w:tc>
        <w:tc>
          <w:tcPr>
            <w:tcW w:w="1800" w:type="dxa"/>
            <w:tcBorders>
              <w:top w:val="nil"/>
              <w:left w:val="nil"/>
              <w:bottom w:val="nil"/>
              <w:right w:val="nil"/>
            </w:tcBorders>
            <w:vAlign w:val="bottom"/>
          </w:tcPr>
          <w:p>
            <w:pPr>
              <w:pStyle w:val="yTableNAm"/>
              <w:jc w:val="center"/>
              <w:rPr>
                <w:szCs w:val="22"/>
              </w:rPr>
            </w:pPr>
            <w:r>
              <w:rPr>
                <w:szCs w:val="22"/>
              </w:rPr>
              <w:t>4</w:t>
            </w:r>
          </w:p>
        </w:tc>
        <w:tc>
          <w:tcPr>
            <w:tcW w:w="1800" w:type="dxa"/>
            <w:tcBorders>
              <w:top w:val="nil"/>
              <w:left w:val="nil"/>
              <w:bottom w:val="nil"/>
              <w:right w:val="nil"/>
            </w:tcBorders>
            <w:vAlign w:val="bottom"/>
          </w:tcPr>
          <w:p>
            <w:pPr>
              <w:pStyle w:val="yTableNAm"/>
              <w:jc w:val="center"/>
              <w:rPr>
                <w:szCs w:val="22"/>
              </w:rPr>
            </w:pPr>
            <w:r>
              <w:rPr>
                <w:szCs w:val="22"/>
              </w:rPr>
              <w:t>10</w:t>
            </w:r>
          </w:p>
        </w:tc>
      </w:tr>
      <w:tr>
        <w:tc>
          <w:tcPr>
            <w:tcW w:w="2920" w:type="dxa"/>
            <w:tcBorders>
              <w:top w:val="nil"/>
              <w:left w:val="nil"/>
              <w:bottom w:val="nil"/>
              <w:right w:val="nil"/>
            </w:tcBorders>
            <w:vAlign w:val="center"/>
          </w:tcPr>
          <w:p>
            <w:pPr>
              <w:pStyle w:val="yTableNAm"/>
              <w:rPr>
                <w:szCs w:val="22"/>
              </w:rPr>
            </w:pPr>
            <w:r>
              <w:rPr>
                <w:szCs w:val="22"/>
              </w:rPr>
              <w:t>Mullewa Farmlands</w:t>
            </w:r>
          </w:p>
        </w:tc>
        <w:tc>
          <w:tcPr>
            <w:tcW w:w="1800" w:type="dxa"/>
            <w:tcBorders>
              <w:top w:val="nil"/>
              <w:left w:val="nil"/>
              <w:bottom w:val="nil"/>
              <w:right w:val="nil"/>
            </w:tcBorders>
            <w:vAlign w:val="bottom"/>
          </w:tcPr>
          <w:p>
            <w:pPr>
              <w:pStyle w:val="yTableNAm"/>
              <w:jc w:val="center"/>
              <w:rPr>
                <w:szCs w:val="22"/>
              </w:rPr>
            </w:pPr>
            <w:r>
              <w:rPr>
                <w:szCs w:val="22"/>
              </w:rPr>
              <w:t>4</w:t>
            </w:r>
          </w:p>
        </w:tc>
        <w:tc>
          <w:tcPr>
            <w:tcW w:w="1800" w:type="dxa"/>
            <w:tcBorders>
              <w:top w:val="nil"/>
              <w:left w:val="nil"/>
              <w:bottom w:val="nil"/>
              <w:right w:val="nil"/>
            </w:tcBorders>
            <w:vAlign w:val="bottom"/>
          </w:tcPr>
          <w:p>
            <w:pPr>
              <w:pStyle w:val="yTableNAm"/>
              <w:jc w:val="center"/>
              <w:rPr>
                <w:szCs w:val="22"/>
              </w:rPr>
            </w:pPr>
            <w:r>
              <w:rPr>
                <w:szCs w:val="22"/>
              </w:rPr>
              <w:t>11</w:t>
            </w:r>
          </w:p>
        </w:tc>
      </w:tr>
      <w:tr>
        <w:tc>
          <w:tcPr>
            <w:tcW w:w="2920" w:type="dxa"/>
            <w:tcBorders>
              <w:top w:val="nil"/>
              <w:left w:val="nil"/>
              <w:bottom w:val="nil"/>
              <w:right w:val="nil"/>
            </w:tcBorders>
            <w:vAlign w:val="center"/>
          </w:tcPr>
          <w:p>
            <w:pPr>
              <w:pStyle w:val="yTableNAm"/>
              <w:rPr>
                <w:szCs w:val="22"/>
              </w:rPr>
            </w:pPr>
            <w:r>
              <w:rPr>
                <w:szCs w:val="22"/>
              </w:rPr>
              <w:t>Munglinup</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14</w:t>
            </w:r>
          </w:p>
        </w:tc>
      </w:tr>
      <w:tr>
        <w:tc>
          <w:tcPr>
            <w:tcW w:w="2920" w:type="dxa"/>
            <w:tcBorders>
              <w:top w:val="nil"/>
              <w:left w:val="nil"/>
              <w:bottom w:val="nil"/>
              <w:right w:val="nil"/>
            </w:tcBorders>
            <w:vAlign w:val="center"/>
          </w:tcPr>
          <w:p>
            <w:pPr>
              <w:pStyle w:val="yTableNAm"/>
              <w:rPr>
                <w:szCs w:val="22"/>
              </w:rPr>
            </w:pPr>
            <w:r>
              <w:rPr>
                <w:szCs w:val="22"/>
              </w:rPr>
              <w:t>Muntadgin</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14</w:t>
            </w:r>
          </w:p>
        </w:tc>
      </w:tr>
      <w:tr>
        <w:tc>
          <w:tcPr>
            <w:tcW w:w="2920" w:type="dxa"/>
            <w:tcBorders>
              <w:top w:val="nil"/>
              <w:left w:val="nil"/>
              <w:bottom w:val="nil"/>
              <w:right w:val="nil"/>
            </w:tcBorders>
            <w:vAlign w:val="center"/>
          </w:tcPr>
          <w:p>
            <w:pPr>
              <w:pStyle w:val="yTableNAm"/>
              <w:rPr>
                <w:szCs w:val="22"/>
              </w:rPr>
            </w:pPr>
            <w:r>
              <w:rPr>
                <w:szCs w:val="22"/>
              </w:rPr>
              <w:t>Myalup</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11</w:t>
            </w:r>
          </w:p>
        </w:tc>
      </w:tr>
      <w:tr>
        <w:tc>
          <w:tcPr>
            <w:tcW w:w="2920" w:type="dxa"/>
            <w:tcBorders>
              <w:top w:val="nil"/>
              <w:left w:val="nil"/>
              <w:bottom w:val="nil"/>
              <w:right w:val="nil"/>
            </w:tcBorders>
            <w:vAlign w:val="center"/>
          </w:tcPr>
          <w:p>
            <w:pPr>
              <w:pStyle w:val="yTableNAm"/>
              <w:rPr>
                <w:szCs w:val="22"/>
              </w:rPr>
            </w:pPr>
            <w:r>
              <w:rPr>
                <w:szCs w:val="22"/>
              </w:rPr>
              <w:t>Nabawa</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11</w:t>
            </w:r>
          </w:p>
        </w:tc>
      </w:tr>
      <w:tr>
        <w:tc>
          <w:tcPr>
            <w:tcW w:w="2920" w:type="dxa"/>
            <w:tcBorders>
              <w:top w:val="nil"/>
              <w:left w:val="nil"/>
              <w:bottom w:val="nil"/>
              <w:right w:val="nil"/>
            </w:tcBorders>
            <w:vAlign w:val="center"/>
          </w:tcPr>
          <w:p>
            <w:pPr>
              <w:pStyle w:val="yTableNAm"/>
              <w:rPr>
                <w:szCs w:val="22"/>
              </w:rPr>
            </w:pPr>
            <w:r>
              <w:rPr>
                <w:szCs w:val="22"/>
              </w:rPr>
              <w:t>Nannup</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11</w:t>
            </w:r>
          </w:p>
        </w:tc>
      </w:tr>
      <w:tr>
        <w:tc>
          <w:tcPr>
            <w:tcW w:w="2920" w:type="dxa"/>
            <w:tcBorders>
              <w:top w:val="nil"/>
              <w:left w:val="nil"/>
              <w:bottom w:val="nil"/>
              <w:right w:val="nil"/>
            </w:tcBorders>
            <w:vAlign w:val="center"/>
          </w:tcPr>
          <w:p>
            <w:pPr>
              <w:pStyle w:val="yTableNAm"/>
              <w:rPr>
                <w:szCs w:val="22"/>
              </w:rPr>
            </w:pPr>
            <w:r>
              <w:rPr>
                <w:szCs w:val="22"/>
              </w:rPr>
              <w:t>Narembeen</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13</w:t>
            </w:r>
          </w:p>
        </w:tc>
      </w:tr>
      <w:tr>
        <w:tc>
          <w:tcPr>
            <w:tcW w:w="2920" w:type="dxa"/>
            <w:tcBorders>
              <w:top w:val="nil"/>
              <w:left w:val="nil"/>
              <w:bottom w:val="nil"/>
              <w:right w:val="nil"/>
            </w:tcBorders>
            <w:vAlign w:val="center"/>
          </w:tcPr>
          <w:p>
            <w:pPr>
              <w:pStyle w:val="yTableNAm"/>
              <w:rPr>
                <w:szCs w:val="22"/>
              </w:rPr>
            </w:pPr>
            <w:r>
              <w:rPr>
                <w:szCs w:val="22"/>
              </w:rPr>
              <w:t>Narngulu</w:t>
            </w:r>
          </w:p>
        </w:tc>
        <w:tc>
          <w:tcPr>
            <w:tcW w:w="1800" w:type="dxa"/>
            <w:tcBorders>
              <w:top w:val="nil"/>
              <w:left w:val="nil"/>
              <w:bottom w:val="nil"/>
              <w:right w:val="nil"/>
            </w:tcBorders>
            <w:vAlign w:val="bottom"/>
          </w:tcPr>
          <w:p>
            <w:pPr>
              <w:pStyle w:val="yTableNAm"/>
              <w:jc w:val="center"/>
              <w:rPr>
                <w:szCs w:val="22"/>
              </w:rPr>
            </w:pPr>
            <w:r>
              <w:rPr>
                <w:szCs w:val="22"/>
              </w:rPr>
              <w:t>1</w:t>
            </w:r>
          </w:p>
        </w:tc>
        <w:tc>
          <w:tcPr>
            <w:tcW w:w="1800" w:type="dxa"/>
            <w:tcBorders>
              <w:top w:val="nil"/>
              <w:left w:val="nil"/>
              <w:bottom w:val="nil"/>
              <w:right w:val="nil"/>
            </w:tcBorders>
            <w:vAlign w:val="bottom"/>
          </w:tcPr>
          <w:p>
            <w:pPr>
              <w:pStyle w:val="yTableNAm"/>
              <w:jc w:val="center"/>
              <w:rPr>
                <w:szCs w:val="22"/>
              </w:rPr>
            </w:pPr>
            <w:r>
              <w:rPr>
                <w:szCs w:val="22"/>
              </w:rPr>
              <w:t>1</w:t>
            </w:r>
          </w:p>
        </w:tc>
      </w:tr>
      <w:tr>
        <w:tc>
          <w:tcPr>
            <w:tcW w:w="2920" w:type="dxa"/>
            <w:tcBorders>
              <w:top w:val="nil"/>
              <w:left w:val="nil"/>
              <w:bottom w:val="nil"/>
              <w:right w:val="nil"/>
            </w:tcBorders>
            <w:vAlign w:val="center"/>
          </w:tcPr>
          <w:p>
            <w:pPr>
              <w:pStyle w:val="yTableNAm"/>
              <w:rPr>
                <w:szCs w:val="22"/>
              </w:rPr>
            </w:pPr>
            <w:r>
              <w:rPr>
                <w:szCs w:val="22"/>
              </w:rPr>
              <w:t>Narrikup</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11</w:t>
            </w:r>
          </w:p>
        </w:tc>
      </w:tr>
      <w:tr>
        <w:tc>
          <w:tcPr>
            <w:tcW w:w="2920" w:type="dxa"/>
            <w:tcBorders>
              <w:top w:val="nil"/>
              <w:left w:val="nil"/>
              <w:bottom w:val="nil"/>
              <w:right w:val="nil"/>
            </w:tcBorders>
            <w:vAlign w:val="center"/>
          </w:tcPr>
          <w:p>
            <w:pPr>
              <w:pStyle w:val="yTableNAm"/>
              <w:rPr>
                <w:szCs w:val="22"/>
              </w:rPr>
            </w:pPr>
            <w:r>
              <w:rPr>
                <w:szCs w:val="22"/>
              </w:rPr>
              <w:t>Narrogin</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9</w:t>
            </w:r>
          </w:p>
        </w:tc>
      </w:tr>
      <w:tr>
        <w:tc>
          <w:tcPr>
            <w:tcW w:w="2920" w:type="dxa"/>
            <w:tcBorders>
              <w:top w:val="nil"/>
              <w:left w:val="nil"/>
              <w:bottom w:val="nil"/>
              <w:right w:val="nil"/>
            </w:tcBorders>
            <w:vAlign w:val="center"/>
          </w:tcPr>
          <w:p>
            <w:pPr>
              <w:pStyle w:val="yTableNAm"/>
              <w:rPr>
                <w:szCs w:val="22"/>
              </w:rPr>
            </w:pPr>
            <w:r>
              <w:rPr>
                <w:szCs w:val="22"/>
              </w:rPr>
              <w:t>Narrogin Farmlands</w:t>
            </w:r>
          </w:p>
        </w:tc>
        <w:tc>
          <w:tcPr>
            <w:tcW w:w="1800" w:type="dxa"/>
            <w:tcBorders>
              <w:top w:val="nil"/>
              <w:left w:val="nil"/>
              <w:bottom w:val="nil"/>
              <w:right w:val="nil"/>
            </w:tcBorders>
            <w:vAlign w:val="bottom"/>
          </w:tcPr>
          <w:p>
            <w:pPr>
              <w:pStyle w:val="yTableNAm"/>
              <w:jc w:val="center"/>
              <w:rPr>
                <w:szCs w:val="22"/>
              </w:rPr>
            </w:pPr>
            <w:r>
              <w:rPr>
                <w:szCs w:val="22"/>
              </w:rPr>
              <w:t>3</w:t>
            </w:r>
          </w:p>
        </w:tc>
        <w:tc>
          <w:tcPr>
            <w:tcW w:w="1800" w:type="dxa"/>
            <w:tcBorders>
              <w:top w:val="nil"/>
              <w:left w:val="nil"/>
              <w:bottom w:val="nil"/>
              <w:right w:val="nil"/>
            </w:tcBorders>
            <w:vAlign w:val="bottom"/>
          </w:tcPr>
          <w:p>
            <w:pPr>
              <w:pStyle w:val="yTableNAm"/>
              <w:jc w:val="center"/>
              <w:rPr>
                <w:szCs w:val="22"/>
              </w:rPr>
            </w:pPr>
            <w:r>
              <w:rPr>
                <w:szCs w:val="22"/>
              </w:rPr>
              <w:t>8</w:t>
            </w:r>
          </w:p>
        </w:tc>
      </w:tr>
      <w:tr>
        <w:tc>
          <w:tcPr>
            <w:tcW w:w="2920" w:type="dxa"/>
            <w:tcBorders>
              <w:top w:val="nil"/>
              <w:left w:val="nil"/>
              <w:bottom w:val="nil"/>
              <w:right w:val="nil"/>
            </w:tcBorders>
            <w:vAlign w:val="center"/>
          </w:tcPr>
          <w:p>
            <w:pPr>
              <w:pStyle w:val="yTableNAm"/>
              <w:rPr>
                <w:szCs w:val="22"/>
              </w:rPr>
            </w:pPr>
            <w:r>
              <w:rPr>
                <w:szCs w:val="22"/>
              </w:rPr>
              <w:t>New Norcia</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13</w:t>
            </w:r>
          </w:p>
        </w:tc>
      </w:tr>
      <w:tr>
        <w:tc>
          <w:tcPr>
            <w:tcW w:w="2920" w:type="dxa"/>
            <w:tcBorders>
              <w:top w:val="nil"/>
              <w:left w:val="nil"/>
              <w:bottom w:val="nil"/>
              <w:right w:val="nil"/>
            </w:tcBorders>
            <w:vAlign w:val="center"/>
          </w:tcPr>
          <w:p>
            <w:pPr>
              <w:pStyle w:val="yTableNAm"/>
              <w:rPr>
                <w:szCs w:val="22"/>
              </w:rPr>
            </w:pPr>
            <w:r>
              <w:rPr>
                <w:szCs w:val="22"/>
              </w:rPr>
              <w:t>Newdegate</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13</w:t>
            </w:r>
          </w:p>
        </w:tc>
      </w:tr>
      <w:tr>
        <w:tc>
          <w:tcPr>
            <w:tcW w:w="2920" w:type="dxa"/>
            <w:tcBorders>
              <w:top w:val="nil"/>
              <w:left w:val="nil"/>
              <w:bottom w:val="nil"/>
              <w:right w:val="nil"/>
            </w:tcBorders>
            <w:vAlign w:val="center"/>
          </w:tcPr>
          <w:p>
            <w:pPr>
              <w:pStyle w:val="yTableNAm"/>
              <w:rPr>
                <w:szCs w:val="22"/>
              </w:rPr>
            </w:pPr>
            <w:r>
              <w:rPr>
                <w:szCs w:val="22"/>
              </w:rPr>
              <w:t>Newman</w:t>
            </w:r>
          </w:p>
        </w:tc>
        <w:tc>
          <w:tcPr>
            <w:tcW w:w="1800" w:type="dxa"/>
            <w:tcBorders>
              <w:top w:val="nil"/>
              <w:left w:val="nil"/>
              <w:bottom w:val="nil"/>
              <w:right w:val="nil"/>
            </w:tcBorders>
            <w:vAlign w:val="bottom"/>
          </w:tcPr>
          <w:p>
            <w:pPr>
              <w:pStyle w:val="yTableNAm"/>
              <w:jc w:val="center"/>
              <w:rPr>
                <w:szCs w:val="22"/>
              </w:rPr>
            </w:pPr>
            <w:r>
              <w:rPr>
                <w:szCs w:val="22"/>
              </w:rPr>
              <w:t>1</w:t>
            </w:r>
          </w:p>
        </w:tc>
        <w:tc>
          <w:tcPr>
            <w:tcW w:w="1800" w:type="dxa"/>
            <w:tcBorders>
              <w:top w:val="nil"/>
              <w:left w:val="nil"/>
              <w:bottom w:val="nil"/>
              <w:right w:val="nil"/>
            </w:tcBorders>
            <w:vAlign w:val="bottom"/>
          </w:tcPr>
          <w:p>
            <w:pPr>
              <w:pStyle w:val="yTableNAm"/>
              <w:jc w:val="center"/>
              <w:rPr>
                <w:szCs w:val="22"/>
              </w:rPr>
            </w:pPr>
            <w:r>
              <w:rPr>
                <w:szCs w:val="22"/>
              </w:rPr>
              <w:t>1</w:t>
            </w:r>
          </w:p>
        </w:tc>
      </w:tr>
      <w:tr>
        <w:tc>
          <w:tcPr>
            <w:tcW w:w="2920" w:type="dxa"/>
            <w:tcBorders>
              <w:top w:val="nil"/>
              <w:left w:val="nil"/>
              <w:bottom w:val="nil"/>
              <w:right w:val="nil"/>
            </w:tcBorders>
            <w:vAlign w:val="center"/>
          </w:tcPr>
          <w:p>
            <w:pPr>
              <w:pStyle w:val="yTableNAm"/>
              <w:rPr>
                <w:szCs w:val="22"/>
              </w:rPr>
            </w:pPr>
            <w:r>
              <w:rPr>
                <w:szCs w:val="22"/>
              </w:rPr>
              <w:t>Nilgen</w:t>
            </w:r>
          </w:p>
        </w:tc>
        <w:tc>
          <w:tcPr>
            <w:tcW w:w="1800" w:type="dxa"/>
            <w:tcBorders>
              <w:top w:val="nil"/>
              <w:left w:val="nil"/>
              <w:bottom w:val="nil"/>
              <w:right w:val="nil"/>
            </w:tcBorders>
            <w:vAlign w:val="bottom"/>
          </w:tcPr>
          <w:p>
            <w:pPr>
              <w:pStyle w:val="yTableNAm"/>
              <w:jc w:val="center"/>
              <w:rPr>
                <w:szCs w:val="22"/>
              </w:rPr>
            </w:pPr>
            <w:r>
              <w:rPr>
                <w:szCs w:val="22"/>
              </w:rPr>
              <w:t>3</w:t>
            </w:r>
          </w:p>
        </w:tc>
        <w:tc>
          <w:tcPr>
            <w:tcW w:w="1800" w:type="dxa"/>
            <w:tcBorders>
              <w:top w:val="nil"/>
              <w:left w:val="nil"/>
              <w:bottom w:val="nil"/>
              <w:right w:val="nil"/>
            </w:tcBorders>
            <w:vAlign w:val="bottom"/>
          </w:tcPr>
          <w:p>
            <w:pPr>
              <w:pStyle w:val="yTableNAm"/>
              <w:jc w:val="center"/>
              <w:rPr>
                <w:szCs w:val="22"/>
              </w:rPr>
            </w:pPr>
            <w:r>
              <w:rPr>
                <w:szCs w:val="22"/>
              </w:rPr>
              <w:t>6</w:t>
            </w:r>
          </w:p>
        </w:tc>
      </w:tr>
      <w:tr>
        <w:tc>
          <w:tcPr>
            <w:tcW w:w="2920" w:type="dxa"/>
            <w:tcBorders>
              <w:top w:val="nil"/>
              <w:left w:val="nil"/>
              <w:bottom w:val="nil"/>
              <w:right w:val="nil"/>
            </w:tcBorders>
            <w:vAlign w:val="center"/>
          </w:tcPr>
          <w:p>
            <w:pPr>
              <w:pStyle w:val="yTableNAm"/>
              <w:rPr>
                <w:szCs w:val="22"/>
              </w:rPr>
            </w:pPr>
            <w:r>
              <w:rPr>
                <w:szCs w:val="22"/>
              </w:rPr>
              <w:t>Norseman</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12</w:t>
            </w:r>
          </w:p>
        </w:tc>
      </w:tr>
      <w:tr>
        <w:tc>
          <w:tcPr>
            <w:tcW w:w="2920" w:type="dxa"/>
            <w:tcBorders>
              <w:top w:val="nil"/>
              <w:left w:val="nil"/>
              <w:bottom w:val="nil"/>
              <w:right w:val="nil"/>
            </w:tcBorders>
            <w:vAlign w:val="center"/>
          </w:tcPr>
          <w:p>
            <w:pPr>
              <w:pStyle w:val="yTableNAm"/>
              <w:rPr>
                <w:szCs w:val="22"/>
              </w:rPr>
            </w:pPr>
            <w:r>
              <w:rPr>
                <w:szCs w:val="22"/>
              </w:rPr>
              <w:t>North Dandalup</w:t>
            </w:r>
          </w:p>
        </w:tc>
        <w:tc>
          <w:tcPr>
            <w:tcW w:w="1800" w:type="dxa"/>
            <w:tcBorders>
              <w:top w:val="nil"/>
              <w:left w:val="nil"/>
              <w:bottom w:val="nil"/>
              <w:right w:val="nil"/>
            </w:tcBorders>
            <w:vAlign w:val="bottom"/>
          </w:tcPr>
          <w:p>
            <w:pPr>
              <w:pStyle w:val="yTableNAm"/>
              <w:jc w:val="center"/>
              <w:rPr>
                <w:szCs w:val="22"/>
              </w:rPr>
            </w:pPr>
            <w:r>
              <w:rPr>
                <w:szCs w:val="22"/>
              </w:rPr>
              <w:t>3</w:t>
            </w:r>
          </w:p>
        </w:tc>
        <w:tc>
          <w:tcPr>
            <w:tcW w:w="1800" w:type="dxa"/>
            <w:tcBorders>
              <w:top w:val="nil"/>
              <w:left w:val="nil"/>
              <w:bottom w:val="nil"/>
              <w:right w:val="nil"/>
            </w:tcBorders>
            <w:vAlign w:val="bottom"/>
          </w:tcPr>
          <w:p>
            <w:pPr>
              <w:pStyle w:val="yTableNAm"/>
              <w:jc w:val="center"/>
              <w:rPr>
                <w:szCs w:val="22"/>
              </w:rPr>
            </w:pPr>
            <w:r>
              <w:rPr>
                <w:szCs w:val="22"/>
              </w:rPr>
              <w:t>9</w:t>
            </w:r>
          </w:p>
        </w:tc>
      </w:tr>
      <w:tr>
        <w:tc>
          <w:tcPr>
            <w:tcW w:w="2920" w:type="dxa"/>
            <w:tcBorders>
              <w:top w:val="nil"/>
              <w:left w:val="nil"/>
              <w:bottom w:val="nil"/>
              <w:right w:val="nil"/>
            </w:tcBorders>
            <w:vAlign w:val="center"/>
          </w:tcPr>
          <w:p>
            <w:pPr>
              <w:pStyle w:val="yTableNAm"/>
              <w:rPr>
                <w:szCs w:val="22"/>
              </w:rPr>
            </w:pPr>
            <w:r>
              <w:rPr>
                <w:szCs w:val="22"/>
              </w:rPr>
              <w:t>Northam</w:t>
            </w:r>
          </w:p>
        </w:tc>
        <w:tc>
          <w:tcPr>
            <w:tcW w:w="1800" w:type="dxa"/>
            <w:tcBorders>
              <w:top w:val="nil"/>
              <w:left w:val="nil"/>
              <w:bottom w:val="nil"/>
              <w:right w:val="nil"/>
            </w:tcBorders>
            <w:vAlign w:val="bottom"/>
          </w:tcPr>
          <w:p>
            <w:pPr>
              <w:pStyle w:val="yTableNAm"/>
              <w:jc w:val="center"/>
              <w:rPr>
                <w:szCs w:val="22"/>
              </w:rPr>
            </w:pPr>
            <w:r>
              <w:rPr>
                <w:szCs w:val="22"/>
              </w:rPr>
              <w:t>3</w:t>
            </w:r>
          </w:p>
        </w:tc>
        <w:tc>
          <w:tcPr>
            <w:tcW w:w="1800" w:type="dxa"/>
            <w:tcBorders>
              <w:top w:val="nil"/>
              <w:left w:val="nil"/>
              <w:bottom w:val="nil"/>
              <w:right w:val="nil"/>
            </w:tcBorders>
            <w:vAlign w:val="bottom"/>
          </w:tcPr>
          <w:p>
            <w:pPr>
              <w:pStyle w:val="yTableNAm"/>
              <w:jc w:val="center"/>
              <w:rPr>
                <w:szCs w:val="22"/>
              </w:rPr>
            </w:pPr>
            <w:r>
              <w:rPr>
                <w:szCs w:val="22"/>
              </w:rPr>
              <w:t>5</w:t>
            </w:r>
          </w:p>
        </w:tc>
      </w:tr>
      <w:tr>
        <w:tc>
          <w:tcPr>
            <w:tcW w:w="2920" w:type="dxa"/>
            <w:tcBorders>
              <w:top w:val="nil"/>
              <w:left w:val="nil"/>
              <w:bottom w:val="nil"/>
              <w:right w:val="nil"/>
            </w:tcBorders>
            <w:vAlign w:val="center"/>
          </w:tcPr>
          <w:p>
            <w:pPr>
              <w:pStyle w:val="yTableNAm"/>
              <w:rPr>
                <w:szCs w:val="22"/>
              </w:rPr>
            </w:pPr>
            <w:r>
              <w:rPr>
                <w:szCs w:val="22"/>
              </w:rPr>
              <w:t>Northam Farmlands</w:t>
            </w:r>
          </w:p>
        </w:tc>
        <w:tc>
          <w:tcPr>
            <w:tcW w:w="1800" w:type="dxa"/>
            <w:tcBorders>
              <w:top w:val="nil"/>
              <w:left w:val="nil"/>
              <w:bottom w:val="nil"/>
              <w:right w:val="nil"/>
            </w:tcBorders>
            <w:vAlign w:val="bottom"/>
          </w:tcPr>
          <w:p>
            <w:pPr>
              <w:pStyle w:val="yTableNAm"/>
              <w:jc w:val="center"/>
              <w:rPr>
                <w:szCs w:val="22"/>
              </w:rPr>
            </w:pPr>
            <w:r>
              <w:rPr>
                <w:szCs w:val="22"/>
              </w:rPr>
              <w:t>3</w:t>
            </w:r>
          </w:p>
        </w:tc>
        <w:tc>
          <w:tcPr>
            <w:tcW w:w="1800" w:type="dxa"/>
            <w:tcBorders>
              <w:top w:val="nil"/>
              <w:left w:val="nil"/>
              <w:bottom w:val="nil"/>
              <w:right w:val="nil"/>
            </w:tcBorders>
            <w:vAlign w:val="bottom"/>
          </w:tcPr>
          <w:p>
            <w:pPr>
              <w:pStyle w:val="yTableNAm"/>
              <w:jc w:val="center"/>
              <w:rPr>
                <w:szCs w:val="22"/>
              </w:rPr>
            </w:pPr>
            <w:r>
              <w:rPr>
                <w:szCs w:val="22"/>
              </w:rPr>
              <w:t>9</w:t>
            </w:r>
          </w:p>
        </w:tc>
      </w:tr>
      <w:tr>
        <w:tc>
          <w:tcPr>
            <w:tcW w:w="2920" w:type="dxa"/>
            <w:tcBorders>
              <w:top w:val="nil"/>
              <w:left w:val="nil"/>
              <w:bottom w:val="nil"/>
              <w:right w:val="nil"/>
            </w:tcBorders>
            <w:vAlign w:val="center"/>
          </w:tcPr>
          <w:p>
            <w:pPr>
              <w:pStyle w:val="yTableNAm"/>
              <w:rPr>
                <w:szCs w:val="22"/>
              </w:rPr>
            </w:pPr>
            <w:r>
              <w:rPr>
                <w:szCs w:val="22"/>
              </w:rPr>
              <w:t>Northampton</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11</w:t>
            </w:r>
          </w:p>
        </w:tc>
      </w:tr>
      <w:tr>
        <w:tc>
          <w:tcPr>
            <w:tcW w:w="2920" w:type="dxa"/>
            <w:tcBorders>
              <w:top w:val="nil"/>
              <w:left w:val="nil"/>
              <w:bottom w:val="nil"/>
              <w:right w:val="nil"/>
            </w:tcBorders>
            <w:vAlign w:val="center"/>
          </w:tcPr>
          <w:p>
            <w:pPr>
              <w:pStyle w:val="yTableNAm"/>
              <w:rPr>
                <w:szCs w:val="22"/>
              </w:rPr>
            </w:pPr>
            <w:r>
              <w:rPr>
                <w:szCs w:val="22"/>
              </w:rPr>
              <w:t>Northcliffe</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13</w:t>
            </w:r>
          </w:p>
        </w:tc>
      </w:tr>
      <w:tr>
        <w:tc>
          <w:tcPr>
            <w:tcW w:w="2920" w:type="dxa"/>
            <w:tcBorders>
              <w:top w:val="nil"/>
              <w:left w:val="nil"/>
              <w:bottom w:val="nil"/>
              <w:right w:val="nil"/>
            </w:tcBorders>
            <w:vAlign w:val="center"/>
          </w:tcPr>
          <w:p>
            <w:pPr>
              <w:pStyle w:val="yTableNAm"/>
              <w:rPr>
                <w:szCs w:val="22"/>
              </w:rPr>
            </w:pPr>
            <w:r>
              <w:rPr>
                <w:szCs w:val="22"/>
              </w:rPr>
              <w:t>Nullagine</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13</w:t>
            </w:r>
          </w:p>
        </w:tc>
      </w:tr>
      <w:tr>
        <w:tc>
          <w:tcPr>
            <w:tcW w:w="2920" w:type="dxa"/>
            <w:tcBorders>
              <w:top w:val="nil"/>
              <w:left w:val="nil"/>
              <w:bottom w:val="nil"/>
              <w:right w:val="nil"/>
            </w:tcBorders>
            <w:vAlign w:val="center"/>
          </w:tcPr>
          <w:p>
            <w:pPr>
              <w:pStyle w:val="yTableNAm"/>
              <w:rPr>
                <w:szCs w:val="22"/>
              </w:rPr>
            </w:pPr>
            <w:r>
              <w:rPr>
                <w:szCs w:val="22"/>
              </w:rPr>
              <w:t>Nungarin</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13</w:t>
            </w:r>
          </w:p>
        </w:tc>
      </w:tr>
      <w:tr>
        <w:tc>
          <w:tcPr>
            <w:tcW w:w="2920" w:type="dxa"/>
            <w:tcBorders>
              <w:top w:val="nil"/>
              <w:left w:val="nil"/>
              <w:bottom w:val="nil"/>
              <w:right w:val="nil"/>
            </w:tcBorders>
            <w:vAlign w:val="center"/>
          </w:tcPr>
          <w:p>
            <w:pPr>
              <w:pStyle w:val="yTableNAm"/>
              <w:rPr>
                <w:szCs w:val="22"/>
              </w:rPr>
            </w:pPr>
            <w:r>
              <w:rPr>
                <w:szCs w:val="22"/>
              </w:rPr>
              <w:t>Nyabing</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13</w:t>
            </w:r>
          </w:p>
        </w:tc>
      </w:tr>
      <w:tr>
        <w:tc>
          <w:tcPr>
            <w:tcW w:w="2920" w:type="dxa"/>
            <w:tcBorders>
              <w:top w:val="nil"/>
              <w:left w:val="nil"/>
              <w:bottom w:val="nil"/>
              <w:right w:val="nil"/>
            </w:tcBorders>
            <w:vAlign w:val="center"/>
          </w:tcPr>
          <w:p>
            <w:pPr>
              <w:pStyle w:val="yTableNAm"/>
              <w:rPr>
                <w:szCs w:val="22"/>
              </w:rPr>
            </w:pPr>
            <w:r>
              <w:rPr>
                <w:szCs w:val="22"/>
              </w:rPr>
              <w:t>Ongerup</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14</w:t>
            </w:r>
          </w:p>
        </w:tc>
      </w:tr>
      <w:tr>
        <w:tc>
          <w:tcPr>
            <w:tcW w:w="2920" w:type="dxa"/>
            <w:tcBorders>
              <w:top w:val="nil"/>
              <w:left w:val="nil"/>
              <w:bottom w:val="nil"/>
              <w:right w:val="nil"/>
            </w:tcBorders>
            <w:vAlign w:val="center"/>
          </w:tcPr>
          <w:p>
            <w:pPr>
              <w:pStyle w:val="yTableNAm"/>
              <w:rPr>
                <w:szCs w:val="22"/>
              </w:rPr>
            </w:pPr>
            <w:r>
              <w:rPr>
                <w:szCs w:val="22"/>
              </w:rPr>
              <w:t>Onslow</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13</w:t>
            </w:r>
          </w:p>
        </w:tc>
      </w:tr>
      <w:tr>
        <w:tc>
          <w:tcPr>
            <w:tcW w:w="2920" w:type="dxa"/>
            <w:tcBorders>
              <w:top w:val="nil"/>
              <w:left w:val="nil"/>
              <w:bottom w:val="nil"/>
              <w:right w:val="nil"/>
            </w:tcBorders>
            <w:vAlign w:val="center"/>
          </w:tcPr>
          <w:p>
            <w:pPr>
              <w:pStyle w:val="yTableNAm"/>
              <w:rPr>
                <w:szCs w:val="22"/>
              </w:rPr>
            </w:pPr>
            <w:r>
              <w:rPr>
                <w:szCs w:val="22"/>
              </w:rPr>
              <w:t>Ora Banda</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14</w:t>
            </w:r>
          </w:p>
        </w:tc>
      </w:tr>
      <w:tr>
        <w:tc>
          <w:tcPr>
            <w:tcW w:w="2920" w:type="dxa"/>
            <w:tcBorders>
              <w:top w:val="nil"/>
              <w:left w:val="nil"/>
              <w:bottom w:val="nil"/>
              <w:right w:val="nil"/>
            </w:tcBorders>
            <w:vAlign w:val="center"/>
          </w:tcPr>
          <w:p>
            <w:pPr>
              <w:pStyle w:val="yTableNAm"/>
              <w:rPr>
                <w:szCs w:val="22"/>
              </w:rPr>
            </w:pPr>
            <w:r>
              <w:rPr>
                <w:szCs w:val="22"/>
              </w:rPr>
              <w:t>Park Ridge</w:t>
            </w:r>
          </w:p>
        </w:tc>
        <w:tc>
          <w:tcPr>
            <w:tcW w:w="1800" w:type="dxa"/>
            <w:tcBorders>
              <w:top w:val="nil"/>
              <w:left w:val="nil"/>
              <w:bottom w:val="nil"/>
              <w:right w:val="nil"/>
            </w:tcBorders>
            <w:vAlign w:val="bottom"/>
          </w:tcPr>
          <w:p>
            <w:pPr>
              <w:pStyle w:val="yTableNAm"/>
              <w:jc w:val="center"/>
              <w:rPr>
                <w:szCs w:val="22"/>
              </w:rPr>
            </w:pPr>
            <w:r>
              <w:rPr>
                <w:szCs w:val="22"/>
              </w:rPr>
              <w:t>3</w:t>
            </w:r>
          </w:p>
        </w:tc>
        <w:tc>
          <w:tcPr>
            <w:tcW w:w="1800" w:type="dxa"/>
            <w:tcBorders>
              <w:top w:val="nil"/>
              <w:left w:val="nil"/>
              <w:bottom w:val="nil"/>
              <w:right w:val="nil"/>
            </w:tcBorders>
            <w:vAlign w:val="bottom"/>
          </w:tcPr>
          <w:p>
            <w:pPr>
              <w:pStyle w:val="yTableNAm"/>
              <w:jc w:val="center"/>
              <w:rPr>
                <w:szCs w:val="22"/>
              </w:rPr>
            </w:pPr>
            <w:r>
              <w:rPr>
                <w:szCs w:val="22"/>
              </w:rPr>
              <w:t>5</w:t>
            </w:r>
          </w:p>
        </w:tc>
      </w:tr>
      <w:tr>
        <w:tc>
          <w:tcPr>
            <w:tcW w:w="2920" w:type="dxa"/>
            <w:tcBorders>
              <w:top w:val="nil"/>
              <w:left w:val="nil"/>
              <w:bottom w:val="nil"/>
              <w:right w:val="nil"/>
            </w:tcBorders>
            <w:vAlign w:val="center"/>
          </w:tcPr>
          <w:p>
            <w:pPr>
              <w:pStyle w:val="yTableNAm"/>
              <w:rPr>
                <w:szCs w:val="22"/>
              </w:rPr>
            </w:pPr>
            <w:r>
              <w:rPr>
                <w:szCs w:val="22"/>
              </w:rPr>
              <w:t>Pemberton</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11</w:t>
            </w:r>
          </w:p>
        </w:tc>
      </w:tr>
      <w:tr>
        <w:tc>
          <w:tcPr>
            <w:tcW w:w="2920" w:type="dxa"/>
            <w:tcBorders>
              <w:top w:val="nil"/>
              <w:left w:val="nil"/>
              <w:bottom w:val="nil"/>
              <w:right w:val="nil"/>
            </w:tcBorders>
            <w:vAlign w:val="center"/>
          </w:tcPr>
          <w:p>
            <w:pPr>
              <w:pStyle w:val="yTableNAm"/>
              <w:rPr>
                <w:szCs w:val="22"/>
              </w:rPr>
            </w:pPr>
            <w:r>
              <w:rPr>
                <w:szCs w:val="22"/>
              </w:rPr>
              <w:t>Peppermint Grove Beach</w:t>
            </w:r>
          </w:p>
        </w:tc>
        <w:tc>
          <w:tcPr>
            <w:tcW w:w="1800" w:type="dxa"/>
            <w:tcBorders>
              <w:top w:val="nil"/>
              <w:left w:val="nil"/>
              <w:bottom w:val="nil"/>
              <w:right w:val="nil"/>
            </w:tcBorders>
            <w:vAlign w:val="bottom"/>
          </w:tcPr>
          <w:p>
            <w:pPr>
              <w:pStyle w:val="yTableNAm"/>
              <w:jc w:val="center"/>
              <w:rPr>
                <w:szCs w:val="22"/>
              </w:rPr>
            </w:pPr>
            <w:r>
              <w:rPr>
                <w:szCs w:val="22"/>
              </w:rPr>
              <w:t>4</w:t>
            </w:r>
          </w:p>
        </w:tc>
        <w:tc>
          <w:tcPr>
            <w:tcW w:w="1800" w:type="dxa"/>
            <w:tcBorders>
              <w:top w:val="nil"/>
              <w:left w:val="nil"/>
              <w:bottom w:val="nil"/>
              <w:right w:val="nil"/>
            </w:tcBorders>
            <w:vAlign w:val="bottom"/>
          </w:tcPr>
          <w:p>
            <w:pPr>
              <w:pStyle w:val="yTableNAm"/>
              <w:jc w:val="center"/>
              <w:rPr>
                <w:szCs w:val="22"/>
              </w:rPr>
            </w:pPr>
            <w:r>
              <w:rPr>
                <w:szCs w:val="22"/>
              </w:rPr>
              <w:t>11</w:t>
            </w:r>
          </w:p>
        </w:tc>
      </w:tr>
      <w:tr>
        <w:tc>
          <w:tcPr>
            <w:tcW w:w="2920" w:type="dxa"/>
            <w:tcBorders>
              <w:top w:val="nil"/>
              <w:left w:val="nil"/>
              <w:bottom w:val="nil"/>
              <w:right w:val="nil"/>
            </w:tcBorders>
            <w:vAlign w:val="center"/>
          </w:tcPr>
          <w:p>
            <w:pPr>
              <w:pStyle w:val="yTableNAm"/>
              <w:rPr>
                <w:szCs w:val="22"/>
              </w:rPr>
            </w:pPr>
            <w:r>
              <w:rPr>
                <w:szCs w:val="22"/>
              </w:rPr>
              <w:t>Perenjori</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13</w:t>
            </w:r>
          </w:p>
        </w:tc>
      </w:tr>
      <w:tr>
        <w:tc>
          <w:tcPr>
            <w:tcW w:w="2920" w:type="dxa"/>
            <w:tcBorders>
              <w:top w:val="nil"/>
              <w:left w:val="nil"/>
              <w:bottom w:val="nil"/>
              <w:right w:val="nil"/>
            </w:tcBorders>
            <w:vAlign w:val="center"/>
          </w:tcPr>
          <w:p>
            <w:pPr>
              <w:pStyle w:val="yTableNAm"/>
              <w:rPr>
                <w:szCs w:val="22"/>
              </w:rPr>
            </w:pPr>
            <w:r>
              <w:rPr>
                <w:szCs w:val="22"/>
              </w:rPr>
              <w:t>Pingaring</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14</w:t>
            </w:r>
          </w:p>
        </w:tc>
      </w:tr>
      <w:tr>
        <w:tc>
          <w:tcPr>
            <w:tcW w:w="2920" w:type="dxa"/>
            <w:tcBorders>
              <w:top w:val="nil"/>
              <w:left w:val="nil"/>
              <w:bottom w:val="nil"/>
              <w:right w:val="nil"/>
            </w:tcBorders>
            <w:vAlign w:val="center"/>
          </w:tcPr>
          <w:p>
            <w:pPr>
              <w:pStyle w:val="yTableNAm"/>
              <w:rPr>
                <w:szCs w:val="22"/>
              </w:rPr>
            </w:pPr>
            <w:r>
              <w:rPr>
                <w:szCs w:val="22"/>
              </w:rPr>
              <w:t>Pingelly</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11</w:t>
            </w:r>
          </w:p>
        </w:tc>
      </w:tr>
      <w:tr>
        <w:tc>
          <w:tcPr>
            <w:tcW w:w="2920" w:type="dxa"/>
            <w:tcBorders>
              <w:top w:val="nil"/>
              <w:left w:val="nil"/>
              <w:bottom w:val="nil"/>
              <w:right w:val="nil"/>
            </w:tcBorders>
            <w:vAlign w:val="center"/>
          </w:tcPr>
          <w:p>
            <w:pPr>
              <w:pStyle w:val="yTableNAm"/>
              <w:rPr>
                <w:szCs w:val="22"/>
              </w:rPr>
            </w:pPr>
            <w:r>
              <w:rPr>
                <w:szCs w:val="22"/>
              </w:rPr>
              <w:t>Pingrup</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14</w:t>
            </w:r>
          </w:p>
        </w:tc>
      </w:tr>
      <w:tr>
        <w:tc>
          <w:tcPr>
            <w:tcW w:w="2920" w:type="dxa"/>
            <w:tcBorders>
              <w:top w:val="nil"/>
              <w:left w:val="nil"/>
              <w:bottom w:val="nil"/>
              <w:right w:val="nil"/>
            </w:tcBorders>
            <w:vAlign w:val="center"/>
          </w:tcPr>
          <w:p>
            <w:pPr>
              <w:pStyle w:val="yTableNAm"/>
              <w:rPr>
                <w:szCs w:val="22"/>
              </w:rPr>
            </w:pPr>
            <w:r>
              <w:rPr>
                <w:szCs w:val="22"/>
              </w:rPr>
              <w:t>Pinjarra</w:t>
            </w:r>
          </w:p>
        </w:tc>
        <w:tc>
          <w:tcPr>
            <w:tcW w:w="1800" w:type="dxa"/>
            <w:tcBorders>
              <w:top w:val="nil"/>
              <w:left w:val="nil"/>
              <w:bottom w:val="nil"/>
              <w:right w:val="nil"/>
            </w:tcBorders>
            <w:vAlign w:val="bottom"/>
          </w:tcPr>
          <w:p>
            <w:pPr>
              <w:pStyle w:val="yTableNAm"/>
              <w:jc w:val="center"/>
              <w:rPr>
                <w:szCs w:val="22"/>
              </w:rPr>
            </w:pPr>
            <w:r>
              <w:rPr>
                <w:szCs w:val="22"/>
              </w:rPr>
              <w:t>1</w:t>
            </w:r>
          </w:p>
        </w:tc>
        <w:tc>
          <w:tcPr>
            <w:tcW w:w="1800" w:type="dxa"/>
            <w:tcBorders>
              <w:top w:val="nil"/>
              <w:left w:val="nil"/>
              <w:bottom w:val="nil"/>
              <w:right w:val="nil"/>
            </w:tcBorders>
            <w:vAlign w:val="bottom"/>
          </w:tcPr>
          <w:p>
            <w:pPr>
              <w:pStyle w:val="yTableNAm"/>
              <w:jc w:val="center"/>
              <w:rPr>
                <w:szCs w:val="22"/>
              </w:rPr>
            </w:pPr>
            <w:r>
              <w:rPr>
                <w:szCs w:val="22"/>
              </w:rPr>
              <w:t>1</w:t>
            </w:r>
          </w:p>
        </w:tc>
      </w:tr>
      <w:tr>
        <w:tc>
          <w:tcPr>
            <w:tcW w:w="2920" w:type="dxa"/>
            <w:tcBorders>
              <w:top w:val="nil"/>
              <w:left w:val="nil"/>
              <w:bottom w:val="nil"/>
              <w:right w:val="nil"/>
            </w:tcBorders>
            <w:vAlign w:val="center"/>
          </w:tcPr>
          <w:p>
            <w:pPr>
              <w:pStyle w:val="yTableNAm"/>
              <w:rPr>
                <w:szCs w:val="22"/>
              </w:rPr>
            </w:pPr>
            <w:r>
              <w:rPr>
                <w:szCs w:val="22"/>
              </w:rPr>
              <w:t>Pithara</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11</w:t>
            </w:r>
          </w:p>
        </w:tc>
      </w:tr>
      <w:tr>
        <w:tc>
          <w:tcPr>
            <w:tcW w:w="2920" w:type="dxa"/>
            <w:tcBorders>
              <w:top w:val="nil"/>
              <w:left w:val="nil"/>
              <w:bottom w:val="nil"/>
              <w:right w:val="nil"/>
            </w:tcBorders>
            <w:vAlign w:val="center"/>
          </w:tcPr>
          <w:p>
            <w:pPr>
              <w:pStyle w:val="yTableNAm"/>
              <w:rPr>
                <w:szCs w:val="22"/>
              </w:rPr>
            </w:pPr>
            <w:r>
              <w:rPr>
                <w:szCs w:val="22"/>
              </w:rPr>
              <w:t>Point Samson</w:t>
            </w:r>
          </w:p>
        </w:tc>
        <w:tc>
          <w:tcPr>
            <w:tcW w:w="1800" w:type="dxa"/>
            <w:tcBorders>
              <w:top w:val="nil"/>
              <w:left w:val="nil"/>
              <w:bottom w:val="nil"/>
              <w:right w:val="nil"/>
            </w:tcBorders>
            <w:vAlign w:val="bottom"/>
          </w:tcPr>
          <w:p>
            <w:pPr>
              <w:pStyle w:val="yTableNAm"/>
              <w:jc w:val="center"/>
              <w:rPr>
                <w:szCs w:val="22"/>
              </w:rPr>
            </w:pPr>
            <w:r>
              <w:rPr>
                <w:szCs w:val="22"/>
              </w:rPr>
              <w:t>4</w:t>
            </w:r>
          </w:p>
        </w:tc>
        <w:tc>
          <w:tcPr>
            <w:tcW w:w="1800" w:type="dxa"/>
            <w:tcBorders>
              <w:top w:val="nil"/>
              <w:left w:val="nil"/>
              <w:bottom w:val="nil"/>
              <w:right w:val="nil"/>
            </w:tcBorders>
            <w:vAlign w:val="bottom"/>
          </w:tcPr>
          <w:p>
            <w:pPr>
              <w:pStyle w:val="yTableNAm"/>
              <w:jc w:val="center"/>
              <w:rPr>
                <w:szCs w:val="22"/>
              </w:rPr>
            </w:pPr>
            <w:r>
              <w:rPr>
                <w:szCs w:val="22"/>
              </w:rPr>
              <w:t>10</w:t>
            </w:r>
          </w:p>
        </w:tc>
      </w:tr>
      <w:tr>
        <w:tc>
          <w:tcPr>
            <w:tcW w:w="2920" w:type="dxa"/>
            <w:tcBorders>
              <w:top w:val="nil"/>
              <w:left w:val="nil"/>
              <w:bottom w:val="nil"/>
              <w:right w:val="nil"/>
            </w:tcBorders>
            <w:vAlign w:val="center"/>
          </w:tcPr>
          <w:p>
            <w:pPr>
              <w:pStyle w:val="yTableNAm"/>
              <w:rPr>
                <w:szCs w:val="22"/>
              </w:rPr>
            </w:pPr>
            <w:r>
              <w:rPr>
                <w:szCs w:val="22"/>
              </w:rPr>
              <w:t>Popanyinning</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13</w:t>
            </w:r>
          </w:p>
        </w:tc>
      </w:tr>
      <w:tr>
        <w:tc>
          <w:tcPr>
            <w:tcW w:w="2920" w:type="dxa"/>
            <w:tcBorders>
              <w:top w:val="nil"/>
              <w:left w:val="nil"/>
              <w:bottom w:val="nil"/>
              <w:right w:val="nil"/>
            </w:tcBorders>
            <w:vAlign w:val="center"/>
          </w:tcPr>
          <w:p>
            <w:pPr>
              <w:pStyle w:val="yTableNAm"/>
              <w:rPr>
                <w:szCs w:val="22"/>
              </w:rPr>
            </w:pPr>
            <w:r>
              <w:rPr>
                <w:szCs w:val="22"/>
              </w:rPr>
              <w:t>Porongurup</w:t>
            </w:r>
          </w:p>
        </w:tc>
        <w:tc>
          <w:tcPr>
            <w:tcW w:w="1800" w:type="dxa"/>
            <w:tcBorders>
              <w:top w:val="nil"/>
              <w:left w:val="nil"/>
              <w:bottom w:val="nil"/>
              <w:right w:val="nil"/>
            </w:tcBorders>
            <w:vAlign w:val="bottom"/>
          </w:tcPr>
          <w:p>
            <w:pPr>
              <w:pStyle w:val="yTableNAm"/>
              <w:jc w:val="center"/>
              <w:rPr>
                <w:szCs w:val="22"/>
              </w:rPr>
            </w:pPr>
            <w:r>
              <w:rPr>
                <w:szCs w:val="22"/>
              </w:rPr>
              <w:t>3</w:t>
            </w:r>
          </w:p>
        </w:tc>
        <w:tc>
          <w:tcPr>
            <w:tcW w:w="1800" w:type="dxa"/>
            <w:tcBorders>
              <w:top w:val="nil"/>
              <w:left w:val="nil"/>
              <w:bottom w:val="nil"/>
              <w:right w:val="nil"/>
            </w:tcBorders>
            <w:vAlign w:val="bottom"/>
          </w:tcPr>
          <w:p>
            <w:pPr>
              <w:pStyle w:val="yTableNAm"/>
              <w:jc w:val="center"/>
              <w:rPr>
                <w:szCs w:val="22"/>
              </w:rPr>
            </w:pPr>
            <w:r>
              <w:rPr>
                <w:szCs w:val="22"/>
              </w:rPr>
              <w:t>3</w:t>
            </w:r>
          </w:p>
        </w:tc>
      </w:tr>
      <w:tr>
        <w:tc>
          <w:tcPr>
            <w:tcW w:w="2920" w:type="dxa"/>
            <w:tcBorders>
              <w:top w:val="nil"/>
              <w:left w:val="nil"/>
              <w:bottom w:val="nil"/>
              <w:right w:val="nil"/>
            </w:tcBorders>
            <w:vAlign w:val="center"/>
          </w:tcPr>
          <w:p>
            <w:pPr>
              <w:pStyle w:val="yTableNAm"/>
              <w:rPr>
                <w:szCs w:val="22"/>
              </w:rPr>
            </w:pPr>
            <w:r>
              <w:rPr>
                <w:szCs w:val="22"/>
              </w:rPr>
              <w:t>Porongurup Farmlands</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11</w:t>
            </w:r>
          </w:p>
        </w:tc>
      </w:tr>
      <w:tr>
        <w:tc>
          <w:tcPr>
            <w:tcW w:w="2920" w:type="dxa"/>
            <w:tcBorders>
              <w:top w:val="nil"/>
              <w:left w:val="nil"/>
              <w:bottom w:val="nil"/>
              <w:right w:val="nil"/>
            </w:tcBorders>
            <w:vAlign w:val="center"/>
          </w:tcPr>
          <w:p>
            <w:pPr>
              <w:pStyle w:val="yTableNAm"/>
              <w:rPr>
                <w:szCs w:val="22"/>
              </w:rPr>
            </w:pPr>
            <w:r>
              <w:rPr>
                <w:szCs w:val="22"/>
              </w:rPr>
              <w:t>Port Hedland</w:t>
            </w:r>
          </w:p>
        </w:tc>
        <w:tc>
          <w:tcPr>
            <w:tcW w:w="1800" w:type="dxa"/>
            <w:tcBorders>
              <w:top w:val="nil"/>
              <w:left w:val="nil"/>
              <w:bottom w:val="nil"/>
              <w:right w:val="nil"/>
            </w:tcBorders>
            <w:vAlign w:val="bottom"/>
          </w:tcPr>
          <w:p>
            <w:pPr>
              <w:pStyle w:val="yTableNAm"/>
              <w:jc w:val="center"/>
              <w:rPr>
                <w:szCs w:val="22"/>
              </w:rPr>
            </w:pPr>
            <w:r>
              <w:rPr>
                <w:szCs w:val="22"/>
              </w:rPr>
              <w:t>2</w:t>
            </w:r>
          </w:p>
        </w:tc>
        <w:tc>
          <w:tcPr>
            <w:tcW w:w="1800" w:type="dxa"/>
            <w:tcBorders>
              <w:top w:val="nil"/>
              <w:left w:val="nil"/>
              <w:bottom w:val="nil"/>
              <w:right w:val="nil"/>
            </w:tcBorders>
            <w:vAlign w:val="bottom"/>
          </w:tcPr>
          <w:p>
            <w:pPr>
              <w:pStyle w:val="yTableNAm"/>
              <w:jc w:val="center"/>
              <w:rPr>
                <w:szCs w:val="22"/>
              </w:rPr>
            </w:pPr>
            <w:r>
              <w:rPr>
                <w:szCs w:val="22"/>
              </w:rPr>
              <w:t>5</w:t>
            </w:r>
          </w:p>
        </w:tc>
      </w:tr>
      <w:tr>
        <w:tc>
          <w:tcPr>
            <w:tcW w:w="2920" w:type="dxa"/>
            <w:tcBorders>
              <w:top w:val="nil"/>
              <w:left w:val="nil"/>
              <w:bottom w:val="nil"/>
              <w:right w:val="nil"/>
            </w:tcBorders>
            <w:vAlign w:val="center"/>
          </w:tcPr>
          <w:p>
            <w:pPr>
              <w:pStyle w:val="yTableNAm"/>
              <w:rPr>
                <w:szCs w:val="22"/>
              </w:rPr>
            </w:pPr>
            <w:r>
              <w:rPr>
                <w:szCs w:val="22"/>
              </w:rPr>
              <w:t>Preston Beach</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11</w:t>
            </w:r>
          </w:p>
        </w:tc>
      </w:tr>
      <w:tr>
        <w:tc>
          <w:tcPr>
            <w:tcW w:w="2920" w:type="dxa"/>
            <w:tcBorders>
              <w:top w:val="nil"/>
              <w:left w:val="nil"/>
              <w:bottom w:val="nil"/>
              <w:right w:val="nil"/>
            </w:tcBorders>
            <w:vAlign w:val="center"/>
          </w:tcPr>
          <w:p>
            <w:pPr>
              <w:pStyle w:val="yTableNAm"/>
              <w:rPr>
                <w:szCs w:val="22"/>
              </w:rPr>
            </w:pPr>
            <w:r>
              <w:rPr>
                <w:szCs w:val="22"/>
              </w:rPr>
              <w:t>Quairading</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11</w:t>
            </w:r>
          </w:p>
        </w:tc>
      </w:tr>
      <w:tr>
        <w:tc>
          <w:tcPr>
            <w:tcW w:w="2920" w:type="dxa"/>
            <w:tcBorders>
              <w:top w:val="nil"/>
              <w:left w:val="nil"/>
              <w:bottom w:val="nil"/>
              <w:right w:val="nil"/>
            </w:tcBorders>
            <w:vAlign w:val="center"/>
          </w:tcPr>
          <w:p>
            <w:pPr>
              <w:pStyle w:val="yTableNAm"/>
              <w:rPr>
                <w:szCs w:val="22"/>
              </w:rPr>
            </w:pPr>
            <w:r>
              <w:rPr>
                <w:szCs w:val="22"/>
              </w:rPr>
              <w:t>Quinninup</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14</w:t>
            </w:r>
          </w:p>
        </w:tc>
      </w:tr>
      <w:tr>
        <w:tc>
          <w:tcPr>
            <w:tcW w:w="2920" w:type="dxa"/>
            <w:tcBorders>
              <w:top w:val="nil"/>
              <w:left w:val="nil"/>
              <w:bottom w:val="nil"/>
              <w:right w:val="nil"/>
            </w:tcBorders>
            <w:vAlign w:val="center"/>
          </w:tcPr>
          <w:p>
            <w:pPr>
              <w:pStyle w:val="yTableNAm"/>
              <w:rPr>
                <w:szCs w:val="22"/>
              </w:rPr>
            </w:pPr>
            <w:r>
              <w:rPr>
                <w:szCs w:val="22"/>
              </w:rPr>
              <w:t>Ravensthorpe</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14</w:t>
            </w:r>
          </w:p>
        </w:tc>
      </w:tr>
      <w:tr>
        <w:tc>
          <w:tcPr>
            <w:tcW w:w="2920" w:type="dxa"/>
            <w:tcBorders>
              <w:top w:val="nil"/>
              <w:left w:val="nil"/>
              <w:bottom w:val="nil"/>
              <w:right w:val="nil"/>
            </w:tcBorders>
            <w:vAlign w:val="center"/>
          </w:tcPr>
          <w:p>
            <w:pPr>
              <w:pStyle w:val="yTableNAm"/>
              <w:rPr>
                <w:szCs w:val="22"/>
              </w:rPr>
            </w:pPr>
            <w:r>
              <w:rPr>
                <w:szCs w:val="22"/>
              </w:rPr>
              <w:t>Rocky Gully</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14</w:t>
            </w:r>
          </w:p>
        </w:tc>
      </w:tr>
      <w:tr>
        <w:tc>
          <w:tcPr>
            <w:tcW w:w="2920" w:type="dxa"/>
            <w:tcBorders>
              <w:top w:val="nil"/>
              <w:left w:val="nil"/>
              <w:bottom w:val="nil"/>
              <w:right w:val="nil"/>
            </w:tcBorders>
            <w:vAlign w:val="center"/>
          </w:tcPr>
          <w:p>
            <w:pPr>
              <w:pStyle w:val="yTableNAm"/>
              <w:rPr>
                <w:szCs w:val="22"/>
              </w:rPr>
            </w:pPr>
            <w:r>
              <w:rPr>
                <w:szCs w:val="22"/>
              </w:rPr>
              <w:t>Roebourne</w:t>
            </w:r>
          </w:p>
        </w:tc>
        <w:tc>
          <w:tcPr>
            <w:tcW w:w="1800" w:type="dxa"/>
            <w:tcBorders>
              <w:top w:val="nil"/>
              <w:left w:val="nil"/>
              <w:bottom w:val="nil"/>
              <w:right w:val="nil"/>
            </w:tcBorders>
            <w:vAlign w:val="bottom"/>
          </w:tcPr>
          <w:p>
            <w:pPr>
              <w:pStyle w:val="yTableNAm"/>
              <w:jc w:val="center"/>
              <w:rPr>
                <w:szCs w:val="22"/>
              </w:rPr>
            </w:pPr>
            <w:r>
              <w:rPr>
                <w:szCs w:val="22"/>
              </w:rPr>
              <w:t>4</w:t>
            </w:r>
          </w:p>
        </w:tc>
        <w:tc>
          <w:tcPr>
            <w:tcW w:w="1800" w:type="dxa"/>
            <w:tcBorders>
              <w:top w:val="nil"/>
              <w:left w:val="nil"/>
              <w:bottom w:val="nil"/>
              <w:right w:val="nil"/>
            </w:tcBorders>
            <w:vAlign w:val="bottom"/>
          </w:tcPr>
          <w:p>
            <w:pPr>
              <w:pStyle w:val="yTableNAm"/>
              <w:jc w:val="center"/>
              <w:rPr>
                <w:szCs w:val="22"/>
              </w:rPr>
            </w:pPr>
            <w:r>
              <w:rPr>
                <w:szCs w:val="22"/>
              </w:rPr>
              <w:t>10</w:t>
            </w:r>
          </w:p>
        </w:tc>
      </w:tr>
      <w:tr>
        <w:tc>
          <w:tcPr>
            <w:tcW w:w="2920" w:type="dxa"/>
            <w:tcBorders>
              <w:top w:val="nil"/>
              <w:left w:val="nil"/>
              <w:bottom w:val="nil"/>
              <w:right w:val="nil"/>
            </w:tcBorders>
            <w:vAlign w:val="center"/>
          </w:tcPr>
          <w:p>
            <w:pPr>
              <w:pStyle w:val="yTableNAm"/>
              <w:rPr>
                <w:szCs w:val="22"/>
              </w:rPr>
            </w:pPr>
            <w:r>
              <w:rPr>
                <w:szCs w:val="22"/>
              </w:rPr>
              <w:t>Salmon Gums</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14</w:t>
            </w:r>
          </w:p>
        </w:tc>
      </w:tr>
      <w:tr>
        <w:tc>
          <w:tcPr>
            <w:tcW w:w="2920" w:type="dxa"/>
            <w:tcBorders>
              <w:top w:val="nil"/>
              <w:left w:val="nil"/>
              <w:bottom w:val="nil"/>
              <w:right w:val="nil"/>
            </w:tcBorders>
            <w:vAlign w:val="center"/>
          </w:tcPr>
          <w:p>
            <w:pPr>
              <w:pStyle w:val="yTableNAm"/>
              <w:rPr>
                <w:szCs w:val="22"/>
              </w:rPr>
            </w:pPr>
            <w:r>
              <w:rPr>
                <w:szCs w:val="22"/>
              </w:rPr>
              <w:t>Sandstone</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13</w:t>
            </w:r>
          </w:p>
        </w:tc>
      </w:tr>
      <w:tr>
        <w:tc>
          <w:tcPr>
            <w:tcW w:w="2920" w:type="dxa"/>
            <w:tcBorders>
              <w:top w:val="nil"/>
              <w:left w:val="nil"/>
              <w:bottom w:val="nil"/>
              <w:right w:val="nil"/>
            </w:tcBorders>
            <w:vAlign w:val="center"/>
          </w:tcPr>
          <w:p>
            <w:pPr>
              <w:pStyle w:val="yTableNAm"/>
              <w:rPr>
                <w:szCs w:val="22"/>
              </w:rPr>
            </w:pPr>
            <w:r>
              <w:rPr>
                <w:szCs w:val="22"/>
              </w:rPr>
              <w:t>Seabird</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11</w:t>
            </w:r>
          </w:p>
        </w:tc>
      </w:tr>
      <w:tr>
        <w:tc>
          <w:tcPr>
            <w:tcW w:w="2920" w:type="dxa"/>
            <w:tcBorders>
              <w:top w:val="nil"/>
              <w:left w:val="nil"/>
              <w:bottom w:val="nil"/>
              <w:right w:val="nil"/>
            </w:tcBorders>
            <w:vAlign w:val="center"/>
          </w:tcPr>
          <w:p>
            <w:pPr>
              <w:pStyle w:val="yTableNAm"/>
              <w:rPr>
                <w:szCs w:val="22"/>
              </w:rPr>
            </w:pPr>
            <w:r>
              <w:rPr>
                <w:szCs w:val="22"/>
              </w:rPr>
              <w:t>South Hedland</w:t>
            </w:r>
          </w:p>
        </w:tc>
        <w:tc>
          <w:tcPr>
            <w:tcW w:w="1800" w:type="dxa"/>
            <w:tcBorders>
              <w:top w:val="nil"/>
              <w:left w:val="nil"/>
              <w:bottom w:val="nil"/>
              <w:right w:val="nil"/>
            </w:tcBorders>
            <w:vAlign w:val="bottom"/>
          </w:tcPr>
          <w:p>
            <w:pPr>
              <w:pStyle w:val="yTableNAm"/>
              <w:jc w:val="center"/>
              <w:rPr>
                <w:szCs w:val="22"/>
              </w:rPr>
            </w:pPr>
            <w:r>
              <w:rPr>
                <w:szCs w:val="22"/>
              </w:rPr>
              <w:t>2</w:t>
            </w:r>
          </w:p>
        </w:tc>
        <w:tc>
          <w:tcPr>
            <w:tcW w:w="1800" w:type="dxa"/>
            <w:tcBorders>
              <w:top w:val="nil"/>
              <w:left w:val="nil"/>
              <w:bottom w:val="nil"/>
              <w:right w:val="nil"/>
            </w:tcBorders>
            <w:vAlign w:val="bottom"/>
          </w:tcPr>
          <w:p>
            <w:pPr>
              <w:pStyle w:val="yTableNAm"/>
              <w:jc w:val="center"/>
              <w:rPr>
                <w:szCs w:val="22"/>
              </w:rPr>
            </w:pPr>
            <w:r>
              <w:rPr>
                <w:szCs w:val="22"/>
              </w:rPr>
              <w:t>5</w:t>
            </w:r>
          </w:p>
        </w:tc>
      </w:tr>
      <w:tr>
        <w:tc>
          <w:tcPr>
            <w:tcW w:w="2920" w:type="dxa"/>
            <w:tcBorders>
              <w:top w:val="nil"/>
              <w:left w:val="nil"/>
              <w:bottom w:val="nil"/>
              <w:right w:val="nil"/>
            </w:tcBorders>
            <w:vAlign w:val="center"/>
          </w:tcPr>
          <w:p>
            <w:pPr>
              <w:pStyle w:val="yTableNAm"/>
              <w:rPr>
                <w:szCs w:val="22"/>
              </w:rPr>
            </w:pPr>
            <w:r>
              <w:rPr>
                <w:szCs w:val="22"/>
              </w:rPr>
              <w:t>Southern Cross</w:t>
            </w:r>
          </w:p>
        </w:tc>
        <w:tc>
          <w:tcPr>
            <w:tcW w:w="1800" w:type="dxa"/>
            <w:tcBorders>
              <w:top w:val="nil"/>
              <w:left w:val="nil"/>
              <w:bottom w:val="nil"/>
              <w:right w:val="nil"/>
            </w:tcBorders>
            <w:vAlign w:val="bottom"/>
          </w:tcPr>
          <w:p>
            <w:pPr>
              <w:pStyle w:val="yTableNAm"/>
              <w:jc w:val="center"/>
              <w:rPr>
                <w:szCs w:val="22"/>
              </w:rPr>
            </w:pPr>
            <w:r>
              <w:rPr>
                <w:szCs w:val="22"/>
              </w:rPr>
              <w:t>4</w:t>
            </w:r>
          </w:p>
        </w:tc>
        <w:tc>
          <w:tcPr>
            <w:tcW w:w="1800" w:type="dxa"/>
            <w:tcBorders>
              <w:top w:val="nil"/>
              <w:left w:val="nil"/>
              <w:bottom w:val="nil"/>
              <w:right w:val="nil"/>
            </w:tcBorders>
            <w:vAlign w:val="bottom"/>
          </w:tcPr>
          <w:p>
            <w:pPr>
              <w:pStyle w:val="yTableNAm"/>
              <w:jc w:val="center"/>
              <w:rPr>
                <w:szCs w:val="22"/>
              </w:rPr>
            </w:pPr>
            <w:r>
              <w:rPr>
                <w:szCs w:val="22"/>
              </w:rPr>
              <w:t>8</w:t>
            </w:r>
          </w:p>
        </w:tc>
      </w:tr>
      <w:tr>
        <w:tc>
          <w:tcPr>
            <w:tcW w:w="2920" w:type="dxa"/>
            <w:tcBorders>
              <w:top w:val="nil"/>
              <w:left w:val="nil"/>
              <w:bottom w:val="nil"/>
              <w:right w:val="nil"/>
            </w:tcBorders>
            <w:vAlign w:val="center"/>
          </w:tcPr>
          <w:p>
            <w:pPr>
              <w:pStyle w:val="yTableNAm"/>
              <w:rPr>
                <w:szCs w:val="22"/>
              </w:rPr>
            </w:pPr>
            <w:r>
              <w:rPr>
                <w:szCs w:val="22"/>
              </w:rPr>
              <w:t>Tambellup</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13</w:t>
            </w:r>
          </w:p>
        </w:tc>
      </w:tr>
      <w:tr>
        <w:tc>
          <w:tcPr>
            <w:tcW w:w="2920" w:type="dxa"/>
            <w:tcBorders>
              <w:top w:val="nil"/>
              <w:left w:val="nil"/>
              <w:bottom w:val="nil"/>
              <w:right w:val="nil"/>
            </w:tcBorders>
            <w:vAlign w:val="center"/>
          </w:tcPr>
          <w:p>
            <w:pPr>
              <w:pStyle w:val="yTableNAm"/>
              <w:rPr>
                <w:szCs w:val="22"/>
              </w:rPr>
            </w:pPr>
            <w:r>
              <w:rPr>
                <w:szCs w:val="22"/>
              </w:rPr>
              <w:t>Tammin</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9</w:t>
            </w:r>
          </w:p>
        </w:tc>
      </w:tr>
      <w:tr>
        <w:tc>
          <w:tcPr>
            <w:tcW w:w="2920" w:type="dxa"/>
            <w:tcBorders>
              <w:top w:val="nil"/>
              <w:left w:val="nil"/>
              <w:bottom w:val="nil"/>
              <w:right w:val="nil"/>
            </w:tcBorders>
            <w:vAlign w:val="center"/>
          </w:tcPr>
          <w:p>
            <w:pPr>
              <w:pStyle w:val="yTableNAm"/>
              <w:rPr>
                <w:szCs w:val="22"/>
              </w:rPr>
            </w:pPr>
            <w:r>
              <w:rPr>
                <w:szCs w:val="22"/>
              </w:rPr>
              <w:t>Three Springs</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11</w:t>
            </w:r>
          </w:p>
        </w:tc>
      </w:tr>
      <w:tr>
        <w:tc>
          <w:tcPr>
            <w:tcW w:w="2920" w:type="dxa"/>
            <w:tcBorders>
              <w:top w:val="nil"/>
              <w:left w:val="nil"/>
              <w:bottom w:val="nil"/>
              <w:right w:val="nil"/>
            </w:tcBorders>
            <w:vAlign w:val="center"/>
          </w:tcPr>
          <w:p>
            <w:pPr>
              <w:pStyle w:val="yTableNAm"/>
              <w:rPr>
                <w:szCs w:val="22"/>
              </w:rPr>
            </w:pPr>
            <w:r>
              <w:rPr>
                <w:szCs w:val="22"/>
              </w:rPr>
              <w:t>Tincurrin</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14</w:t>
            </w:r>
          </w:p>
        </w:tc>
      </w:tr>
      <w:tr>
        <w:tc>
          <w:tcPr>
            <w:tcW w:w="2920" w:type="dxa"/>
            <w:tcBorders>
              <w:top w:val="nil"/>
              <w:left w:val="nil"/>
              <w:bottom w:val="nil"/>
              <w:right w:val="nil"/>
            </w:tcBorders>
            <w:vAlign w:val="center"/>
          </w:tcPr>
          <w:p>
            <w:pPr>
              <w:pStyle w:val="yTableNAm"/>
              <w:rPr>
                <w:szCs w:val="22"/>
              </w:rPr>
            </w:pPr>
            <w:r>
              <w:rPr>
                <w:szCs w:val="22"/>
              </w:rPr>
              <w:t>Toodyay</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9</w:t>
            </w:r>
          </w:p>
        </w:tc>
      </w:tr>
      <w:tr>
        <w:tc>
          <w:tcPr>
            <w:tcW w:w="2920" w:type="dxa"/>
            <w:tcBorders>
              <w:top w:val="nil"/>
              <w:left w:val="nil"/>
              <w:bottom w:val="nil"/>
              <w:right w:val="nil"/>
            </w:tcBorders>
            <w:vAlign w:val="center"/>
          </w:tcPr>
          <w:p>
            <w:pPr>
              <w:pStyle w:val="yTableNAm"/>
              <w:rPr>
                <w:szCs w:val="22"/>
              </w:rPr>
            </w:pPr>
            <w:r>
              <w:rPr>
                <w:szCs w:val="22"/>
              </w:rPr>
              <w:t>Trayning</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13</w:t>
            </w:r>
          </w:p>
        </w:tc>
      </w:tr>
      <w:tr>
        <w:tc>
          <w:tcPr>
            <w:tcW w:w="2920" w:type="dxa"/>
            <w:tcBorders>
              <w:top w:val="nil"/>
              <w:left w:val="nil"/>
              <w:bottom w:val="nil"/>
              <w:right w:val="nil"/>
            </w:tcBorders>
            <w:vAlign w:val="center"/>
          </w:tcPr>
          <w:p>
            <w:pPr>
              <w:pStyle w:val="yTableNAm"/>
              <w:rPr>
                <w:szCs w:val="22"/>
              </w:rPr>
            </w:pPr>
            <w:r>
              <w:rPr>
                <w:szCs w:val="22"/>
              </w:rPr>
              <w:t>Varley</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14</w:t>
            </w:r>
          </w:p>
        </w:tc>
      </w:tr>
      <w:tr>
        <w:tc>
          <w:tcPr>
            <w:tcW w:w="2920" w:type="dxa"/>
            <w:tcBorders>
              <w:top w:val="nil"/>
              <w:left w:val="nil"/>
              <w:bottom w:val="nil"/>
              <w:right w:val="nil"/>
            </w:tcBorders>
            <w:vAlign w:val="center"/>
          </w:tcPr>
          <w:p>
            <w:pPr>
              <w:pStyle w:val="yTableNAm"/>
              <w:rPr>
                <w:szCs w:val="22"/>
              </w:rPr>
            </w:pPr>
            <w:r>
              <w:rPr>
                <w:szCs w:val="22"/>
              </w:rPr>
              <w:t>Wagin</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11</w:t>
            </w:r>
          </w:p>
        </w:tc>
      </w:tr>
      <w:tr>
        <w:tc>
          <w:tcPr>
            <w:tcW w:w="2920" w:type="dxa"/>
            <w:tcBorders>
              <w:top w:val="nil"/>
              <w:left w:val="nil"/>
              <w:bottom w:val="nil"/>
              <w:right w:val="nil"/>
            </w:tcBorders>
            <w:vAlign w:val="center"/>
          </w:tcPr>
          <w:p>
            <w:pPr>
              <w:pStyle w:val="yTableNAm"/>
              <w:rPr>
                <w:szCs w:val="22"/>
              </w:rPr>
            </w:pPr>
            <w:r>
              <w:rPr>
                <w:szCs w:val="22"/>
              </w:rPr>
              <w:t>Walkaway</w:t>
            </w:r>
          </w:p>
        </w:tc>
        <w:tc>
          <w:tcPr>
            <w:tcW w:w="1800" w:type="dxa"/>
            <w:tcBorders>
              <w:top w:val="nil"/>
              <w:left w:val="nil"/>
              <w:bottom w:val="nil"/>
              <w:right w:val="nil"/>
            </w:tcBorders>
            <w:vAlign w:val="bottom"/>
          </w:tcPr>
          <w:p>
            <w:pPr>
              <w:pStyle w:val="yTableNAm"/>
              <w:jc w:val="center"/>
              <w:rPr>
                <w:szCs w:val="22"/>
              </w:rPr>
            </w:pPr>
            <w:r>
              <w:rPr>
                <w:szCs w:val="22"/>
              </w:rPr>
              <w:t>1</w:t>
            </w:r>
          </w:p>
        </w:tc>
        <w:tc>
          <w:tcPr>
            <w:tcW w:w="1800" w:type="dxa"/>
            <w:tcBorders>
              <w:top w:val="nil"/>
              <w:left w:val="nil"/>
              <w:bottom w:val="nil"/>
              <w:right w:val="nil"/>
            </w:tcBorders>
            <w:vAlign w:val="bottom"/>
          </w:tcPr>
          <w:p>
            <w:pPr>
              <w:pStyle w:val="yTableNAm"/>
              <w:jc w:val="center"/>
              <w:rPr>
                <w:szCs w:val="22"/>
              </w:rPr>
            </w:pPr>
            <w:r>
              <w:rPr>
                <w:szCs w:val="22"/>
              </w:rPr>
              <w:t>1</w:t>
            </w:r>
          </w:p>
        </w:tc>
      </w:tr>
      <w:tr>
        <w:tc>
          <w:tcPr>
            <w:tcW w:w="2920" w:type="dxa"/>
            <w:tcBorders>
              <w:top w:val="nil"/>
              <w:left w:val="nil"/>
              <w:bottom w:val="nil"/>
              <w:right w:val="nil"/>
            </w:tcBorders>
            <w:vAlign w:val="center"/>
          </w:tcPr>
          <w:p>
            <w:pPr>
              <w:pStyle w:val="yTableNAm"/>
              <w:rPr>
                <w:szCs w:val="22"/>
              </w:rPr>
            </w:pPr>
            <w:r>
              <w:rPr>
                <w:szCs w:val="22"/>
              </w:rPr>
              <w:t>Walpole</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13</w:t>
            </w:r>
          </w:p>
        </w:tc>
      </w:tr>
      <w:tr>
        <w:tc>
          <w:tcPr>
            <w:tcW w:w="2920" w:type="dxa"/>
            <w:tcBorders>
              <w:top w:val="nil"/>
              <w:left w:val="nil"/>
              <w:bottom w:val="nil"/>
              <w:right w:val="nil"/>
            </w:tcBorders>
            <w:vAlign w:val="center"/>
          </w:tcPr>
          <w:p>
            <w:pPr>
              <w:pStyle w:val="yTableNAm"/>
              <w:rPr>
                <w:szCs w:val="22"/>
              </w:rPr>
            </w:pPr>
            <w:r>
              <w:rPr>
                <w:szCs w:val="22"/>
              </w:rPr>
              <w:t>Wandering</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13</w:t>
            </w:r>
          </w:p>
        </w:tc>
      </w:tr>
      <w:tr>
        <w:tc>
          <w:tcPr>
            <w:tcW w:w="2920" w:type="dxa"/>
            <w:tcBorders>
              <w:top w:val="nil"/>
              <w:left w:val="nil"/>
              <w:bottom w:val="nil"/>
              <w:right w:val="nil"/>
            </w:tcBorders>
            <w:vAlign w:val="center"/>
          </w:tcPr>
          <w:p>
            <w:pPr>
              <w:pStyle w:val="yTableNAm"/>
              <w:rPr>
                <w:szCs w:val="22"/>
              </w:rPr>
            </w:pPr>
            <w:r>
              <w:rPr>
                <w:szCs w:val="22"/>
              </w:rPr>
              <w:t>Watheroo</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13</w:t>
            </w:r>
          </w:p>
        </w:tc>
      </w:tr>
      <w:tr>
        <w:tc>
          <w:tcPr>
            <w:tcW w:w="2920" w:type="dxa"/>
            <w:tcBorders>
              <w:top w:val="nil"/>
              <w:left w:val="nil"/>
              <w:bottom w:val="nil"/>
              <w:right w:val="nil"/>
            </w:tcBorders>
            <w:vAlign w:val="center"/>
          </w:tcPr>
          <w:p>
            <w:pPr>
              <w:pStyle w:val="yTableNAm"/>
              <w:rPr>
                <w:szCs w:val="22"/>
              </w:rPr>
            </w:pPr>
            <w:r>
              <w:rPr>
                <w:szCs w:val="22"/>
              </w:rPr>
              <w:t>Wellstead</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14</w:t>
            </w:r>
          </w:p>
        </w:tc>
      </w:tr>
      <w:tr>
        <w:tc>
          <w:tcPr>
            <w:tcW w:w="2920" w:type="dxa"/>
            <w:tcBorders>
              <w:top w:val="nil"/>
              <w:left w:val="nil"/>
              <w:bottom w:val="nil"/>
              <w:right w:val="nil"/>
            </w:tcBorders>
            <w:vAlign w:val="center"/>
          </w:tcPr>
          <w:p>
            <w:pPr>
              <w:pStyle w:val="yTableNAm"/>
              <w:rPr>
                <w:szCs w:val="22"/>
              </w:rPr>
            </w:pPr>
            <w:r>
              <w:rPr>
                <w:szCs w:val="22"/>
              </w:rPr>
              <w:t>Westonia</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11</w:t>
            </w:r>
          </w:p>
        </w:tc>
      </w:tr>
      <w:tr>
        <w:tc>
          <w:tcPr>
            <w:tcW w:w="2920" w:type="dxa"/>
            <w:tcBorders>
              <w:top w:val="nil"/>
              <w:left w:val="nil"/>
              <w:bottom w:val="nil"/>
              <w:right w:val="nil"/>
            </w:tcBorders>
            <w:vAlign w:val="center"/>
          </w:tcPr>
          <w:p>
            <w:pPr>
              <w:pStyle w:val="yTableNAm"/>
              <w:rPr>
                <w:szCs w:val="22"/>
              </w:rPr>
            </w:pPr>
            <w:r>
              <w:rPr>
                <w:szCs w:val="22"/>
              </w:rPr>
              <w:t>Wickepin</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11</w:t>
            </w:r>
          </w:p>
        </w:tc>
      </w:tr>
      <w:tr>
        <w:tc>
          <w:tcPr>
            <w:tcW w:w="2920" w:type="dxa"/>
            <w:tcBorders>
              <w:top w:val="nil"/>
              <w:left w:val="nil"/>
              <w:bottom w:val="nil"/>
              <w:right w:val="nil"/>
            </w:tcBorders>
            <w:vAlign w:val="center"/>
          </w:tcPr>
          <w:p>
            <w:pPr>
              <w:pStyle w:val="yTableNAm"/>
              <w:rPr>
                <w:szCs w:val="22"/>
              </w:rPr>
            </w:pPr>
            <w:r>
              <w:rPr>
                <w:szCs w:val="22"/>
              </w:rPr>
              <w:t>Wickham</w:t>
            </w:r>
          </w:p>
        </w:tc>
        <w:tc>
          <w:tcPr>
            <w:tcW w:w="1800" w:type="dxa"/>
            <w:tcBorders>
              <w:top w:val="nil"/>
              <w:left w:val="nil"/>
              <w:bottom w:val="nil"/>
              <w:right w:val="nil"/>
            </w:tcBorders>
            <w:vAlign w:val="bottom"/>
          </w:tcPr>
          <w:p>
            <w:pPr>
              <w:pStyle w:val="yTableNAm"/>
              <w:jc w:val="center"/>
              <w:rPr>
                <w:szCs w:val="22"/>
              </w:rPr>
            </w:pPr>
            <w:r>
              <w:rPr>
                <w:szCs w:val="22"/>
              </w:rPr>
              <w:t>4</w:t>
            </w:r>
          </w:p>
        </w:tc>
        <w:tc>
          <w:tcPr>
            <w:tcW w:w="1800" w:type="dxa"/>
            <w:tcBorders>
              <w:top w:val="nil"/>
              <w:left w:val="nil"/>
              <w:bottom w:val="nil"/>
              <w:right w:val="nil"/>
            </w:tcBorders>
            <w:vAlign w:val="bottom"/>
          </w:tcPr>
          <w:p>
            <w:pPr>
              <w:pStyle w:val="yTableNAm"/>
              <w:jc w:val="center"/>
              <w:rPr>
                <w:szCs w:val="22"/>
              </w:rPr>
            </w:pPr>
            <w:r>
              <w:rPr>
                <w:szCs w:val="22"/>
              </w:rPr>
              <w:t>10</w:t>
            </w:r>
          </w:p>
        </w:tc>
      </w:tr>
      <w:tr>
        <w:tc>
          <w:tcPr>
            <w:tcW w:w="2920" w:type="dxa"/>
            <w:tcBorders>
              <w:top w:val="nil"/>
              <w:left w:val="nil"/>
              <w:bottom w:val="nil"/>
              <w:right w:val="nil"/>
            </w:tcBorders>
            <w:vAlign w:val="center"/>
          </w:tcPr>
          <w:p>
            <w:pPr>
              <w:pStyle w:val="yTableNAm"/>
              <w:rPr>
                <w:szCs w:val="22"/>
              </w:rPr>
            </w:pPr>
            <w:r>
              <w:rPr>
                <w:szCs w:val="22"/>
              </w:rPr>
              <w:t>Widgiemooltha</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13</w:t>
            </w:r>
          </w:p>
        </w:tc>
      </w:tr>
      <w:tr>
        <w:tc>
          <w:tcPr>
            <w:tcW w:w="2920" w:type="dxa"/>
            <w:tcBorders>
              <w:top w:val="nil"/>
              <w:left w:val="nil"/>
              <w:bottom w:val="nil"/>
              <w:right w:val="nil"/>
            </w:tcBorders>
            <w:vAlign w:val="center"/>
          </w:tcPr>
          <w:p>
            <w:pPr>
              <w:pStyle w:val="yTableNAm"/>
              <w:rPr>
                <w:szCs w:val="22"/>
              </w:rPr>
            </w:pPr>
            <w:r>
              <w:rPr>
                <w:szCs w:val="22"/>
              </w:rPr>
              <w:t>Williams</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9</w:t>
            </w:r>
          </w:p>
        </w:tc>
      </w:tr>
      <w:tr>
        <w:tc>
          <w:tcPr>
            <w:tcW w:w="2920" w:type="dxa"/>
            <w:tcBorders>
              <w:top w:val="nil"/>
              <w:left w:val="nil"/>
              <w:bottom w:val="nil"/>
              <w:right w:val="nil"/>
            </w:tcBorders>
            <w:vAlign w:val="center"/>
          </w:tcPr>
          <w:p>
            <w:pPr>
              <w:pStyle w:val="yTableNAm"/>
              <w:rPr>
                <w:szCs w:val="22"/>
              </w:rPr>
            </w:pPr>
            <w:r>
              <w:rPr>
                <w:szCs w:val="22"/>
              </w:rPr>
              <w:t>Wiluna</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9</w:t>
            </w:r>
          </w:p>
        </w:tc>
      </w:tr>
      <w:tr>
        <w:tc>
          <w:tcPr>
            <w:tcW w:w="2920" w:type="dxa"/>
            <w:tcBorders>
              <w:top w:val="nil"/>
              <w:left w:val="nil"/>
              <w:bottom w:val="nil"/>
              <w:right w:val="nil"/>
            </w:tcBorders>
            <w:vAlign w:val="center"/>
          </w:tcPr>
          <w:p>
            <w:pPr>
              <w:pStyle w:val="yTableNAm"/>
              <w:rPr>
                <w:szCs w:val="22"/>
              </w:rPr>
            </w:pPr>
            <w:r>
              <w:rPr>
                <w:szCs w:val="22"/>
              </w:rPr>
              <w:t>Wongan Hills</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13</w:t>
            </w:r>
          </w:p>
        </w:tc>
      </w:tr>
      <w:tr>
        <w:tc>
          <w:tcPr>
            <w:tcW w:w="2920" w:type="dxa"/>
            <w:tcBorders>
              <w:top w:val="nil"/>
              <w:left w:val="nil"/>
              <w:bottom w:val="nil"/>
              <w:right w:val="nil"/>
            </w:tcBorders>
            <w:vAlign w:val="center"/>
          </w:tcPr>
          <w:p>
            <w:pPr>
              <w:pStyle w:val="yTableNAm"/>
              <w:rPr>
                <w:szCs w:val="22"/>
              </w:rPr>
            </w:pPr>
            <w:r>
              <w:rPr>
                <w:szCs w:val="22"/>
              </w:rPr>
              <w:t>Woodanilling</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11</w:t>
            </w:r>
          </w:p>
        </w:tc>
      </w:tr>
      <w:tr>
        <w:tc>
          <w:tcPr>
            <w:tcW w:w="2920" w:type="dxa"/>
            <w:tcBorders>
              <w:top w:val="nil"/>
              <w:left w:val="nil"/>
              <w:bottom w:val="nil"/>
              <w:right w:val="nil"/>
            </w:tcBorders>
            <w:vAlign w:val="center"/>
          </w:tcPr>
          <w:p>
            <w:pPr>
              <w:pStyle w:val="yTableNAm"/>
              <w:rPr>
                <w:szCs w:val="22"/>
              </w:rPr>
            </w:pPr>
            <w:r>
              <w:rPr>
                <w:szCs w:val="22"/>
              </w:rPr>
              <w:t>Woodridge</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9</w:t>
            </w:r>
          </w:p>
        </w:tc>
      </w:tr>
      <w:tr>
        <w:tc>
          <w:tcPr>
            <w:tcW w:w="2920" w:type="dxa"/>
            <w:tcBorders>
              <w:top w:val="nil"/>
              <w:left w:val="nil"/>
              <w:bottom w:val="nil"/>
              <w:right w:val="nil"/>
            </w:tcBorders>
            <w:vAlign w:val="center"/>
          </w:tcPr>
          <w:p>
            <w:pPr>
              <w:pStyle w:val="yTableNAm"/>
              <w:rPr>
                <w:szCs w:val="22"/>
              </w:rPr>
            </w:pPr>
            <w:r>
              <w:rPr>
                <w:szCs w:val="22"/>
              </w:rPr>
              <w:t>Wubin</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13</w:t>
            </w:r>
          </w:p>
        </w:tc>
      </w:tr>
      <w:tr>
        <w:tc>
          <w:tcPr>
            <w:tcW w:w="2920" w:type="dxa"/>
            <w:tcBorders>
              <w:top w:val="nil"/>
              <w:left w:val="nil"/>
              <w:bottom w:val="nil"/>
              <w:right w:val="nil"/>
            </w:tcBorders>
            <w:vAlign w:val="center"/>
          </w:tcPr>
          <w:p>
            <w:pPr>
              <w:pStyle w:val="yTableNAm"/>
              <w:rPr>
                <w:szCs w:val="22"/>
              </w:rPr>
            </w:pPr>
            <w:r>
              <w:rPr>
                <w:szCs w:val="22"/>
              </w:rPr>
              <w:t>Wundowie</w:t>
            </w:r>
          </w:p>
        </w:tc>
        <w:tc>
          <w:tcPr>
            <w:tcW w:w="1800" w:type="dxa"/>
            <w:tcBorders>
              <w:top w:val="nil"/>
              <w:left w:val="nil"/>
              <w:bottom w:val="nil"/>
              <w:right w:val="nil"/>
            </w:tcBorders>
            <w:vAlign w:val="bottom"/>
          </w:tcPr>
          <w:p>
            <w:pPr>
              <w:pStyle w:val="yTableNAm"/>
              <w:jc w:val="center"/>
              <w:rPr>
                <w:szCs w:val="22"/>
              </w:rPr>
            </w:pPr>
            <w:r>
              <w:rPr>
                <w:szCs w:val="22"/>
              </w:rPr>
              <w:t>1</w:t>
            </w:r>
          </w:p>
        </w:tc>
        <w:tc>
          <w:tcPr>
            <w:tcW w:w="1800" w:type="dxa"/>
            <w:tcBorders>
              <w:top w:val="nil"/>
              <w:left w:val="nil"/>
              <w:bottom w:val="nil"/>
              <w:right w:val="nil"/>
            </w:tcBorders>
            <w:vAlign w:val="bottom"/>
          </w:tcPr>
          <w:p>
            <w:pPr>
              <w:pStyle w:val="yTableNAm"/>
              <w:jc w:val="center"/>
              <w:rPr>
                <w:szCs w:val="22"/>
              </w:rPr>
            </w:pPr>
            <w:r>
              <w:rPr>
                <w:szCs w:val="22"/>
              </w:rPr>
              <w:t>1</w:t>
            </w:r>
          </w:p>
        </w:tc>
      </w:tr>
      <w:tr>
        <w:tc>
          <w:tcPr>
            <w:tcW w:w="2920" w:type="dxa"/>
            <w:tcBorders>
              <w:top w:val="nil"/>
              <w:left w:val="nil"/>
              <w:bottom w:val="nil"/>
              <w:right w:val="nil"/>
            </w:tcBorders>
            <w:vAlign w:val="center"/>
          </w:tcPr>
          <w:p>
            <w:pPr>
              <w:pStyle w:val="yTableNAm"/>
              <w:rPr>
                <w:szCs w:val="22"/>
              </w:rPr>
            </w:pPr>
            <w:r>
              <w:rPr>
                <w:szCs w:val="22"/>
              </w:rPr>
              <w:t>Wyalkatchem</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11</w:t>
            </w:r>
          </w:p>
        </w:tc>
      </w:tr>
      <w:tr>
        <w:tc>
          <w:tcPr>
            <w:tcW w:w="2920" w:type="dxa"/>
            <w:tcBorders>
              <w:top w:val="nil"/>
              <w:left w:val="nil"/>
              <w:bottom w:val="nil"/>
              <w:right w:val="nil"/>
            </w:tcBorders>
            <w:vAlign w:val="center"/>
          </w:tcPr>
          <w:p>
            <w:pPr>
              <w:pStyle w:val="yTableNAm"/>
              <w:rPr>
                <w:szCs w:val="22"/>
              </w:rPr>
            </w:pPr>
            <w:r>
              <w:rPr>
                <w:szCs w:val="22"/>
              </w:rPr>
              <w:t>Wyndham</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13</w:t>
            </w:r>
          </w:p>
        </w:tc>
      </w:tr>
      <w:tr>
        <w:tc>
          <w:tcPr>
            <w:tcW w:w="2920" w:type="dxa"/>
            <w:tcBorders>
              <w:top w:val="nil"/>
              <w:left w:val="nil"/>
              <w:bottom w:val="nil"/>
              <w:right w:val="nil"/>
            </w:tcBorders>
            <w:vAlign w:val="center"/>
          </w:tcPr>
          <w:p>
            <w:pPr>
              <w:pStyle w:val="yTableNAm"/>
              <w:rPr>
                <w:szCs w:val="22"/>
              </w:rPr>
            </w:pPr>
            <w:r>
              <w:rPr>
                <w:szCs w:val="22"/>
              </w:rPr>
              <w:t>Yalgoo</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13</w:t>
            </w:r>
          </w:p>
        </w:tc>
      </w:tr>
      <w:tr>
        <w:tc>
          <w:tcPr>
            <w:tcW w:w="2920" w:type="dxa"/>
            <w:tcBorders>
              <w:top w:val="nil"/>
              <w:left w:val="nil"/>
              <w:bottom w:val="nil"/>
              <w:right w:val="nil"/>
            </w:tcBorders>
            <w:vAlign w:val="center"/>
          </w:tcPr>
          <w:p>
            <w:pPr>
              <w:pStyle w:val="yTableNAm"/>
              <w:rPr>
                <w:szCs w:val="22"/>
              </w:rPr>
            </w:pPr>
            <w:r>
              <w:rPr>
                <w:szCs w:val="22"/>
              </w:rPr>
              <w:t>Yarloop/Wagerup</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5</w:t>
            </w:r>
          </w:p>
        </w:tc>
      </w:tr>
      <w:tr>
        <w:tc>
          <w:tcPr>
            <w:tcW w:w="2920" w:type="dxa"/>
            <w:tcBorders>
              <w:top w:val="nil"/>
              <w:left w:val="nil"/>
              <w:bottom w:val="nil"/>
              <w:right w:val="nil"/>
            </w:tcBorders>
            <w:vAlign w:val="center"/>
          </w:tcPr>
          <w:p>
            <w:pPr>
              <w:pStyle w:val="yTableNAm"/>
              <w:rPr>
                <w:szCs w:val="22"/>
              </w:rPr>
            </w:pPr>
            <w:r>
              <w:rPr>
                <w:szCs w:val="22"/>
              </w:rPr>
              <w:t>Yealering</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11</w:t>
            </w:r>
          </w:p>
        </w:tc>
      </w:tr>
      <w:tr>
        <w:tc>
          <w:tcPr>
            <w:tcW w:w="2920" w:type="dxa"/>
            <w:tcBorders>
              <w:top w:val="nil"/>
              <w:left w:val="nil"/>
              <w:bottom w:val="nil"/>
              <w:right w:val="nil"/>
            </w:tcBorders>
            <w:vAlign w:val="center"/>
          </w:tcPr>
          <w:p>
            <w:pPr>
              <w:pStyle w:val="yTableNAm"/>
              <w:rPr>
                <w:szCs w:val="22"/>
              </w:rPr>
            </w:pPr>
            <w:r>
              <w:rPr>
                <w:szCs w:val="22"/>
              </w:rPr>
              <w:t>Yerecoin</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14</w:t>
            </w:r>
          </w:p>
        </w:tc>
      </w:tr>
      <w:tr>
        <w:tc>
          <w:tcPr>
            <w:tcW w:w="2920" w:type="dxa"/>
            <w:tcBorders>
              <w:top w:val="nil"/>
              <w:left w:val="nil"/>
              <w:bottom w:val="nil"/>
              <w:right w:val="nil"/>
            </w:tcBorders>
            <w:vAlign w:val="center"/>
          </w:tcPr>
          <w:p>
            <w:pPr>
              <w:pStyle w:val="yTableNAm"/>
              <w:rPr>
                <w:szCs w:val="22"/>
              </w:rPr>
            </w:pPr>
            <w:r>
              <w:rPr>
                <w:szCs w:val="22"/>
              </w:rPr>
              <w:t>York</w:t>
            </w:r>
          </w:p>
        </w:tc>
        <w:tc>
          <w:tcPr>
            <w:tcW w:w="1800" w:type="dxa"/>
            <w:tcBorders>
              <w:top w:val="nil"/>
              <w:left w:val="nil"/>
              <w:bottom w:val="nil"/>
              <w:right w:val="nil"/>
            </w:tcBorders>
            <w:vAlign w:val="bottom"/>
          </w:tcPr>
          <w:p>
            <w:pPr>
              <w:pStyle w:val="yTableNAm"/>
              <w:jc w:val="center"/>
              <w:rPr>
                <w:szCs w:val="22"/>
              </w:rPr>
            </w:pPr>
            <w:r>
              <w:rPr>
                <w:szCs w:val="22"/>
              </w:rPr>
              <w:t>4</w:t>
            </w:r>
          </w:p>
        </w:tc>
        <w:tc>
          <w:tcPr>
            <w:tcW w:w="1800" w:type="dxa"/>
            <w:tcBorders>
              <w:top w:val="nil"/>
              <w:left w:val="nil"/>
              <w:bottom w:val="nil"/>
              <w:right w:val="nil"/>
            </w:tcBorders>
            <w:vAlign w:val="bottom"/>
          </w:tcPr>
          <w:p>
            <w:pPr>
              <w:pStyle w:val="yTableNAm"/>
              <w:jc w:val="center"/>
              <w:rPr>
                <w:szCs w:val="22"/>
              </w:rPr>
            </w:pPr>
            <w:r>
              <w:rPr>
                <w:szCs w:val="22"/>
              </w:rPr>
              <w:t>9</w:t>
            </w:r>
          </w:p>
        </w:tc>
      </w:tr>
      <w:tr>
        <w:tc>
          <w:tcPr>
            <w:tcW w:w="2920" w:type="dxa"/>
            <w:tcBorders>
              <w:top w:val="nil"/>
              <w:left w:val="nil"/>
              <w:bottom w:val="nil"/>
              <w:right w:val="nil"/>
            </w:tcBorders>
            <w:vAlign w:val="center"/>
          </w:tcPr>
          <w:p>
            <w:pPr>
              <w:pStyle w:val="yTableNAm"/>
              <w:rPr>
                <w:szCs w:val="22"/>
              </w:rPr>
            </w:pPr>
            <w:r>
              <w:rPr>
                <w:szCs w:val="22"/>
              </w:rPr>
              <w:t>Yuna</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14</w:t>
            </w:r>
          </w:p>
        </w:tc>
      </w:tr>
    </w:tbl>
    <w:p>
      <w:pPr>
        <w:pStyle w:val="yFootnotesection"/>
      </w:pPr>
      <w:r>
        <w:tab/>
        <w:t>[Schedule 9 inserted in Gazette 20 Jun 2012 p. 2755</w:t>
      </w:r>
      <w:r>
        <w:noBreakHyphen/>
        <w:t>64.]</w:t>
      </w:r>
    </w:p>
    <w:p>
      <w:pPr>
        <w:pStyle w:val="yScheduleHeading"/>
      </w:pPr>
      <w:bookmarkStart w:id="857" w:name="_Toc84428020"/>
      <w:bookmarkStart w:id="858" w:name="_Toc328403464"/>
      <w:bookmarkStart w:id="859" w:name="_Toc328471514"/>
      <w:bookmarkStart w:id="860" w:name="_Toc297540810"/>
      <w:bookmarkStart w:id="861" w:name="_Toc297541238"/>
      <w:bookmarkEnd w:id="854"/>
      <w:bookmarkEnd w:id="855"/>
      <w:bookmarkEnd w:id="856"/>
      <w:r>
        <w:rPr>
          <w:rStyle w:val="CharSchNo"/>
        </w:rPr>
        <w:t>Schedule 10</w:t>
      </w:r>
      <w:r>
        <w:rPr>
          <w:rStyle w:val="CharSDivNo"/>
        </w:rPr>
        <w:t> </w:t>
      </w:r>
      <w:r>
        <w:t>—</w:t>
      </w:r>
      <w:r>
        <w:rPr>
          <w:rStyle w:val="CharSDivText"/>
        </w:rPr>
        <w:t> </w:t>
      </w:r>
      <w:r>
        <w:rPr>
          <w:rStyle w:val="CharSchText"/>
        </w:rPr>
        <w:t>Classification of towns/areas for the purpose of determining quantity charges in the current year</w:t>
      </w:r>
      <w:bookmarkEnd w:id="857"/>
      <w:bookmarkEnd w:id="858"/>
      <w:bookmarkEnd w:id="859"/>
    </w:p>
    <w:p>
      <w:pPr>
        <w:pStyle w:val="yShoulderClause"/>
      </w:pPr>
      <w:r>
        <w:t>[bl. 17D(3)]</w:t>
      </w:r>
    </w:p>
    <w:p>
      <w:pPr>
        <w:pStyle w:val="yFootnoteheading"/>
        <w:spacing w:after="60"/>
      </w:pPr>
      <w:r>
        <w:tab/>
        <w:t>[Heading inserted in Gazette 20 Jun 2012 p. 2765.]</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20"/>
        <w:gridCol w:w="1800"/>
        <w:gridCol w:w="1800"/>
      </w:tblGrid>
      <w:tr>
        <w:trPr>
          <w:tblHeader/>
        </w:trPr>
        <w:tc>
          <w:tcPr>
            <w:tcW w:w="2920" w:type="dxa"/>
            <w:tcBorders>
              <w:top w:val="single" w:sz="4" w:space="0" w:color="auto"/>
              <w:left w:val="nil"/>
              <w:bottom w:val="single" w:sz="4" w:space="0" w:color="auto"/>
              <w:right w:val="nil"/>
            </w:tcBorders>
          </w:tcPr>
          <w:p>
            <w:pPr>
              <w:pStyle w:val="yTableNAm"/>
              <w:jc w:val="center"/>
              <w:rPr>
                <w:b/>
                <w:bCs/>
              </w:rPr>
            </w:pPr>
            <w:r>
              <w:rPr>
                <w:b/>
                <w:bCs/>
              </w:rPr>
              <w:t>Town/area</w:t>
            </w:r>
          </w:p>
        </w:tc>
        <w:tc>
          <w:tcPr>
            <w:tcW w:w="1800" w:type="dxa"/>
            <w:tcBorders>
              <w:top w:val="single" w:sz="4" w:space="0" w:color="auto"/>
              <w:left w:val="nil"/>
              <w:bottom w:val="single" w:sz="4" w:space="0" w:color="auto"/>
              <w:right w:val="nil"/>
            </w:tcBorders>
          </w:tcPr>
          <w:p>
            <w:pPr>
              <w:pStyle w:val="yTableNAm"/>
              <w:jc w:val="center"/>
              <w:rPr>
                <w:b/>
                <w:bCs/>
              </w:rPr>
            </w:pPr>
            <w:r>
              <w:rPr>
                <w:b/>
                <w:bCs/>
              </w:rPr>
              <w:t>Residential classification</w:t>
            </w:r>
          </w:p>
        </w:tc>
        <w:tc>
          <w:tcPr>
            <w:tcW w:w="1800" w:type="dxa"/>
            <w:tcBorders>
              <w:top w:val="single" w:sz="4" w:space="0" w:color="auto"/>
              <w:left w:val="nil"/>
              <w:bottom w:val="single" w:sz="4" w:space="0" w:color="auto"/>
              <w:right w:val="nil"/>
            </w:tcBorders>
          </w:tcPr>
          <w:p>
            <w:pPr>
              <w:pStyle w:val="yTableNAm"/>
              <w:jc w:val="center"/>
              <w:rPr>
                <w:b/>
                <w:bCs/>
              </w:rPr>
            </w:pPr>
            <w:r>
              <w:rPr>
                <w:b/>
                <w:bCs/>
              </w:rPr>
              <w:t>Non</w:t>
            </w:r>
            <w:r>
              <w:rPr>
                <w:b/>
                <w:bCs/>
              </w:rPr>
              <w:noBreakHyphen/>
              <w:t>residential classification</w:t>
            </w:r>
          </w:p>
        </w:tc>
      </w:tr>
      <w:tr>
        <w:tc>
          <w:tcPr>
            <w:tcW w:w="2920" w:type="dxa"/>
            <w:tcBorders>
              <w:top w:val="single" w:sz="4" w:space="0" w:color="auto"/>
              <w:left w:val="nil"/>
              <w:bottom w:val="nil"/>
              <w:right w:val="nil"/>
            </w:tcBorders>
            <w:vAlign w:val="center"/>
          </w:tcPr>
          <w:p>
            <w:pPr>
              <w:pStyle w:val="yTableNAm"/>
              <w:rPr>
                <w:szCs w:val="22"/>
              </w:rPr>
            </w:pPr>
            <w:r>
              <w:rPr>
                <w:szCs w:val="22"/>
              </w:rPr>
              <w:t>Albany</w:t>
            </w:r>
          </w:p>
        </w:tc>
        <w:tc>
          <w:tcPr>
            <w:tcW w:w="1800" w:type="dxa"/>
            <w:tcBorders>
              <w:top w:val="single" w:sz="4" w:space="0" w:color="auto"/>
              <w:left w:val="nil"/>
              <w:bottom w:val="nil"/>
              <w:right w:val="nil"/>
            </w:tcBorders>
            <w:vAlign w:val="bottom"/>
          </w:tcPr>
          <w:p>
            <w:pPr>
              <w:pStyle w:val="yTableNAm"/>
              <w:jc w:val="center"/>
              <w:rPr>
                <w:szCs w:val="22"/>
              </w:rPr>
            </w:pPr>
            <w:r>
              <w:rPr>
                <w:szCs w:val="22"/>
              </w:rPr>
              <w:t>3</w:t>
            </w:r>
          </w:p>
        </w:tc>
        <w:tc>
          <w:tcPr>
            <w:tcW w:w="1800" w:type="dxa"/>
            <w:tcBorders>
              <w:top w:val="single" w:sz="4" w:space="0" w:color="auto"/>
              <w:left w:val="nil"/>
              <w:bottom w:val="nil"/>
              <w:right w:val="nil"/>
            </w:tcBorders>
            <w:vAlign w:val="bottom"/>
          </w:tcPr>
          <w:p>
            <w:pPr>
              <w:pStyle w:val="yTableNAm"/>
              <w:jc w:val="center"/>
              <w:rPr>
                <w:szCs w:val="22"/>
              </w:rPr>
            </w:pPr>
            <w:r>
              <w:rPr>
                <w:szCs w:val="22"/>
              </w:rPr>
              <w:t>6</w:t>
            </w:r>
          </w:p>
        </w:tc>
      </w:tr>
      <w:tr>
        <w:tc>
          <w:tcPr>
            <w:tcW w:w="2920" w:type="dxa"/>
            <w:tcBorders>
              <w:top w:val="nil"/>
              <w:left w:val="nil"/>
              <w:bottom w:val="nil"/>
              <w:right w:val="nil"/>
            </w:tcBorders>
            <w:vAlign w:val="center"/>
          </w:tcPr>
          <w:p>
            <w:pPr>
              <w:pStyle w:val="yTableNAm"/>
              <w:rPr>
                <w:szCs w:val="22"/>
              </w:rPr>
            </w:pPr>
            <w:r>
              <w:rPr>
                <w:szCs w:val="22"/>
              </w:rPr>
              <w:t>Albany Farmlands</w:t>
            </w:r>
          </w:p>
        </w:tc>
        <w:tc>
          <w:tcPr>
            <w:tcW w:w="1800" w:type="dxa"/>
            <w:tcBorders>
              <w:top w:val="nil"/>
              <w:left w:val="nil"/>
              <w:bottom w:val="nil"/>
              <w:right w:val="nil"/>
            </w:tcBorders>
            <w:vAlign w:val="bottom"/>
          </w:tcPr>
          <w:p>
            <w:pPr>
              <w:pStyle w:val="yTableNAm"/>
              <w:jc w:val="center"/>
              <w:rPr>
                <w:szCs w:val="22"/>
              </w:rPr>
            </w:pPr>
            <w:r>
              <w:rPr>
                <w:szCs w:val="22"/>
              </w:rPr>
              <w:t>3</w:t>
            </w:r>
          </w:p>
        </w:tc>
        <w:tc>
          <w:tcPr>
            <w:tcW w:w="1800" w:type="dxa"/>
            <w:tcBorders>
              <w:top w:val="nil"/>
              <w:left w:val="nil"/>
              <w:bottom w:val="nil"/>
              <w:right w:val="nil"/>
            </w:tcBorders>
            <w:vAlign w:val="bottom"/>
          </w:tcPr>
          <w:p>
            <w:pPr>
              <w:pStyle w:val="yTableNAm"/>
              <w:jc w:val="center"/>
              <w:rPr>
                <w:szCs w:val="22"/>
              </w:rPr>
            </w:pPr>
            <w:r>
              <w:rPr>
                <w:szCs w:val="22"/>
              </w:rPr>
              <w:t>6</w:t>
            </w:r>
          </w:p>
        </w:tc>
      </w:tr>
      <w:tr>
        <w:tc>
          <w:tcPr>
            <w:tcW w:w="2920" w:type="dxa"/>
            <w:tcBorders>
              <w:top w:val="nil"/>
              <w:left w:val="nil"/>
              <w:bottom w:val="nil"/>
              <w:right w:val="nil"/>
            </w:tcBorders>
            <w:vAlign w:val="center"/>
          </w:tcPr>
          <w:p>
            <w:pPr>
              <w:pStyle w:val="yTableNAm"/>
              <w:rPr>
                <w:szCs w:val="22"/>
              </w:rPr>
            </w:pPr>
            <w:r>
              <w:rPr>
                <w:szCs w:val="22"/>
              </w:rPr>
              <w:t>Allanooka Farmlands</w:t>
            </w:r>
          </w:p>
        </w:tc>
        <w:tc>
          <w:tcPr>
            <w:tcW w:w="1800" w:type="dxa"/>
            <w:tcBorders>
              <w:top w:val="nil"/>
              <w:left w:val="nil"/>
              <w:bottom w:val="nil"/>
              <w:right w:val="nil"/>
            </w:tcBorders>
            <w:vAlign w:val="bottom"/>
          </w:tcPr>
          <w:p>
            <w:pPr>
              <w:pStyle w:val="yTableNAm"/>
              <w:jc w:val="center"/>
              <w:rPr>
                <w:sz w:val="24"/>
                <w:szCs w:val="24"/>
              </w:rPr>
            </w:pPr>
            <w:r>
              <w:t>1</w:t>
            </w:r>
          </w:p>
        </w:tc>
        <w:tc>
          <w:tcPr>
            <w:tcW w:w="1800" w:type="dxa"/>
            <w:tcBorders>
              <w:top w:val="nil"/>
              <w:left w:val="nil"/>
              <w:bottom w:val="nil"/>
              <w:right w:val="nil"/>
            </w:tcBorders>
            <w:vAlign w:val="bottom"/>
          </w:tcPr>
          <w:p>
            <w:pPr>
              <w:pStyle w:val="yTableNAm"/>
              <w:jc w:val="center"/>
              <w:rPr>
                <w:sz w:val="24"/>
                <w:szCs w:val="24"/>
              </w:rPr>
            </w:pPr>
            <w:r>
              <w:t>1</w:t>
            </w:r>
          </w:p>
        </w:tc>
      </w:tr>
      <w:tr>
        <w:tc>
          <w:tcPr>
            <w:tcW w:w="2920" w:type="dxa"/>
            <w:tcBorders>
              <w:top w:val="nil"/>
              <w:left w:val="nil"/>
              <w:bottom w:val="nil"/>
              <w:right w:val="nil"/>
            </w:tcBorders>
            <w:vAlign w:val="center"/>
          </w:tcPr>
          <w:p>
            <w:pPr>
              <w:pStyle w:val="yTableNAm"/>
              <w:rPr>
                <w:szCs w:val="22"/>
              </w:rPr>
            </w:pPr>
            <w:r>
              <w:rPr>
                <w:szCs w:val="22"/>
              </w:rPr>
              <w:t>Allanson</w:t>
            </w:r>
          </w:p>
        </w:tc>
        <w:tc>
          <w:tcPr>
            <w:tcW w:w="1800" w:type="dxa"/>
            <w:tcBorders>
              <w:top w:val="nil"/>
              <w:left w:val="nil"/>
              <w:bottom w:val="nil"/>
              <w:right w:val="nil"/>
            </w:tcBorders>
            <w:vAlign w:val="bottom"/>
          </w:tcPr>
          <w:p>
            <w:pPr>
              <w:pStyle w:val="yTableNAm"/>
              <w:jc w:val="center"/>
              <w:rPr>
                <w:sz w:val="24"/>
                <w:szCs w:val="24"/>
              </w:rPr>
            </w:pPr>
            <w:r>
              <w:t>4</w:t>
            </w:r>
          </w:p>
        </w:tc>
        <w:tc>
          <w:tcPr>
            <w:tcW w:w="1800" w:type="dxa"/>
            <w:tcBorders>
              <w:top w:val="nil"/>
              <w:left w:val="nil"/>
              <w:bottom w:val="nil"/>
              <w:right w:val="nil"/>
            </w:tcBorders>
            <w:vAlign w:val="bottom"/>
          </w:tcPr>
          <w:p>
            <w:pPr>
              <w:pStyle w:val="yTableNAm"/>
              <w:jc w:val="center"/>
              <w:rPr>
                <w:sz w:val="24"/>
                <w:szCs w:val="24"/>
              </w:rPr>
            </w:pPr>
            <w:r>
              <w:t>10</w:t>
            </w:r>
          </w:p>
        </w:tc>
      </w:tr>
      <w:tr>
        <w:tc>
          <w:tcPr>
            <w:tcW w:w="2920" w:type="dxa"/>
            <w:tcBorders>
              <w:top w:val="nil"/>
              <w:left w:val="nil"/>
              <w:bottom w:val="nil"/>
              <w:right w:val="nil"/>
            </w:tcBorders>
            <w:vAlign w:val="center"/>
          </w:tcPr>
          <w:p>
            <w:pPr>
              <w:pStyle w:val="yTableNAm"/>
              <w:rPr>
                <w:szCs w:val="22"/>
              </w:rPr>
            </w:pPr>
            <w:r>
              <w:rPr>
                <w:szCs w:val="22"/>
              </w:rPr>
              <w:t>Arrino</w:t>
            </w:r>
          </w:p>
        </w:tc>
        <w:tc>
          <w:tcPr>
            <w:tcW w:w="1800" w:type="dxa"/>
            <w:tcBorders>
              <w:top w:val="nil"/>
              <w:left w:val="nil"/>
              <w:bottom w:val="nil"/>
              <w:right w:val="nil"/>
            </w:tcBorders>
            <w:vAlign w:val="bottom"/>
          </w:tcPr>
          <w:p>
            <w:pPr>
              <w:pStyle w:val="yTableNAm"/>
              <w:jc w:val="center"/>
              <w:rPr>
                <w:sz w:val="24"/>
                <w:szCs w:val="24"/>
              </w:rPr>
            </w:pPr>
            <w:r>
              <w:t>5</w:t>
            </w:r>
          </w:p>
        </w:tc>
        <w:tc>
          <w:tcPr>
            <w:tcW w:w="1800" w:type="dxa"/>
            <w:tcBorders>
              <w:top w:val="nil"/>
              <w:left w:val="nil"/>
              <w:bottom w:val="nil"/>
              <w:right w:val="nil"/>
            </w:tcBorders>
            <w:vAlign w:val="bottom"/>
          </w:tcPr>
          <w:p>
            <w:pPr>
              <w:pStyle w:val="yTableNAm"/>
              <w:jc w:val="center"/>
              <w:rPr>
                <w:sz w:val="24"/>
                <w:szCs w:val="24"/>
              </w:rPr>
            </w:pPr>
            <w:r>
              <w:t>15</w:t>
            </w:r>
          </w:p>
        </w:tc>
      </w:tr>
      <w:tr>
        <w:tc>
          <w:tcPr>
            <w:tcW w:w="2920" w:type="dxa"/>
            <w:tcBorders>
              <w:top w:val="nil"/>
              <w:left w:val="nil"/>
              <w:bottom w:val="nil"/>
              <w:right w:val="nil"/>
            </w:tcBorders>
            <w:vAlign w:val="center"/>
          </w:tcPr>
          <w:p>
            <w:pPr>
              <w:pStyle w:val="yTableNAm"/>
              <w:rPr>
                <w:szCs w:val="22"/>
              </w:rPr>
            </w:pPr>
            <w:r>
              <w:rPr>
                <w:szCs w:val="22"/>
              </w:rPr>
              <w:t>Arrowsmith Farmlands</w:t>
            </w:r>
          </w:p>
        </w:tc>
        <w:tc>
          <w:tcPr>
            <w:tcW w:w="1800" w:type="dxa"/>
            <w:tcBorders>
              <w:top w:val="nil"/>
              <w:left w:val="nil"/>
              <w:bottom w:val="nil"/>
              <w:right w:val="nil"/>
            </w:tcBorders>
            <w:vAlign w:val="bottom"/>
          </w:tcPr>
          <w:p>
            <w:pPr>
              <w:pStyle w:val="yTableNAm"/>
              <w:jc w:val="center"/>
              <w:rPr>
                <w:sz w:val="24"/>
                <w:szCs w:val="24"/>
              </w:rPr>
            </w:pPr>
            <w:r>
              <w:t>5</w:t>
            </w:r>
          </w:p>
        </w:tc>
        <w:tc>
          <w:tcPr>
            <w:tcW w:w="1800" w:type="dxa"/>
            <w:tcBorders>
              <w:top w:val="nil"/>
              <w:left w:val="nil"/>
              <w:bottom w:val="nil"/>
              <w:right w:val="nil"/>
            </w:tcBorders>
            <w:vAlign w:val="bottom"/>
          </w:tcPr>
          <w:p>
            <w:pPr>
              <w:pStyle w:val="yTableNAm"/>
              <w:jc w:val="center"/>
              <w:rPr>
                <w:sz w:val="24"/>
                <w:szCs w:val="24"/>
              </w:rPr>
            </w:pPr>
            <w:r>
              <w:t>12</w:t>
            </w:r>
          </w:p>
        </w:tc>
      </w:tr>
      <w:tr>
        <w:tc>
          <w:tcPr>
            <w:tcW w:w="2920" w:type="dxa"/>
            <w:tcBorders>
              <w:top w:val="nil"/>
              <w:left w:val="nil"/>
              <w:bottom w:val="nil"/>
              <w:right w:val="nil"/>
            </w:tcBorders>
            <w:vAlign w:val="center"/>
          </w:tcPr>
          <w:p>
            <w:pPr>
              <w:pStyle w:val="yTableNAm"/>
              <w:rPr>
                <w:szCs w:val="22"/>
              </w:rPr>
            </w:pPr>
            <w:r>
              <w:rPr>
                <w:szCs w:val="22"/>
              </w:rPr>
              <w:t>Augusta</w:t>
            </w:r>
          </w:p>
        </w:tc>
        <w:tc>
          <w:tcPr>
            <w:tcW w:w="1800" w:type="dxa"/>
            <w:tcBorders>
              <w:top w:val="nil"/>
              <w:left w:val="nil"/>
              <w:bottom w:val="nil"/>
              <w:right w:val="nil"/>
            </w:tcBorders>
            <w:vAlign w:val="bottom"/>
          </w:tcPr>
          <w:p>
            <w:pPr>
              <w:pStyle w:val="yTableNAm"/>
              <w:jc w:val="center"/>
              <w:rPr>
                <w:sz w:val="24"/>
                <w:szCs w:val="24"/>
              </w:rPr>
            </w:pPr>
            <w:r>
              <w:t>5</w:t>
            </w:r>
          </w:p>
        </w:tc>
        <w:tc>
          <w:tcPr>
            <w:tcW w:w="1800" w:type="dxa"/>
            <w:tcBorders>
              <w:top w:val="nil"/>
              <w:left w:val="nil"/>
              <w:bottom w:val="nil"/>
              <w:right w:val="nil"/>
            </w:tcBorders>
            <w:vAlign w:val="bottom"/>
          </w:tcPr>
          <w:p>
            <w:pPr>
              <w:pStyle w:val="yTableNAm"/>
              <w:jc w:val="center"/>
              <w:rPr>
                <w:sz w:val="24"/>
                <w:szCs w:val="24"/>
              </w:rPr>
            </w:pPr>
            <w:r>
              <w:t>12</w:t>
            </w:r>
          </w:p>
        </w:tc>
      </w:tr>
      <w:tr>
        <w:tc>
          <w:tcPr>
            <w:tcW w:w="2920" w:type="dxa"/>
            <w:tcBorders>
              <w:top w:val="nil"/>
              <w:left w:val="nil"/>
              <w:bottom w:val="nil"/>
              <w:right w:val="nil"/>
            </w:tcBorders>
            <w:vAlign w:val="center"/>
          </w:tcPr>
          <w:p>
            <w:pPr>
              <w:pStyle w:val="yTableNAm"/>
              <w:rPr>
                <w:szCs w:val="22"/>
              </w:rPr>
            </w:pPr>
            <w:r>
              <w:rPr>
                <w:szCs w:val="22"/>
              </w:rPr>
              <w:t>Australind/Eaton</w:t>
            </w:r>
          </w:p>
        </w:tc>
        <w:tc>
          <w:tcPr>
            <w:tcW w:w="1800" w:type="dxa"/>
            <w:tcBorders>
              <w:top w:val="nil"/>
              <w:left w:val="nil"/>
              <w:bottom w:val="nil"/>
              <w:right w:val="nil"/>
            </w:tcBorders>
            <w:vAlign w:val="bottom"/>
          </w:tcPr>
          <w:p>
            <w:pPr>
              <w:pStyle w:val="yTableNAm"/>
              <w:jc w:val="center"/>
              <w:rPr>
                <w:sz w:val="24"/>
                <w:szCs w:val="24"/>
              </w:rPr>
            </w:pPr>
            <w:r>
              <w:t>2</w:t>
            </w:r>
          </w:p>
        </w:tc>
        <w:tc>
          <w:tcPr>
            <w:tcW w:w="1800" w:type="dxa"/>
            <w:tcBorders>
              <w:top w:val="nil"/>
              <w:left w:val="nil"/>
              <w:bottom w:val="nil"/>
              <w:right w:val="nil"/>
            </w:tcBorders>
            <w:vAlign w:val="bottom"/>
          </w:tcPr>
          <w:p>
            <w:pPr>
              <w:pStyle w:val="yTableNAm"/>
              <w:jc w:val="center"/>
              <w:rPr>
                <w:sz w:val="24"/>
                <w:szCs w:val="24"/>
              </w:rPr>
            </w:pPr>
            <w:r>
              <w:t>1</w:t>
            </w:r>
          </w:p>
        </w:tc>
      </w:tr>
      <w:tr>
        <w:tc>
          <w:tcPr>
            <w:tcW w:w="2920" w:type="dxa"/>
            <w:tcBorders>
              <w:top w:val="nil"/>
              <w:left w:val="nil"/>
              <w:bottom w:val="nil"/>
              <w:right w:val="nil"/>
            </w:tcBorders>
            <w:vAlign w:val="center"/>
          </w:tcPr>
          <w:p>
            <w:pPr>
              <w:pStyle w:val="yTableNAm"/>
              <w:rPr>
                <w:szCs w:val="22"/>
              </w:rPr>
            </w:pPr>
            <w:r>
              <w:rPr>
                <w:szCs w:val="22"/>
              </w:rPr>
              <w:t>Badgingarra</w:t>
            </w:r>
          </w:p>
        </w:tc>
        <w:tc>
          <w:tcPr>
            <w:tcW w:w="1800" w:type="dxa"/>
            <w:tcBorders>
              <w:top w:val="nil"/>
              <w:left w:val="nil"/>
              <w:bottom w:val="nil"/>
              <w:right w:val="nil"/>
            </w:tcBorders>
            <w:vAlign w:val="bottom"/>
          </w:tcPr>
          <w:p>
            <w:pPr>
              <w:pStyle w:val="yTableNAm"/>
              <w:jc w:val="center"/>
              <w:rPr>
                <w:sz w:val="24"/>
                <w:szCs w:val="24"/>
              </w:rPr>
            </w:pPr>
            <w:r>
              <w:t>5</w:t>
            </w:r>
          </w:p>
        </w:tc>
        <w:tc>
          <w:tcPr>
            <w:tcW w:w="1800" w:type="dxa"/>
            <w:tcBorders>
              <w:top w:val="nil"/>
              <w:left w:val="nil"/>
              <w:bottom w:val="nil"/>
              <w:right w:val="nil"/>
            </w:tcBorders>
            <w:vAlign w:val="bottom"/>
          </w:tcPr>
          <w:p>
            <w:pPr>
              <w:pStyle w:val="yTableNAm"/>
              <w:jc w:val="center"/>
              <w:rPr>
                <w:sz w:val="24"/>
                <w:szCs w:val="24"/>
              </w:rPr>
            </w:pPr>
            <w:r>
              <w:t>15</w:t>
            </w:r>
          </w:p>
        </w:tc>
      </w:tr>
      <w:tr>
        <w:tc>
          <w:tcPr>
            <w:tcW w:w="2920" w:type="dxa"/>
            <w:tcBorders>
              <w:top w:val="nil"/>
              <w:left w:val="nil"/>
              <w:bottom w:val="nil"/>
              <w:right w:val="nil"/>
            </w:tcBorders>
            <w:vAlign w:val="center"/>
          </w:tcPr>
          <w:p>
            <w:pPr>
              <w:pStyle w:val="yTableNAm"/>
              <w:rPr>
                <w:szCs w:val="22"/>
              </w:rPr>
            </w:pPr>
            <w:r>
              <w:rPr>
                <w:szCs w:val="22"/>
              </w:rPr>
              <w:t>Bakers Hill</w:t>
            </w:r>
          </w:p>
        </w:tc>
        <w:tc>
          <w:tcPr>
            <w:tcW w:w="1800" w:type="dxa"/>
            <w:tcBorders>
              <w:top w:val="nil"/>
              <w:left w:val="nil"/>
              <w:bottom w:val="nil"/>
              <w:right w:val="nil"/>
            </w:tcBorders>
            <w:vAlign w:val="bottom"/>
          </w:tcPr>
          <w:p>
            <w:pPr>
              <w:pStyle w:val="yTableNAm"/>
              <w:jc w:val="center"/>
              <w:rPr>
                <w:sz w:val="24"/>
                <w:szCs w:val="24"/>
              </w:rPr>
            </w:pPr>
            <w:r>
              <w:t>4</w:t>
            </w:r>
          </w:p>
        </w:tc>
        <w:tc>
          <w:tcPr>
            <w:tcW w:w="1800" w:type="dxa"/>
            <w:tcBorders>
              <w:top w:val="nil"/>
              <w:left w:val="nil"/>
              <w:bottom w:val="nil"/>
              <w:right w:val="nil"/>
            </w:tcBorders>
            <w:vAlign w:val="bottom"/>
          </w:tcPr>
          <w:p>
            <w:pPr>
              <w:pStyle w:val="yTableNAm"/>
              <w:jc w:val="center"/>
              <w:rPr>
                <w:sz w:val="24"/>
                <w:szCs w:val="24"/>
              </w:rPr>
            </w:pPr>
            <w:r>
              <w:t>10</w:t>
            </w:r>
          </w:p>
        </w:tc>
      </w:tr>
      <w:tr>
        <w:tc>
          <w:tcPr>
            <w:tcW w:w="2920" w:type="dxa"/>
            <w:tcBorders>
              <w:top w:val="nil"/>
              <w:left w:val="nil"/>
              <w:bottom w:val="nil"/>
              <w:right w:val="nil"/>
            </w:tcBorders>
            <w:vAlign w:val="center"/>
          </w:tcPr>
          <w:p>
            <w:pPr>
              <w:pStyle w:val="yTableNAm"/>
              <w:rPr>
                <w:szCs w:val="22"/>
              </w:rPr>
            </w:pPr>
            <w:r>
              <w:rPr>
                <w:szCs w:val="22"/>
              </w:rPr>
              <w:t>Balingup</w:t>
            </w:r>
          </w:p>
        </w:tc>
        <w:tc>
          <w:tcPr>
            <w:tcW w:w="1800" w:type="dxa"/>
            <w:tcBorders>
              <w:top w:val="nil"/>
              <w:left w:val="nil"/>
              <w:bottom w:val="nil"/>
              <w:right w:val="nil"/>
            </w:tcBorders>
            <w:vAlign w:val="bottom"/>
          </w:tcPr>
          <w:p>
            <w:pPr>
              <w:pStyle w:val="yTableNAm"/>
              <w:jc w:val="center"/>
              <w:rPr>
                <w:sz w:val="24"/>
                <w:szCs w:val="24"/>
              </w:rPr>
            </w:pPr>
            <w:r>
              <w:t>5</w:t>
            </w:r>
          </w:p>
        </w:tc>
        <w:tc>
          <w:tcPr>
            <w:tcW w:w="1800" w:type="dxa"/>
            <w:tcBorders>
              <w:top w:val="nil"/>
              <w:left w:val="nil"/>
              <w:bottom w:val="nil"/>
              <w:right w:val="nil"/>
            </w:tcBorders>
            <w:vAlign w:val="bottom"/>
          </w:tcPr>
          <w:p>
            <w:pPr>
              <w:pStyle w:val="yTableNAm"/>
              <w:jc w:val="center"/>
              <w:rPr>
                <w:sz w:val="24"/>
                <w:szCs w:val="24"/>
              </w:rPr>
            </w:pPr>
            <w:r>
              <w:t>12</w:t>
            </w:r>
          </w:p>
        </w:tc>
      </w:tr>
      <w:tr>
        <w:tc>
          <w:tcPr>
            <w:tcW w:w="2920" w:type="dxa"/>
            <w:tcBorders>
              <w:top w:val="nil"/>
              <w:left w:val="nil"/>
              <w:bottom w:val="nil"/>
              <w:right w:val="nil"/>
            </w:tcBorders>
            <w:vAlign w:val="center"/>
          </w:tcPr>
          <w:p>
            <w:pPr>
              <w:pStyle w:val="yTableNAm"/>
              <w:rPr>
                <w:szCs w:val="22"/>
              </w:rPr>
            </w:pPr>
            <w:r>
              <w:rPr>
                <w:szCs w:val="22"/>
              </w:rPr>
              <w:t>Ballidu</w:t>
            </w:r>
          </w:p>
        </w:tc>
        <w:tc>
          <w:tcPr>
            <w:tcW w:w="1800" w:type="dxa"/>
            <w:tcBorders>
              <w:top w:val="nil"/>
              <w:left w:val="nil"/>
              <w:bottom w:val="nil"/>
              <w:right w:val="nil"/>
            </w:tcBorders>
            <w:vAlign w:val="bottom"/>
          </w:tcPr>
          <w:p>
            <w:pPr>
              <w:pStyle w:val="yTableNAm"/>
              <w:jc w:val="center"/>
              <w:rPr>
                <w:sz w:val="24"/>
                <w:szCs w:val="24"/>
              </w:rPr>
            </w:pPr>
            <w:r>
              <w:t>5</w:t>
            </w:r>
          </w:p>
        </w:tc>
        <w:tc>
          <w:tcPr>
            <w:tcW w:w="1800" w:type="dxa"/>
            <w:tcBorders>
              <w:top w:val="nil"/>
              <w:left w:val="nil"/>
              <w:bottom w:val="nil"/>
              <w:right w:val="nil"/>
            </w:tcBorders>
            <w:vAlign w:val="bottom"/>
          </w:tcPr>
          <w:p>
            <w:pPr>
              <w:pStyle w:val="yTableNAm"/>
              <w:jc w:val="center"/>
              <w:rPr>
                <w:sz w:val="24"/>
                <w:szCs w:val="24"/>
              </w:rPr>
            </w:pPr>
            <w:r>
              <w:t>14</w:t>
            </w:r>
          </w:p>
        </w:tc>
      </w:tr>
      <w:tr>
        <w:tc>
          <w:tcPr>
            <w:tcW w:w="2920" w:type="dxa"/>
            <w:tcBorders>
              <w:top w:val="nil"/>
              <w:left w:val="nil"/>
              <w:bottom w:val="nil"/>
              <w:right w:val="nil"/>
            </w:tcBorders>
            <w:vAlign w:val="center"/>
          </w:tcPr>
          <w:p>
            <w:pPr>
              <w:pStyle w:val="yTableNAm"/>
              <w:rPr>
                <w:szCs w:val="22"/>
              </w:rPr>
            </w:pPr>
            <w:r>
              <w:rPr>
                <w:szCs w:val="22"/>
              </w:rPr>
              <w:t>Beacon</w:t>
            </w:r>
          </w:p>
        </w:tc>
        <w:tc>
          <w:tcPr>
            <w:tcW w:w="1800" w:type="dxa"/>
            <w:tcBorders>
              <w:top w:val="nil"/>
              <w:left w:val="nil"/>
              <w:bottom w:val="nil"/>
              <w:right w:val="nil"/>
            </w:tcBorders>
            <w:vAlign w:val="bottom"/>
          </w:tcPr>
          <w:p>
            <w:pPr>
              <w:pStyle w:val="yTableNAm"/>
              <w:jc w:val="center"/>
              <w:rPr>
                <w:sz w:val="24"/>
                <w:szCs w:val="24"/>
              </w:rPr>
            </w:pPr>
            <w:r>
              <w:t>5</w:t>
            </w:r>
          </w:p>
        </w:tc>
        <w:tc>
          <w:tcPr>
            <w:tcW w:w="1800" w:type="dxa"/>
            <w:tcBorders>
              <w:top w:val="nil"/>
              <w:left w:val="nil"/>
              <w:bottom w:val="nil"/>
              <w:right w:val="nil"/>
            </w:tcBorders>
            <w:vAlign w:val="bottom"/>
          </w:tcPr>
          <w:p>
            <w:pPr>
              <w:pStyle w:val="yTableNAm"/>
              <w:jc w:val="center"/>
              <w:rPr>
                <w:sz w:val="24"/>
                <w:szCs w:val="24"/>
              </w:rPr>
            </w:pPr>
            <w:r>
              <w:t>15</w:t>
            </w:r>
          </w:p>
        </w:tc>
      </w:tr>
      <w:tr>
        <w:tc>
          <w:tcPr>
            <w:tcW w:w="2920" w:type="dxa"/>
            <w:tcBorders>
              <w:top w:val="nil"/>
              <w:left w:val="nil"/>
              <w:bottom w:val="nil"/>
              <w:right w:val="nil"/>
            </w:tcBorders>
            <w:vAlign w:val="center"/>
          </w:tcPr>
          <w:p>
            <w:pPr>
              <w:pStyle w:val="yTableNAm"/>
              <w:rPr>
                <w:szCs w:val="22"/>
              </w:rPr>
            </w:pPr>
            <w:r>
              <w:rPr>
                <w:szCs w:val="22"/>
              </w:rPr>
              <w:t>Bencubbin</w:t>
            </w:r>
          </w:p>
        </w:tc>
        <w:tc>
          <w:tcPr>
            <w:tcW w:w="1800" w:type="dxa"/>
            <w:tcBorders>
              <w:top w:val="nil"/>
              <w:left w:val="nil"/>
              <w:bottom w:val="nil"/>
              <w:right w:val="nil"/>
            </w:tcBorders>
            <w:vAlign w:val="bottom"/>
          </w:tcPr>
          <w:p>
            <w:pPr>
              <w:pStyle w:val="yTableNAm"/>
              <w:jc w:val="center"/>
              <w:rPr>
                <w:sz w:val="24"/>
                <w:szCs w:val="24"/>
              </w:rPr>
            </w:pPr>
            <w:r>
              <w:t>5</w:t>
            </w:r>
          </w:p>
        </w:tc>
        <w:tc>
          <w:tcPr>
            <w:tcW w:w="1800" w:type="dxa"/>
            <w:tcBorders>
              <w:top w:val="nil"/>
              <w:left w:val="nil"/>
              <w:bottom w:val="nil"/>
              <w:right w:val="nil"/>
            </w:tcBorders>
            <w:vAlign w:val="bottom"/>
          </w:tcPr>
          <w:p>
            <w:pPr>
              <w:pStyle w:val="yTableNAm"/>
              <w:jc w:val="center"/>
              <w:rPr>
                <w:sz w:val="24"/>
                <w:szCs w:val="24"/>
              </w:rPr>
            </w:pPr>
            <w:r>
              <w:t>15</w:t>
            </w:r>
          </w:p>
        </w:tc>
      </w:tr>
      <w:tr>
        <w:tc>
          <w:tcPr>
            <w:tcW w:w="2920" w:type="dxa"/>
            <w:tcBorders>
              <w:top w:val="nil"/>
              <w:left w:val="nil"/>
              <w:bottom w:val="nil"/>
              <w:right w:val="nil"/>
            </w:tcBorders>
            <w:vAlign w:val="center"/>
          </w:tcPr>
          <w:p>
            <w:pPr>
              <w:pStyle w:val="yTableNAm"/>
              <w:rPr>
                <w:szCs w:val="22"/>
              </w:rPr>
            </w:pPr>
            <w:r>
              <w:rPr>
                <w:szCs w:val="22"/>
              </w:rPr>
              <w:t>Beverley</w:t>
            </w:r>
          </w:p>
        </w:tc>
        <w:tc>
          <w:tcPr>
            <w:tcW w:w="1800" w:type="dxa"/>
            <w:tcBorders>
              <w:top w:val="nil"/>
              <w:left w:val="nil"/>
              <w:bottom w:val="nil"/>
              <w:right w:val="nil"/>
            </w:tcBorders>
            <w:vAlign w:val="bottom"/>
          </w:tcPr>
          <w:p>
            <w:pPr>
              <w:pStyle w:val="yTableNAm"/>
              <w:jc w:val="center"/>
              <w:rPr>
                <w:sz w:val="24"/>
                <w:szCs w:val="24"/>
              </w:rPr>
            </w:pPr>
            <w:r>
              <w:t>5</w:t>
            </w:r>
          </w:p>
        </w:tc>
        <w:tc>
          <w:tcPr>
            <w:tcW w:w="1800" w:type="dxa"/>
            <w:tcBorders>
              <w:top w:val="nil"/>
              <w:left w:val="nil"/>
              <w:bottom w:val="nil"/>
              <w:right w:val="nil"/>
            </w:tcBorders>
            <w:vAlign w:val="bottom"/>
          </w:tcPr>
          <w:p>
            <w:pPr>
              <w:pStyle w:val="yTableNAm"/>
              <w:jc w:val="center"/>
              <w:rPr>
                <w:sz w:val="24"/>
                <w:szCs w:val="24"/>
              </w:rPr>
            </w:pPr>
            <w:r>
              <w:t>10</w:t>
            </w:r>
          </w:p>
        </w:tc>
      </w:tr>
      <w:tr>
        <w:tc>
          <w:tcPr>
            <w:tcW w:w="2920" w:type="dxa"/>
            <w:tcBorders>
              <w:top w:val="nil"/>
              <w:left w:val="nil"/>
              <w:bottom w:val="nil"/>
              <w:right w:val="nil"/>
            </w:tcBorders>
            <w:vAlign w:val="center"/>
          </w:tcPr>
          <w:p>
            <w:pPr>
              <w:pStyle w:val="yTableNAm"/>
              <w:rPr>
                <w:szCs w:val="22"/>
              </w:rPr>
            </w:pPr>
            <w:r>
              <w:rPr>
                <w:szCs w:val="22"/>
              </w:rPr>
              <w:t>Bindi Bindi</w:t>
            </w:r>
          </w:p>
        </w:tc>
        <w:tc>
          <w:tcPr>
            <w:tcW w:w="1800" w:type="dxa"/>
            <w:tcBorders>
              <w:top w:val="nil"/>
              <w:left w:val="nil"/>
              <w:bottom w:val="nil"/>
              <w:right w:val="nil"/>
            </w:tcBorders>
            <w:vAlign w:val="bottom"/>
          </w:tcPr>
          <w:p>
            <w:pPr>
              <w:pStyle w:val="yTableNAm"/>
              <w:jc w:val="center"/>
              <w:rPr>
                <w:sz w:val="24"/>
                <w:szCs w:val="24"/>
              </w:rPr>
            </w:pPr>
            <w:r>
              <w:t>5</w:t>
            </w:r>
          </w:p>
        </w:tc>
        <w:tc>
          <w:tcPr>
            <w:tcW w:w="1800" w:type="dxa"/>
            <w:tcBorders>
              <w:top w:val="nil"/>
              <w:left w:val="nil"/>
              <w:bottom w:val="nil"/>
              <w:right w:val="nil"/>
            </w:tcBorders>
            <w:vAlign w:val="bottom"/>
          </w:tcPr>
          <w:p>
            <w:pPr>
              <w:pStyle w:val="yTableNAm"/>
              <w:jc w:val="center"/>
              <w:rPr>
                <w:sz w:val="24"/>
                <w:szCs w:val="24"/>
              </w:rPr>
            </w:pPr>
            <w:r>
              <w:t>15</w:t>
            </w:r>
          </w:p>
        </w:tc>
      </w:tr>
      <w:tr>
        <w:tc>
          <w:tcPr>
            <w:tcW w:w="2920" w:type="dxa"/>
            <w:tcBorders>
              <w:top w:val="nil"/>
              <w:left w:val="nil"/>
              <w:bottom w:val="nil"/>
              <w:right w:val="nil"/>
            </w:tcBorders>
            <w:vAlign w:val="center"/>
          </w:tcPr>
          <w:p>
            <w:pPr>
              <w:pStyle w:val="yTableNAm"/>
              <w:rPr>
                <w:szCs w:val="22"/>
              </w:rPr>
            </w:pPr>
            <w:r>
              <w:rPr>
                <w:szCs w:val="22"/>
              </w:rPr>
              <w:t>Bindoon/Chittering</w:t>
            </w:r>
          </w:p>
        </w:tc>
        <w:tc>
          <w:tcPr>
            <w:tcW w:w="1800" w:type="dxa"/>
            <w:tcBorders>
              <w:top w:val="nil"/>
              <w:left w:val="nil"/>
              <w:bottom w:val="nil"/>
              <w:right w:val="nil"/>
            </w:tcBorders>
            <w:vAlign w:val="bottom"/>
          </w:tcPr>
          <w:p>
            <w:pPr>
              <w:pStyle w:val="yTableNAm"/>
              <w:jc w:val="center"/>
              <w:rPr>
                <w:sz w:val="24"/>
                <w:szCs w:val="24"/>
              </w:rPr>
            </w:pPr>
            <w:r>
              <w:t>5</w:t>
            </w:r>
          </w:p>
        </w:tc>
        <w:tc>
          <w:tcPr>
            <w:tcW w:w="1800" w:type="dxa"/>
            <w:tcBorders>
              <w:top w:val="nil"/>
              <w:left w:val="nil"/>
              <w:bottom w:val="nil"/>
              <w:right w:val="nil"/>
            </w:tcBorders>
            <w:vAlign w:val="bottom"/>
          </w:tcPr>
          <w:p>
            <w:pPr>
              <w:pStyle w:val="yTableNAm"/>
              <w:jc w:val="center"/>
              <w:rPr>
                <w:sz w:val="24"/>
                <w:szCs w:val="24"/>
              </w:rPr>
            </w:pPr>
            <w:r>
              <w:t>12</w:t>
            </w:r>
          </w:p>
        </w:tc>
      </w:tr>
      <w:tr>
        <w:tc>
          <w:tcPr>
            <w:tcW w:w="2920" w:type="dxa"/>
            <w:tcBorders>
              <w:top w:val="nil"/>
              <w:left w:val="nil"/>
              <w:bottom w:val="nil"/>
              <w:right w:val="nil"/>
            </w:tcBorders>
            <w:vAlign w:val="center"/>
          </w:tcPr>
          <w:p>
            <w:pPr>
              <w:pStyle w:val="yTableNAm"/>
              <w:rPr>
                <w:szCs w:val="22"/>
              </w:rPr>
            </w:pPr>
            <w:r>
              <w:rPr>
                <w:szCs w:val="22"/>
              </w:rPr>
              <w:t>Binningup</w:t>
            </w:r>
          </w:p>
        </w:tc>
        <w:tc>
          <w:tcPr>
            <w:tcW w:w="1800" w:type="dxa"/>
            <w:tcBorders>
              <w:top w:val="nil"/>
              <w:left w:val="nil"/>
              <w:bottom w:val="nil"/>
              <w:right w:val="nil"/>
            </w:tcBorders>
            <w:vAlign w:val="bottom"/>
          </w:tcPr>
          <w:p>
            <w:pPr>
              <w:pStyle w:val="yTableNAm"/>
              <w:jc w:val="center"/>
              <w:rPr>
                <w:sz w:val="24"/>
                <w:szCs w:val="24"/>
              </w:rPr>
            </w:pPr>
            <w:r>
              <w:t>5</w:t>
            </w:r>
          </w:p>
        </w:tc>
        <w:tc>
          <w:tcPr>
            <w:tcW w:w="1800" w:type="dxa"/>
            <w:tcBorders>
              <w:top w:val="nil"/>
              <w:left w:val="nil"/>
              <w:bottom w:val="nil"/>
              <w:right w:val="nil"/>
            </w:tcBorders>
            <w:vAlign w:val="bottom"/>
          </w:tcPr>
          <w:p>
            <w:pPr>
              <w:pStyle w:val="yTableNAm"/>
              <w:jc w:val="center"/>
              <w:rPr>
                <w:sz w:val="24"/>
                <w:szCs w:val="24"/>
              </w:rPr>
            </w:pPr>
            <w:r>
              <w:t>10</w:t>
            </w:r>
          </w:p>
        </w:tc>
      </w:tr>
      <w:tr>
        <w:tc>
          <w:tcPr>
            <w:tcW w:w="2920" w:type="dxa"/>
            <w:tcBorders>
              <w:top w:val="nil"/>
              <w:left w:val="nil"/>
              <w:bottom w:val="nil"/>
              <w:right w:val="nil"/>
            </w:tcBorders>
            <w:vAlign w:val="center"/>
          </w:tcPr>
          <w:p>
            <w:pPr>
              <w:pStyle w:val="yTableNAm"/>
              <w:rPr>
                <w:szCs w:val="22"/>
              </w:rPr>
            </w:pPr>
            <w:r>
              <w:rPr>
                <w:szCs w:val="22"/>
              </w:rPr>
              <w:t>Bodallin</w:t>
            </w:r>
          </w:p>
        </w:tc>
        <w:tc>
          <w:tcPr>
            <w:tcW w:w="1800" w:type="dxa"/>
            <w:tcBorders>
              <w:top w:val="nil"/>
              <w:left w:val="nil"/>
              <w:bottom w:val="nil"/>
              <w:right w:val="nil"/>
            </w:tcBorders>
            <w:vAlign w:val="bottom"/>
          </w:tcPr>
          <w:p>
            <w:pPr>
              <w:pStyle w:val="yTableNAm"/>
              <w:jc w:val="center"/>
              <w:rPr>
                <w:sz w:val="24"/>
                <w:szCs w:val="24"/>
              </w:rPr>
            </w:pPr>
            <w:r>
              <w:t>5</w:t>
            </w:r>
          </w:p>
        </w:tc>
        <w:tc>
          <w:tcPr>
            <w:tcW w:w="1800" w:type="dxa"/>
            <w:tcBorders>
              <w:top w:val="nil"/>
              <w:left w:val="nil"/>
              <w:bottom w:val="nil"/>
              <w:right w:val="nil"/>
            </w:tcBorders>
            <w:vAlign w:val="bottom"/>
          </w:tcPr>
          <w:p>
            <w:pPr>
              <w:pStyle w:val="yTableNAm"/>
              <w:jc w:val="center"/>
              <w:rPr>
                <w:sz w:val="24"/>
                <w:szCs w:val="24"/>
              </w:rPr>
            </w:pPr>
            <w:r>
              <w:t>10</w:t>
            </w:r>
          </w:p>
        </w:tc>
      </w:tr>
      <w:tr>
        <w:tc>
          <w:tcPr>
            <w:tcW w:w="2920" w:type="dxa"/>
            <w:tcBorders>
              <w:top w:val="nil"/>
              <w:left w:val="nil"/>
              <w:bottom w:val="nil"/>
              <w:right w:val="nil"/>
            </w:tcBorders>
            <w:vAlign w:val="center"/>
          </w:tcPr>
          <w:p>
            <w:pPr>
              <w:pStyle w:val="yTableNAm"/>
              <w:rPr>
                <w:szCs w:val="22"/>
              </w:rPr>
            </w:pPr>
            <w:r>
              <w:rPr>
                <w:szCs w:val="22"/>
              </w:rPr>
              <w:t>Boddington</w:t>
            </w:r>
          </w:p>
        </w:tc>
        <w:tc>
          <w:tcPr>
            <w:tcW w:w="1800" w:type="dxa"/>
            <w:tcBorders>
              <w:top w:val="nil"/>
              <w:left w:val="nil"/>
              <w:bottom w:val="nil"/>
              <w:right w:val="nil"/>
            </w:tcBorders>
            <w:vAlign w:val="bottom"/>
          </w:tcPr>
          <w:p>
            <w:pPr>
              <w:pStyle w:val="yTableNAm"/>
              <w:jc w:val="center"/>
              <w:rPr>
                <w:sz w:val="24"/>
                <w:szCs w:val="24"/>
              </w:rPr>
            </w:pPr>
            <w:r>
              <w:t>5</w:t>
            </w:r>
          </w:p>
        </w:tc>
        <w:tc>
          <w:tcPr>
            <w:tcW w:w="1800" w:type="dxa"/>
            <w:tcBorders>
              <w:top w:val="nil"/>
              <w:left w:val="nil"/>
              <w:bottom w:val="nil"/>
              <w:right w:val="nil"/>
            </w:tcBorders>
            <w:vAlign w:val="bottom"/>
          </w:tcPr>
          <w:p>
            <w:pPr>
              <w:pStyle w:val="yTableNAm"/>
              <w:jc w:val="center"/>
              <w:rPr>
                <w:sz w:val="24"/>
                <w:szCs w:val="24"/>
              </w:rPr>
            </w:pPr>
            <w:r>
              <w:t>10</w:t>
            </w:r>
          </w:p>
        </w:tc>
      </w:tr>
      <w:tr>
        <w:tc>
          <w:tcPr>
            <w:tcW w:w="2920" w:type="dxa"/>
            <w:tcBorders>
              <w:top w:val="nil"/>
              <w:left w:val="nil"/>
              <w:bottom w:val="nil"/>
              <w:right w:val="nil"/>
            </w:tcBorders>
            <w:vAlign w:val="center"/>
          </w:tcPr>
          <w:p>
            <w:pPr>
              <w:pStyle w:val="yTableNAm"/>
              <w:rPr>
                <w:szCs w:val="22"/>
              </w:rPr>
            </w:pPr>
            <w:r>
              <w:rPr>
                <w:szCs w:val="22"/>
              </w:rPr>
              <w:t>Bolgart</w:t>
            </w:r>
          </w:p>
        </w:tc>
        <w:tc>
          <w:tcPr>
            <w:tcW w:w="1800" w:type="dxa"/>
            <w:tcBorders>
              <w:top w:val="nil"/>
              <w:left w:val="nil"/>
              <w:bottom w:val="nil"/>
              <w:right w:val="nil"/>
            </w:tcBorders>
            <w:vAlign w:val="bottom"/>
          </w:tcPr>
          <w:p>
            <w:pPr>
              <w:pStyle w:val="yTableNAm"/>
              <w:jc w:val="center"/>
              <w:rPr>
                <w:sz w:val="24"/>
                <w:szCs w:val="24"/>
              </w:rPr>
            </w:pPr>
            <w:r>
              <w:t>5</w:t>
            </w:r>
          </w:p>
        </w:tc>
        <w:tc>
          <w:tcPr>
            <w:tcW w:w="1800" w:type="dxa"/>
            <w:tcBorders>
              <w:top w:val="nil"/>
              <w:left w:val="nil"/>
              <w:bottom w:val="nil"/>
              <w:right w:val="nil"/>
            </w:tcBorders>
            <w:vAlign w:val="bottom"/>
          </w:tcPr>
          <w:p>
            <w:pPr>
              <w:pStyle w:val="yTableNAm"/>
              <w:jc w:val="center"/>
              <w:rPr>
                <w:sz w:val="24"/>
                <w:szCs w:val="24"/>
              </w:rPr>
            </w:pPr>
            <w:r>
              <w:t>14</w:t>
            </w:r>
          </w:p>
        </w:tc>
      </w:tr>
      <w:tr>
        <w:tc>
          <w:tcPr>
            <w:tcW w:w="2920" w:type="dxa"/>
            <w:tcBorders>
              <w:top w:val="nil"/>
              <w:left w:val="nil"/>
              <w:bottom w:val="nil"/>
              <w:right w:val="nil"/>
            </w:tcBorders>
            <w:vAlign w:val="center"/>
          </w:tcPr>
          <w:p>
            <w:pPr>
              <w:pStyle w:val="yTableNAm"/>
              <w:rPr>
                <w:szCs w:val="22"/>
              </w:rPr>
            </w:pPr>
            <w:r>
              <w:rPr>
                <w:szCs w:val="22"/>
              </w:rPr>
              <w:t>Borden</w:t>
            </w:r>
          </w:p>
        </w:tc>
        <w:tc>
          <w:tcPr>
            <w:tcW w:w="1800" w:type="dxa"/>
            <w:tcBorders>
              <w:top w:val="nil"/>
              <w:left w:val="nil"/>
              <w:bottom w:val="nil"/>
              <w:right w:val="nil"/>
            </w:tcBorders>
            <w:vAlign w:val="bottom"/>
          </w:tcPr>
          <w:p>
            <w:pPr>
              <w:pStyle w:val="yTableNAm"/>
              <w:jc w:val="center"/>
              <w:rPr>
                <w:sz w:val="24"/>
                <w:szCs w:val="24"/>
              </w:rPr>
            </w:pPr>
            <w:r>
              <w:t>5</w:t>
            </w:r>
          </w:p>
        </w:tc>
        <w:tc>
          <w:tcPr>
            <w:tcW w:w="1800" w:type="dxa"/>
            <w:tcBorders>
              <w:top w:val="nil"/>
              <w:left w:val="nil"/>
              <w:bottom w:val="nil"/>
              <w:right w:val="nil"/>
            </w:tcBorders>
            <w:vAlign w:val="bottom"/>
          </w:tcPr>
          <w:p>
            <w:pPr>
              <w:pStyle w:val="yTableNAm"/>
              <w:jc w:val="center"/>
              <w:rPr>
                <w:sz w:val="24"/>
                <w:szCs w:val="24"/>
              </w:rPr>
            </w:pPr>
            <w:r>
              <w:t>15</w:t>
            </w:r>
          </w:p>
        </w:tc>
      </w:tr>
      <w:tr>
        <w:tc>
          <w:tcPr>
            <w:tcW w:w="2920" w:type="dxa"/>
            <w:tcBorders>
              <w:top w:val="nil"/>
              <w:left w:val="nil"/>
              <w:bottom w:val="nil"/>
              <w:right w:val="nil"/>
            </w:tcBorders>
            <w:vAlign w:val="center"/>
          </w:tcPr>
          <w:p>
            <w:pPr>
              <w:pStyle w:val="yTableNAm"/>
              <w:rPr>
                <w:szCs w:val="22"/>
              </w:rPr>
            </w:pPr>
            <w:r>
              <w:rPr>
                <w:szCs w:val="22"/>
              </w:rPr>
              <w:t>Boyanup</w:t>
            </w:r>
          </w:p>
        </w:tc>
        <w:tc>
          <w:tcPr>
            <w:tcW w:w="1800" w:type="dxa"/>
            <w:tcBorders>
              <w:top w:val="nil"/>
              <w:left w:val="nil"/>
              <w:bottom w:val="nil"/>
              <w:right w:val="nil"/>
            </w:tcBorders>
            <w:vAlign w:val="bottom"/>
          </w:tcPr>
          <w:p>
            <w:pPr>
              <w:pStyle w:val="yTableNAm"/>
              <w:jc w:val="center"/>
              <w:rPr>
                <w:sz w:val="24"/>
                <w:szCs w:val="24"/>
              </w:rPr>
            </w:pPr>
            <w:r>
              <w:t>3</w:t>
            </w:r>
          </w:p>
        </w:tc>
        <w:tc>
          <w:tcPr>
            <w:tcW w:w="1800" w:type="dxa"/>
            <w:tcBorders>
              <w:top w:val="nil"/>
              <w:left w:val="nil"/>
              <w:bottom w:val="nil"/>
              <w:right w:val="nil"/>
            </w:tcBorders>
            <w:vAlign w:val="bottom"/>
          </w:tcPr>
          <w:p>
            <w:pPr>
              <w:pStyle w:val="yTableNAm"/>
              <w:jc w:val="center"/>
              <w:rPr>
                <w:sz w:val="24"/>
                <w:szCs w:val="24"/>
              </w:rPr>
            </w:pPr>
            <w:r>
              <w:t>6</w:t>
            </w:r>
          </w:p>
        </w:tc>
      </w:tr>
      <w:tr>
        <w:tc>
          <w:tcPr>
            <w:tcW w:w="2920" w:type="dxa"/>
            <w:tcBorders>
              <w:top w:val="nil"/>
              <w:left w:val="nil"/>
              <w:bottom w:val="nil"/>
              <w:right w:val="nil"/>
            </w:tcBorders>
            <w:vAlign w:val="center"/>
          </w:tcPr>
          <w:p>
            <w:pPr>
              <w:pStyle w:val="yTableNAm"/>
              <w:rPr>
                <w:szCs w:val="22"/>
              </w:rPr>
            </w:pPr>
            <w:r>
              <w:rPr>
                <w:szCs w:val="22"/>
              </w:rPr>
              <w:t>Boyup Brook</w:t>
            </w:r>
          </w:p>
        </w:tc>
        <w:tc>
          <w:tcPr>
            <w:tcW w:w="1800" w:type="dxa"/>
            <w:tcBorders>
              <w:top w:val="nil"/>
              <w:left w:val="nil"/>
              <w:bottom w:val="nil"/>
              <w:right w:val="nil"/>
            </w:tcBorders>
            <w:vAlign w:val="bottom"/>
          </w:tcPr>
          <w:p>
            <w:pPr>
              <w:pStyle w:val="yTableNAm"/>
              <w:jc w:val="center"/>
              <w:rPr>
                <w:sz w:val="24"/>
                <w:szCs w:val="24"/>
              </w:rPr>
            </w:pPr>
            <w:r>
              <w:t>5</w:t>
            </w:r>
          </w:p>
        </w:tc>
        <w:tc>
          <w:tcPr>
            <w:tcW w:w="1800" w:type="dxa"/>
            <w:tcBorders>
              <w:top w:val="nil"/>
              <w:left w:val="nil"/>
              <w:bottom w:val="nil"/>
              <w:right w:val="nil"/>
            </w:tcBorders>
            <w:vAlign w:val="bottom"/>
          </w:tcPr>
          <w:p>
            <w:pPr>
              <w:pStyle w:val="yTableNAm"/>
              <w:jc w:val="center"/>
              <w:rPr>
                <w:sz w:val="24"/>
                <w:szCs w:val="24"/>
              </w:rPr>
            </w:pPr>
            <w:r>
              <w:t>10</w:t>
            </w:r>
          </w:p>
        </w:tc>
      </w:tr>
      <w:tr>
        <w:tc>
          <w:tcPr>
            <w:tcW w:w="2920" w:type="dxa"/>
            <w:tcBorders>
              <w:top w:val="nil"/>
              <w:left w:val="nil"/>
              <w:bottom w:val="nil"/>
              <w:right w:val="nil"/>
            </w:tcBorders>
            <w:vAlign w:val="center"/>
          </w:tcPr>
          <w:p>
            <w:pPr>
              <w:pStyle w:val="yTableNAm"/>
              <w:rPr>
                <w:szCs w:val="22"/>
              </w:rPr>
            </w:pPr>
            <w:r>
              <w:rPr>
                <w:szCs w:val="22"/>
              </w:rPr>
              <w:t>Bremer Bay</w:t>
            </w:r>
          </w:p>
        </w:tc>
        <w:tc>
          <w:tcPr>
            <w:tcW w:w="1800" w:type="dxa"/>
            <w:tcBorders>
              <w:top w:val="nil"/>
              <w:left w:val="nil"/>
              <w:bottom w:val="nil"/>
              <w:right w:val="nil"/>
            </w:tcBorders>
            <w:vAlign w:val="bottom"/>
          </w:tcPr>
          <w:p>
            <w:pPr>
              <w:pStyle w:val="yTableNAm"/>
              <w:jc w:val="center"/>
              <w:rPr>
                <w:sz w:val="24"/>
                <w:szCs w:val="24"/>
              </w:rPr>
            </w:pPr>
            <w:r>
              <w:t>5</w:t>
            </w:r>
          </w:p>
        </w:tc>
        <w:tc>
          <w:tcPr>
            <w:tcW w:w="1800" w:type="dxa"/>
            <w:tcBorders>
              <w:top w:val="nil"/>
              <w:left w:val="nil"/>
              <w:bottom w:val="nil"/>
              <w:right w:val="nil"/>
            </w:tcBorders>
            <w:vAlign w:val="bottom"/>
          </w:tcPr>
          <w:p>
            <w:pPr>
              <w:pStyle w:val="yTableNAm"/>
              <w:jc w:val="center"/>
              <w:rPr>
                <w:sz w:val="24"/>
                <w:szCs w:val="24"/>
              </w:rPr>
            </w:pPr>
            <w:r>
              <w:t>12</w:t>
            </w:r>
          </w:p>
        </w:tc>
      </w:tr>
      <w:tr>
        <w:tc>
          <w:tcPr>
            <w:tcW w:w="2920" w:type="dxa"/>
            <w:tcBorders>
              <w:top w:val="nil"/>
              <w:left w:val="nil"/>
              <w:bottom w:val="nil"/>
              <w:right w:val="nil"/>
            </w:tcBorders>
            <w:vAlign w:val="center"/>
          </w:tcPr>
          <w:p>
            <w:pPr>
              <w:pStyle w:val="yTableNAm"/>
              <w:rPr>
                <w:szCs w:val="22"/>
              </w:rPr>
            </w:pPr>
            <w:r>
              <w:rPr>
                <w:szCs w:val="22"/>
              </w:rPr>
              <w:t>Bridgetown/Hester</w:t>
            </w:r>
          </w:p>
        </w:tc>
        <w:tc>
          <w:tcPr>
            <w:tcW w:w="1800" w:type="dxa"/>
            <w:tcBorders>
              <w:top w:val="nil"/>
              <w:left w:val="nil"/>
              <w:bottom w:val="nil"/>
              <w:right w:val="nil"/>
            </w:tcBorders>
            <w:vAlign w:val="bottom"/>
          </w:tcPr>
          <w:p>
            <w:pPr>
              <w:pStyle w:val="yTableNAm"/>
              <w:jc w:val="center"/>
              <w:rPr>
                <w:sz w:val="24"/>
                <w:szCs w:val="24"/>
              </w:rPr>
            </w:pPr>
            <w:r>
              <w:t>5</w:t>
            </w:r>
          </w:p>
        </w:tc>
        <w:tc>
          <w:tcPr>
            <w:tcW w:w="1800" w:type="dxa"/>
            <w:tcBorders>
              <w:top w:val="nil"/>
              <w:left w:val="nil"/>
              <w:bottom w:val="nil"/>
              <w:right w:val="nil"/>
            </w:tcBorders>
            <w:vAlign w:val="bottom"/>
          </w:tcPr>
          <w:p>
            <w:pPr>
              <w:pStyle w:val="yTableNAm"/>
              <w:jc w:val="center"/>
              <w:rPr>
                <w:sz w:val="24"/>
                <w:szCs w:val="24"/>
              </w:rPr>
            </w:pPr>
            <w:r>
              <w:t>12</w:t>
            </w:r>
          </w:p>
        </w:tc>
      </w:tr>
      <w:tr>
        <w:tc>
          <w:tcPr>
            <w:tcW w:w="2920" w:type="dxa"/>
            <w:tcBorders>
              <w:top w:val="nil"/>
              <w:left w:val="nil"/>
              <w:bottom w:val="nil"/>
              <w:right w:val="nil"/>
            </w:tcBorders>
            <w:vAlign w:val="center"/>
          </w:tcPr>
          <w:p>
            <w:pPr>
              <w:pStyle w:val="yTableNAm"/>
              <w:rPr>
                <w:szCs w:val="22"/>
              </w:rPr>
            </w:pPr>
            <w:r>
              <w:rPr>
                <w:szCs w:val="22"/>
              </w:rPr>
              <w:t>Broad Arrow</w:t>
            </w:r>
          </w:p>
        </w:tc>
        <w:tc>
          <w:tcPr>
            <w:tcW w:w="1800" w:type="dxa"/>
            <w:tcBorders>
              <w:top w:val="nil"/>
              <w:left w:val="nil"/>
              <w:bottom w:val="nil"/>
              <w:right w:val="nil"/>
            </w:tcBorders>
            <w:vAlign w:val="bottom"/>
          </w:tcPr>
          <w:p>
            <w:pPr>
              <w:pStyle w:val="yTableNAm"/>
              <w:jc w:val="center"/>
              <w:rPr>
                <w:sz w:val="24"/>
                <w:szCs w:val="24"/>
              </w:rPr>
            </w:pPr>
            <w:r>
              <w:t>5</w:t>
            </w:r>
          </w:p>
        </w:tc>
        <w:tc>
          <w:tcPr>
            <w:tcW w:w="1800" w:type="dxa"/>
            <w:tcBorders>
              <w:top w:val="nil"/>
              <w:left w:val="nil"/>
              <w:bottom w:val="nil"/>
              <w:right w:val="nil"/>
            </w:tcBorders>
            <w:vAlign w:val="bottom"/>
          </w:tcPr>
          <w:p>
            <w:pPr>
              <w:pStyle w:val="yTableNAm"/>
              <w:jc w:val="center"/>
              <w:rPr>
                <w:sz w:val="24"/>
                <w:szCs w:val="24"/>
              </w:rPr>
            </w:pPr>
            <w:r>
              <w:t>15</w:t>
            </w:r>
          </w:p>
        </w:tc>
      </w:tr>
      <w:tr>
        <w:tc>
          <w:tcPr>
            <w:tcW w:w="2920" w:type="dxa"/>
            <w:tcBorders>
              <w:top w:val="nil"/>
              <w:left w:val="nil"/>
              <w:bottom w:val="nil"/>
              <w:right w:val="nil"/>
            </w:tcBorders>
            <w:vAlign w:val="center"/>
          </w:tcPr>
          <w:p>
            <w:pPr>
              <w:pStyle w:val="yTableNAm"/>
              <w:rPr>
                <w:szCs w:val="22"/>
              </w:rPr>
            </w:pPr>
            <w:r>
              <w:rPr>
                <w:szCs w:val="22"/>
              </w:rPr>
              <w:t>Brookton</w:t>
            </w:r>
          </w:p>
        </w:tc>
        <w:tc>
          <w:tcPr>
            <w:tcW w:w="1800" w:type="dxa"/>
            <w:tcBorders>
              <w:top w:val="nil"/>
              <w:left w:val="nil"/>
              <w:bottom w:val="nil"/>
              <w:right w:val="nil"/>
            </w:tcBorders>
            <w:vAlign w:val="bottom"/>
          </w:tcPr>
          <w:p>
            <w:pPr>
              <w:pStyle w:val="yTableNAm"/>
              <w:jc w:val="center"/>
              <w:rPr>
                <w:sz w:val="24"/>
                <w:szCs w:val="24"/>
              </w:rPr>
            </w:pPr>
            <w:r>
              <w:t>5</w:t>
            </w:r>
          </w:p>
        </w:tc>
        <w:tc>
          <w:tcPr>
            <w:tcW w:w="1800" w:type="dxa"/>
            <w:tcBorders>
              <w:top w:val="nil"/>
              <w:left w:val="nil"/>
              <w:bottom w:val="nil"/>
              <w:right w:val="nil"/>
            </w:tcBorders>
            <w:vAlign w:val="bottom"/>
          </w:tcPr>
          <w:p>
            <w:pPr>
              <w:pStyle w:val="yTableNAm"/>
              <w:jc w:val="center"/>
              <w:rPr>
                <w:sz w:val="24"/>
                <w:szCs w:val="24"/>
              </w:rPr>
            </w:pPr>
            <w:r>
              <w:t>12</w:t>
            </w:r>
          </w:p>
        </w:tc>
      </w:tr>
      <w:tr>
        <w:tc>
          <w:tcPr>
            <w:tcW w:w="2920" w:type="dxa"/>
            <w:tcBorders>
              <w:top w:val="nil"/>
              <w:left w:val="nil"/>
              <w:bottom w:val="nil"/>
              <w:right w:val="nil"/>
            </w:tcBorders>
            <w:vAlign w:val="center"/>
          </w:tcPr>
          <w:p>
            <w:pPr>
              <w:pStyle w:val="yTableNAm"/>
              <w:rPr>
                <w:szCs w:val="22"/>
              </w:rPr>
            </w:pPr>
            <w:r>
              <w:rPr>
                <w:szCs w:val="22"/>
              </w:rPr>
              <w:t>Broome</w:t>
            </w:r>
          </w:p>
        </w:tc>
        <w:tc>
          <w:tcPr>
            <w:tcW w:w="1800" w:type="dxa"/>
            <w:tcBorders>
              <w:top w:val="nil"/>
              <w:left w:val="nil"/>
              <w:bottom w:val="nil"/>
              <w:right w:val="nil"/>
            </w:tcBorders>
            <w:vAlign w:val="bottom"/>
          </w:tcPr>
          <w:p>
            <w:pPr>
              <w:pStyle w:val="yTableNAm"/>
              <w:jc w:val="center"/>
              <w:rPr>
                <w:sz w:val="24"/>
                <w:szCs w:val="24"/>
              </w:rPr>
            </w:pPr>
            <w:r>
              <w:t>2</w:t>
            </w:r>
          </w:p>
        </w:tc>
        <w:tc>
          <w:tcPr>
            <w:tcW w:w="1800" w:type="dxa"/>
            <w:tcBorders>
              <w:top w:val="nil"/>
              <w:left w:val="nil"/>
              <w:bottom w:val="nil"/>
              <w:right w:val="nil"/>
            </w:tcBorders>
            <w:vAlign w:val="bottom"/>
          </w:tcPr>
          <w:p>
            <w:pPr>
              <w:pStyle w:val="yTableNAm"/>
              <w:jc w:val="center"/>
              <w:rPr>
                <w:sz w:val="24"/>
                <w:szCs w:val="24"/>
              </w:rPr>
            </w:pPr>
            <w:r>
              <w:t>1</w:t>
            </w:r>
          </w:p>
        </w:tc>
      </w:tr>
      <w:tr>
        <w:tc>
          <w:tcPr>
            <w:tcW w:w="2920" w:type="dxa"/>
            <w:tcBorders>
              <w:top w:val="nil"/>
              <w:left w:val="nil"/>
              <w:bottom w:val="nil"/>
              <w:right w:val="nil"/>
            </w:tcBorders>
            <w:vAlign w:val="center"/>
          </w:tcPr>
          <w:p>
            <w:pPr>
              <w:pStyle w:val="yTableNAm"/>
              <w:rPr>
                <w:szCs w:val="22"/>
              </w:rPr>
            </w:pPr>
            <w:r>
              <w:rPr>
                <w:szCs w:val="22"/>
              </w:rPr>
              <w:t>Broomehill</w:t>
            </w:r>
          </w:p>
        </w:tc>
        <w:tc>
          <w:tcPr>
            <w:tcW w:w="1800" w:type="dxa"/>
            <w:tcBorders>
              <w:top w:val="nil"/>
              <w:left w:val="nil"/>
              <w:bottom w:val="nil"/>
              <w:right w:val="nil"/>
            </w:tcBorders>
            <w:vAlign w:val="bottom"/>
          </w:tcPr>
          <w:p>
            <w:pPr>
              <w:pStyle w:val="yTableNAm"/>
              <w:jc w:val="center"/>
              <w:rPr>
                <w:sz w:val="24"/>
                <w:szCs w:val="24"/>
              </w:rPr>
            </w:pPr>
            <w:r>
              <w:t>5</w:t>
            </w:r>
          </w:p>
        </w:tc>
        <w:tc>
          <w:tcPr>
            <w:tcW w:w="1800" w:type="dxa"/>
            <w:tcBorders>
              <w:top w:val="nil"/>
              <w:left w:val="nil"/>
              <w:bottom w:val="nil"/>
              <w:right w:val="nil"/>
            </w:tcBorders>
            <w:vAlign w:val="bottom"/>
          </w:tcPr>
          <w:p>
            <w:pPr>
              <w:pStyle w:val="yTableNAm"/>
              <w:jc w:val="center"/>
              <w:rPr>
                <w:sz w:val="24"/>
                <w:szCs w:val="24"/>
              </w:rPr>
            </w:pPr>
            <w:r>
              <w:t>12</w:t>
            </w:r>
          </w:p>
        </w:tc>
      </w:tr>
      <w:tr>
        <w:tc>
          <w:tcPr>
            <w:tcW w:w="2920" w:type="dxa"/>
            <w:tcBorders>
              <w:top w:val="nil"/>
              <w:left w:val="nil"/>
              <w:bottom w:val="nil"/>
              <w:right w:val="nil"/>
            </w:tcBorders>
            <w:vAlign w:val="center"/>
          </w:tcPr>
          <w:p>
            <w:pPr>
              <w:pStyle w:val="yTableNAm"/>
              <w:rPr>
                <w:szCs w:val="22"/>
              </w:rPr>
            </w:pPr>
            <w:r>
              <w:rPr>
                <w:szCs w:val="22"/>
              </w:rPr>
              <w:t>Bruce Rock</w:t>
            </w:r>
          </w:p>
        </w:tc>
        <w:tc>
          <w:tcPr>
            <w:tcW w:w="1800" w:type="dxa"/>
            <w:tcBorders>
              <w:top w:val="nil"/>
              <w:left w:val="nil"/>
              <w:bottom w:val="nil"/>
              <w:right w:val="nil"/>
            </w:tcBorders>
            <w:vAlign w:val="bottom"/>
          </w:tcPr>
          <w:p>
            <w:pPr>
              <w:pStyle w:val="yTableNAm"/>
              <w:jc w:val="center"/>
              <w:rPr>
                <w:sz w:val="24"/>
                <w:szCs w:val="24"/>
              </w:rPr>
            </w:pPr>
            <w:r>
              <w:t>5</w:t>
            </w:r>
          </w:p>
        </w:tc>
        <w:tc>
          <w:tcPr>
            <w:tcW w:w="1800" w:type="dxa"/>
            <w:tcBorders>
              <w:top w:val="nil"/>
              <w:left w:val="nil"/>
              <w:bottom w:val="nil"/>
              <w:right w:val="nil"/>
            </w:tcBorders>
            <w:vAlign w:val="bottom"/>
          </w:tcPr>
          <w:p>
            <w:pPr>
              <w:pStyle w:val="yTableNAm"/>
              <w:jc w:val="center"/>
              <w:rPr>
                <w:sz w:val="24"/>
                <w:szCs w:val="24"/>
              </w:rPr>
            </w:pPr>
            <w:r>
              <w:t>14</w:t>
            </w:r>
          </w:p>
        </w:tc>
      </w:tr>
      <w:tr>
        <w:tc>
          <w:tcPr>
            <w:tcW w:w="2920" w:type="dxa"/>
            <w:tcBorders>
              <w:top w:val="nil"/>
              <w:left w:val="nil"/>
              <w:bottom w:val="nil"/>
              <w:right w:val="nil"/>
            </w:tcBorders>
            <w:vAlign w:val="center"/>
          </w:tcPr>
          <w:p>
            <w:pPr>
              <w:pStyle w:val="yTableNAm"/>
              <w:rPr>
                <w:szCs w:val="22"/>
              </w:rPr>
            </w:pPr>
            <w:r>
              <w:rPr>
                <w:szCs w:val="22"/>
              </w:rPr>
              <w:t>Brunswick/Burekup/Roelands</w:t>
            </w:r>
          </w:p>
        </w:tc>
        <w:tc>
          <w:tcPr>
            <w:tcW w:w="1800" w:type="dxa"/>
            <w:tcBorders>
              <w:top w:val="nil"/>
              <w:left w:val="nil"/>
              <w:bottom w:val="nil"/>
              <w:right w:val="nil"/>
            </w:tcBorders>
            <w:vAlign w:val="bottom"/>
          </w:tcPr>
          <w:p>
            <w:pPr>
              <w:pStyle w:val="yTableNAm"/>
              <w:jc w:val="center"/>
              <w:rPr>
                <w:sz w:val="24"/>
                <w:szCs w:val="24"/>
              </w:rPr>
            </w:pPr>
            <w:r>
              <w:t>3</w:t>
            </w:r>
          </w:p>
        </w:tc>
        <w:tc>
          <w:tcPr>
            <w:tcW w:w="1800" w:type="dxa"/>
            <w:tcBorders>
              <w:top w:val="nil"/>
              <w:left w:val="nil"/>
              <w:bottom w:val="nil"/>
              <w:right w:val="nil"/>
            </w:tcBorders>
            <w:vAlign w:val="bottom"/>
          </w:tcPr>
          <w:p>
            <w:pPr>
              <w:pStyle w:val="yTableNAm"/>
              <w:jc w:val="center"/>
              <w:rPr>
                <w:sz w:val="24"/>
                <w:szCs w:val="24"/>
              </w:rPr>
            </w:pPr>
            <w:r>
              <w:t>6</w:t>
            </w:r>
          </w:p>
        </w:tc>
      </w:tr>
      <w:tr>
        <w:tc>
          <w:tcPr>
            <w:tcW w:w="2920" w:type="dxa"/>
            <w:tcBorders>
              <w:top w:val="nil"/>
              <w:left w:val="nil"/>
              <w:bottom w:val="nil"/>
              <w:right w:val="nil"/>
            </w:tcBorders>
            <w:vAlign w:val="center"/>
          </w:tcPr>
          <w:p>
            <w:pPr>
              <w:pStyle w:val="yTableNAm"/>
              <w:rPr>
                <w:szCs w:val="22"/>
              </w:rPr>
            </w:pPr>
            <w:r>
              <w:rPr>
                <w:szCs w:val="22"/>
              </w:rPr>
              <w:t>Bullaring</w:t>
            </w:r>
          </w:p>
        </w:tc>
        <w:tc>
          <w:tcPr>
            <w:tcW w:w="1800" w:type="dxa"/>
            <w:tcBorders>
              <w:top w:val="nil"/>
              <w:left w:val="nil"/>
              <w:bottom w:val="nil"/>
              <w:right w:val="nil"/>
            </w:tcBorders>
            <w:vAlign w:val="bottom"/>
          </w:tcPr>
          <w:p>
            <w:pPr>
              <w:pStyle w:val="yTableNAm"/>
              <w:jc w:val="center"/>
              <w:rPr>
                <w:sz w:val="24"/>
                <w:szCs w:val="24"/>
              </w:rPr>
            </w:pPr>
            <w:r>
              <w:t>5</w:t>
            </w:r>
          </w:p>
        </w:tc>
        <w:tc>
          <w:tcPr>
            <w:tcW w:w="1800" w:type="dxa"/>
            <w:tcBorders>
              <w:top w:val="nil"/>
              <w:left w:val="nil"/>
              <w:bottom w:val="nil"/>
              <w:right w:val="nil"/>
            </w:tcBorders>
            <w:vAlign w:val="bottom"/>
          </w:tcPr>
          <w:p>
            <w:pPr>
              <w:pStyle w:val="yTableNAm"/>
              <w:jc w:val="center"/>
              <w:rPr>
                <w:sz w:val="24"/>
                <w:szCs w:val="24"/>
              </w:rPr>
            </w:pPr>
            <w:r>
              <w:t>12</w:t>
            </w:r>
          </w:p>
        </w:tc>
      </w:tr>
      <w:tr>
        <w:tc>
          <w:tcPr>
            <w:tcW w:w="2920" w:type="dxa"/>
            <w:tcBorders>
              <w:top w:val="nil"/>
              <w:left w:val="nil"/>
              <w:bottom w:val="nil"/>
              <w:right w:val="nil"/>
            </w:tcBorders>
            <w:vAlign w:val="center"/>
          </w:tcPr>
          <w:p>
            <w:pPr>
              <w:pStyle w:val="yTableNAm"/>
              <w:rPr>
                <w:szCs w:val="22"/>
              </w:rPr>
            </w:pPr>
            <w:r>
              <w:rPr>
                <w:szCs w:val="22"/>
              </w:rPr>
              <w:t>Bullfinch</w:t>
            </w:r>
          </w:p>
        </w:tc>
        <w:tc>
          <w:tcPr>
            <w:tcW w:w="1800" w:type="dxa"/>
            <w:tcBorders>
              <w:top w:val="nil"/>
              <w:left w:val="nil"/>
              <w:bottom w:val="nil"/>
              <w:right w:val="nil"/>
            </w:tcBorders>
            <w:vAlign w:val="bottom"/>
          </w:tcPr>
          <w:p>
            <w:pPr>
              <w:pStyle w:val="yTableNAm"/>
              <w:jc w:val="center"/>
              <w:rPr>
                <w:sz w:val="24"/>
                <w:szCs w:val="24"/>
              </w:rPr>
            </w:pPr>
            <w:r>
              <w:t>5</w:t>
            </w:r>
          </w:p>
        </w:tc>
        <w:tc>
          <w:tcPr>
            <w:tcW w:w="1800" w:type="dxa"/>
            <w:tcBorders>
              <w:top w:val="nil"/>
              <w:left w:val="nil"/>
              <w:bottom w:val="nil"/>
              <w:right w:val="nil"/>
            </w:tcBorders>
            <w:vAlign w:val="bottom"/>
          </w:tcPr>
          <w:p>
            <w:pPr>
              <w:pStyle w:val="yTableNAm"/>
              <w:jc w:val="center"/>
              <w:rPr>
                <w:sz w:val="24"/>
                <w:szCs w:val="24"/>
              </w:rPr>
            </w:pPr>
            <w:r>
              <w:t>15</w:t>
            </w:r>
          </w:p>
        </w:tc>
      </w:tr>
      <w:tr>
        <w:tc>
          <w:tcPr>
            <w:tcW w:w="2920" w:type="dxa"/>
            <w:tcBorders>
              <w:top w:val="nil"/>
              <w:left w:val="nil"/>
              <w:bottom w:val="nil"/>
              <w:right w:val="nil"/>
            </w:tcBorders>
            <w:vAlign w:val="center"/>
          </w:tcPr>
          <w:p>
            <w:pPr>
              <w:pStyle w:val="yTableNAm"/>
              <w:rPr>
                <w:szCs w:val="22"/>
              </w:rPr>
            </w:pPr>
            <w:r>
              <w:rPr>
                <w:szCs w:val="22"/>
              </w:rPr>
              <w:t>Bunjil</w:t>
            </w:r>
          </w:p>
        </w:tc>
        <w:tc>
          <w:tcPr>
            <w:tcW w:w="1800" w:type="dxa"/>
            <w:tcBorders>
              <w:top w:val="nil"/>
              <w:left w:val="nil"/>
              <w:bottom w:val="nil"/>
              <w:right w:val="nil"/>
            </w:tcBorders>
            <w:vAlign w:val="bottom"/>
          </w:tcPr>
          <w:p>
            <w:pPr>
              <w:pStyle w:val="yTableNAm"/>
              <w:jc w:val="center"/>
              <w:rPr>
                <w:sz w:val="24"/>
                <w:szCs w:val="24"/>
              </w:rPr>
            </w:pPr>
            <w:r>
              <w:t>5</w:t>
            </w:r>
          </w:p>
        </w:tc>
        <w:tc>
          <w:tcPr>
            <w:tcW w:w="1800" w:type="dxa"/>
            <w:tcBorders>
              <w:top w:val="nil"/>
              <w:left w:val="nil"/>
              <w:bottom w:val="nil"/>
              <w:right w:val="nil"/>
            </w:tcBorders>
            <w:vAlign w:val="bottom"/>
          </w:tcPr>
          <w:p>
            <w:pPr>
              <w:pStyle w:val="yTableNAm"/>
              <w:jc w:val="center"/>
              <w:rPr>
                <w:sz w:val="24"/>
                <w:szCs w:val="24"/>
              </w:rPr>
            </w:pPr>
            <w:r>
              <w:t>14</w:t>
            </w:r>
          </w:p>
        </w:tc>
      </w:tr>
      <w:tr>
        <w:tc>
          <w:tcPr>
            <w:tcW w:w="2920" w:type="dxa"/>
            <w:tcBorders>
              <w:top w:val="nil"/>
              <w:left w:val="nil"/>
              <w:bottom w:val="nil"/>
              <w:right w:val="nil"/>
            </w:tcBorders>
            <w:vAlign w:val="center"/>
          </w:tcPr>
          <w:p>
            <w:pPr>
              <w:pStyle w:val="yTableNAm"/>
              <w:rPr>
                <w:szCs w:val="22"/>
              </w:rPr>
            </w:pPr>
            <w:r>
              <w:rPr>
                <w:szCs w:val="22"/>
              </w:rPr>
              <w:t>Buntine</w:t>
            </w:r>
          </w:p>
        </w:tc>
        <w:tc>
          <w:tcPr>
            <w:tcW w:w="1800" w:type="dxa"/>
            <w:tcBorders>
              <w:top w:val="nil"/>
              <w:left w:val="nil"/>
              <w:bottom w:val="nil"/>
              <w:right w:val="nil"/>
            </w:tcBorders>
            <w:vAlign w:val="bottom"/>
          </w:tcPr>
          <w:p>
            <w:pPr>
              <w:pStyle w:val="yTableNAm"/>
              <w:jc w:val="center"/>
              <w:rPr>
                <w:sz w:val="24"/>
                <w:szCs w:val="24"/>
              </w:rPr>
            </w:pPr>
            <w:r>
              <w:t>5</w:t>
            </w:r>
          </w:p>
        </w:tc>
        <w:tc>
          <w:tcPr>
            <w:tcW w:w="1800" w:type="dxa"/>
            <w:tcBorders>
              <w:top w:val="nil"/>
              <w:left w:val="nil"/>
              <w:bottom w:val="nil"/>
              <w:right w:val="nil"/>
            </w:tcBorders>
            <w:vAlign w:val="bottom"/>
          </w:tcPr>
          <w:p>
            <w:pPr>
              <w:pStyle w:val="yTableNAm"/>
              <w:jc w:val="center"/>
              <w:rPr>
                <w:sz w:val="24"/>
                <w:szCs w:val="24"/>
              </w:rPr>
            </w:pPr>
            <w:r>
              <w:t>15</w:t>
            </w:r>
          </w:p>
        </w:tc>
      </w:tr>
      <w:tr>
        <w:tc>
          <w:tcPr>
            <w:tcW w:w="2920" w:type="dxa"/>
            <w:tcBorders>
              <w:top w:val="nil"/>
              <w:left w:val="nil"/>
              <w:bottom w:val="nil"/>
              <w:right w:val="nil"/>
            </w:tcBorders>
            <w:vAlign w:val="center"/>
          </w:tcPr>
          <w:p>
            <w:pPr>
              <w:pStyle w:val="yTableNAm"/>
              <w:rPr>
                <w:szCs w:val="22"/>
              </w:rPr>
            </w:pPr>
            <w:r>
              <w:rPr>
                <w:szCs w:val="22"/>
              </w:rPr>
              <w:t>Burracoppin</w:t>
            </w:r>
          </w:p>
        </w:tc>
        <w:tc>
          <w:tcPr>
            <w:tcW w:w="1800" w:type="dxa"/>
            <w:tcBorders>
              <w:top w:val="nil"/>
              <w:left w:val="nil"/>
              <w:bottom w:val="nil"/>
              <w:right w:val="nil"/>
            </w:tcBorders>
            <w:vAlign w:val="bottom"/>
          </w:tcPr>
          <w:p>
            <w:pPr>
              <w:pStyle w:val="yTableNAm"/>
              <w:jc w:val="center"/>
              <w:rPr>
                <w:sz w:val="24"/>
                <w:szCs w:val="24"/>
              </w:rPr>
            </w:pPr>
            <w:r>
              <w:t>5</w:t>
            </w:r>
          </w:p>
        </w:tc>
        <w:tc>
          <w:tcPr>
            <w:tcW w:w="1800" w:type="dxa"/>
            <w:tcBorders>
              <w:top w:val="nil"/>
              <w:left w:val="nil"/>
              <w:bottom w:val="nil"/>
              <w:right w:val="nil"/>
            </w:tcBorders>
            <w:vAlign w:val="bottom"/>
          </w:tcPr>
          <w:p>
            <w:pPr>
              <w:pStyle w:val="yTableNAm"/>
              <w:jc w:val="center"/>
              <w:rPr>
                <w:sz w:val="24"/>
                <w:szCs w:val="24"/>
              </w:rPr>
            </w:pPr>
            <w:r>
              <w:t>10</w:t>
            </w:r>
          </w:p>
        </w:tc>
      </w:tr>
      <w:tr>
        <w:tc>
          <w:tcPr>
            <w:tcW w:w="2920" w:type="dxa"/>
            <w:tcBorders>
              <w:top w:val="nil"/>
              <w:left w:val="nil"/>
              <w:bottom w:val="nil"/>
              <w:right w:val="nil"/>
            </w:tcBorders>
            <w:vAlign w:val="center"/>
          </w:tcPr>
          <w:p>
            <w:pPr>
              <w:pStyle w:val="yTableNAm"/>
              <w:rPr>
                <w:szCs w:val="22"/>
              </w:rPr>
            </w:pPr>
            <w:r>
              <w:rPr>
                <w:szCs w:val="22"/>
              </w:rPr>
              <w:t>Calingiri</w:t>
            </w:r>
          </w:p>
        </w:tc>
        <w:tc>
          <w:tcPr>
            <w:tcW w:w="1800" w:type="dxa"/>
            <w:tcBorders>
              <w:top w:val="nil"/>
              <w:left w:val="nil"/>
              <w:bottom w:val="nil"/>
              <w:right w:val="nil"/>
            </w:tcBorders>
            <w:vAlign w:val="bottom"/>
          </w:tcPr>
          <w:p>
            <w:pPr>
              <w:pStyle w:val="yTableNAm"/>
              <w:jc w:val="center"/>
              <w:rPr>
                <w:sz w:val="24"/>
                <w:szCs w:val="24"/>
              </w:rPr>
            </w:pPr>
            <w:r>
              <w:t>5</w:t>
            </w:r>
          </w:p>
        </w:tc>
        <w:tc>
          <w:tcPr>
            <w:tcW w:w="1800" w:type="dxa"/>
            <w:tcBorders>
              <w:top w:val="nil"/>
              <w:left w:val="nil"/>
              <w:bottom w:val="nil"/>
              <w:right w:val="nil"/>
            </w:tcBorders>
            <w:vAlign w:val="bottom"/>
          </w:tcPr>
          <w:p>
            <w:pPr>
              <w:pStyle w:val="yTableNAm"/>
              <w:jc w:val="center"/>
              <w:rPr>
                <w:sz w:val="24"/>
                <w:szCs w:val="24"/>
              </w:rPr>
            </w:pPr>
            <w:r>
              <w:t>12</w:t>
            </w:r>
          </w:p>
        </w:tc>
      </w:tr>
      <w:tr>
        <w:tc>
          <w:tcPr>
            <w:tcW w:w="2920" w:type="dxa"/>
            <w:tcBorders>
              <w:top w:val="nil"/>
              <w:left w:val="nil"/>
              <w:bottom w:val="nil"/>
              <w:right w:val="nil"/>
            </w:tcBorders>
            <w:vAlign w:val="center"/>
          </w:tcPr>
          <w:p>
            <w:pPr>
              <w:pStyle w:val="yTableNAm"/>
              <w:rPr>
                <w:szCs w:val="22"/>
              </w:rPr>
            </w:pPr>
            <w:r>
              <w:rPr>
                <w:szCs w:val="22"/>
              </w:rPr>
              <w:t>Camballin</w:t>
            </w:r>
          </w:p>
        </w:tc>
        <w:tc>
          <w:tcPr>
            <w:tcW w:w="1800" w:type="dxa"/>
            <w:tcBorders>
              <w:top w:val="nil"/>
              <w:left w:val="nil"/>
              <w:bottom w:val="nil"/>
              <w:right w:val="nil"/>
            </w:tcBorders>
            <w:vAlign w:val="bottom"/>
          </w:tcPr>
          <w:p>
            <w:pPr>
              <w:pStyle w:val="yTableNAm"/>
              <w:jc w:val="center"/>
              <w:rPr>
                <w:sz w:val="24"/>
                <w:szCs w:val="24"/>
              </w:rPr>
            </w:pPr>
            <w:r>
              <w:t>5</w:t>
            </w:r>
          </w:p>
        </w:tc>
        <w:tc>
          <w:tcPr>
            <w:tcW w:w="1800" w:type="dxa"/>
            <w:tcBorders>
              <w:top w:val="nil"/>
              <w:left w:val="nil"/>
              <w:bottom w:val="nil"/>
              <w:right w:val="nil"/>
            </w:tcBorders>
            <w:vAlign w:val="bottom"/>
          </w:tcPr>
          <w:p>
            <w:pPr>
              <w:pStyle w:val="yTableNAm"/>
              <w:jc w:val="center"/>
              <w:rPr>
                <w:sz w:val="24"/>
                <w:szCs w:val="24"/>
              </w:rPr>
            </w:pPr>
            <w:r>
              <w:t>14</w:t>
            </w:r>
          </w:p>
        </w:tc>
      </w:tr>
      <w:tr>
        <w:tc>
          <w:tcPr>
            <w:tcW w:w="2920" w:type="dxa"/>
            <w:tcBorders>
              <w:top w:val="nil"/>
              <w:left w:val="nil"/>
              <w:bottom w:val="nil"/>
              <w:right w:val="nil"/>
            </w:tcBorders>
            <w:vAlign w:val="center"/>
          </w:tcPr>
          <w:p>
            <w:pPr>
              <w:pStyle w:val="yTableNAm"/>
              <w:rPr>
                <w:szCs w:val="22"/>
              </w:rPr>
            </w:pPr>
            <w:r>
              <w:rPr>
                <w:szCs w:val="22"/>
              </w:rPr>
              <w:t>Capel</w:t>
            </w:r>
          </w:p>
        </w:tc>
        <w:tc>
          <w:tcPr>
            <w:tcW w:w="1800" w:type="dxa"/>
            <w:tcBorders>
              <w:top w:val="nil"/>
              <w:left w:val="nil"/>
              <w:bottom w:val="nil"/>
              <w:right w:val="nil"/>
            </w:tcBorders>
            <w:vAlign w:val="bottom"/>
          </w:tcPr>
          <w:p>
            <w:pPr>
              <w:pStyle w:val="yTableNAm"/>
              <w:jc w:val="center"/>
              <w:rPr>
                <w:sz w:val="24"/>
                <w:szCs w:val="24"/>
              </w:rPr>
            </w:pPr>
            <w:r>
              <w:t>2</w:t>
            </w:r>
          </w:p>
        </w:tc>
        <w:tc>
          <w:tcPr>
            <w:tcW w:w="1800" w:type="dxa"/>
            <w:tcBorders>
              <w:top w:val="nil"/>
              <w:left w:val="nil"/>
              <w:bottom w:val="nil"/>
              <w:right w:val="nil"/>
            </w:tcBorders>
            <w:vAlign w:val="bottom"/>
          </w:tcPr>
          <w:p>
            <w:pPr>
              <w:pStyle w:val="yTableNAm"/>
              <w:jc w:val="center"/>
              <w:rPr>
                <w:sz w:val="24"/>
                <w:szCs w:val="24"/>
              </w:rPr>
            </w:pPr>
            <w:r>
              <w:t>5</w:t>
            </w:r>
          </w:p>
        </w:tc>
      </w:tr>
      <w:tr>
        <w:tc>
          <w:tcPr>
            <w:tcW w:w="2920" w:type="dxa"/>
            <w:tcBorders>
              <w:top w:val="nil"/>
              <w:left w:val="nil"/>
              <w:bottom w:val="nil"/>
              <w:right w:val="nil"/>
            </w:tcBorders>
            <w:vAlign w:val="center"/>
          </w:tcPr>
          <w:p>
            <w:pPr>
              <w:pStyle w:val="yTableNAm"/>
              <w:rPr>
                <w:szCs w:val="22"/>
              </w:rPr>
            </w:pPr>
            <w:r>
              <w:rPr>
                <w:szCs w:val="22"/>
              </w:rPr>
              <w:t>Carnamah</w:t>
            </w:r>
          </w:p>
        </w:tc>
        <w:tc>
          <w:tcPr>
            <w:tcW w:w="1800" w:type="dxa"/>
            <w:tcBorders>
              <w:top w:val="nil"/>
              <w:left w:val="nil"/>
              <w:bottom w:val="nil"/>
              <w:right w:val="nil"/>
            </w:tcBorders>
            <w:vAlign w:val="bottom"/>
          </w:tcPr>
          <w:p>
            <w:pPr>
              <w:pStyle w:val="yTableNAm"/>
              <w:jc w:val="center"/>
              <w:rPr>
                <w:sz w:val="24"/>
                <w:szCs w:val="24"/>
              </w:rPr>
            </w:pPr>
            <w:r>
              <w:t>4</w:t>
            </w:r>
          </w:p>
        </w:tc>
        <w:tc>
          <w:tcPr>
            <w:tcW w:w="1800" w:type="dxa"/>
            <w:tcBorders>
              <w:top w:val="nil"/>
              <w:left w:val="nil"/>
              <w:bottom w:val="nil"/>
              <w:right w:val="nil"/>
            </w:tcBorders>
            <w:vAlign w:val="bottom"/>
          </w:tcPr>
          <w:p>
            <w:pPr>
              <w:pStyle w:val="yTableNAm"/>
              <w:jc w:val="center"/>
              <w:rPr>
                <w:sz w:val="24"/>
                <w:szCs w:val="24"/>
              </w:rPr>
            </w:pPr>
            <w:r>
              <w:t>10</w:t>
            </w:r>
          </w:p>
        </w:tc>
      </w:tr>
      <w:tr>
        <w:tc>
          <w:tcPr>
            <w:tcW w:w="2920" w:type="dxa"/>
            <w:tcBorders>
              <w:top w:val="nil"/>
              <w:left w:val="nil"/>
              <w:bottom w:val="nil"/>
              <w:right w:val="nil"/>
            </w:tcBorders>
            <w:vAlign w:val="center"/>
          </w:tcPr>
          <w:p>
            <w:pPr>
              <w:pStyle w:val="yTableNAm"/>
              <w:rPr>
                <w:szCs w:val="22"/>
              </w:rPr>
            </w:pPr>
            <w:r>
              <w:rPr>
                <w:szCs w:val="22"/>
              </w:rPr>
              <w:t>Carnarvon</w:t>
            </w:r>
          </w:p>
        </w:tc>
        <w:tc>
          <w:tcPr>
            <w:tcW w:w="1800" w:type="dxa"/>
            <w:tcBorders>
              <w:top w:val="nil"/>
              <w:left w:val="nil"/>
              <w:bottom w:val="nil"/>
              <w:right w:val="nil"/>
            </w:tcBorders>
            <w:vAlign w:val="bottom"/>
          </w:tcPr>
          <w:p>
            <w:pPr>
              <w:pStyle w:val="yTableNAm"/>
              <w:jc w:val="center"/>
              <w:rPr>
                <w:sz w:val="24"/>
                <w:szCs w:val="24"/>
              </w:rPr>
            </w:pPr>
            <w:r>
              <w:t>4</w:t>
            </w:r>
          </w:p>
        </w:tc>
        <w:tc>
          <w:tcPr>
            <w:tcW w:w="1800" w:type="dxa"/>
            <w:tcBorders>
              <w:top w:val="nil"/>
              <w:left w:val="nil"/>
              <w:bottom w:val="nil"/>
              <w:right w:val="nil"/>
            </w:tcBorders>
            <w:vAlign w:val="bottom"/>
          </w:tcPr>
          <w:p>
            <w:pPr>
              <w:pStyle w:val="yTableNAm"/>
              <w:jc w:val="center"/>
              <w:rPr>
                <w:sz w:val="24"/>
                <w:szCs w:val="24"/>
              </w:rPr>
            </w:pPr>
            <w:r>
              <w:t>10</w:t>
            </w:r>
          </w:p>
        </w:tc>
      </w:tr>
      <w:tr>
        <w:tc>
          <w:tcPr>
            <w:tcW w:w="2920" w:type="dxa"/>
            <w:tcBorders>
              <w:top w:val="nil"/>
              <w:left w:val="nil"/>
              <w:bottom w:val="nil"/>
              <w:right w:val="nil"/>
            </w:tcBorders>
            <w:vAlign w:val="center"/>
          </w:tcPr>
          <w:p>
            <w:pPr>
              <w:pStyle w:val="yTableNAm"/>
              <w:rPr>
                <w:szCs w:val="22"/>
              </w:rPr>
            </w:pPr>
            <w:r>
              <w:rPr>
                <w:szCs w:val="22"/>
              </w:rPr>
              <w:t>Caron</w:t>
            </w:r>
          </w:p>
        </w:tc>
        <w:tc>
          <w:tcPr>
            <w:tcW w:w="1800" w:type="dxa"/>
            <w:tcBorders>
              <w:top w:val="nil"/>
              <w:left w:val="nil"/>
              <w:bottom w:val="nil"/>
              <w:right w:val="nil"/>
            </w:tcBorders>
            <w:vAlign w:val="bottom"/>
          </w:tcPr>
          <w:p>
            <w:pPr>
              <w:pStyle w:val="yTableNAm"/>
              <w:jc w:val="center"/>
              <w:rPr>
                <w:sz w:val="24"/>
                <w:szCs w:val="24"/>
              </w:rPr>
            </w:pPr>
            <w:r>
              <w:t>5</w:t>
            </w:r>
          </w:p>
        </w:tc>
        <w:tc>
          <w:tcPr>
            <w:tcW w:w="1800" w:type="dxa"/>
            <w:tcBorders>
              <w:top w:val="nil"/>
              <w:left w:val="nil"/>
              <w:bottom w:val="nil"/>
              <w:right w:val="nil"/>
            </w:tcBorders>
            <w:vAlign w:val="bottom"/>
          </w:tcPr>
          <w:p>
            <w:pPr>
              <w:pStyle w:val="yTableNAm"/>
              <w:jc w:val="center"/>
              <w:rPr>
                <w:sz w:val="24"/>
                <w:szCs w:val="24"/>
              </w:rPr>
            </w:pPr>
            <w:r>
              <w:t>14</w:t>
            </w:r>
          </w:p>
        </w:tc>
      </w:tr>
      <w:tr>
        <w:tc>
          <w:tcPr>
            <w:tcW w:w="2920" w:type="dxa"/>
            <w:tcBorders>
              <w:top w:val="nil"/>
              <w:left w:val="nil"/>
              <w:bottom w:val="nil"/>
              <w:right w:val="nil"/>
            </w:tcBorders>
            <w:vAlign w:val="center"/>
          </w:tcPr>
          <w:p>
            <w:pPr>
              <w:pStyle w:val="yTableNAm"/>
              <w:rPr>
                <w:szCs w:val="22"/>
              </w:rPr>
            </w:pPr>
            <w:r>
              <w:rPr>
                <w:szCs w:val="22"/>
              </w:rPr>
              <w:t>Cervantes</w:t>
            </w:r>
          </w:p>
        </w:tc>
        <w:tc>
          <w:tcPr>
            <w:tcW w:w="1800" w:type="dxa"/>
            <w:tcBorders>
              <w:top w:val="nil"/>
              <w:left w:val="nil"/>
              <w:bottom w:val="nil"/>
              <w:right w:val="nil"/>
            </w:tcBorders>
            <w:vAlign w:val="bottom"/>
          </w:tcPr>
          <w:p>
            <w:pPr>
              <w:pStyle w:val="yTableNAm"/>
              <w:jc w:val="center"/>
              <w:rPr>
                <w:sz w:val="24"/>
                <w:szCs w:val="24"/>
              </w:rPr>
            </w:pPr>
            <w:r>
              <w:t>4</w:t>
            </w:r>
          </w:p>
        </w:tc>
        <w:tc>
          <w:tcPr>
            <w:tcW w:w="1800" w:type="dxa"/>
            <w:tcBorders>
              <w:top w:val="nil"/>
              <w:left w:val="nil"/>
              <w:bottom w:val="nil"/>
              <w:right w:val="nil"/>
            </w:tcBorders>
            <w:vAlign w:val="bottom"/>
          </w:tcPr>
          <w:p>
            <w:pPr>
              <w:pStyle w:val="yTableNAm"/>
              <w:jc w:val="center"/>
              <w:rPr>
                <w:sz w:val="24"/>
                <w:szCs w:val="24"/>
              </w:rPr>
            </w:pPr>
            <w:r>
              <w:t>6</w:t>
            </w:r>
          </w:p>
        </w:tc>
      </w:tr>
      <w:tr>
        <w:tc>
          <w:tcPr>
            <w:tcW w:w="2920" w:type="dxa"/>
            <w:tcBorders>
              <w:top w:val="nil"/>
              <w:left w:val="nil"/>
              <w:bottom w:val="nil"/>
              <w:right w:val="nil"/>
            </w:tcBorders>
            <w:vAlign w:val="center"/>
          </w:tcPr>
          <w:p>
            <w:pPr>
              <w:pStyle w:val="yTableNAm"/>
              <w:rPr>
                <w:szCs w:val="22"/>
              </w:rPr>
            </w:pPr>
            <w:r>
              <w:rPr>
                <w:szCs w:val="22"/>
              </w:rPr>
              <w:t>Collie</w:t>
            </w:r>
          </w:p>
        </w:tc>
        <w:tc>
          <w:tcPr>
            <w:tcW w:w="1800" w:type="dxa"/>
            <w:tcBorders>
              <w:top w:val="nil"/>
              <w:left w:val="nil"/>
              <w:bottom w:val="nil"/>
              <w:right w:val="nil"/>
            </w:tcBorders>
            <w:vAlign w:val="bottom"/>
          </w:tcPr>
          <w:p>
            <w:pPr>
              <w:pStyle w:val="yTableNAm"/>
              <w:jc w:val="center"/>
              <w:rPr>
                <w:sz w:val="24"/>
                <w:szCs w:val="24"/>
              </w:rPr>
            </w:pPr>
            <w:r>
              <w:t>2</w:t>
            </w:r>
          </w:p>
        </w:tc>
        <w:tc>
          <w:tcPr>
            <w:tcW w:w="1800" w:type="dxa"/>
            <w:tcBorders>
              <w:top w:val="nil"/>
              <w:left w:val="nil"/>
              <w:bottom w:val="nil"/>
              <w:right w:val="nil"/>
            </w:tcBorders>
            <w:vAlign w:val="bottom"/>
          </w:tcPr>
          <w:p>
            <w:pPr>
              <w:pStyle w:val="yTableNAm"/>
              <w:jc w:val="center"/>
              <w:rPr>
                <w:sz w:val="24"/>
                <w:szCs w:val="24"/>
              </w:rPr>
            </w:pPr>
            <w:r>
              <w:t>6</w:t>
            </w:r>
          </w:p>
        </w:tc>
      </w:tr>
      <w:tr>
        <w:tc>
          <w:tcPr>
            <w:tcW w:w="2920" w:type="dxa"/>
            <w:tcBorders>
              <w:top w:val="nil"/>
              <w:left w:val="nil"/>
              <w:bottom w:val="nil"/>
              <w:right w:val="nil"/>
            </w:tcBorders>
            <w:vAlign w:val="center"/>
          </w:tcPr>
          <w:p>
            <w:pPr>
              <w:pStyle w:val="yTableNAm"/>
              <w:rPr>
                <w:szCs w:val="22"/>
              </w:rPr>
            </w:pPr>
            <w:r>
              <w:rPr>
                <w:szCs w:val="22"/>
              </w:rPr>
              <w:t>Collie Farmlands</w:t>
            </w:r>
          </w:p>
        </w:tc>
        <w:tc>
          <w:tcPr>
            <w:tcW w:w="1800" w:type="dxa"/>
            <w:tcBorders>
              <w:top w:val="nil"/>
              <w:left w:val="nil"/>
              <w:bottom w:val="nil"/>
              <w:right w:val="nil"/>
            </w:tcBorders>
            <w:vAlign w:val="bottom"/>
          </w:tcPr>
          <w:p>
            <w:pPr>
              <w:pStyle w:val="yTableNAm"/>
              <w:jc w:val="center"/>
              <w:rPr>
                <w:sz w:val="24"/>
                <w:szCs w:val="24"/>
              </w:rPr>
            </w:pPr>
            <w:r>
              <w:t>1</w:t>
            </w:r>
          </w:p>
        </w:tc>
        <w:tc>
          <w:tcPr>
            <w:tcW w:w="1800" w:type="dxa"/>
            <w:tcBorders>
              <w:top w:val="nil"/>
              <w:left w:val="nil"/>
              <w:bottom w:val="nil"/>
              <w:right w:val="nil"/>
            </w:tcBorders>
            <w:vAlign w:val="bottom"/>
          </w:tcPr>
          <w:p>
            <w:pPr>
              <w:pStyle w:val="yTableNAm"/>
              <w:jc w:val="center"/>
              <w:rPr>
                <w:sz w:val="24"/>
                <w:szCs w:val="24"/>
              </w:rPr>
            </w:pPr>
            <w:r>
              <w:t>1</w:t>
            </w:r>
          </w:p>
        </w:tc>
      </w:tr>
      <w:tr>
        <w:tc>
          <w:tcPr>
            <w:tcW w:w="2920" w:type="dxa"/>
            <w:tcBorders>
              <w:top w:val="nil"/>
              <w:left w:val="nil"/>
              <w:bottom w:val="nil"/>
              <w:right w:val="nil"/>
            </w:tcBorders>
            <w:vAlign w:val="center"/>
          </w:tcPr>
          <w:p>
            <w:pPr>
              <w:pStyle w:val="yTableNAm"/>
              <w:rPr>
                <w:szCs w:val="22"/>
              </w:rPr>
            </w:pPr>
            <w:r>
              <w:rPr>
                <w:szCs w:val="22"/>
              </w:rPr>
              <w:t>Condingup</w:t>
            </w:r>
          </w:p>
        </w:tc>
        <w:tc>
          <w:tcPr>
            <w:tcW w:w="1800" w:type="dxa"/>
            <w:tcBorders>
              <w:top w:val="nil"/>
              <w:left w:val="nil"/>
              <w:bottom w:val="nil"/>
              <w:right w:val="nil"/>
            </w:tcBorders>
            <w:vAlign w:val="bottom"/>
          </w:tcPr>
          <w:p>
            <w:pPr>
              <w:pStyle w:val="yTableNAm"/>
              <w:jc w:val="center"/>
              <w:rPr>
                <w:sz w:val="24"/>
                <w:szCs w:val="24"/>
              </w:rPr>
            </w:pPr>
            <w:r>
              <w:t>5</w:t>
            </w:r>
          </w:p>
        </w:tc>
        <w:tc>
          <w:tcPr>
            <w:tcW w:w="1800" w:type="dxa"/>
            <w:tcBorders>
              <w:top w:val="nil"/>
              <w:left w:val="nil"/>
              <w:bottom w:val="nil"/>
              <w:right w:val="nil"/>
            </w:tcBorders>
            <w:vAlign w:val="bottom"/>
          </w:tcPr>
          <w:p>
            <w:pPr>
              <w:pStyle w:val="yTableNAm"/>
              <w:jc w:val="center"/>
              <w:rPr>
                <w:sz w:val="24"/>
                <w:szCs w:val="24"/>
              </w:rPr>
            </w:pPr>
            <w:r>
              <w:t>14</w:t>
            </w:r>
          </w:p>
        </w:tc>
      </w:tr>
      <w:tr>
        <w:tc>
          <w:tcPr>
            <w:tcW w:w="2920" w:type="dxa"/>
            <w:tcBorders>
              <w:top w:val="nil"/>
              <w:left w:val="nil"/>
              <w:bottom w:val="nil"/>
              <w:right w:val="nil"/>
            </w:tcBorders>
            <w:vAlign w:val="center"/>
          </w:tcPr>
          <w:p>
            <w:pPr>
              <w:pStyle w:val="yTableNAm"/>
              <w:rPr>
                <w:szCs w:val="22"/>
              </w:rPr>
            </w:pPr>
            <w:r>
              <w:rPr>
                <w:szCs w:val="22"/>
              </w:rPr>
              <w:t>Coolgardie</w:t>
            </w:r>
          </w:p>
        </w:tc>
        <w:tc>
          <w:tcPr>
            <w:tcW w:w="1800" w:type="dxa"/>
            <w:tcBorders>
              <w:top w:val="nil"/>
              <w:left w:val="nil"/>
              <w:bottom w:val="nil"/>
              <w:right w:val="nil"/>
            </w:tcBorders>
            <w:vAlign w:val="bottom"/>
          </w:tcPr>
          <w:p>
            <w:pPr>
              <w:pStyle w:val="yTableNAm"/>
              <w:jc w:val="center"/>
              <w:rPr>
                <w:sz w:val="24"/>
                <w:szCs w:val="24"/>
              </w:rPr>
            </w:pPr>
            <w:r>
              <w:t>5</w:t>
            </w:r>
          </w:p>
        </w:tc>
        <w:tc>
          <w:tcPr>
            <w:tcW w:w="1800" w:type="dxa"/>
            <w:tcBorders>
              <w:top w:val="nil"/>
              <w:left w:val="nil"/>
              <w:bottom w:val="nil"/>
              <w:right w:val="nil"/>
            </w:tcBorders>
            <w:vAlign w:val="bottom"/>
          </w:tcPr>
          <w:p>
            <w:pPr>
              <w:pStyle w:val="yTableNAm"/>
              <w:jc w:val="center"/>
              <w:rPr>
                <w:sz w:val="24"/>
                <w:szCs w:val="24"/>
              </w:rPr>
            </w:pPr>
            <w:r>
              <w:t>12</w:t>
            </w:r>
          </w:p>
        </w:tc>
      </w:tr>
      <w:tr>
        <w:tc>
          <w:tcPr>
            <w:tcW w:w="2920" w:type="dxa"/>
            <w:tcBorders>
              <w:top w:val="nil"/>
              <w:left w:val="nil"/>
              <w:bottom w:val="nil"/>
              <w:right w:val="nil"/>
            </w:tcBorders>
            <w:vAlign w:val="center"/>
          </w:tcPr>
          <w:p>
            <w:pPr>
              <w:pStyle w:val="yTableNAm"/>
              <w:rPr>
                <w:szCs w:val="22"/>
              </w:rPr>
            </w:pPr>
            <w:r>
              <w:rPr>
                <w:szCs w:val="22"/>
              </w:rPr>
              <w:t>Coomberdale</w:t>
            </w:r>
          </w:p>
        </w:tc>
        <w:tc>
          <w:tcPr>
            <w:tcW w:w="1800" w:type="dxa"/>
            <w:tcBorders>
              <w:top w:val="nil"/>
              <w:left w:val="nil"/>
              <w:bottom w:val="nil"/>
              <w:right w:val="nil"/>
            </w:tcBorders>
            <w:vAlign w:val="bottom"/>
          </w:tcPr>
          <w:p>
            <w:pPr>
              <w:pStyle w:val="yTableNAm"/>
              <w:jc w:val="center"/>
              <w:rPr>
                <w:sz w:val="24"/>
                <w:szCs w:val="24"/>
              </w:rPr>
            </w:pPr>
            <w:r>
              <w:t>5</w:t>
            </w:r>
          </w:p>
        </w:tc>
        <w:tc>
          <w:tcPr>
            <w:tcW w:w="1800" w:type="dxa"/>
            <w:tcBorders>
              <w:top w:val="nil"/>
              <w:left w:val="nil"/>
              <w:bottom w:val="nil"/>
              <w:right w:val="nil"/>
            </w:tcBorders>
            <w:vAlign w:val="bottom"/>
          </w:tcPr>
          <w:p>
            <w:pPr>
              <w:pStyle w:val="yTableNAm"/>
              <w:jc w:val="center"/>
              <w:rPr>
                <w:sz w:val="24"/>
                <w:szCs w:val="24"/>
              </w:rPr>
            </w:pPr>
            <w:r>
              <w:t>15</w:t>
            </w:r>
          </w:p>
        </w:tc>
      </w:tr>
      <w:tr>
        <w:tc>
          <w:tcPr>
            <w:tcW w:w="2920" w:type="dxa"/>
            <w:tcBorders>
              <w:top w:val="nil"/>
              <w:left w:val="nil"/>
              <w:bottom w:val="nil"/>
              <w:right w:val="nil"/>
            </w:tcBorders>
            <w:vAlign w:val="center"/>
          </w:tcPr>
          <w:p>
            <w:pPr>
              <w:pStyle w:val="yTableNAm"/>
              <w:rPr>
                <w:szCs w:val="22"/>
              </w:rPr>
            </w:pPr>
            <w:r>
              <w:rPr>
                <w:szCs w:val="22"/>
              </w:rPr>
              <w:t>Coorow</w:t>
            </w:r>
          </w:p>
        </w:tc>
        <w:tc>
          <w:tcPr>
            <w:tcW w:w="1800" w:type="dxa"/>
            <w:tcBorders>
              <w:top w:val="nil"/>
              <w:left w:val="nil"/>
              <w:bottom w:val="nil"/>
              <w:right w:val="nil"/>
            </w:tcBorders>
            <w:vAlign w:val="bottom"/>
          </w:tcPr>
          <w:p>
            <w:pPr>
              <w:pStyle w:val="yTableNAm"/>
              <w:jc w:val="center"/>
              <w:rPr>
                <w:sz w:val="24"/>
                <w:szCs w:val="24"/>
              </w:rPr>
            </w:pPr>
            <w:r>
              <w:t>5</w:t>
            </w:r>
          </w:p>
        </w:tc>
        <w:tc>
          <w:tcPr>
            <w:tcW w:w="1800" w:type="dxa"/>
            <w:tcBorders>
              <w:top w:val="nil"/>
              <w:left w:val="nil"/>
              <w:bottom w:val="nil"/>
              <w:right w:val="nil"/>
            </w:tcBorders>
            <w:vAlign w:val="bottom"/>
          </w:tcPr>
          <w:p>
            <w:pPr>
              <w:pStyle w:val="yTableNAm"/>
              <w:jc w:val="center"/>
              <w:rPr>
                <w:sz w:val="24"/>
                <w:szCs w:val="24"/>
              </w:rPr>
            </w:pPr>
            <w:r>
              <w:t>10</w:t>
            </w:r>
          </w:p>
        </w:tc>
      </w:tr>
      <w:tr>
        <w:tc>
          <w:tcPr>
            <w:tcW w:w="2920" w:type="dxa"/>
            <w:tcBorders>
              <w:top w:val="nil"/>
              <w:left w:val="nil"/>
              <w:bottom w:val="nil"/>
              <w:right w:val="nil"/>
            </w:tcBorders>
            <w:vAlign w:val="center"/>
          </w:tcPr>
          <w:p>
            <w:pPr>
              <w:pStyle w:val="yTableNAm"/>
              <w:rPr>
                <w:szCs w:val="22"/>
              </w:rPr>
            </w:pPr>
            <w:r>
              <w:rPr>
                <w:szCs w:val="22"/>
              </w:rPr>
              <w:t>Coral Bay</w:t>
            </w:r>
          </w:p>
        </w:tc>
        <w:tc>
          <w:tcPr>
            <w:tcW w:w="1800" w:type="dxa"/>
            <w:tcBorders>
              <w:top w:val="nil"/>
              <w:left w:val="nil"/>
              <w:bottom w:val="nil"/>
              <w:right w:val="nil"/>
            </w:tcBorders>
            <w:vAlign w:val="bottom"/>
          </w:tcPr>
          <w:p>
            <w:pPr>
              <w:pStyle w:val="yTableNAm"/>
              <w:jc w:val="center"/>
              <w:rPr>
                <w:sz w:val="24"/>
                <w:szCs w:val="24"/>
              </w:rPr>
            </w:pPr>
            <w:r>
              <w:t>5</w:t>
            </w:r>
          </w:p>
        </w:tc>
        <w:tc>
          <w:tcPr>
            <w:tcW w:w="1800" w:type="dxa"/>
            <w:tcBorders>
              <w:top w:val="nil"/>
              <w:left w:val="nil"/>
              <w:bottom w:val="nil"/>
              <w:right w:val="nil"/>
            </w:tcBorders>
            <w:vAlign w:val="bottom"/>
          </w:tcPr>
          <w:p>
            <w:pPr>
              <w:pStyle w:val="yTableNAm"/>
              <w:jc w:val="center"/>
              <w:rPr>
                <w:sz w:val="24"/>
                <w:szCs w:val="24"/>
              </w:rPr>
            </w:pPr>
            <w:r>
              <w:t>N/A</w:t>
            </w:r>
          </w:p>
        </w:tc>
      </w:tr>
      <w:tr>
        <w:tc>
          <w:tcPr>
            <w:tcW w:w="2920" w:type="dxa"/>
            <w:tcBorders>
              <w:top w:val="nil"/>
              <w:left w:val="nil"/>
              <w:bottom w:val="nil"/>
              <w:right w:val="nil"/>
            </w:tcBorders>
            <w:vAlign w:val="center"/>
          </w:tcPr>
          <w:p>
            <w:pPr>
              <w:pStyle w:val="yTableNAm"/>
              <w:rPr>
                <w:szCs w:val="22"/>
              </w:rPr>
            </w:pPr>
            <w:r>
              <w:rPr>
                <w:szCs w:val="22"/>
              </w:rPr>
              <w:t>Corrigin</w:t>
            </w:r>
          </w:p>
        </w:tc>
        <w:tc>
          <w:tcPr>
            <w:tcW w:w="1800" w:type="dxa"/>
            <w:tcBorders>
              <w:top w:val="nil"/>
              <w:left w:val="nil"/>
              <w:bottom w:val="nil"/>
              <w:right w:val="nil"/>
            </w:tcBorders>
            <w:vAlign w:val="bottom"/>
          </w:tcPr>
          <w:p>
            <w:pPr>
              <w:pStyle w:val="yTableNAm"/>
              <w:jc w:val="center"/>
              <w:rPr>
                <w:sz w:val="24"/>
                <w:szCs w:val="24"/>
              </w:rPr>
            </w:pPr>
            <w:r>
              <w:t>5</w:t>
            </w:r>
          </w:p>
        </w:tc>
        <w:tc>
          <w:tcPr>
            <w:tcW w:w="1800" w:type="dxa"/>
            <w:tcBorders>
              <w:top w:val="nil"/>
              <w:left w:val="nil"/>
              <w:bottom w:val="nil"/>
              <w:right w:val="nil"/>
            </w:tcBorders>
            <w:vAlign w:val="bottom"/>
          </w:tcPr>
          <w:p>
            <w:pPr>
              <w:pStyle w:val="yTableNAm"/>
              <w:jc w:val="center"/>
              <w:rPr>
                <w:sz w:val="24"/>
                <w:szCs w:val="24"/>
              </w:rPr>
            </w:pPr>
            <w:r>
              <w:t>14</w:t>
            </w:r>
          </w:p>
        </w:tc>
      </w:tr>
      <w:tr>
        <w:tc>
          <w:tcPr>
            <w:tcW w:w="2920" w:type="dxa"/>
            <w:tcBorders>
              <w:top w:val="nil"/>
              <w:left w:val="nil"/>
              <w:bottom w:val="nil"/>
              <w:right w:val="nil"/>
            </w:tcBorders>
            <w:vAlign w:val="center"/>
          </w:tcPr>
          <w:p>
            <w:pPr>
              <w:pStyle w:val="yTableNAm"/>
              <w:rPr>
                <w:szCs w:val="22"/>
              </w:rPr>
            </w:pPr>
            <w:r>
              <w:rPr>
                <w:szCs w:val="22"/>
              </w:rPr>
              <w:t>Cowaramup</w:t>
            </w:r>
          </w:p>
        </w:tc>
        <w:tc>
          <w:tcPr>
            <w:tcW w:w="1800" w:type="dxa"/>
            <w:tcBorders>
              <w:top w:val="nil"/>
              <w:left w:val="nil"/>
              <w:bottom w:val="nil"/>
              <w:right w:val="nil"/>
            </w:tcBorders>
            <w:vAlign w:val="bottom"/>
          </w:tcPr>
          <w:p>
            <w:pPr>
              <w:pStyle w:val="yTableNAm"/>
              <w:jc w:val="center"/>
              <w:rPr>
                <w:sz w:val="24"/>
                <w:szCs w:val="24"/>
              </w:rPr>
            </w:pPr>
            <w:r>
              <w:t>5</w:t>
            </w:r>
          </w:p>
        </w:tc>
        <w:tc>
          <w:tcPr>
            <w:tcW w:w="1800" w:type="dxa"/>
            <w:tcBorders>
              <w:top w:val="nil"/>
              <w:left w:val="nil"/>
              <w:bottom w:val="nil"/>
              <w:right w:val="nil"/>
            </w:tcBorders>
            <w:vAlign w:val="bottom"/>
          </w:tcPr>
          <w:p>
            <w:pPr>
              <w:pStyle w:val="yTableNAm"/>
              <w:jc w:val="center"/>
              <w:rPr>
                <w:sz w:val="24"/>
                <w:szCs w:val="24"/>
              </w:rPr>
            </w:pPr>
            <w:r>
              <w:t>12</w:t>
            </w:r>
          </w:p>
        </w:tc>
      </w:tr>
      <w:tr>
        <w:tc>
          <w:tcPr>
            <w:tcW w:w="2920" w:type="dxa"/>
            <w:tcBorders>
              <w:top w:val="nil"/>
              <w:left w:val="nil"/>
              <w:bottom w:val="nil"/>
              <w:right w:val="nil"/>
            </w:tcBorders>
            <w:vAlign w:val="center"/>
          </w:tcPr>
          <w:p>
            <w:pPr>
              <w:pStyle w:val="yTableNAm"/>
              <w:rPr>
                <w:szCs w:val="22"/>
              </w:rPr>
            </w:pPr>
            <w:r>
              <w:rPr>
                <w:szCs w:val="22"/>
              </w:rPr>
              <w:t>Cranbrook</w:t>
            </w:r>
          </w:p>
        </w:tc>
        <w:tc>
          <w:tcPr>
            <w:tcW w:w="1800" w:type="dxa"/>
            <w:tcBorders>
              <w:top w:val="nil"/>
              <w:left w:val="nil"/>
              <w:bottom w:val="nil"/>
              <w:right w:val="nil"/>
            </w:tcBorders>
            <w:vAlign w:val="bottom"/>
          </w:tcPr>
          <w:p>
            <w:pPr>
              <w:pStyle w:val="yTableNAm"/>
              <w:jc w:val="center"/>
              <w:rPr>
                <w:sz w:val="24"/>
                <w:szCs w:val="24"/>
              </w:rPr>
            </w:pPr>
            <w:r>
              <w:t>5</w:t>
            </w:r>
          </w:p>
        </w:tc>
        <w:tc>
          <w:tcPr>
            <w:tcW w:w="1800" w:type="dxa"/>
            <w:tcBorders>
              <w:top w:val="nil"/>
              <w:left w:val="nil"/>
              <w:bottom w:val="nil"/>
              <w:right w:val="nil"/>
            </w:tcBorders>
            <w:vAlign w:val="bottom"/>
          </w:tcPr>
          <w:p>
            <w:pPr>
              <w:pStyle w:val="yTableNAm"/>
              <w:jc w:val="center"/>
              <w:rPr>
                <w:sz w:val="24"/>
                <w:szCs w:val="24"/>
              </w:rPr>
            </w:pPr>
            <w:r>
              <w:t>14</w:t>
            </w:r>
          </w:p>
        </w:tc>
      </w:tr>
      <w:tr>
        <w:tc>
          <w:tcPr>
            <w:tcW w:w="2920" w:type="dxa"/>
            <w:tcBorders>
              <w:top w:val="nil"/>
              <w:left w:val="nil"/>
              <w:bottom w:val="nil"/>
              <w:right w:val="nil"/>
            </w:tcBorders>
            <w:vAlign w:val="center"/>
          </w:tcPr>
          <w:p>
            <w:pPr>
              <w:pStyle w:val="yTableNAm"/>
              <w:rPr>
                <w:szCs w:val="22"/>
              </w:rPr>
            </w:pPr>
            <w:r>
              <w:rPr>
                <w:szCs w:val="22"/>
              </w:rPr>
              <w:t>Cuballing</w:t>
            </w:r>
          </w:p>
        </w:tc>
        <w:tc>
          <w:tcPr>
            <w:tcW w:w="1800" w:type="dxa"/>
            <w:tcBorders>
              <w:top w:val="nil"/>
              <w:left w:val="nil"/>
              <w:bottom w:val="nil"/>
              <w:right w:val="nil"/>
            </w:tcBorders>
            <w:vAlign w:val="bottom"/>
          </w:tcPr>
          <w:p>
            <w:pPr>
              <w:pStyle w:val="yTableNAm"/>
              <w:jc w:val="center"/>
              <w:rPr>
                <w:sz w:val="24"/>
                <w:szCs w:val="24"/>
              </w:rPr>
            </w:pPr>
            <w:r>
              <w:t>5</w:t>
            </w:r>
          </w:p>
        </w:tc>
        <w:tc>
          <w:tcPr>
            <w:tcW w:w="1800" w:type="dxa"/>
            <w:tcBorders>
              <w:top w:val="nil"/>
              <w:left w:val="nil"/>
              <w:bottom w:val="nil"/>
              <w:right w:val="nil"/>
            </w:tcBorders>
            <w:vAlign w:val="bottom"/>
          </w:tcPr>
          <w:p>
            <w:pPr>
              <w:pStyle w:val="yTableNAm"/>
              <w:jc w:val="center"/>
              <w:rPr>
                <w:sz w:val="24"/>
                <w:szCs w:val="24"/>
              </w:rPr>
            </w:pPr>
            <w:r>
              <w:t>12</w:t>
            </w:r>
          </w:p>
        </w:tc>
      </w:tr>
      <w:tr>
        <w:tc>
          <w:tcPr>
            <w:tcW w:w="2920" w:type="dxa"/>
            <w:tcBorders>
              <w:top w:val="nil"/>
              <w:left w:val="nil"/>
              <w:bottom w:val="nil"/>
              <w:right w:val="nil"/>
            </w:tcBorders>
            <w:vAlign w:val="center"/>
          </w:tcPr>
          <w:p>
            <w:pPr>
              <w:pStyle w:val="yTableNAm"/>
              <w:rPr>
                <w:szCs w:val="22"/>
              </w:rPr>
            </w:pPr>
            <w:r>
              <w:rPr>
                <w:szCs w:val="22"/>
              </w:rPr>
              <w:t>Cue</w:t>
            </w:r>
          </w:p>
        </w:tc>
        <w:tc>
          <w:tcPr>
            <w:tcW w:w="1800" w:type="dxa"/>
            <w:tcBorders>
              <w:top w:val="nil"/>
              <w:left w:val="nil"/>
              <w:bottom w:val="nil"/>
              <w:right w:val="nil"/>
            </w:tcBorders>
            <w:vAlign w:val="bottom"/>
          </w:tcPr>
          <w:p>
            <w:pPr>
              <w:pStyle w:val="yTableNAm"/>
              <w:jc w:val="center"/>
              <w:rPr>
                <w:sz w:val="24"/>
                <w:szCs w:val="24"/>
              </w:rPr>
            </w:pPr>
            <w:r>
              <w:t>5</w:t>
            </w:r>
          </w:p>
        </w:tc>
        <w:tc>
          <w:tcPr>
            <w:tcW w:w="1800" w:type="dxa"/>
            <w:tcBorders>
              <w:top w:val="nil"/>
              <w:left w:val="nil"/>
              <w:bottom w:val="nil"/>
              <w:right w:val="nil"/>
            </w:tcBorders>
            <w:vAlign w:val="bottom"/>
          </w:tcPr>
          <w:p>
            <w:pPr>
              <w:pStyle w:val="yTableNAm"/>
              <w:jc w:val="center"/>
              <w:rPr>
                <w:sz w:val="24"/>
                <w:szCs w:val="24"/>
              </w:rPr>
            </w:pPr>
            <w:r>
              <w:t>12</w:t>
            </w:r>
          </w:p>
        </w:tc>
      </w:tr>
      <w:tr>
        <w:tc>
          <w:tcPr>
            <w:tcW w:w="2920" w:type="dxa"/>
            <w:tcBorders>
              <w:top w:val="nil"/>
              <w:left w:val="nil"/>
              <w:bottom w:val="nil"/>
              <w:right w:val="nil"/>
            </w:tcBorders>
            <w:vAlign w:val="center"/>
          </w:tcPr>
          <w:p>
            <w:pPr>
              <w:pStyle w:val="yTableNAm"/>
              <w:rPr>
                <w:szCs w:val="22"/>
              </w:rPr>
            </w:pPr>
            <w:r>
              <w:rPr>
                <w:szCs w:val="22"/>
              </w:rPr>
              <w:t>Cunderdin</w:t>
            </w:r>
          </w:p>
        </w:tc>
        <w:tc>
          <w:tcPr>
            <w:tcW w:w="1800" w:type="dxa"/>
            <w:tcBorders>
              <w:top w:val="nil"/>
              <w:left w:val="nil"/>
              <w:bottom w:val="nil"/>
              <w:right w:val="nil"/>
            </w:tcBorders>
            <w:vAlign w:val="bottom"/>
          </w:tcPr>
          <w:p>
            <w:pPr>
              <w:pStyle w:val="yTableNAm"/>
              <w:jc w:val="center"/>
              <w:rPr>
                <w:sz w:val="24"/>
                <w:szCs w:val="24"/>
              </w:rPr>
            </w:pPr>
            <w:r>
              <w:t>5</w:t>
            </w:r>
          </w:p>
        </w:tc>
        <w:tc>
          <w:tcPr>
            <w:tcW w:w="1800" w:type="dxa"/>
            <w:tcBorders>
              <w:top w:val="nil"/>
              <w:left w:val="nil"/>
              <w:bottom w:val="nil"/>
              <w:right w:val="nil"/>
            </w:tcBorders>
            <w:vAlign w:val="bottom"/>
          </w:tcPr>
          <w:p>
            <w:pPr>
              <w:pStyle w:val="yTableNAm"/>
              <w:jc w:val="center"/>
              <w:rPr>
                <w:sz w:val="24"/>
                <w:szCs w:val="24"/>
              </w:rPr>
            </w:pPr>
            <w:r>
              <w:t>6</w:t>
            </w:r>
          </w:p>
        </w:tc>
      </w:tr>
      <w:tr>
        <w:tc>
          <w:tcPr>
            <w:tcW w:w="2920" w:type="dxa"/>
            <w:tcBorders>
              <w:top w:val="nil"/>
              <w:left w:val="nil"/>
              <w:bottom w:val="nil"/>
              <w:right w:val="nil"/>
            </w:tcBorders>
            <w:vAlign w:val="center"/>
          </w:tcPr>
          <w:p>
            <w:pPr>
              <w:pStyle w:val="yTableNAm"/>
              <w:rPr>
                <w:szCs w:val="22"/>
              </w:rPr>
            </w:pPr>
            <w:r>
              <w:rPr>
                <w:szCs w:val="22"/>
              </w:rPr>
              <w:t>Dalwallinu</w:t>
            </w:r>
          </w:p>
        </w:tc>
        <w:tc>
          <w:tcPr>
            <w:tcW w:w="1800" w:type="dxa"/>
            <w:tcBorders>
              <w:top w:val="nil"/>
              <w:left w:val="nil"/>
              <w:bottom w:val="nil"/>
              <w:right w:val="nil"/>
            </w:tcBorders>
            <w:vAlign w:val="bottom"/>
          </w:tcPr>
          <w:p>
            <w:pPr>
              <w:pStyle w:val="yTableNAm"/>
              <w:jc w:val="center"/>
              <w:rPr>
                <w:sz w:val="24"/>
                <w:szCs w:val="24"/>
              </w:rPr>
            </w:pPr>
            <w:r>
              <w:t>5</w:t>
            </w:r>
          </w:p>
        </w:tc>
        <w:tc>
          <w:tcPr>
            <w:tcW w:w="1800" w:type="dxa"/>
            <w:tcBorders>
              <w:top w:val="nil"/>
              <w:left w:val="nil"/>
              <w:bottom w:val="nil"/>
              <w:right w:val="nil"/>
            </w:tcBorders>
            <w:vAlign w:val="bottom"/>
          </w:tcPr>
          <w:p>
            <w:pPr>
              <w:pStyle w:val="yTableNAm"/>
              <w:jc w:val="center"/>
              <w:rPr>
                <w:sz w:val="24"/>
                <w:szCs w:val="24"/>
              </w:rPr>
            </w:pPr>
            <w:r>
              <w:t>12</w:t>
            </w:r>
          </w:p>
        </w:tc>
      </w:tr>
      <w:tr>
        <w:tc>
          <w:tcPr>
            <w:tcW w:w="2920" w:type="dxa"/>
            <w:tcBorders>
              <w:top w:val="nil"/>
              <w:left w:val="nil"/>
              <w:bottom w:val="nil"/>
              <w:right w:val="nil"/>
            </w:tcBorders>
            <w:vAlign w:val="center"/>
          </w:tcPr>
          <w:p>
            <w:pPr>
              <w:pStyle w:val="yTableNAm"/>
              <w:rPr>
                <w:szCs w:val="22"/>
              </w:rPr>
            </w:pPr>
            <w:r>
              <w:rPr>
                <w:szCs w:val="22"/>
              </w:rPr>
              <w:t>Dalyellup</w:t>
            </w:r>
          </w:p>
        </w:tc>
        <w:tc>
          <w:tcPr>
            <w:tcW w:w="1800" w:type="dxa"/>
            <w:tcBorders>
              <w:top w:val="nil"/>
              <w:left w:val="nil"/>
              <w:bottom w:val="nil"/>
              <w:right w:val="nil"/>
            </w:tcBorders>
            <w:vAlign w:val="bottom"/>
          </w:tcPr>
          <w:p>
            <w:pPr>
              <w:pStyle w:val="yTableNAm"/>
              <w:jc w:val="center"/>
              <w:rPr>
                <w:sz w:val="24"/>
                <w:szCs w:val="24"/>
              </w:rPr>
            </w:pPr>
            <w:r>
              <w:t>2</w:t>
            </w:r>
          </w:p>
        </w:tc>
        <w:tc>
          <w:tcPr>
            <w:tcW w:w="1800" w:type="dxa"/>
            <w:tcBorders>
              <w:top w:val="nil"/>
              <w:left w:val="nil"/>
              <w:bottom w:val="nil"/>
              <w:right w:val="nil"/>
            </w:tcBorders>
            <w:vAlign w:val="bottom"/>
          </w:tcPr>
          <w:p>
            <w:pPr>
              <w:pStyle w:val="yTableNAm"/>
              <w:jc w:val="center"/>
              <w:rPr>
                <w:sz w:val="24"/>
                <w:szCs w:val="24"/>
              </w:rPr>
            </w:pPr>
            <w:r>
              <w:t>4</w:t>
            </w:r>
          </w:p>
        </w:tc>
      </w:tr>
      <w:tr>
        <w:tc>
          <w:tcPr>
            <w:tcW w:w="2920" w:type="dxa"/>
            <w:tcBorders>
              <w:top w:val="nil"/>
              <w:left w:val="nil"/>
              <w:bottom w:val="nil"/>
              <w:right w:val="nil"/>
            </w:tcBorders>
            <w:vAlign w:val="center"/>
          </w:tcPr>
          <w:p>
            <w:pPr>
              <w:pStyle w:val="yTableNAm"/>
              <w:rPr>
                <w:szCs w:val="22"/>
              </w:rPr>
            </w:pPr>
            <w:r>
              <w:rPr>
                <w:szCs w:val="22"/>
              </w:rPr>
              <w:t>Dandaragan</w:t>
            </w:r>
          </w:p>
        </w:tc>
        <w:tc>
          <w:tcPr>
            <w:tcW w:w="1800" w:type="dxa"/>
            <w:tcBorders>
              <w:top w:val="nil"/>
              <w:left w:val="nil"/>
              <w:bottom w:val="nil"/>
              <w:right w:val="nil"/>
            </w:tcBorders>
            <w:vAlign w:val="bottom"/>
          </w:tcPr>
          <w:p>
            <w:pPr>
              <w:pStyle w:val="yTableNAm"/>
              <w:jc w:val="center"/>
              <w:rPr>
                <w:sz w:val="24"/>
                <w:szCs w:val="24"/>
              </w:rPr>
            </w:pPr>
            <w:r>
              <w:t>5</w:t>
            </w:r>
          </w:p>
        </w:tc>
        <w:tc>
          <w:tcPr>
            <w:tcW w:w="1800" w:type="dxa"/>
            <w:tcBorders>
              <w:top w:val="nil"/>
              <w:left w:val="nil"/>
              <w:bottom w:val="nil"/>
              <w:right w:val="nil"/>
            </w:tcBorders>
            <w:vAlign w:val="bottom"/>
          </w:tcPr>
          <w:p>
            <w:pPr>
              <w:pStyle w:val="yTableNAm"/>
              <w:jc w:val="center"/>
              <w:rPr>
                <w:sz w:val="24"/>
                <w:szCs w:val="24"/>
              </w:rPr>
            </w:pPr>
            <w:r>
              <w:t>14</w:t>
            </w:r>
          </w:p>
        </w:tc>
      </w:tr>
      <w:tr>
        <w:tc>
          <w:tcPr>
            <w:tcW w:w="2920" w:type="dxa"/>
            <w:tcBorders>
              <w:top w:val="nil"/>
              <w:left w:val="nil"/>
              <w:bottom w:val="nil"/>
              <w:right w:val="nil"/>
            </w:tcBorders>
          </w:tcPr>
          <w:p>
            <w:pPr>
              <w:pStyle w:val="yTableNAm"/>
              <w:rPr>
                <w:szCs w:val="22"/>
              </w:rPr>
            </w:pPr>
            <w:r>
              <w:rPr>
                <w:szCs w:val="22"/>
              </w:rPr>
              <w:t>Dardanup</w:t>
            </w:r>
          </w:p>
        </w:tc>
        <w:tc>
          <w:tcPr>
            <w:tcW w:w="1800" w:type="dxa"/>
            <w:tcBorders>
              <w:top w:val="nil"/>
              <w:left w:val="nil"/>
              <w:bottom w:val="nil"/>
              <w:right w:val="nil"/>
            </w:tcBorders>
            <w:vAlign w:val="bottom"/>
          </w:tcPr>
          <w:p>
            <w:pPr>
              <w:pStyle w:val="yTableNAm"/>
              <w:jc w:val="center"/>
              <w:rPr>
                <w:sz w:val="24"/>
                <w:szCs w:val="24"/>
              </w:rPr>
            </w:pPr>
            <w:r>
              <w:t>5</w:t>
            </w:r>
          </w:p>
        </w:tc>
        <w:tc>
          <w:tcPr>
            <w:tcW w:w="1800" w:type="dxa"/>
            <w:tcBorders>
              <w:top w:val="nil"/>
              <w:left w:val="nil"/>
              <w:bottom w:val="nil"/>
              <w:right w:val="nil"/>
            </w:tcBorders>
            <w:vAlign w:val="bottom"/>
          </w:tcPr>
          <w:p>
            <w:pPr>
              <w:pStyle w:val="yTableNAm"/>
              <w:jc w:val="center"/>
              <w:rPr>
                <w:sz w:val="24"/>
                <w:szCs w:val="24"/>
              </w:rPr>
            </w:pPr>
            <w:r>
              <w:t>12</w:t>
            </w:r>
          </w:p>
        </w:tc>
      </w:tr>
      <w:tr>
        <w:tc>
          <w:tcPr>
            <w:tcW w:w="2920" w:type="dxa"/>
            <w:tcBorders>
              <w:top w:val="nil"/>
              <w:left w:val="nil"/>
              <w:bottom w:val="nil"/>
              <w:right w:val="nil"/>
            </w:tcBorders>
            <w:vAlign w:val="center"/>
          </w:tcPr>
          <w:p>
            <w:pPr>
              <w:pStyle w:val="yTableNAm"/>
              <w:rPr>
                <w:szCs w:val="22"/>
              </w:rPr>
            </w:pPr>
            <w:r>
              <w:rPr>
                <w:szCs w:val="22"/>
              </w:rPr>
              <w:t>Darkan</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10</w:t>
            </w:r>
          </w:p>
        </w:tc>
      </w:tr>
      <w:tr>
        <w:tc>
          <w:tcPr>
            <w:tcW w:w="2920" w:type="dxa"/>
            <w:tcBorders>
              <w:top w:val="nil"/>
              <w:left w:val="nil"/>
              <w:bottom w:val="nil"/>
              <w:right w:val="nil"/>
            </w:tcBorders>
            <w:vAlign w:val="center"/>
          </w:tcPr>
          <w:p>
            <w:pPr>
              <w:pStyle w:val="yTableNAm"/>
              <w:rPr>
                <w:szCs w:val="22"/>
              </w:rPr>
            </w:pPr>
            <w:r>
              <w:rPr>
                <w:szCs w:val="22"/>
              </w:rPr>
              <w:t>Dathagnoorara Farmlands</w:t>
            </w:r>
          </w:p>
        </w:tc>
        <w:tc>
          <w:tcPr>
            <w:tcW w:w="1800" w:type="dxa"/>
            <w:tcBorders>
              <w:top w:val="nil"/>
              <w:left w:val="nil"/>
              <w:bottom w:val="nil"/>
              <w:right w:val="nil"/>
            </w:tcBorders>
            <w:vAlign w:val="bottom"/>
          </w:tcPr>
          <w:p>
            <w:pPr>
              <w:pStyle w:val="yTableNAm"/>
              <w:jc w:val="center"/>
              <w:rPr>
                <w:szCs w:val="22"/>
              </w:rPr>
            </w:pPr>
            <w:r>
              <w:rPr>
                <w:szCs w:val="22"/>
              </w:rPr>
              <w:t>3</w:t>
            </w:r>
          </w:p>
        </w:tc>
        <w:tc>
          <w:tcPr>
            <w:tcW w:w="1800" w:type="dxa"/>
            <w:tcBorders>
              <w:top w:val="nil"/>
              <w:left w:val="nil"/>
              <w:bottom w:val="nil"/>
              <w:right w:val="nil"/>
            </w:tcBorders>
            <w:vAlign w:val="bottom"/>
          </w:tcPr>
          <w:p>
            <w:pPr>
              <w:pStyle w:val="yTableNAm"/>
              <w:jc w:val="center"/>
              <w:rPr>
                <w:szCs w:val="22"/>
              </w:rPr>
            </w:pPr>
            <w:r>
              <w:rPr>
                <w:szCs w:val="22"/>
              </w:rPr>
              <w:t>6</w:t>
            </w:r>
          </w:p>
        </w:tc>
      </w:tr>
      <w:tr>
        <w:tc>
          <w:tcPr>
            <w:tcW w:w="2920" w:type="dxa"/>
            <w:tcBorders>
              <w:top w:val="nil"/>
              <w:left w:val="nil"/>
              <w:bottom w:val="nil"/>
              <w:right w:val="nil"/>
            </w:tcBorders>
            <w:vAlign w:val="center"/>
          </w:tcPr>
          <w:p>
            <w:pPr>
              <w:pStyle w:val="yTableNAm"/>
              <w:rPr>
                <w:szCs w:val="22"/>
              </w:rPr>
            </w:pPr>
            <w:r>
              <w:rPr>
                <w:szCs w:val="22"/>
              </w:rPr>
              <w:t>Denham (Saline)</w:t>
            </w:r>
          </w:p>
        </w:tc>
        <w:tc>
          <w:tcPr>
            <w:tcW w:w="1800" w:type="dxa"/>
            <w:tcBorders>
              <w:top w:val="nil"/>
              <w:left w:val="nil"/>
              <w:bottom w:val="nil"/>
              <w:right w:val="nil"/>
            </w:tcBorders>
            <w:vAlign w:val="bottom"/>
          </w:tcPr>
          <w:p>
            <w:pPr>
              <w:pStyle w:val="yTableNAm"/>
              <w:jc w:val="center"/>
              <w:rPr>
                <w:szCs w:val="22"/>
              </w:rPr>
            </w:pPr>
            <w:r>
              <w:rPr>
                <w:szCs w:val="22"/>
              </w:rPr>
              <w:t>2</w:t>
            </w:r>
          </w:p>
        </w:tc>
        <w:tc>
          <w:tcPr>
            <w:tcW w:w="1800" w:type="dxa"/>
            <w:tcBorders>
              <w:top w:val="nil"/>
              <w:left w:val="nil"/>
              <w:bottom w:val="nil"/>
              <w:right w:val="nil"/>
            </w:tcBorders>
            <w:vAlign w:val="bottom"/>
          </w:tcPr>
          <w:p>
            <w:pPr>
              <w:pStyle w:val="yTableNAm"/>
              <w:jc w:val="center"/>
              <w:rPr>
                <w:szCs w:val="22"/>
              </w:rPr>
            </w:pPr>
            <w:r>
              <w:rPr>
                <w:szCs w:val="22"/>
              </w:rPr>
              <w:t>5</w:t>
            </w:r>
          </w:p>
        </w:tc>
      </w:tr>
      <w:tr>
        <w:tc>
          <w:tcPr>
            <w:tcW w:w="2920" w:type="dxa"/>
            <w:tcBorders>
              <w:top w:val="nil"/>
              <w:left w:val="nil"/>
              <w:bottom w:val="nil"/>
              <w:right w:val="nil"/>
            </w:tcBorders>
            <w:vAlign w:val="center"/>
          </w:tcPr>
          <w:p>
            <w:pPr>
              <w:pStyle w:val="yTableNAm"/>
              <w:rPr>
                <w:szCs w:val="22"/>
              </w:rPr>
            </w:pPr>
            <w:r>
              <w:rPr>
                <w:szCs w:val="22"/>
              </w:rPr>
              <w:t>Denmark</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14</w:t>
            </w:r>
          </w:p>
        </w:tc>
      </w:tr>
      <w:tr>
        <w:tc>
          <w:tcPr>
            <w:tcW w:w="2920" w:type="dxa"/>
            <w:tcBorders>
              <w:top w:val="nil"/>
              <w:left w:val="nil"/>
              <w:bottom w:val="nil"/>
              <w:right w:val="nil"/>
            </w:tcBorders>
            <w:vAlign w:val="center"/>
          </w:tcPr>
          <w:p>
            <w:pPr>
              <w:pStyle w:val="yTableNAm"/>
              <w:rPr>
                <w:szCs w:val="22"/>
              </w:rPr>
            </w:pPr>
            <w:r>
              <w:rPr>
                <w:szCs w:val="22"/>
              </w:rPr>
              <w:t>Derby</w:t>
            </w:r>
          </w:p>
        </w:tc>
        <w:tc>
          <w:tcPr>
            <w:tcW w:w="1800" w:type="dxa"/>
            <w:tcBorders>
              <w:top w:val="nil"/>
              <w:left w:val="nil"/>
              <w:bottom w:val="nil"/>
              <w:right w:val="nil"/>
            </w:tcBorders>
            <w:vAlign w:val="bottom"/>
          </w:tcPr>
          <w:p>
            <w:pPr>
              <w:pStyle w:val="yTableNAm"/>
              <w:jc w:val="center"/>
              <w:rPr>
                <w:szCs w:val="22"/>
              </w:rPr>
            </w:pPr>
            <w:r>
              <w:rPr>
                <w:szCs w:val="22"/>
              </w:rPr>
              <w:t>2</w:t>
            </w:r>
          </w:p>
        </w:tc>
        <w:tc>
          <w:tcPr>
            <w:tcW w:w="1800" w:type="dxa"/>
            <w:tcBorders>
              <w:top w:val="nil"/>
              <w:left w:val="nil"/>
              <w:bottom w:val="nil"/>
              <w:right w:val="nil"/>
            </w:tcBorders>
            <w:vAlign w:val="bottom"/>
          </w:tcPr>
          <w:p>
            <w:pPr>
              <w:pStyle w:val="yTableNAm"/>
              <w:jc w:val="center"/>
              <w:rPr>
                <w:szCs w:val="22"/>
              </w:rPr>
            </w:pPr>
            <w:r>
              <w:rPr>
                <w:szCs w:val="22"/>
              </w:rPr>
              <w:t>5</w:t>
            </w:r>
          </w:p>
        </w:tc>
      </w:tr>
      <w:tr>
        <w:tc>
          <w:tcPr>
            <w:tcW w:w="2920" w:type="dxa"/>
            <w:tcBorders>
              <w:top w:val="nil"/>
              <w:left w:val="nil"/>
              <w:bottom w:val="nil"/>
              <w:right w:val="nil"/>
            </w:tcBorders>
            <w:vAlign w:val="center"/>
          </w:tcPr>
          <w:p>
            <w:pPr>
              <w:pStyle w:val="yTableNAm"/>
              <w:rPr>
                <w:szCs w:val="22"/>
              </w:rPr>
            </w:pPr>
            <w:r>
              <w:rPr>
                <w:szCs w:val="22"/>
              </w:rPr>
              <w:t>Dongara/Denison</w:t>
            </w:r>
          </w:p>
        </w:tc>
        <w:tc>
          <w:tcPr>
            <w:tcW w:w="1800" w:type="dxa"/>
            <w:tcBorders>
              <w:top w:val="nil"/>
              <w:left w:val="nil"/>
              <w:bottom w:val="nil"/>
              <w:right w:val="nil"/>
            </w:tcBorders>
            <w:vAlign w:val="bottom"/>
          </w:tcPr>
          <w:p>
            <w:pPr>
              <w:pStyle w:val="yTableNAm"/>
              <w:jc w:val="center"/>
              <w:rPr>
                <w:szCs w:val="22"/>
              </w:rPr>
            </w:pPr>
            <w:r>
              <w:rPr>
                <w:szCs w:val="22"/>
              </w:rPr>
              <w:t>2</w:t>
            </w:r>
          </w:p>
        </w:tc>
        <w:tc>
          <w:tcPr>
            <w:tcW w:w="1800" w:type="dxa"/>
            <w:tcBorders>
              <w:top w:val="nil"/>
              <w:left w:val="nil"/>
              <w:bottom w:val="nil"/>
              <w:right w:val="nil"/>
            </w:tcBorders>
            <w:vAlign w:val="bottom"/>
          </w:tcPr>
          <w:p>
            <w:pPr>
              <w:pStyle w:val="yTableNAm"/>
              <w:jc w:val="center"/>
              <w:rPr>
                <w:szCs w:val="22"/>
              </w:rPr>
            </w:pPr>
            <w:r>
              <w:rPr>
                <w:szCs w:val="22"/>
              </w:rPr>
              <w:t>1</w:t>
            </w:r>
          </w:p>
        </w:tc>
      </w:tr>
      <w:tr>
        <w:tc>
          <w:tcPr>
            <w:tcW w:w="2920" w:type="dxa"/>
            <w:tcBorders>
              <w:top w:val="nil"/>
              <w:left w:val="nil"/>
              <w:bottom w:val="nil"/>
              <w:right w:val="nil"/>
            </w:tcBorders>
            <w:vAlign w:val="center"/>
          </w:tcPr>
          <w:p>
            <w:pPr>
              <w:pStyle w:val="yTableNAm"/>
              <w:rPr>
                <w:szCs w:val="22"/>
              </w:rPr>
            </w:pPr>
            <w:r>
              <w:rPr>
                <w:szCs w:val="22"/>
              </w:rPr>
              <w:t>Donnybrook</w:t>
            </w:r>
          </w:p>
        </w:tc>
        <w:tc>
          <w:tcPr>
            <w:tcW w:w="1800" w:type="dxa"/>
            <w:tcBorders>
              <w:top w:val="nil"/>
              <w:left w:val="nil"/>
              <w:bottom w:val="nil"/>
              <w:right w:val="nil"/>
            </w:tcBorders>
            <w:vAlign w:val="bottom"/>
          </w:tcPr>
          <w:p>
            <w:pPr>
              <w:pStyle w:val="yTableNAm"/>
              <w:jc w:val="center"/>
              <w:rPr>
                <w:szCs w:val="22"/>
              </w:rPr>
            </w:pPr>
            <w:r>
              <w:rPr>
                <w:szCs w:val="22"/>
              </w:rPr>
              <w:t>2</w:t>
            </w:r>
          </w:p>
        </w:tc>
        <w:tc>
          <w:tcPr>
            <w:tcW w:w="1800" w:type="dxa"/>
            <w:tcBorders>
              <w:top w:val="nil"/>
              <w:left w:val="nil"/>
              <w:bottom w:val="nil"/>
              <w:right w:val="nil"/>
            </w:tcBorders>
            <w:vAlign w:val="bottom"/>
          </w:tcPr>
          <w:p>
            <w:pPr>
              <w:pStyle w:val="yTableNAm"/>
              <w:jc w:val="center"/>
              <w:rPr>
                <w:szCs w:val="22"/>
              </w:rPr>
            </w:pPr>
            <w:r>
              <w:rPr>
                <w:szCs w:val="22"/>
              </w:rPr>
              <w:t>4</w:t>
            </w:r>
          </w:p>
        </w:tc>
      </w:tr>
      <w:tr>
        <w:tc>
          <w:tcPr>
            <w:tcW w:w="2920" w:type="dxa"/>
            <w:tcBorders>
              <w:top w:val="nil"/>
              <w:left w:val="nil"/>
              <w:bottom w:val="nil"/>
              <w:right w:val="nil"/>
            </w:tcBorders>
            <w:vAlign w:val="center"/>
          </w:tcPr>
          <w:p>
            <w:pPr>
              <w:pStyle w:val="yTableNAm"/>
              <w:rPr>
                <w:szCs w:val="22"/>
              </w:rPr>
            </w:pPr>
            <w:r>
              <w:rPr>
                <w:szCs w:val="22"/>
              </w:rPr>
              <w:t>Doodlakine</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12</w:t>
            </w:r>
          </w:p>
        </w:tc>
      </w:tr>
      <w:tr>
        <w:tc>
          <w:tcPr>
            <w:tcW w:w="2920" w:type="dxa"/>
            <w:tcBorders>
              <w:top w:val="nil"/>
              <w:left w:val="nil"/>
              <w:bottom w:val="nil"/>
              <w:right w:val="nil"/>
            </w:tcBorders>
            <w:vAlign w:val="center"/>
          </w:tcPr>
          <w:p>
            <w:pPr>
              <w:pStyle w:val="yTableNAm"/>
              <w:rPr>
                <w:szCs w:val="22"/>
              </w:rPr>
            </w:pPr>
            <w:r>
              <w:rPr>
                <w:szCs w:val="22"/>
              </w:rPr>
              <w:t>Dowerin</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10</w:t>
            </w:r>
          </w:p>
        </w:tc>
      </w:tr>
      <w:tr>
        <w:tc>
          <w:tcPr>
            <w:tcW w:w="2920" w:type="dxa"/>
            <w:tcBorders>
              <w:top w:val="nil"/>
              <w:left w:val="nil"/>
              <w:bottom w:val="nil"/>
              <w:right w:val="nil"/>
            </w:tcBorders>
            <w:vAlign w:val="center"/>
          </w:tcPr>
          <w:p>
            <w:pPr>
              <w:pStyle w:val="yTableNAm"/>
              <w:rPr>
                <w:szCs w:val="22"/>
              </w:rPr>
            </w:pPr>
            <w:r>
              <w:rPr>
                <w:szCs w:val="22"/>
              </w:rPr>
              <w:t>Dudinin/Harrismith/Jitarning</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15</w:t>
            </w:r>
          </w:p>
        </w:tc>
      </w:tr>
      <w:tr>
        <w:tc>
          <w:tcPr>
            <w:tcW w:w="2920" w:type="dxa"/>
            <w:tcBorders>
              <w:top w:val="nil"/>
              <w:left w:val="nil"/>
              <w:bottom w:val="nil"/>
              <w:right w:val="nil"/>
            </w:tcBorders>
            <w:vAlign w:val="center"/>
          </w:tcPr>
          <w:p>
            <w:pPr>
              <w:pStyle w:val="yTableNAm"/>
              <w:rPr>
                <w:szCs w:val="22"/>
              </w:rPr>
            </w:pPr>
            <w:r>
              <w:rPr>
                <w:szCs w:val="22"/>
              </w:rPr>
              <w:t>Dumbleyung</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15</w:t>
            </w:r>
          </w:p>
        </w:tc>
      </w:tr>
      <w:tr>
        <w:tc>
          <w:tcPr>
            <w:tcW w:w="2920" w:type="dxa"/>
            <w:tcBorders>
              <w:top w:val="nil"/>
              <w:left w:val="nil"/>
              <w:bottom w:val="nil"/>
              <w:right w:val="nil"/>
            </w:tcBorders>
            <w:vAlign w:val="center"/>
          </w:tcPr>
          <w:p>
            <w:pPr>
              <w:pStyle w:val="yTableNAm"/>
              <w:rPr>
                <w:szCs w:val="22"/>
              </w:rPr>
            </w:pPr>
            <w:r>
              <w:rPr>
                <w:szCs w:val="22"/>
              </w:rPr>
              <w:t>Dunsborough/Yallingup</w:t>
            </w:r>
          </w:p>
        </w:tc>
        <w:tc>
          <w:tcPr>
            <w:tcW w:w="1800" w:type="dxa"/>
            <w:tcBorders>
              <w:top w:val="nil"/>
              <w:left w:val="nil"/>
              <w:bottom w:val="nil"/>
              <w:right w:val="nil"/>
            </w:tcBorders>
            <w:vAlign w:val="bottom"/>
          </w:tcPr>
          <w:p>
            <w:pPr>
              <w:pStyle w:val="yTableNAm"/>
              <w:jc w:val="center"/>
              <w:rPr>
                <w:szCs w:val="22"/>
              </w:rPr>
            </w:pPr>
            <w:r>
              <w:rPr>
                <w:szCs w:val="22"/>
              </w:rPr>
              <w:t>2</w:t>
            </w:r>
          </w:p>
        </w:tc>
        <w:tc>
          <w:tcPr>
            <w:tcW w:w="1800" w:type="dxa"/>
            <w:tcBorders>
              <w:top w:val="nil"/>
              <w:left w:val="nil"/>
              <w:bottom w:val="nil"/>
              <w:right w:val="nil"/>
            </w:tcBorders>
            <w:vAlign w:val="bottom"/>
          </w:tcPr>
          <w:p>
            <w:pPr>
              <w:pStyle w:val="yTableNAm"/>
              <w:jc w:val="center"/>
              <w:rPr>
                <w:szCs w:val="22"/>
              </w:rPr>
            </w:pPr>
            <w:r>
              <w:rPr>
                <w:szCs w:val="22"/>
              </w:rPr>
              <w:t>5</w:t>
            </w:r>
          </w:p>
        </w:tc>
      </w:tr>
      <w:tr>
        <w:tc>
          <w:tcPr>
            <w:tcW w:w="2920" w:type="dxa"/>
            <w:tcBorders>
              <w:top w:val="nil"/>
              <w:left w:val="nil"/>
              <w:bottom w:val="nil"/>
              <w:right w:val="nil"/>
            </w:tcBorders>
            <w:vAlign w:val="center"/>
          </w:tcPr>
          <w:p>
            <w:pPr>
              <w:pStyle w:val="yTableNAm"/>
              <w:rPr>
                <w:szCs w:val="22"/>
              </w:rPr>
            </w:pPr>
            <w:r>
              <w:rPr>
                <w:szCs w:val="22"/>
              </w:rPr>
              <w:t>Dwellingup</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12</w:t>
            </w:r>
          </w:p>
        </w:tc>
      </w:tr>
      <w:tr>
        <w:tc>
          <w:tcPr>
            <w:tcW w:w="2920" w:type="dxa"/>
            <w:tcBorders>
              <w:top w:val="nil"/>
              <w:left w:val="nil"/>
              <w:bottom w:val="nil"/>
              <w:right w:val="nil"/>
            </w:tcBorders>
            <w:vAlign w:val="center"/>
          </w:tcPr>
          <w:p>
            <w:pPr>
              <w:pStyle w:val="yTableNAm"/>
              <w:rPr>
                <w:szCs w:val="22"/>
              </w:rPr>
            </w:pPr>
            <w:r>
              <w:rPr>
                <w:szCs w:val="22"/>
              </w:rPr>
              <w:t>Eneabba</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10</w:t>
            </w:r>
          </w:p>
        </w:tc>
      </w:tr>
      <w:tr>
        <w:tc>
          <w:tcPr>
            <w:tcW w:w="2920" w:type="dxa"/>
            <w:tcBorders>
              <w:top w:val="nil"/>
              <w:left w:val="nil"/>
              <w:bottom w:val="nil"/>
              <w:right w:val="nil"/>
            </w:tcBorders>
            <w:vAlign w:val="center"/>
          </w:tcPr>
          <w:p>
            <w:pPr>
              <w:pStyle w:val="yTableNAm"/>
              <w:rPr>
                <w:szCs w:val="22"/>
              </w:rPr>
            </w:pPr>
            <w:r>
              <w:rPr>
                <w:szCs w:val="22"/>
              </w:rPr>
              <w:t>Eradu</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12</w:t>
            </w:r>
          </w:p>
        </w:tc>
      </w:tr>
      <w:tr>
        <w:tc>
          <w:tcPr>
            <w:tcW w:w="2920" w:type="dxa"/>
            <w:tcBorders>
              <w:top w:val="nil"/>
              <w:left w:val="nil"/>
              <w:bottom w:val="nil"/>
              <w:right w:val="nil"/>
            </w:tcBorders>
            <w:vAlign w:val="center"/>
          </w:tcPr>
          <w:p>
            <w:pPr>
              <w:pStyle w:val="yTableNAm"/>
              <w:rPr>
                <w:szCs w:val="22"/>
              </w:rPr>
            </w:pPr>
            <w:r>
              <w:rPr>
                <w:szCs w:val="22"/>
              </w:rPr>
              <w:t>Esperance</w:t>
            </w:r>
          </w:p>
        </w:tc>
        <w:tc>
          <w:tcPr>
            <w:tcW w:w="1800" w:type="dxa"/>
            <w:tcBorders>
              <w:top w:val="nil"/>
              <w:left w:val="nil"/>
              <w:bottom w:val="nil"/>
              <w:right w:val="nil"/>
            </w:tcBorders>
            <w:vAlign w:val="bottom"/>
          </w:tcPr>
          <w:p>
            <w:pPr>
              <w:pStyle w:val="yTableNAm"/>
              <w:jc w:val="center"/>
              <w:rPr>
                <w:szCs w:val="22"/>
              </w:rPr>
            </w:pPr>
            <w:r>
              <w:rPr>
                <w:szCs w:val="22"/>
              </w:rPr>
              <w:t>2</w:t>
            </w:r>
          </w:p>
        </w:tc>
        <w:tc>
          <w:tcPr>
            <w:tcW w:w="1800" w:type="dxa"/>
            <w:tcBorders>
              <w:top w:val="nil"/>
              <w:left w:val="nil"/>
              <w:bottom w:val="nil"/>
              <w:right w:val="nil"/>
            </w:tcBorders>
            <w:vAlign w:val="bottom"/>
          </w:tcPr>
          <w:p>
            <w:pPr>
              <w:pStyle w:val="yTableNAm"/>
              <w:jc w:val="center"/>
              <w:rPr>
                <w:szCs w:val="22"/>
              </w:rPr>
            </w:pPr>
            <w:r>
              <w:rPr>
                <w:szCs w:val="22"/>
              </w:rPr>
              <w:t>5</w:t>
            </w:r>
          </w:p>
        </w:tc>
      </w:tr>
      <w:tr>
        <w:tc>
          <w:tcPr>
            <w:tcW w:w="2920" w:type="dxa"/>
            <w:tcBorders>
              <w:top w:val="nil"/>
              <w:left w:val="nil"/>
              <w:bottom w:val="nil"/>
              <w:right w:val="nil"/>
            </w:tcBorders>
            <w:vAlign w:val="center"/>
          </w:tcPr>
          <w:p>
            <w:pPr>
              <w:pStyle w:val="yTableNAm"/>
              <w:rPr>
                <w:szCs w:val="22"/>
              </w:rPr>
            </w:pPr>
            <w:r>
              <w:rPr>
                <w:szCs w:val="22"/>
              </w:rPr>
              <w:t>Exmouth</w:t>
            </w:r>
          </w:p>
        </w:tc>
        <w:tc>
          <w:tcPr>
            <w:tcW w:w="1800" w:type="dxa"/>
            <w:tcBorders>
              <w:top w:val="nil"/>
              <w:left w:val="nil"/>
              <w:bottom w:val="nil"/>
              <w:right w:val="nil"/>
            </w:tcBorders>
            <w:vAlign w:val="bottom"/>
          </w:tcPr>
          <w:p>
            <w:pPr>
              <w:pStyle w:val="yTableNAm"/>
              <w:jc w:val="center"/>
              <w:rPr>
                <w:szCs w:val="22"/>
              </w:rPr>
            </w:pPr>
            <w:r>
              <w:rPr>
                <w:szCs w:val="22"/>
              </w:rPr>
              <w:t>3</w:t>
            </w:r>
          </w:p>
        </w:tc>
        <w:tc>
          <w:tcPr>
            <w:tcW w:w="1800" w:type="dxa"/>
            <w:tcBorders>
              <w:top w:val="nil"/>
              <w:left w:val="nil"/>
              <w:bottom w:val="nil"/>
              <w:right w:val="nil"/>
            </w:tcBorders>
            <w:vAlign w:val="bottom"/>
          </w:tcPr>
          <w:p>
            <w:pPr>
              <w:pStyle w:val="yTableNAm"/>
              <w:jc w:val="center"/>
              <w:rPr>
                <w:szCs w:val="22"/>
              </w:rPr>
            </w:pPr>
            <w:r>
              <w:rPr>
                <w:szCs w:val="22"/>
              </w:rPr>
              <w:t>9</w:t>
            </w:r>
          </w:p>
        </w:tc>
      </w:tr>
      <w:tr>
        <w:tc>
          <w:tcPr>
            <w:tcW w:w="2920" w:type="dxa"/>
            <w:tcBorders>
              <w:top w:val="nil"/>
              <w:left w:val="nil"/>
              <w:bottom w:val="nil"/>
              <w:right w:val="nil"/>
            </w:tcBorders>
            <w:vAlign w:val="center"/>
          </w:tcPr>
          <w:p>
            <w:pPr>
              <w:pStyle w:val="yTableNAm"/>
              <w:rPr>
                <w:szCs w:val="22"/>
              </w:rPr>
            </w:pPr>
            <w:r>
              <w:rPr>
                <w:szCs w:val="22"/>
              </w:rPr>
              <w:t>Fitzroy Crossing</w:t>
            </w:r>
          </w:p>
        </w:tc>
        <w:tc>
          <w:tcPr>
            <w:tcW w:w="1800" w:type="dxa"/>
            <w:tcBorders>
              <w:top w:val="nil"/>
              <w:left w:val="nil"/>
              <w:bottom w:val="nil"/>
              <w:right w:val="nil"/>
            </w:tcBorders>
            <w:vAlign w:val="bottom"/>
          </w:tcPr>
          <w:p>
            <w:pPr>
              <w:pStyle w:val="yTableNAm"/>
              <w:jc w:val="center"/>
              <w:rPr>
                <w:szCs w:val="22"/>
              </w:rPr>
            </w:pPr>
            <w:r>
              <w:rPr>
                <w:szCs w:val="22"/>
              </w:rPr>
              <w:t>2</w:t>
            </w:r>
          </w:p>
        </w:tc>
        <w:tc>
          <w:tcPr>
            <w:tcW w:w="1800" w:type="dxa"/>
            <w:tcBorders>
              <w:top w:val="nil"/>
              <w:left w:val="nil"/>
              <w:bottom w:val="nil"/>
              <w:right w:val="nil"/>
            </w:tcBorders>
            <w:vAlign w:val="bottom"/>
          </w:tcPr>
          <w:p>
            <w:pPr>
              <w:pStyle w:val="yTableNAm"/>
              <w:jc w:val="center"/>
              <w:rPr>
                <w:szCs w:val="22"/>
              </w:rPr>
            </w:pPr>
            <w:r>
              <w:rPr>
                <w:szCs w:val="22"/>
              </w:rPr>
              <w:t>2</w:t>
            </w:r>
          </w:p>
        </w:tc>
      </w:tr>
      <w:tr>
        <w:tc>
          <w:tcPr>
            <w:tcW w:w="2920" w:type="dxa"/>
            <w:tcBorders>
              <w:top w:val="nil"/>
              <w:left w:val="nil"/>
              <w:bottom w:val="nil"/>
              <w:right w:val="nil"/>
            </w:tcBorders>
            <w:vAlign w:val="center"/>
          </w:tcPr>
          <w:p>
            <w:pPr>
              <w:pStyle w:val="yTableNAm"/>
              <w:rPr>
                <w:szCs w:val="22"/>
              </w:rPr>
            </w:pPr>
            <w:r>
              <w:rPr>
                <w:szCs w:val="22"/>
              </w:rPr>
              <w:t>Frankland</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14</w:t>
            </w:r>
          </w:p>
        </w:tc>
      </w:tr>
      <w:tr>
        <w:tc>
          <w:tcPr>
            <w:tcW w:w="2920" w:type="dxa"/>
            <w:tcBorders>
              <w:top w:val="nil"/>
              <w:left w:val="nil"/>
              <w:bottom w:val="nil"/>
              <w:right w:val="nil"/>
            </w:tcBorders>
            <w:vAlign w:val="center"/>
          </w:tcPr>
          <w:p>
            <w:pPr>
              <w:pStyle w:val="yTableNAm"/>
              <w:rPr>
                <w:szCs w:val="22"/>
              </w:rPr>
            </w:pPr>
            <w:r>
              <w:rPr>
                <w:szCs w:val="22"/>
              </w:rPr>
              <w:t>Gabbadah</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10</w:t>
            </w:r>
          </w:p>
        </w:tc>
      </w:tr>
      <w:tr>
        <w:tc>
          <w:tcPr>
            <w:tcW w:w="2920" w:type="dxa"/>
            <w:tcBorders>
              <w:top w:val="nil"/>
              <w:left w:val="nil"/>
              <w:bottom w:val="nil"/>
              <w:right w:val="nil"/>
            </w:tcBorders>
            <w:vAlign w:val="center"/>
          </w:tcPr>
          <w:p>
            <w:pPr>
              <w:pStyle w:val="yTableNAm"/>
              <w:rPr>
                <w:szCs w:val="22"/>
              </w:rPr>
            </w:pPr>
            <w:r>
              <w:rPr>
                <w:szCs w:val="22"/>
              </w:rPr>
              <w:t>Gascoyne Junction</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14</w:t>
            </w:r>
          </w:p>
        </w:tc>
      </w:tr>
      <w:tr>
        <w:tc>
          <w:tcPr>
            <w:tcW w:w="2920" w:type="dxa"/>
            <w:tcBorders>
              <w:top w:val="nil"/>
              <w:left w:val="nil"/>
              <w:bottom w:val="nil"/>
              <w:right w:val="nil"/>
            </w:tcBorders>
            <w:vAlign w:val="center"/>
          </w:tcPr>
          <w:p>
            <w:pPr>
              <w:pStyle w:val="yTableNAm"/>
              <w:rPr>
                <w:szCs w:val="22"/>
              </w:rPr>
            </w:pPr>
            <w:r>
              <w:rPr>
                <w:szCs w:val="22"/>
              </w:rPr>
              <w:t>Geraldton</w:t>
            </w:r>
          </w:p>
        </w:tc>
        <w:tc>
          <w:tcPr>
            <w:tcW w:w="1800" w:type="dxa"/>
            <w:tcBorders>
              <w:top w:val="nil"/>
              <w:left w:val="nil"/>
              <w:bottom w:val="nil"/>
              <w:right w:val="nil"/>
            </w:tcBorders>
            <w:vAlign w:val="bottom"/>
          </w:tcPr>
          <w:p>
            <w:pPr>
              <w:pStyle w:val="yTableNAm"/>
              <w:jc w:val="center"/>
              <w:rPr>
                <w:szCs w:val="22"/>
              </w:rPr>
            </w:pPr>
            <w:r>
              <w:rPr>
                <w:szCs w:val="22"/>
              </w:rPr>
              <w:t>2</w:t>
            </w:r>
          </w:p>
        </w:tc>
        <w:tc>
          <w:tcPr>
            <w:tcW w:w="1800" w:type="dxa"/>
            <w:tcBorders>
              <w:top w:val="nil"/>
              <w:left w:val="nil"/>
              <w:bottom w:val="nil"/>
              <w:right w:val="nil"/>
            </w:tcBorders>
            <w:vAlign w:val="bottom"/>
          </w:tcPr>
          <w:p>
            <w:pPr>
              <w:pStyle w:val="yTableNAm"/>
              <w:jc w:val="center"/>
              <w:rPr>
                <w:szCs w:val="22"/>
              </w:rPr>
            </w:pPr>
            <w:r>
              <w:rPr>
                <w:szCs w:val="22"/>
              </w:rPr>
              <w:t>1</w:t>
            </w:r>
          </w:p>
        </w:tc>
      </w:tr>
      <w:tr>
        <w:tc>
          <w:tcPr>
            <w:tcW w:w="2920" w:type="dxa"/>
            <w:tcBorders>
              <w:top w:val="nil"/>
              <w:left w:val="nil"/>
              <w:bottom w:val="nil"/>
              <w:right w:val="nil"/>
            </w:tcBorders>
            <w:vAlign w:val="center"/>
          </w:tcPr>
          <w:p>
            <w:pPr>
              <w:pStyle w:val="yTableNAm"/>
              <w:rPr>
                <w:szCs w:val="22"/>
              </w:rPr>
            </w:pPr>
            <w:r>
              <w:rPr>
                <w:szCs w:val="22"/>
              </w:rPr>
              <w:t>Gibson</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14</w:t>
            </w:r>
          </w:p>
        </w:tc>
      </w:tr>
      <w:tr>
        <w:tc>
          <w:tcPr>
            <w:tcW w:w="2920" w:type="dxa"/>
            <w:tcBorders>
              <w:top w:val="nil"/>
              <w:left w:val="nil"/>
              <w:bottom w:val="nil"/>
              <w:right w:val="nil"/>
            </w:tcBorders>
            <w:vAlign w:val="center"/>
          </w:tcPr>
          <w:p>
            <w:pPr>
              <w:pStyle w:val="yTableNAm"/>
              <w:rPr>
                <w:szCs w:val="22"/>
              </w:rPr>
            </w:pPr>
            <w:r>
              <w:rPr>
                <w:szCs w:val="22"/>
              </w:rPr>
              <w:t>Gingin</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10</w:t>
            </w:r>
          </w:p>
        </w:tc>
      </w:tr>
      <w:tr>
        <w:tc>
          <w:tcPr>
            <w:tcW w:w="2920" w:type="dxa"/>
            <w:tcBorders>
              <w:top w:val="nil"/>
              <w:left w:val="nil"/>
              <w:bottom w:val="nil"/>
              <w:right w:val="nil"/>
            </w:tcBorders>
            <w:vAlign w:val="center"/>
          </w:tcPr>
          <w:p>
            <w:pPr>
              <w:pStyle w:val="yTableNAm"/>
              <w:rPr>
                <w:szCs w:val="22"/>
              </w:rPr>
            </w:pPr>
            <w:r>
              <w:rPr>
                <w:szCs w:val="22"/>
              </w:rPr>
              <w:t>Gnarabup</w:t>
            </w:r>
          </w:p>
        </w:tc>
        <w:tc>
          <w:tcPr>
            <w:tcW w:w="1800" w:type="dxa"/>
            <w:tcBorders>
              <w:top w:val="nil"/>
              <w:left w:val="nil"/>
              <w:bottom w:val="nil"/>
              <w:right w:val="nil"/>
            </w:tcBorders>
            <w:vAlign w:val="bottom"/>
          </w:tcPr>
          <w:p>
            <w:pPr>
              <w:pStyle w:val="yTableNAm"/>
              <w:jc w:val="center"/>
              <w:rPr>
                <w:szCs w:val="22"/>
              </w:rPr>
            </w:pPr>
            <w:r>
              <w:rPr>
                <w:szCs w:val="22"/>
              </w:rPr>
              <w:t>4</w:t>
            </w:r>
          </w:p>
        </w:tc>
        <w:tc>
          <w:tcPr>
            <w:tcW w:w="1800" w:type="dxa"/>
            <w:tcBorders>
              <w:top w:val="nil"/>
              <w:left w:val="nil"/>
              <w:bottom w:val="nil"/>
              <w:right w:val="nil"/>
            </w:tcBorders>
            <w:vAlign w:val="bottom"/>
          </w:tcPr>
          <w:p>
            <w:pPr>
              <w:pStyle w:val="yTableNAm"/>
              <w:jc w:val="center"/>
              <w:rPr>
                <w:szCs w:val="22"/>
              </w:rPr>
            </w:pPr>
            <w:r>
              <w:rPr>
                <w:szCs w:val="22"/>
              </w:rPr>
              <w:t>6</w:t>
            </w:r>
          </w:p>
        </w:tc>
      </w:tr>
      <w:tr>
        <w:tc>
          <w:tcPr>
            <w:tcW w:w="2920" w:type="dxa"/>
            <w:tcBorders>
              <w:top w:val="nil"/>
              <w:left w:val="nil"/>
              <w:bottom w:val="nil"/>
              <w:right w:val="nil"/>
            </w:tcBorders>
            <w:vAlign w:val="center"/>
          </w:tcPr>
          <w:p>
            <w:pPr>
              <w:pStyle w:val="yTableNAm"/>
              <w:rPr>
                <w:szCs w:val="22"/>
              </w:rPr>
            </w:pPr>
            <w:r>
              <w:rPr>
                <w:szCs w:val="22"/>
              </w:rPr>
              <w:t>Gnowangerup</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14</w:t>
            </w:r>
          </w:p>
        </w:tc>
      </w:tr>
      <w:tr>
        <w:tc>
          <w:tcPr>
            <w:tcW w:w="2920" w:type="dxa"/>
            <w:tcBorders>
              <w:top w:val="nil"/>
              <w:left w:val="nil"/>
              <w:bottom w:val="nil"/>
              <w:right w:val="nil"/>
            </w:tcBorders>
            <w:vAlign w:val="center"/>
          </w:tcPr>
          <w:p>
            <w:pPr>
              <w:pStyle w:val="yTableNAm"/>
              <w:rPr>
                <w:szCs w:val="22"/>
              </w:rPr>
            </w:pPr>
            <w:r>
              <w:rPr>
                <w:szCs w:val="22"/>
              </w:rPr>
              <w:t>Goomalling</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12</w:t>
            </w:r>
          </w:p>
        </w:tc>
      </w:tr>
      <w:tr>
        <w:tc>
          <w:tcPr>
            <w:tcW w:w="2920" w:type="dxa"/>
            <w:tcBorders>
              <w:top w:val="nil"/>
              <w:left w:val="nil"/>
              <w:bottom w:val="nil"/>
              <w:right w:val="nil"/>
            </w:tcBorders>
            <w:vAlign w:val="center"/>
          </w:tcPr>
          <w:p>
            <w:pPr>
              <w:pStyle w:val="yTableNAm"/>
              <w:rPr>
                <w:szCs w:val="22"/>
              </w:rPr>
            </w:pPr>
            <w:r>
              <w:rPr>
                <w:szCs w:val="22"/>
              </w:rPr>
              <w:t>Grass Patch</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15</w:t>
            </w:r>
          </w:p>
        </w:tc>
      </w:tr>
      <w:tr>
        <w:tc>
          <w:tcPr>
            <w:tcW w:w="2920" w:type="dxa"/>
            <w:tcBorders>
              <w:top w:val="nil"/>
              <w:left w:val="nil"/>
              <w:bottom w:val="nil"/>
              <w:right w:val="nil"/>
            </w:tcBorders>
            <w:vAlign w:val="center"/>
          </w:tcPr>
          <w:p>
            <w:pPr>
              <w:pStyle w:val="yTableNAm"/>
              <w:rPr>
                <w:szCs w:val="22"/>
              </w:rPr>
            </w:pPr>
            <w:r>
              <w:rPr>
                <w:szCs w:val="22"/>
              </w:rPr>
              <w:t>Grass Valley</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10</w:t>
            </w:r>
          </w:p>
        </w:tc>
      </w:tr>
      <w:tr>
        <w:tc>
          <w:tcPr>
            <w:tcW w:w="2920" w:type="dxa"/>
            <w:tcBorders>
              <w:top w:val="nil"/>
              <w:left w:val="nil"/>
              <w:bottom w:val="nil"/>
              <w:right w:val="nil"/>
            </w:tcBorders>
            <w:vAlign w:val="center"/>
          </w:tcPr>
          <w:p>
            <w:pPr>
              <w:pStyle w:val="yTableNAm"/>
              <w:rPr>
                <w:szCs w:val="22"/>
              </w:rPr>
            </w:pPr>
            <w:r>
              <w:rPr>
                <w:szCs w:val="22"/>
              </w:rPr>
              <w:t>Greenbushes</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12</w:t>
            </w:r>
          </w:p>
        </w:tc>
      </w:tr>
      <w:tr>
        <w:tc>
          <w:tcPr>
            <w:tcW w:w="2920" w:type="dxa"/>
            <w:tcBorders>
              <w:top w:val="nil"/>
              <w:left w:val="nil"/>
              <w:bottom w:val="nil"/>
              <w:right w:val="nil"/>
            </w:tcBorders>
            <w:vAlign w:val="center"/>
          </w:tcPr>
          <w:p>
            <w:pPr>
              <w:pStyle w:val="yTableNAm"/>
              <w:rPr>
                <w:szCs w:val="22"/>
              </w:rPr>
            </w:pPr>
            <w:r>
              <w:rPr>
                <w:szCs w:val="22"/>
              </w:rPr>
              <w:t>Greenhead</w:t>
            </w:r>
          </w:p>
        </w:tc>
        <w:tc>
          <w:tcPr>
            <w:tcW w:w="1800" w:type="dxa"/>
            <w:tcBorders>
              <w:top w:val="nil"/>
              <w:left w:val="nil"/>
              <w:bottom w:val="nil"/>
              <w:right w:val="nil"/>
            </w:tcBorders>
            <w:vAlign w:val="bottom"/>
          </w:tcPr>
          <w:p>
            <w:pPr>
              <w:pStyle w:val="yTableNAm"/>
              <w:jc w:val="center"/>
              <w:rPr>
                <w:szCs w:val="22"/>
              </w:rPr>
            </w:pPr>
            <w:r>
              <w:rPr>
                <w:szCs w:val="22"/>
              </w:rPr>
              <w:t>4</w:t>
            </w:r>
          </w:p>
        </w:tc>
        <w:tc>
          <w:tcPr>
            <w:tcW w:w="1800" w:type="dxa"/>
            <w:tcBorders>
              <w:top w:val="nil"/>
              <w:left w:val="nil"/>
              <w:bottom w:val="nil"/>
              <w:right w:val="nil"/>
            </w:tcBorders>
            <w:vAlign w:val="bottom"/>
          </w:tcPr>
          <w:p>
            <w:pPr>
              <w:pStyle w:val="yTableNAm"/>
              <w:jc w:val="center"/>
              <w:rPr>
                <w:szCs w:val="22"/>
              </w:rPr>
            </w:pPr>
            <w:r>
              <w:rPr>
                <w:szCs w:val="22"/>
              </w:rPr>
              <w:t>10</w:t>
            </w:r>
          </w:p>
        </w:tc>
      </w:tr>
      <w:tr>
        <w:tc>
          <w:tcPr>
            <w:tcW w:w="2920" w:type="dxa"/>
            <w:tcBorders>
              <w:top w:val="nil"/>
              <w:left w:val="nil"/>
              <w:bottom w:val="nil"/>
              <w:right w:val="nil"/>
            </w:tcBorders>
            <w:vAlign w:val="center"/>
          </w:tcPr>
          <w:p>
            <w:pPr>
              <w:pStyle w:val="yTableNAm"/>
              <w:rPr>
                <w:szCs w:val="22"/>
              </w:rPr>
            </w:pPr>
            <w:r>
              <w:rPr>
                <w:szCs w:val="22"/>
              </w:rPr>
              <w:t>Guilderton</w:t>
            </w:r>
          </w:p>
        </w:tc>
        <w:tc>
          <w:tcPr>
            <w:tcW w:w="1800" w:type="dxa"/>
            <w:tcBorders>
              <w:top w:val="nil"/>
              <w:left w:val="nil"/>
              <w:bottom w:val="nil"/>
              <w:right w:val="nil"/>
            </w:tcBorders>
            <w:vAlign w:val="bottom"/>
          </w:tcPr>
          <w:p>
            <w:pPr>
              <w:pStyle w:val="yTableNAm"/>
              <w:jc w:val="center"/>
              <w:rPr>
                <w:szCs w:val="22"/>
              </w:rPr>
            </w:pPr>
            <w:r>
              <w:rPr>
                <w:szCs w:val="22"/>
              </w:rPr>
              <w:t>3</w:t>
            </w:r>
          </w:p>
        </w:tc>
        <w:tc>
          <w:tcPr>
            <w:tcW w:w="1800" w:type="dxa"/>
            <w:tcBorders>
              <w:top w:val="nil"/>
              <w:left w:val="nil"/>
              <w:bottom w:val="nil"/>
              <w:right w:val="nil"/>
            </w:tcBorders>
            <w:vAlign w:val="bottom"/>
          </w:tcPr>
          <w:p>
            <w:pPr>
              <w:pStyle w:val="yTableNAm"/>
              <w:jc w:val="center"/>
              <w:rPr>
                <w:szCs w:val="22"/>
              </w:rPr>
            </w:pPr>
            <w:r>
              <w:rPr>
                <w:szCs w:val="22"/>
              </w:rPr>
              <w:t>8</w:t>
            </w:r>
          </w:p>
        </w:tc>
      </w:tr>
      <w:tr>
        <w:tc>
          <w:tcPr>
            <w:tcW w:w="2920" w:type="dxa"/>
            <w:tcBorders>
              <w:top w:val="nil"/>
              <w:left w:val="nil"/>
              <w:bottom w:val="nil"/>
              <w:right w:val="nil"/>
            </w:tcBorders>
            <w:vAlign w:val="center"/>
          </w:tcPr>
          <w:p>
            <w:pPr>
              <w:pStyle w:val="yTableNAm"/>
              <w:rPr>
                <w:szCs w:val="22"/>
              </w:rPr>
            </w:pPr>
            <w:r>
              <w:rPr>
                <w:szCs w:val="22"/>
              </w:rPr>
              <w:t>Halls Creek</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12</w:t>
            </w:r>
          </w:p>
        </w:tc>
      </w:tr>
      <w:tr>
        <w:tc>
          <w:tcPr>
            <w:tcW w:w="2920" w:type="dxa"/>
            <w:tcBorders>
              <w:top w:val="nil"/>
              <w:left w:val="nil"/>
              <w:bottom w:val="nil"/>
              <w:right w:val="nil"/>
            </w:tcBorders>
            <w:vAlign w:val="center"/>
          </w:tcPr>
          <w:p>
            <w:pPr>
              <w:pStyle w:val="yTableNAm"/>
              <w:rPr>
                <w:szCs w:val="22"/>
              </w:rPr>
            </w:pPr>
            <w:r>
              <w:rPr>
                <w:szCs w:val="22"/>
              </w:rPr>
              <w:t>Hamel/Waroona</w:t>
            </w:r>
          </w:p>
        </w:tc>
        <w:tc>
          <w:tcPr>
            <w:tcW w:w="1800" w:type="dxa"/>
            <w:tcBorders>
              <w:top w:val="nil"/>
              <w:left w:val="nil"/>
              <w:bottom w:val="nil"/>
              <w:right w:val="nil"/>
            </w:tcBorders>
            <w:vAlign w:val="bottom"/>
          </w:tcPr>
          <w:p>
            <w:pPr>
              <w:pStyle w:val="yTableNAm"/>
              <w:jc w:val="center"/>
              <w:rPr>
                <w:szCs w:val="22"/>
              </w:rPr>
            </w:pPr>
            <w:r>
              <w:rPr>
                <w:szCs w:val="22"/>
              </w:rPr>
              <w:t>2</w:t>
            </w:r>
          </w:p>
        </w:tc>
        <w:tc>
          <w:tcPr>
            <w:tcW w:w="1800" w:type="dxa"/>
            <w:tcBorders>
              <w:top w:val="nil"/>
              <w:left w:val="nil"/>
              <w:bottom w:val="nil"/>
              <w:right w:val="nil"/>
            </w:tcBorders>
            <w:vAlign w:val="bottom"/>
          </w:tcPr>
          <w:p>
            <w:pPr>
              <w:pStyle w:val="yTableNAm"/>
              <w:jc w:val="center"/>
              <w:rPr>
                <w:szCs w:val="22"/>
              </w:rPr>
            </w:pPr>
            <w:r>
              <w:rPr>
                <w:szCs w:val="22"/>
              </w:rPr>
              <w:t>4</w:t>
            </w:r>
          </w:p>
        </w:tc>
      </w:tr>
      <w:tr>
        <w:tc>
          <w:tcPr>
            <w:tcW w:w="2920" w:type="dxa"/>
            <w:tcBorders>
              <w:top w:val="nil"/>
              <w:left w:val="nil"/>
              <w:bottom w:val="nil"/>
              <w:right w:val="nil"/>
            </w:tcBorders>
            <w:vAlign w:val="center"/>
          </w:tcPr>
          <w:p>
            <w:pPr>
              <w:pStyle w:val="yTableNAm"/>
              <w:rPr>
                <w:szCs w:val="22"/>
              </w:rPr>
            </w:pPr>
            <w:r>
              <w:rPr>
                <w:szCs w:val="22"/>
              </w:rPr>
              <w:t>Harvey/Wokalup</w:t>
            </w:r>
          </w:p>
        </w:tc>
        <w:tc>
          <w:tcPr>
            <w:tcW w:w="1800" w:type="dxa"/>
            <w:tcBorders>
              <w:top w:val="nil"/>
              <w:left w:val="nil"/>
              <w:bottom w:val="nil"/>
              <w:right w:val="nil"/>
            </w:tcBorders>
            <w:vAlign w:val="bottom"/>
          </w:tcPr>
          <w:p>
            <w:pPr>
              <w:pStyle w:val="yTableNAm"/>
              <w:jc w:val="center"/>
              <w:rPr>
                <w:szCs w:val="22"/>
              </w:rPr>
            </w:pPr>
            <w:r>
              <w:rPr>
                <w:szCs w:val="22"/>
              </w:rPr>
              <w:t>3</w:t>
            </w:r>
          </w:p>
        </w:tc>
        <w:tc>
          <w:tcPr>
            <w:tcW w:w="1800" w:type="dxa"/>
            <w:tcBorders>
              <w:top w:val="nil"/>
              <w:left w:val="nil"/>
              <w:bottom w:val="nil"/>
              <w:right w:val="nil"/>
            </w:tcBorders>
            <w:vAlign w:val="bottom"/>
          </w:tcPr>
          <w:p>
            <w:pPr>
              <w:pStyle w:val="yTableNAm"/>
              <w:jc w:val="center"/>
              <w:rPr>
                <w:szCs w:val="22"/>
              </w:rPr>
            </w:pPr>
            <w:r>
              <w:rPr>
                <w:szCs w:val="22"/>
              </w:rPr>
              <w:t>4</w:t>
            </w:r>
          </w:p>
        </w:tc>
      </w:tr>
      <w:tr>
        <w:tc>
          <w:tcPr>
            <w:tcW w:w="2920" w:type="dxa"/>
            <w:tcBorders>
              <w:top w:val="nil"/>
              <w:left w:val="nil"/>
              <w:bottom w:val="nil"/>
              <w:right w:val="nil"/>
            </w:tcBorders>
            <w:vAlign w:val="center"/>
          </w:tcPr>
          <w:p>
            <w:pPr>
              <w:pStyle w:val="yTableNAm"/>
              <w:rPr>
                <w:szCs w:val="22"/>
              </w:rPr>
            </w:pPr>
            <w:r>
              <w:rPr>
                <w:szCs w:val="22"/>
              </w:rPr>
              <w:t>Highbury/Piesseville</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12</w:t>
            </w:r>
          </w:p>
        </w:tc>
      </w:tr>
      <w:tr>
        <w:tc>
          <w:tcPr>
            <w:tcW w:w="2920" w:type="dxa"/>
            <w:tcBorders>
              <w:top w:val="nil"/>
              <w:left w:val="nil"/>
              <w:bottom w:val="nil"/>
              <w:right w:val="nil"/>
            </w:tcBorders>
            <w:vAlign w:val="center"/>
          </w:tcPr>
          <w:p>
            <w:pPr>
              <w:pStyle w:val="yTableNAm"/>
              <w:rPr>
                <w:szCs w:val="22"/>
              </w:rPr>
            </w:pPr>
            <w:r>
              <w:rPr>
                <w:szCs w:val="22"/>
              </w:rPr>
              <w:t>Hines Hill</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12</w:t>
            </w:r>
          </w:p>
        </w:tc>
      </w:tr>
      <w:tr>
        <w:tc>
          <w:tcPr>
            <w:tcW w:w="2920" w:type="dxa"/>
            <w:tcBorders>
              <w:top w:val="nil"/>
              <w:left w:val="nil"/>
              <w:bottom w:val="nil"/>
              <w:right w:val="nil"/>
            </w:tcBorders>
            <w:vAlign w:val="center"/>
          </w:tcPr>
          <w:p>
            <w:pPr>
              <w:pStyle w:val="yTableNAm"/>
              <w:rPr>
                <w:szCs w:val="22"/>
              </w:rPr>
            </w:pPr>
            <w:r>
              <w:rPr>
                <w:szCs w:val="22"/>
              </w:rPr>
              <w:t>Hopetoun</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12</w:t>
            </w:r>
          </w:p>
        </w:tc>
      </w:tr>
      <w:tr>
        <w:tc>
          <w:tcPr>
            <w:tcW w:w="2920" w:type="dxa"/>
            <w:tcBorders>
              <w:top w:val="nil"/>
              <w:left w:val="nil"/>
              <w:bottom w:val="nil"/>
              <w:right w:val="nil"/>
            </w:tcBorders>
            <w:vAlign w:val="center"/>
          </w:tcPr>
          <w:p>
            <w:pPr>
              <w:pStyle w:val="yTableNAm"/>
              <w:rPr>
                <w:szCs w:val="22"/>
              </w:rPr>
            </w:pPr>
            <w:r>
              <w:rPr>
                <w:szCs w:val="22"/>
              </w:rPr>
              <w:t>Horrocks</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14</w:t>
            </w:r>
          </w:p>
        </w:tc>
      </w:tr>
      <w:tr>
        <w:tc>
          <w:tcPr>
            <w:tcW w:w="2920" w:type="dxa"/>
            <w:tcBorders>
              <w:top w:val="nil"/>
              <w:left w:val="nil"/>
              <w:bottom w:val="nil"/>
              <w:right w:val="nil"/>
            </w:tcBorders>
            <w:vAlign w:val="center"/>
          </w:tcPr>
          <w:p>
            <w:pPr>
              <w:pStyle w:val="yTableNAm"/>
              <w:rPr>
                <w:szCs w:val="22"/>
              </w:rPr>
            </w:pPr>
            <w:r>
              <w:rPr>
                <w:szCs w:val="22"/>
              </w:rPr>
              <w:t>Hyden</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14</w:t>
            </w:r>
          </w:p>
        </w:tc>
      </w:tr>
      <w:tr>
        <w:tc>
          <w:tcPr>
            <w:tcW w:w="2920" w:type="dxa"/>
            <w:tcBorders>
              <w:top w:val="nil"/>
              <w:left w:val="nil"/>
              <w:bottom w:val="nil"/>
              <w:right w:val="nil"/>
            </w:tcBorders>
            <w:vAlign w:val="center"/>
          </w:tcPr>
          <w:p>
            <w:pPr>
              <w:pStyle w:val="yTableNAm"/>
              <w:rPr>
                <w:szCs w:val="22"/>
              </w:rPr>
            </w:pPr>
            <w:r>
              <w:rPr>
                <w:szCs w:val="22"/>
              </w:rPr>
              <w:t>Jerramungup</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14</w:t>
            </w:r>
          </w:p>
        </w:tc>
      </w:tr>
      <w:tr>
        <w:tc>
          <w:tcPr>
            <w:tcW w:w="2920" w:type="dxa"/>
            <w:tcBorders>
              <w:top w:val="nil"/>
              <w:left w:val="nil"/>
              <w:bottom w:val="nil"/>
              <w:right w:val="nil"/>
            </w:tcBorders>
            <w:vAlign w:val="center"/>
          </w:tcPr>
          <w:p>
            <w:pPr>
              <w:pStyle w:val="yTableNAm"/>
              <w:rPr>
                <w:szCs w:val="22"/>
              </w:rPr>
            </w:pPr>
            <w:r>
              <w:rPr>
                <w:szCs w:val="22"/>
              </w:rPr>
              <w:t>Jurien Bay</w:t>
            </w:r>
          </w:p>
        </w:tc>
        <w:tc>
          <w:tcPr>
            <w:tcW w:w="1800" w:type="dxa"/>
            <w:tcBorders>
              <w:top w:val="nil"/>
              <w:left w:val="nil"/>
              <w:bottom w:val="nil"/>
              <w:right w:val="nil"/>
            </w:tcBorders>
            <w:vAlign w:val="bottom"/>
          </w:tcPr>
          <w:p>
            <w:pPr>
              <w:pStyle w:val="yTableNAm"/>
              <w:jc w:val="center"/>
              <w:rPr>
                <w:szCs w:val="22"/>
              </w:rPr>
            </w:pPr>
            <w:r>
              <w:rPr>
                <w:szCs w:val="22"/>
              </w:rPr>
              <w:t>2</w:t>
            </w:r>
          </w:p>
        </w:tc>
        <w:tc>
          <w:tcPr>
            <w:tcW w:w="1800" w:type="dxa"/>
            <w:tcBorders>
              <w:top w:val="nil"/>
              <w:left w:val="nil"/>
              <w:bottom w:val="nil"/>
              <w:right w:val="nil"/>
            </w:tcBorders>
            <w:vAlign w:val="bottom"/>
          </w:tcPr>
          <w:p>
            <w:pPr>
              <w:pStyle w:val="yTableNAm"/>
              <w:jc w:val="center"/>
              <w:rPr>
                <w:szCs w:val="22"/>
              </w:rPr>
            </w:pPr>
            <w:r>
              <w:rPr>
                <w:szCs w:val="22"/>
              </w:rPr>
              <w:t>3</w:t>
            </w:r>
          </w:p>
        </w:tc>
      </w:tr>
      <w:tr>
        <w:tc>
          <w:tcPr>
            <w:tcW w:w="2920" w:type="dxa"/>
            <w:tcBorders>
              <w:top w:val="nil"/>
              <w:left w:val="nil"/>
              <w:bottom w:val="nil"/>
              <w:right w:val="nil"/>
            </w:tcBorders>
            <w:vAlign w:val="center"/>
          </w:tcPr>
          <w:p>
            <w:pPr>
              <w:pStyle w:val="yTableNAm"/>
              <w:rPr>
                <w:szCs w:val="22"/>
              </w:rPr>
            </w:pPr>
            <w:r>
              <w:rPr>
                <w:szCs w:val="22"/>
              </w:rPr>
              <w:t>Kalannie</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14</w:t>
            </w:r>
          </w:p>
        </w:tc>
      </w:tr>
      <w:tr>
        <w:tc>
          <w:tcPr>
            <w:tcW w:w="2920" w:type="dxa"/>
            <w:tcBorders>
              <w:top w:val="nil"/>
              <w:left w:val="nil"/>
              <w:bottom w:val="nil"/>
              <w:right w:val="nil"/>
            </w:tcBorders>
            <w:vAlign w:val="center"/>
          </w:tcPr>
          <w:p>
            <w:pPr>
              <w:pStyle w:val="yTableNAm"/>
              <w:rPr>
                <w:szCs w:val="22"/>
              </w:rPr>
            </w:pPr>
            <w:r>
              <w:rPr>
                <w:szCs w:val="22"/>
              </w:rPr>
              <w:t>Kalbarri</w:t>
            </w:r>
          </w:p>
        </w:tc>
        <w:tc>
          <w:tcPr>
            <w:tcW w:w="1800" w:type="dxa"/>
            <w:tcBorders>
              <w:top w:val="nil"/>
              <w:left w:val="nil"/>
              <w:bottom w:val="nil"/>
              <w:right w:val="nil"/>
            </w:tcBorders>
            <w:vAlign w:val="bottom"/>
          </w:tcPr>
          <w:p>
            <w:pPr>
              <w:pStyle w:val="yTableNAm"/>
              <w:jc w:val="center"/>
              <w:rPr>
                <w:szCs w:val="22"/>
              </w:rPr>
            </w:pPr>
            <w:r>
              <w:rPr>
                <w:szCs w:val="22"/>
              </w:rPr>
              <w:t>2</w:t>
            </w:r>
          </w:p>
        </w:tc>
        <w:tc>
          <w:tcPr>
            <w:tcW w:w="1800" w:type="dxa"/>
            <w:tcBorders>
              <w:top w:val="nil"/>
              <w:left w:val="nil"/>
              <w:bottom w:val="nil"/>
              <w:right w:val="nil"/>
            </w:tcBorders>
            <w:vAlign w:val="bottom"/>
          </w:tcPr>
          <w:p>
            <w:pPr>
              <w:pStyle w:val="yTableNAm"/>
              <w:jc w:val="center"/>
              <w:rPr>
                <w:szCs w:val="22"/>
              </w:rPr>
            </w:pPr>
            <w:r>
              <w:rPr>
                <w:szCs w:val="22"/>
              </w:rPr>
              <w:t>2</w:t>
            </w:r>
          </w:p>
        </w:tc>
      </w:tr>
      <w:tr>
        <w:tc>
          <w:tcPr>
            <w:tcW w:w="2920" w:type="dxa"/>
            <w:tcBorders>
              <w:top w:val="nil"/>
              <w:left w:val="nil"/>
              <w:bottom w:val="nil"/>
              <w:right w:val="nil"/>
            </w:tcBorders>
            <w:vAlign w:val="center"/>
          </w:tcPr>
          <w:p>
            <w:pPr>
              <w:pStyle w:val="yTableNAm"/>
              <w:rPr>
                <w:szCs w:val="22"/>
              </w:rPr>
            </w:pPr>
            <w:r>
              <w:rPr>
                <w:szCs w:val="22"/>
              </w:rPr>
              <w:t>Kalgoorlie/Boulder</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12</w:t>
            </w:r>
          </w:p>
        </w:tc>
      </w:tr>
      <w:tr>
        <w:tc>
          <w:tcPr>
            <w:tcW w:w="2920" w:type="dxa"/>
            <w:tcBorders>
              <w:top w:val="nil"/>
              <w:left w:val="nil"/>
              <w:bottom w:val="nil"/>
              <w:right w:val="nil"/>
            </w:tcBorders>
            <w:vAlign w:val="center"/>
          </w:tcPr>
          <w:p>
            <w:pPr>
              <w:pStyle w:val="yTableNAm"/>
              <w:rPr>
                <w:szCs w:val="22"/>
              </w:rPr>
            </w:pPr>
            <w:r>
              <w:rPr>
                <w:szCs w:val="22"/>
              </w:rPr>
              <w:t>Kambalda</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8</w:t>
            </w:r>
          </w:p>
        </w:tc>
      </w:tr>
      <w:tr>
        <w:tc>
          <w:tcPr>
            <w:tcW w:w="2920" w:type="dxa"/>
            <w:tcBorders>
              <w:top w:val="nil"/>
              <w:left w:val="nil"/>
              <w:bottom w:val="nil"/>
              <w:right w:val="nil"/>
            </w:tcBorders>
            <w:vAlign w:val="center"/>
          </w:tcPr>
          <w:p>
            <w:pPr>
              <w:pStyle w:val="yTableNAm"/>
              <w:rPr>
                <w:szCs w:val="22"/>
              </w:rPr>
            </w:pPr>
            <w:r>
              <w:rPr>
                <w:szCs w:val="22"/>
              </w:rPr>
              <w:t>Karakin</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10</w:t>
            </w:r>
          </w:p>
        </w:tc>
      </w:tr>
      <w:tr>
        <w:tc>
          <w:tcPr>
            <w:tcW w:w="2920" w:type="dxa"/>
            <w:tcBorders>
              <w:top w:val="nil"/>
              <w:left w:val="nil"/>
              <w:bottom w:val="nil"/>
              <w:right w:val="nil"/>
            </w:tcBorders>
            <w:vAlign w:val="center"/>
          </w:tcPr>
          <w:p>
            <w:pPr>
              <w:pStyle w:val="yTableNAm"/>
              <w:rPr>
                <w:szCs w:val="22"/>
              </w:rPr>
            </w:pPr>
            <w:r>
              <w:rPr>
                <w:szCs w:val="22"/>
              </w:rPr>
              <w:t>Karlgarin</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15</w:t>
            </w:r>
          </w:p>
        </w:tc>
      </w:tr>
      <w:tr>
        <w:tc>
          <w:tcPr>
            <w:tcW w:w="2920" w:type="dxa"/>
            <w:tcBorders>
              <w:top w:val="nil"/>
              <w:left w:val="nil"/>
              <w:bottom w:val="nil"/>
              <w:right w:val="nil"/>
            </w:tcBorders>
            <w:vAlign w:val="center"/>
          </w:tcPr>
          <w:p>
            <w:pPr>
              <w:pStyle w:val="yTableNAm"/>
              <w:rPr>
                <w:szCs w:val="22"/>
              </w:rPr>
            </w:pPr>
            <w:r>
              <w:rPr>
                <w:szCs w:val="22"/>
              </w:rPr>
              <w:t>Karratha</w:t>
            </w:r>
          </w:p>
        </w:tc>
        <w:tc>
          <w:tcPr>
            <w:tcW w:w="1800" w:type="dxa"/>
            <w:tcBorders>
              <w:top w:val="nil"/>
              <w:left w:val="nil"/>
              <w:bottom w:val="nil"/>
              <w:right w:val="nil"/>
            </w:tcBorders>
            <w:vAlign w:val="bottom"/>
          </w:tcPr>
          <w:p>
            <w:pPr>
              <w:pStyle w:val="yTableNAm"/>
              <w:jc w:val="center"/>
              <w:rPr>
                <w:szCs w:val="22"/>
              </w:rPr>
            </w:pPr>
            <w:r>
              <w:rPr>
                <w:szCs w:val="22"/>
              </w:rPr>
              <w:t>2</w:t>
            </w:r>
          </w:p>
        </w:tc>
        <w:tc>
          <w:tcPr>
            <w:tcW w:w="1800" w:type="dxa"/>
            <w:tcBorders>
              <w:top w:val="nil"/>
              <w:left w:val="nil"/>
              <w:bottom w:val="nil"/>
              <w:right w:val="nil"/>
            </w:tcBorders>
            <w:vAlign w:val="bottom"/>
          </w:tcPr>
          <w:p>
            <w:pPr>
              <w:pStyle w:val="yTableNAm"/>
              <w:jc w:val="center"/>
              <w:rPr>
                <w:szCs w:val="22"/>
              </w:rPr>
            </w:pPr>
            <w:r>
              <w:rPr>
                <w:szCs w:val="22"/>
              </w:rPr>
              <w:t>6</w:t>
            </w:r>
          </w:p>
        </w:tc>
      </w:tr>
      <w:tr>
        <w:tc>
          <w:tcPr>
            <w:tcW w:w="2920" w:type="dxa"/>
            <w:tcBorders>
              <w:top w:val="nil"/>
              <w:left w:val="nil"/>
              <w:bottom w:val="nil"/>
              <w:right w:val="nil"/>
            </w:tcBorders>
            <w:vAlign w:val="center"/>
          </w:tcPr>
          <w:p>
            <w:pPr>
              <w:pStyle w:val="yTableNAm"/>
              <w:rPr>
                <w:szCs w:val="22"/>
              </w:rPr>
            </w:pPr>
            <w:r>
              <w:rPr>
                <w:szCs w:val="22"/>
              </w:rPr>
              <w:t>Katanning</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12</w:t>
            </w:r>
          </w:p>
        </w:tc>
      </w:tr>
      <w:tr>
        <w:tc>
          <w:tcPr>
            <w:tcW w:w="2920" w:type="dxa"/>
            <w:tcBorders>
              <w:top w:val="nil"/>
              <w:left w:val="nil"/>
              <w:bottom w:val="nil"/>
              <w:right w:val="nil"/>
            </w:tcBorders>
            <w:vAlign w:val="center"/>
          </w:tcPr>
          <w:p>
            <w:pPr>
              <w:pStyle w:val="yTableNAm"/>
              <w:rPr>
                <w:szCs w:val="22"/>
              </w:rPr>
            </w:pPr>
            <w:r>
              <w:rPr>
                <w:szCs w:val="22"/>
              </w:rPr>
              <w:t>Katanning Farmlands</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12</w:t>
            </w:r>
          </w:p>
        </w:tc>
      </w:tr>
      <w:tr>
        <w:tc>
          <w:tcPr>
            <w:tcW w:w="2920" w:type="dxa"/>
            <w:tcBorders>
              <w:top w:val="nil"/>
              <w:left w:val="nil"/>
              <w:bottom w:val="nil"/>
              <w:right w:val="nil"/>
            </w:tcBorders>
            <w:vAlign w:val="center"/>
          </w:tcPr>
          <w:p>
            <w:pPr>
              <w:pStyle w:val="yTableNAm"/>
              <w:rPr>
                <w:szCs w:val="22"/>
              </w:rPr>
            </w:pPr>
            <w:r>
              <w:rPr>
                <w:szCs w:val="22"/>
              </w:rPr>
              <w:t>Kellerberrin</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12</w:t>
            </w:r>
          </w:p>
        </w:tc>
      </w:tr>
      <w:tr>
        <w:tc>
          <w:tcPr>
            <w:tcW w:w="2920" w:type="dxa"/>
            <w:tcBorders>
              <w:top w:val="nil"/>
              <w:left w:val="nil"/>
              <w:bottom w:val="nil"/>
              <w:right w:val="nil"/>
            </w:tcBorders>
            <w:vAlign w:val="center"/>
          </w:tcPr>
          <w:p>
            <w:pPr>
              <w:pStyle w:val="yTableNAm"/>
              <w:rPr>
                <w:szCs w:val="22"/>
              </w:rPr>
            </w:pPr>
            <w:r>
              <w:rPr>
                <w:szCs w:val="22"/>
              </w:rPr>
              <w:t>Kendenup</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14</w:t>
            </w:r>
          </w:p>
        </w:tc>
      </w:tr>
      <w:tr>
        <w:tc>
          <w:tcPr>
            <w:tcW w:w="2920" w:type="dxa"/>
            <w:tcBorders>
              <w:top w:val="nil"/>
              <w:left w:val="nil"/>
              <w:bottom w:val="nil"/>
              <w:right w:val="nil"/>
            </w:tcBorders>
            <w:vAlign w:val="center"/>
          </w:tcPr>
          <w:p>
            <w:pPr>
              <w:pStyle w:val="yTableNAm"/>
              <w:rPr>
                <w:szCs w:val="22"/>
              </w:rPr>
            </w:pPr>
            <w:r>
              <w:rPr>
                <w:szCs w:val="22"/>
              </w:rPr>
              <w:t>Kendenup Farmlands</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12</w:t>
            </w:r>
          </w:p>
        </w:tc>
      </w:tr>
      <w:tr>
        <w:tc>
          <w:tcPr>
            <w:tcW w:w="2920" w:type="dxa"/>
            <w:tcBorders>
              <w:top w:val="nil"/>
              <w:left w:val="nil"/>
              <w:bottom w:val="nil"/>
              <w:right w:val="nil"/>
            </w:tcBorders>
            <w:vAlign w:val="center"/>
          </w:tcPr>
          <w:p>
            <w:pPr>
              <w:pStyle w:val="yTableNAm"/>
              <w:rPr>
                <w:szCs w:val="22"/>
              </w:rPr>
            </w:pPr>
            <w:r>
              <w:rPr>
                <w:szCs w:val="22"/>
              </w:rPr>
              <w:t>Kirup</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14</w:t>
            </w:r>
          </w:p>
        </w:tc>
      </w:tr>
      <w:tr>
        <w:tc>
          <w:tcPr>
            <w:tcW w:w="2920" w:type="dxa"/>
            <w:tcBorders>
              <w:top w:val="nil"/>
              <w:left w:val="nil"/>
              <w:bottom w:val="nil"/>
              <w:right w:val="nil"/>
            </w:tcBorders>
            <w:vAlign w:val="center"/>
          </w:tcPr>
          <w:p>
            <w:pPr>
              <w:pStyle w:val="yTableNAm"/>
              <w:rPr>
                <w:szCs w:val="22"/>
              </w:rPr>
            </w:pPr>
            <w:r>
              <w:rPr>
                <w:szCs w:val="22"/>
              </w:rPr>
              <w:t>Kojonup/Muradup</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12</w:t>
            </w:r>
          </w:p>
        </w:tc>
      </w:tr>
      <w:tr>
        <w:tc>
          <w:tcPr>
            <w:tcW w:w="2920" w:type="dxa"/>
            <w:tcBorders>
              <w:top w:val="nil"/>
              <w:left w:val="nil"/>
              <w:bottom w:val="nil"/>
              <w:right w:val="nil"/>
            </w:tcBorders>
            <w:vAlign w:val="center"/>
          </w:tcPr>
          <w:p>
            <w:pPr>
              <w:pStyle w:val="yTableNAm"/>
              <w:rPr>
                <w:szCs w:val="22"/>
              </w:rPr>
            </w:pPr>
            <w:r>
              <w:rPr>
                <w:szCs w:val="22"/>
              </w:rPr>
              <w:t>Kondinin</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14</w:t>
            </w:r>
          </w:p>
        </w:tc>
      </w:tr>
      <w:tr>
        <w:tc>
          <w:tcPr>
            <w:tcW w:w="2920" w:type="dxa"/>
            <w:tcBorders>
              <w:top w:val="nil"/>
              <w:left w:val="nil"/>
              <w:bottom w:val="nil"/>
              <w:right w:val="nil"/>
            </w:tcBorders>
            <w:vAlign w:val="center"/>
          </w:tcPr>
          <w:p>
            <w:pPr>
              <w:pStyle w:val="yTableNAm"/>
              <w:rPr>
                <w:szCs w:val="22"/>
              </w:rPr>
            </w:pPr>
            <w:r>
              <w:rPr>
                <w:szCs w:val="22"/>
              </w:rPr>
              <w:t>Koorda</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12</w:t>
            </w:r>
          </w:p>
        </w:tc>
      </w:tr>
      <w:tr>
        <w:tc>
          <w:tcPr>
            <w:tcW w:w="2920" w:type="dxa"/>
            <w:tcBorders>
              <w:top w:val="nil"/>
              <w:left w:val="nil"/>
              <w:bottom w:val="nil"/>
              <w:right w:val="nil"/>
            </w:tcBorders>
            <w:vAlign w:val="center"/>
          </w:tcPr>
          <w:p>
            <w:pPr>
              <w:pStyle w:val="yTableNAm"/>
              <w:rPr>
                <w:szCs w:val="22"/>
              </w:rPr>
            </w:pPr>
            <w:r>
              <w:rPr>
                <w:szCs w:val="22"/>
              </w:rPr>
              <w:t>Kukerin/Moulyinning</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15</w:t>
            </w:r>
          </w:p>
        </w:tc>
      </w:tr>
      <w:tr>
        <w:tc>
          <w:tcPr>
            <w:tcW w:w="2920" w:type="dxa"/>
            <w:tcBorders>
              <w:top w:val="nil"/>
              <w:left w:val="nil"/>
              <w:bottom w:val="nil"/>
              <w:right w:val="nil"/>
            </w:tcBorders>
            <w:vAlign w:val="center"/>
          </w:tcPr>
          <w:p>
            <w:pPr>
              <w:pStyle w:val="yTableNAm"/>
              <w:rPr>
                <w:szCs w:val="22"/>
              </w:rPr>
            </w:pPr>
            <w:r>
              <w:rPr>
                <w:szCs w:val="22"/>
              </w:rPr>
              <w:t>Kulin</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14</w:t>
            </w:r>
          </w:p>
        </w:tc>
      </w:tr>
      <w:tr>
        <w:tc>
          <w:tcPr>
            <w:tcW w:w="2920" w:type="dxa"/>
            <w:tcBorders>
              <w:top w:val="nil"/>
              <w:left w:val="nil"/>
              <w:bottom w:val="nil"/>
              <w:right w:val="nil"/>
            </w:tcBorders>
            <w:vAlign w:val="center"/>
          </w:tcPr>
          <w:p>
            <w:pPr>
              <w:pStyle w:val="yTableNAm"/>
              <w:rPr>
                <w:szCs w:val="22"/>
              </w:rPr>
            </w:pPr>
            <w:r>
              <w:rPr>
                <w:szCs w:val="22"/>
              </w:rPr>
              <w:t>Kununoppin</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14</w:t>
            </w:r>
          </w:p>
        </w:tc>
      </w:tr>
      <w:tr>
        <w:tc>
          <w:tcPr>
            <w:tcW w:w="2920" w:type="dxa"/>
            <w:tcBorders>
              <w:top w:val="nil"/>
              <w:left w:val="nil"/>
              <w:bottom w:val="nil"/>
              <w:right w:val="nil"/>
            </w:tcBorders>
          </w:tcPr>
          <w:p>
            <w:pPr>
              <w:pStyle w:val="yTableNAm"/>
              <w:rPr>
                <w:szCs w:val="22"/>
              </w:rPr>
            </w:pPr>
            <w:r>
              <w:rPr>
                <w:szCs w:val="22"/>
              </w:rPr>
              <w:t>Kununurra</w:t>
            </w:r>
          </w:p>
        </w:tc>
        <w:tc>
          <w:tcPr>
            <w:tcW w:w="1800" w:type="dxa"/>
            <w:tcBorders>
              <w:top w:val="nil"/>
              <w:left w:val="nil"/>
              <w:bottom w:val="nil"/>
              <w:right w:val="nil"/>
            </w:tcBorders>
            <w:vAlign w:val="bottom"/>
          </w:tcPr>
          <w:p>
            <w:pPr>
              <w:pStyle w:val="yTableNAm"/>
              <w:jc w:val="center"/>
              <w:rPr>
                <w:szCs w:val="22"/>
              </w:rPr>
            </w:pPr>
            <w:r>
              <w:rPr>
                <w:szCs w:val="22"/>
              </w:rPr>
              <w:t>2</w:t>
            </w:r>
          </w:p>
        </w:tc>
        <w:tc>
          <w:tcPr>
            <w:tcW w:w="1800" w:type="dxa"/>
            <w:tcBorders>
              <w:top w:val="nil"/>
              <w:left w:val="nil"/>
              <w:bottom w:val="nil"/>
              <w:right w:val="nil"/>
            </w:tcBorders>
            <w:vAlign w:val="bottom"/>
          </w:tcPr>
          <w:p>
            <w:pPr>
              <w:pStyle w:val="yTableNAm"/>
              <w:jc w:val="center"/>
              <w:rPr>
                <w:szCs w:val="22"/>
              </w:rPr>
            </w:pPr>
            <w:r>
              <w:rPr>
                <w:szCs w:val="22"/>
              </w:rPr>
              <w:t>2</w:t>
            </w:r>
          </w:p>
        </w:tc>
      </w:tr>
      <w:tr>
        <w:tc>
          <w:tcPr>
            <w:tcW w:w="2920" w:type="dxa"/>
            <w:tcBorders>
              <w:top w:val="nil"/>
              <w:left w:val="nil"/>
              <w:bottom w:val="nil"/>
              <w:right w:val="nil"/>
            </w:tcBorders>
            <w:vAlign w:val="center"/>
          </w:tcPr>
          <w:p>
            <w:pPr>
              <w:pStyle w:val="yTableNAm"/>
              <w:rPr>
                <w:szCs w:val="22"/>
              </w:rPr>
            </w:pPr>
            <w:r>
              <w:rPr>
                <w:szCs w:val="22"/>
              </w:rPr>
              <w:t>Lake Grace</w:t>
            </w:r>
          </w:p>
        </w:tc>
        <w:tc>
          <w:tcPr>
            <w:tcW w:w="1800" w:type="dxa"/>
            <w:tcBorders>
              <w:top w:val="nil"/>
              <w:left w:val="nil"/>
              <w:bottom w:val="nil"/>
              <w:right w:val="nil"/>
            </w:tcBorders>
            <w:vAlign w:val="bottom"/>
          </w:tcPr>
          <w:p>
            <w:pPr>
              <w:pStyle w:val="yTableNAm"/>
              <w:jc w:val="center"/>
              <w:rPr>
                <w:sz w:val="24"/>
                <w:szCs w:val="24"/>
              </w:rPr>
            </w:pPr>
            <w:r>
              <w:t>5</w:t>
            </w:r>
          </w:p>
        </w:tc>
        <w:tc>
          <w:tcPr>
            <w:tcW w:w="1800" w:type="dxa"/>
            <w:tcBorders>
              <w:top w:val="nil"/>
              <w:left w:val="nil"/>
              <w:bottom w:val="nil"/>
              <w:right w:val="nil"/>
            </w:tcBorders>
            <w:vAlign w:val="bottom"/>
          </w:tcPr>
          <w:p>
            <w:pPr>
              <w:pStyle w:val="yTableNAm"/>
              <w:jc w:val="center"/>
              <w:rPr>
                <w:sz w:val="24"/>
                <w:szCs w:val="24"/>
              </w:rPr>
            </w:pPr>
            <w:r>
              <w:t>14</w:t>
            </w:r>
          </w:p>
        </w:tc>
      </w:tr>
      <w:tr>
        <w:tc>
          <w:tcPr>
            <w:tcW w:w="2920" w:type="dxa"/>
            <w:tcBorders>
              <w:top w:val="nil"/>
              <w:left w:val="nil"/>
              <w:bottom w:val="nil"/>
              <w:right w:val="nil"/>
            </w:tcBorders>
            <w:vAlign w:val="center"/>
          </w:tcPr>
          <w:p>
            <w:pPr>
              <w:pStyle w:val="yTableNAm"/>
              <w:rPr>
                <w:szCs w:val="22"/>
              </w:rPr>
            </w:pPr>
            <w:r>
              <w:rPr>
                <w:szCs w:val="22"/>
              </w:rPr>
              <w:t>Lake King</w:t>
            </w:r>
          </w:p>
        </w:tc>
        <w:tc>
          <w:tcPr>
            <w:tcW w:w="1800" w:type="dxa"/>
            <w:tcBorders>
              <w:top w:val="nil"/>
              <w:left w:val="nil"/>
              <w:bottom w:val="nil"/>
              <w:right w:val="nil"/>
            </w:tcBorders>
            <w:vAlign w:val="bottom"/>
          </w:tcPr>
          <w:p>
            <w:pPr>
              <w:pStyle w:val="yTableNAm"/>
              <w:jc w:val="center"/>
              <w:rPr>
                <w:sz w:val="24"/>
                <w:szCs w:val="24"/>
              </w:rPr>
            </w:pPr>
            <w:r>
              <w:t>5</w:t>
            </w:r>
          </w:p>
        </w:tc>
        <w:tc>
          <w:tcPr>
            <w:tcW w:w="1800" w:type="dxa"/>
            <w:tcBorders>
              <w:top w:val="nil"/>
              <w:left w:val="nil"/>
              <w:bottom w:val="nil"/>
              <w:right w:val="nil"/>
            </w:tcBorders>
            <w:vAlign w:val="bottom"/>
          </w:tcPr>
          <w:p>
            <w:pPr>
              <w:pStyle w:val="yTableNAm"/>
              <w:jc w:val="center"/>
              <w:rPr>
                <w:sz w:val="24"/>
                <w:szCs w:val="24"/>
              </w:rPr>
            </w:pPr>
            <w:r>
              <w:t>15</w:t>
            </w:r>
          </w:p>
        </w:tc>
      </w:tr>
      <w:tr>
        <w:tc>
          <w:tcPr>
            <w:tcW w:w="2920" w:type="dxa"/>
            <w:tcBorders>
              <w:top w:val="nil"/>
              <w:left w:val="nil"/>
              <w:bottom w:val="nil"/>
              <w:right w:val="nil"/>
            </w:tcBorders>
            <w:vAlign w:val="center"/>
          </w:tcPr>
          <w:p>
            <w:pPr>
              <w:pStyle w:val="yTableNAm"/>
              <w:rPr>
                <w:szCs w:val="22"/>
              </w:rPr>
            </w:pPr>
            <w:r>
              <w:rPr>
                <w:szCs w:val="22"/>
              </w:rPr>
              <w:t>Lancelin</w:t>
            </w:r>
          </w:p>
        </w:tc>
        <w:tc>
          <w:tcPr>
            <w:tcW w:w="1800" w:type="dxa"/>
            <w:tcBorders>
              <w:top w:val="nil"/>
              <w:left w:val="nil"/>
              <w:bottom w:val="nil"/>
              <w:right w:val="nil"/>
            </w:tcBorders>
            <w:vAlign w:val="bottom"/>
          </w:tcPr>
          <w:p>
            <w:pPr>
              <w:pStyle w:val="yTableNAm"/>
              <w:jc w:val="center"/>
              <w:rPr>
                <w:sz w:val="24"/>
                <w:szCs w:val="24"/>
              </w:rPr>
            </w:pPr>
            <w:r>
              <w:t>5</w:t>
            </w:r>
          </w:p>
        </w:tc>
        <w:tc>
          <w:tcPr>
            <w:tcW w:w="1800" w:type="dxa"/>
            <w:tcBorders>
              <w:top w:val="nil"/>
              <w:left w:val="nil"/>
              <w:bottom w:val="nil"/>
              <w:right w:val="nil"/>
            </w:tcBorders>
            <w:vAlign w:val="bottom"/>
          </w:tcPr>
          <w:p>
            <w:pPr>
              <w:pStyle w:val="yTableNAm"/>
              <w:jc w:val="center"/>
              <w:rPr>
                <w:sz w:val="24"/>
                <w:szCs w:val="24"/>
              </w:rPr>
            </w:pPr>
            <w:r>
              <w:t>10</w:t>
            </w:r>
          </w:p>
        </w:tc>
      </w:tr>
      <w:tr>
        <w:tc>
          <w:tcPr>
            <w:tcW w:w="2920" w:type="dxa"/>
            <w:tcBorders>
              <w:top w:val="nil"/>
              <w:left w:val="nil"/>
              <w:bottom w:val="nil"/>
              <w:right w:val="nil"/>
            </w:tcBorders>
            <w:vAlign w:val="center"/>
          </w:tcPr>
          <w:p>
            <w:pPr>
              <w:pStyle w:val="yTableNAm"/>
              <w:rPr>
                <w:szCs w:val="22"/>
              </w:rPr>
            </w:pPr>
            <w:r>
              <w:rPr>
                <w:szCs w:val="22"/>
              </w:rPr>
              <w:t>Latham</w:t>
            </w:r>
          </w:p>
        </w:tc>
        <w:tc>
          <w:tcPr>
            <w:tcW w:w="1800" w:type="dxa"/>
            <w:tcBorders>
              <w:top w:val="nil"/>
              <w:left w:val="nil"/>
              <w:bottom w:val="nil"/>
              <w:right w:val="nil"/>
            </w:tcBorders>
            <w:vAlign w:val="bottom"/>
          </w:tcPr>
          <w:p>
            <w:pPr>
              <w:pStyle w:val="yTableNAm"/>
              <w:jc w:val="center"/>
              <w:rPr>
                <w:sz w:val="24"/>
                <w:szCs w:val="24"/>
              </w:rPr>
            </w:pPr>
            <w:r>
              <w:t>5</w:t>
            </w:r>
          </w:p>
        </w:tc>
        <w:tc>
          <w:tcPr>
            <w:tcW w:w="1800" w:type="dxa"/>
            <w:tcBorders>
              <w:top w:val="nil"/>
              <w:left w:val="nil"/>
              <w:bottom w:val="nil"/>
              <w:right w:val="nil"/>
            </w:tcBorders>
            <w:vAlign w:val="bottom"/>
          </w:tcPr>
          <w:p>
            <w:pPr>
              <w:pStyle w:val="yTableNAm"/>
              <w:jc w:val="center"/>
              <w:rPr>
                <w:sz w:val="24"/>
                <w:szCs w:val="24"/>
              </w:rPr>
            </w:pPr>
            <w:r>
              <w:t>14</w:t>
            </w:r>
          </w:p>
        </w:tc>
      </w:tr>
      <w:tr>
        <w:tc>
          <w:tcPr>
            <w:tcW w:w="2920" w:type="dxa"/>
            <w:tcBorders>
              <w:top w:val="nil"/>
              <w:left w:val="nil"/>
              <w:bottom w:val="nil"/>
              <w:right w:val="nil"/>
            </w:tcBorders>
            <w:vAlign w:val="center"/>
          </w:tcPr>
          <w:p>
            <w:pPr>
              <w:pStyle w:val="yTableNAm"/>
              <w:rPr>
                <w:szCs w:val="22"/>
              </w:rPr>
            </w:pPr>
            <w:r>
              <w:rPr>
                <w:szCs w:val="22"/>
              </w:rPr>
              <w:t>Laverton</w:t>
            </w:r>
          </w:p>
        </w:tc>
        <w:tc>
          <w:tcPr>
            <w:tcW w:w="1800" w:type="dxa"/>
            <w:tcBorders>
              <w:top w:val="nil"/>
              <w:left w:val="nil"/>
              <w:bottom w:val="nil"/>
              <w:right w:val="nil"/>
            </w:tcBorders>
            <w:vAlign w:val="bottom"/>
          </w:tcPr>
          <w:p>
            <w:pPr>
              <w:pStyle w:val="yTableNAm"/>
              <w:jc w:val="center"/>
              <w:rPr>
                <w:sz w:val="24"/>
                <w:szCs w:val="24"/>
              </w:rPr>
            </w:pPr>
            <w:r>
              <w:t>5</w:t>
            </w:r>
          </w:p>
        </w:tc>
        <w:tc>
          <w:tcPr>
            <w:tcW w:w="1800" w:type="dxa"/>
            <w:tcBorders>
              <w:top w:val="nil"/>
              <w:left w:val="nil"/>
              <w:bottom w:val="nil"/>
              <w:right w:val="nil"/>
            </w:tcBorders>
            <w:vAlign w:val="bottom"/>
          </w:tcPr>
          <w:p>
            <w:pPr>
              <w:pStyle w:val="yTableNAm"/>
              <w:jc w:val="center"/>
              <w:rPr>
                <w:sz w:val="24"/>
                <w:szCs w:val="24"/>
              </w:rPr>
            </w:pPr>
            <w:r>
              <w:t>12</w:t>
            </w:r>
          </w:p>
        </w:tc>
      </w:tr>
      <w:tr>
        <w:tc>
          <w:tcPr>
            <w:tcW w:w="2920" w:type="dxa"/>
            <w:tcBorders>
              <w:top w:val="nil"/>
              <w:left w:val="nil"/>
              <w:bottom w:val="nil"/>
              <w:right w:val="nil"/>
            </w:tcBorders>
            <w:vAlign w:val="center"/>
          </w:tcPr>
          <w:p>
            <w:pPr>
              <w:pStyle w:val="yTableNAm"/>
              <w:rPr>
                <w:szCs w:val="22"/>
              </w:rPr>
            </w:pPr>
            <w:r>
              <w:rPr>
                <w:szCs w:val="22"/>
              </w:rPr>
              <w:t>Ledge Point</w:t>
            </w:r>
          </w:p>
        </w:tc>
        <w:tc>
          <w:tcPr>
            <w:tcW w:w="1800" w:type="dxa"/>
            <w:tcBorders>
              <w:top w:val="nil"/>
              <w:left w:val="nil"/>
              <w:bottom w:val="nil"/>
              <w:right w:val="nil"/>
            </w:tcBorders>
            <w:vAlign w:val="bottom"/>
          </w:tcPr>
          <w:p>
            <w:pPr>
              <w:pStyle w:val="yTableNAm"/>
              <w:jc w:val="center"/>
              <w:rPr>
                <w:sz w:val="24"/>
                <w:szCs w:val="24"/>
              </w:rPr>
            </w:pPr>
            <w:r>
              <w:t>4</w:t>
            </w:r>
          </w:p>
        </w:tc>
        <w:tc>
          <w:tcPr>
            <w:tcW w:w="1800" w:type="dxa"/>
            <w:tcBorders>
              <w:top w:val="nil"/>
              <w:left w:val="nil"/>
              <w:bottom w:val="nil"/>
              <w:right w:val="nil"/>
            </w:tcBorders>
            <w:vAlign w:val="bottom"/>
          </w:tcPr>
          <w:p>
            <w:pPr>
              <w:pStyle w:val="yTableNAm"/>
              <w:jc w:val="center"/>
              <w:rPr>
                <w:sz w:val="24"/>
                <w:szCs w:val="24"/>
              </w:rPr>
            </w:pPr>
            <w:r>
              <w:t>10</w:t>
            </w:r>
          </w:p>
        </w:tc>
      </w:tr>
      <w:tr>
        <w:tc>
          <w:tcPr>
            <w:tcW w:w="2920" w:type="dxa"/>
            <w:tcBorders>
              <w:top w:val="nil"/>
              <w:left w:val="nil"/>
              <w:bottom w:val="nil"/>
              <w:right w:val="nil"/>
            </w:tcBorders>
            <w:vAlign w:val="center"/>
          </w:tcPr>
          <w:p>
            <w:pPr>
              <w:pStyle w:val="yTableNAm"/>
              <w:rPr>
                <w:szCs w:val="22"/>
              </w:rPr>
            </w:pPr>
            <w:r>
              <w:rPr>
                <w:szCs w:val="22"/>
              </w:rPr>
              <w:t>Leeman</w:t>
            </w:r>
          </w:p>
        </w:tc>
        <w:tc>
          <w:tcPr>
            <w:tcW w:w="1800" w:type="dxa"/>
            <w:tcBorders>
              <w:top w:val="nil"/>
              <w:left w:val="nil"/>
              <w:bottom w:val="nil"/>
              <w:right w:val="nil"/>
            </w:tcBorders>
            <w:vAlign w:val="bottom"/>
          </w:tcPr>
          <w:p>
            <w:pPr>
              <w:pStyle w:val="yTableNAm"/>
              <w:jc w:val="center"/>
              <w:rPr>
                <w:sz w:val="24"/>
                <w:szCs w:val="24"/>
              </w:rPr>
            </w:pPr>
            <w:r>
              <w:t>4</w:t>
            </w:r>
          </w:p>
        </w:tc>
        <w:tc>
          <w:tcPr>
            <w:tcW w:w="1800" w:type="dxa"/>
            <w:tcBorders>
              <w:top w:val="nil"/>
              <w:left w:val="nil"/>
              <w:bottom w:val="nil"/>
              <w:right w:val="nil"/>
            </w:tcBorders>
            <w:vAlign w:val="bottom"/>
          </w:tcPr>
          <w:p>
            <w:pPr>
              <w:pStyle w:val="yTableNAm"/>
              <w:jc w:val="center"/>
              <w:rPr>
                <w:sz w:val="24"/>
                <w:szCs w:val="24"/>
              </w:rPr>
            </w:pPr>
            <w:r>
              <w:t>10</w:t>
            </w:r>
          </w:p>
        </w:tc>
      </w:tr>
      <w:tr>
        <w:tc>
          <w:tcPr>
            <w:tcW w:w="2920" w:type="dxa"/>
            <w:tcBorders>
              <w:top w:val="nil"/>
              <w:left w:val="nil"/>
              <w:bottom w:val="nil"/>
              <w:right w:val="nil"/>
            </w:tcBorders>
            <w:vAlign w:val="center"/>
          </w:tcPr>
          <w:p>
            <w:pPr>
              <w:pStyle w:val="yTableNAm"/>
              <w:rPr>
                <w:szCs w:val="22"/>
              </w:rPr>
            </w:pPr>
            <w:r>
              <w:rPr>
                <w:szCs w:val="22"/>
              </w:rPr>
              <w:t>Leonora</w:t>
            </w:r>
          </w:p>
        </w:tc>
        <w:tc>
          <w:tcPr>
            <w:tcW w:w="1800" w:type="dxa"/>
            <w:tcBorders>
              <w:top w:val="nil"/>
              <w:left w:val="nil"/>
              <w:bottom w:val="nil"/>
              <w:right w:val="nil"/>
            </w:tcBorders>
            <w:vAlign w:val="bottom"/>
          </w:tcPr>
          <w:p>
            <w:pPr>
              <w:pStyle w:val="yTableNAm"/>
              <w:jc w:val="center"/>
              <w:rPr>
                <w:sz w:val="24"/>
                <w:szCs w:val="24"/>
              </w:rPr>
            </w:pPr>
            <w:r>
              <w:t>5</w:t>
            </w:r>
          </w:p>
        </w:tc>
        <w:tc>
          <w:tcPr>
            <w:tcW w:w="1800" w:type="dxa"/>
            <w:tcBorders>
              <w:top w:val="nil"/>
              <w:left w:val="nil"/>
              <w:bottom w:val="nil"/>
              <w:right w:val="nil"/>
            </w:tcBorders>
            <w:vAlign w:val="bottom"/>
          </w:tcPr>
          <w:p>
            <w:pPr>
              <w:pStyle w:val="yTableNAm"/>
              <w:jc w:val="center"/>
              <w:rPr>
                <w:sz w:val="24"/>
                <w:szCs w:val="24"/>
              </w:rPr>
            </w:pPr>
            <w:r>
              <w:t>12</w:t>
            </w:r>
          </w:p>
        </w:tc>
      </w:tr>
      <w:tr>
        <w:tc>
          <w:tcPr>
            <w:tcW w:w="2920" w:type="dxa"/>
            <w:tcBorders>
              <w:top w:val="nil"/>
              <w:left w:val="nil"/>
              <w:bottom w:val="nil"/>
              <w:right w:val="nil"/>
            </w:tcBorders>
            <w:vAlign w:val="center"/>
          </w:tcPr>
          <w:p>
            <w:pPr>
              <w:pStyle w:val="yTableNAm"/>
              <w:rPr>
                <w:szCs w:val="22"/>
              </w:rPr>
            </w:pPr>
            <w:r>
              <w:rPr>
                <w:szCs w:val="22"/>
              </w:rPr>
              <w:t>Mandurah</w:t>
            </w:r>
          </w:p>
        </w:tc>
        <w:tc>
          <w:tcPr>
            <w:tcW w:w="1800" w:type="dxa"/>
            <w:tcBorders>
              <w:top w:val="nil"/>
              <w:left w:val="nil"/>
              <w:bottom w:val="nil"/>
              <w:right w:val="nil"/>
            </w:tcBorders>
            <w:vAlign w:val="bottom"/>
          </w:tcPr>
          <w:p>
            <w:pPr>
              <w:pStyle w:val="yTableNAm"/>
              <w:jc w:val="center"/>
              <w:rPr>
                <w:sz w:val="24"/>
                <w:szCs w:val="24"/>
              </w:rPr>
            </w:pPr>
            <w:r>
              <w:t>2</w:t>
            </w:r>
          </w:p>
        </w:tc>
        <w:tc>
          <w:tcPr>
            <w:tcW w:w="1800" w:type="dxa"/>
            <w:tcBorders>
              <w:top w:val="nil"/>
              <w:left w:val="nil"/>
              <w:bottom w:val="nil"/>
              <w:right w:val="nil"/>
            </w:tcBorders>
            <w:vAlign w:val="bottom"/>
          </w:tcPr>
          <w:p>
            <w:pPr>
              <w:pStyle w:val="yTableNAm"/>
              <w:jc w:val="center"/>
              <w:rPr>
                <w:sz w:val="24"/>
                <w:szCs w:val="24"/>
              </w:rPr>
            </w:pPr>
            <w:r>
              <w:t>3</w:t>
            </w:r>
          </w:p>
        </w:tc>
      </w:tr>
      <w:tr>
        <w:tc>
          <w:tcPr>
            <w:tcW w:w="2920" w:type="dxa"/>
            <w:tcBorders>
              <w:top w:val="nil"/>
              <w:left w:val="nil"/>
              <w:bottom w:val="nil"/>
              <w:right w:val="nil"/>
            </w:tcBorders>
            <w:vAlign w:val="center"/>
          </w:tcPr>
          <w:p>
            <w:pPr>
              <w:pStyle w:val="yTableNAm"/>
              <w:rPr>
                <w:szCs w:val="22"/>
              </w:rPr>
            </w:pPr>
            <w:r>
              <w:rPr>
                <w:szCs w:val="22"/>
              </w:rPr>
              <w:t>Manjimup</w:t>
            </w:r>
          </w:p>
        </w:tc>
        <w:tc>
          <w:tcPr>
            <w:tcW w:w="1800" w:type="dxa"/>
            <w:tcBorders>
              <w:top w:val="nil"/>
              <w:left w:val="nil"/>
              <w:bottom w:val="nil"/>
              <w:right w:val="nil"/>
            </w:tcBorders>
            <w:vAlign w:val="bottom"/>
          </w:tcPr>
          <w:p>
            <w:pPr>
              <w:pStyle w:val="yTableNAm"/>
              <w:jc w:val="center"/>
              <w:rPr>
                <w:sz w:val="24"/>
                <w:szCs w:val="24"/>
              </w:rPr>
            </w:pPr>
            <w:r>
              <w:t>4</w:t>
            </w:r>
          </w:p>
        </w:tc>
        <w:tc>
          <w:tcPr>
            <w:tcW w:w="1800" w:type="dxa"/>
            <w:tcBorders>
              <w:top w:val="nil"/>
              <w:left w:val="nil"/>
              <w:bottom w:val="nil"/>
              <w:right w:val="nil"/>
            </w:tcBorders>
            <w:vAlign w:val="bottom"/>
          </w:tcPr>
          <w:p>
            <w:pPr>
              <w:pStyle w:val="yTableNAm"/>
              <w:jc w:val="center"/>
              <w:rPr>
                <w:sz w:val="24"/>
                <w:szCs w:val="24"/>
              </w:rPr>
            </w:pPr>
            <w:r>
              <w:t>10</w:t>
            </w:r>
          </w:p>
        </w:tc>
      </w:tr>
      <w:tr>
        <w:tc>
          <w:tcPr>
            <w:tcW w:w="2920" w:type="dxa"/>
            <w:tcBorders>
              <w:top w:val="nil"/>
              <w:left w:val="nil"/>
              <w:bottom w:val="nil"/>
              <w:right w:val="nil"/>
            </w:tcBorders>
            <w:vAlign w:val="center"/>
          </w:tcPr>
          <w:p>
            <w:pPr>
              <w:pStyle w:val="yTableNAm"/>
              <w:rPr>
                <w:szCs w:val="22"/>
              </w:rPr>
            </w:pPr>
            <w:r>
              <w:rPr>
                <w:szCs w:val="22"/>
              </w:rPr>
              <w:t>Marble Bar</w:t>
            </w:r>
          </w:p>
        </w:tc>
        <w:tc>
          <w:tcPr>
            <w:tcW w:w="1800" w:type="dxa"/>
            <w:tcBorders>
              <w:top w:val="nil"/>
              <w:left w:val="nil"/>
              <w:bottom w:val="nil"/>
              <w:right w:val="nil"/>
            </w:tcBorders>
            <w:vAlign w:val="bottom"/>
          </w:tcPr>
          <w:p>
            <w:pPr>
              <w:pStyle w:val="yTableNAm"/>
              <w:jc w:val="center"/>
              <w:rPr>
                <w:sz w:val="24"/>
                <w:szCs w:val="24"/>
              </w:rPr>
            </w:pPr>
            <w:r>
              <w:t>5</w:t>
            </w:r>
          </w:p>
        </w:tc>
        <w:tc>
          <w:tcPr>
            <w:tcW w:w="1800" w:type="dxa"/>
            <w:tcBorders>
              <w:top w:val="nil"/>
              <w:left w:val="nil"/>
              <w:bottom w:val="nil"/>
              <w:right w:val="nil"/>
            </w:tcBorders>
            <w:vAlign w:val="bottom"/>
          </w:tcPr>
          <w:p>
            <w:pPr>
              <w:pStyle w:val="yTableNAm"/>
              <w:jc w:val="center"/>
              <w:rPr>
                <w:sz w:val="24"/>
                <w:szCs w:val="24"/>
              </w:rPr>
            </w:pPr>
            <w:r>
              <w:t>14</w:t>
            </w:r>
          </w:p>
        </w:tc>
      </w:tr>
      <w:tr>
        <w:tc>
          <w:tcPr>
            <w:tcW w:w="2920" w:type="dxa"/>
            <w:tcBorders>
              <w:top w:val="nil"/>
              <w:left w:val="nil"/>
              <w:bottom w:val="nil"/>
              <w:right w:val="nil"/>
            </w:tcBorders>
            <w:vAlign w:val="center"/>
          </w:tcPr>
          <w:p>
            <w:pPr>
              <w:pStyle w:val="yTableNAm"/>
              <w:rPr>
                <w:szCs w:val="22"/>
              </w:rPr>
            </w:pPr>
            <w:r>
              <w:rPr>
                <w:szCs w:val="22"/>
              </w:rPr>
              <w:t>Margaret River</w:t>
            </w:r>
          </w:p>
        </w:tc>
        <w:tc>
          <w:tcPr>
            <w:tcW w:w="1800" w:type="dxa"/>
            <w:tcBorders>
              <w:top w:val="nil"/>
              <w:left w:val="nil"/>
              <w:bottom w:val="nil"/>
              <w:right w:val="nil"/>
            </w:tcBorders>
            <w:vAlign w:val="bottom"/>
          </w:tcPr>
          <w:p>
            <w:pPr>
              <w:pStyle w:val="yTableNAm"/>
              <w:jc w:val="center"/>
              <w:rPr>
                <w:sz w:val="24"/>
                <w:szCs w:val="24"/>
              </w:rPr>
            </w:pPr>
            <w:r>
              <w:t>2</w:t>
            </w:r>
          </w:p>
        </w:tc>
        <w:tc>
          <w:tcPr>
            <w:tcW w:w="1800" w:type="dxa"/>
            <w:tcBorders>
              <w:top w:val="nil"/>
              <w:left w:val="nil"/>
              <w:bottom w:val="nil"/>
              <w:right w:val="nil"/>
            </w:tcBorders>
            <w:vAlign w:val="bottom"/>
          </w:tcPr>
          <w:p>
            <w:pPr>
              <w:pStyle w:val="yTableNAm"/>
              <w:jc w:val="center"/>
              <w:rPr>
                <w:sz w:val="24"/>
                <w:szCs w:val="24"/>
              </w:rPr>
            </w:pPr>
            <w:r>
              <w:t>4</w:t>
            </w:r>
          </w:p>
        </w:tc>
      </w:tr>
      <w:tr>
        <w:tc>
          <w:tcPr>
            <w:tcW w:w="2920" w:type="dxa"/>
            <w:tcBorders>
              <w:top w:val="nil"/>
              <w:left w:val="nil"/>
              <w:bottom w:val="nil"/>
              <w:right w:val="nil"/>
            </w:tcBorders>
            <w:vAlign w:val="center"/>
          </w:tcPr>
          <w:p>
            <w:pPr>
              <w:pStyle w:val="yTableNAm"/>
              <w:rPr>
                <w:szCs w:val="22"/>
              </w:rPr>
            </w:pPr>
            <w:r>
              <w:rPr>
                <w:szCs w:val="22"/>
              </w:rPr>
              <w:t>Marvel Loch</w:t>
            </w:r>
          </w:p>
        </w:tc>
        <w:tc>
          <w:tcPr>
            <w:tcW w:w="1800" w:type="dxa"/>
            <w:tcBorders>
              <w:top w:val="nil"/>
              <w:left w:val="nil"/>
              <w:bottom w:val="nil"/>
              <w:right w:val="nil"/>
            </w:tcBorders>
            <w:vAlign w:val="bottom"/>
          </w:tcPr>
          <w:p>
            <w:pPr>
              <w:pStyle w:val="yTableNAm"/>
              <w:jc w:val="center"/>
              <w:rPr>
                <w:sz w:val="24"/>
                <w:szCs w:val="24"/>
              </w:rPr>
            </w:pPr>
            <w:r>
              <w:t>5</w:t>
            </w:r>
          </w:p>
        </w:tc>
        <w:tc>
          <w:tcPr>
            <w:tcW w:w="1800" w:type="dxa"/>
            <w:tcBorders>
              <w:top w:val="nil"/>
              <w:left w:val="nil"/>
              <w:bottom w:val="nil"/>
              <w:right w:val="nil"/>
            </w:tcBorders>
            <w:vAlign w:val="bottom"/>
          </w:tcPr>
          <w:p>
            <w:pPr>
              <w:pStyle w:val="yTableNAm"/>
              <w:jc w:val="center"/>
              <w:rPr>
                <w:sz w:val="24"/>
                <w:szCs w:val="24"/>
              </w:rPr>
            </w:pPr>
            <w:r>
              <w:t>14</w:t>
            </w:r>
          </w:p>
        </w:tc>
      </w:tr>
      <w:tr>
        <w:tc>
          <w:tcPr>
            <w:tcW w:w="2920" w:type="dxa"/>
            <w:tcBorders>
              <w:top w:val="nil"/>
              <w:left w:val="nil"/>
              <w:bottom w:val="nil"/>
              <w:right w:val="nil"/>
            </w:tcBorders>
            <w:vAlign w:val="center"/>
          </w:tcPr>
          <w:p>
            <w:pPr>
              <w:pStyle w:val="yTableNAm"/>
              <w:rPr>
                <w:szCs w:val="22"/>
              </w:rPr>
            </w:pPr>
            <w:r>
              <w:rPr>
                <w:szCs w:val="22"/>
              </w:rPr>
              <w:t>Meckering</w:t>
            </w:r>
          </w:p>
        </w:tc>
        <w:tc>
          <w:tcPr>
            <w:tcW w:w="1800" w:type="dxa"/>
            <w:tcBorders>
              <w:top w:val="nil"/>
              <w:left w:val="nil"/>
              <w:bottom w:val="nil"/>
              <w:right w:val="nil"/>
            </w:tcBorders>
            <w:vAlign w:val="bottom"/>
          </w:tcPr>
          <w:p>
            <w:pPr>
              <w:pStyle w:val="yTableNAm"/>
              <w:jc w:val="center"/>
              <w:rPr>
                <w:sz w:val="24"/>
                <w:szCs w:val="24"/>
              </w:rPr>
            </w:pPr>
            <w:r>
              <w:t>5</w:t>
            </w:r>
          </w:p>
        </w:tc>
        <w:tc>
          <w:tcPr>
            <w:tcW w:w="1800" w:type="dxa"/>
            <w:tcBorders>
              <w:top w:val="nil"/>
              <w:left w:val="nil"/>
              <w:bottom w:val="nil"/>
              <w:right w:val="nil"/>
            </w:tcBorders>
            <w:vAlign w:val="bottom"/>
          </w:tcPr>
          <w:p>
            <w:pPr>
              <w:pStyle w:val="yTableNAm"/>
              <w:jc w:val="center"/>
              <w:rPr>
                <w:sz w:val="24"/>
                <w:szCs w:val="24"/>
              </w:rPr>
            </w:pPr>
            <w:r>
              <w:t>10</w:t>
            </w:r>
          </w:p>
        </w:tc>
      </w:tr>
      <w:tr>
        <w:tc>
          <w:tcPr>
            <w:tcW w:w="2920" w:type="dxa"/>
            <w:tcBorders>
              <w:top w:val="nil"/>
              <w:left w:val="nil"/>
              <w:bottom w:val="nil"/>
              <w:right w:val="nil"/>
            </w:tcBorders>
            <w:vAlign w:val="center"/>
          </w:tcPr>
          <w:p>
            <w:pPr>
              <w:pStyle w:val="yTableNAm"/>
              <w:rPr>
                <w:szCs w:val="22"/>
              </w:rPr>
            </w:pPr>
            <w:r>
              <w:rPr>
                <w:szCs w:val="22"/>
              </w:rPr>
              <w:t>Meekatharra</w:t>
            </w:r>
          </w:p>
        </w:tc>
        <w:tc>
          <w:tcPr>
            <w:tcW w:w="1800" w:type="dxa"/>
            <w:tcBorders>
              <w:top w:val="nil"/>
              <w:left w:val="nil"/>
              <w:bottom w:val="nil"/>
              <w:right w:val="nil"/>
            </w:tcBorders>
            <w:vAlign w:val="bottom"/>
          </w:tcPr>
          <w:p>
            <w:pPr>
              <w:pStyle w:val="yTableNAm"/>
              <w:jc w:val="center"/>
              <w:rPr>
                <w:sz w:val="24"/>
                <w:szCs w:val="24"/>
              </w:rPr>
            </w:pPr>
            <w:r>
              <w:t>4</w:t>
            </w:r>
          </w:p>
        </w:tc>
        <w:tc>
          <w:tcPr>
            <w:tcW w:w="1800" w:type="dxa"/>
            <w:tcBorders>
              <w:top w:val="nil"/>
              <w:left w:val="nil"/>
              <w:bottom w:val="nil"/>
              <w:right w:val="nil"/>
            </w:tcBorders>
            <w:vAlign w:val="bottom"/>
          </w:tcPr>
          <w:p>
            <w:pPr>
              <w:pStyle w:val="yTableNAm"/>
              <w:jc w:val="center"/>
              <w:rPr>
                <w:sz w:val="24"/>
                <w:szCs w:val="24"/>
              </w:rPr>
            </w:pPr>
            <w:r>
              <w:t>10</w:t>
            </w:r>
          </w:p>
        </w:tc>
      </w:tr>
      <w:tr>
        <w:tc>
          <w:tcPr>
            <w:tcW w:w="2920" w:type="dxa"/>
            <w:tcBorders>
              <w:top w:val="nil"/>
              <w:left w:val="nil"/>
              <w:bottom w:val="nil"/>
              <w:right w:val="nil"/>
            </w:tcBorders>
            <w:vAlign w:val="center"/>
          </w:tcPr>
          <w:p>
            <w:pPr>
              <w:pStyle w:val="yTableNAm"/>
              <w:rPr>
                <w:szCs w:val="22"/>
              </w:rPr>
            </w:pPr>
            <w:r>
              <w:rPr>
                <w:szCs w:val="22"/>
              </w:rPr>
              <w:t>Menzies</w:t>
            </w:r>
          </w:p>
        </w:tc>
        <w:tc>
          <w:tcPr>
            <w:tcW w:w="1800" w:type="dxa"/>
            <w:tcBorders>
              <w:top w:val="nil"/>
              <w:left w:val="nil"/>
              <w:bottom w:val="nil"/>
              <w:right w:val="nil"/>
            </w:tcBorders>
            <w:vAlign w:val="bottom"/>
          </w:tcPr>
          <w:p>
            <w:pPr>
              <w:pStyle w:val="yTableNAm"/>
              <w:jc w:val="center"/>
              <w:rPr>
                <w:sz w:val="24"/>
                <w:szCs w:val="24"/>
              </w:rPr>
            </w:pPr>
            <w:r>
              <w:t>5</w:t>
            </w:r>
          </w:p>
        </w:tc>
        <w:tc>
          <w:tcPr>
            <w:tcW w:w="1800" w:type="dxa"/>
            <w:tcBorders>
              <w:top w:val="nil"/>
              <w:left w:val="nil"/>
              <w:bottom w:val="nil"/>
              <w:right w:val="nil"/>
            </w:tcBorders>
            <w:vAlign w:val="bottom"/>
          </w:tcPr>
          <w:p>
            <w:pPr>
              <w:pStyle w:val="yTableNAm"/>
              <w:jc w:val="center"/>
              <w:rPr>
                <w:sz w:val="24"/>
                <w:szCs w:val="24"/>
              </w:rPr>
            </w:pPr>
            <w:r>
              <w:t>15</w:t>
            </w:r>
          </w:p>
        </w:tc>
      </w:tr>
      <w:tr>
        <w:tc>
          <w:tcPr>
            <w:tcW w:w="2920" w:type="dxa"/>
            <w:tcBorders>
              <w:top w:val="nil"/>
              <w:left w:val="nil"/>
              <w:bottom w:val="nil"/>
              <w:right w:val="nil"/>
            </w:tcBorders>
            <w:vAlign w:val="center"/>
          </w:tcPr>
          <w:p>
            <w:pPr>
              <w:pStyle w:val="yTableNAm"/>
              <w:rPr>
                <w:szCs w:val="22"/>
              </w:rPr>
            </w:pPr>
            <w:r>
              <w:rPr>
                <w:szCs w:val="22"/>
              </w:rPr>
              <w:t>Merredin</w:t>
            </w:r>
          </w:p>
        </w:tc>
        <w:tc>
          <w:tcPr>
            <w:tcW w:w="1800" w:type="dxa"/>
            <w:tcBorders>
              <w:top w:val="nil"/>
              <w:left w:val="nil"/>
              <w:bottom w:val="nil"/>
              <w:right w:val="nil"/>
            </w:tcBorders>
            <w:vAlign w:val="bottom"/>
          </w:tcPr>
          <w:p>
            <w:pPr>
              <w:pStyle w:val="yTableNAm"/>
              <w:jc w:val="center"/>
              <w:rPr>
                <w:sz w:val="24"/>
                <w:szCs w:val="24"/>
              </w:rPr>
            </w:pPr>
            <w:r>
              <w:t>5</w:t>
            </w:r>
          </w:p>
        </w:tc>
        <w:tc>
          <w:tcPr>
            <w:tcW w:w="1800" w:type="dxa"/>
            <w:tcBorders>
              <w:top w:val="nil"/>
              <w:left w:val="nil"/>
              <w:bottom w:val="nil"/>
              <w:right w:val="nil"/>
            </w:tcBorders>
            <w:vAlign w:val="bottom"/>
          </w:tcPr>
          <w:p>
            <w:pPr>
              <w:pStyle w:val="yTableNAm"/>
              <w:jc w:val="center"/>
              <w:rPr>
                <w:sz w:val="24"/>
                <w:szCs w:val="24"/>
              </w:rPr>
            </w:pPr>
            <w:r>
              <w:t>10</w:t>
            </w:r>
          </w:p>
        </w:tc>
      </w:tr>
      <w:tr>
        <w:tc>
          <w:tcPr>
            <w:tcW w:w="2920" w:type="dxa"/>
            <w:tcBorders>
              <w:top w:val="nil"/>
              <w:left w:val="nil"/>
              <w:bottom w:val="nil"/>
              <w:right w:val="nil"/>
            </w:tcBorders>
            <w:vAlign w:val="center"/>
          </w:tcPr>
          <w:p>
            <w:pPr>
              <w:pStyle w:val="yTableNAm"/>
              <w:rPr>
                <w:szCs w:val="22"/>
              </w:rPr>
            </w:pPr>
            <w:r>
              <w:rPr>
                <w:szCs w:val="22"/>
              </w:rPr>
              <w:t>Merredin Farmlands</w:t>
            </w:r>
          </w:p>
        </w:tc>
        <w:tc>
          <w:tcPr>
            <w:tcW w:w="1800" w:type="dxa"/>
            <w:tcBorders>
              <w:top w:val="nil"/>
              <w:left w:val="nil"/>
              <w:bottom w:val="nil"/>
              <w:right w:val="nil"/>
            </w:tcBorders>
            <w:vAlign w:val="bottom"/>
          </w:tcPr>
          <w:p>
            <w:pPr>
              <w:pStyle w:val="yTableNAm"/>
              <w:jc w:val="center"/>
              <w:rPr>
                <w:sz w:val="24"/>
                <w:szCs w:val="24"/>
              </w:rPr>
            </w:pPr>
            <w:r>
              <w:t>3</w:t>
            </w:r>
          </w:p>
        </w:tc>
        <w:tc>
          <w:tcPr>
            <w:tcW w:w="1800" w:type="dxa"/>
            <w:tcBorders>
              <w:top w:val="nil"/>
              <w:left w:val="nil"/>
              <w:bottom w:val="nil"/>
              <w:right w:val="nil"/>
            </w:tcBorders>
            <w:vAlign w:val="bottom"/>
          </w:tcPr>
          <w:p>
            <w:pPr>
              <w:pStyle w:val="yTableNAm"/>
              <w:jc w:val="center"/>
              <w:rPr>
                <w:sz w:val="24"/>
                <w:szCs w:val="24"/>
              </w:rPr>
            </w:pPr>
            <w:r>
              <w:t>9</w:t>
            </w:r>
          </w:p>
        </w:tc>
      </w:tr>
      <w:tr>
        <w:tc>
          <w:tcPr>
            <w:tcW w:w="2920" w:type="dxa"/>
            <w:tcBorders>
              <w:top w:val="nil"/>
              <w:left w:val="nil"/>
              <w:bottom w:val="nil"/>
              <w:right w:val="nil"/>
            </w:tcBorders>
            <w:vAlign w:val="center"/>
          </w:tcPr>
          <w:p>
            <w:pPr>
              <w:pStyle w:val="yTableNAm"/>
              <w:rPr>
                <w:szCs w:val="22"/>
              </w:rPr>
            </w:pPr>
            <w:r>
              <w:rPr>
                <w:szCs w:val="22"/>
              </w:rPr>
              <w:t>Miling</w:t>
            </w:r>
          </w:p>
        </w:tc>
        <w:tc>
          <w:tcPr>
            <w:tcW w:w="1800" w:type="dxa"/>
            <w:tcBorders>
              <w:top w:val="nil"/>
              <w:left w:val="nil"/>
              <w:bottom w:val="nil"/>
              <w:right w:val="nil"/>
            </w:tcBorders>
            <w:vAlign w:val="bottom"/>
          </w:tcPr>
          <w:p>
            <w:pPr>
              <w:pStyle w:val="yTableNAm"/>
              <w:jc w:val="center"/>
              <w:rPr>
                <w:sz w:val="24"/>
                <w:szCs w:val="24"/>
              </w:rPr>
            </w:pPr>
            <w:r>
              <w:t>5</w:t>
            </w:r>
          </w:p>
        </w:tc>
        <w:tc>
          <w:tcPr>
            <w:tcW w:w="1800" w:type="dxa"/>
            <w:tcBorders>
              <w:top w:val="nil"/>
              <w:left w:val="nil"/>
              <w:bottom w:val="nil"/>
              <w:right w:val="nil"/>
            </w:tcBorders>
            <w:vAlign w:val="bottom"/>
          </w:tcPr>
          <w:p>
            <w:pPr>
              <w:pStyle w:val="yTableNAm"/>
              <w:jc w:val="center"/>
              <w:rPr>
                <w:sz w:val="24"/>
                <w:szCs w:val="24"/>
              </w:rPr>
            </w:pPr>
            <w:r>
              <w:t>12</w:t>
            </w:r>
          </w:p>
        </w:tc>
      </w:tr>
      <w:tr>
        <w:tc>
          <w:tcPr>
            <w:tcW w:w="2920" w:type="dxa"/>
            <w:tcBorders>
              <w:top w:val="nil"/>
              <w:left w:val="nil"/>
              <w:bottom w:val="nil"/>
              <w:right w:val="nil"/>
            </w:tcBorders>
            <w:vAlign w:val="center"/>
          </w:tcPr>
          <w:p>
            <w:pPr>
              <w:pStyle w:val="yTableNAm"/>
              <w:rPr>
                <w:szCs w:val="22"/>
              </w:rPr>
            </w:pPr>
            <w:r>
              <w:rPr>
                <w:szCs w:val="22"/>
              </w:rPr>
              <w:t>Mingenew</w:t>
            </w:r>
          </w:p>
        </w:tc>
        <w:tc>
          <w:tcPr>
            <w:tcW w:w="1800" w:type="dxa"/>
            <w:tcBorders>
              <w:top w:val="nil"/>
              <w:left w:val="nil"/>
              <w:bottom w:val="nil"/>
              <w:right w:val="nil"/>
            </w:tcBorders>
            <w:vAlign w:val="bottom"/>
          </w:tcPr>
          <w:p>
            <w:pPr>
              <w:pStyle w:val="yTableNAm"/>
              <w:jc w:val="center"/>
              <w:rPr>
                <w:sz w:val="24"/>
                <w:szCs w:val="24"/>
              </w:rPr>
            </w:pPr>
            <w:r>
              <w:t>4</w:t>
            </w:r>
          </w:p>
        </w:tc>
        <w:tc>
          <w:tcPr>
            <w:tcW w:w="1800" w:type="dxa"/>
            <w:tcBorders>
              <w:top w:val="nil"/>
              <w:left w:val="nil"/>
              <w:bottom w:val="nil"/>
              <w:right w:val="nil"/>
            </w:tcBorders>
            <w:vAlign w:val="bottom"/>
          </w:tcPr>
          <w:p>
            <w:pPr>
              <w:pStyle w:val="yTableNAm"/>
              <w:jc w:val="center"/>
              <w:rPr>
                <w:sz w:val="24"/>
                <w:szCs w:val="24"/>
              </w:rPr>
            </w:pPr>
            <w:r>
              <w:t>10</w:t>
            </w:r>
          </w:p>
        </w:tc>
      </w:tr>
      <w:tr>
        <w:tc>
          <w:tcPr>
            <w:tcW w:w="2920" w:type="dxa"/>
            <w:tcBorders>
              <w:top w:val="nil"/>
              <w:left w:val="nil"/>
              <w:bottom w:val="nil"/>
              <w:right w:val="nil"/>
            </w:tcBorders>
            <w:vAlign w:val="center"/>
          </w:tcPr>
          <w:p>
            <w:pPr>
              <w:pStyle w:val="yTableNAm"/>
              <w:rPr>
                <w:szCs w:val="22"/>
              </w:rPr>
            </w:pPr>
            <w:r>
              <w:rPr>
                <w:szCs w:val="22"/>
              </w:rPr>
              <w:t>Moora</w:t>
            </w:r>
          </w:p>
        </w:tc>
        <w:tc>
          <w:tcPr>
            <w:tcW w:w="1800" w:type="dxa"/>
            <w:tcBorders>
              <w:top w:val="nil"/>
              <w:left w:val="nil"/>
              <w:bottom w:val="nil"/>
              <w:right w:val="nil"/>
            </w:tcBorders>
            <w:vAlign w:val="bottom"/>
          </w:tcPr>
          <w:p>
            <w:pPr>
              <w:pStyle w:val="yTableNAm"/>
              <w:jc w:val="center"/>
              <w:rPr>
                <w:sz w:val="24"/>
                <w:szCs w:val="24"/>
              </w:rPr>
            </w:pPr>
            <w:r>
              <w:t>2</w:t>
            </w:r>
          </w:p>
        </w:tc>
        <w:tc>
          <w:tcPr>
            <w:tcW w:w="1800" w:type="dxa"/>
            <w:tcBorders>
              <w:top w:val="nil"/>
              <w:left w:val="nil"/>
              <w:bottom w:val="nil"/>
              <w:right w:val="nil"/>
            </w:tcBorders>
            <w:vAlign w:val="bottom"/>
          </w:tcPr>
          <w:p>
            <w:pPr>
              <w:pStyle w:val="yTableNAm"/>
              <w:jc w:val="center"/>
              <w:rPr>
                <w:sz w:val="24"/>
                <w:szCs w:val="24"/>
              </w:rPr>
            </w:pPr>
            <w:r>
              <w:t>3</w:t>
            </w:r>
          </w:p>
        </w:tc>
      </w:tr>
      <w:tr>
        <w:tc>
          <w:tcPr>
            <w:tcW w:w="2920" w:type="dxa"/>
            <w:tcBorders>
              <w:top w:val="nil"/>
              <w:left w:val="nil"/>
              <w:bottom w:val="nil"/>
              <w:right w:val="nil"/>
            </w:tcBorders>
            <w:vAlign w:val="center"/>
          </w:tcPr>
          <w:p>
            <w:pPr>
              <w:pStyle w:val="yTableNAm"/>
              <w:rPr>
                <w:szCs w:val="22"/>
              </w:rPr>
            </w:pPr>
            <w:r>
              <w:rPr>
                <w:szCs w:val="22"/>
              </w:rPr>
              <w:t>Moorine Rock</w:t>
            </w:r>
          </w:p>
        </w:tc>
        <w:tc>
          <w:tcPr>
            <w:tcW w:w="1800" w:type="dxa"/>
            <w:tcBorders>
              <w:top w:val="nil"/>
              <w:left w:val="nil"/>
              <w:bottom w:val="nil"/>
              <w:right w:val="nil"/>
            </w:tcBorders>
            <w:vAlign w:val="bottom"/>
          </w:tcPr>
          <w:p>
            <w:pPr>
              <w:pStyle w:val="yTableNAm"/>
              <w:jc w:val="center"/>
              <w:rPr>
                <w:sz w:val="24"/>
                <w:szCs w:val="24"/>
              </w:rPr>
            </w:pPr>
            <w:r>
              <w:t>5</w:t>
            </w:r>
          </w:p>
        </w:tc>
        <w:tc>
          <w:tcPr>
            <w:tcW w:w="1800" w:type="dxa"/>
            <w:tcBorders>
              <w:top w:val="nil"/>
              <w:left w:val="nil"/>
              <w:bottom w:val="nil"/>
              <w:right w:val="nil"/>
            </w:tcBorders>
            <w:vAlign w:val="bottom"/>
          </w:tcPr>
          <w:p>
            <w:pPr>
              <w:pStyle w:val="yTableNAm"/>
              <w:jc w:val="center"/>
              <w:rPr>
                <w:sz w:val="24"/>
                <w:szCs w:val="24"/>
              </w:rPr>
            </w:pPr>
            <w:r>
              <w:t>15</w:t>
            </w:r>
          </w:p>
        </w:tc>
      </w:tr>
      <w:tr>
        <w:tc>
          <w:tcPr>
            <w:tcW w:w="2920" w:type="dxa"/>
            <w:tcBorders>
              <w:top w:val="nil"/>
              <w:left w:val="nil"/>
              <w:bottom w:val="nil"/>
              <w:right w:val="nil"/>
            </w:tcBorders>
            <w:vAlign w:val="center"/>
          </w:tcPr>
          <w:p>
            <w:pPr>
              <w:pStyle w:val="yTableNAm"/>
              <w:rPr>
                <w:szCs w:val="22"/>
              </w:rPr>
            </w:pPr>
            <w:r>
              <w:rPr>
                <w:szCs w:val="22"/>
              </w:rPr>
              <w:t>Morawa</w:t>
            </w:r>
          </w:p>
        </w:tc>
        <w:tc>
          <w:tcPr>
            <w:tcW w:w="1800" w:type="dxa"/>
            <w:tcBorders>
              <w:top w:val="nil"/>
              <w:left w:val="nil"/>
              <w:bottom w:val="nil"/>
              <w:right w:val="nil"/>
            </w:tcBorders>
            <w:vAlign w:val="bottom"/>
          </w:tcPr>
          <w:p>
            <w:pPr>
              <w:pStyle w:val="yTableNAm"/>
              <w:jc w:val="center"/>
              <w:rPr>
                <w:sz w:val="24"/>
                <w:szCs w:val="24"/>
              </w:rPr>
            </w:pPr>
            <w:r>
              <w:t>5</w:t>
            </w:r>
          </w:p>
        </w:tc>
        <w:tc>
          <w:tcPr>
            <w:tcW w:w="1800" w:type="dxa"/>
            <w:tcBorders>
              <w:top w:val="nil"/>
              <w:left w:val="nil"/>
              <w:bottom w:val="nil"/>
              <w:right w:val="nil"/>
            </w:tcBorders>
            <w:vAlign w:val="bottom"/>
          </w:tcPr>
          <w:p>
            <w:pPr>
              <w:pStyle w:val="yTableNAm"/>
              <w:jc w:val="center"/>
              <w:rPr>
                <w:sz w:val="24"/>
                <w:szCs w:val="24"/>
              </w:rPr>
            </w:pPr>
            <w:r>
              <w:t>12</w:t>
            </w:r>
          </w:p>
        </w:tc>
      </w:tr>
      <w:tr>
        <w:tc>
          <w:tcPr>
            <w:tcW w:w="2920" w:type="dxa"/>
            <w:tcBorders>
              <w:top w:val="nil"/>
              <w:left w:val="nil"/>
              <w:bottom w:val="nil"/>
              <w:right w:val="nil"/>
            </w:tcBorders>
            <w:vAlign w:val="center"/>
          </w:tcPr>
          <w:p>
            <w:pPr>
              <w:pStyle w:val="yTableNAm"/>
              <w:rPr>
                <w:szCs w:val="22"/>
              </w:rPr>
            </w:pPr>
            <w:r>
              <w:rPr>
                <w:szCs w:val="22"/>
              </w:rPr>
              <w:t>Mount Barker</w:t>
            </w:r>
          </w:p>
        </w:tc>
        <w:tc>
          <w:tcPr>
            <w:tcW w:w="1800" w:type="dxa"/>
            <w:tcBorders>
              <w:top w:val="nil"/>
              <w:left w:val="nil"/>
              <w:bottom w:val="nil"/>
              <w:right w:val="nil"/>
            </w:tcBorders>
            <w:vAlign w:val="bottom"/>
          </w:tcPr>
          <w:p>
            <w:pPr>
              <w:pStyle w:val="yTableNAm"/>
              <w:jc w:val="center"/>
              <w:rPr>
                <w:sz w:val="24"/>
                <w:szCs w:val="24"/>
              </w:rPr>
            </w:pPr>
            <w:r>
              <w:t>5</w:t>
            </w:r>
          </w:p>
        </w:tc>
        <w:tc>
          <w:tcPr>
            <w:tcW w:w="1800" w:type="dxa"/>
            <w:tcBorders>
              <w:top w:val="nil"/>
              <w:left w:val="nil"/>
              <w:bottom w:val="nil"/>
              <w:right w:val="nil"/>
            </w:tcBorders>
            <w:vAlign w:val="bottom"/>
          </w:tcPr>
          <w:p>
            <w:pPr>
              <w:pStyle w:val="yTableNAm"/>
              <w:jc w:val="center"/>
              <w:rPr>
                <w:sz w:val="24"/>
                <w:szCs w:val="24"/>
              </w:rPr>
            </w:pPr>
            <w:r>
              <w:t>12</w:t>
            </w:r>
          </w:p>
        </w:tc>
      </w:tr>
      <w:tr>
        <w:tc>
          <w:tcPr>
            <w:tcW w:w="2920" w:type="dxa"/>
            <w:tcBorders>
              <w:top w:val="nil"/>
              <w:left w:val="nil"/>
              <w:bottom w:val="nil"/>
              <w:right w:val="nil"/>
            </w:tcBorders>
            <w:vAlign w:val="center"/>
          </w:tcPr>
          <w:p>
            <w:pPr>
              <w:pStyle w:val="yTableNAm"/>
              <w:rPr>
                <w:szCs w:val="22"/>
              </w:rPr>
            </w:pPr>
            <w:r>
              <w:rPr>
                <w:szCs w:val="22"/>
              </w:rPr>
              <w:t>Mount Magnet</w:t>
            </w:r>
          </w:p>
        </w:tc>
        <w:tc>
          <w:tcPr>
            <w:tcW w:w="1800" w:type="dxa"/>
            <w:tcBorders>
              <w:top w:val="nil"/>
              <w:left w:val="nil"/>
              <w:bottom w:val="nil"/>
              <w:right w:val="nil"/>
            </w:tcBorders>
            <w:vAlign w:val="bottom"/>
          </w:tcPr>
          <w:p>
            <w:pPr>
              <w:pStyle w:val="yTableNAm"/>
              <w:jc w:val="center"/>
              <w:rPr>
                <w:sz w:val="24"/>
                <w:szCs w:val="24"/>
              </w:rPr>
            </w:pPr>
            <w:r>
              <w:t>4</w:t>
            </w:r>
          </w:p>
        </w:tc>
        <w:tc>
          <w:tcPr>
            <w:tcW w:w="1800" w:type="dxa"/>
            <w:tcBorders>
              <w:top w:val="nil"/>
              <w:left w:val="nil"/>
              <w:bottom w:val="nil"/>
              <w:right w:val="nil"/>
            </w:tcBorders>
            <w:vAlign w:val="bottom"/>
          </w:tcPr>
          <w:p>
            <w:pPr>
              <w:pStyle w:val="yTableNAm"/>
              <w:jc w:val="center"/>
              <w:rPr>
                <w:sz w:val="24"/>
                <w:szCs w:val="24"/>
              </w:rPr>
            </w:pPr>
            <w:r>
              <w:t>10</w:t>
            </w:r>
          </w:p>
        </w:tc>
      </w:tr>
      <w:tr>
        <w:tc>
          <w:tcPr>
            <w:tcW w:w="2920" w:type="dxa"/>
            <w:tcBorders>
              <w:top w:val="nil"/>
              <w:left w:val="nil"/>
              <w:bottom w:val="nil"/>
              <w:right w:val="nil"/>
            </w:tcBorders>
            <w:vAlign w:val="center"/>
          </w:tcPr>
          <w:p>
            <w:pPr>
              <w:pStyle w:val="yTableNAm"/>
              <w:rPr>
                <w:szCs w:val="22"/>
              </w:rPr>
            </w:pPr>
            <w:r>
              <w:rPr>
                <w:szCs w:val="22"/>
              </w:rPr>
              <w:t>Mount Roe</w:t>
            </w:r>
          </w:p>
        </w:tc>
        <w:tc>
          <w:tcPr>
            <w:tcW w:w="1800" w:type="dxa"/>
            <w:tcBorders>
              <w:top w:val="nil"/>
              <w:left w:val="nil"/>
              <w:bottom w:val="nil"/>
              <w:right w:val="nil"/>
            </w:tcBorders>
            <w:vAlign w:val="bottom"/>
          </w:tcPr>
          <w:p>
            <w:pPr>
              <w:pStyle w:val="yTableNAm"/>
              <w:jc w:val="center"/>
              <w:rPr>
                <w:sz w:val="24"/>
                <w:szCs w:val="24"/>
              </w:rPr>
            </w:pPr>
            <w:r>
              <w:t>5</w:t>
            </w:r>
          </w:p>
        </w:tc>
        <w:tc>
          <w:tcPr>
            <w:tcW w:w="1800" w:type="dxa"/>
            <w:tcBorders>
              <w:top w:val="nil"/>
              <w:left w:val="nil"/>
              <w:bottom w:val="nil"/>
              <w:right w:val="nil"/>
            </w:tcBorders>
            <w:vAlign w:val="bottom"/>
          </w:tcPr>
          <w:p>
            <w:pPr>
              <w:pStyle w:val="yTableNAm"/>
              <w:jc w:val="center"/>
              <w:rPr>
                <w:sz w:val="24"/>
                <w:szCs w:val="24"/>
              </w:rPr>
            </w:pPr>
            <w:r>
              <w:t>15</w:t>
            </w:r>
          </w:p>
        </w:tc>
      </w:tr>
      <w:tr>
        <w:tc>
          <w:tcPr>
            <w:tcW w:w="2920" w:type="dxa"/>
            <w:tcBorders>
              <w:top w:val="nil"/>
              <w:left w:val="nil"/>
              <w:bottom w:val="nil"/>
              <w:right w:val="nil"/>
            </w:tcBorders>
            <w:vAlign w:val="center"/>
          </w:tcPr>
          <w:p>
            <w:pPr>
              <w:pStyle w:val="yTableNAm"/>
              <w:rPr>
                <w:szCs w:val="22"/>
              </w:rPr>
            </w:pPr>
            <w:r>
              <w:rPr>
                <w:szCs w:val="22"/>
              </w:rPr>
              <w:t>Mukinbudin</w:t>
            </w:r>
          </w:p>
        </w:tc>
        <w:tc>
          <w:tcPr>
            <w:tcW w:w="1800" w:type="dxa"/>
            <w:tcBorders>
              <w:top w:val="nil"/>
              <w:left w:val="nil"/>
              <w:bottom w:val="nil"/>
              <w:right w:val="nil"/>
            </w:tcBorders>
            <w:vAlign w:val="bottom"/>
          </w:tcPr>
          <w:p>
            <w:pPr>
              <w:pStyle w:val="yTableNAm"/>
              <w:jc w:val="center"/>
              <w:rPr>
                <w:sz w:val="24"/>
                <w:szCs w:val="24"/>
              </w:rPr>
            </w:pPr>
            <w:r>
              <w:t>5</w:t>
            </w:r>
          </w:p>
        </w:tc>
        <w:tc>
          <w:tcPr>
            <w:tcW w:w="1800" w:type="dxa"/>
            <w:tcBorders>
              <w:top w:val="nil"/>
              <w:left w:val="nil"/>
              <w:bottom w:val="nil"/>
              <w:right w:val="nil"/>
            </w:tcBorders>
            <w:vAlign w:val="bottom"/>
          </w:tcPr>
          <w:p>
            <w:pPr>
              <w:pStyle w:val="yTableNAm"/>
              <w:jc w:val="center"/>
              <w:rPr>
                <w:sz w:val="24"/>
                <w:szCs w:val="24"/>
              </w:rPr>
            </w:pPr>
            <w:r>
              <w:t>14</w:t>
            </w:r>
          </w:p>
        </w:tc>
      </w:tr>
      <w:tr>
        <w:tc>
          <w:tcPr>
            <w:tcW w:w="2920" w:type="dxa"/>
            <w:tcBorders>
              <w:top w:val="nil"/>
              <w:left w:val="nil"/>
              <w:bottom w:val="nil"/>
              <w:right w:val="nil"/>
            </w:tcBorders>
            <w:vAlign w:val="center"/>
          </w:tcPr>
          <w:p>
            <w:pPr>
              <w:pStyle w:val="yTableNAm"/>
              <w:rPr>
                <w:szCs w:val="22"/>
              </w:rPr>
            </w:pPr>
            <w:r>
              <w:rPr>
                <w:szCs w:val="22"/>
              </w:rPr>
              <w:t>Mullalyup</w:t>
            </w:r>
          </w:p>
        </w:tc>
        <w:tc>
          <w:tcPr>
            <w:tcW w:w="1800" w:type="dxa"/>
            <w:tcBorders>
              <w:top w:val="nil"/>
              <w:left w:val="nil"/>
              <w:bottom w:val="nil"/>
              <w:right w:val="nil"/>
            </w:tcBorders>
            <w:vAlign w:val="bottom"/>
          </w:tcPr>
          <w:p>
            <w:pPr>
              <w:pStyle w:val="yTableNAm"/>
              <w:jc w:val="center"/>
              <w:rPr>
                <w:sz w:val="24"/>
                <w:szCs w:val="24"/>
              </w:rPr>
            </w:pPr>
            <w:r>
              <w:t>5</w:t>
            </w:r>
          </w:p>
        </w:tc>
        <w:tc>
          <w:tcPr>
            <w:tcW w:w="1800" w:type="dxa"/>
            <w:tcBorders>
              <w:top w:val="nil"/>
              <w:left w:val="nil"/>
              <w:bottom w:val="nil"/>
              <w:right w:val="nil"/>
            </w:tcBorders>
            <w:vAlign w:val="bottom"/>
          </w:tcPr>
          <w:p>
            <w:pPr>
              <w:pStyle w:val="yTableNAm"/>
              <w:jc w:val="center"/>
              <w:rPr>
                <w:sz w:val="24"/>
                <w:szCs w:val="24"/>
              </w:rPr>
            </w:pPr>
            <w:r>
              <w:t>15</w:t>
            </w:r>
          </w:p>
        </w:tc>
      </w:tr>
      <w:tr>
        <w:tc>
          <w:tcPr>
            <w:tcW w:w="2920" w:type="dxa"/>
            <w:tcBorders>
              <w:top w:val="nil"/>
              <w:left w:val="nil"/>
              <w:bottom w:val="nil"/>
              <w:right w:val="nil"/>
            </w:tcBorders>
            <w:vAlign w:val="center"/>
          </w:tcPr>
          <w:p>
            <w:pPr>
              <w:pStyle w:val="yTableNAm"/>
              <w:rPr>
                <w:szCs w:val="22"/>
              </w:rPr>
            </w:pPr>
            <w:r>
              <w:rPr>
                <w:szCs w:val="22"/>
              </w:rPr>
              <w:t>Mullewa</w:t>
            </w:r>
          </w:p>
        </w:tc>
        <w:tc>
          <w:tcPr>
            <w:tcW w:w="1800" w:type="dxa"/>
            <w:tcBorders>
              <w:top w:val="nil"/>
              <w:left w:val="nil"/>
              <w:bottom w:val="nil"/>
              <w:right w:val="nil"/>
            </w:tcBorders>
            <w:vAlign w:val="bottom"/>
          </w:tcPr>
          <w:p>
            <w:pPr>
              <w:pStyle w:val="yTableNAm"/>
              <w:jc w:val="center"/>
              <w:rPr>
                <w:sz w:val="24"/>
                <w:szCs w:val="24"/>
              </w:rPr>
            </w:pPr>
            <w:r>
              <w:t>4</w:t>
            </w:r>
          </w:p>
        </w:tc>
        <w:tc>
          <w:tcPr>
            <w:tcW w:w="1800" w:type="dxa"/>
            <w:tcBorders>
              <w:top w:val="nil"/>
              <w:left w:val="nil"/>
              <w:bottom w:val="nil"/>
              <w:right w:val="nil"/>
            </w:tcBorders>
            <w:vAlign w:val="bottom"/>
          </w:tcPr>
          <w:p>
            <w:pPr>
              <w:pStyle w:val="yTableNAm"/>
              <w:jc w:val="center"/>
              <w:rPr>
                <w:sz w:val="24"/>
                <w:szCs w:val="24"/>
              </w:rPr>
            </w:pPr>
            <w:r>
              <w:t>10</w:t>
            </w:r>
          </w:p>
        </w:tc>
      </w:tr>
      <w:tr>
        <w:tc>
          <w:tcPr>
            <w:tcW w:w="2920" w:type="dxa"/>
            <w:tcBorders>
              <w:top w:val="nil"/>
              <w:left w:val="nil"/>
              <w:bottom w:val="nil"/>
              <w:right w:val="nil"/>
            </w:tcBorders>
            <w:vAlign w:val="center"/>
          </w:tcPr>
          <w:p>
            <w:pPr>
              <w:pStyle w:val="yTableNAm"/>
              <w:rPr>
                <w:szCs w:val="22"/>
              </w:rPr>
            </w:pPr>
            <w:r>
              <w:rPr>
                <w:szCs w:val="22"/>
              </w:rPr>
              <w:t>Mullewa Farmlands</w:t>
            </w:r>
          </w:p>
        </w:tc>
        <w:tc>
          <w:tcPr>
            <w:tcW w:w="1800" w:type="dxa"/>
            <w:tcBorders>
              <w:top w:val="nil"/>
              <w:left w:val="nil"/>
              <w:bottom w:val="nil"/>
              <w:right w:val="nil"/>
            </w:tcBorders>
            <w:vAlign w:val="bottom"/>
          </w:tcPr>
          <w:p>
            <w:pPr>
              <w:pStyle w:val="yTableNAm"/>
              <w:jc w:val="center"/>
              <w:rPr>
                <w:sz w:val="24"/>
                <w:szCs w:val="24"/>
              </w:rPr>
            </w:pPr>
            <w:r>
              <w:t>4</w:t>
            </w:r>
          </w:p>
        </w:tc>
        <w:tc>
          <w:tcPr>
            <w:tcW w:w="1800" w:type="dxa"/>
            <w:tcBorders>
              <w:top w:val="nil"/>
              <w:left w:val="nil"/>
              <w:bottom w:val="nil"/>
              <w:right w:val="nil"/>
            </w:tcBorders>
            <w:vAlign w:val="bottom"/>
          </w:tcPr>
          <w:p>
            <w:pPr>
              <w:pStyle w:val="yTableNAm"/>
              <w:jc w:val="center"/>
              <w:rPr>
                <w:sz w:val="24"/>
                <w:szCs w:val="24"/>
              </w:rPr>
            </w:pPr>
            <w:r>
              <w:t>12</w:t>
            </w:r>
          </w:p>
        </w:tc>
      </w:tr>
      <w:tr>
        <w:tc>
          <w:tcPr>
            <w:tcW w:w="2920" w:type="dxa"/>
            <w:tcBorders>
              <w:top w:val="nil"/>
              <w:left w:val="nil"/>
              <w:bottom w:val="nil"/>
              <w:right w:val="nil"/>
            </w:tcBorders>
            <w:vAlign w:val="center"/>
          </w:tcPr>
          <w:p>
            <w:pPr>
              <w:pStyle w:val="yTableNAm"/>
              <w:rPr>
                <w:szCs w:val="22"/>
              </w:rPr>
            </w:pPr>
            <w:r>
              <w:rPr>
                <w:szCs w:val="22"/>
              </w:rPr>
              <w:t>Munglinup</w:t>
            </w:r>
          </w:p>
        </w:tc>
        <w:tc>
          <w:tcPr>
            <w:tcW w:w="1800" w:type="dxa"/>
            <w:tcBorders>
              <w:top w:val="nil"/>
              <w:left w:val="nil"/>
              <w:bottom w:val="nil"/>
              <w:right w:val="nil"/>
            </w:tcBorders>
            <w:vAlign w:val="bottom"/>
          </w:tcPr>
          <w:p>
            <w:pPr>
              <w:pStyle w:val="yTableNAm"/>
              <w:jc w:val="center"/>
              <w:rPr>
                <w:sz w:val="24"/>
                <w:szCs w:val="24"/>
              </w:rPr>
            </w:pPr>
            <w:r>
              <w:t>5</w:t>
            </w:r>
          </w:p>
        </w:tc>
        <w:tc>
          <w:tcPr>
            <w:tcW w:w="1800" w:type="dxa"/>
            <w:tcBorders>
              <w:top w:val="nil"/>
              <w:left w:val="nil"/>
              <w:bottom w:val="nil"/>
              <w:right w:val="nil"/>
            </w:tcBorders>
            <w:vAlign w:val="bottom"/>
          </w:tcPr>
          <w:p>
            <w:pPr>
              <w:pStyle w:val="yTableNAm"/>
              <w:jc w:val="center"/>
              <w:rPr>
                <w:sz w:val="24"/>
                <w:szCs w:val="24"/>
              </w:rPr>
            </w:pPr>
            <w:r>
              <w:t>15</w:t>
            </w:r>
          </w:p>
        </w:tc>
      </w:tr>
      <w:tr>
        <w:tc>
          <w:tcPr>
            <w:tcW w:w="2920" w:type="dxa"/>
            <w:tcBorders>
              <w:top w:val="nil"/>
              <w:left w:val="nil"/>
              <w:bottom w:val="nil"/>
              <w:right w:val="nil"/>
            </w:tcBorders>
            <w:vAlign w:val="center"/>
          </w:tcPr>
          <w:p>
            <w:pPr>
              <w:pStyle w:val="yTableNAm"/>
              <w:rPr>
                <w:szCs w:val="22"/>
              </w:rPr>
            </w:pPr>
            <w:r>
              <w:rPr>
                <w:szCs w:val="22"/>
              </w:rPr>
              <w:t>Muntadgin</w:t>
            </w:r>
          </w:p>
        </w:tc>
        <w:tc>
          <w:tcPr>
            <w:tcW w:w="1800" w:type="dxa"/>
            <w:tcBorders>
              <w:top w:val="nil"/>
              <w:left w:val="nil"/>
              <w:bottom w:val="nil"/>
              <w:right w:val="nil"/>
            </w:tcBorders>
            <w:vAlign w:val="bottom"/>
          </w:tcPr>
          <w:p>
            <w:pPr>
              <w:pStyle w:val="yTableNAm"/>
              <w:jc w:val="center"/>
              <w:rPr>
                <w:sz w:val="24"/>
                <w:szCs w:val="24"/>
              </w:rPr>
            </w:pPr>
            <w:r>
              <w:t>5</w:t>
            </w:r>
          </w:p>
        </w:tc>
        <w:tc>
          <w:tcPr>
            <w:tcW w:w="1800" w:type="dxa"/>
            <w:tcBorders>
              <w:top w:val="nil"/>
              <w:left w:val="nil"/>
              <w:bottom w:val="nil"/>
              <w:right w:val="nil"/>
            </w:tcBorders>
            <w:vAlign w:val="bottom"/>
          </w:tcPr>
          <w:p>
            <w:pPr>
              <w:pStyle w:val="yTableNAm"/>
              <w:jc w:val="center"/>
              <w:rPr>
                <w:sz w:val="24"/>
                <w:szCs w:val="24"/>
              </w:rPr>
            </w:pPr>
            <w:r>
              <w:t>15</w:t>
            </w:r>
          </w:p>
        </w:tc>
      </w:tr>
      <w:tr>
        <w:tc>
          <w:tcPr>
            <w:tcW w:w="2920" w:type="dxa"/>
            <w:tcBorders>
              <w:top w:val="nil"/>
              <w:left w:val="nil"/>
              <w:bottom w:val="nil"/>
              <w:right w:val="nil"/>
            </w:tcBorders>
            <w:vAlign w:val="center"/>
          </w:tcPr>
          <w:p>
            <w:pPr>
              <w:pStyle w:val="yTableNAm"/>
              <w:rPr>
                <w:szCs w:val="22"/>
              </w:rPr>
            </w:pPr>
            <w:r>
              <w:rPr>
                <w:szCs w:val="22"/>
              </w:rPr>
              <w:t>Myalup</w:t>
            </w:r>
          </w:p>
        </w:tc>
        <w:tc>
          <w:tcPr>
            <w:tcW w:w="1800" w:type="dxa"/>
            <w:tcBorders>
              <w:top w:val="nil"/>
              <w:left w:val="nil"/>
              <w:bottom w:val="nil"/>
              <w:right w:val="nil"/>
            </w:tcBorders>
            <w:vAlign w:val="bottom"/>
          </w:tcPr>
          <w:p>
            <w:pPr>
              <w:pStyle w:val="yTableNAm"/>
              <w:jc w:val="center"/>
              <w:rPr>
                <w:sz w:val="24"/>
                <w:szCs w:val="24"/>
              </w:rPr>
            </w:pPr>
            <w:r>
              <w:t>5</w:t>
            </w:r>
          </w:p>
        </w:tc>
        <w:tc>
          <w:tcPr>
            <w:tcW w:w="1800" w:type="dxa"/>
            <w:tcBorders>
              <w:top w:val="nil"/>
              <w:left w:val="nil"/>
              <w:bottom w:val="nil"/>
              <w:right w:val="nil"/>
            </w:tcBorders>
            <w:vAlign w:val="bottom"/>
          </w:tcPr>
          <w:p>
            <w:pPr>
              <w:pStyle w:val="yTableNAm"/>
              <w:jc w:val="center"/>
              <w:rPr>
                <w:sz w:val="24"/>
                <w:szCs w:val="24"/>
              </w:rPr>
            </w:pPr>
            <w:r>
              <w:t>12</w:t>
            </w:r>
          </w:p>
        </w:tc>
      </w:tr>
      <w:tr>
        <w:tc>
          <w:tcPr>
            <w:tcW w:w="2920" w:type="dxa"/>
            <w:tcBorders>
              <w:top w:val="nil"/>
              <w:left w:val="nil"/>
              <w:bottom w:val="nil"/>
              <w:right w:val="nil"/>
            </w:tcBorders>
            <w:vAlign w:val="center"/>
          </w:tcPr>
          <w:p>
            <w:pPr>
              <w:pStyle w:val="yTableNAm"/>
              <w:rPr>
                <w:szCs w:val="22"/>
              </w:rPr>
            </w:pPr>
            <w:r>
              <w:rPr>
                <w:szCs w:val="22"/>
              </w:rPr>
              <w:t>Nabawa</w:t>
            </w:r>
          </w:p>
        </w:tc>
        <w:tc>
          <w:tcPr>
            <w:tcW w:w="1800" w:type="dxa"/>
            <w:tcBorders>
              <w:top w:val="nil"/>
              <w:left w:val="nil"/>
              <w:bottom w:val="nil"/>
              <w:right w:val="nil"/>
            </w:tcBorders>
            <w:vAlign w:val="bottom"/>
          </w:tcPr>
          <w:p>
            <w:pPr>
              <w:pStyle w:val="yTableNAm"/>
              <w:jc w:val="center"/>
              <w:rPr>
                <w:sz w:val="24"/>
                <w:szCs w:val="24"/>
              </w:rPr>
            </w:pPr>
            <w:r>
              <w:t>5</w:t>
            </w:r>
          </w:p>
        </w:tc>
        <w:tc>
          <w:tcPr>
            <w:tcW w:w="1800" w:type="dxa"/>
            <w:tcBorders>
              <w:top w:val="nil"/>
              <w:left w:val="nil"/>
              <w:bottom w:val="nil"/>
              <w:right w:val="nil"/>
            </w:tcBorders>
            <w:vAlign w:val="bottom"/>
          </w:tcPr>
          <w:p>
            <w:pPr>
              <w:pStyle w:val="yTableNAm"/>
              <w:jc w:val="center"/>
              <w:rPr>
                <w:sz w:val="24"/>
                <w:szCs w:val="24"/>
              </w:rPr>
            </w:pPr>
            <w:r>
              <w:t>12</w:t>
            </w:r>
          </w:p>
        </w:tc>
      </w:tr>
      <w:tr>
        <w:tc>
          <w:tcPr>
            <w:tcW w:w="2920" w:type="dxa"/>
            <w:tcBorders>
              <w:top w:val="nil"/>
              <w:left w:val="nil"/>
              <w:bottom w:val="nil"/>
              <w:right w:val="nil"/>
            </w:tcBorders>
            <w:vAlign w:val="center"/>
          </w:tcPr>
          <w:p>
            <w:pPr>
              <w:pStyle w:val="yTableNAm"/>
              <w:rPr>
                <w:szCs w:val="22"/>
              </w:rPr>
            </w:pPr>
            <w:r>
              <w:rPr>
                <w:szCs w:val="22"/>
              </w:rPr>
              <w:t>Nannup</w:t>
            </w:r>
          </w:p>
        </w:tc>
        <w:tc>
          <w:tcPr>
            <w:tcW w:w="1800" w:type="dxa"/>
            <w:tcBorders>
              <w:top w:val="nil"/>
              <w:left w:val="nil"/>
              <w:bottom w:val="nil"/>
              <w:right w:val="nil"/>
            </w:tcBorders>
            <w:vAlign w:val="bottom"/>
          </w:tcPr>
          <w:p>
            <w:pPr>
              <w:pStyle w:val="yTableNAm"/>
              <w:jc w:val="center"/>
              <w:rPr>
                <w:sz w:val="24"/>
                <w:szCs w:val="24"/>
              </w:rPr>
            </w:pPr>
            <w:r>
              <w:t>5</w:t>
            </w:r>
          </w:p>
        </w:tc>
        <w:tc>
          <w:tcPr>
            <w:tcW w:w="1800" w:type="dxa"/>
            <w:tcBorders>
              <w:top w:val="nil"/>
              <w:left w:val="nil"/>
              <w:bottom w:val="nil"/>
              <w:right w:val="nil"/>
            </w:tcBorders>
            <w:vAlign w:val="bottom"/>
          </w:tcPr>
          <w:p>
            <w:pPr>
              <w:pStyle w:val="yTableNAm"/>
              <w:jc w:val="center"/>
              <w:rPr>
                <w:sz w:val="24"/>
                <w:szCs w:val="24"/>
              </w:rPr>
            </w:pPr>
            <w:r>
              <w:t>12</w:t>
            </w:r>
          </w:p>
        </w:tc>
      </w:tr>
      <w:tr>
        <w:tc>
          <w:tcPr>
            <w:tcW w:w="2920" w:type="dxa"/>
            <w:tcBorders>
              <w:top w:val="nil"/>
              <w:left w:val="nil"/>
              <w:bottom w:val="nil"/>
              <w:right w:val="nil"/>
            </w:tcBorders>
            <w:vAlign w:val="center"/>
          </w:tcPr>
          <w:p>
            <w:pPr>
              <w:pStyle w:val="yTableNAm"/>
              <w:rPr>
                <w:szCs w:val="22"/>
              </w:rPr>
            </w:pPr>
            <w:r>
              <w:rPr>
                <w:szCs w:val="22"/>
              </w:rPr>
              <w:t>Narembeen</w:t>
            </w:r>
          </w:p>
        </w:tc>
        <w:tc>
          <w:tcPr>
            <w:tcW w:w="1800" w:type="dxa"/>
            <w:tcBorders>
              <w:top w:val="nil"/>
              <w:left w:val="nil"/>
              <w:bottom w:val="nil"/>
              <w:right w:val="nil"/>
            </w:tcBorders>
            <w:vAlign w:val="bottom"/>
          </w:tcPr>
          <w:p>
            <w:pPr>
              <w:pStyle w:val="yTableNAm"/>
              <w:jc w:val="center"/>
              <w:rPr>
                <w:sz w:val="24"/>
                <w:szCs w:val="24"/>
              </w:rPr>
            </w:pPr>
            <w:r>
              <w:t>5</w:t>
            </w:r>
          </w:p>
        </w:tc>
        <w:tc>
          <w:tcPr>
            <w:tcW w:w="1800" w:type="dxa"/>
            <w:tcBorders>
              <w:top w:val="nil"/>
              <w:left w:val="nil"/>
              <w:bottom w:val="nil"/>
              <w:right w:val="nil"/>
            </w:tcBorders>
            <w:vAlign w:val="bottom"/>
          </w:tcPr>
          <w:p>
            <w:pPr>
              <w:pStyle w:val="yTableNAm"/>
              <w:jc w:val="center"/>
              <w:rPr>
                <w:sz w:val="24"/>
                <w:szCs w:val="24"/>
              </w:rPr>
            </w:pPr>
            <w:r>
              <w:t>14</w:t>
            </w:r>
          </w:p>
        </w:tc>
      </w:tr>
      <w:tr>
        <w:tc>
          <w:tcPr>
            <w:tcW w:w="2920" w:type="dxa"/>
            <w:tcBorders>
              <w:top w:val="nil"/>
              <w:left w:val="nil"/>
              <w:bottom w:val="nil"/>
              <w:right w:val="nil"/>
            </w:tcBorders>
            <w:vAlign w:val="center"/>
          </w:tcPr>
          <w:p>
            <w:pPr>
              <w:pStyle w:val="yTableNAm"/>
              <w:rPr>
                <w:szCs w:val="22"/>
              </w:rPr>
            </w:pPr>
            <w:r>
              <w:rPr>
                <w:szCs w:val="22"/>
              </w:rPr>
              <w:t>Narngulu</w:t>
            </w:r>
          </w:p>
        </w:tc>
        <w:tc>
          <w:tcPr>
            <w:tcW w:w="1800" w:type="dxa"/>
            <w:tcBorders>
              <w:top w:val="nil"/>
              <w:left w:val="nil"/>
              <w:bottom w:val="nil"/>
              <w:right w:val="nil"/>
            </w:tcBorders>
            <w:vAlign w:val="bottom"/>
          </w:tcPr>
          <w:p>
            <w:pPr>
              <w:pStyle w:val="yTableNAm"/>
              <w:jc w:val="center"/>
              <w:rPr>
                <w:sz w:val="24"/>
                <w:szCs w:val="24"/>
              </w:rPr>
            </w:pPr>
            <w:r>
              <w:t>1</w:t>
            </w:r>
          </w:p>
        </w:tc>
        <w:tc>
          <w:tcPr>
            <w:tcW w:w="1800" w:type="dxa"/>
            <w:tcBorders>
              <w:top w:val="nil"/>
              <w:left w:val="nil"/>
              <w:bottom w:val="nil"/>
              <w:right w:val="nil"/>
            </w:tcBorders>
            <w:vAlign w:val="bottom"/>
          </w:tcPr>
          <w:p>
            <w:pPr>
              <w:pStyle w:val="yTableNAm"/>
              <w:jc w:val="center"/>
              <w:rPr>
                <w:sz w:val="24"/>
                <w:szCs w:val="24"/>
              </w:rPr>
            </w:pPr>
            <w:r>
              <w:t>1</w:t>
            </w:r>
          </w:p>
        </w:tc>
      </w:tr>
      <w:tr>
        <w:tc>
          <w:tcPr>
            <w:tcW w:w="2920" w:type="dxa"/>
            <w:tcBorders>
              <w:top w:val="nil"/>
              <w:left w:val="nil"/>
              <w:bottom w:val="nil"/>
              <w:right w:val="nil"/>
            </w:tcBorders>
            <w:vAlign w:val="center"/>
          </w:tcPr>
          <w:p>
            <w:pPr>
              <w:pStyle w:val="yTableNAm"/>
              <w:rPr>
                <w:szCs w:val="22"/>
              </w:rPr>
            </w:pPr>
            <w:r>
              <w:rPr>
                <w:szCs w:val="22"/>
              </w:rPr>
              <w:t>Narrikup</w:t>
            </w:r>
          </w:p>
        </w:tc>
        <w:tc>
          <w:tcPr>
            <w:tcW w:w="1800" w:type="dxa"/>
            <w:tcBorders>
              <w:top w:val="nil"/>
              <w:left w:val="nil"/>
              <w:bottom w:val="nil"/>
              <w:right w:val="nil"/>
            </w:tcBorders>
            <w:vAlign w:val="bottom"/>
          </w:tcPr>
          <w:p>
            <w:pPr>
              <w:pStyle w:val="yTableNAm"/>
              <w:jc w:val="center"/>
              <w:rPr>
                <w:sz w:val="24"/>
                <w:szCs w:val="24"/>
              </w:rPr>
            </w:pPr>
            <w:r>
              <w:t>5</w:t>
            </w:r>
          </w:p>
        </w:tc>
        <w:tc>
          <w:tcPr>
            <w:tcW w:w="1800" w:type="dxa"/>
            <w:tcBorders>
              <w:top w:val="nil"/>
              <w:left w:val="nil"/>
              <w:bottom w:val="nil"/>
              <w:right w:val="nil"/>
            </w:tcBorders>
            <w:vAlign w:val="bottom"/>
          </w:tcPr>
          <w:p>
            <w:pPr>
              <w:pStyle w:val="yTableNAm"/>
              <w:jc w:val="center"/>
              <w:rPr>
                <w:sz w:val="24"/>
                <w:szCs w:val="24"/>
              </w:rPr>
            </w:pPr>
            <w:r>
              <w:t>12</w:t>
            </w:r>
          </w:p>
        </w:tc>
      </w:tr>
      <w:tr>
        <w:tc>
          <w:tcPr>
            <w:tcW w:w="2920" w:type="dxa"/>
            <w:tcBorders>
              <w:top w:val="nil"/>
              <w:left w:val="nil"/>
              <w:bottom w:val="nil"/>
              <w:right w:val="nil"/>
            </w:tcBorders>
            <w:vAlign w:val="center"/>
          </w:tcPr>
          <w:p>
            <w:pPr>
              <w:pStyle w:val="yTableNAm"/>
              <w:rPr>
                <w:szCs w:val="22"/>
              </w:rPr>
            </w:pPr>
            <w:r>
              <w:rPr>
                <w:szCs w:val="22"/>
              </w:rPr>
              <w:t>Narrogin</w:t>
            </w:r>
          </w:p>
        </w:tc>
        <w:tc>
          <w:tcPr>
            <w:tcW w:w="1800" w:type="dxa"/>
            <w:tcBorders>
              <w:top w:val="nil"/>
              <w:left w:val="nil"/>
              <w:bottom w:val="nil"/>
              <w:right w:val="nil"/>
            </w:tcBorders>
            <w:vAlign w:val="bottom"/>
          </w:tcPr>
          <w:p>
            <w:pPr>
              <w:pStyle w:val="yTableNAm"/>
              <w:jc w:val="center"/>
              <w:rPr>
                <w:sz w:val="24"/>
                <w:szCs w:val="24"/>
              </w:rPr>
            </w:pPr>
            <w:r>
              <w:t>5</w:t>
            </w:r>
          </w:p>
        </w:tc>
        <w:tc>
          <w:tcPr>
            <w:tcW w:w="1800" w:type="dxa"/>
            <w:tcBorders>
              <w:top w:val="nil"/>
              <w:left w:val="nil"/>
              <w:bottom w:val="nil"/>
              <w:right w:val="nil"/>
            </w:tcBorders>
            <w:vAlign w:val="bottom"/>
          </w:tcPr>
          <w:p>
            <w:pPr>
              <w:pStyle w:val="yTableNAm"/>
              <w:jc w:val="center"/>
              <w:rPr>
                <w:sz w:val="24"/>
                <w:szCs w:val="24"/>
              </w:rPr>
            </w:pPr>
            <w:r>
              <w:t>10</w:t>
            </w:r>
          </w:p>
        </w:tc>
      </w:tr>
      <w:tr>
        <w:tc>
          <w:tcPr>
            <w:tcW w:w="2920" w:type="dxa"/>
            <w:tcBorders>
              <w:top w:val="nil"/>
              <w:left w:val="nil"/>
              <w:bottom w:val="nil"/>
              <w:right w:val="nil"/>
            </w:tcBorders>
            <w:vAlign w:val="center"/>
          </w:tcPr>
          <w:p>
            <w:pPr>
              <w:pStyle w:val="yTableNAm"/>
              <w:rPr>
                <w:szCs w:val="22"/>
              </w:rPr>
            </w:pPr>
            <w:r>
              <w:rPr>
                <w:szCs w:val="22"/>
              </w:rPr>
              <w:t>Narrogin Farmlands</w:t>
            </w:r>
          </w:p>
        </w:tc>
        <w:tc>
          <w:tcPr>
            <w:tcW w:w="1800" w:type="dxa"/>
            <w:tcBorders>
              <w:top w:val="nil"/>
              <w:left w:val="nil"/>
              <w:bottom w:val="nil"/>
              <w:right w:val="nil"/>
            </w:tcBorders>
            <w:vAlign w:val="bottom"/>
          </w:tcPr>
          <w:p>
            <w:pPr>
              <w:pStyle w:val="yTableNAm"/>
              <w:jc w:val="center"/>
              <w:rPr>
                <w:sz w:val="24"/>
                <w:szCs w:val="24"/>
              </w:rPr>
            </w:pPr>
            <w:r>
              <w:t>3</w:t>
            </w:r>
          </w:p>
        </w:tc>
        <w:tc>
          <w:tcPr>
            <w:tcW w:w="1800" w:type="dxa"/>
            <w:tcBorders>
              <w:top w:val="nil"/>
              <w:left w:val="nil"/>
              <w:bottom w:val="nil"/>
              <w:right w:val="nil"/>
            </w:tcBorders>
            <w:vAlign w:val="bottom"/>
          </w:tcPr>
          <w:p>
            <w:pPr>
              <w:pStyle w:val="yTableNAm"/>
              <w:jc w:val="center"/>
              <w:rPr>
                <w:sz w:val="24"/>
                <w:szCs w:val="24"/>
              </w:rPr>
            </w:pPr>
            <w:r>
              <w:t>8</w:t>
            </w:r>
          </w:p>
        </w:tc>
      </w:tr>
      <w:tr>
        <w:tc>
          <w:tcPr>
            <w:tcW w:w="2920" w:type="dxa"/>
            <w:tcBorders>
              <w:top w:val="nil"/>
              <w:left w:val="nil"/>
              <w:bottom w:val="nil"/>
              <w:right w:val="nil"/>
            </w:tcBorders>
            <w:vAlign w:val="center"/>
          </w:tcPr>
          <w:p>
            <w:pPr>
              <w:pStyle w:val="yTableNAm"/>
              <w:rPr>
                <w:szCs w:val="22"/>
              </w:rPr>
            </w:pPr>
            <w:r>
              <w:rPr>
                <w:szCs w:val="22"/>
              </w:rPr>
              <w:t>New Norcia</w:t>
            </w:r>
          </w:p>
        </w:tc>
        <w:tc>
          <w:tcPr>
            <w:tcW w:w="1800" w:type="dxa"/>
            <w:tcBorders>
              <w:top w:val="nil"/>
              <w:left w:val="nil"/>
              <w:bottom w:val="nil"/>
              <w:right w:val="nil"/>
            </w:tcBorders>
            <w:vAlign w:val="bottom"/>
          </w:tcPr>
          <w:p>
            <w:pPr>
              <w:pStyle w:val="yTableNAm"/>
              <w:jc w:val="center"/>
              <w:rPr>
                <w:sz w:val="24"/>
                <w:szCs w:val="24"/>
              </w:rPr>
            </w:pPr>
            <w:r>
              <w:t>5</w:t>
            </w:r>
          </w:p>
        </w:tc>
        <w:tc>
          <w:tcPr>
            <w:tcW w:w="1800" w:type="dxa"/>
            <w:tcBorders>
              <w:top w:val="nil"/>
              <w:left w:val="nil"/>
              <w:bottom w:val="nil"/>
              <w:right w:val="nil"/>
            </w:tcBorders>
            <w:vAlign w:val="bottom"/>
          </w:tcPr>
          <w:p>
            <w:pPr>
              <w:pStyle w:val="yTableNAm"/>
              <w:jc w:val="center"/>
              <w:rPr>
                <w:sz w:val="24"/>
                <w:szCs w:val="24"/>
              </w:rPr>
            </w:pPr>
            <w:r>
              <w:t>14</w:t>
            </w:r>
          </w:p>
        </w:tc>
      </w:tr>
      <w:tr>
        <w:tc>
          <w:tcPr>
            <w:tcW w:w="2920" w:type="dxa"/>
            <w:tcBorders>
              <w:top w:val="nil"/>
              <w:left w:val="nil"/>
              <w:bottom w:val="nil"/>
              <w:right w:val="nil"/>
            </w:tcBorders>
            <w:vAlign w:val="center"/>
          </w:tcPr>
          <w:p>
            <w:pPr>
              <w:pStyle w:val="yTableNAm"/>
              <w:rPr>
                <w:szCs w:val="22"/>
              </w:rPr>
            </w:pPr>
            <w:r>
              <w:rPr>
                <w:szCs w:val="22"/>
              </w:rPr>
              <w:t>Newdegate</w:t>
            </w:r>
          </w:p>
        </w:tc>
        <w:tc>
          <w:tcPr>
            <w:tcW w:w="1800" w:type="dxa"/>
            <w:tcBorders>
              <w:top w:val="nil"/>
              <w:left w:val="nil"/>
              <w:bottom w:val="nil"/>
              <w:right w:val="nil"/>
            </w:tcBorders>
            <w:vAlign w:val="bottom"/>
          </w:tcPr>
          <w:p>
            <w:pPr>
              <w:pStyle w:val="yTableNAm"/>
              <w:jc w:val="center"/>
              <w:rPr>
                <w:sz w:val="24"/>
                <w:szCs w:val="24"/>
              </w:rPr>
            </w:pPr>
            <w:r>
              <w:t>5</w:t>
            </w:r>
          </w:p>
        </w:tc>
        <w:tc>
          <w:tcPr>
            <w:tcW w:w="1800" w:type="dxa"/>
            <w:tcBorders>
              <w:top w:val="nil"/>
              <w:left w:val="nil"/>
              <w:bottom w:val="nil"/>
              <w:right w:val="nil"/>
            </w:tcBorders>
            <w:vAlign w:val="bottom"/>
          </w:tcPr>
          <w:p>
            <w:pPr>
              <w:pStyle w:val="yTableNAm"/>
              <w:jc w:val="center"/>
              <w:rPr>
                <w:sz w:val="24"/>
                <w:szCs w:val="24"/>
              </w:rPr>
            </w:pPr>
            <w:r>
              <w:t>14</w:t>
            </w:r>
          </w:p>
        </w:tc>
      </w:tr>
      <w:tr>
        <w:tc>
          <w:tcPr>
            <w:tcW w:w="2920" w:type="dxa"/>
            <w:tcBorders>
              <w:top w:val="nil"/>
              <w:left w:val="nil"/>
              <w:bottom w:val="nil"/>
              <w:right w:val="nil"/>
            </w:tcBorders>
            <w:vAlign w:val="center"/>
          </w:tcPr>
          <w:p>
            <w:pPr>
              <w:pStyle w:val="yTableNAm"/>
              <w:rPr>
                <w:szCs w:val="22"/>
              </w:rPr>
            </w:pPr>
            <w:r>
              <w:rPr>
                <w:szCs w:val="22"/>
              </w:rPr>
              <w:t>Newman</w:t>
            </w:r>
          </w:p>
        </w:tc>
        <w:tc>
          <w:tcPr>
            <w:tcW w:w="1800" w:type="dxa"/>
            <w:tcBorders>
              <w:top w:val="nil"/>
              <w:left w:val="nil"/>
              <w:bottom w:val="nil"/>
              <w:right w:val="nil"/>
            </w:tcBorders>
            <w:vAlign w:val="bottom"/>
          </w:tcPr>
          <w:p>
            <w:pPr>
              <w:pStyle w:val="yTableNAm"/>
              <w:jc w:val="center"/>
              <w:rPr>
                <w:sz w:val="24"/>
                <w:szCs w:val="24"/>
              </w:rPr>
            </w:pPr>
            <w:r>
              <w:t>1</w:t>
            </w:r>
          </w:p>
        </w:tc>
        <w:tc>
          <w:tcPr>
            <w:tcW w:w="1800" w:type="dxa"/>
            <w:tcBorders>
              <w:top w:val="nil"/>
              <w:left w:val="nil"/>
              <w:bottom w:val="nil"/>
              <w:right w:val="nil"/>
            </w:tcBorders>
            <w:vAlign w:val="bottom"/>
          </w:tcPr>
          <w:p>
            <w:pPr>
              <w:pStyle w:val="yTableNAm"/>
              <w:jc w:val="center"/>
              <w:rPr>
                <w:sz w:val="24"/>
                <w:szCs w:val="24"/>
              </w:rPr>
            </w:pPr>
            <w:r>
              <w:t>1</w:t>
            </w:r>
          </w:p>
        </w:tc>
      </w:tr>
      <w:tr>
        <w:tc>
          <w:tcPr>
            <w:tcW w:w="2920" w:type="dxa"/>
            <w:tcBorders>
              <w:top w:val="nil"/>
              <w:left w:val="nil"/>
              <w:bottom w:val="nil"/>
              <w:right w:val="nil"/>
            </w:tcBorders>
            <w:vAlign w:val="center"/>
          </w:tcPr>
          <w:p>
            <w:pPr>
              <w:pStyle w:val="yTableNAm"/>
              <w:rPr>
                <w:szCs w:val="22"/>
              </w:rPr>
            </w:pPr>
            <w:r>
              <w:rPr>
                <w:szCs w:val="22"/>
              </w:rPr>
              <w:t>Nilgen</w:t>
            </w:r>
          </w:p>
        </w:tc>
        <w:tc>
          <w:tcPr>
            <w:tcW w:w="1800" w:type="dxa"/>
            <w:tcBorders>
              <w:top w:val="nil"/>
              <w:left w:val="nil"/>
              <w:bottom w:val="nil"/>
              <w:right w:val="nil"/>
            </w:tcBorders>
            <w:vAlign w:val="bottom"/>
          </w:tcPr>
          <w:p>
            <w:pPr>
              <w:pStyle w:val="yTableNAm"/>
              <w:jc w:val="center"/>
              <w:rPr>
                <w:sz w:val="24"/>
                <w:szCs w:val="24"/>
              </w:rPr>
            </w:pPr>
            <w:r>
              <w:t>4</w:t>
            </w:r>
          </w:p>
        </w:tc>
        <w:tc>
          <w:tcPr>
            <w:tcW w:w="1800" w:type="dxa"/>
            <w:tcBorders>
              <w:top w:val="nil"/>
              <w:left w:val="nil"/>
              <w:bottom w:val="nil"/>
              <w:right w:val="nil"/>
            </w:tcBorders>
            <w:vAlign w:val="bottom"/>
          </w:tcPr>
          <w:p>
            <w:pPr>
              <w:pStyle w:val="yTableNAm"/>
              <w:jc w:val="center"/>
              <w:rPr>
                <w:sz w:val="24"/>
                <w:szCs w:val="24"/>
              </w:rPr>
            </w:pPr>
            <w:r>
              <w:t>7</w:t>
            </w:r>
          </w:p>
        </w:tc>
      </w:tr>
      <w:tr>
        <w:tc>
          <w:tcPr>
            <w:tcW w:w="2920" w:type="dxa"/>
            <w:tcBorders>
              <w:top w:val="nil"/>
              <w:left w:val="nil"/>
              <w:bottom w:val="nil"/>
              <w:right w:val="nil"/>
            </w:tcBorders>
            <w:vAlign w:val="center"/>
          </w:tcPr>
          <w:p>
            <w:pPr>
              <w:pStyle w:val="yTableNAm"/>
              <w:rPr>
                <w:szCs w:val="22"/>
              </w:rPr>
            </w:pPr>
            <w:r>
              <w:rPr>
                <w:szCs w:val="22"/>
              </w:rPr>
              <w:t>Norseman</w:t>
            </w:r>
          </w:p>
        </w:tc>
        <w:tc>
          <w:tcPr>
            <w:tcW w:w="1800" w:type="dxa"/>
            <w:tcBorders>
              <w:top w:val="nil"/>
              <w:left w:val="nil"/>
              <w:bottom w:val="nil"/>
              <w:right w:val="nil"/>
            </w:tcBorders>
            <w:vAlign w:val="bottom"/>
          </w:tcPr>
          <w:p>
            <w:pPr>
              <w:pStyle w:val="yTableNAm"/>
              <w:jc w:val="center"/>
              <w:rPr>
                <w:sz w:val="24"/>
                <w:szCs w:val="24"/>
              </w:rPr>
            </w:pPr>
            <w:r>
              <w:t>5</w:t>
            </w:r>
          </w:p>
        </w:tc>
        <w:tc>
          <w:tcPr>
            <w:tcW w:w="1800" w:type="dxa"/>
            <w:tcBorders>
              <w:top w:val="nil"/>
              <w:left w:val="nil"/>
              <w:bottom w:val="nil"/>
              <w:right w:val="nil"/>
            </w:tcBorders>
            <w:vAlign w:val="bottom"/>
          </w:tcPr>
          <w:p>
            <w:pPr>
              <w:pStyle w:val="yTableNAm"/>
              <w:jc w:val="center"/>
              <w:rPr>
                <w:sz w:val="24"/>
                <w:szCs w:val="24"/>
              </w:rPr>
            </w:pPr>
            <w:r>
              <w:t>13</w:t>
            </w:r>
          </w:p>
        </w:tc>
      </w:tr>
      <w:tr>
        <w:tc>
          <w:tcPr>
            <w:tcW w:w="2920" w:type="dxa"/>
            <w:tcBorders>
              <w:top w:val="nil"/>
              <w:left w:val="nil"/>
              <w:bottom w:val="nil"/>
              <w:right w:val="nil"/>
            </w:tcBorders>
            <w:vAlign w:val="center"/>
          </w:tcPr>
          <w:p>
            <w:pPr>
              <w:pStyle w:val="yTableNAm"/>
              <w:rPr>
                <w:szCs w:val="22"/>
              </w:rPr>
            </w:pPr>
            <w:r>
              <w:rPr>
                <w:szCs w:val="22"/>
              </w:rPr>
              <w:t>North Dandalup</w:t>
            </w:r>
          </w:p>
        </w:tc>
        <w:tc>
          <w:tcPr>
            <w:tcW w:w="1800" w:type="dxa"/>
            <w:tcBorders>
              <w:top w:val="nil"/>
              <w:left w:val="nil"/>
              <w:bottom w:val="nil"/>
              <w:right w:val="nil"/>
            </w:tcBorders>
            <w:vAlign w:val="bottom"/>
          </w:tcPr>
          <w:p>
            <w:pPr>
              <w:pStyle w:val="yTableNAm"/>
              <w:jc w:val="center"/>
              <w:rPr>
                <w:sz w:val="24"/>
                <w:szCs w:val="24"/>
              </w:rPr>
            </w:pPr>
            <w:r>
              <w:t>3</w:t>
            </w:r>
          </w:p>
        </w:tc>
        <w:tc>
          <w:tcPr>
            <w:tcW w:w="1800" w:type="dxa"/>
            <w:tcBorders>
              <w:top w:val="nil"/>
              <w:left w:val="nil"/>
              <w:bottom w:val="nil"/>
              <w:right w:val="nil"/>
            </w:tcBorders>
            <w:vAlign w:val="bottom"/>
          </w:tcPr>
          <w:p>
            <w:pPr>
              <w:pStyle w:val="yTableNAm"/>
              <w:jc w:val="center"/>
              <w:rPr>
                <w:sz w:val="24"/>
                <w:szCs w:val="24"/>
              </w:rPr>
            </w:pPr>
            <w:r>
              <w:t>9</w:t>
            </w:r>
          </w:p>
        </w:tc>
      </w:tr>
      <w:tr>
        <w:tc>
          <w:tcPr>
            <w:tcW w:w="2920" w:type="dxa"/>
            <w:tcBorders>
              <w:top w:val="nil"/>
              <w:left w:val="nil"/>
              <w:bottom w:val="nil"/>
              <w:right w:val="nil"/>
            </w:tcBorders>
            <w:vAlign w:val="center"/>
          </w:tcPr>
          <w:p>
            <w:pPr>
              <w:pStyle w:val="yTableNAm"/>
              <w:rPr>
                <w:szCs w:val="22"/>
              </w:rPr>
            </w:pPr>
            <w:r>
              <w:rPr>
                <w:szCs w:val="22"/>
              </w:rPr>
              <w:t>Northam</w:t>
            </w:r>
          </w:p>
        </w:tc>
        <w:tc>
          <w:tcPr>
            <w:tcW w:w="1800" w:type="dxa"/>
            <w:tcBorders>
              <w:top w:val="nil"/>
              <w:left w:val="nil"/>
              <w:bottom w:val="nil"/>
              <w:right w:val="nil"/>
            </w:tcBorders>
            <w:vAlign w:val="bottom"/>
          </w:tcPr>
          <w:p>
            <w:pPr>
              <w:pStyle w:val="yTableNAm"/>
              <w:jc w:val="center"/>
              <w:rPr>
                <w:sz w:val="24"/>
                <w:szCs w:val="24"/>
              </w:rPr>
            </w:pPr>
            <w:r>
              <w:t>3</w:t>
            </w:r>
          </w:p>
        </w:tc>
        <w:tc>
          <w:tcPr>
            <w:tcW w:w="1800" w:type="dxa"/>
            <w:tcBorders>
              <w:top w:val="nil"/>
              <w:left w:val="nil"/>
              <w:bottom w:val="nil"/>
              <w:right w:val="nil"/>
            </w:tcBorders>
            <w:vAlign w:val="bottom"/>
          </w:tcPr>
          <w:p>
            <w:pPr>
              <w:pStyle w:val="yTableNAm"/>
              <w:jc w:val="center"/>
              <w:rPr>
                <w:sz w:val="24"/>
                <w:szCs w:val="24"/>
              </w:rPr>
            </w:pPr>
            <w:r>
              <w:t>6</w:t>
            </w:r>
          </w:p>
        </w:tc>
      </w:tr>
      <w:tr>
        <w:tc>
          <w:tcPr>
            <w:tcW w:w="2920" w:type="dxa"/>
            <w:tcBorders>
              <w:top w:val="nil"/>
              <w:left w:val="nil"/>
              <w:bottom w:val="nil"/>
              <w:right w:val="nil"/>
            </w:tcBorders>
            <w:vAlign w:val="center"/>
          </w:tcPr>
          <w:p>
            <w:pPr>
              <w:pStyle w:val="yTableNAm"/>
              <w:rPr>
                <w:szCs w:val="22"/>
              </w:rPr>
            </w:pPr>
            <w:r>
              <w:rPr>
                <w:szCs w:val="22"/>
              </w:rPr>
              <w:t>Northam Farmlands</w:t>
            </w:r>
          </w:p>
        </w:tc>
        <w:tc>
          <w:tcPr>
            <w:tcW w:w="1800" w:type="dxa"/>
            <w:tcBorders>
              <w:top w:val="nil"/>
              <w:left w:val="nil"/>
              <w:bottom w:val="nil"/>
              <w:right w:val="nil"/>
            </w:tcBorders>
            <w:vAlign w:val="bottom"/>
          </w:tcPr>
          <w:p>
            <w:pPr>
              <w:pStyle w:val="yTableNAm"/>
              <w:jc w:val="center"/>
              <w:rPr>
                <w:sz w:val="24"/>
                <w:szCs w:val="24"/>
              </w:rPr>
            </w:pPr>
            <w:r>
              <w:t>3</w:t>
            </w:r>
          </w:p>
        </w:tc>
        <w:tc>
          <w:tcPr>
            <w:tcW w:w="1800" w:type="dxa"/>
            <w:tcBorders>
              <w:top w:val="nil"/>
              <w:left w:val="nil"/>
              <w:bottom w:val="nil"/>
              <w:right w:val="nil"/>
            </w:tcBorders>
            <w:vAlign w:val="bottom"/>
          </w:tcPr>
          <w:p>
            <w:pPr>
              <w:pStyle w:val="yTableNAm"/>
              <w:jc w:val="center"/>
              <w:rPr>
                <w:sz w:val="24"/>
                <w:szCs w:val="24"/>
              </w:rPr>
            </w:pPr>
            <w:r>
              <w:t>9</w:t>
            </w:r>
          </w:p>
        </w:tc>
      </w:tr>
      <w:tr>
        <w:tc>
          <w:tcPr>
            <w:tcW w:w="2920" w:type="dxa"/>
            <w:tcBorders>
              <w:top w:val="nil"/>
              <w:left w:val="nil"/>
              <w:bottom w:val="nil"/>
              <w:right w:val="nil"/>
            </w:tcBorders>
            <w:vAlign w:val="center"/>
          </w:tcPr>
          <w:p>
            <w:pPr>
              <w:pStyle w:val="yTableNAm"/>
              <w:rPr>
                <w:szCs w:val="22"/>
              </w:rPr>
            </w:pPr>
            <w:r>
              <w:rPr>
                <w:szCs w:val="22"/>
              </w:rPr>
              <w:t>Northampton</w:t>
            </w:r>
          </w:p>
        </w:tc>
        <w:tc>
          <w:tcPr>
            <w:tcW w:w="1800" w:type="dxa"/>
            <w:tcBorders>
              <w:top w:val="nil"/>
              <w:left w:val="nil"/>
              <w:bottom w:val="nil"/>
              <w:right w:val="nil"/>
            </w:tcBorders>
            <w:vAlign w:val="bottom"/>
          </w:tcPr>
          <w:p>
            <w:pPr>
              <w:pStyle w:val="yTableNAm"/>
              <w:jc w:val="center"/>
              <w:rPr>
                <w:sz w:val="24"/>
                <w:szCs w:val="24"/>
              </w:rPr>
            </w:pPr>
            <w:r>
              <w:t>5</w:t>
            </w:r>
          </w:p>
        </w:tc>
        <w:tc>
          <w:tcPr>
            <w:tcW w:w="1800" w:type="dxa"/>
            <w:tcBorders>
              <w:top w:val="nil"/>
              <w:left w:val="nil"/>
              <w:bottom w:val="nil"/>
              <w:right w:val="nil"/>
            </w:tcBorders>
            <w:vAlign w:val="bottom"/>
          </w:tcPr>
          <w:p>
            <w:pPr>
              <w:pStyle w:val="yTableNAm"/>
              <w:jc w:val="center"/>
              <w:rPr>
                <w:sz w:val="24"/>
                <w:szCs w:val="24"/>
              </w:rPr>
            </w:pPr>
            <w:r>
              <w:t>12</w:t>
            </w:r>
          </w:p>
        </w:tc>
      </w:tr>
      <w:tr>
        <w:tc>
          <w:tcPr>
            <w:tcW w:w="2920" w:type="dxa"/>
            <w:tcBorders>
              <w:top w:val="nil"/>
              <w:left w:val="nil"/>
              <w:bottom w:val="nil"/>
              <w:right w:val="nil"/>
            </w:tcBorders>
            <w:vAlign w:val="center"/>
          </w:tcPr>
          <w:p>
            <w:pPr>
              <w:pStyle w:val="yTableNAm"/>
              <w:rPr>
                <w:szCs w:val="22"/>
              </w:rPr>
            </w:pPr>
            <w:r>
              <w:rPr>
                <w:szCs w:val="22"/>
              </w:rPr>
              <w:t>Northcliffe</w:t>
            </w:r>
          </w:p>
        </w:tc>
        <w:tc>
          <w:tcPr>
            <w:tcW w:w="1800" w:type="dxa"/>
            <w:tcBorders>
              <w:top w:val="nil"/>
              <w:left w:val="nil"/>
              <w:bottom w:val="nil"/>
              <w:right w:val="nil"/>
            </w:tcBorders>
            <w:vAlign w:val="bottom"/>
          </w:tcPr>
          <w:p>
            <w:pPr>
              <w:pStyle w:val="yTableNAm"/>
              <w:jc w:val="center"/>
              <w:rPr>
                <w:sz w:val="24"/>
                <w:szCs w:val="24"/>
              </w:rPr>
            </w:pPr>
            <w:r>
              <w:t>5</w:t>
            </w:r>
          </w:p>
        </w:tc>
        <w:tc>
          <w:tcPr>
            <w:tcW w:w="1800" w:type="dxa"/>
            <w:tcBorders>
              <w:top w:val="nil"/>
              <w:left w:val="nil"/>
              <w:bottom w:val="nil"/>
              <w:right w:val="nil"/>
            </w:tcBorders>
            <w:vAlign w:val="bottom"/>
          </w:tcPr>
          <w:p>
            <w:pPr>
              <w:pStyle w:val="yTableNAm"/>
              <w:jc w:val="center"/>
              <w:rPr>
                <w:sz w:val="24"/>
                <w:szCs w:val="24"/>
              </w:rPr>
            </w:pPr>
            <w:r>
              <w:t>14</w:t>
            </w:r>
          </w:p>
        </w:tc>
      </w:tr>
      <w:tr>
        <w:tc>
          <w:tcPr>
            <w:tcW w:w="2920" w:type="dxa"/>
            <w:tcBorders>
              <w:top w:val="nil"/>
              <w:left w:val="nil"/>
              <w:bottom w:val="nil"/>
              <w:right w:val="nil"/>
            </w:tcBorders>
            <w:vAlign w:val="center"/>
          </w:tcPr>
          <w:p>
            <w:pPr>
              <w:pStyle w:val="yTableNAm"/>
              <w:rPr>
                <w:szCs w:val="22"/>
              </w:rPr>
            </w:pPr>
            <w:r>
              <w:rPr>
                <w:szCs w:val="22"/>
              </w:rPr>
              <w:t>Nullagine</w:t>
            </w:r>
          </w:p>
        </w:tc>
        <w:tc>
          <w:tcPr>
            <w:tcW w:w="1800" w:type="dxa"/>
            <w:tcBorders>
              <w:top w:val="nil"/>
              <w:left w:val="nil"/>
              <w:bottom w:val="nil"/>
              <w:right w:val="nil"/>
            </w:tcBorders>
            <w:vAlign w:val="bottom"/>
          </w:tcPr>
          <w:p>
            <w:pPr>
              <w:pStyle w:val="yTableNAm"/>
              <w:jc w:val="center"/>
              <w:rPr>
                <w:sz w:val="24"/>
                <w:szCs w:val="24"/>
              </w:rPr>
            </w:pPr>
            <w:r>
              <w:t>5</w:t>
            </w:r>
          </w:p>
        </w:tc>
        <w:tc>
          <w:tcPr>
            <w:tcW w:w="1800" w:type="dxa"/>
            <w:tcBorders>
              <w:top w:val="nil"/>
              <w:left w:val="nil"/>
              <w:bottom w:val="nil"/>
              <w:right w:val="nil"/>
            </w:tcBorders>
            <w:vAlign w:val="bottom"/>
          </w:tcPr>
          <w:p>
            <w:pPr>
              <w:pStyle w:val="yTableNAm"/>
              <w:jc w:val="center"/>
              <w:rPr>
                <w:sz w:val="24"/>
                <w:szCs w:val="24"/>
              </w:rPr>
            </w:pPr>
            <w:r>
              <w:t>14</w:t>
            </w:r>
          </w:p>
        </w:tc>
      </w:tr>
      <w:tr>
        <w:tc>
          <w:tcPr>
            <w:tcW w:w="2920" w:type="dxa"/>
            <w:tcBorders>
              <w:top w:val="nil"/>
              <w:left w:val="nil"/>
              <w:bottom w:val="nil"/>
              <w:right w:val="nil"/>
            </w:tcBorders>
            <w:vAlign w:val="center"/>
          </w:tcPr>
          <w:p>
            <w:pPr>
              <w:pStyle w:val="yTableNAm"/>
              <w:rPr>
                <w:szCs w:val="22"/>
              </w:rPr>
            </w:pPr>
            <w:r>
              <w:rPr>
                <w:szCs w:val="22"/>
              </w:rPr>
              <w:t>Nungarin</w:t>
            </w:r>
          </w:p>
        </w:tc>
        <w:tc>
          <w:tcPr>
            <w:tcW w:w="1800" w:type="dxa"/>
            <w:tcBorders>
              <w:top w:val="nil"/>
              <w:left w:val="nil"/>
              <w:bottom w:val="nil"/>
              <w:right w:val="nil"/>
            </w:tcBorders>
            <w:vAlign w:val="bottom"/>
          </w:tcPr>
          <w:p>
            <w:pPr>
              <w:pStyle w:val="yTableNAm"/>
              <w:jc w:val="center"/>
              <w:rPr>
                <w:sz w:val="24"/>
                <w:szCs w:val="24"/>
              </w:rPr>
            </w:pPr>
            <w:r>
              <w:t>5</w:t>
            </w:r>
          </w:p>
        </w:tc>
        <w:tc>
          <w:tcPr>
            <w:tcW w:w="1800" w:type="dxa"/>
            <w:tcBorders>
              <w:top w:val="nil"/>
              <w:left w:val="nil"/>
              <w:bottom w:val="nil"/>
              <w:right w:val="nil"/>
            </w:tcBorders>
            <w:vAlign w:val="bottom"/>
          </w:tcPr>
          <w:p>
            <w:pPr>
              <w:pStyle w:val="yTableNAm"/>
              <w:jc w:val="center"/>
              <w:rPr>
                <w:sz w:val="24"/>
                <w:szCs w:val="24"/>
              </w:rPr>
            </w:pPr>
            <w:r>
              <w:t>14</w:t>
            </w:r>
          </w:p>
        </w:tc>
      </w:tr>
      <w:tr>
        <w:tc>
          <w:tcPr>
            <w:tcW w:w="2920" w:type="dxa"/>
            <w:tcBorders>
              <w:top w:val="nil"/>
              <w:left w:val="nil"/>
              <w:bottom w:val="nil"/>
              <w:right w:val="nil"/>
            </w:tcBorders>
            <w:vAlign w:val="center"/>
          </w:tcPr>
          <w:p>
            <w:pPr>
              <w:pStyle w:val="yTableNAm"/>
              <w:rPr>
                <w:szCs w:val="22"/>
              </w:rPr>
            </w:pPr>
            <w:r>
              <w:rPr>
                <w:szCs w:val="22"/>
              </w:rPr>
              <w:t>Nyabing</w:t>
            </w:r>
          </w:p>
        </w:tc>
        <w:tc>
          <w:tcPr>
            <w:tcW w:w="1800" w:type="dxa"/>
            <w:tcBorders>
              <w:top w:val="nil"/>
              <w:left w:val="nil"/>
              <w:bottom w:val="nil"/>
              <w:right w:val="nil"/>
            </w:tcBorders>
            <w:vAlign w:val="bottom"/>
          </w:tcPr>
          <w:p>
            <w:pPr>
              <w:pStyle w:val="yTableNAm"/>
              <w:jc w:val="center"/>
              <w:rPr>
                <w:sz w:val="24"/>
                <w:szCs w:val="24"/>
              </w:rPr>
            </w:pPr>
            <w:r>
              <w:t>5</w:t>
            </w:r>
          </w:p>
        </w:tc>
        <w:tc>
          <w:tcPr>
            <w:tcW w:w="1800" w:type="dxa"/>
            <w:tcBorders>
              <w:top w:val="nil"/>
              <w:left w:val="nil"/>
              <w:bottom w:val="nil"/>
              <w:right w:val="nil"/>
            </w:tcBorders>
            <w:vAlign w:val="bottom"/>
          </w:tcPr>
          <w:p>
            <w:pPr>
              <w:pStyle w:val="yTableNAm"/>
              <w:jc w:val="center"/>
              <w:rPr>
                <w:sz w:val="24"/>
                <w:szCs w:val="24"/>
              </w:rPr>
            </w:pPr>
            <w:r>
              <w:t>14</w:t>
            </w:r>
          </w:p>
        </w:tc>
      </w:tr>
      <w:tr>
        <w:tc>
          <w:tcPr>
            <w:tcW w:w="2920" w:type="dxa"/>
            <w:tcBorders>
              <w:top w:val="nil"/>
              <w:left w:val="nil"/>
              <w:bottom w:val="nil"/>
              <w:right w:val="nil"/>
            </w:tcBorders>
            <w:vAlign w:val="center"/>
          </w:tcPr>
          <w:p>
            <w:pPr>
              <w:pStyle w:val="yTableNAm"/>
              <w:rPr>
                <w:szCs w:val="22"/>
              </w:rPr>
            </w:pPr>
            <w:r>
              <w:rPr>
                <w:szCs w:val="22"/>
              </w:rPr>
              <w:t>Ongerup</w:t>
            </w:r>
          </w:p>
        </w:tc>
        <w:tc>
          <w:tcPr>
            <w:tcW w:w="1800" w:type="dxa"/>
            <w:tcBorders>
              <w:top w:val="nil"/>
              <w:left w:val="nil"/>
              <w:bottom w:val="nil"/>
              <w:right w:val="nil"/>
            </w:tcBorders>
            <w:vAlign w:val="bottom"/>
          </w:tcPr>
          <w:p>
            <w:pPr>
              <w:pStyle w:val="yTableNAm"/>
              <w:jc w:val="center"/>
              <w:rPr>
                <w:sz w:val="24"/>
                <w:szCs w:val="24"/>
              </w:rPr>
            </w:pPr>
            <w:r>
              <w:t>5</w:t>
            </w:r>
          </w:p>
        </w:tc>
        <w:tc>
          <w:tcPr>
            <w:tcW w:w="1800" w:type="dxa"/>
            <w:tcBorders>
              <w:top w:val="nil"/>
              <w:left w:val="nil"/>
              <w:bottom w:val="nil"/>
              <w:right w:val="nil"/>
            </w:tcBorders>
            <w:vAlign w:val="bottom"/>
          </w:tcPr>
          <w:p>
            <w:pPr>
              <w:pStyle w:val="yTableNAm"/>
              <w:jc w:val="center"/>
              <w:rPr>
                <w:sz w:val="24"/>
                <w:szCs w:val="24"/>
              </w:rPr>
            </w:pPr>
            <w:r>
              <w:t>15</w:t>
            </w:r>
          </w:p>
        </w:tc>
      </w:tr>
      <w:tr>
        <w:tc>
          <w:tcPr>
            <w:tcW w:w="2920" w:type="dxa"/>
            <w:tcBorders>
              <w:top w:val="nil"/>
              <w:left w:val="nil"/>
              <w:bottom w:val="nil"/>
              <w:right w:val="nil"/>
            </w:tcBorders>
            <w:vAlign w:val="center"/>
          </w:tcPr>
          <w:p>
            <w:pPr>
              <w:pStyle w:val="yTableNAm"/>
              <w:rPr>
                <w:szCs w:val="22"/>
              </w:rPr>
            </w:pPr>
            <w:r>
              <w:rPr>
                <w:szCs w:val="22"/>
              </w:rPr>
              <w:t>Onslow</w:t>
            </w:r>
          </w:p>
        </w:tc>
        <w:tc>
          <w:tcPr>
            <w:tcW w:w="1800" w:type="dxa"/>
            <w:tcBorders>
              <w:top w:val="nil"/>
              <w:left w:val="nil"/>
              <w:bottom w:val="nil"/>
              <w:right w:val="nil"/>
            </w:tcBorders>
            <w:vAlign w:val="bottom"/>
          </w:tcPr>
          <w:p>
            <w:pPr>
              <w:pStyle w:val="yTableNAm"/>
              <w:jc w:val="center"/>
              <w:rPr>
                <w:sz w:val="24"/>
                <w:szCs w:val="24"/>
              </w:rPr>
            </w:pPr>
            <w:r>
              <w:t>5</w:t>
            </w:r>
          </w:p>
        </w:tc>
        <w:tc>
          <w:tcPr>
            <w:tcW w:w="1800" w:type="dxa"/>
            <w:tcBorders>
              <w:top w:val="nil"/>
              <w:left w:val="nil"/>
              <w:bottom w:val="nil"/>
              <w:right w:val="nil"/>
            </w:tcBorders>
            <w:vAlign w:val="bottom"/>
          </w:tcPr>
          <w:p>
            <w:pPr>
              <w:pStyle w:val="yTableNAm"/>
              <w:jc w:val="center"/>
              <w:rPr>
                <w:sz w:val="24"/>
                <w:szCs w:val="24"/>
              </w:rPr>
            </w:pPr>
            <w:r>
              <w:t>14</w:t>
            </w:r>
          </w:p>
        </w:tc>
      </w:tr>
      <w:tr>
        <w:tc>
          <w:tcPr>
            <w:tcW w:w="2920" w:type="dxa"/>
            <w:tcBorders>
              <w:top w:val="nil"/>
              <w:left w:val="nil"/>
              <w:bottom w:val="nil"/>
              <w:right w:val="nil"/>
            </w:tcBorders>
            <w:vAlign w:val="center"/>
          </w:tcPr>
          <w:p>
            <w:pPr>
              <w:pStyle w:val="yTableNAm"/>
              <w:rPr>
                <w:szCs w:val="22"/>
              </w:rPr>
            </w:pPr>
            <w:r>
              <w:rPr>
                <w:szCs w:val="22"/>
              </w:rPr>
              <w:t>Ora Banda</w:t>
            </w:r>
          </w:p>
        </w:tc>
        <w:tc>
          <w:tcPr>
            <w:tcW w:w="1800" w:type="dxa"/>
            <w:tcBorders>
              <w:top w:val="nil"/>
              <w:left w:val="nil"/>
              <w:bottom w:val="nil"/>
              <w:right w:val="nil"/>
            </w:tcBorders>
            <w:vAlign w:val="bottom"/>
          </w:tcPr>
          <w:p>
            <w:pPr>
              <w:pStyle w:val="yTableNAm"/>
              <w:jc w:val="center"/>
              <w:rPr>
                <w:sz w:val="24"/>
                <w:szCs w:val="24"/>
              </w:rPr>
            </w:pPr>
            <w:r>
              <w:t>5</w:t>
            </w:r>
          </w:p>
        </w:tc>
        <w:tc>
          <w:tcPr>
            <w:tcW w:w="1800" w:type="dxa"/>
            <w:tcBorders>
              <w:top w:val="nil"/>
              <w:left w:val="nil"/>
              <w:bottom w:val="nil"/>
              <w:right w:val="nil"/>
            </w:tcBorders>
            <w:vAlign w:val="bottom"/>
          </w:tcPr>
          <w:p>
            <w:pPr>
              <w:pStyle w:val="yTableNAm"/>
              <w:jc w:val="center"/>
              <w:rPr>
                <w:sz w:val="24"/>
                <w:szCs w:val="24"/>
              </w:rPr>
            </w:pPr>
            <w:r>
              <w:t>15</w:t>
            </w:r>
          </w:p>
        </w:tc>
      </w:tr>
      <w:tr>
        <w:tc>
          <w:tcPr>
            <w:tcW w:w="2920" w:type="dxa"/>
            <w:tcBorders>
              <w:top w:val="nil"/>
              <w:left w:val="nil"/>
              <w:bottom w:val="nil"/>
              <w:right w:val="nil"/>
            </w:tcBorders>
            <w:vAlign w:val="center"/>
          </w:tcPr>
          <w:p>
            <w:pPr>
              <w:pStyle w:val="yTableNAm"/>
              <w:rPr>
                <w:szCs w:val="22"/>
              </w:rPr>
            </w:pPr>
            <w:r>
              <w:rPr>
                <w:szCs w:val="22"/>
              </w:rPr>
              <w:t>Park Ridge</w:t>
            </w:r>
          </w:p>
        </w:tc>
        <w:tc>
          <w:tcPr>
            <w:tcW w:w="1800" w:type="dxa"/>
            <w:tcBorders>
              <w:top w:val="nil"/>
              <w:left w:val="nil"/>
              <w:bottom w:val="nil"/>
              <w:right w:val="nil"/>
            </w:tcBorders>
            <w:vAlign w:val="bottom"/>
          </w:tcPr>
          <w:p>
            <w:pPr>
              <w:pStyle w:val="yTableNAm"/>
              <w:jc w:val="center"/>
              <w:rPr>
                <w:sz w:val="24"/>
                <w:szCs w:val="24"/>
              </w:rPr>
            </w:pPr>
            <w:r>
              <w:t>3</w:t>
            </w:r>
          </w:p>
        </w:tc>
        <w:tc>
          <w:tcPr>
            <w:tcW w:w="1800" w:type="dxa"/>
            <w:tcBorders>
              <w:top w:val="nil"/>
              <w:left w:val="nil"/>
              <w:bottom w:val="nil"/>
              <w:right w:val="nil"/>
            </w:tcBorders>
            <w:vAlign w:val="bottom"/>
          </w:tcPr>
          <w:p>
            <w:pPr>
              <w:pStyle w:val="yTableNAm"/>
              <w:jc w:val="center"/>
              <w:rPr>
                <w:sz w:val="24"/>
                <w:szCs w:val="24"/>
              </w:rPr>
            </w:pPr>
            <w:r>
              <w:t>6</w:t>
            </w:r>
          </w:p>
        </w:tc>
      </w:tr>
      <w:tr>
        <w:tc>
          <w:tcPr>
            <w:tcW w:w="2920" w:type="dxa"/>
            <w:tcBorders>
              <w:top w:val="nil"/>
              <w:left w:val="nil"/>
              <w:bottom w:val="nil"/>
              <w:right w:val="nil"/>
            </w:tcBorders>
            <w:vAlign w:val="center"/>
          </w:tcPr>
          <w:p>
            <w:pPr>
              <w:pStyle w:val="yTableNAm"/>
              <w:rPr>
                <w:szCs w:val="22"/>
              </w:rPr>
            </w:pPr>
            <w:r>
              <w:rPr>
                <w:szCs w:val="22"/>
              </w:rPr>
              <w:t>Pemberton</w:t>
            </w:r>
          </w:p>
        </w:tc>
        <w:tc>
          <w:tcPr>
            <w:tcW w:w="1800" w:type="dxa"/>
            <w:tcBorders>
              <w:top w:val="nil"/>
              <w:left w:val="nil"/>
              <w:bottom w:val="nil"/>
              <w:right w:val="nil"/>
            </w:tcBorders>
            <w:vAlign w:val="bottom"/>
          </w:tcPr>
          <w:p>
            <w:pPr>
              <w:pStyle w:val="yTableNAm"/>
              <w:jc w:val="center"/>
              <w:rPr>
                <w:sz w:val="24"/>
                <w:szCs w:val="24"/>
              </w:rPr>
            </w:pPr>
            <w:r>
              <w:t>5</w:t>
            </w:r>
          </w:p>
        </w:tc>
        <w:tc>
          <w:tcPr>
            <w:tcW w:w="1800" w:type="dxa"/>
            <w:tcBorders>
              <w:top w:val="nil"/>
              <w:left w:val="nil"/>
              <w:bottom w:val="nil"/>
              <w:right w:val="nil"/>
            </w:tcBorders>
            <w:vAlign w:val="bottom"/>
          </w:tcPr>
          <w:p>
            <w:pPr>
              <w:pStyle w:val="yTableNAm"/>
              <w:jc w:val="center"/>
              <w:rPr>
                <w:sz w:val="24"/>
                <w:szCs w:val="24"/>
              </w:rPr>
            </w:pPr>
            <w:r>
              <w:t>12</w:t>
            </w:r>
          </w:p>
        </w:tc>
      </w:tr>
      <w:tr>
        <w:tc>
          <w:tcPr>
            <w:tcW w:w="2920" w:type="dxa"/>
            <w:tcBorders>
              <w:top w:val="nil"/>
              <w:left w:val="nil"/>
              <w:bottom w:val="nil"/>
              <w:right w:val="nil"/>
            </w:tcBorders>
            <w:vAlign w:val="center"/>
          </w:tcPr>
          <w:p>
            <w:pPr>
              <w:pStyle w:val="yTableNAm"/>
              <w:rPr>
                <w:szCs w:val="22"/>
              </w:rPr>
            </w:pPr>
            <w:r>
              <w:rPr>
                <w:szCs w:val="22"/>
              </w:rPr>
              <w:t>Peppermint Grove Beach</w:t>
            </w:r>
          </w:p>
        </w:tc>
        <w:tc>
          <w:tcPr>
            <w:tcW w:w="1800" w:type="dxa"/>
            <w:tcBorders>
              <w:top w:val="nil"/>
              <w:left w:val="nil"/>
              <w:bottom w:val="nil"/>
              <w:right w:val="nil"/>
            </w:tcBorders>
            <w:vAlign w:val="bottom"/>
          </w:tcPr>
          <w:p>
            <w:pPr>
              <w:pStyle w:val="yTableNAm"/>
              <w:jc w:val="center"/>
              <w:rPr>
                <w:sz w:val="24"/>
                <w:szCs w:val="24"/>
              </w:rPr>
            </w:pPr>
            <w:r>
              <w:t>4</w:t>
            </w:r>
          </w:p>
        </w:tc>
        <w:tc>
          <w:tcPr>
            <w:tcW w:w="1800" w:type="dxa"/>
            <w:tcBorders>
              <w:top w:val="nil"/>
              <w:left w:val="nil"/>
              <w:bottom w:val="nil"/>
              <w:right w:val="nil"/>
            </w:tcBorders>
            <w:vAlign w:val="bottom"/>
          </w:tcPr>
          <w:p>
            <w:pPr>
              <w:pStyle w:val="yTableNAm"/>
              <w:jc w:val="center"/>
              <w:rPr>
                <w:sz w:val="24"/>
                <w:szCs w:val="24"/>
              </w:rPr>
            </w:pPr>
            <w:r>
              <w:t>12</w:t>
            </w:r>
          </w:p>
        </w:tc>
      </w:tr>
      <w:tr>
        <w:tc>
          <w:tcPr>
            <w:tcW w:w="2920" w:type="dxa"/>
            <w:tcBorders>
              <w:top w:val="nil"/>
              <w:left w:val="nil"/>
              <w:bottom w:val="nil"/>
              <w:right w:val="nil"/>
            </w:tcBorders>
            <w:vAlign w:val="center"/>
          </w:tcPr>
          <w:p>
            <w:pPr>
              <w:pStyle w:val="yTableNAm"/>
              <w:rPr>
                <w:szCs w:val="22"/>
              </w:rPr>
            </w:pPr>
            <w:r>
              <w:rPr>
                <w:szCs w:val="22"/>
              </w:rPr>
              <w:t>Perenjori</w:t>
            </w:r>
          </w:p>
        </w:tc>
        <w:tc>
          <w:tcPr>
            <w:tcW w:w="1800" w:type="dxa"/>
            <w:tcBorders>
              <w:top w:val="nil"/>
              <w:left w:val="nil"/>
              <w:bottom w:val="nil"/>
              <w:right w:val="nil"/>
            </w:tcBorders>
            <w:vAlign w:val="bottom"/>
          </w:tcPr>
          <w:p>
            <w:pPr>
              <w:pStyle w:val="yTableNAm"/>
              <w:jc w:val="center"/>
              <w:rPr>
                <w:sz w:val="24"/>
                <w:szCs w:val="24"/>
              </w:rPr>
            </w:pPr>
            <w:r>
              <w:t>5</w:t>
            </w:r>
          </w:p>
        </w:tc>
        <w:tc>
          <w:tcPr>
            <w:tcW w:w="1800" w:type="dxa"/>
            <w:tcBorders>
              <w:top w:val="nil"/>
              <w:left w:val="nil"/>
              <w:bottom w:val="nil"/>
              <w:right w:val="nil"/>
            </w:tcBorders>
            <w:vAlign w:val="bottom"/>
          </w:tcPr>
          <w:p>
            <w:pPr>
              <w:pStyle w:val="yTableNAm"/>
              <w:jc w:val="center"/>
              <w:rPr>
                <w:sz w:val="24"/>
                <w:szCs w:val="24"/>
              </w:rPr>
            </w:pPr>
            <w:r>
              <w:t>14</w:t>
            </w:r>
          </w:p>
        </w:tc>
      </w:tr>
      <w:tr>
        <w:tc>
          <w:tcPr>
            <w:tcW w:w="2920" w:type="dxa"/>
            <w:tcBorders>
              <w:top w:val="nil"/>
              <w:left w:val="nil"/>
              <w:bottom w:val="nil"/>
              <w:right w:val="nil"/>
            </w:tcBorders>
            <w:vAlign w:val="center"/>
          </w:tcPr>
          <w:p>
            <w:pPr>
              <w:pStyle w:val="yTableNAm"/>
              <w:rPr>
                <w:szCs w:val="22"/>
              </w:rPr>
            </w:pPr>
            <w:r>
              <w:rPr>
                <w:szCs w:val="22"/>
              </w:rPr>
              <w:t>Pingaring</w:t>
            </w:r>
          </w:p>
        </w:tc>
        <w:tc>
          <w:tcPr>
            <w:tcW w:w="1800" w:type="dxa"/>
            <w:tcBorders>
              <w:top w:val="nil"/>
              <w:left w:val="nil"/>
              <w:bottom w:val="nil"/>
              <w:right w:val="nil"/>
            </w:tcBorders>
            <w:vAlign w:val="bottom"/>
          </w:tcPr>
          <w:p>
            <w:pPr>
              <w:pStyle w:val="yTableNAm"/>
              <w:jc w:val="center"/>
              <w:rPr>
                <w:sz w:val="24"/>
                <w:szCs w:val="24"/>
              </w:rPr>
            </w:pPr>
            <w:r>
              <w:t>5</w:t>
            </w:r>
          </w:p>
        </w:tc>
        <w:tc>
          <w:tcPr>
            <w:tcW w:w="1800" w:type="dxa"/>
            <w:tcBorders>
              <w:top w:val="nil"/>
              <w:left w:val="nil"/>
              <w:bottom w:val="nil"/>
              <w:right w:val="nil"/>
            </w:tcBorders>
            <w:vAlign w:val="bottom"/>
          </w:tcPr>
          <w:p>
            <w:pPr>
              <w:pStyle w:val="yTableNAm"/>
              <w:jc w:val="center"/>
              <w:rPr>
                <w:sz w:val="24"/>
                <w:szCs w:val="24"/>
              </w:rPr>
            </w:pPr>
            <w:r>
              <w:t>15</w:t>
            </w:r>
          </w:p>
        </w:tc>
      </w:tr>
      <w:tr>
        <w:tc>
          <w:tcPr>
            <w:tcW w:w="2920" w:type="dxa"/>
            <w:tcBorders>
              <w:top w:val="nil"/>
              <w:left w:val="nil"/>
              <w:bottom w:val="nil"/>
              <w:right w:val="nil"/>
            </w:tcBorders>
            <w:vAlign w:val="center"/>
          </w:tcPr>
          <w:p>
            <w:pPr>
              <w:pStyle w:val="yTableNAm"/>
              <w:rPr>
                <w:szCs w:val="22"/>
              </w:rPr>
            </w:pPr>
            <w:r>
              <w:rPr>
                <w:szCs w:val="22"/>
              </w:rPr>
              <w:t>Pingelly</w:t>
            </w:r>
          </w:p>
        </w:tc>
        <w:tc>
          <w:tcPr>
            <w:tcW w:w="1800" w:type="dxa"/>
            <w:tcBorders>
              <w:top w:val="nil"/>
              <w:left w:val="nil"/>
              <w:bottom w:val="nil"/>
              <w:right w:val="nil"/>
            </w:tcBorders>
            <w:vAlign w:val="bottom"/>
          </w:tcPr>
          <w:p>
            <w:pPr>
              <w:pStyle w:val="yTableNAm"/>
              <w:jc w:val="center"/>
              <w:rPr>
                <w:sz w:val="24"/>
                <w:szCs w:val="24"/>
              </w:rPr>
            </w:pPr>
            <w:r>
              <w:t>5</w:t>
            </w:r>
          </w:p>
        </w:tc>
        <w:tc>
          <w:tcPr>
            <w:tcW w:w="1800" w:type="dxa"/>
            <w:tcBorders>
              <w:top w:val="nil"/>
              <w:left w:val="nil"/>
              <w:bottom w:val="nil"/>
              <w:right w:val="nil"/>
            </w:tcBorders>
            <w:vAlign w:val="bottom"/>
          </w:tcPr>
          <w:p>
            <w:pPr>
              <w:pStyle w:val="yTableNAm"/>
              <w:jc w:val="center"/>
              <w:rPr>
                <w:sz w:val="24"/>
                <w:szCs w:val="24"/>
              </w:rPr>
            </w:pPr>
            <w:r>
              <w:t>12</w:t>
            </w:r>
          </w:p>
        </w:tc>
      </w:tr>
      <w:tr>
        <w:tc>
          <w:tcPr>
            <w:tcW w:w="2920" w:type="dxa"/>
            <w:tcBorders>
              <w:top w:val="nil"/>
              <w:left w:val="nil"/>
              <w:bottom w:val="nil"/>
              <w:right w:val="nil"/>
            </w:tcBorders>
            <w:vAlign w:val="center"/>
          </w:tcPr>
          <w:p>
            <w:pPr>
              <w:pStyle w:val="yTableNAm"/>
              <w:rPr>
                <w:szCs w:val="22"/>
              </w:rPr>
            </w:pPr>
            <w:r>
              <w:rPr>
                <w:szCs w:val="22"/>
              </w:rPr>
              <w:t>Pingrup</w:t>
            </w:r>
          </w:p>
        </w:tc>
        <w:tc>
          <w:tcPr>
            <w:tcW w:w="1800" w:type="dxa"/>
            <w:tcBorders>
              <w:top w:val="nil"/>
              <w:left w:val="nil"/>
              <w:bottom w:val="nil"/>
              <w:right w:val="nil"/>
            </w:tcBorders>
            <w:vAlign w:val="bottom"/>
          </w:tcPr>
          <w:p>
            <w:pPr>
              <w:pStyle w:val="yTableNAm"/>
              <w:jc w:val="center"/>
              <w:rPr>
                <w:sz w:val="24"/>
                <w:szCs w:val="24"/>
              </w:rPr>
            </w:pPr>
            <w:r>
              <w:t>5</w:t>
            </w:r>
          </w:p>
        </w:tc>
        <w:tc>
          <w:tcPr>
            <w:tcW w:w="1800" w:type="dxa"/>
            <w:tcBorders>
              <w:top w:val="nil"/>
              <w:left w:val="nil"/>
              <w:bottom w:val="nil"/>
              <w:right w:val="nil"/>
            </w:tcBorders>
            <w:vAlign w:val="bottom"/>
          </w:tcPr>
          <w:p>
            <w:pPr>
              <w:pStyle w:val="yTableNAm"/>
              <w:jc w:val="center"/>
              <w:rPr>
                <w:sz w:val="24"/>
                <w:szCs w:val="24"/>
              </w:rPr>
            </w:pPr>
            <w:r>
              <w:t>15</w:t>
            </w:r>
          </w:p>
        </w:tc>
      </w:tr>
      <w:tr>
        <w:tc>
          <w:tcPr>
            <w:tcW w:w="2920" w:type="dxa"/>
            <w:tcBorders>
              <w:top w:val="nil"/>
              <w:left w:val="nil"/>
              <w:bottom w:val="nil"/>
              <w:right w:val="nil"/>
            </w:tcBorders>
            <w:vAlign w:val="center"/>
          </w:tcPr>
          <w:p>
            <w:pPr>
              <w:pStyle w:val="yTableNAm"/>
              <w:rPr>
                <w:szCs w:val="22"/>
              </w:rPr>
            </w:pPr>
            <w:r>
              <w:rPr>
                <w:szCs w:val="22"/>
              </w:rPr>
              <w:t>Pinjarra</w:t>
            </w:r>
          </w:p>
        </w:tc>
        <w:tc>
          <w:tcPr>
            <w:tcW w:w="1800" w:type="dxa"/>
            <w:tcBorders>
              <w:top w:val="nil"/>
              <w:left w:val="nil"/>
              <w:bottom w:val="nil"/>
              <w:right w:val="nil"/>
            </w:tcBorders>
            <w:vAlign w:val="bottom"/>
          </w:tcPr>
          <w:p>
            <w:pPr>
              <w:pStyle w:val="yTableNAm"/>
              <w:jc w:val="center"/>
              <w:rPr>
                <w:sz w:val="24"/>
                <w:szCs w:val="24"/>
              </w:rPr>
            </w:pPr>
            <w:r>
              <w:t>1</w:t>
            </w:r>
          </w:p>
        </w:tc>
        <w:tc>
          <w:tcPr>
            <w:tcW w:w="1800" w:type="dxa"/>
            <w:tcBorders>
              <w:top w:val="nil"/>
              <w:left w:val="nil"/>
              <w:bottom w:val="nil"/>
              <w:right w:val="nil"/>
            </w:tcBorders>
            <w:vAlign w:val="bottom"/>
          </w:tcPr>
          <w:p>
            <w:pPr>
              <w:pStyle w:val="yTableNAm"/>
              <w:jc w:val="center"/>
              <w:rPr>
                <w:sz w:val="24"/>
                <w:szCs w:val="24"/>
              </w:rPr>
            </w:pPr>
            <w:r>
              <w:t>1</w:t>
            </w:r>
          </w:p>
        </w:tc>
      </w:tr>
      <w:tr>
        <w:tc>
          <w:tcPr>
            <w:tcW w:w="2920" w:type="dxa"/>
            <w:tcBorders>
              <w:top w:val="nil"/>
              <w:left w:val="nil"/>
              <w:bottom w:val="nil"/>
              <w:right w:val="nil"/>
            </w:tcBorders>
            <w:vAlign w:val="center"/>
          </w:tcPr>
          <w:p>
            <w:pPr>
              <w:pStyle w:val="yTableNAm"/>
              <w:rPr>
                <w:szCs w:val="22"/>
              </w:rPr>
            </w:pPr>
            <w:r>
              <w:rPr>
                <w:szCs w:val="22"/>
              </w:rPr>
              <w:t>Pithara</w:t>
            </w:r>
          </w:p>
        </w:tc>
        <w:tc>
          <w:tcPr>
            <w:tcW w:w="1800" w:type="dxa"/>
            <w:tcBorders>
              <w:top w:val="nil"/>
              <w:left w:val="nil"/>
              <w:bottom w:val="nil"/>
              <w:right w:val="nil"/>
            </w:tcBorders>
            <w:vAlign w:val="bottom"/>
          </w:tcPr>
          <w:p>
            <w:pPr>
              <w:pStyle w:val="yTableNAm"/>
              <w:jc w:val="center"/>
              <w:rPr>
                <w:sz w:val="24"/>
                <w:szCs w:val="24"/>
              </w:rPr>
            </w:pPr>
            <w:r>
              <w:t>5</w:t>
            </w:r>
          </w:p>
        </w:tc>
        <w:tc>
          <w:tcPr>
            <w:tcW w:w="1800" w:type="dxa"/>
            <w:tcBorders>
              <w:top w:val="nil"/>
              <w:left w:val="nil"/>
              <w:bottom w:val="nil"/>
              <w:right w:val="nil"/>
            </w:tcBorders>
            <w:vAlign w:val="bottom"/>
          </w:tcPr>
          <w:p>
            <w:pPr>
              <w:pStyle w:val="yTableNAm"/>
              <w:jc w:val="center"/>
              <w:rPr>
                <w:sz w:val="24"/>
                <w:szCs w:val="24"/>
              </w:rPr>
            </w:pPr>
            <w:r>
              <w:t>12</w:t>
            </w:r>
          </w:p>
        </w:tc>
      </w:tr>
      <w:tr>
        <w:tc>
          <w:tcPr>
            <w:tcW w:w="2920" w:type="dxa"/>
            <w:tcBorders>
              <w:top w:val="nil"/>
              <w:left w:val="nil"/>
              <w:bottom w:val="nil"/>
              <w:right w:val="nil"/>
            </w:tcBorders>
            <w:vAlign w:val="center"/>
          </w:tcPr>
          <w:p>
            <w:pPr>
              <w:pStyle w:val="yTableNAm"/>
              <w:rPr>
                <w:szCs w:val="22"/>
              </w:rPr>
            </w:pPr>
            <w:r>
              <w:rPr>
                <w:szCs w:val="22"/>
              </w:rPr>
              <w:t>Point Samson</w:t>
            </w:r>
          </w:p>
        </w:tc>
        <w:tc>
          <w:tcPr>
            <w:tcW w:w="1800" w:type="dxa"/>
            <w:tcBorders>
              <w:top w:val="nil"/>
              <w:left w:val="nil"/>
              <w:bottom w:val="nil"/>
              <w:right w:val="nil"/>
            </w:tcBorders>
            <w:vAlign w:val="bottom"/>
          </w:tcPr>
          <w:p>
            <w:pPr>
              <w:pStyle w:val="yTableNAm"/>
              <w:jc w:val="center"/>
              <w:rPr>
                <w:sz w:val="24"/>
                <w:szCs w:val="24"/>
              </w:rPr>
            </w:pPr>
            <w:r>
              <w:t>4</w:t>
            </w:r>
          </w:p>
        </w:tc>
        <w:tc>
          <w:tcPr>
            <w:tcW w:w="1800" w:type="dxa"/>
            <w:tcBorders>
              <w:top w:val="nil"/>
              <w:left w:val="nil"/>
              <w:bottom w:val="nil"/>
              <w:right w:val="nil"/>
            </w:tcBorders>
            <w:vAlign w:val="bottom"/>
          </w:tcPr>
          <w:p>
            <w:pPr>
              <w:pStyle w:val="yTableNAm"/>
              <w:jc w:val="center"/>
              <w:rPr>
                <w:sz w:val="24"/>
                <w:szCs w:val="24"/>
              </w:rPr>
            </w:pPr>
            <w:r>
              <w:t>10</w:t>
            </w:r>
          </w:p>
        </w:tc>
      </w:tr>
      <w:tr>
        <w:tc>
          <w:tcPr>
            <w:tcW w:w="2920" w:type="dxa"/>
            <w:tcBorders>
              <w:top w:val="nil"/>
              <w:left w:val="nil"/>
              <w:bottom w:val="nil"/>
              <w:right w:val="nil"/>
            </w:tcBorders>
            <w:vAlign w:val="center"/>
          </w:tcPr>
          <w:p>
            <w:pPr>
              <w:pStyle w:val="yTableNAm"/>
              <w:rPr>
                <w:szCs w:val="22"/>
              </w:rPr>
            </w:pPr>
            <w:r>
              <w:rPr>
                <w:szCs w:val="22"/>
              </w:rPr>
              <w:t>Popanyinning</w:t>
            </w:r>
          </w:p>
        </w:tc>
        <w:tc>
          <w:tcPr>
            <w:tcW w:w="1800" w:type="dxa"/>
            <w:tcBorders>
              <w:top w:val="nil"/>
              <w:left w:val="nil"/>
              <w:bottom w:val="nil"/>
              <w:right w:val="nil"/>
            </w:tcBorders>
            <w:vAlign w:val="bottom"/>
          </w:tcPr>
          <w:p>
            <w:pPr>
              <w:pStyle w:val="yTableNAm"/>
              <w:jc w:val="center"/>
              <w:rPr>
                <w:sz w:val="24"/>
                <w:szCs w:val="24"/>
              </w:rPr>
            </w:pPr>
            <w:r>
              <w:t>5</w:t>
            </w:r>
          </w:p>
        </w:tc>
        <w:tc>
          <w:tcPr>
            <w:tcW w:w="1800" w:type="dxa"/>
            <w:tcBorders>
              <w:top w:val="nil"/>
              <w:left w:val="nil"/>
              <w:bottom w:val="nil"/>
              <w:right w:val="nil"/>
            </w:tcBorders>
            <w:vAlign w:val="bottom"/>
          </w:tcPr>
          <w:p>
            <w:pPr>
              <w:pStyle w:val="yTableNAm"/>
              <w:jc w:val="center"/>
              <w:rPr>
                <w:sz w:val="24"/>
                <w:szCs w:val="24"/>
              </w:rPr>
            </w:pPr>
            <w:r>
              <w:t>14</w:t>
            </w:r>
          </w:p>
        </w:tc>
      </w:tr>
      <w:tr>
        <w:tc>
          <w:tcPr>
            <w:tcW w:w="2920" w:type="dxa"/>
            <w:tcBorders>
              <w:top w:val="nil"/>
              <w:left w:val="nil"/>
              <w:bottom w:val="nil"/>
              <w:right w:val="nil"/>
            </w:tcBorders>
            <w:vAlign w:val="center"/>
          </w:tcPr>
          <w:p>
            <w:pPr>
              <w:pStyle w:val="yTableNAm"/>
              <w:rPr>
                <w:szCs w:val="22"/>
              </w:rPr>
            </w:pPr>
            <w:r>
              <w:rPr>
                <w:szCs w:val="22"/>
              </w:rPr>
              <w:t>Porongurup</w:t>
            </w:r>
          </w:p>
        </w:tc>
        <w:tc>
          <w:tcPr>
            <w:tcW w:w="1800" w:type="dxa"/>
            <w:tcBorders>
              <w:top w:val="nil"/>
              <w:left w:val="nil"/>
              <w:bottom w:val="nil"/>
              <w:right w:val="nil"/>
            </w:tcBorders>
            <w:vAlign w:val="bottom"/>
          </w:tcPr>
          <w:p>
            <w:pPr>
              <w:pStyle w:val="yTableNAm"/>
              <w:jc w:val="center"/>
              <w:rPr>
                <w:sz w:val="24"/>
                <w:szCs w:val="24"/>
              </w:rPr>
            </w:pPr>
            <w:r>
              <w:t>4</w:t>
            </w:r>
          </w:p>
        </w:tc>
        <w:tc>
          <w:tcPr>
            <w:tcW w:w="1800" w:type="dxa"/>
            <w:tcBorders>
              <w:top w:val="nil"/>
              <w:left w:val="nil"/>
              <w:bottom w:val="nil"/>
              <w:right w:val="nil"/>
            </w:tcBorders>
            <w:vAlign w:val="bottom"/>
          </w:tcPr>
          <w:p>
            <w:pPr>
              <w:pStyle w:val="yTableNAm"/>
              <w:jc w:val="center"/>
              <w:rPr>
                <w:sz w:val="24"/>
                <w:szCs w:val="24"/>
              </w:rPr>
            </w:pPr>
            <w:r>
              <w:t>4</w:t>
            </w:r>
          </w:p>
        </w:tc>
      </w:tr>
      <w:tr>
        <w:tc>
          <w:tcPr>
            <w:tcW w:w="2920" w:type="dxa"/>
            <w:tcBorders>
              <w:top w:val="nil"/>
              <w:left w:val="nil"/>
              <w:bottom w:val="nil"/>
              <w:right w:val="nil"/>
            </w:tcBorders>
            <w:vAlign w:val="center"/>
          </w:tcPr>
          <w:p>
            <w:pPr>
              <w:pStyle w:val="yTableNAm"/>
              <w:rPr>
                <w:szCs w:val="22"/>
              </w:rPr>
            </w:pPr>
            <w:r>
              <w:rPr>
                <w:szCs w:val="22"/>
              </w:rPr>
              <w:t>Porongurup Farmlands</w:t>
            </w:r>
          </w:p>
        </w:tc>
        <w:tc>
          <w:tcPr>
            <w:tcW w:w="1800" w:type="dxa"/>
            <w:tcBorders>
              <w:top w:val="nil"/>
              <w:left w:val="nil"/>
              <w:bottom w:val="nil"/>
              <w:right w:val="nil"/>
            </w:tcBorders>
            <w:vAlign w:val="bottom"/>
          </w:tcPr>
          <w:p>
            <w:pPr>
              <w:pStyle w:val="yTableNAm"/>
              <w:jc w:val="center"/>
              <w:rPr>
                <w:sz w:val="24"/>
                <w:szCs w:val="24"/>
              </w:rPr>
            </w:pPr>
            <w:r>
              <w:t>5</w:t>
            </w:r>
          </w:p>
        </w:tc>
        <w:tc>
          <w:tcPr>
            <w:tcW w:w="1800" w:type="dxa"/>
            <w:tcBorders>
              <w:top w:val="nil"/>
              <w:left w:val="nil"/>
              <w:bottom w:val="nil"/>
              <w:right w:val="nil"/>
            </w:tcBorders>
            <w:vAlign w:val="bottom"/>
          </w:tcPr>
          <w:p>
            <w:pPr>
              <w:pStyle w:val="yTableNAm"/>
              <w:jc w:val="center"/>
              <w:rPr>
                <w:sz w:val="24"/>
                <w:szCs w:val="24"/>
              </w:rPr>
            </w:pPr>
            <w:r>
              <w:t>12</w:t>
            </w:r>
          </w:p>
        </w:tc>
      </w:tr>
      <w:tr>
        <w:tc>
          <w:tcPr>
            <w:tcW w:w="2920" w:type="dxa"/>
            <w:tcBorders>
              <w:top w:val="nil"/>
              <w:left w:val="nil"/>
              <w:bottom w:val="nil"/>
              <w:right w:val="nil"/>
            </w:tcBorders>
            <w:vAlign w:val="center"/>
          </w:tcPr>
          <w:p>
            <w:pPr>
              <w:pStyle w:val="yTableNAm"/>
              <w:rPr>
                <w:szCs w:val="22"/>
              </w:rPr>
            </w:pPr>
            <w:r>
              <w:rPr>
                <w:szCs w:val="22"/>
              </w:rPr>
              <w:t>Port Hedland</w:t>
            </w:r>
          </w:p>
        </w:tc>
        <w:tc>
          <w:tcPr>
            <w:tcW w:w="1800" w:type="dxa"/>
            <w:tcBorders>
              <w:top w:val="nil"/>
              <w:left w:val="nil"/>
              <w:bottom w:val="nil"/>
              <w:right w:val="nil"/>
            </w:tcBorders>
            <w:vAlign w:val="bottom"/>
          </w:tcPr>
          <w:p>
            <w:pPr>
              <w:pStyle w:val="yTableNAm"/>
              <w:jc w:val="center"/>
              <w:rPr>
                <w:sz w:val="24"/>
                <w:szCs w:val="24"/>
              </w:rPr>
            </w:pPr>
            <w:r>
              <w:t>2</w:t>
            </w:r>
          </w:p>
        </w:tc>
        <w:tc>
          <w:tcPr>
            <w:tcW w:w="1800" w:type="dxa"/>
            <w:tcBorders>
              <w:top w:val="nil"/>
              <w:left w:val="nil"/>
              <w:bottom w:val="nil"/>
              <w:right w:val="nil"/>
            </w:tcBorders>
            <w:vAlign w:val="bottom"/>
          </w:tcPr>
          <w:p>
            <w:pPr>
              <w:pStyle w:val="yTableNAm"/>
              <w:jc w:val="center"/>
              <w:rPr>
                <w:sz w:val="24"/>
                <w:szCs w:val="24"/>
              </w:rPr>
            </w:pPr>
            <w:r>
              <w:t>5</w:t>
            </w:r>
          </w:p>
        </w:tc>
      </w:tr>
      <w:tr>
        <w:tc>
          <w:tcPr>
            <w:tcW w:w="2920" w:type="dxa"/>
            <w:tcBorders>
              <w:top w:val="nil"/>
              <w:left w:val="nil"/>
              <w:bottom w:val="nil"/>
              <w:right w:val="nil"/>
            </w:tcBorders>
            <w:vAlign w:val="center"/>
          </w:tcPr>
          <w:p>
            <w:pPr>
              <w:pStyle w:val="yTableNAm"/>
              <w:rPr>
                <w:szCs w:val="22"/>
              </w:rPr>
            </w:pPr>
            <w:r>
              <w:rPr>
                <w:szCs w:val="22"/>
              </w:rPr>
              <w:t>Preston Beach</w:t>
            </w:r>
          </w:p>
        </w:tc>
        <w:tc>
          <w:tcPr>
            <w:tcW w:w="1800" w:type="dxa"/>
            <w:tcBorders>
              <w:top w:val="nil"/>
              <w:left w:val="nil"/>
              <w:bottom w:val="nil"/>
              <w:right w:val="nil"/>
            </w:tcBorders>
            <w:vAlign w:val="bottom"/>
          </w:tcPr>
          <w:p>
            <w:pPr>
              <w:pStyle w:val="yTableNAm"/>
              <w:jc w:val="center"/>
              <w:rPr>
                <w:sz w:val="24"/>
                <w:szCs w:val="24"/>
              </w:rPr>
            </w:pPr>
            <w:r>
              <w:t>5</w:t>
            </w:r>
          </w:p>
        </w:tc>
        <w:tc>
          <w:tcPr>
            <w:tcW w:w="1800" w:type="dxa"/>
            <w:tcBorders>
              <w:top w:val="nil"/>
              <w:left w:val="nil"/>
              <w:bottom w:val="nil"/>
              <w:right w:val="nil"/>
            </w:tcBorders>
            <w:vAlign w:val="bottom"/>
          </w:tcPr>
          <w:p>
            <w:pPr>
              <w:pStyle w:val="yTableNAm"/>
              <w:jc w:val="center"/>
              <w:rPr>
                <w:sz w:val="24"/>
                <w:szCs w:val="24"/>
              </w:rPr>
            </w:pPr>
            <w:r>
              <w:t>12</w:t>
            </w:r>
          </w:p>
        </w:tc>
      </w:tr>
      <w:tr>
        <w:tc>
          <w:tcPr>
            <w:tcW w:w="2920" w:type="dxa"/>
            <w:tcBorders>
              <w:top w:val="nil"/>
              <w:left w:val="nil"/>
              <w:bottom w:val="nil"/>
              <w:right w:val="nil"/>
            </w:tcBorders>
            <w:vAlign w:val="center"/>
          </w:tcPr>
          <w:p>
            <w:pPr>
              <w:pStyle w:val="yTableNAm"/>
              <w:rPr>
                <w:szCs w:val="22"/>
              </w:rPr>
            </w:pPr>
            <w:r>
              <w:rPr>
                <w:szCs w:val="22"/>
              </w:rPr>
              <w:t>Quairading</w:t>
            </w:r>
          </w:p>
        </w:tc>
        <w:tc>
          <w:tcPr>
            <w:tcW w:w="1800" w:type="dxa"/>
            <w:tcBorders>
              <w:top w:val="nil"/>
              <w:left w:val="nil"/>
              <w:bottom w:val="nil"/>
              <w:right w:val="nil"/>
            </w:tcBorders>
            <w:vAlign w:val="bottom"/>
          </w:tcPr>
          <w:p>
            <w:pPr>
              <w:pStyle w:val="yTableNAm"/>
              <w:jc w:val="center"/>
              <w:rPr>
                <w:sz w:val="24"/>
                <w:szCs w:val="24"/>
              </w:rPr>
            </w:pPr>
            <w:r>
              <w:t>5</w:t>
            </w:r>
          </w:p>
        </w:tc>
        <w:tc>
          <w:tcPr>
            <w:tcW w:w="1800" w:type="dxa"/>
            <w:tcBorders>
              <w:top w:val="nil"/>
              <w:left w:val="nil"/>
              <w:bottom w:val="nil"/>
              <w:right w:val="nil"/>
            </w:tcBorders>
            <w:vAlign w:val="bottom"/>
          </w:tcPr>
          <w:p>
            <w:pPr>
              <w:pStyle w:val="yTableNAm"/>
              <w:jc w:val="center"/>
              <w:rPr>
                <w:sz w:val="24"/>
                <w:szCs w:val="24"/>
              </w:rPr>
            </w:pPr>
            <w:r>
              <w:t>12</w:t>
            </w:r>
          </w:p>
        </w:tc>
      </w:tr>
      <w:tr>
        <w:tc>
          <w:tcPr>
            <w:tcW w:w="2920" w:type="dxa"/>
            <w:tcBorders>
              <w:top w:val="nil"/>
              <w:left w:val="nil"/>
              <w:bottom w:val="nil"/>
              <w:right w:val="nil"/>
            </w:tcBorders>
            <w:vAlign w:val="center"/>
          </w:tcPr>
          <w:p>
            <w:pPr>
              <w:pStyle w:val="yTableNAm"/>
              <w:rPr>
                <w:szCs w:val="22"/>
              </w:rPr>
            </w:pPr>
            <w:r>
              <w:rPr>
                <w:szCs w:val="22"/>
              </w:rPr>
              <w:t>Quinninup</w:t>
            </w:r>
          </w:p>
        </w:tc>
        <w:tc>
          <w:tcPr>
            <w:tcW w:w="1800" w:type="dxa"/>
            <w:tcBorders>
              <w:top w:val="nil"/>
              <w:left w:val="nil"/>
              <w:bottom w:val="nil"/>
              <w:right w:val="nil"/>
            </w:tcBorders>
            <w:vAlign w:val="bottom"/>
          </w:tcPr>
          <w:p>
            <w:pPr>
              <w:pStyle w:val="yTableNAm"/>
              <w:jc w:val="center"/>
              <w:rPr>
                <w:sz w:val="24"/>
                <w:szCs w:val="24"/>
              </w:rPr>
            </w:pPr>
            <w:r>
              <w:t>5</w:t>
            </w:r>
          </w:p>
        </w:tc>
        <w:tc>
          <w:tcPr>
            <w:tcW w:w="1800" w:type="dxa"/>
            <w:tcBorders>
              <w:top w:val="nil"/>
              <w:left w:val="nil"/>
              <w:bottom w:val="nil"/>
              <w:right w:val="nil"/>
            </w:tcBorders>
            <w:vAlign w:val="bottom"/>
          </w:tcPr>
          <w:p>
            <w:pPr>
              <w:pStyle w:val="yTableNAm"/>
              <w:jc w:val="center"/>
              <w:rPr>
                <w:sz w:val="24"/>
                <w:szCs w:val="24"/>
              </w:rPr>
            </w:pPr>
            <w:r>
              <w:t>15</w:t>
            </w:r>
          </w:p>
        </w:tc>
      </w:tr>
      <w:tr>
        <w:tc>
          <w:tcPr>
            <w:tcW w:w="2920" w:type="dxa"/>
            <w:tcBorders>
              <w:top w:val="nil"/>
              <w:left w:val="nil"/>
              <w:bottom w:val="nil"/>
              <w:right w:val="nil"/>
            </w:tcBorders>
            <w:vAlign w:val="center"/>
          </w:tcPr>
          <w:p>
            <w:pPr>
              <w:pStyle w:val="yTableNAm"/>
              <w:rPr>
                <w:szCs w:val="22"/>
              </w:rPr>
            </w:pPr>
            <w:r>
              <w:rPr>
                <w:szCs w:val="22"/>
              </w:rPr>
              <w:t>Ravensthorpe</w:t>
            </w:r>
          </w:p>
        </w:tc>
        <w:tc>
          <w:tcPr>
            <w:tcW w:w="1800" w:type="dxa"/>
            <w:tcBorders>
              <w:top w:val="nil"/>
              <w:left w:val="nil"/>
              <w:bottom w:val="nil"/>
              <w:right w:val="nil"/>
            </w:tcBorders>
            <w:vAlign w:val="bottom"/>
          </w:tcPr>
          <w:p>
            <w:pPr>
              <w:pStyle w:val="yTableNAm"/>
              <w:jc w:val="center"/>
              <w:rPr>
                <w:sz w:val="24"/>
                <w:szCs w:val="24"/>
              </w:rPr>
            </w:pPr>
            <w:r>
              <w:t>5</w:t>
            </w:r>
          </w:p>
        </w:tc>
        <w:tc>
          <w:tcPr>
            <w:tcW w:w="1800" w:type="dxa"/>
            <w:tcBorders>
              <w:top w:val="nil"/>
              <w:left w:val="nil"/>
              <w:bottom w:val="nil"/>
              <w:right w:val="nil"/>
            </w:tcBorders>
            <w:vAlign w:val="bottom"/>
          </w:tcPr>
          <w:p>
            <w:pPr>
              <w:pStyle w:val="yTableNAm"/>
              <w:jc w:val="center"/>
              <w:rPr>
                <w:sz w:val="24"/>
                <w:szCs w:val="24"/>
              </w:rPr>
            </w:pPr>
            <w:r>
              <w:t>15</w:t>
            </w:r>
          </w:p>
        </w:tc>
      </w:tr>
      <w:tr>
        <w:tc>
          <w:tcPr>
            <w:tcW w:w="2920" w:type="dxa"/>
            <w:tcBorders>
              <w:top w:val="nil"/>
              <w:left w:val="nil"/>
              <w:bottom w:val="nil"/>
              <w:right w:val="nil"/>
            </w:tcBorders>
            <w:vAlign w:val="center"/>
          </w:tcPr>
          <w:p>
            <w:pPr>
              <w:pStyle w:val="yTableNAm"/>
              <w:rPr>
                <w:szCs w:val="22"/>
              </w:rPr>
            </w:pPr>
            <w:r>
              <w:rPr>
                <w:szCs w:val="22"/>
              </w:rPr>
              <w:t>Rocky Gully</w:t>
            </w:r>
          </w:p>
        </w:tc>
        <w:tc>
          <w:tcPr>
            <w:tcW w:w="1800" w:type="dxa"/>
            <w:tcBorders>
              <w:top w:val="nil"/>
              <w:left w:val="nil"/>
              <w:bottom w:val="nil"/>
              <w:right w:val="nil"/>
            </w:tcBorders>
            <w:vAlign w:val="bottom"/>
          </w:tcPr>
          <w:p>
            <w:pPr>
              <w:pStyle w:val="yTableNAm"/>
              <w:jc w:val="center"/>
              <w:rPr>
                <w:sz w:val="24"/>
                <w:szCs w:val="24"/>
              </w:rPr>
            </w:pPr>
            <w:r>
              <w:t>5</w:t>
            </w:r>
          </w:p>
        </w:tc>
        <w:tc>
          <w:tcPr>
            <w:tcW w:w="1800" w:type="dxa"/>
            <w:tcBorders>
              <w:top w:val="nil"/>
              <w:left w:val="nil"/>
              <w:bottom w:val="nil"/>
              <w:right w:val="nil"/>
            </w:tcBorders>
            <w:vAlign w:val="bottom"/>
          </w:tcPr>
          <w:p>
            <w:pPr>
              <w:pStyle w:val="yTableNAm"/>
              <w:jc w:val="center"/>
              <w:rPr>
                <w:sz w:val="24"/>
                <w:szCs w:val="24"/>
              </w:rPr>
            </w:pPr>
            <w:r>
              <w:t>15</w:t>
            </w:r>
          </w:p>
        </w:tc>
      </w:tr>
      <w:tr>
        <w:tc>
          <w:tcPr>
            <w:tcW w:w="2920" w:type="dxa"/>
            <w:tcBorders>
              <w:top w:val="nil"/>
              <w:left w:val="nil"/>
              <w:bottom w:val="nil"/>
              <w:right w:val="nil"/>
            </w:tcBorders>
            <w:vAlign w:val="center"/>
          </w:tcPr>
          <w:p>
            <w:pPr>
              <w:pStyle w:val="yTableNAm"/>
              <w:rPr>
                <w:szCs w:val="22"/>
              </w:rPr>
            </w:pPr>
            <w:r>
              <w:rPr>
                <w:szCs w:val="22"/>
              </w:rPr>
              <w:t>Roebourne</w:t>
            </w:r>
          </w:p>
        </w:tc>
        <w:tc>
          <w:tcPr>
            <w:tcW w:w="1800" w:type="dxa"/>
            <w:tcBorders>
              <w:top w:val="nil"/>
              <w:left w:val="nil"/>
              <w:bottom w:val="nil"/>
              <w:right w:val="nil"/>
            </w:tcBorders>
            <w:vAlign w:val="bottom"/>
          </w:tcPr>
          <w:p>
            <w:pPr>
              <w:pStyle w:val="yTableNAm"/>
              <w:jc w:val="center"/>
              <w:rPr>
                <w:sz w:val="24"/>
                <w:szCs w:val="24"/>
              </w:rPr>
            </w:pPr>
            <w:r>
              <w:t>4</w:t>
            </w:r>
          </w:p>
        </w:tc>
        <w:tc>
          <w:tcPr>
            <w:tcW w:w="1800" w:type="dxa"/>
            <w:tcBorders>
              <w:top w:val="nil"/>
              <w:left w:val="nil"/>
              <w:bottom w:val="nil"/>
              <w:right w:val="nil"/>
            </w:tcBorders>
            <w:vAlign w:val="bottom"/>
          </w:tcPr>
          <w:p>
            <w:pPr>
              <w:pStyle w:val="yTableNAm"/>
              <w:jc w:val="center"/>
              <w:rPr>
                <w:sz w:val="24"/>
                <w:szCs w:val="24"/>
              </w:rPr>
            </w:pPr>
            <w:r>
              <w:t>10</w:t>
            </w:r>
          </w:p>
        </w:tc>
      </w:tr>
      <w:tr>
        <w:tc>
          <w:tcPr>
            <w:tcW w:w="2920" w:type="dxa"/>
            <w:tcBorders>
              <w:top w:val="nil"/>
              <w:left w:val="nil"/>
              <w:bottom w:val="nil"/>
              <w:right w:val="nil"/>
            </w:tcBorders>
            <w:vAlign w:val="center"/>
          </w:tcPr>
          <w:p>
            <w:pPr>
              <w:pStyle w:val="yTableNAm"/>
              <w:rPr>
                <w:szCs w:val="22"/>
              </w:rPr>
            </w:pPr>
            <w:r>
              <w:rPr>
                <w:szCs w:val="22"/>
              </w:rPr>
              <w:t>Salmon Gums</w:t>
            </w:r>
          </w:p>
        </w:tc>
        <w:tc>
          <w:tcPr>
            <w:tcW w:w="1800" w:type="dxa"/>
            <w:tcBorders>
              <w:top w:val="nil"/>
              <w:left w:val="nil"/>
              <w:bottom w:val="nil"/>
              <w:right w:val="nil"/>
            </w:tcBorders>
            <w:vAlign w:val="bottom"/>
          </w:tcPr>
          <w:p>
            <w:pPr>
              <w:pStyle w:val="yTableNAm"/>
              <w:jc w:val="center"/>
              <w:rPr>
                <w:sz w:val="24"/>
                <w:szCs w:val="24"/>
              </w:rPr>
            </w:pPr>
            <w:r>
              <w:t>5</w:t>
            </w:r>
          </w:p>
        </w:tc>
        <w:tc>
          <w:tcPr>
            <w:tcW w:w="1800" w:type="dxa"/>
            <w:tcBorders>
              <w:top w:val="nil"/>
              <w:left w:val="nil"/>
              <w:bottom w:val="nil"/>
              <w:right w:val="nil"/>
            </w:tcBorders>
            <w:vAlign w:val="bottom"/>
          </w:tcPr>
          <w:p>
            <w:pPr>
              <w:pStyle w:val="yTableNAm"/>
              <w:jc w:val="center"/>
              <w:rPr>
                <w:sz w:val="24"/>
                <w:szCs w:val="24"/>
              </w:rPr>
            </w:pPr>
            <w:r>
              <w:t>15</w:t>
            </w:r>
          </w:p>
        </w:tc>
      </w:tr>
      <w:tr>
        <w:tc>
          <w:tcPr>
            <w:tcW w:w="2920" w:type="dxa"/>
            <w:tcBorders>
              <w:top w:val="nil"/>
              <w:left w:val="nil"/>
              <w:bottom w:val="nil"/>
              <w:right w:val="nil"/>
            </w:tcBorders>
            <w:vAlign w:val="center"/>
          </w:tcPr>
          <w:p>
            <w:pPr>
              <w:pStyle w:val="yTableNAm"/>
              <w:rPr>
                <w:szCs w:val="22"/>
              </w:rPr>
            </w:pPr>
            <w:r>
              <w:rPr>
                <w:szCs w:val="22"/>
              </w:rPr>
              <w:t>Sandstone</w:t>
            </w:r>
          </w:p>
        </w:tc>
        <w:tc>
          <w:tcPr>
            <w:tcW w:w="1800" w:type="dxa"/>
            <w:tcBorders>
              <w:top w:val="nil"/>
              <w:left w:val="nil"/>
              <w:bottom w:val="nil"/>
              <w:right w:val="nil"/>
            </w:tcBorders>
            <w:vAlign w:val="bottom"/>
          </w:tcPr>
          <w:p>
            <w:pPr>
              <w:pStyle w:val="yTableNAm"/>
              <w:jc w:val="center"/>
              <w:rPr>
                <w:sz w:val="24"/>
                <w:szCs w:val="24"/>
              </w:rPr>
            </w:pPr>
            <w:r>
              <w:t>5</w:t>
            </w:r>
          </w:p>
        </w:tc>
        <w:tc>
          <w:tcPr>
            <w:tcW w:w="1800" w:type="dxa"/>
            <w:tcBorders>
              <w:top w:val="nil"/>
              <w:left w:val="nil"/>
              <w:bottom w:val="nil"/>
              <w:right w:val="nil"/>
            </w:tcBorders>
            <w:vAlign w:val="bottom"/>
          </w:tcPr>
          <w:p>
            <w:pPr>
              <w:pStyle w:val="yTableNAm"/>
              <w:jc w:val="center"/>
              <w:rPr>
                <w:sz w:val="24"/>
                <w:szCs w:val="24"/>
              </w:rPr>
            </w:pPr>
            <w:r>
              <w:t>14</w:t>
            </w:r>
          </w:p>
        </w:tc>
      </w:tr>
      <w:tr>
        <w:tc>
          <w:tcPr>
            <w:tcW w:w="2920" w:type="dxa"/>
            <w:tcBorders>
              <w:top w:val="nil"/>
              <w:left w:val="nil"/>
              <w:bottom w:val="nil"/>
              <w:right w:val="nil"/>
            </w:tcBorders>
            <w:vAlign w:val="center"/>
          </w:tcPr>
          <w:p>
            <w:pPr>
              <w:pStyle w:val="yTableNAm"/>
              <w:rPr>
                <w:szCs w:val="22"/>
              </w:rPr>
            </w:pPr>
            <w:r>
              <w:rPr>
                <w:szCs w:val="22"/>
              </w:rPr>
              <w:t>Seabird</w:t>
            </w:r>
          </w:p>
        </w:tc>
        <w:tc>
          <w:tcPr>
            <w:tcW w:w="1800" w:type="dxa"/>
            <w:tcBorders>
              <w:top w:val="nil"/>
              <w:left w:val="nil"/>
              <w:bottom w:val="nil"/>
              <w:right w:val="nil"/>
            </w:tcBorders>
            <w:vAlign w:val="bottom"/>
          </w:tcPr>
          <w:p>
            <w:pPr>
              <w:pStyle w:val="yTableNAm"/>
              <w:jc w:val="center"/>
              <w:rPr>
                <w:sz w:val="24"/>
                <w:szCs w:val="24"/>
              </w:rPr>
            </w:pPr>
            <w:r>
              <w:t>5</w:t>
            </w:r>
          </w:p>
        </w:tc>
        <w:tc>
          <w:tcPr>
            <w:tcW w:w="1800" w:type="dxa"/>
            <w:tcBorders>
              <w:top w:val="nil"/>
              <w:left w:val="nil"/>
              <w:bottom w:val="nil"/>
              <w:right w:val="nil"/>
            </w:tcBorders>
            <w:vAlign w:val="bottom"/>
          </w:tcPr>
          <w:p>
            <w:pPr>
              <w:pStyle w:val="yTableNAm"/>
              <w:jc w:val="center"/>
              <w:rPr>
                <w:sz w:val="24"/>
                <w:szCs w:val="24"/>
              </w:rPr>
            </w:pPr>
            <w:r>
              <w:t>12</w:t>
            </w:r>
          </w:p>
        </w:tc>
      </w:tr>
      <w:tr>
        <w:tc>
          <w:tcPr>
            <w:tcW w:w="2920" w:type="dxa"/>
            <w:tcBorders>
              <w:top w:val="nil"/>
              <w:left w:val="nil"/>
              <w:bottom w:val="nil"/>
              <w:right w:val="nil"/>
            </w:tcBorders>
            <w:vAlign w:val="center"/>
          </w:tcPr>
          <w:p>
            <w:pPr>
              <w:pStyle w:val="yTableNAm"/>
              <w:rPr>
                <w:szCs w:val="22"/>
              </w:rPr>
            </w:pPr>
            <w:r>
              <w:rPr>
                <w:szCs w:val="22"/>
              </w:rPr>
              <w:t>South Hedland</w:t>
            </w:r>
          </w:p>
        </w:tc>
        <w:tc>
          <w:tcPr>
            <w:tcW w:w="1800" w:type="dxa"/>
            <w:tcBorders>
              <w:top w:val="nil"/>
              <w:left w:val="nil"/>
              <w:bottom w:val="nil"/>
              <w:right w:val="nil"/>
            </w:tcBorders>
            <w:vAlign w:val="bottom"/>
          </w:tcPr>
          <w:p>
            <w:pPr>
              <w:pStyle w:val="yTableNAm"/>
              <w:jc w:val="center"/>
              <w:rPr>
                <w:sz w:val="24"/>
                <w:szCs w:val="24"/>
              </w:rPr>
            </w:pPr>
            <w:r>
              <w:t>2</w:t>
            </w:r>
          </w:p>
        </w:tc>
        <w:tc>
          <w:tcPr>
            <w:tcW w:w="1800" w:type="dxa"/>
            <w:tcBorders>
              <w:top w:val="nil"/>
              <w:left w:val="nil"/>
              <w:bottom w:val="nil"/>
              <w:right w:val="nil"/>
            </w:tcBorders>
            <w:vAlign w:val="bottom"/>
          </w:tcPr>
          <w:p>
            <w:pPr>
              <w:pStyle w:val="yTableNAm"/>
              <w:jc w:val="center"/>
              <w:rPr>
                <w:sz w:val="24"/>
                <w:szCs w:val="24"/>
              </w:rPr>
            </w:pPr>
            <w:r>
              <w:t>5</w:t>
            </w:r>
          </w:p>
        </w:tc>
      </w:tr>
      <w:tr>
        <w:tc>
          <w:tcPr>
            <w:tcW w:w="2920" w:type="dxa"/>
            <w:tcBorders>
              <w:top w:val="nil"/>
              <w:left w:val="nil"/>
              <w:bottom w:val="nil"/>
              <w:right w:val="nil"/>
            </w:tcBorders>
            <w:vAlign w:val="center"/>
          </w:tcPr>
          <w:p>
            <w:pPr>
              <w:pStyle w:val="yTableNAm"/>
              <w:rPr>
                <w:szCs w:val="22"/>
              </w:rPr>
            </w:pPr>
            <w:r>
              <w:rPr>
                <w:szCs w:val="22"/>
              </w:rPr>
              <w:t>Southern Cross</w:t>
            </w:r>
          </w:p>
        </w:tc>
        <w:tc>
          <w:tcPr>
            <w:tcW w:w="1800" w:type="dxa"/>
            <w:tcBorders>
              <w:top w:val="nil"/>
              <w:left w:val="nil"/>
              <w:bottom w:val="nil"/>
              <w:right w:val="nil"/>
            </w:tcBorders>
            <w:vAlign w:val="bottom"/>
          </w:tcPr>
          <w:p>
            <w:pPr>
              <w:pStyle w:val="yTableNAm"/>
              <w:jc w:val="center"/>
              <w:rPr>
                <w:sz w:val="24"/>
                <w:szCs w:val="24"/>
              </w:rPr>
            </w:pPr>
            <w:r>
              <w:t>4</w:t>
            </w:r>
          </w:p>
        </w:tc>
        <w:tc>
          <w:tcPr>
            <w:tcW w:w="1800" w:type="dxa"/>
            <w:tcBorders>
              <w:top w:val="nil"/>
              <w:left w:val="nil"/>
              <w:bottom w:val="nil"/>
              <w:right w:val="nil"/>
            </w:tcBorders>
            <w:vAlign w:val="bottom"/>
          </w:tcPr>
          <w:p>
            <w:pPr>
              <w:pStyle w:val="yTableNAm"/>
              <w:jc w:val="center"/>
              <w:rPr>
                <w:sz w:val="24"/>
                <w:szCs w:val="24"/>
              </w:rPr>
            </w:pPr>
            <w:r>
              <w:t>9</w:t>
            </w:r>
          </w:p>
        </w:tc>
      </w:tr>
      <w:tr>
        <w:tc>
          <w:tcPr>
            <w:tcW w:w="2920" w:type="dxa"/>
            <w:tcBorders>
              <w:top w:val="nil"/>
              <w:left w:val="nil"/>
              <w:bottom w:val="nil"/>
              <w:right w:val="nil"/>
            </w:tcBorders>
            <w:vAlign w:val="center"/>
          </w:tcPr>
          <w:p>
            <w:pPr>
              <w:pStyle w:val="yTableNAm"/>
              <w:rPr>
                <w:szCs w:val="22"/>
              </w:rPr>
            </w:pPr>
            <w:r>
              <w:rPr>
                <w:szCs w:val="22"/>
              </w:rPr>
              <w:t>Tambellup</w:t>
            </w:r>
          </w:p>
        </w:tc>
        <w:tc>
          <w:tcPr>
            <w:tcW w:w="1800" w:type="dxa"/>
            <w:tcBorders>
              <w:top w:val="nil"/>
              <w:left w:val="nil"/>
              <w:bottom w:val="nil"/>
              <w:right w:val="nil"/>
            </w:tcBorders>
            <w:vAlign w:val="bottom"/>
          </w:tcPr>
          <w:p>
            <w:pPr>
              <w:pStyle w:val="yTableNAm"/>
              <w:jc w:val="center"/>
              <w:rPr>
                <w:sz w:val="24"/>
                <w:szCs w:val="24"/>
              </w:rPr>
            </w:pPr>
            <w:r>
              <w:t>5</w:t>
            </w:r>
          </w:p>
        </w:tc>
        <w:tc>
          <w:tcPr>
            <w:tcW w:w="1800" w:type="dxa"/>
            <w:tcBorders>
              <w:top w:val="nil"/>
              <w:left w:val="nil"/>
              <w:bottom w:val="nil"/>
              <w:right w:val="nil"/>
            </w:tcBorders>
            <w:vAlign w:val="bottom"/>
          </w:tcPr>
          <w:p>
            <w:pPr>
              <w:pStyle w:val="yTableNAm"/>
              <w:jc w:val="center"/>
              <w:rPr>
                <w:sz w:val="24"/>
                <w:szCs w:val="24"/>
              </w:rPr>
            </w:pPr>
            <w:r>
              <w:t>14</w:t>
            </w:r>
          </w:p>
        </w:tc>
      </w:tr>
      <w:tr>
        <w:tc>
          <w:tcPr>
            <w:tcW w:w="2920" w:type="dxa"/>
            <w:tcBorders>
              <w:top w:val="nil"/>
              <w:left w:val="nil"/>
              <w:bottom w:val="nil"/>
              <w:right w:val="nil"/>
            </w:tcBorders>
            <w:vAlign w:val="center"/>
          </w:tcPr>
          <w:p>
            <w:pPr>
              <w:pStyle w:val="yTableNAm"/>
              <w:rPr>
                <w:szCs w:val="22"/>
              </w:rPr>
            </w:pPr>
            <w:r>
              <w:rPr>
                <w:szCs w:val="22"/>
              </w:rPr>
              <w:t>Tammin</w:t>
            </w:r>
          </w:p>
        </w:tc>
        <w:tc>
          <w:tcPr>
            <w:tcW w:w="1800" w:type="dxa"/>
            <w:tcBorders>
              <w:top w:val="nil"/>
              <w:left w:val="nil"/>
              <w:bottom w:val="nil"/>
              <w:right w:val="nil"/>
            </w:tcBorders>
            <w:vAlign w:val="bottom"/>
          </w:tcPr>
          <w:p>
            <w:pPr>
              <w:pStyle w:val="yTableNAm"/>
              <w:jc w:val="center"/>
              <w:rPr>
                <w:sz w:val="24"/>
                <w:szCs w:val="24"/>
              </w:rPr>
            </w:pPr>
            <w:r>
              <w:t>5</w:t>
            </w:r>
          </w:p>
        </w:tc>
        <w:tc>
          <w:tcPr>
            <w:tcW w:w="1800" w:type="dxa"/>
            <w:tcBorders>
              <w:top w:val="nil"/>
              <w:left w:val="nil"/>
              <w:bottom w:val="nil"/>
              <w:right w:val="nil"/>
            </w:tcBorders>
            <w:vAlign w:val="bottom"/>
          </w:tcPr>
          <w:p>
            <w:pPr>
              <w:pStyle w:val="yTableNAm"/>
              <w:jc w:val="center"/>
              <w:rPr>
                <w:sz w:val="24"/>
                <w:szCs w:val="24"/>
              </w:rPr>
            </w:pPr>
            <w:r>
              <w:t>10</w:t>
            </w:r>
          </w:p>
        </w:tc>
      </w:tr>
      <w:tr>
        <w:tc>
          <w:tcPr>
            <w:tcW w:w="2920" w:type="dxa"/>
            <w:tcBorders>
              <w:top w:val="nil"/>
              <w:left w:val="nil"/>
              <w:bottom w:val="nil"/>
              <w:right w:val="nil"/>
            </w:tcBorders>
            <w:vAlign w:val="center"/>
          </w:tcPr>
          <w:p>
            <w:pPr>
              <w:pStyle w:val="yTableNAm"/>
              <w:rPr>
                <w:szCs w:val="22"/>
              </w:rPr>
            </w:pPr>
            <w:r>
              <w:rPr>
                <w:szCs w:val="22"/>
              </w:rPr>
              <w:t>Three Springs</w:t>
            </w:r>
          </w:p>
        </w:tc>
        <w:tc>
          <w:tcPr>
            <w:tcW w:w="1800" w:type="dxa"/>
            <w:tcBorders>
              <w:top w:val="nil"/>
              <w:left w:val="nil"/>
              <w:bottom w:val="nil"/>
              <w:right w:val="nil"/>
            </w:tcBorders>
            <w:vAlign w:val="bottom"/>
          </w:tcPr>
          <w:p>
            <w:pPr>
              <w:pStyle w:val="yTableNAm"/>
              <w:jc w:val="center"/>
              <w:rPr>
                <w:sz w:val="24"/>
                <w:szCs w:val="24"/>
              </w:rPr>
            </w:pPr>
            <w:r>
              <w:t>5</w:t>
            </w:r>
          </w:p>
        </w:tc>
        <w:tc>
          <w:tcPr>
            <w:tcW w:w="1800" w:type="dxa"/>
            <w:tcBorders>
              <w:top w:val="nil"/>
              <w:left w:val="nil"/>
              <w:bottom w:val="nil"/>
              <w:right w:val="nil"/>
            </w:tcBorders>
            <w:vAlign w:val="bottom"/>
          </w:tcPr>
          <w:p>
            <w:pPr>
              <w:pStyle w:val="yTableNAm"/>
              <w:jc w:val="center"/>
              <w:rPr>
                <w:sz w:val="24"/>
                <w:szCs w:val="24"/>
              </w:rPr>
            </w:pPr>
            <w:r>
              <w:t>12</w:t>
            </w:r>
          </w:p>
        </w:tc>
      </w:tr>
      <w:tr>
        <w:tc>
          <w:tcPr>
            <w:tcW w:w="2920" w:type="dxa"/>
            <w:tcBorders>
              <w:top w:val="nil"/>
              <w:left w:val="nil"/>
              <w:bottom w:val="nil"/>
              <w:right w:val="nil"/>
            </w:tcBorders>
            <w:vAlign w:val="center"/>
          </w:tcPr>
          <w:p>
            <w:pPr>
              <w:pStyle w:val="yTableNAm"/>
              <w:rPr>
                <w:szCs w:val="22"/>
              </w:rPr>
            </w:pPr>
            <w:r>
              <w:rPr>
                <w:szCs w:val="22"/>
              </w:rPr>
              <w:t>Tincurrin</w:t>
            </w:r>
          </w:p>
        </w:tc>
        <w:tc>
          <w:tcPr>
            <w:tcW w:w="1800" w:type="dxa"/>
            <w:tcBorders>
              <w:top w:val="nil"/>
              <w:left w:val="nil"/>
              <w:bottom w:val="nil"/>
              <w:right w:val="nil"/>
            </w:tcBorders>
            <w:vAlign w:val="bottom"/>
          </w:tcPr>
          <w:p>
            <w:pPr>
              <w:pStyle w:val="yTableNAm"/>
              <w:jc w:val="center"/>
              <w:rPr>
                <w:sz w:val="24"/>
                <w:szCs w:val="24"/>
              </w:rPr>
            </w:pPr>
            <w:r>
              <w:t>5</w:t>
            </w:r>
          </w:p>
        </w:tc>
        <w:tc>
          <w:tcPr>
            <w:tcW w:w="1800" w:type="dxa"/>
            <w:tcBorders>
              <w:top w:val="nil"/>
              <w:left w:val="nil"/>
              <w:bottom w:val="nil"/>
              <w:right w:val="nil"/>
            </w:tcBorders>
            <w:vAlign w:val="bottom"/>
          </w:tcPr>
          <w:p>
            <w:pPr>
              <w:pStyle w:val="yTableNAm"/>
              <w:jc w:val="center"/>
              <w:rPr>
                <w:sz w:val="24"/>
                <w:szCs w:val="24"/>
              </w:rPr>
            </w:pPr>
            <w:r>
              <w:t>15</w:t>
            </w:r>
          </w:p>
        </w:tc>
      </w:tr>
      <w:tr>
        <w:tc>
          <w:tcPr>
            <w:tcW w:w="2920" w:type="dxa"/>
            <w:tcBorders>
              <w:top w:val="nil"/>
              <w:left w:val="nil"/>
              <w:bottom w:val="nil"/>
              <w:right w:val="nil"/>
            </w:tcBorders>
            <w:vAlign w:val="center"/>
          </w:tcPr>
          <w:p>
            <w:pPr>
              <w:pStyle w:val="yTableNAm"/>
              <w:rPr>
                <w:szCs w:val="22"/>
              </w:rPr>
            </w:pPr>
            <w:r>
              <w:rPr>
                <w:szCs w:val="22"/>
              </w:rPr>
              <w:t>Toodyay</w:t>
            </w:r>
          </w:p>
        </w:tc>
        <w:tc>
          <w:tcPr>
            <w:tcW w:w="1800" w:type="dxa"/>
            <w:tcBorders>
              <w:top w:val="nil"/>
              <w:left w:val="nil"/>
              <w:bottom w:val="nil"/>
              <w:right w:val="nil"/>
            </w:tcBorders>
            <w:vAlign w:val="bottom"/>
          </w:tcPr>
          <w:p>
            <w:pPr>
              <w:pStyle w:val="yTableNAm"/>
              <w:jc w:val="center"/>
              <w:rPr>
                <w:sz w:val="24"/>
                <w:szCs w:val="24"/>
              </w:rPr>
            </w:pPr>
            <w:r>
              <w:t>5</w:t>
            </w:r>
          </w:p>
        </w:tc>
        <w:tc>
          <w:tcPr>
            <w:tcW w:w="1800" w:type="dxa"/>
            <w:tcBorders>
              <w:top w:val="nil"/>
              <w:left w:val="nil"/>
              <w:bottom w:val="nil"/>
              <w:right w:val="nil"/>
            </w:tcBorders>
            <w:vAlign w:val="bottom"/>
          </w:tcPr>
          <w:p>
            <w:pPr>
              <w:pStyle w:val="yTableNAm"/>
              <w:jc w:val="center"/>
              <w:rPr>
                <w:sz w:val="24"/>
                <w:szCs w:val="24"/>
              </w:rPr>
            </w:pPr>
            <w:r>
              <w:t>10</w:t>
            </w:r>
          </w:p>
        </w:tc>
      </w:tr>
      <w:tr>
        <w:tc>
          <w:tcPr>
            <w:tcW w:w="2920" w:type="dxa"/>
            <w:tcBorders>
              <w:top w:val="nil"/>
              <w:left w:val="nil"/>
              <w:bottom w:val="nil"/>
              <w:right w:val="nil"/>
            </w:tcBorders>
            <w:vAlign w:val="center"/>
          </w:tcPr>
          <w:p>
            <w:pPr>
              <w:pStyle w:val="yTableNAm"/>
              <w:rPr>
                <w:szCs w:val="22"/>
              </w:rPr>
            </w:pPr>
            <w:r>
              <w:rPr>
                <w:szCs w:val="22"/>
              </w:rPr>
              <w:t>Trayning</w:t>
            </w:r>
          </w:p>
        </w:tc>
        <w:tc>
          <w:tcPr>
            <w:tcW w:w="1800" w:type="dxa"/>
            <w:tcBorders>
              <w:top w:val="nil"/>
              <w:left w:val="nil"/>
              <w:bottom w:val="nil"/>
              <w:right w:val="nil"/>
            </w:tcBorders>
            <w:vAlign w:val="bottom"/>
          </w:tcPr>
          <w:p>
            <w:pPr>
              <w:pStyle w:val="yTableNAm"/>
              <w:jc w:val="center"/>
              <w:rPr>
                <w:sz w:val="24"/>
                <w:szCs w:val="24"/>
              </w:rPr>
            </w:pPr>
            <w:r>
              <w:t>5</w:t>
            </w:r>
          </w:p>
        </w:tc>
        <w:tc>
          <w:tcPr>
            <w:tcW w:w="1800" w:type="dxa"/>
            <w:tcBorders>
              <w:top w:val="nil"/>
              <w:left w:val="nil"/>
              <w:bottom w:val="nil"/>
              <w:right w:val="nil"/>
            </w:tcBorders>
            <w:vAlign w:val="bottom"/>
          </w:tcPr>
          <w:p>
            <w:pPr>
              <w:pStyle w:val="yTableNAm"/>
              <w:jc w:val="center"/>
              <w:rPr>
                <w:sz w:val="24"/>
                <w:szCs w:val="24"/>
              </w:rPr>
            </w:pPr>
            <w:r>
              <w:t>14</w:t>
            </w:r>
          </w:p>
        </w:tc>
      </w:tr>
      <w:tr>
        <w:tc>
          <w:tcPr>
            <w:tcW w:w="2920" w:type="dxa"/>
            <w:tcBorders>
              <w:top w:val="nil"/>
              <w:left w:val="nil"/>
              <w:bottom w:val="nil"/>
              <w:right w:val="nil"/>
            </w:tcBorders>
            <w:vAlign w:val="center"/>
          </w:tcPr>
          <w:p>
            <w:pPr>
              <w:pStyle w:val="yTableNAm"/>
              <w:rPr>
                <w:szCs w:val="22"/>
              </w:rPr>
            </w:pPr>
            <w:r>
              <w:rPr>
                <w:szCs w:val="22"/>
              </w:rPr>
              <w:t>Varley</w:t>
            </w:r>
          </w:p>
        </w:tc>
        <w:tc>
          <w:tcPr>
            <w:tcW w:w="1800" w:type="dxa"/>
            <w:tcBorders>
              <w:top w:val="nil"/>
              <w:left w:val="nil"/>
              <w:bottom w:val="nil"/>
              <w:right w:val="nil"/>
            </w:tcBorders>
            <w:vAlign w:val="bottom"/>
          </w:tcPr>
          <w:p>
            <w:pPr>
              <w:pStyle w:val="yTableNAm"/>
              <w:jc w:val="center"/>
              <w:rPr>
                <w:sz w:val="24"/>
                <w:szCs w:val="24"/>
              </w:rPr>
            </w:pPr>
            <w:r>
              <w:t>5</w:t>
            </w:r>
          </w:p>
        </w:tc>
        <w:tc>
          <w:tcPr>
            <w:tcW w:w="1800" w:type="dxa"/>
            <w:tcBorders>
              <w:top w:val="nil"/>
              <w:left w:val="nil"/>
              <w:bottom w:val="nil"/>
              <w:right w:val="nil"/>
            </w:tcBorders>
            <w:vAlign w:val="bottom"/>
          </w:tcPr>
          <w:p>
            <w:pPr>
              <w:pStyle w:val="yTableNAm"/>
              <w:jc w:val="center"/>
              <w:rPr>
                <w:sz w:val="24"/>
                <w:szCs w:val="24"/>
              </w:rPr>
            </w:pPr>
            <w:r>
              <w:t>15</w:t>
            </w:r>
          </w:p>
        </w:tc>
      </w:tr>
      <w:tr>
        <w:tc>
          <w:tcPr>
            <w:tcW w:w="2920" w:type="dxa"/>
            <w:tcBorders>
              <w:top w:val="nil"/>
              <w:left w:val="nil"/>
              <w:bottom w:val="nil"/>
              <w:right w:val="nil"/>
            </w:tcBorders>
            <w:vAlign w:val="center"/>
          </w:tcPr>
          <w:p>
            <w:pPr>
              <w:pStyle w:val="yTableNAm"/>
              <w:rPr>
                <w:szCs w:val="22"/>
              </w:rPr>
            </w:pPr>
            <w:r>
              <w:rPr>
                <w:szCs w:val="22"/>
              </w:rPr>
              <w:t>Wagin</w:t>
            </w:r>
          </w:p>
        </w:tc>
        <w:tc>
          <w:tcPr>
            <w:tcW w:w="1800" w:type="dxa"/>
            <w:tcBorders>
              <w:top w:val="nil"/>
              <w:left w:val="nil"/>
              <w:bottom w:val="nil"/>
              <w:right w:val="nil"/>
            </w:tcBorders>
            <w:vAlign w:val="bottom"/>
          </w:tcPr>
          <w:p>
            <w:pPr>
              <w:pStyle w:val="yTableNAm"/>
              <w:jc w:val="center"/>
              <w:rPr>
                <w:sz w:val="24"/>
                <w:szCs w:val="24"/>
              </w:rPr>
            </w:pPr>
            <w:r>
              <w:t>5</w:t>
            </w:r>
          </w:p>
        </w:tc>
        <w:tc>
          <w:tcPr>
            <w:tcW w:w="1800" w:type="dxa"/>
            <w:tcBorders>
              <w:top w:val="nil"/>
              <w:left w:val="nil"/>
              <w:bottom w:val="nil"/>
              <w:right w:val="nil"/>
            </w:tcBorders>
            <w:vAlign w:val="bottom"/>
          </w:tcPr>
          <w:p>
            <w:pPr>
              <w:pStyle w:val="yTableNAm"/>
              <w:jc w:val="center"/>
              <w:rPr>
                <w:sz w:val="24"/>
                <w:szCs w:val="24"/>
              </w:rPr>
            </w:pPr>
            <w:r>
              <w:t>12</w:t>
            </w:r>
          </w:p>
        </w:tc>
      </w:tr>
      <w:tr>
        <w:tc>
          <w:tcPr>
            <w:tcW w:w="2920" w:type="dxa"/>
            <w:tcBorders>
              <w:top w:val="nil"/>
              <w:left w:val="nil"/>
              <w:bottom w:val="nil"/>
              <w:right w:val="nil"/>
            </w:tcBorders>
            <w:vAlign w:val="center"/>
          </w:tcPr>
          <w:p>
            <w:pPr>
              <w:pStyle w:val="yTableNAm"/>
              <w:rPr>
                <w:szCs w:val="22"/>
              </w:rPr>
            </w:pPr>
            <w:r>
              <w:rPr>
                <w:szCs w:val="22"/>
              </w:rPr>
              <w:t>Walkaway</w:t>
            </w:r>
          </w:p>
        </w:tc>
        <w:tc>
          <w:tcPr>
            <w:tcW w:w="1800" w:type="dxa"/>
            <w:tcBorders>
              <w:top w:val="nil"/>
              <w:left w:val="nil"/>
              <w:bottom w:val="nil"/>
              <w:right w:val="nil"/>
            </w:tcBorders>
            <w:vAlign w:val="bottom"/>
          </w:tcPr>
          <w:p>
            <w:pPr>
              <w:pStyle w:val="yTableNAm"/>
              <w:jc w:val="center"/>
              <w:rPr>
                <w:sz w:val="24"/>
                <w:szCs w:val="24"/>
              </w:rPr>
            </w:pPr>
            <w:r>
              <w:t>1</w:t>
            </w:r>
          </w:p>
        </w:tc>
        <w:tc>
          <w:tcPr>
            <w:tcW w:w="1800" w:type="dxa"/>
            <w:tcBorders>
              <w:top w:val="nil"/>
              <w:left w:val="nil"/>
              <w:bottom w:val="nil"/>
              <w:right w:val="nil"/>
            </w:tcBorders>
            <w:vAlign w:val="bottom"/>
          </w:tcPr>
          <w:p>
            <w:pPr>
              <w:pStyle w:val="yTableNAm"/>
              <w:jc w:val="center"/>
              <w:rPr>
                <w:sz w:val="24"/>
                <w:szCs w:val="24"/>
              </w:rPr>
            </w:pPr>
            <w:r>
              <w:t>1</w:t>
            </w:r>
          </w:p>
        </w:tc>
      </w:tr>
      <w:tr>
        <w:tc>
          <w:tcPr>
            <w:tcW w:w="2920" w:type="dxa"/>
            <w:tcBorders>
              <w:top w:val="nil"/>
              <w:left w:val="nil"/>
              <w:bottom w:val="nil"/>
              <w:right w:val="nil"/>
            </w:tcBorders>
            <w:vAlign w:val="center"/>
          </w:tcPr>
          <w:p>
            <w:pPr>
              <w:pStyle w:val="yTableNAm"/>
              <w:rPr>
                <w:szCs w:val="22"/>
              </w:rPr>
            </w:pPr>
            <w:r>
              <w:rPr>
                <w:szCs w:val="22"/>
              </w:rPr>
              <w:t>Walpole</w:t>
            </w:r>
          </w:p>
        </w:tc>
        <w:tc>
          <w:tcPr>
            <w:tcW w:w="1800" w:type="dxa"/>
            <w:tcBorders>
              <w:top w:val="nil"/>
              <w:left w:val="nil"/>
              <w:bottom w:val="nil"/>
              <w:right w:val="nil"/>
            </w:tcBorders>
            <w:vAlign w:val="bottom"/>
          </w:tcPr>
          <w:p>
            <w:pPr>
              <w:pStyle w:val="yTableNAm"/>
              <w:jc w:val="center"/>
              <w:rPr>
                <w:sz w:val="24"/>
                <w:szCs w:val="24"/>
              </w:rPr>
            </w:pPr>
            <w:r>
              <w:t>5</w:t>
            </w:r>
          </w:p>
        </w:tc>
        <w:tc>
          <w:tcPr>
            <w:tcW w:w="1800" w:type="dxa"/>
            <w:tcBorders>
              <w:top w:val="nil"/>
              <w:left w:val="nil"/>
              <w:bottom w:val="nil"/>
              <w:right w:val="nil"/>
            </w:tcBorders>
            <w:vAlign w:val="bottom"/>
          </w:tcPr>
          <w:p>
            <w:pPr>
              <w:pStyle w:val="yTableNAm"/>
              <w:jc w:val="center"/>
              <w:rPr>
                <w:sz w:val="24"/>
                <w:szCs w:val="24"/>
              </w:rPr>
            </w:pPr>
            <w:r>
              <w:t>14</w:t>
            </w:r>
          </w:p>
        </w:tc>
      </w:tr>
      <w:tr>
        <w:tc>
          <w:tcPr>
            <w:tcW w:w="2920" w:type="dxa"/>
            <w:tcBorders>
              <w:top w:val="nil"/>
              <w:left w:val="nil"/>
              <w:bottom w:val="nil"/>
              <w:right w:val="nil"/>
            </w:tcBorders>
            <w:vAlign w:val="center"/>
          </w:tcPr>
          <w:p>
            <w:pPr>
              <w:pStyle w:val="yTableNAm"/>
              <w:rPr>
                <w:szCs w:val="22"/>
              </w:rPr>
            </w:pPr>
            <w:r>
              <w:rPr>
                <w:szCs w:val="22"/>
              </w:rPr>
              <w:t>Wandering</w:t>
            </w:r>
          </w:p>
        </w:tc>
        <w:tc>
          <w:tcPr>
            <w:tcW w:w="1800" w:type="dxa"/>
            <w:tcBorders>
              <w:top w:val="nil"/>
              <w:left w:val="nil"/>
              <w:bottom w:val="nil"/>
              <w:right w:val="nil"/>
            </w:tcBorders>
            <w:vAlign w:val="bottom"/>
          </w:tcPr>
          <w:p>
            <w:pPr>
              <w:pStyle w:val="yTableNAm"/>
              <w:jc w:val="center"/>
              <w:rPr>
                <w:sz w:val="24"/>
                <w:szCs w:val="24"/>
              </w:rPr>
            </w:pPr>
            <w:r>
              <w:t>5</w:t>
            </w:r>
          </w:p>
        </w:tc>
        <w:tc>
          <w:tcPr>
            <w:tcW w:w="1800" w:type="dxa"/>
            <w:tcBorders>
              <w:top w:val="nil"/>
              <w:left w:val="nil"/>
              <w:bottom w:val="nil"/>
              <w:right w:val="nil"/>
            </w:tcBorders>
            <w:vAlign w:val="bottom"/>
          </w:tcPr>
          <w:p>
            <w:pPr>
              <w:pStyle w:val="yTableNAm"/>
              <w:jc w:val="center"/>
              <w:rPr>
                <w:sz w:val="24"/>
                <w:szCs w:val="24"/>
              </w:rPr>
            </w:pPr>
            <w:r>
              <w:t>14</w:t>
            </w:r>
          </w:p>
        </w:tc>
      </w:tr>
      <w:tr>
        <w:tc>
          <w:tcPr>
            <w:tcW w:w="2920" w:type="dxa"/>
            <w:tcBorders>
              <w:top w:val="nil"/>
              <w:left w:val="nil"/>
              <w:bottom w:val="nil"/>
              <w:right w:val="nil"/>
            </w:tcBorders>
            <w:vAlign w:val="center"/>
          </w:tcPr>
          <w:p>
            <w:pPr>
              <w:pStyle w:val="yTableNAm"/>
              <w:rPr>
                <w:szCs w:val="22"/>
              </w:rPr>
            </w:pPr>
            <w:r>
              <w:rPr>
                <w:szCs w:val="22"/>
              </w:rPr>
              <w:t>Watheroo</w:t>
            </w:r>
          </w:p>
        </w:tc>
        <w:tc>
          <w:tcPr>
            <w:tcW w:w="1800" w:type="dxa"/>
            <w:tcBorders>
              <w:top w:val="nil"/>
              <w:left w:val="nil"/>
              <w:bottom w:val="nil"/>
              <w:right w:val="nil"/>
            </w:tcBorders>
            <w:vAlign w:val="bottom"/>
          </w:tcPr>
          <w:p>
            <w:pPr>
              <w:pStyle w:val="yTableNAm"/>
              <w:jc w:val="center"/>
              <w:rPr>
                <w:sz w:val="24"/>
                <w:szCs w:val="24"/>
              </w:rPr>
            </w:pPr>
            <w:r>
              <w:t>5</w:t>
            </w:r>
          </w:p>
        </w:tc>
        <w:tc>
          <w:tcPr>
            <w:tcW w:w="1800" w:type="dxa"/>
            <w:tcBorders>
              <w:top w:val="nil"/>
              <w:left w:val="nil"/>
              <w:bottom w:val="nil"/>
              <w:right w:val="nil"/>
            </w:tcBorders>
            <w:vAlign w:val="bottom"/>
          </w:tcPr>
          <w:p>
            <w:pPr>
              <w:pStyle w:val="yTableNAm"/>
              <w:jc w:val="center"/>
              <w:rPr>
                <w:sz w:val="24"/>
                <w:szCs w:val="24"/>
              </w:rPr>
            </w:pPr>
            <w:r>
              <w:t>14</w:t>
            </w:r>
          </w:p>
        </w:tc>
      </w:tr>
      <w:tr>
        <w:tc>
          <w:tcPr>
            <w:tcW w:w="2920" w:type="dxa"/>
            <w:tcBorders>
              <w:top w:val="nil"/>
              <w:left w:val="nil"/>
              <w:bottom w:val="nil"/>
              <w:right w:val="nil"/>
            </w:tcBorders>
            <w:vAlign w:val="center"/>
          </w:tcPr>
          <w:p>
            <w:pPr>
              <w:pStyle w:val="yTableNAm"/>
              <w:rPr>
                <w:szCs w:val="22"/>
              </w:rPr>
            </w:pPr>
            <w:r>
              <w:rPr>
                <w:szCs w:val="22"/>
              </w:rPr>
              <w:t>Wellstead</w:t>
            </w:r>
          </w:p>
        </w:tc>
        <w:tc>
          <w:tcPr>
            <w:tcW w:w="1800" w:type="dxa"/>
            <w:tcBorders>
              <w:top w:val="nil"/>
              <w:left w:val="nil"/>
              <w:bottom w:val="nil"/>
              <w:right w:val="nil"/>
            </w:tcBorders>
            <w:vAlign w:val="bottom"/>
          </w:tcPr>
          <w:p>
            <w:pPr>
              <w:pStyle w:val="yTableNAm"/>
              <w:jc w:val="center"/>
              <w:rPr>
                <w:sz w:val="24"/>
                <w:szCs w:val="24"/>
              </w:rPr>
            </w:pPr>
            <w:r>
              <w:t>5</w:t>
            </w:r>
          </w:p>
        </w:tc>
        <w:tc>
          <w:tcPr>
            <w:tcW w:w="1800" w:type="dxa"/>
            <w:tcBorders>
              <w:top w:val="nil"/>
              <w:left w:val="nil"/>
              <w:bottom w:val="nil"/>
              <w:right w:val="nil"/>
            </w:tcBorders>
            <w:vAlign w:val="bottom"/>
          </w:tcPr>
          <w:p>
            <w:pPr>
              <w:pStyle w:val="yTableNAm"/>
              <w:jc w:val="center"/>
              <w:rPr>
                <w:sz w:val="24"/>
                <w:szCs w:val="24"/>
              </w:rPr>
            </w:pPr>
            <w:r>
              <w:t>15</w:t>
            </w:r>
          </w:p>
        </w:tc>
      </w:tr>
      <w:tr>
        <w:tc>
          <w:tcPr>
            <w:tcW w:w="2920" w:type="dxa"/>
            <w:tcBorders>
              <w:top w:val="nil"/>
              <w:left w:val="nil"/>
              <w:bottom w:val="nil"/>
              <w:right w:val="nil"/>
            </w:tcBorders>
            <w:vAlign w:val="center"/>
          </w:tcPr>
          <w:p>
            <w:pPr>
              <w:pStyle w:val="yTableNAm"/>
              <w:rPr>
                <w:szCs w:val="22"/>
              </w:rPr>
            </w:pPr>
            <w:r>
              <w:rPr>
                <w:szCs w:val="22"/>
              </w:rPr>
              <w:t>Westonia</w:t>
            </w:r>
          </w:p>
        </w:tc>
        <w:tc>
          <w:tcPr>
            <w:tcW w:w="1800" w:type="dxa"/>
            <w:tcBorders>
              <w:top w:val="nil"/>
              <w:left w:val="nil"/>
              <w:bottom w:val="nil"/>
              <w:right w:val="nil"/>
            </w:tcBorders>
            <w:vAlign w:val="bottom"/>
          </w:tcPr>
          <w:p>
            <w:pPr>
              <w:pStyle w:val="yTableNAm"/>
              <w:jc w:val="center"/>
              <w:rPr>
                <w:sz w:val="24"/>
                <w:szCs w:val="24"/>
              </w:rPr>
            </w:pPr>
            <w:r>
              <w:t>5</w:t>
            </w:r>
          </w:p>
        </w:tc>
        <w:tc>
          <w:tcPr>
            <w:tcW w:w="1800" w:type="dxa"/>
            <w:tcBorders>
              <w:top w:val="nil"/>
              <w:left w:val="nil"/>
              <w:bottom w:val="nil"/>
              <w:right w:val="nil"/>
            </w:tcBorders>
            <w:vAlign w:val="bottom"/>
          </w:tcPr>
          <w:p>
            <w:pPr>
              <w:pStyle w:val="yTableNAm"/>
              <w:jc w:val="center"/>
              <w:rPr>
                <w:sz w:val="24"/>
                <w:szCs w:val="24"/>
              </w:rPr>
            </w:pPr>
            <w:r>
              <w:t>12</w:t>
            </w:r>
          </w:p>
        </w:tc>
      </w:tr>
      <w:tr>
        <w:tc>
          <w:tcPr>
            <w:tcW w:w="2920" w:type="dxa"/>
            <w:tcBorders>
              <w:top w:val="nil"/>
              <w:left w:val="nil"/>
              <w:bottom w:val="nil"/>
              <w:right w:val="nil"/>
            </w:tcBorders>
            <w:vAlign w:val="center"/>
          </w:tcPr>
          <w:p>
            <w:pPr>
              <w:pStyle w:val="yTableNAm"/>
              <w:rPr>
                <w:szCs w:val="22"/>
              </w:rPr>
            </w:pPr>
            <w:r>
              <w:rPr>
                <w:szCs w:val="22"/>
              </w:rPr>
              <w:t>Wickepin</w:t>
            </w:r>
          </w:p>
        </w:tc>
        <w:tc>
          <w:tcPr>
            <w:tcW w:w="1800" w:type="dxa"/>
            <w:tcBorders>
              <w:top w:val="nil"/>
              <w:left w:val="nil"/>
              <w:bottom w:val="nil"/>
              <w:right w:val="nil"/>
            </w:tcBorders>
            <w:vAlign w:val="bottom"/>
          </w:tcPr>
          <w:p>
            <w:pPr>
              <w:pStyle w:val="yTableNAm"/>
              <w:jc w:val="center"/>
              <w:rPr>
                <w:sz w:val="24"/>
                <w:szCs w:val="24"/>
              </w:rPr>
            </w:pPr>
            <w:r>
              <w:t>5</w:t>
            </w:r>
          </w:p>
        </w:tc>
        <w:tc>
          <w:tcPr>
            <w:tcW w:w="1800" w:type="dxa"/>
            <w:tcBorders>
              <w:top w:val="nil"/>
              <w:left w:val="nil"/>
              <w:bottom w:val="nil"/>
              <w:right w:val="nil"/>
            </w:tcBorders>
            <w:vAlign w:val="bottom"/>
          </w:tcPr>
          <w:p>
            <w:pPr>
              <w:pStyle w:val="yTableNAm"/>
              <w:jc w:val="center"/>
              <w:rPr>
                <w:sz w:val="24"/>
                <w:szCs w:val="24"/>
              </w:rPr>
            </w:pPr>
            <w:r>
              <w:t>12</w:t>
            </w:r>
          </w:p>
        </w:tc>
      </w:tr>
      <w:tr>
        <w:tc>
          <w:tcPr>
            <w:tcW w:w="2920" w:type="dxa"/>
            <w:tcBorders>
              <w:top w:val="nil"/>
              <w:left w:val="nil"/>
              <w:bottom w:val="nil"/>
              <w:right w:val="nil"/>
            </w:tcBorders>
            <w:vAlign w:val="center"/>
          </w:tcPr>
          <w:p>
            <w:pPr>
              <w:pStyle w:val="yTableNAm"/>
              <w:rPr>
                <w:szCs w:val="22"/>
              </w:rPr>
            </w:pPr>
            <w:r>
              <w:rPr>
                <w:szCs w:val="22"/>
              </w:rPr>
              <w:t>Wickham</w:t>
            </w:r>
          </w:p>
        </w:tc>
        <w:tc>
          <w:tcPr>
            <w:tcW w:w="1800" w:type="dxa"/>
            <w:tcBorders>
              <w:top w:val="nil"/>
              <w:left w:val="nil"/>
              <w:bottom w:val="nil"/>
              <w:right w:val="nil"/>
            </w:tcBorders>
            <w:vAlign w:val="bottom"/>
          </w:tcPr>
          <w:p>
            <w:pPr>
              <w:pStyle w:val="yTableNAm"/>
              <w:jc w:val="center"/>
              <w:rPr>
                <w:sz w:val="24"/>
                <w:szCs w:val="24"/>
              </w:rPr>
            </w:pPr>
            <w:r>
              <w:t>4</w:t>
            </w:r>
          </w:p>
        </w:tc>
        <w:tc>
          <w:tcPr>
            <w:tcW w:w="1800" w:type="dxa"/>
            <w:tcBorders>
              <w:top w:val="nil"/>
              <w:left w:val="nil"/>
              <w:bottom w:val="nil"/>
              <w:right w:val="nil"/>
            </w:tcBorders>
            <w:vAlign w:val="bottom"/>
          </w:tcPr>
          <w:p>
            <w:pPr>
              <w:pStyle w:val="yTableNAm"/>
              <w:jc w:val="center"/>
              <w:rPr>
                <w:sz w:val="24"/>
                <w:szCs w:val="24"/>
              </w:rPr>
            </w:pPr>
            <w:r>
              <w:t>10</w:t>
            </w:r>
          </w:p>
        </w:tc>
      </w:tr>
      <w:tr>
        <w:tc>
          <w:tcPr>
            <w:tcW w:w="2920" w:type="dxa"/>
            <w:tcBorders>
              <w:top w:val="nil"/>
              <w:left w:val="nil"/>
              <w:bottom w:val="nil"/>
              <w:right w:val="nil"/>
            </w:tcBorders>
            <w:vAlign w:val="center"/>
          </w:tcPr>
          <w:p>
            <w:pPr>
              <w:pStyle w:val="yTableNAm"/>
              <w:rPr>
                <w:szCs w:val="22"/>
              </w:rPr>
            </w:pPr>
            <w:r>
              <w:rPr>
                <w:szCs w:val="22"/>
              </w:rPr>
              <w:t>Widgiemooltha</w:t>
            </w:r>
          </w:p>
        </w:tc>
        <w:tc>
          <w:tcPr>
            <w:tcW w:w="1800" w:type="dxa"/>
            <w:tcBorders>
              <w:top w:val="nil"/>
              <w:left w:val="nil"/>
              <w:bottom w:val="nil"/>
              <w:right w:val="nil"/>
            </w:tcBorders>
            <w:vAlign w:val="bottom"/>
          </w:tcPr>
          <w:p>
            <w:pPr>
              <w:pStyle w:val="yTableNAm"/>
              <w:jc w:val="center"/>
              <w:rPr>
                <w:sz w:val="24"/>
                <w:szCs w:val="24"/>
              </w:rPr>
            </w:pPr>
            <w:r>
              <w:t>5</w:t>
            </w:r>
          </w:p>
        </w:tc>
        <w:tc>
          <w:tcPr>
            <w:tcW w:w="1800" w:type="dxa"/>
            <w:tcBorders>
              <w:top w:val="nil"/>
              <w:left w:val="nil"/>
              <w:bottom w:val="nil"/>
              <w:right w:val="nil"/>
            </w:tcBorders>
            <w:vAlign w:val="bottom"/>
          </w:tcPr>
          <w:p>
            <w:pPr>
              <w:pStyle w:val="yTableNAm"/>
              <w:jc w:val="center"/>
              <w:rPr>
                <w:sz w:val="24"/>
                <w:szCs w:val="24"/>
              </w:rPr>
            </w:pPr>
            <w:r>
              <w:t>14</w:t>
            </w:r>
          </w:p>
        </w:tc>
      </w:tr>
      <w:tr>
        <w:tc>
          <w:tcPr>
            <w:tcW w:w="2920" w:type="dxa"/>
            <w:tcBorders>
              <w:top w:val="nil"/>
              <w:left w:val="nil"/>
              <w:bottom w:val="nil"/>
              <w:right w:val="nil"/>
            </w:tcBorders>
            <w:vAlign w:val="center"/>
          </w:tcPr>
          <w:p>
            <w:pPr>
              <w:pStyle w:val="yTableNAm"/>
              <w:rPr>
                <w:szCs w:val="22"/>
              </w:rPr>
            </w:pPr>
            <w:r>
              <w:rPr>
                <w:szCs w:val="22"/>
              </w:rPr>
              <w:t>Williams</w:t>
            </w:r>
          </w:p>
        </w:tc>
        <w:tc>
          <w:tcPr>
            <w:tcW w:w="1800" w:type="dxa"/>
            <w:tcBorders>
              <w:top w:val="nil"/>
              <w:left w:val="nil"/>
              <w:bottom w:val="nil"/>
              <w:right w:val="nil"/>
            </w:tcBorders>
            <w:vAlign w:val="bottom"/>
          </w:tcPr>
          <w:p>
            <w:pPr>
              <w:pStyle w:val="yTableNAm"/>
              <w:jc w:val="center"/>
              <w:rPr>
                <w:sz w:val="24"/>
                <w:szCs w:val="24"/>
              </w:rPr>
            </w:pPr>
            <w:r>
              <w:t>5</w:t>
            </w:r>
          </w:p>
        </w:tc>
        <w:tc>
          <w:tcPr>
            <w:tcW w:w="1800" w:type="dxa"/>
            <w:tcBorders>
              <w:top w:val="nil"/>
              <w:left w:val="nil"/>
              <w:bottom w:val="nil"/>
              <w:right w:val="nil"/>
            </w:tcBorders>
            <w:vAlign w:val="bottom"/>
          </w:tcPr>
          <w:p>
            <w:pPr>
              <w:pStyle w:val="yTableNAm"/>
              <w:jc w:val="center"/>
              <w:rPr>
                <w:sz w:val="24"/>
                <w:szCs w:val="24"/>
              </w:rPr>
            </w:pPr>
            <w:r>
              <w:t>10</w:t>
            </w:r>
          </w:p>
        </w:tc>
      </w:tr>
      <w:tr>
        <w:tc>
          <w:tcPr>
            <w:tcW w:w="2920" w:type="dxa"/>
            <w:tcBorders>
              <w:top w:val="nil"/>
              <w:left w:val="nil"/>
              <w:bottom w:val="nil"/>
              <w:right w:val="nil"/>
            </w:tcBorders>
            <w:vAlign w:val="center"/>
          </w:tcPr>
          <w:p>
            <w:pPr>
              <w:pStyle w:val="yTableNAm"/>
              <w:rPr>
                <w:szCs w:val="22"/>
              </w:rPr>
            </w:pPr>
            <w:r>
              <w:rPr>
                <w:szCs w:val="22"/>
              </w:rPr>
              <w:t>Wiluna</w:t>
            </w:r>
          </w:p>
        </w:tc>
        <w:tc>
          <w:tcPr>
            <w:tcW w:w="1800" w:type="dxa"/>
            <w:tcBorders>
              <w:top w:val="nil"/>
              <w:left w:val="nil"/>
              <w:bottom w:val="nil"/>
              <w:right w:val="nil"/>
            </w:tcBorders>
            <w:vAlign w:val="bottom"/>
          </w:tcPr>
          <w:p>
            <w:pPr>
              <w:pStyle w:val="yTableNAm"/>
              <w:jc w:val="center"/>
              <w:rPr>
                <w:sz w:val="24"/>
                <w:szCs w:val="24"/>
              </w:rPr>
            </w:pPr>
            <w:r>
              <w:t>5</w:t>
            </w:r>
          </w:p>
        </w:tc>
        <w:tc>
          <w:tcPr>
            <w:tcW w:w="1800" w:type="dxa"/>
            <w:tcBorders>
              <w:top w:val="nil"/>
              <w:left w:val="nil"/>
              <w:bottom w:val="nil"/>
              <w:right w:val="nil"/>
            </w:tcBorders>
            <w:vAlign w:val="bottom"/>
          </w:tcPr>
          <w:p>
            <w:pPr>
              <w:pStyle w:val="yTableNAm"/>
              <w:jc w:val="center"/>
              <w:rPr>
                <w:sz w:val="24"/>
                <w:szCs w:val="24"/>
              </w:rPr>
            </w:pPr>
            <w:r>
              <w:t>10</w:t>
            </w:r>
          </w:p>
        </w:tc>
      </w:tr>
      <w:tr>
        <w:tc>
          <w:tcPr>
            <w:tcW w:w="2920" w:type="dxa"/>
            <w:tcBorders>
              <w:top w:val="nil"/>
              <w:left w:val="nil"/>
              <w:bottom w:val="nil"/>
              <w:right w:val="nil"/>
            </w:tcBorders>
            <w:vAlign w:val="center"/>
          </w:tcPr>
          <w:p>
            <w:pPr>
              <w:pStyle w:val="yTableNAm"/>
              <w:rPr>
                <w:szCs w:val="22"/>
              </w:rPr>
            </w:pPr>
            <w:r>
              <w:rPr>
                <w:szCs w:val="22"/>
              </w:rPr>
              <w:t>Wongan Hills</w:t>
            </w:r>
          </w:p>
        </w:tc>
        <w:tc>
          <w:tcPr>
            <w:tcW w:w="1800" w:type="dxa"/>
            <w:tcBorders>
              <w:top w:val="nil"/>
              <w:left w:val="nil"/>
              <w:bottom w:val="nil"/>
              <w:right w:val="nil"/>
            </w:tcBorders>
            <w:vAlign w:val="bottom"/>
          </w:tcPr>
          <w:p>
            <w:pPr>
              <w:pStyle w:val="yTableNAm"/>
              <w:jc w:val="center"/>
              <w:rPr>
                <w:sz w:val="24"/>
                <w:szCs w:val="24"/>
              </w:rPr>
            </w:pPr>
            <w:r>
              <w:t>5</w:t>
            </w:r>
          </w:p>
        </w:tc>
        <w:tc>
          <w:tcPr>
            <w:tcW w:w="1800" w:type="dxa"/>
            <w:tcBorders>
              <w:top w:val="nil"/>
              <w:left w:val="nil"/>
              <w:bottom w:val="nil"/>
              <w:right w:val="nil"/>
            </w:tcBorders>
            <w:vAlign w:val="bottom"/>
          </w:tcPr>
          <w:p>
            <w:pPr>
              <w:pStyle w:val="yTableNAm"/>
              <w:jc w:val="center"/>
              <w:rPr>
                <w:sz w:val="24"/>
                <w:szCs w:val="24"/>
              </w:rPr>
            </w:pPr>
            <w:r>
              <w:t>14</w:t>
            </w:r>
          </w:p>
        </w:tc>
      </w:tr>
      <w:tr>
        <w:tc>
          <w:tcPr>
            <w:tcW w:w="2920" w:type="dxa"/>
            <w:tcBorders>
              <w:top w:val="nil"/>
              <w:left w:val="nil"/>
              <w:bottom w:val="nil"/>
              <w:right w:val="nil"/>
            </w:tcBorders>
            <w:vAlign w:val="center"/>
          </w:tcPr>
          <w:p>
            <w:pPr>
              <w:pStyle w:val="yTableNAm"/>
              <w:rPr>
                <w:szCs w:val="22"/>
              </w:rPr>
            </w:pPr>
            <w:r>
              <w:rPr>
                <w:szCs w:val="22"/>
              </w:rPr>
              <w:t>Woodanilling</w:t>
            </w:r>
          </w:p>
        </w:tc>
        <w:tc>
          <w:tcPr>
            <w:tcW w:w="1800" w:type="dxa"/>
            <w:tcBorders>
              <w:top w:val="nil"/>
              <w:left w:val="nil"/>
              <w:bottom w:val="nil"/>
              <w:right w:val="nil"/>
            </w:tcBorders>
            <w:vAlign w:val="bottom"/>
          </w:tcPr>
          <w:p>
            <w:pPr>
              <w:pStyle w:val="yTableNAm"/>
              <w:jc w:val="center"/>
              <w:rPr>
                <w:sz w:val="24"/>
                <w:szCs w:val="24"/>
              </w:rPr>
            </w:pPr>
            <w:r>
              <w:t>5</w:t>
            </w:r>
          </w:p>
        </w:tc>
        <w:tc>
          <w:tcPr>
            <w:tcW w:w="1800" w:type="dxa"/>
            <w:tcBorders>
              <w:top w:val="nil"/>
              <w:left w:val="nil"/>
              <w:bottom w:val="nil"/>
              <w:right w:val="nil"/>
            </w:tcBorders>
            <w:vAlign w:val="bottom"/>
          </w:tcPr>
          <w:p>
            <w:pPr>
              <w:pStyle w:val="yTableNAm"/>
              <w:jc w:val="center"/>
              <w:rPr>
                <w:sz w:val="24"/>
                <w:szCs w:val="24"/>
              </w:rPr>
            </w:pPr>
            <w:r>
              <w:t>12</w:t>
            </w:r>
          </w:p>
        </w:tc>
      </w:tr>
      <w:tr>
        <w:tc>
          <w:tcPr>
            <w:tcW w:w="2920" w:type="dxa"/>
            <w:tcBorders>
              <w:top w:val="nil"/>
              <w:left w:val="nil"/>
              <w:bottom w:val="nil"/>
              <w:right w:val="nil"/>
            </w:tcBorders>
            <w:vAlign w:val="center"/>
          </w:tcPr>
          <w:p>
            <w:pPr>
              <w:pStyle w:val="yTableNAm"/>
              <w:rPr>
                <w:szCs w:val="22"/>
              </w:rPr>
            </w:pPr>
            <w:r>
              <w:rPr>
                <w:szCs w:val="22"/>
              </w:rPr>
              <w:t>Woodridge</w:t>
            </w:r>
          </w:p>
        </w:tc>
        <w:tc>
          <w:tcPr>
            <w:tcW w:w="1800" w:type="dxa"/>
            <w:tcBorders>
              <w:top w:val="nil"/>
              <w:left w:val="nil"/>
              <w:bottom w:val="nil"/>
              <w:right w:val="nil"/>
            </w:tcBorders>
            <w:vAlign w:val="bottom"/>
          </w:tcPr>
          <w:p>
            <w:pPr>
              <w:pStyle w:val="yTableNAm"/>
              <w:jc w:val="center"/>
              <w:rPr>
                <w:sz w:val="24"/>
                <w:szCs w:val="24"/>
              </w:rPr>
            </w:pPr>
            <w:r>
              <w:t>5</w:t>
            </w:r>
          </w:p>
        </w:tc>
        <w:tc>
          <w:tcPr>
            <w:tcW w:w="1800" w:type="dxa"/>
            <w:tcBorders>
              <w:top w:val="nil"/>
              <w:left w:val="nil"/>
              <w:bottom w:val="nil"/>
              <w:right w:val="nil"/>
            </w:tcBorders>
            <w:vAlign w:val="bottom"/>
          </w:tcPr>
          <w:p>
            <w:pPr>
              <w:pStyle w:val="yTableNAm"/>
              <w:jc w:val="center"/>
              <w:rPr>
                <w:sz w:val="24"/>
                <w:szCs w:val="24"/>
              </w:rPr>
            </w:pPr>
            <w:r>
              <w:t>10</w:t>
            </w:r>
          </w:p>
        </w:tc>
      </w:tr>
      <w:tr>
        <w:tc>
          <w:tcPr>
            <w:tcW w:w="2920" w:type="dxa"/>
            <w:tcBorders>
              <w:top w:val="nil"/>
              <w:left w:val="nil"/>
              <w:bottom w:val="nil"/>
              <w:right w:val="nil"/>
            </w:tcBorders>
            <w:vAlign w:val="center"/>
          </w:tcPr>
          <w:p>
            <w:pPr>
              <w:pStyle w:val="yTableNAm"/>
              <w:rPr>
                <w:szCs w:val="22"/>
              </w:rPr>
            </w:pPr>
            <w:r>
              <w:rPr>
                <w:szCs w:val="22"/>
              </w:rPr>
              <w:t>Wubin</w:t>
            </w:r>
          </w:p>
        </w:tc>
        <w:tc>
          <w:tcPr>
            <w:tcW w:w="1800" w:type="dxa"/>
            <w:tcBorders>
              <w:top w:val="nil"/>
              <w:left w:val="nil"/>
              <w:bottom w:val="nil"/>
              <w:right w:val="nil"/>
            </w:tcBorders>
            <w:vAlign w:val="bottom"/>
          </w:tcPr>
          <w:p>
            <w:pPr>
              <w:pStyle w:val="yTableNAm"/>
              <w:jc w:val="center"/>
              <w:rPr>
                <w:sz w:val="24"/>
                <w:szCs w:val="24"/>
              </w:rPr>
            </w:pPr>
            <w:r>
              <w:t>5</w:t>
            </w:r>
          </w:p>
        </w:tc>
        <w:tc>
          <w:tcPr>
            <w:tcW w:w="1800" w:type="dxa"/>
            <w:tcBorders>
              <w:top w:val="nil"/>
              <w:left w:val="nil"/>
              <w:bottom w:val="nil"/>
              <w:right w:val="nil"/>
            </w:tcBorders>
            <w:vAlign w:val="bottom"/>
          </w:tcPr>
          <w:p>
            <w:pPr>
              <w:pStyle w:val="yTableNAm"/>
              <w:jc w:val="center"/>
              <w:rPr>
                <w:sz w:val="24"/>
                <w:szCs w:val="24"/>
              </w:rPr>
            </w:pPr>
            <w:r>
              <w:t>14</w:t>
            </w:r>
          </w:p>
        </w:tc>
      </w:tr>
      <w:tr>
        <w:tc>
          <w:tcPr>
            <w:tcW w:w="2920" w:type="dxa"/>
            <w:tcBorders>
              <w:top w:val="nil"/>
              <w:left w:val="nil"/>
              <w:bottom w:val="nil"/>
              <w:right w:val="nil"/>
            </w:tcBorders>
            <w:vAlign w:val="center"/>
          </w:tcPr>
          <w:p>
            <w:pPr>
              <w:pStyle w:val="yTableNAm"/>
              <w:rPr>
                <w:szCs w:val="22"/>
              </w:rPr>
            </w:pPr>
            <w:r>
              <w:rPr>
                <w:szCs w:val="22"/>
              </w:rPr>
              <w:t>Wundowie</w:t>
            </w:r>
          </w:p>
        </w:tc>
        <w:tc>
          <w:tcPr>
            <w:tcW w:w="1800" w:type="dxa"/>
            <w:tcBorders>
              <w:top w:val="nil"/>
              <w:left w:val="nil"/>
              <w:bottom w:val="nil"/>
              <w:right w:val="nil"/>
            </w:tcBorders>
            <w:vAlign w:val="bottom"/>
          </w:tcPr>
          <w:p>
            <w:pPr>
              <w:pStyle w:val="yTableNAm"/>
              <w:jc w:val="center"/>
              <w:rPr>
                <w:sz w:val="24"/>
                <w:szCs w:val="24"/>
              </w:rPr>
            </w:pPr>
            <w:r>
              <w:t>1</w:t>
            </w:r>
          </w:p>
        </w:tc>
        <w:tc>
          <w:tcPr>
            <w:tcW w:w="1800" w:type="dxa"/>
            <w:tcBorders>
              <w:top w:val="nil"/>
              <w:left w:val="nil"/>
              <w:bottom w:val="nil"/>
              <w:right w:val="nil"/>
            </w:tcBorders>
            <w:vAlign w:val="bottom"/>
          </w:tcPr>
          <w:p>
            <w:pPr>
              <w:pStyle w:val="yTableNAm"/>
              <w:jc w:val="center"/>
              <w:rPr>
                <w:sz w:val="24"/>
                <w:szCs w:val="24"/>
              </w:rPr>
            </w:pPr>
            <w:r>
              <w:t>1</w:t>
            </w:r>
          </w:p>
        </w:tc>
      </w:tr>
      <w:tr>
        <w:tc>
          <w:tcPr>
            <w:tcW w:w="2920" w:type="dxa"/>
            <w:tcBorders>
              <w:top w:val="nil"/>
              <w:left w:val="nil"/>
              <w:bottom w:val="nil"/>
              <w:right w:val="nil"/>
            </w:tcBorders>
            <w:vAlign w:val="center"/>
          </w:tcPr>
          <w:p>
            <w:pPr>
              <w:pStyle w:val="yTableNAm"/>
              <w:rPr>
                <w:szCs w:val="22"/>
              </w:rPr>
            </w:pPr>
            <w:r>
              <w:rPr>
                <w:szCs w:val="22"/>
              </w:rPr>
              <w:t>Wyalkatchem</w:t>
            </w:r>
          </w:p>
        </w:tc>
        <w:tc>
          <w:tcPr>
            <w:tcW w:w="1800" w:type="dxa"/>
            <w:tcBorders>
              <w:top w:val="nil"/>
              <w:left w:val="nil"/>
              <w:bottom w:val="nil"/>
              <w:right w:val="nil"/>
            </w:tcBorders>
            <w:vAlign w:val="bottom"/>
          </w:tcPr>
          <w:p>
            <w:pPr>
              <w:pStyle w:val="yTableNAm"/>
              <w:jc w:val="center"/>
              <w:rPr>
                <w:sz w:val="24"/>
                <w:szCs w:val="24"/>
              </w:rPr>
            </w:pPr>
            <w:r>
              <w:t>5</w:t>
            </w:r>
          </w:p>
        </w:tc>
        <w:tc>
          <w:tcPr>
            <w:tcW w:w="1800" w:type="dxa"/>
            <w:tcBorders>
              <w:top w:val="nil"/>
              <w:left w:val="nil"/>
              <w:bottom w:val="nil"/>
              <w:right w:val="nil"/>
            </w:tcBorders>
            <w:vAlign w:val="bottom"/>
          </w:tcPr>
          <w:p>
            <w:pPr>
              <w:pStyle w:val="yTableNAm"/>
              <w:jc w:val="center"/>
              <w:rPr>
                <w:sz w:val="24"/>
                <w:szCs w:val="24"/>
              </w:rPr>
            </w:pPr>
            <w:r>
              <w:t>12</w:t>
            </w:r>
          </w:p>
        </w:tc>
      </w:tr>
      <w:tr>
        <w:tc>
          <w:tcPr>
            <w:tcW w:w="2920" w:type="dxa"/>
            <w:tcBorders>
              <w:top w:val="nil"/>
              <w:left w:val="nil"/>
              <w:bottom w:val="nil"/>
              <w:right w:val="nil"/>
            </w:tcBorders>
            <w:vAlign w:val="center"/>
          </w:tcPr>
          <w:p>
            <w:pPr>
              <w:pStyle w:val="yTableNAm"/>
              <w:rPr>
                <w:szCs w:val="22"/>
              </w:rPr>
            </w:pPr>
            <w:r>
              <w:rPr>
                <w:szCs w:val="22"/>
              </w:rPr>
              <w:t>Wyndham</w:t>
            </w:r>
          </w:p>
        </w:tc>
        <w:tc>
          <w:tcPr>
            <w:tcW w:w="1800" w:type="dxa"/>
            <w:tcBorders>
              <w:top w:val="nil"/>
              <w:left w:val="nil"/>
              <w:bottom w:val="nil"/>
              <w:right w:val="nil"/>
            </w:tcBorders>
            <w:vAlign w:val="bottom"/>
          </w:tcPr>
          <w:p>
            <w:pPr>
              <w:pStyle w:val="yTableNAm"/>
              <w:jc w:val="center"/>
              <w:rPr>
                <w:sz w:val="24"/>
                <w:szCs w:val="24"/>
              </w:rPr>
            </w:pPr>
            <w:r>
              <w:t>5</w:t>
            </w:r>
          </w:p>
        </w:tc>
        <w:tc>
          <w:tcPr>
            <w:tcW w:w="1800" w:type="dxa"/>
            <w:tcBorders>
              <w:top w:val="nil"/>
              <w:left w:val="nil"/>
              <w:bottom w:val="nil"/>
              <w:right w:val="nil"/>
            </w:tcBorders>
            <w:vAlign w:val="bottom"/>
          </w:tcPr>
          <w:p>
            <w:pPr>
              <w:pStyle w:val="yTableNAm"/>
              <w:jc w:val="center"/>
              <w:rPr>
                <w:sz w:val="24"/>
                <w:szCs w:val="24"/>
              </w:rPr>
            </w:pPr>
            <w:r>
              <w:t>14</w:t>
            </w:r>
          </w:p>
        </w:tc>
      </w:tr>
      <w:tr>
        <w:tc>
          <w:tcPr>
            <w:tcW w:w="2920" w:type="dxa"/>
            <w:tcBorders>
              <w:top w:val="nil"/>
              <w:left w:val="nil"/>
              <w:bottom w:val="nil"/>
              <w:right w:val="nil"/>
            </w:tcBorders>
            <w:vAlign w:val="center"/>
          </w:tcPr>
          <w:p>
            <w:pPr>
              <w:pStyle w:val="yTableNAm"/>
              <w:rPr>
                <w:szCs w:val="22"/>
              </w:rPr>
            </w:pPr>
            <w:r>
              <w:rPr>
                <w:szCs w:val="22"/>
              </w:rPr>
              <w:t>Yalgoo</w:t>
            </w:r>
          </w:p>
        </w:tc>
        <w:tc>
          <w:tcPr>
            <w:tcW w:w="1800" w:type="dxa"/>
            <w:tcBorders>
              <w:top w:val="nil"/>
              <w:left w:val="nil"/>
              <w:bottom w:val="nil"/>
              <w:right w:val="nil"/>
            </w:tcBorders>
            <w:vAlign w:val="bottom"/>
          </w:tcPr>
          <w:p>
            <w:pPr>
              <w:pStyle w:val="yTableNAm"/>
              <w:jc w:val="center"/>
              <w:rPr>
                <w:sz w:val="24"/>
                <w:szCs w:val="24"/>
              </w:rPr>
            </w:pPr>
            <w:r>
              <w:t>5</w:t>
            </w:r>
          </w:p>
        </w:tc>
        <w:tc>
          <w:tcPr>
            <w:tcW w:w="1800" w:type="dxa"/>
            <w:tcBorders>
              <w:top w:val="nil"/>
              <w:left w:val="nil"/>
              <w:bottom w:val="nil"/>
              <w:right w:val="nil"/>
            </w:tcBorders>
            <w:vAlign w:val="bottom"/>
          </w:tcPr>
          <w:p>
            <w:pPr>
              <w:pStyle w:val="yTableNAm"/>
              <w:jc w:val="center"/>
              <w:rPr>
                <w:sz w:val="24"/>
                <w:szCs w:val="24"/>
              </w:rPr>
            </w:pPr>
            <w:r>
              <w:t>14</w:t>
            </w:r>
          </w:p>
        </w:tc>
      </w:tr>
      <w:tr>
        <w:tc>
          <w:tcPr>
            <w:tcW w:w="2920" w:type="dxa"/>
            <w:tcBorders>
              <w:top w:val="nil"/>
              <w:left w:val="nil"/>
              <w:bottom w:val="nil"/>
              <w:right w:val="nil"/>
            </w:tcBorders>
            <w:vAlign w:val="center"/>
          </w:tcPr>
          <w:p>
            <w:pPr>
              <w:pStyle w:val="yTableNAm"/>
              <w:rPr>
                <w:szCs w:val="22"/>
              </w:rPr>
            </w:pPr>
            <w:r>
              <w:rPr>
                <w:szCs w:val="22"/>
              </w:rPr>
              <w:t>Yarloop/Wagerup</w:t>
            </w:r>
          </w:p>
        </w:tc>
        <w:tc>
          <w:tcPr>
            <w:tcW w:w="1800" w:type="dxa"/>
            <w:tcBorders>
              <w:top w:val="nil"/>
              <w:left w:val="nil"/>
              <w:bottom w:val="nil"/>
              <w:right w:val="nil"/>
            </w:tcBorders>
            <w:vAlign w:val="bottom"/>
          </w:tcPr>
          <w:p>
            <w:pPr>
              <w:pStyle w:val="yTableNAm"/>
              <w:jc w:val="center"/>
              <w:rPr>
                <w:sz w:val="24"/>
                <w:szCs w:val="24"/>
              </w:rPr>
            </w:pPr>
            <w:r>
              <w:t>5</w:t>
            </w:r>
          </w:p>
        </w:tc>
        <w:tc>
          <w:tcPr>
            <w:tcW w:w="1800" w:type="dxa"/>
            <w:tcBorders>
              <w:top w:val="nil"/>
              <w:left w:val="nil"/>
              <w:bottom w:val="nil"/>
              <w:right w:val="nil"/>
            </w:tcBorders>
            <w:vAlign w:val="bottom"/>
          </w:tcPr>
          <w:p>
            <w:pPr>
              <w:pStyle w:val="yTableNAm"/>
              <w:jc w:val="center"/>
              <w:rPr>
                <w:sz w:val="24"/>
                <w:szCs w:val="24"/>
              </w:rPr>
            </w:pPr>
            <w:r>
              <w:t>6</w:t>
            </w:r>
          </w:p>
        </w:tc>
      </w:tr>
      <w:tr>
        <w:tc>
          <w:tcPr>
            <w:tcW w:w="2920" w:type="dxa"/>
            <w:tcBorders>
              <w:top w:val="nil"/>
              <w:left w:val="nil"/>
              <w:bottom w:val="nil"/>
              <w:right w:val="nil"/>
            </w:tcBorders>
            <w:vAlign w:val="center"/>
          </w:tcPr>
          <w:p>
            <w:pPr>
              <w:pStyle w:val="yTableNAm"/>
              <w:rPr>
                <w:szCs w:val="22"/>
              </w:rPr>
            </w:pPr>
            <w:r>
              <w:rPr>
                <w:szCs w:val="22"/>
              </w:rPr>
              <w:t>Yealering</w:t>
            </w:r>
          </w:p>
        </w:tc>
        <w:tc>
          <w:tcPr>
            <w:tcW w:w="1800" w:type="dxa"/>
            <w:tcBorders>
              <w:top w:val="nil"/>
              <w:left w:val="nil"/>
              <w:bottom w:val="nil"/>
              <w:right w:val="nil"/>
            </w:tcBorders>
            <w:vAlign w:val="bottom"/>
          </w:tcPr>
          <w:p>
            <w:pPr>
              <w:pStyle w:val="yTableNAm"/>
              <w:jc w:val="center"/>
              <w:rPr>
                <w:sz w:val="24"/>
                <w:szCs w:val="24"/>
              </w:rPr>
            </w:pPr>
            <w:r>
              <w:t>5</w:t>
            </w:r>
          </w:p>
        </w:tc>
        <w:tc>
          <w:tcPr>
            <w:tcW w:w="1800" w:type="dxa"/>
            <w:tcBorders>
              <w:top w:val="nil"/>
              <w:left w:val="nil"/>
              <w:bottom w:val="nil"/>
              <w:right w:val="nil"/>
            </w:tcBorders>
            <w:vAlign w:val="bottom"/>
          </w:tcPr>
          <w:p>
            <w:pPr>
              <w:pStyle w:val="yTableNAm"/>
              <w:jc w:val="center"/>
              <w:rPr>
                <w:sz w:val="24"/>
                <w:szCs w:val="24"/>
              </w:rPr>
            </w:pPr>
            <w:r>
              <w:t>12</w:t>
            </w:r>
          </w:p>
        </w:tc>
      </w:tr>
      <w:tr>
        <w:tc>
          <w:tcPr>
            <w:tcW w:w="2920" w:type="dxa"/>
            <w:tcBorders>
              <w:top w:val="nil"/>
              <w:left w:val="nil"/>
              <w:bottom w:val="nil"/>
              <w:right w:val="nil"/>
            </w:tcBorders>
            <w:vAlign w:val="center"/>
          </w:tcPr>
          <w:p>
            <w:pPr>
              <w:pStyle w:val="yTableNAm"/>
              <w:rPr>
                <w:szCs w:val="22"/>
              </w:rPr>
            </w:pPr>
            <w:r>
              <w:rPr>
                <w:szCs w:val="22"/>
              </w:rPr>
              <w:t>Yerecoin</w:t>
            </w:r>
          </w:p>
        </w:tc>
        <w:tc>
          <w:tcPr>
            <w:tcW w:w="1800" w:type="dxa"/>
            <w:tcBorders>
              <w:top w:val="nil"/>
              <w:left w:val="nil"/>
              <w:bottom w:val="nil"/>
              <w:right w:val="nil"/>
            </w:tcBorders>
            <w:vAlign w:val="bottom"/>
          </w:tcPr>
          <w:p>
            <w:pPr>
              <w:pStyle w:val="yTableNAm"/>
              <w:jc w:val="center"/>
              <w:rPr>
                <w:sz w:val="24"/>
                <w:szCs w:val="24"/>
              </w:rPr>
            </w:pPr>
            <w:r>
              <w:t>5</w:t>
            </w:r>
          </w:p>
        </w:tc>
        <w:tc>
          <w:tcPr>
            <w:tcW w:w="1800" w:type="dxa"/>
            <w:tcBorders>
              <w:top w:val="nil"/>
              <w:left w:val="nil"/>
              <w:bottom w:val="nil"/>
              <w:right w:val="nil"/>
            </w:tcBorders>
            <w:vAlign w:val="bottom"/>
          </w:tcPr>
          <w:p>
            <w:pPr>
              <w:pStyle w:val="yTableNAm"/>
              <w:jc w:val="center"/>
              <w:rPr>
                <w:sz w:val="24"/>
                <w:szCs w:val="24"/>
              </w:rPr>
            </w:pPr>
            <w:r>
              <w:t>15</w:t>
            </w:r>
          </w:p>
        </w:tc>
      </w:tr>
      <w:tr>
        <w:tc>
          <w:tcPr>
            <w:tcW w:w="2920" w:type="dxa"/>
            <w:tcBorders>
              <w:top w:val="nil"/>
              <w:left w:val="nil"/>
              <w:bottom w:val="nil"/>
              <w:right w:val="nil"/>
            </w:tcBorders>
            <w:vAlign w:val="center"/>
          </w:tcPr>
          <w:p>
            <w:pPr>
              <w:pStyle w:val="yTableNAm"/>
              <w:rPr>
                <w:szCs w:val="22"/>
              </w:rPr>
            </w:pPr>
            <w:r>
              <w:rPr>
                <w:szCs w:val="22"/>
              </w:rPr>
              <w:t>York</w:t>
            </w:r>
          </w:p>
        </w:tc>
        <w:tc>
          <w:tcPr>
            <w:tcW w:w="1800" w:type="dxa"/>
            <w:tcBorders>
              <w:top w:val="nil"/>
              <w:left w:val="nil"/>
              <w:bottom w:val="nil"/>
              <w:right w:val="nil"/>
            </w:tcBorders>
            <w:vAlign w:val="bottom"/>
          </w:tcPr>
          <w:p>
            <w:pPr>
              <w:pStyle w:val="yTableNAm"/>
              <w:jc w:val="center"/>
              <w:rPr>
                <w:sz w:val="24"/>
                <w:szCs w:val="24"/>
              </w:rPr>
            </w:pPr>
            <w:r>
              <w:t>4</w:t>
            </w:r>
          </w:p>
        </w:tc>
        <w:tc>
          <w:tcPr>
            <w:tcW w:w="1800" w:type="dxa"/>
            <w:tcBorders>
              <w:top w:val="nil"/>
              <w:left w:val="nil"/>
              <w:bottom w:val="nil"/>
              <w:right w:val="nil"/>
            </w:tcBorders>
            <w:vAlign w:val="bottom"/>
          </w:tcPr>
          <w:p>
            <w:pPr>
              <w:pStyle w:val="yTableNAm"/>
              <w:jc w:val="center"/>
              <w:rPr>
                <w:sz w:val="24"/>
                <w:szCs w:val="24"/>
              </w:rPr>
            </w:pPr>
            <w:r>
              <w:t>10</w:t>
            </w:r>
          </w:p>
        </w:tc>
      </w:tr>
      <w:tr>
        <w:tc>
          <w:tcPr>
            <w:tcW w:w="2920" w:type="dxa"/>
            <w:tcBorders>
              <w:top w:val="nil"/>
              <w:left w:val="nil"/>
              <w:bottom w:val="nil"/>
              <w:right w:val="nil"/>
            </w:tcBorders>
            <w:vAlign w:val="center"/>
          </w:tcPr>
          <w:p>
            <w:pPr>
              <w:pStyle w:val="yTableNAm"/>
              <w:rPr>
                <w:szCs w:val="22"/>
              </w:rPr>
            </w:pPr>
            <w:r>
              <w:rPr>
                <w:szCs w:val="22"/>
              </w:rPr>
              <w:t>Yuna</w:t>
            </w:r>
          </w:p>
        </w:tc>
        <w:tc>
          <w:tcPr>
            <w:tcW w:w="1800" w:type="dxa"/>
            <w:tcBorders>
              <w:top w:val="nil"/>
              <w:left w:val="nil"/>
              <w:bottom w:val="nil"/>
              <w:right w:val="nil"/>
            </w:tcBorders>
            <w:vAlign w:val="bottom"/>
          </w:tcPr>
          <w:p>
            <w:pPr>
              <w:pStyle w:val="yTableNAm"/>
              <w:jc w:val="center"/>
              <w:rPr>
                <w:sz w:val="24"/>
                <w:szCs w:val="24"/>
              </w:rPr>
            </w:pPr>
            <w:r>
              <w:t>5</w:t>
            </w:r>
          </w:p>
        </w:tc>
        <w:tc>
          <w:tcPr>
            <w:tcW w:w="1800" w:type="dxa"/>
            <w:tcBorders>
              <w:top w:val="nil"/>
              <w:left w:val="nil"/>
              <w:bottom w:val="nil"/>
              <w:right w:val="nil"/>
            </w:tcBorders>
            <w:vAlign w:val="bottom"/>
          </w:tcPr>
          <w:p>
            <w:pPr>
              <w:pStyle w:val="yTableNAm"/>
              <w:jc w:val="center"/>
              <w:rPr>
                <w:sz w:val="24"/>
                <w:szCs w:val="24"/>
              </w:rPr>
            </w:pPr>
            <w:r>
              <w:t>15</w:t>
            </w:r>
          </w:p>
        </w:tc>
      </w:tr>
    </w:tbl>
    <w:p>
      <w:pPr>
        <w:pStyle w:val="yFootnotesection"/>
      </w:pPr>
      <w:r>
        <w:tab/>
        <w:t>[Schedule 10 inserted in Gazette 20 Jun 2012 p. 2765</w:t>
      </w:r>
      <w:r>
        <w:noBreakHyphen/>
        <w:t>74.]</w:t>
      </w:r>
    </w:p>
    <w:bookmarkEnd w:id="860"/>
    <w:bookmarkEnd w:id="861"/>
    <w:p>
      <w:pPr>
        <w:tabs>
          <w:tab w:val="left" w:pos="284"/>
          <w:tab w:val="left" w:pos="372"/>
          <w:tab w:val="left" w:pos="851"/>
          <w:tab w:val="right" w:pos="939"/>
          <w:tab w:val="left" w:pos="1179"/>
          <w:tab w:val="right" w:pos="1332"/>
          <w:tab w:val="left" w:pos="1418"/>
          <w:tab w:val="left" w:pos="1616"/>
        </w:tabs>
        <w:ind w:left="1179" w:hanging="1179"/>
        <w:rPr>
          <w:b/>
        </w:rPr>
        <w:sectPr>
          <w:headerReference w:type="even" r:id="rId26"/>
          <w:headerReference w:type="default" r:id="rId27"/>
          <w:pgSz w:w="11907" w:h="16840" w:code="9"/>
          <w:pgMar w:top="2376" w:right="2405" w:bottom="3542" w:left="2405" w:header="706" w:footer="3380" w:gutter="0"/>
          <w:cols w:space="720"/>
          <w:noEndnote/>
          <w:docGrid w:linePitch="326"/>
        </w:sectPr>
      </w:pPr>
    </w:p>
    <w:p>
      <w:pPr>
        <w:pStyle w:val="nHeading2"/>
      </w:pPr>
      <w:bookmarkStart w:id="862" w:name="_Toc84428021"/>
      <w:bookmarkStart w:id="863" w:name="_Toc91580567"/>
      <w:bookmarkStart w:id="864" w:name="_Toc103667252"/>
      <w:bookmarkStart w:id="865" w:name="_Toc103741771"/>
      <w:bookmarkStart w:id="866" w:name="_Toc107982014"/>
      <w:bookmarkStart w:id="867" w:name="_Toc118800181"/>
      <w:bookmarkStart w:id="868" w:name="_Toc118860189"/>
      <w:bookmarkStart w:id="869" w:name="_Toc121545689"/>
      <w:bookmarkStart w:id="870" w:name="_Toc121801212"/>
      <w:bookmarkStart w:id="871" w:name="_Toc121818325"/>
      <w:bookmarkStart w:id="872" w:name="_Toc121880935"/>
      <w:bookmarkStart w:id="873" w:name="_Toc129482006"/>
      <w:bookmarkStart w:id="874" w:name="_Toc130095375"/>
      <w:bookmarkStart w:id="875" w:name="_Toc130273439"/>
      <w:bookmarkStart w:id="876" w:name="_Toc139771111"/>
      <w:bookmarkStart w:id="877" w:name="_Toc139771489"/>
      <w:bookmarkStart w:id="878" w:name="_Toc151191704"/>
      <w:bookmarkStart w:id="879" w:name="_Toc151260597"/>
      <w:bookmarkStart w:id="880" w:name="_Toc164158704"/>
      <w:bookmarkStart w:id="881" w:name="_Toc164221076"/>
      <w:bookmarkStart w:id="882" w:name="_Toc170879152"/>
      <w:bookmarkStart w:id="883" w:name="_Toc170894789"/>
      <w:bookmarkStart w:id="884" w:name="_Toc175712755"/>
      <w:bookmarkStart w:id="885" w:name="_Toc175970696"/>
      <w:bookmarkStart w:id="886" w:name="_Toc176335415"/>
      <w:bookmarkStart w:id="887" w:name="_Toc176338990"/>
      <w:bookmarkStart w:id="888" w:name="_Toc178743015"/>
      <w:bookmarkStart w:id="889" w:name="_Toc179363438"/>
      <w:bookmarkStart w:id="890" w:name="_Toc179604507"/>
      <w:bookmarkStart w:id="891" w:name="_Toc180204700"/>
      <w:bookmarkStart w:id="892" w:name="_Toc180204916"/>
      <w:bookmarkStart w:id="893" w:name="_Toc185844661"/>
      <w:bookmarkStart w:id="894" w:name="_Toc185845281"/>
      <w:bookmarkStart w:id="895" w:name="_Toc185927246"/>
      <w:bookmarkStart w:id="896" w:name="_Toc202506108"/>
      <w:bookmarkStart w:id="897" w:name="_Toc202672840"/>
      <w:bookmarkStart w:id="898" w:name="_Toc202691800"/>
      <w:bookmarkStart w:id="899" w:name="_Toc233448466"/>
      <w:bookmarkStart w:id="900" w:name="_Toc233611736"/>
      <w:bookmarkStart w:id="901" w:name="_Toc234730743"/>
      <w:bookmarkStart w:id="902" w:name="_Toc234733269"/>
      <w:bookmarkStart w:id="903" w:name="_Toc235864006"/>
      <w:bookmarkStart w:id="904" w:name="_Toc235933481"/>
      <w:bookmarkStart w:id="905" w:name="_Toc237164469"/>
      <w:bookmarkStart w:id="906" w:name="_Toc237244353"/>
      <w:bookmarkStart w:id="907" w:name="_Toc237245677"/>
      <w:bookmarkStart w:id="908" w:name="_Toc237245808"/>
      <w:bookmarkStart w:id="909" w:name="_Toc237247950"/>
      <w:bookmarkStart w:id="910" w:name="_Toc237254265"/>
      <w:bookmarkStart w:id="911" w:name="_Toc237309684"/>
      <w:bookmarkStart w:id="912" w:name="_Toc265743693"/>
      <w:bookmarkStart w:id="913" w:name="_Toc297540811"/>
      <w:bookmarkStart w:id="914" w:name="_Toc297541239"/>
      <w:bookmarkStart w:id="915" w:name="_Toc328403465"/>
      <w:bookmarkStart w:id="916" w:name="_Toc328471515"/>
      <w:r>
        <w:t>Notes</w:t>
      </w:r>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p>
    <w:p>
      <w:pPr>
        <w:pStyle w:val="nNote"/>
        <w:rPr>
          <w:snapToGrid w:val="0"/>
        </w:rPr>
      </w:pPr>
      <w:r>
        <w:rPr>
          <w:snapToGrid w:val="0"/>
          <w:vertAlign w:val="superscript"/>
        </w:rPr>
        <w:t>1</w:t>
      </w:r>
      <w:r>
        <w:rPr>
          <w:snapToGrid w:val="0"/>
        </w:rPr>
        <w:tab/>
        <w:t xml:space="preserve">This is a compilation of the </w:t>
      </w:r>
      <w:r>
        <w:rPr>
          <w:i/>
          <w:noProof/>
          <w:snapToGrid w:val="0"/>
        </w:rPr>
        <w:t>Water Agencies (Charges) By-laws 1987</w:t>
      </w:r>
      <w:r>
        <w:rPr>
          <w:snapToGrid w:val="0"/>
        </w:rPr>
        <w:t xml:space="preserve"> and includes the amendments made by the other written laws referred to in the following table</w:t>
      </w:r>
      <w:ins w:id="917" w:author="Master Repository Process" w:date="2021-10-06T15:57:00Z">
        <w:r>
          <w:rPr>
            <w:snapToGrid w:val="0"/>
            <w:vertAlign w:val="superscript"/>
          </w:rPr>
          <w:t> 1a</w:t>
        </w:r>
      </w:ins>
      <w:r>
        <w:rPr>
          <w:snapToGrid w:val="0"/>
        </w:rPr>
        <w:t>.  The table also contains information about any reprint.</w:t>
      </w:r>
    </w:p>
    <w:p>
      <w:pPr>
        <w:pStyle w:val="nHeading3"/>
      </w:pPr>
      <w:bookmarkStart w:id="918" w:name="_Toc84428022"/>
      <w:bookmarkStart w:id="919" w:name="_Toc180204917"/>
      <w:bookmarkStart w:id="920" w:name="_Toc328471516"/>
      <w:r>
        <w:t>Compilation table</w:t>
      </w:r>
      <w:bookmarkEnd w:id="918"/>
      <w:bookmarkEnd w:id="919"/>
      <w:bookmarkEnd w:id="920"/>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rPr>
          <w:cantSplit/>
        </w:trPr>
        <w:tc>
          <w:tcPr>
            <w:tcW w:w="3118" w:type="dxa"/>
            <w:tcBorders>
              <w:top w:val="single" w:sz="8" w:space="0" w:color="auto"/>
            </w:tcBorders>
          </w:tcPr>
          <w:p>
            <w:pPr>
              <w:pStyle w:val="nTable"/>
              <w:spacing w:after="40"/>
              <w:ind w:right="113"/>
              <w:rPr>
                <w:vertAlign w:val="superscript"/>
              </w:rPr>
            </w:pPr>
            <w:r>
              <w:rPr>
                <w:i/>
              </w:rPr>
              <w:t>Water Authority (Charges) By</w:t>
            </w:r>
            <w:r>
              <w:rPr>
                <w:i/>
              </w:rPr>
              <w:noBreakHyphen/>
              <w:t>laws 1987</w:t>
            </w:r>
            <w:r>
              <w:rPr>
                <w:vertAlign w:val="superscript"/>
              </w:rPr>
              <w:t> 12</w:t>
            </w:r>
          </w:p>
        </w:tc>
        <w:tc>
          <w:tcPr>
            <w:tcW w:w="1276" w:type="dxa"/>
            <w:tcBorders>
              <w:top w:val="single" w:sz="8" w:space="0" w:color="auto"/>
            </w:tcBorders>
          </w:tcPr>
          <w:p>
            <w:pPr>
              <w:pStyle w:val="nTable"/>
              <w:spacing w:after="40"/>
            </w:pPr>
            <w:r>
              <w:t>14 Jul 1987 p. 2658</w:t>
            </w:r>
            <w:r>
              <w:noBreakHyphen/>
              <w:t>72</w:t>
            </w:r>
            <w:r>
              <w:br/>
              <w:t>(errata 24 Jul 1987 p. 2841)</w:t>
            </w:r>
          </w:p>
        </w:tc>
        <w:tc>
          <w:tcPr>
            <w:tcW w:w="2693" w:type="dxa"/>
            <w:tcBorders>
              <w:top w:val="single" w:sz="8" w:space="0" w:color="auto"/>
            </w:tcBorders>
          </w:tcPr>
          <w:p>
            <w:pPr>
              <w:pStyle w:val="nTable"/>
              <w:spacing w:after="40"/>
            </w:pPr>
            <w:r>
              <w:t>14 Jul 1987</w:t>
            </w:r>
          </w:p>
        </w:tc>
      </w:tr>
      <w:tr>
        <w:trPr>
          <w:cantSplit/>
        </w:trPr>
        <w:tc>
          <w:tcPr>
            <w:tcW w:w="3118" w:type="dxa"/>
          </w:tcPr>
          <w:p>
            <w:pPr>
              <w:pStyle w:val="nTable"/>
              <w:spacing w:after="40"/>
              <w:ind w:right="113"/>
            </w:pPr>
            <w:r>
              <w:rPr>
                <w:i/>
              </w:rPr>
              <w:t>Water Authority (Charges) Amendment By</w:t>
            </w:r>
            <w:r>
              <w:rPr>
                <w:i/>
              </w:rPr>
              <w:noBreakHyphen/>
              <w:t>laws 1987</w:t>
            </w:r>
          </w:p>
        </w:tc>
        <w:tc>
          <w:tcPr>
            <w:tcW w:w="1276" w:type="dxa"/>
          </w:tcPr>
          <w:p>
            <w:pPr>
              <w:pStyle w:val="nTable"/>
              <w:spacing w:after="40"/>
            </w:pPr>
            <w:r>
              <w:t>31 Jul 1987 p. 2884</w:t>
            </w:r>
          </w:p>
        </w:tc>
        <w:tc>
          <w:tcPr>
            <w:tcW w:w="2693" w:type="dxa"/>
          </w:tcPr>
          <w:p>
            <w:pPr>
              <w:pStyle w:val="nTable"/>
              <w:spacing w:after="40"/>
            </w:pPr>
            <w:r>
              <w:t>31 Jul 1987</w:t>
            </w:r>
          </w:p>
        </w:tc>
      </w:tr>
      <w:tr>
        <w:trPr>
          <w:cantSplit/>
        </w:trPr>
        <w:tc>
          <w:tcPr>
            <w:tcW w:w="3118" w:type="dxa"/>
          </w:tcPr>
          <w:p>
            <w:pPr>
              <w:pStyle w:val="nTable"/>
              <w:spacing w:after="40"/>
              <w:ind w:right="113"/>
            </w:pPr>
            <w:r>
              <w:rPr>
                <w:i/>
              </w:rPr>
              <w:t>Water Authority (Charges) Amendment By</w:t>
            </w:r>
            <w:r>
              <w:rPr>
                <w:i/>
              </w:rPr>
              <w:noBreakHyphen/>
              <w:t>laws 1988</w:t>
            </w:r>
          </w:p>
        </w:tc>
        <w:tc>
          <w:tcPr>
            <w:tcW w:w="1276" w:type="dxa"/>
          </w:tcPr>
          <w:p>
            <w:pPr>
              <w:pStyle w:val="nTable"/>
              <w:spacing w:after="40"/>
            </w:pPr>
            <w:r>
              <w:t>29 Jun 1988 p. 2112</w:t>
            </w:r>
            <w:r>
              <w:noBreakHyphen/>
              <w:t>22</w:t>
            </w:r>
          </w:p>
        </w:tc>
        <w:tc>
          <w:tcPr>
            <w:tcW w:w="2693" w:type="dxa"/>
          </w:tcPr>
          <w:p>
            <w:pPr>
              <w:pStyle w:val="nTable"/>
              <w:spacing w:after="40"/>
            </w:pPr>
            <w:r>
              <w:t>29 Jun 1988</w:t>
            </w:r>
          </w:p>
        </w:tc>
      </w:tr>
      <w:tr>
        <w:trPr>
          <w:cantSplit/>
        </w:trPr>
        <w:tc>
          <w:tcPr>
            <w:tcW w:w="3118" w:type="dxa"/>
          </w:tcPr>
          <w:p>
            <w:pPr>
              <w:pStyle w:val="nTable"/>
              <w:spacing w:after="40"/>
              <w:ind w:right="113"/>
            </w:pPr>
            <w:r>
              <w:rPr>
                <w:i/>
              </w:rPr>
              <w:t>Water Authority (Charges) Amendment By</w:t>
            </w:r>
            <w:r>
              <w:rPr>
                <w:i/>
              </w:rPr>
              <w:noBreakHyphen/>
              <w:t>laws (No. 2) 1988</w:t>
            </w:r>
          </w:p>
        </w:tc>
        <w:tc>
          <w:tcPr>
            <w:tcW w:w="1276" w:type="dxa"/>
          </w:tcPr>
          <w:p>
            <w:pPr>
              <w:pStyle w:val="nTable"/>
              <w:spacing w:after="40"/>
            </w:pPr>
            <w:r>
              <w:t>4 Jul 1988 p. 2178</w:t>
            </w:r>
          </w:p>
        </w:tc>
        <w:tc>
          <w:tcPr>
            <w:tcW w:w="2693" w:type="dxa"/>
          </w:tcPr>
          <w:p>
            <w:pPr>
              <w:pStyle w:val="nTable"/>
              <w:spacing w:after="40"/>
            </w:pPr>
            <w:r>
              <w:t>4 Jul 1988</w:t>
            </w:r>
          </w:p>
        </w:tc>
      </w:tr>
      <w:tr>
        <w:trPr>
          <w:cantSplit/>
        </w:trPr>
        <w:tc>
          <w:tcPr>
            <w:tcW w:w="3118" w:type="dxa"/>
          </w:tcPr>
          <w:p>
            <w:pPr>
              <w:pStyle w:val="nTable"/>
              <w:spacing w:after="40"/>
              <w:ind w:right="113"/>
            </w:pPr>
            <w:r>
              <w:rPr>
                <w:i/>
              </w:rPr>
              <w:t>Water Authority (Charges) Amendment By</w:t>
            </w:r>
            <w:r>
              <w:rPr>
                <w:i/>
              </w:rPr>
              <w:noBreakHyphen/>
              <w:t>laws (No. 3) 1988</w:t>
            </w:r>
          </w:p>
        </w:tc>
        <w:tc>
          <w:tcPr>
            <w:tcW w:w="1276" w:type="dxa"/>
          </w:tcPr>
          <w:p>
            <w:pPr>
              <w:pStyle w:val="nTable"/>
              <w:spacing w:after="40"/>
            </w:pPr>
            <w:r>
              <w:t>8 Jul 1988 p. 2387</w:t>
            </w:r>
          </w:p>
        </w:tc>
        <w:tc>
          <w:tcPr>
            <w:tcW w:w="2693" w:type="dxa"/>
          </w:tcPr>
          <w:p>
            <w:pPr>
              <w:pStyle w:val="nTable"/>
              <w:spacing w:after="40"/>
            </w:pPr>
            <w:r>
              <w:t>8 Jul 1988</w:t>
            </w:r>
          </w:p>
        </w:tc>
      </w:tr>
      <w:tr>
        <w:trPr>
          <w:cantSplit/>
        </w:trPr>
        <w:tc>
          <w:tcPr>
            <w:tcW w:w="3118" w:type="dxa"/>
          </w:tcPr>
          <w:p>
            <w:pPr>
              <w:pStyle w:val="nTable"/>
              <w:spacing w:after="40"/>
              <w:ind w:right="113"/>
            </w:pPr>
            <w:r>
              <w:rPr>
                <w:i/>
              </w:rPr>
              <w:t>Water Authority (Charges) Amendment By</w:t>
            </w:r>
            <w:r>
              <w:rPr>
                <w:i/>
              </w:rPr>
              <w:noBreakHyphen/>
              <w:t>laws (No. 4) 1988</w:t>
            </w:r>
          </w:p>
        </w:tc>
        <w:tc>
          <w:tcPr>
            <w:tcW w:w="1276" w:type="dxa"/>
          </w:tcPr>
          <w:p>
            <w:pPr>
              <w:pStyle w:val="nTable"/>
              <w:spacing w:after="40"/>
            </w:pPr>
            <w:r>
              <w:t>14 Oct 1988 p. 4174</w:t>
            </w:r>
          </w:p>
        </w:tc>
        <w:tc>
          <w:tcPr>
            <w:tcW w:w="2693" w:type="dxa"/>
          </w:tcPr>
          <w:p>
            <w:pPr>
              <w:pStyle w:val="nTable"/>
              <w:spacing w:after="40"/>
            </w:pPr>
            <w:r>
              <w:t>14 Oct 1988</w:t>
            </w:r>
          </w:p>
        </w:tc>
      </w:tr>
      <w:tr>
        <w:trPr>
          <w:cantSplit/>
        </w:trPr>
        <w:tc>
          <w:tcPr>
            <w:tcW w:w="3118" w:type="dxa"/>
          </w:tcPr>
          <w:p>
            <w:pPr>
              <w:pStyle w:val="nTable"/>
              <w:spacing w:after="40"/>
              <w:ind w:right="113"/>
            </w:pPr>
            <w:r>
              <w:rPr>
                <w:i/>
              </w:rPr>
              <w:t>Water Authority (Charges) Amendment By</w:t>
            </w:r>
            <w:r>
              <w:rPr>
                <w:i/>
              </w:rPr>
              <w:noBreakHyphen/>
              <w:t>laws (No. 5) 1988</w:t>
            </w:r>
          </w:p>
        </w:tc>
        <w:tc>
          <w:tcPr>
            <w:tcW w:w="1276" w:type="dxa"/>
          </w:tcPr>
          <w:p>
            <w:pPr>
              <w:pStyle w:val="nTable"/>
              <w:spacing w:after="40"/>
            </w:pPr>
            <w:r>
              <w:t>20 Jan 1989 p. 121</w:t>
            </w:r>
          </w:p>
        </w:tc>
        <w:tc>
          <w:tcPr>
            <w:tcW w:w="2693" w:type="dxa"/>
          </w:tcPr>
          <w:p>
            <w:pPr>
              <w:pStyle w:val="nTable"/>
              <w:spacing w:after="40"/>
            </w:pPr>
            <w:r>
              <w:t>20 Jan 1989</w:t>
            </w:r>
          </w:p>
        </w:tc>
      </w:tr>
      <w:tr>
        <w:trPr>
          <w:cantSplit/>
        </w:trPr>
        <w:tc>
          <w:tcPr>
            <w:tcW w:w="3118" w:type="dxa"/>
          </w:tcPr>
          <w:p>
            <w:pPr>
              <w:pStyle w:val="nTable"/>
              <w:spacing w:after="40"/>
              <w:ind w:right="113"/>
            </w:pPr>
            <w:r>
              <w:rPr>
                <w:i/>
              </w:rPr>
              <w:t>Water Authority (Charges) Amendment By</w:t>
            </w:r>
            <w:r>
              <w:rPr>
                <w:i/>
              </w:rPr>
              <w:noBreakHyphen/>
              <w:t>laws 1989</w:t>
            </w:r>
          </w:p>
        </w:tc>
        <w:tc>
          <w:tcPr>
            <w:tcW w:w="1276" w:type="dxa"/>
          </w:tcPr>
          <w:p>
            <w:pPr>
              <w:pStyle w:val="nTable"/>
              <w:spacing w:after="40"/>
            </w:pPr>
            <w:r>
              <w:t>10 Mar 1989 p. 712</w:t>
            </w:r>
          </w:p>
        </w:tc>
        <w:tc>
          <w:tcPr>
            <w:tcW w:w="2693" w:type="dxa"/>
          </w:tcPr>
          <w:p>
            <w:pPr>
              <w:pStyle w:val="nTable"/>
              <w:spacing w:after="40"/>
            </w:pPr>
            <w:r>
              <w:t>10 Mar 1989</w:t>
            </w:r>
          </w:p>
        </w:tc>
      </w:tr>
      <w:tr>
        <w:trPr>
          <w:cantSplit/>
        </w:trPr>
        <w:tc>
          <w:tcPr>
            <w:tcW w:w="3118" w:type="dxa"/>
          </w:tcPr>
          <w:p>
            <w:pPr>
              <w:pStyle w:val="nTable"/>
              <w:spacing w:after="40"/>
              <w:ind w:right="113"/>
            </w:pPr>
            <w:r>
              <w:rPr>
                <w:i/>
              </w:rPr>
              <w:t>Water Authority (Charges) Amendment By</w:t>
            </w:r>
            <w:r>
              <w:rPr>
                <w:i/>
              </w:rPr>
              <w:noBreakHyphen/>
              <w:t>laws (No. 2) 1989</w:t>
            </w:r>
          </w:p>
        </w:tc>
        <w:tc>
          <w:tcPr>
            <w:tcW w:w="1276" w:type="dxa"/>
          </w:tcPr>
          <w:p>
            <w:pPr>
              <w:pStyle w:val="nTable"/>
              <w:spacing w:after="40"/>
            </w:pPr>
            <w:r>
              <w:t>23 Jun 1989 p. 1824</w:t>
            </w:r>
          </w:p>
        </w:tc>
        <w:tc>
          <w:tcPr>
            <w:tcW w:w="2693" w:type="dxa"/>
          </w:tcPr>
          <w:p>
            <w:pPr>
              <w:pStyle w:val="nTable"/>
              <w:spacing w:after="40"/>
            </w:pPr>
            <w:r>
              <w:t>23 Jun 1989</w:t>
            </w:r>
          </w:p>
        </w:tc>
      </w:tr>
      <w:tr>
        <w:trPr>
          <w:cantSplit/>
        </w:trPr>
        <w:tc>
          <w:tcPr>
            <w:tcW w:w="3118" w:type="dxa"/>
          </w:tcPr>
          <w:p>
            <w:pPr>
              <w:pStyle w:val="nTable"/>
              <w:spacing w:after="40"/>
              <w:ind w:right="113"/>
              <w:rPr>
                <w:vertAlign w:val="superscript"/>
              </w:rPr>
            </w:pPr>
            <w:r>
              <w:rPr>
                <w:i/>
              </w:rPr>
              <w:t>Water Authority (Charges) Amendment By</w:t>
            </w:r>
            <w:r>
              <w:rPr>
                <w:i/>
              </w:rPr>
              <w:noBreakHyphen/>
              <w:t>laws (No. 3) 1989</w:t>
            </w:r>
            <w:r>
              <w:rPr>
                <w:vertAlign w:val="superscript"/>
              </w:rPr>
              <w:t> 13</w:t>
            </w:r>
          </w:p>
        </w:tc>
        <w:tc>
          <w:tcPr>
            <w:tcW w:w="1276" w:type="dxa"/>
          </w:tcPr>
          <w:p>
            <w:pPr>
              <w:pStyle w:val="nTable"/>
              <w:spacing w:after="40"/>
            </w:pPr>
            <w:r>
              <w:t>29 Jun 1989 p. 1870</w:t>
            </w:r>
            <w:r>
              <w:noBreakHyphen/>
              <w:t>82</w:t>
            </w:r>
            <w:r>
              <w:br/>
              <w:t>(errata 7 Jul 1989 p. 2075)</w:t>
            </w:r>
          </w:p>
        </w:tc>
        <w:tc>
          <w:tcPr>
            <w:tcW w:w="2693" w:type="dxa"/>
          </w:tcPr>
          <w:p>
            <w:pPr>
              <w:pStyle w:val="nTable"/>
              <w:spacing w:after="40"/>
            </w:pPr>
            <w:r>
              <w:t>29 Jun 1989</w:t>
            </w:r>
          </w:p>
        </w:tc>
      </w:tr>
      <w:tr>
        <w:trPr>
          <w:cantSplit/>
        </w:trPr>
        <w:tc>
          <w:tcPr>
            <w:tcW w:w="3118" w:type="dxa"/>
          </w:tcPr>
          <w:p>
            <w:pPr>
              <w:pStyle w:val="nTable"/>
              <w:spacing w:after="40"/>
              <w:ind w:right="113"/>
            </w:pPr>
            <w:r>
              <w:rPr>
                <w:i/>
              </w:rPr>
              <w:t>Water Authority (Charges) Amendment By</w:t>
            </w:r>
            <w:r>
              <w:rPr>
                <w:i/>
              </w:rPr>
              <w:noBreakHyphen/>
              <w:t>laws (No. 4) 1989</w:t>
            </w:r>
          </w:p>
        </w:tc>
        <w:tc>
          <w:tcPr>
            <w:tcW w:w="1276" w:type="dxa"/>
          </w:tcPr>
          <w:p>
            <w:pPr>
              <w:pStyle w:val="nTable"/>
              <w:spacing w:after="40"/>
            </w:pPr>
            <w:r>
              <w:t>7 Jul 1989 p. 2077</w:t>
            </w:r>
          </w:p>
        </w:tc>
        <w:tc>
          <w:tcPr>
            <w:tcW w:w="2693" w:type="dxa"/>
          </w:tcPr>
          <w:p>
            <w:pPr>
              <w:pStyle w:val="nTable"/>
              <w:spacing w:after="40"/>
            </w:pPr>
            <w:r>
              <w:t>7 Jul 1989</w:t>
            </w:r>
          </w:p>
        </w:tc>
      </w:tr>
      <w:tr>
        <w:trPr>
          <w:cantSplit/>
        </w:trPr>
        <w:tc>
          <w:tcPr>
            <w:tcW w:w="3118" w:type="dxa"/>
          </w:tcPr>
          <w:p>
            <w:pPr>
              <w:pStyle w:val="nTable"/>
              <w:spacing w:after="40"/>
              <w:ind w:right="113"/>
            </w:pPr>
            <w:r>
              <w:rPr>
                <w:i/>
              </w:rPr>
              <w:t>Water Authority (Charges) Amendment By</w:t>
            </w:r>
            <w:r>
              <w:rPr>
                <w:i/>
              </w:rPr>
              <w:noBreakHyphen/>
              <w:t>laws (No. 5) 1989</w:t>
            </w:r>
          </w:p>
        </w:tc>
        <w:tc>
          <w:tcPr>
            <w:tcW w:w="1276" w:type="dxa"/>
          </w:tcPr>
          <w:p>
            <w:pPr>
              <w:pStyle w:val="nTable"/>
              <w:spacing w:after="40"/>
            </w:pPr>
            <w:r>
              <w:t>7 Jul 1989 p. 2078</w:t>
            </w:r>
          </w:p>
        </w:tc>
        <w:tc>
          <w:tcPr>
            <w:tcW w:w="2693" w:type="dxa"/>
          </w:tcPr>
          <w:p>
            <w:pPr>
              <w:pStyle w:val="nTable"/>
              <w:spacing w:after="40"/>
            </w:pPr>
            <w:r>
              <w:t>7 Jul 1989</w:t>
            </w:r>
          </w:p>
        </w:tc>
      </w:tr>
      <w:tr>
        <w:trPr>
          <w:cantSplit/>
        </w:trPr>
        <w:tc>
          <w:tcPr>
            <w:tcW w:w="3118" w:type="dxa"/>
          </w:tcPr>
          <w:p>
            <w:pPr>
              <w:pStyle w:val="nTable"/>
              <w:spacing w:after="40"/>
              <w:ind w:right="113"/>
            </w:pPr>
            <w:r>
              <w:rPr>
                <w:i/>
              </w:rPr>
              <w:t>Water Authority (Charges) Amendment By</w:t>
            </w:r>
            <w:r>
              <w:rPr>
                <w:i/>
              </w:rPr>
              <w:noBreakHyphen/>
              <w:t>laws (No. 6) 1989</w:t>
            </w:r>
          </w:p>
        </w:tc>
        <w:tc>
          <w:tcPr>
            <w:tcW w:w="1276" w:type="dxa"/>
          </w:tcPr>
          <w:p>
            <w:pPr>
              <w:pStyle w:val="nTable"/>
              <w:spacing w:after="40"/>
            </w:pPr>
            <w:r>
              <w:t>27 Oct 1989 p. 3898</w:t>
            </w:r>
            <w:r>
              <w:noBreakHyphen/>
              <w:t>9</w:t>
            </w:r>
          </w:p>
        </w:tc>
        <w:tc>
          <w:tcPr>
            <w:tcW w:w="2693" w:type="dxa"/>
          </w:tcPr>
          <w:p>
            <w:pPr>
              <w:pStyle w:val="nTable"/>
              <w:spacing w:after="40"/>
            </w:pPr>
            <w:r>
              <w:t>27 Oct 1989</w:t>
            </w:r>
          </w:p>
        </w:tc>
      </w:tr>
      <w:tr>
        <w:trPr>
          <w:cantSplit/>
        </w:trPr>
        <w:tc>
          <w:tcPr>
            <w:tcW w:w="3118" w:type="dxa"/>
          </w:tcPr>
          <w:p>
            <w:pPr>
              <w:pStyle w:val="nTable"/>
              <w:spacing w:after="40"/>
              <w:ind w:right="113"/>
            </w:pPr>
            <w:r>
              <w:rPr>
                <w:i/>
              </w:rPr>
              <w:t>Water Authority (Charges) Amendment By</w:t>
            </w:r>
            <w:r>
              <w:rPr>
                <w:i/>
              </w:rPr>
              <w:noBreakHyphen/>
              <w:t>laws (No. 7) 1989</w:t>
            </w:r>
          </w:p>
        </w:tc>
        <w:tc>
          <w:tcPr>
            <w:tcW w:w="1276" w:type="dxa"/>
          </w:tcPr>
          <w:p>
            <w:pPr>
              <w:pStyle w:val="nTable"/>
              <w:spacing w:after="40"/>
            </w:pPr>
            <w:r>
              <w:t>17 Nov 1989 p. 4117</w:t>
            </w:r>
          </w:p>
        </w:tc>
        <w:tc>
          <w:tcPr>
            <w:tcW w:w="2693" w:type="dxa"/>
          </w:tcPr>
          <w:p>
            <w:pPr>
              <w:pStyle w:val="nTable"/>
              <w:spacing w:after="40"/>
            </w:pPr>
            <w:r>
              <w:t>17 Nov 1989</w:t>
            </w:r>
          </w:p>
        </w:tc>
      </w:tr>
      <w:tr>
        <w:trPr>
          <w:cantSplit/>
        </w:trPr>
        <w:tc>
          <w:tcPr>
            <w:tcW w:w="3118" w:type="dxa"/>
          </w:tcPr>
          <w:p>
            <w:pPr>
              <w:pStyle w:val="nTable"/>
              <w:spacing w:after="40"/>
              <w:ind w:right="113"/>
              <w:rPr>
                <w:vertAlign w:val="superscript"/>
              </w:rPr>
            </w:pPr>
            <w:r>
              <w:rPr>
                <w:i/>
              </w:rPr>
              <w:t>Water Authority (Charges) Amendment By</w:t>
            </w:r>
            <w:r>
              <w:rPr>
                <w:i/>
              </w:rPr>
              <w:noBreakHyphen/>
              <w:t>laws 1990</w:t>
            </w:r>
            <w:r>
              <w:rPr>
                <w:vertAlign w:val="superscript"/>
              </w:rPr>
              <w:t> 14</w:t>
            </w:r>
          </w:p>
        </w:tc>
        <w:tc>
          <w:tcPr>
            <w:tcW w:w="1276" w:type="dxa"/>
          </w:tcPr>
          <w:p>
            <w:pPr>
              <w:pStyle w:val="nTable"/>
              <w:spacing w:after="40"/>
            </w:pPr>
            <w:r>
              <w:t>29 Jun 1990 p. 3226</w:t>
            </w:r>
            <w:r>
              <w:noBreakHyphen/>
              <w:t>40</w:t>
            </w:r>
            <w:r>
              <w:br/>
              <w:t>(errata 6 Jul 1990 p. 3317)</w:t>
            </w:r>
          </w:p>
        </w:tc>
        <w:tc>
          <w:tcPr>
            <w:tcW w:w="2693" w:type="dxa"/>
          </w:tcPr>
          <w:p>
            <w:pPr>
              <w:pStyle w:val="nTable"/>
              <w:spacing w:after="40"/>
            </w:pPr>
            <w:r>
              <w:t>29 Jun 1990</w:t>
            </w:r>
          </w:p>
        </w:tc>
      </w:tr>
      <w:tr>
        <w:trPr>
          <w:cantSplit/>
        </w:trPr>
        <w:tc>
          <w:tcPr>
            <w:tcW w:w="3118" w:type="dxa"/>
          </w:tcPr>
          <w:p>
            <w:pPr>
              <w:pStyle w:val="nTable"/>
              <w:spacing w:after="40"/>
              <w:ind w:right="113"/>
              <w:rPr>
                <w:vertAlign w:val="superscript"/>
              </w:rPr>
            </w:pPr>
            <w:r>
              <w:rPr>
                <w:i/>
              </w:rPr>
              <w:t>Water Authority (Charges) Amendment By</w:t>
            </w:r>
            <w:r>
              <w:rPr>
                <w:i/>
              </w:rPr>
              <w:noBreakHyphen/>
              <w:t>laws 1991</w:t>
            </w:r>
            <w:r>
              <w:rPr>
                <w:i/>
                <w:vertAlign w:val="superscript"/>
              </w:rPr>
              <w:t> </w:t>
            </w:r>
            <w:r>
              <w:rPr>
                <w:vertAlign w:val="superscript"/>
              </w:rPr>
              <w:t>15</w:t>
            </w:r>
          </w:p>
        </w:tc>
        <w:tc>
          <w:tcPr>
            <w:tcW w:w="1276" w:type="dxa"/>
          </w:tcPr>
          <w:p>
            <w:pPr>
              <w:pStyle w:val="nTable"/>
              <w:spacing w:after="40"/>
            </w:pPr>
            <w:r>
              <w:t>28 Jun 1991 p. 3267</w:t>
            </w:r>
            <w:r>
              <w:noBreakHyphen/>
              <w:t>80</w:t>
            </w:r>
            <w:r>
              <w:br/>
              <w:t>(errata 5 Jul 1991 p. 3379)</w:t>
            </w:r>
          </w:p>
        </w:tc>
        <w:tc>
          <w:tcPr>
            <w:tcW w:w="2693" w:type="dxa"/>
          </w:tcPr>
          <w:p>
            <w:pPr>
              <w:pStyle w:val="nTable"/>
              <w:spacing w:after="40"/>
            </w:pPr>
            <w:r>
              <w:t>28 Jun 1991</w:t>
            </w:r>
          </w:p>
        </w:tc>
      </w:tr>
      <w:tr>
        <w:trPr>
          <w:cantSplit/>
        </w:trPr>
        <w:tc>
          <w:tcPr>
            <w:tcW w:w="3118" w:type="dxa"/>
          </w:tcPr>
          <w:p>
            <w:pPr>
              <w:pStyle w:val="nTable"/>
              <w:spacing w:after="40"/>
              <w:ind w:right="113"/>
            </w:pPr>
            <w:r>
              <w:rPr>
                <w:i/>
              </w:rPr>
              <w:t>Water Authority (Charges) Amendment By</w:t>
            </w:r>
            <w:r>
              <w:rPr>
                <w:i/>
              </w:rPr>
              <w:noBreakHyphen/>
              <w:t>laws (No. 2) 1991</w:t>
            </w:r>
          </w:p>
        </w:tc>
        <w:tc>
          <w:tcPr>
            <w:tcW w:w="1276" w:type="dxa"/>
          </w:tcPr>
          <w:p>
            <w:pPr>
              <w:pStyle w:val="nTable"/>
              <w:spacing w:after="40"/>
            </w:pPr>
            <w:r>
              <w:t>20 Sep 1991 p. 4952</w:t>
            </w:r>
            <w:r>
              <w:noBreakHyphen/>
              <w:t>3</w:t>
            </w:r>
          </w:p>
        </w:tc>
        <w:tc>
          <w:tcPr>
            <w:tcW w:w="2693" w:type="dxa"/>
          </w:tcPr>
          <w:p>
            <w:pPr>
              <w:pStyle w:val="nTable"/>
              <w:spacing w:after="40"/>
            </w:pPr>
            <w:r>
              <w:t>20 Sep 1991</w:t>
            </w:r>
          </w:p>
        </w:tc>
      </w:tr>
      <w:tr>
        <w:trPr>
          <w:cantSplit/>
        </w:trPr>
        <w:tc>
          <w:tcPr>
            <w:tcW w:w="3118" w:type="dxa"/>
          </w:tcPr>
          <w:p>
            <w:pPr>
              <w:pStyle w:val="nTable"/>
              <w:spacing w:after="40"/>
              <w:ind w:right="113"/>
            </w:pPr>
            <w:r>
              <w:rPr>
                <w:i/>
              </w:rPr>
              <w:t>Water Authority (Charges) Amendment By</w:t>
            </w:r>
            <w:r>
              <w:rPr>
                <w:i/>
              </w:rPr>
              <w:noBreakHyphen/>
              <w:t>laws (No. 3) 1991</w:t>
            </w:r>
          </w:p>
        </w:tc>
        <w:tc>
          <w:tcPr>
            <w:tcW w:w="1276" w:type="dxa"/>
          </w:tcPr>
          <w:p>
            <w:pPr>
              <w:pStyle w:val="nTable"/>
              <w:spacing w:after="40"/>
            </w:pPr>
            <w:r>
              <w:t>20 Sep 1991 p. 4954</w:t>
            </w:r>
            <w:r>
              <w:noBreakHyphen/>
              <w:t>5</w:t>
            </w:r>
          </w:p>
        </w:tc>
        <w:tc>
          <w:tcPr>
            <w:tcW w:w="2693" w:type="dxa"/>
          </w:tcPr>
          <w:p>
            <w:pPr>
              <w:pStyle w:val="nTable"/>
              <w:spacing w:after="40"/>
            </w:pPr>
            <w:r>
              <w:t>20 Sep 1991</w:t>
            </w:r>
          </w:p>
        </w:tc>
      </w:tr>
      <w:tr>
        <w:trPr>
          <w:cantSplit/>
        </w:trPr>
        <w:tc>
          <w:tcPr>
            <w:tcW w:w="3118" w:type="dxa"/>
          </w:tcPr>
          <w:p>
            <w:pPr>
              <w:pStyle w:val="nTable"/>
              <w:spacing w:after="40"/>
              <w:ind w:right="113"/>
              <w:rPr>
                <w:vertAlign w:val="superscript"/>
              </w:rPr>
            </w:pPr>
            <w:r>
              <w:rPr>
                <w:i/>
              </w:rPr>
              <w:t>Water Authority (Charges) Amendment By</w:t>
            </w:r>
            <w:r>
              <w:rPr>
                <w:i/>
              </w:rPr>
              <w:noBreakHyphen/>
              <w:t>laws 1992</w:t>
            </w:r>
            <w:r>
              <w:rPr>
                <w:i/>
                <w:vertAlign w:val="superscript"/>
              </w:rPr>
              <w:t> </w:t>
            </w:r>
            <w:r>
              <w:rPr>
                <w:vertAlign w:val="superscript"/>
              </w:rPr>
              <w:t>16</w:t>
            </w:r>
          </w:p>
        </w:tc>
        <w:tc>
          <w:tcPr>
            <w:tcW w:w="1276" w:type="dxa"/>
          </w:tcPr>
          <w:p>
            <w:pPr>
              <w:pStyle w:val="nTable"/>
              <w:spacing w:after="40"/>
            </w:pPr>
            <w:r>
              <w:t>28 Feb 1992 p. 1024</w:t>
            </w:r>
          </w:p>
        </w:tc>
        <w:tc>
          <w:tcPr>
            <w:tcW w:w="2693" w:type="dxa"/>
          </w:tcPr>
          <w:p>
            <w:pPr>
              <w:pStyle w:val="nTable"/>
              <w:spacing w:after="40"/>
            </w:pPr>
            <w:r>
              <w:t>28 Feb 1992</w:t>
            </w:r>
          </w:p>
        </w:tc>
      </w:tr>
      <w:tr>
        <w:trPr>
          <w:cantSplit/>
        </w:trPr>
        <w:tc>
          <w:tcPr>
            <w:tcW w:w="3118" w:type="dxa"/>
          </w:tcPr>
          <w:p>
            <w:pPr>
              <w:pStyle w:val="nTable"/>
              <w:spacing w:after="40"/>
              <w:ind w:right="113"/>
            </w:pPr>
            <w:r>
              <w:rPr>
                <w:i/>
              </w:rPr>
              <w:t>Water Authority (Charges) Amendment By</w:t>
            </w:r>
            <w:r>
              <w:rPr>
                <w:i/>
              </w:rPr>
              <w:noBreakHyphen/>
              <w:t>laws (No. 2) 1992</w:t>
            </w:r>
          </w:p>
        </w:tc>
        <w:tc>
          <w:tcPr>
            <w:tcW w:w="1276" w:type="dxa"/>
          </w:tcPr>
          <w:p>
            <w:pPr>
              <w:pStyle w:val="nTable"/>
              <w:spacing w:after="40"/>
            </w:pPr>
            <w:r>
              <w:t>28 Feb 1992 p. 1025</w:t>
            </w:r>
          </w:p>
        </w:tc>
        <w:tc>
          <w:tcPr>
            <w:tcW w:w="2693" w:type="dxa"/>
          </w:tcPr>
          <w:p>
            <w:pPr>
              <w:pStyle w:val="nTable"/>
              <w:spacing w:after="40"/>
            </w:pPr>
            <w:r>
              <w:t>28 Feb 1992</w:t>
            </w:r>
          </w:p>
        </w:tc>
      </w:tr>
      <w:tr>
        <w:trPr>
          <w:cantSplit/>
        </w:trPr>
        <w:tc>
          <w:tcPr>
            <w:tcW w:w="3118" w:type="dxa"/>
          </w:tcPr>
          <w:p>
            <w:pPr>
              <w:pStyle w:val="nTable"/>
              <w:spacing w:after="40"/>
              <w:ind w:right="113"/>
            </w:pPr>
            <w:r>
              <w:rPr>
                <w:i/>
              </w:rPr>
              <w:t>Water Authority (Charges) Amendment By</w:t>
            </w:r>
            <w:r>
              <w:rPr>
                <w:i/>
              </w:rPr>
              <w:noBreakHyphen/>
              <w:t>laws (No. 3) 1992</w:t>
            </w:r>
          </w:p>
        </w:tc>
        <w:tc>
          <w:tcPr>
            <w:tcW w:w="1276" w:type="dxa"/>
          </w:tcPr>
          <w:p>
            <w:pPr>
              <w:pStyle w:val="nTable"/>
              <w:spacing w:after="40"/>
            </w:pPr>
            <w:r>
              <w:t>1 May 1992 p. 1864</w:t>
            </w:r>
          </w:p>
        </w:tc>
        <w:tc>
          <w:tcPr>
            <w:tcW w:w="2693" w:type="dxa"/>
          </w:tcPr>
          <w:p>
            <w:pPr>
              <w:pStyle w:val="nTable"/>
              <w:spacing w:after="40"/>
            </w:pPr>
            <w:r>
              <w:t>1 May 1992</w:t>
            </w:r>
          </w:p>
        </w:tc>
      </w:tr>
      <w:tr>
        <w:trPr>
          <w:cantSplit/>
        </w:trPr>
        <w:tc>
          <w:tcPr>
            <w:tcW w:w="3118" w:type="dxa"/>
          </w:tcPr>
          <w:p>
            <w:pPr>
              <w:pStyle w:val="nTable"/>
              <w:spacing w:after="40"/>
              <w:ind w:right="113"/>
              <w:rPr>
                <w:vertAlign w:val="superscript"/>
              </w:rPr>
            </w:pPr>
            <w:r>
              <w:rPr>
                <w:i/>
              </w:rPr>
              <w:t>Water Authority (Charges) Amendment By</w:t>
            </w:r>
            <w:r>
              <w:rPr>
                <w:i/>
              </w:rPr>
              <w:noBreakHyphen/>
              <w:t>laws (No. 4) 1992</w:t>
            </w:r>
            <w:r>
              <w:rPr>
                <w:vertAlign w:val="superscript"/>
              </w:rPr>
              <w:t> 17</w:t>
            </w:r>
          </w:p>
        </w:tc>
        <w:tc>
          <w:tcPr>
            <w:tcW w:w="1276" w:type="dxa"/>
          </w:tcPr>
          <w:p>
            <w:pPr>
              <w:pStyle w:val="nTable"/>
              <w:spacing w:after="40"/>
            </w:pPr>
            <w:r>
              <w:t>1 May 1992 p. 1865</w:t>
            </w:r>
          </w:p>
        </w:tc>
        <w:tc>
          <w:tcPr>
            <w:tcW w:w="2693" w:type="dxa"/>
          </w:tcPr>
          <w:p>
            <w:pPr>
              <w:pStyle w:val="nTable"/>
              <w:spacing w:after="40"/>
            </w:pPr>
            <w:r>
              <w:t>1 May 1992</w:t>
            </w:r>
          </w:p>
        </w:tc>
      </w:tr>
      <w:tr>
        <w:trPr>
          <w:cantSplit/>
        </w:trPr>
        <w:tc>
          <w:tcPr>
            <w:tcW w:w="3118" w:type="dxa"/>
          </w:tcPr>
          <w:p>
            <w:pPr>
              <w:pStyle w:val="nTable"/>
              <w:keepNext/>
              <w:keepLines/>
              <w:spacing w:after="40"/>
              <w:ind w:right="113"/>
            </w:pPr>
            <w:r>
              <w:rPr>
                <w:i/>
              </w:rPr>
              <w:t>Water Authority (Charges) Amendment By</w:t>
            </w:r>
            <w:r>
              <w:rPr>
                <w:i/>
              </w:rPr>
              <w:noBreakHyphen/>
              <w:t>laws (No. 5) 1992</w:t>
            </w:r>
          </w:p>
        </w:tc>
        <w:tc>
          <w:tcPr>
            <w:tcW w:w="1276" w:type="dxa"/>
          </w:tcPr>
          <w:p>
            <w:pPr>
              <w:pStyle w:val="nTable"/>
              <w:keepNext/>
              <w:keepLines/>
              <w:spacing w:after="40"/>
            </w:pPr>
            <w:r>
              <w:t>26 Jun 1992 p. 2812</w:t>
            </w:r>
            <w:r>
              <w:noBreakHyphen/>
              <w:t>31</w:t>
            </w:r>
          </w:p>
        </w:tc>
        <w:tc>
          <w:tcPr>
            <w:tcW w:w="2693" w:type="dxa"/>
          </w:tcPr>
          <w:p>
            <w:pPr>
              <w:pStyle w:val="nTable"/>
              <w:keepNext/>
              <w:keepLines/>
              <w:spacing w:after="40"/>
            </w:pPr>
            <w:r>
              <w:t>1 Jul 1992 (see bl. 2)</w:t>
            </w:r>
          </w:p>
        </w:tc>
      </w:tr>
      <w:tr>
        <w:trPr>
          <w:cantSplit/>
        </w:trPr>
        <w:tc>
          <w:tcPr>
            <w:tcW w:w="3118" w:type="dxa"/>
          </w:tcPr>
          <w:p>
            <w:pPr>
              <w:pStyle w:val="nTable"/>
              <w:spacing w:after="40"/>
              <w:ind w:right="113"/>
            </w:pPr>
            <w:r>
              <w:rPr>
                <w:i/>
              </w:rPr>
              <w:t>Water Authority (Charges) Amendment By</w:t>
            </w:r>
            <w:r>
              <w:rPr>
                <w:i/>
              </w:rPr>
              <w:noBreakHyphen/>
              <w:t>laws (No. 6) 1992</w:t>
            </w:r>
          </w:p>
        </w:tc>
        <w:tc>
          <w:tcPr>
            <w:tcW w:w="1276" w:type="dxa"/>
          </w:tcPr>
          <w:p>
            <w:pPr>
              <w:pStyle w:val="nTable"/>
              <w:spacing w:after="40"/>
            </w:pPr>
            <w:r>
              <w:t>26 Jun 1992 p. 2831</w:t>
            </w:r>
            <w:r>
              <w:noBreakHyphen/>
              <w:t>2</w:t>
            </w:r>
          </w:p>
        </w:tc>
        <w:tc>
          <w:tcPr>
            <w:tcW w:w="2693" w:type="dxa"/>
          </w:tcPr>
          <w:p>
            <w:pPr>
              <w:pStyle w:val="nTable"/>
              <w:spacing w:after="40"/>
            </w:pPr>
            <w:r>
              <w:t>1 Jul 1992 (see bl. 2)</w:t>
            </w:r>
          </w:p>
        </w:tc>
      </w:tr>
      <w:tr>
        <w:trPr>
          <w:cantSplit/>
        </w:trPr>
        <w:tc>
          <w:tcPr>
            <w:tcW w:w="3118" w:type="dxa"/>
          </w:tcPr>
          <w:p>
            <w:pPr>
              <w:pStyle w:val="nTable"/>
              <w:spacing w:after="40"/>
              <w:ind w:right="113"/>
            </w:pPr>
            <w:r>
              <w:rPr>
                <w:i/>
              </w:rPr>
              <w:t>Water Authority (Charges) Amendment By</w:t>
            </w:r>
            <w:r>
              <w:rPr>
                <w:i/>
              </w:rPr>
              <w:noBreakHyphen/>
              <w:t>laws (No. 7) 1992</w:t>
            </w:r>
          </w:p>
        </w:tc>
        <w:tc>
          <w:tcPr>
            <w:tcW w:w="1276" w:type="dxa"/>
          </w:tcPr>
          <w:p>
            <w:pPr>
              <w:pStyle w:val="nTable"/>
              <w:spacing w:after="40"/>
            </w:pPr>
            <w:r>
              <w:t>6 Jul 1992 p. 3079</w:t>
            </w:r>
          </w:p>
        </w:tc>
        <w:tc>
          <w:tcPr>
            <w:tcW w:w="2693" w:type="dxa"/>
          </w:tcPr>
          <w:p>
            <w:pPr>
              <w:pStyle w:val="nTable"/>
              <w:spacing w:after="40"/>
            </w:pPr>
            <w:r>
              <w:t>6 Jul 1992</w:t>
            </w:r>
          </w:p>
        </w:tc>
      </w:tr>
      <w:tr>
        <w:trPr>
          <w:cantSplit/>
        </w:trPr>
        <w:tc>
          <w:tcPr>
            <w:tcW w:w="3118" w:type="dxa"/>
          </w:tcPr>
          <w:p>
            <w:pPr>
              <w:pStyle w:val="nTable"/>
              <w:spacing w:after="40"/>
              <w:ind w:right="113"/>
            </w:pPr>
            <w:r>
              <w:rPr>
                <w:i/>
              </w:rPr>
              <w:t>Water Authority (Charges) Amendment By</w:t>
            </w:r>
            <w:r>
              <w:rPr>
                <w:i/>
              </w:rPr>
              <w:noBreakHyphen/>
              <w:t>laws (No. 8) 1992</w:t>
            </w:r>
          </w:p>
        </w:tc>
        <w:tc>
          <w:tcPr>
            <w:tcW w:w="1276" w:type="dxa"/>
          </w:tcPr>
          <w:p>
            <w:pPr>
              <w:pStyle w:val="nTable"/>
              <w:spacing w:after="40"/>
            </w:pPr>
            <w:r>
              <w:t>24 Jul 1992 p. 3660</w:t>
            </w:r>
            <w:r>
              <w:noBreakHyphen/>
              <w:t>1</w:t>
            </w:r>
          </w:p>
        </w:tc>
        <w:tc>
          <w:tcPr>
            <w:tcW w:w="2693" w:type="dxa"/>
          </w:tcPr>
          <w:p>
            <w:pPr>
              <w:pStyle w:val="nTable"/>
              <w:spacing w:after="40"/>
            </w:pPr>
            <w:r>
              <w:t>24 Jul 1992</w:t>
            </w:r>
          </w:p>
        </w:tc>
      </w:tr>
      <w:tr>
        <w:trPr>
          <w:cantSplit/>
        </w:trPr>
        <w:tc>
          <w:tcPr>
            <w:tcW w:w="3118" w:type="dxa"/>
          </w:tcPr>
          <w:p>
            <w:pPr>
              <w:pStyle w:val="nTable"/>
              <w:spacing w:after="40"/>
              <w:ind w:right="113"/>
            </w:pPr>
            <w:r>
              <w:rPr>
                <w:i/>
              </w:rPr>
              <w:t>Water Authority (Charges) Amendment By</w:t>
            </w:r>
            <w:r>
              <w:rPr>
                <w:i/>
              </w:rPr>
              <w:noBreakHyphen/>
              <w:t>laws (No. 9) 1992</w:t>
            </w:r>
          </w:p>
        </w:tc>
        <w:tc>
          <w:tcPr>
            <w:tcW w:w="1276" w:type="dxa"/>
          </w:tcPr>
          <w:p>
            <w:pPr>
              <w:pStyle w:val="nTable"/>
              <w:spacing w:after="40"/>
            </w:pPr>
            <w:r>
              <w:t>31 Dec 1992 p. 6412</w:t>
            </w:r>
            <w:r>
              <w:noBreakHyphen/>
              <w:t>13</w:t>
            </w:r>
          </w:p>
        </w:tc>
        <w:tc>
          <w:tcPr>
            <w:tcW w:w="2693" w:type="dxa"/>
          </w:tcPr>
          <w:p>
            <w:pPr>
              <w:pStyle w:val="nTable"/>
              <w:spacing w:after="40"/>
            </w:pPr>
            <w:r>
              <w:t>31 Dec 1992</w:t>
            </w:r>
          </w:p>
        </w:tc>
      </w:tr>
      <w:tr>
        <w:trPr>
          <w:cantSplit/>
        </w:trPr>
        <w:tc>
          <w:tcPr>
            <w:tcW w:w="3118" w:type="dxa"/>
          </w:tcPr>
          <w:p>
            <w:pPr>
              <w:pStyle w:val="nTable"/>
              <w:spacing w:after="40"/>
              <w:ind w:right="113"/>
            </w:pPr>
            <w:r>
              <w:rPr>
                <w:i/>
              </w:rPr>
              <w:t>Water Authority (Charges) Amendment By</w:t>
            </w:r>
            <w:r>
              <w:rPr>
                <w:i/>
              </w:rPr>
              <w:noBreakHyphen/>
              <w:t>laws 1993</w:t>
            </w:r>
          </w:p>
        </w:tc>
        <w:tc>
          <w:tcPr>
            <w:tcW w:w="1276" w:type="dxa"/>
          </w:tcPr>
          <w:p>
            <w:pPr>
              <w:pStyle w:val="nTable"/>
              <w:spacing w:after="40"/>
            </w:pPr>
            <w:r>
              <w:t>1 Jul 1993 p. 3214</w:t>
            </w:r>
            <w:r>
              <w:noBreakHyphen/>
              <w:t>36</w:t>
            </w:r>
          </w:p>
        </w:tc>
        <w:tc>
          <w:tcPr>
            <w:tcW w:w="2693" w:type="dxa"/>
          </w:tcPr>
          <w:p>
            <w:pPr>
              <w:pStyle w:val="nTable"/>
              <w:spacing w:after="40"/>
            </w:pPr>
            <w:r>
              <w:t>1 Jul 1993</w:t>
            </w:r>
          </w:p>
        </w:tc>
      </w:tr>
      <w:tr>
        <w:trPr>
          <w:cantSplit/>
        </w:trPr>
        <w:tc>
          <w:tcPr>
            <w:tcW w:w="3118" w:type="dxa"/>
          </w:tcPr>
          <w:p>
            <w:pPr>
              <w:pStyle w:val="nTable"/>
              <w:spacing w:after="40"/>
              <w:ind w:right="113"/>
            </w:pPr>
            <w:r>
              <w:rPr>
                <w:i/>
              </w:rPr>
              <w:t>Water Authority (Charges) Amendment By</w:t>
            </w:r>
            <w:r>
              <w:rPr>
                <w:i/>
              </w:rPr>
              <w:noBreakHyphen/>
              <w:t>laws (No. 2) 1993</w:t>
            </w:r>
          </w:p>
        </w:tc>
        <w:tc>
          <w:tcPr>
            <w:tcW w:w="1276" w:type="dxa"/>
          </w:tcPr>
          <w:p>
            <w:pPr>
              <w:pStyle w:val="nTable"/>
              <w:spacing w:after="40"/>
            </w:pPr>
            <w:r>
              <w:t>1 Jul 1993 p. 3236</w:t>
            </w:r>
            <w:r>
              <w:noBreakHyphen/>
              <w:t>7</w:t>
            </w:r>
          </w:p>
        </w:tc>
        <w:tc>
          <w:tcPr>
            <w:tcW w:w="2693" w:type="dxa"/>
          </w:tcPr>
          <w:p>
            <w:pPr>
              <w:pStyle w:val="nTable"/>
              <w:spacing w:after="40"/>
            </w:pPr>
            <w:r>
              <w:t>1 Jul 1993 (see bl. 2)</w:t>
            </w:r>
          </w:p>
        </w:tc>
      </w:tr>
      <w:tr>
        <w:trPr>
          <w:cantSplit/>
        </w:trPr>
        <w:tc>
          <w:tcPr>
            <w:tcW w:w="3118" w:type="dxa"/>
          </w:tcPr>
          <w:p>
            <w:pPr>
              <w:pStyle w:val="nTable"/>
              <w:spacing w:after="40"/>
              <w:ind w:right="113"/>
            </w:pPr>
            <w:r>
              <w:rPr>
                <w:i/>
              </w:rPr>
              <w:t>Water Authority (Charges) Amendment By</w:t>
            </w:r>
            <w:r>
              <w:rPr>
                <w:i/>
              </w:rPr>
              <w:noBreakHyphen/>
              <w:t>laws (No. 3) 1993</w:t>
            </w:r>
          </w:p>
        </w:tc>
        <w:tc>
          <w:tcPr>
            <w:tcW w:w="1276" w:type="dxa"/>
          </w:tcPr>
          <w:p>
            <w:pPr>
              <w:pStyle w:val="nTable"/>
              <w:spacing w:after="40"/>
            </w:pPr>
            <w:r>
              <w:t>27 Jul 1993 p. 4096</w:t>
            </w:r>
            <w:r>
              <w:noBreakHyphen/>
              <w:t>7</w:t>
            </w:r>
          </w:p>
        </w:tc>
        <w:tc>
          <w:tcPr>
            <w:tcW w:w="2693" w:type="dxa"/>
          </w:tcPr>
          <w:p>
            <w:pPr>
              <w:pStyle w:val="nTable"/>
              <w:spacing w:after="40"/>
            </w:pPr>
            <w:r>
              <w:t>27 Jul 1993</w:t>
            </w:r>
          </w:p>
        </w:tc>
      </w:tr>
      <w:tr>
        <w:trPr>
          <w:cantSplit/>
        </w:trPr>
        <w:tc>
          <w:tcPr>
            <w:tcW w:w="3118" w:type="dxa"/>
          </w:tcPr>
          <w:p>
            <w:pPr>
              <w:pStyle w:val="nTable"/>
              <w:spacing w:after="40"/>
              <w:ind w:right="113"/>
            </w:pPr>
            <w:r>
              <w:rPr>
                <w:i/>
              </w:rPr>
              <w:t>Water Authority (Charges) Amendment By</w:t>
            </w:r>
            <w:r>
              <w:rPr>
                <w:i/>
              </w:rPr>
              <w:noBreakHyphen/>
              <w:t>laws (No. 4) 1993</w:t>
            </w:r>
          </w:p>
        </w:tc>
        <w:tc>
          <w:tcPr>
            <w:tcW w:w="1276" w:type="dxa"/>
          </w:tcPr>
          <w:p>
            <w:pPr>
              <w:pStyle w:val="nTable"/>
              <w:spacing w:after="40"/>
            </w:pPr>
            <w:r>
              <w:t>28 Sep 1993 p. 5328</w:t>
            </w:r>
          </w:p>
        </w:tc>
        <w:tc>
          <w:tcPr>
            <w:tcW w:w="2693" w:type="dxa"/>
          </w:tcPr>
          <w:p>
            <w:pPr>
              <w:pStyle w:val="nTable"/>
              <w:spacing w:after="40"/>
            </w:pPr>
            <w:r>
              <w:t>28 Sep 1993</w:t>
            </w:r>
          </w:p>
        </w:tc>
      </w:tr>
      <w:tr>
        <w:trPr>
          <w:cantSplit/>
        </w:trPr>
        <w:tc>
          <w:tcPr>
            <w:tcW w:w="3118" w:type="dxa"/>
          </w:tcPr>
          <w:p>
            <w:pPr>
              <w:pStyle w:val="nTable"/>
              <w:spacing w:after="40"/>
              <w:ind w:right="113"/>
            </w:pPr>
            <w:r>
              <w:rPr>
                <w:i/>
              </w:rPr>
              <w:t>Water Authority (Charges) Amendment By</w:t>
            </w:r>
            <w:r>
              <w:rPr>
                <w:i/>
              </w:rPr>
              <w:noBreakHyphen/>
              <w:t>laws 1994</w:t>
            </w:r>
          </w:p>
        </w:tc>
        <w:tc>
          <w:tcPr>
            <w:tcW w:w="1276" w:type="dxa"/>
          </w:tcPr>
          <w:p>
            <w:pPr>
              <w:pStyle w:val="nTable"/>
              <w:spacing w:after="40"/>
            </w:pPr>
            <w:r>
              <w:t>4 Mar 1994 p. 900</w:t>
            </w:r>
            <w:r>
              <w:noBreakHyphen/>
              <w:t>1</w:t>
            </w:r>
          </w:p>
        </w:tc>
        <w:tc>
          <w:tcPr>
            <w:tcW w:w="2693" w:type="dxa"/>
          </w:tcPr>
          <w:p>
            <w:pPr>
              <w:pStyle w:val="nTable"/>
              <w:spacing w:after="40"/>
            </w:pPr>
            <w:r>
              <w:t>4 Mar 1994</w:t>
            </w:r>
          </w:p>
        </w:tc>
      </w:tr>
      <w:tr>
        <w:trPr>
          <w:cantSplit/>
        </w:trPr>
        <w:tc>
          <w:tcPr>
            <w:tcW w:w="3118" w:type="dxa"/>
          </w:tcPr>
          <w:p>
            <w:pPr>
              <w:pStyle w:val="nTable"/>
              <w:spacing w:after="40"/>
              <w:ind w:right="113"/>
            </w:pPr>
            <w:r>
              <w:rPr>
                <w:i/>
              </w:rPr>
              <w:t>Water Authority (Charges) Amendment By</w:t>
            </w:r>
            <w:r>
              <w:rPr>
                <w:i/>
              </w:rPr>
              <w:noBreakHyphen/>
              <w:t>laws (No. 2) 1994</w:t>
            </w:r>
          </w:p>
        </w:tc>
        <w:tc>
          <w:tcPr>
            <w:tcW w:w="1276" w:type="dxa"/>
          </w:tcPr>
          <w:p>
            <w:pPr>
              <w:pStyle w:val="nTable"/>
              <w:spacing w:after="40"/>
            </w:pPr>
            <w:r>
              <w:t>4 Mar 1994 p. 901</w:t>
            </w:r>
          </w:p>
        </w:tc>
        <w:tc>
          <w:tcPr>
            <w:tcW w:w="2693" w:type="dxa"/>
          </w:tcPr>
          <w:p>
            <w:pPr>
              <w:pStyle w:val="nTable"/>
              <w:spacing w:after="40"/>
            </w:pPr>
            <w:r>
              <w:t>4 Mar 1994</w:t>
            </w:r>
          </w:p>
        </w:tc>
      </w:tr>
      <w:tr>
        <w:trPr>
          <w:cantSplit/>
        </w:trPr>
        <w:tc>
          <w:tcPr>
            <w:tcW w:w="3118" w:type="dxa"/>
          </w:tcPr>
          <w:p>
            <w:pPr>
              <w:pStyle w:val="nTable"/>
              <w:spacing w:after="40"/>
              <w:ind w:right="113"/>
            </w:pPr>
            <w:r>
              <w:rPr>
                <w:i/>
              </w:rPr>
              <w:t>Water Authority (Charges) Amendment By</w:t>
            </w:r>
            <w:r>
              <w:rPr>
                <w:i/>
              </w:rPr>
              <w:noBreakHyphen/>
              <w:t>laws (No. 3) 1994</w:t>
            </w:r>
          </w:p>
        </w:tc>
        <w:tc>
          <w:tcPr>
            <w:tcW w:w="1276" w:type="dxa"/>
          </w:tcPr>
          <w:p>
            <w:pPr>
              <w:pStyle w:val="nTable"/>
              <w:spacing w:after="40"/>
            </w:pPr>
            <w:r>
              <w:t>4 Mar 1994 p. 902</w:t>
            </w:r>
            <w:r>
              <w:noBreakHyphen/>
              <w:t>3</w:t>
            </w:r>
          </w:p>
        </w:tc>
        <w:tc>
          <w:tcPr>
            <w:tcW w:w="2693" w:type="dxa"/>
          </w:tcPr>
          <w:p>
            <w:pPr>
              <w:pStyle w:val="nTable"/>
              <w:spacing w:after="40"/>
            </w:pPr>
            <w:r>
              <w:t>1 Jul 1994 (see bl. 2)</w:t>
            </w:r>
          </w:p>
        </w:tc>
      </w:tr>
      <w:tr>
        <w:trPr>
          <w:cantSplit/>
        </w:trPr>
        <w:tc>
          <w:tcPr>
            <w:tcW w:w="3118" w:type="dxa"/>
          </w:tcPr>
          <w:p>
            <w:pPr>
              <w:pStyle w:val="nTable"/>
              <w:spacing w:after="40"/>
              <w:ind w:right="113"/>
            </w:pPr>
            <w:r>
              <w:rPr>
                <w:i/>
              </w:rPr>
              <w:t>Water Authority (Charges) Amendment By</w:t>
            </w:r>
            <w:r>
              <w:rPr>
                <w:i/>
              </w:rPr>
              <w:noBreakHyphen/>
              <w:t>laws (No. 6) 1994</w:t>
            </w:r>
          </w:p>
        </w:tc>
        <w:tc>
          <w:tcPr>
            <w:tcW w:w="1276" w:type="dxa"/>
          </w:tcPr>
          <w:p>
            <w:pPr>
              <w:pStyle w:val="nTable"/>
              <w:spacing w:after="40"/>
            </w:pPr>
            <w:r>
              <w:t>4 Mar 1994 p. 904</w:t>
            </w:r>
          </w:p>
        </w:tc>
        <w:tc>
          <w:tcPr>
            <w:tcW w:w="2693" w:type="dxa"/>
          </w:tcPr>
          <w:p>
            <w:pPr>
              <w:pStyle w:val="nTable"/>
              <w:spacing w:after="40"/>
            </w:pPr>
            <w:r>
              <w:t>4 Mar 1994</w:t>
            </w:r>
          </w:p>
        </w:tc>
      </w:tr>
      <w:tr>
        <w:trPr>
          <w:cantSplit/>
        </w:trPr>
        <w:tc>
          <w:tcPr>
            <w:tcW w:w="3118" w:type="dxa"/>
          </w:tcPr>
          <w:p>
            <w:pPr>
              <w:pStyle w:val="nTable"/>
              <w:spacing w:after="40"/>
              <w:ind w:right="113"/>
            </w:pPr>
            <w:r>
              <w:rPr>
                <w:i/>
              </w:rPr>
              <w:t>Water Authority (Charges) Amendment By</w:t>
            </w:r>
            <w:r>
              <w:rPr>
                <w:i/>
              </w:rPr>
              <w:noBreakHyphen/>
              <w:t>laws (No. 7) 1994</w:t>
            </w:r>
          </w:p>
        </w:tc>
        <w:tc>
          <w:tcPr>
            <w:tcW w:w="1276" w:type="dxa"/>
          </w:tcPr>
          <w:p>
            <w:pPr>
              <w:pStyle w:val="nTable"/>
              <w:spacing w:after="40"/>
            </w:pPr>
            <w:r>
              <w:t>6 May 1994 p. 1934</w:t>
            </w:r>
          </w:p>
        </w:tc>
        <w:tc>
          <w:tcPr>
            <w:tcW w:w="2693" w:type="dxa"/>
          </w:tcPr>
          <w:p>
            <w:pPr>
              <w:pStyle w:val="nTable"/>
              <w:spacing w:after="40"/>
            </w:pPr>
            <w:r>
              <w:t>6 May 1994</w:t>
            </w:r>
          </w:p>
        </w:tc>
      </w:tr>
      <w:tr>
        <w:trPr>
          <w:cantSplit/>
        </w:trPr>
        <w:tc>
          <w:tcPr>
            <w:tcW w:w="3118" w:type="dxa"/>
          </w:tcPr>
          <w:p>
            <w:pPr>
              <w:pStyle w:val="nTable"/>
              <w:spacing w:after="40"/>
              <w:ind w:right="113"/>
            </w:pPr>
            <w:r>
              <w:rPr>
                <w:i/>
              </w:rPr>
              <w:t>Water Authority (Charges) Amendment By</w:t>
            </w:r>
            <w:r>
              <w:rPr>
                <w:i/>
              </w:rPr>
              <w:noBreakHyphen/>
              <w:t>laws (No. 8) 1994</w:t>
            </w:r>
          </w:p>
        </w:tc>
        <w:tc>
          <w:tcPr>
            <w:tcW w:w="1276" w:type="dxa"/>
          </w:tcPr>
          <w:p>
            <w:pPr>
              <w:pStyle w:val="nTable"/>
              <w:spacing w:after="40"/>
            </w:pPr>
            <w:r>
              <w:t>29 Jun 1994 p. 3171</w:t>
            </w:r>
            <w:r>
              <w:noBreakHyphen/>
              <w:t>200</w:t>
            </w:r>
          </w:p>
        </w:tc>
        <w:tc>
          <w:tcPr>
            <w:tcW w:w="2693" w:type="dxa"/>
          </w:tcPr>
          <w:p>
            <w:pPr>
              <w:pStyle w:val="nTable"/>
              <w:spacing w:after="40"/>
            </w:pPr>
            <w:r>
              <w:t>1 Jul 1994 (see bl. 2)</w:t>
            </w:r>
          </w:p>
        </w:tc>
      </w:tr>
      <w:tr>
        <w:trPr>
          <w:cantSplit/>
        </w:trPr>
        <w:tc>
          <w:tcPr>
            <w:tcW w:w="3118" w:type="dxa"/>
          </w:tcPr>
          <w:p>
            <w:pPr>
              <w:pStyle w:val="nTable"/>
              <w:spacing w:after="40"/>
              <w:ind w:right="113"/>
            </w:pPr>
            <w:r>
              <w:rPr>
                <w:i/>
              </w:rPr>
              <w:t>Water Authority (Charges) Amendment By</w:t>
            </w:r>
            <w:r>
              <w:rPr>
                <w:i/>
              </w:rPr>
              <w:noBreakHyphen/>
              <w:t>laws (No. 9) 1994</w:t>
            </w:r>
          </w:p>
        </w:tc>
        <w:tc>
          <w:tcPr>
            <w:tcW w:w="1276" w:type="dxa"/>
          </w:tcPr>
          <w:p>
            <w:pPr>
              <w:pStyle w:val="nTable"/>
              <w:spacing w:after="40"/>
            </w:pPr>
            <w:r>
              <w:t>16 Sep 1994 p. 4806</w:t>
            </w:r>
            <w:r>
              <w:noBreakHyphen/>
              <w:t>7</w:t>
            </w:r>
          </w:p>
        </w:tc>
        <w:tc>
          <w:tcPr>
            <w:tcW w:w="2693" w:type="dxa"/>
          </w:tcPr>
          <w:p>
            <w:pPr>
              <w:pStyle w:val="nTable"/>
              <w:spacing w:after="40"/>
            </w:pPr>
            <w:r>
              <w:t>16 Sep 1994</w:t>
            </w:r>
          </w:p>
        </w:tc>
      </w:tr>
      <w:tr>
        <w:trPr>
          <w:cantSplit/>
        </w:trPr>
        <w:tc>
          <w:tcPr>
            <w:tcW w:w="3118" w:type="dxa"/>
          </w:tcPr>
          <w:p>
            <w:pPr>
              <w:pStyle w:val="nTable"/>
              <w:spacing w:after="40"/>
              <w:ind w:right="113"/>
            </w:pPr>
            <w:r>
              <w:rPr>
                <w:i/>
              </w:rPr>
              <w:t>Water Authority (Charges) Amendment By</w:t>
            </w:r>
            <w:r>
              <w:rPr>
                <w:i/>
              </w:rPr>
              <w:noBreakHyphen/>
              <w:t>laws (No. 10) 1994</w:t>
            </w:r>
          </w:p>
        </w:tc>
        <w:tc>
          <w:tcPr>
            <w:tcW w:w="1276" w:type="dxa"/>
          </w:tcPr>
          <w:p>
            <w:pPr>
              <w:pStyle w:val="nTable"/>
              <w:spacing w:after="40"/>
            </w:pPr>
            <w:r>
              <w:t>28 Oct 1994 p. 5556</w:t>
            </w:r>
            <w:r>
              <w:noBreakHyphen/>
              <w:t>7</w:t>
            </w:r>
          </w:p>
        </w:tc>
        <w:tc>
          <w:tcPr>
            <w:tcW w:w="2693" w:type="dxa"/>
          </w:tcPr>
          <w:p>
            <w:pPr>
              <w:pStyle w:val="nTable"/>
              <w:spacing w:after="40"/>
            </w:pPr>
            <w:r>
              <w:t>28 Oct 1994</w:t>
            </w:r>
          </w:p>
        </w:tc>
      </w:tr>
      <w:tr>
        <w:trPr>
          <w:cantSplit/>
        </w:trPr>
        <w:tc>
          <w:tcPr>
            <w:tcW w:w="3118" w:type="dxa"/>
          </w:tcPr>
          <w:p>
            <w:pPr>
              <w:pStyle w:val="nTable"/>
              <w:spacing w:after="40"/>
              <w:ind w:right="113"/>
            </w:pPr>
            <w:r>
              <w:rPr>
                <w:i/>
              </w:rPr>
              <w:t>Water Authority (Charges) Amendment By</w:t>
            </w:r>
            <w:r>
              <w:rPr>
                <w:i/>
              </w:rPr>
              <w:noBreakHyphen/>
              <w:t>laws (No. 11) 1994</w:t>
            </w:r>
          </w:p>
        </w:tc>
        <w:tc>
          <w:tcPr>
            <w:tcW w:w="1276" w:type="dxa"/>
          </w:tcPr>
          <w:p>
            <w:pPr>
              <w:pStyle w:val="nTable"/>
              <w:spacing w:after="40"/>
            </w:pPr>
            <w:r>
              <w:t>30 Dec 1994 p. 7351</w:t>
            </w:r>
            <w:r>
              <w:noBreakHyphen/>
              <w:t>3</w:t>
            </w:r>
          </w:p>
        </w:tc>
        <w:tc>
          <w:tcPr>
            <w:tcW w:w="2693" w:type="dxa"/>
          </w:tcPr>
          <w:p>
            <w:pPr>
              <w:pStyle w:val="nTable"/>
              <w:spacing w:after="40"/>
            </w:pPr>
            <w:r>
              <w:t>30 Dec 1994</w:t>
            </w:r>
          </w:p>
        </w:tc>
      </w:tr>
      <w:tr>
        <w:trPr>
          <w:cantSplit/>
        </w:trPr>
        <w:tc>
          <w:tcPr>
            <w:tcW w:w="3118" w:type="dxa"/>
          </w:tcPr>
          <w:p>
            <w:pPr>
              <w:pStyle w:val="nTable"/>
              <w:spacing w:after="40"/>
              <w:ind w:right="113"/>
            </w:pPr>
            <w:r>
              <w:rPr>
                <w:i/>
              </w:rPr>
              <w:t>Water Authority (Charges) Amendment By</w:t>
            </w:r>
            <w:r>
              <w:rPr>
                <w:i/>
              </w:rPr>
              <w:noBreakHyphen/>
              <w:t>Laws 1995</w:t>
            </w:r>
          </w:p>
        </w:tc>
        <w:tc>
          <w:tcPr>
            <w:tcW w:w="1276" w:type="dxa"/>
          </w:tcPr>
          <w:p>
            <w:pPr>
              <w:pStyle w:val="nTable"/>
              <w:spacing w:after="40"/>
            </w:pPr>
            <w:r>
              <w:t>2 Jun 1995 p. 2215</w:t>
            </w:r>
          </w:p>
        </w:tc>
        <w:tc>
          <w:tcPr>
            <w:tcW w:w="2693" w:type="dxa"/>
          </w:tcPr>
          <w:p>
            <w:pPr>
              <w:pStyle w:val="nTable"/>
              <w:spacing w:after="40"/>
            </w:pPr>
            <w:r>
              <w:t>2 Jun 1995</w:t>
            </w:r>
          </w:p>
        </w:tc>
      </w:tr>
      <w:tr>
        <w:trPr>
          <w:cantSplit/>
        </w:trPr>
        <w:tc>
          <w:tcPr>
            <w:tcW w:w="3118" w:type="dxa"/>
          </w:tcPr>
          <w:p>
            <w:pPr>
              <w:pStyle w:val="nTable"/>
              <w:spacing w:after="40"/>
              <w:ind w:right="113"/>
            </w:pPr>
            <w:r>
              <w:rPr>
                <w:i/>
              </w:rPr>
              <w:t>Water Authority (Charges) Amendment By</w:t>
            </w:r>
            <w:r>
              <w:rPr>
                <w:i/>
              </w:rPr>
              <w:noBreakHyphen/>
              <w:t>laws (No. 2) 1995</w:t>
            </w:r>
          </w:p>
        </w:tc>
        <w:tc>
          <w:tcPr>
            <w:tcW w:w="1276" w:type="dxa"/>
          </w:tcPr>
          <w:p>
            <w:pPr>
              <w:pStyle w:val="nTable"/>
              <w:spacing w:after="40"/>
            </w:pPr>
            <w:r>
              <w:t>30 Jun 1995 p. 2735</w:t>
            </w:r>
            <w:r>
              <w:noBreakHyphen/>
              <w:t>66</w:t>
            </w:r>
          </w:p>
        </w:tc>
        <w:tc>
          <w:tcPr>
            <w:tcW w:w="2693" w:type="dxa"/>
          </w:tcPr>
          <w:p>
            <w:pPr>
              <w:pStyle w:val="nTable"/>
              <w:spacing w:after="40"/>
            </w:pPr>
            <w:r>
              <w:t>1 Jul 1995 (see bl. 2)</w:t>
            </w:r>
          </w:p>
        </w:tc>
      </w:tr>
      <w:tr>
        <w:trPr>
          <w:cantSplit/>
        </w:trPr>
        <w:tc>
          <w:tcPr>
            <w:tcW w:w="3118" w:type="dxa"/>
          </w:tcPr>
          <w:p>
            <w:pPr>
              <w:pStyle w:val="nTable"/>
              <w:spacing w:after="40"/>
              <w:ind w:right="113"/>
            </w:pPr>
            <w:r>
              <w:rPr>
                <w:i/>
              </w:rPr>
              <w:t>Water Authority (Charges) Amendment By</w:t>
            </w:r>
            <w:r>
              <w:rPr>
                <w:i/>
              </w:rPr>
              <w:noBreakHyphen/>
              <w:t>laws (No. 3) 1995</w:t>
            </w:r>
          </w:p>
        </w:tc>
        <w:tc>
          <w:tcPr>
            <w:tcW w:w="1276" w:type="dxa"/>
          </w:tcPr>
          <w:p>
            <w:pPr>
              <w:pStyle w:val="nTable"/>
              <w:spacing w:after="40"/>
            </w:pPr>
            <w:r>
              <w:t>17 Nov 1995 p. 5344</w:t>
            </w:r>
            <w:r>
              <w:noBreakHyphen/>
              <w:t>5</w:t>
            </w:r>
          </w:p>
        </w:tc>
        <w:tc>
          <w:tcPr>
            <w:tcW w:w="2693" w:type="dxa"/>
          </w:tcPr>
          <w:p>
            <w:pPr>
              <w:pStyle w:val="nTable"/>
              <w:spacing w:after="40"/>
            </w:pPr>
            <w:r>
              <w:t>17 Nov 1995</w:t>
            </w:r>
          </w:p>
        </w:tc>
      </w:tr>
      <w:tr>
        <w:trPr>
          <w:cantSplit/>
        </w:trPr>
        <w:tc>
          <w:tcPr>
            <w:tcW w:w="3118" w:type="dxa"/>
          </w:tcPr>
          <w:p>
            <w:pPr>
              <w:pStyle w:val="nTable"/>
              <w:spacing w:after="40"/>
              <w:ind w:right="113"/>
            </w:pPr>
            <w:r>
              <w:rPr>
                <w:i/>
              </w:rPr>
              <w:t>Water Authority (Charges) Amendment By</w:t>
            </w:r>
            <w:r>
              <w:rPr>
                <w:i/>
              </w:rPr>
              <w:noBreakHyphen/>
              <w:t>laws (No. 4) 1995</w:t>
            </w:r>
          </w:p>
        </w:tc>
        <w:tc>
          <w:tcPr>
            <w:tcW w:w="1276" w:type="dxa"/>
          </w:tcPr>
          <w:p>
            <w:pPr>
              <w:pStyle w:val="nTable"/>
              <w:spacing w:after="40"/>
            </w:pPr>
            <w:r>
              <w:t>17 Nov 1995 p. 5345</w:t>
            </w:r>
            <w:r>
              <w:noBreakHyphen/>
              <w:t>6</w:t>
            </w:r>
          </w:p>
        </w:tc>
        <w:tc>
          <w:tcPr>
            <w:tcW w:w="2693" w:type="dxa"/>
          </w:tcPr>
          <w:p>
            <w:pPr>
              <w:pStyle w:val="nTable"/>
              <w:spacing w:after="40"/>
            </w:pPr>
            <w:r>
              <w:t>17 Nov 1995</w:t>
            </w:r>
          </w:p>
        </w:tc>
      </w:tr>
      <w:tr>
        <w:trPr>
          <w:cantSplit/>
        </w:trPr>
        <w:tc>
          <w:tcPr>
            <w:tcW w:w="3118" w:type="dxa"/>
          </w:tcPr>
          <w:p>
            <w:pPr>
              <w:pStyle w:val="nTable"/>
              <w:spacing w:after="40"/>
              <w:ind w:right="113"/>
            </w:pPr>
            <w:r>
              <w:rPr>
                <w:i/>
              </w:rPr>
              <w:t>Water Authority (Charges) Amendment By</w:t>
            </w:r>
            <w:r>
              <w:rPr>
                <w:i/>
              </w:rPr>
              <w:noBreakHyphen/>
              <w:t>laws (No. 5) 1995</w:t>
            </w:r>
          </w:p>
        </w:tc>
        <w:tc>
          <w:tcPr>
            <w:tcW w:w="1276" w:type="dxa"/>
          </w:tcPr>
          <w:p>
            <w:pPr>
              <w:pStyle w:val="nTable"/>
              <w:spacing w:after="40"/>
            </w:pPr>
            <w:r>
              <w:t>17 Nov 1995 p. 5346</w:t>
            </w:r>
          </w:p>
        </w:tc>
        <w:tc>
          <w:tcPr>
            <w:tcW w:w="2693" w:type="dxa"/>
          </w:tcPr>
          <w:p>
            <w:pPr>
              <w:pStyle w:val="nTable"/>
              <w:spacing w:after="40"/>
            </w:pPr>
            <w:r>
              <w:t>17 Nov 1995</w:t>
            </w:r>
          </w:p>
        </w:tc>
      </w:tr>
      <w:tr>
        <w:trPr>
          <w:cantSplit/>
        </w:trPr>
        <w:tc>
          <w:tcPr>
            <w:tcW w:w="3118" w:type="dxa"/>
          </w:tcPr>
          <w:p>
            <w:pPr>
              <w:pStyle w:val="nTable"/>
              <w:spacing w:after="40"/>
              <w:ind w:right="113"/>
              <w:rPr>
                <w:i/>
              </w:rPr>
            </w:pPr>
            <w:r>
              <w:rPr>
                <w:i/>
              </w:rPr>
              <w:t>Water Agencies (Amendment and Repeal) By</w:t>
            </w:r>
            <w:r>
              <w:rPr>
                <w:i/>
              </w:rPr>
              <w:noBreakHyphen/>
              <w:t xml:space="preserve">laws 1995 </w:t>
            </w:r>
            <w:r>
              <w:t>Pt. 11</w:t>
            </w:r>
          </w:p>
        </w:tc>
        <w:tc>
          <w:tcPr>
            <w:tcW w:w="1276" w:type="dxa"/>
          </w:tcPr>
          <w:p>
            <w:pPr>
              <w:pStyle w:val="nTable"/>
              <w:spacing w:after="40"/>
              <w:ind w:right="113"/>
            </w:pPr>
            <w:r>
              <w:t>29 Dec 1995 p. 6305-32</w:t>
            </w:r>
          </w:p>
        </w:tc>
        <w:tc>
          <w:tcPr>
            <w:tcW w:w="2693" w:type="dxa"/>
          </w:tcPr>
          <w:p>
            <w:pPr>
              <w:pStyle w:val="nTable"/>
              <w:spacing w:after="40"/>
              <w:ind w:right="113"/>
            </w:pPr>
            <w:r>
              <w:t xml:space="preserve">1 Jan 1996 (see bl. 2 and </w:t>
            </w:r>
            <w:r>
              <w:rPr>
                <w:i/>
              </w:rPr>
              <w:t>Gazette</w:t>
            </w:r>
            <w:r>
              <w:t xml:space="preserve"> 29 Dec 1995 p. 6291)</w:t>
            </w:r>
          </w:p>
        </w:tc>
      </w:tr>
      <w:tr>
        <w:trPr>
          <w:cantSplit/>
        </w:trPr>
        <w:tc>
          <w:tcPr>
            <w:tcW w:w="3118" w:type="dxa"/>
          </w:tcPr>
          <w:p>
            <w:pPr>
              <w:pStyle w:val="nTable"/>
              <w:spacing w:after="40"/>
              <w:ind w:right="113"/>
            </w:pPr>
            <w:r>
              <w:rPr>
                <w:i/>
              </w:rPr>
              <w:t>Water Agencies (Charges) Amendment By</w:t>
            </w:r>
            <w:r>
              <w:rPr>
                <w:i/>
              </w:rPr>
              <w:noBreakHyphen/>
              <w:t>laws 1996</w:t>
            </w:r>
          </w:p>
        </w:tc>
        <w:tc>
          <w:tcPr>
            <w:tcW w:w="1276" w:type="dxa"/>
          </w:tcPr>
          <w:p>
            <w:pPr>
              <w:pStyle w:val="nTable"/>
              <w:spacing w:after="40"/>
            </w:pPr>
            <w:r>
              <w:t>21 May 1996 p. 2139</w:t>
            </w:r>
          </w:p>
        </w:tc>
        <w:tc>
          <w:tcPr>
            <w:tcW w:w="2693" w:type="dxa"/>
          </w:tcPr>
          <w:p>
            <w:pPr>
              <w:pStyle w:val="nTable"/>
              <w:spacing w:after="40"/>
            </w:pPr>
            <w:r>
              <w:t xml:space="preserve">21 May 1996 (see bl. 2 and </w:t>
            </w:r>
            <w:r>
              <w:rPr>
                <w:i/>
              </w:rPr>
              <w:t>Gazette</w:t>
            </w:r>
            <w:r>
              <w:t xml:space="preserve"> 21 May 1996 p. 2140)</w:t>
            </w:r>
          </w:p>
        </w:tc>
      </w:tr>
      <w:tr>
        <w:trPr>
          <w:cantSplit/>
        </w:trPr>
        <w:tc>
          <w:tcPr>
            <w:tcW w:w="3118" w:type="dxa"/>
          </w:tcPr>
          <w:p>
            <w:pPr>
              <w:pStyle w:val="nTable"/>
              <w:keepNext/>
              <w:spacing w:after="40"/>
              <w:ind w:right="113"/>
            </w:pPr>
            <w:r>
              <w:rPr>
                <w:i/>
              </w:rPr>
              <w:t>Water Agencies (Charges) Amendment By</w:t>
            </w:r>
            <w:r>
              <w:rPr>
                <w:i/>
              </w:rPr>
              <w:noBreakHyphen/>
              <w:t>laws (No. 2) 1996</w:t>
            </w:r>
          </w:p>
        </w:tc>
        <w:tc>
          <w:tcPr>
            <w:tcW w:w="1276" w:type="dxa"/>
          </w:tcPr>
          <w:p>
            <w:pPr>
              <w:pStyle w:val="nTable"/>
              <w:keepNext/>
              <w:spacing w:after="40"/>
            </w:pPr>
            <w:r>
              <w:t>28 Jun 1996 p. 3103</w:t>
            </w:r>
            <w:r>
              <w:noBreakHyphen/>
              <w:t>30</w:t>
            </w:r>
            <w:r>
              <w:br/>
              <w:t>(correction 9 Jul 1996 p. 3281)</w:t>
            </w:r>
          </w:p>
        </w:tc>
        <w:tc>
          <w:tcPr>
            <w:tcW w:w="2693" w:type="dxa"/>
          </w:tcPr>
          <w:p>
            <w:pPr>
              <w:pStyle w:val="nTable"/>
              <w:keepNext/>
              <w:spacing w:after="40"/>
            </w:pPr>
            <w:r>
              <w:t>1 Jul 1996 (see bl. 2)</w:t>
            </w:r>
          </w:p>
        </w:tc>
      </w:tr>
      <w:tr>
        <w:trPr>
          <w:cantSplit/>
        </w:trPr>
        <w:tc>
          <w:tcPr>
            <w:tcW w:w="3118" w:type="dxa"/>
          </w:tcPr>
          <w:p>
            <w:pPr>
              <w:pStyle w:val="nTable"/>
              <w:spacing w:after="40"/>
              <w:ind w:right="113"/>
            </w:pPr>
            <w:r>
              <w:rPr>
                <w:i/>
              </w:rPr>
              <w:t>Water Agencies (Charges) Amendment By</w:t>
            </w:r>
            <w:r>
              <w:rPr>
                <w:i/>
              </w:rPr>
              <w:noBreakHyphen/>
              <w:t>laws (No. 3) 1996</w:t>
            </w:r>
          </w:p>
        </w:tc>
        <w:tc>
          <w:tcPr>
            <w:tcW w:w="1276" w:type="dxa"/>
          </w:tcPr>
          <w:p>
            <w:pPr>
              <w:pStyle w:val="nTable"/>
              <w:spacing w:after="40"/>
            </w:pPr>
            <w:r>
              <w:t>5 Jul 1996 p. 3255</w:t>
            </w:r>
          </w:p>
        </w:tc>
        <w:tc>
          <w:tcPr>
            <w:tcW w:w="2693" w:type="dxa"/>
          </w:tcPr>
          <w:p>
            <w:pPr>
              <w:pStyle w:val="nTable"/>
              <w:spacing w:after="40"/>
            </w:pPr>
            <w:r>
              <w:t>5 Jul 1996</w:t>
            </w:r>
          </w:p>
        </w:tc>
      </w:tr>
      <w:tr>
        <w:trPr>
          <w:cantSplit/>
        </w:trPr>
        <w:tc>
          <w:tcPr>
            <w:tcW w:w="3118" w:type="dxa"/>
          </w:tcPr>
          <w:p>
            <w:pPr>
              <w:pStyle w:val="nTable"/>
              <w:spacing w:after="40"/>
              <w:ind w:right="113"/>
            </w:pPr>
            <w:r>
              <w:rPr>
                <w:i/>
              </w:rPr>
              <w:t>Water Agencies (Charges) Amendment By</w:t>
            </w:r>
            <w:r>
              <w:rPr>
                <w:i/>
              </w:rPr>
              <w:noBreakHyphen/>
              <w:t>laws (No. 4) 1996</w:t>
            </w:r>
          </w:p>
        </w:tc>
        <w:tc>
          <w:tcPr>
            <w:tcW w:w="1276" w:type="dxa"/>
          </w:tcPr>
          <w:p>
            <w:pPr>
              <w:pStyle w:val="nTable"/>
              <w:spacing w:after="40"/>
            </w:pPr>
            <w:r>
              <w:t>19 Jul 1996 p. 3489</w:t>
            </w:r>
            <w:r>
              <w:noBreakHyphen/>
              <w:t>90</w:t>
            </w:r>
          </w:p>
        </w:tc>
        <w:tc>
          <w:tcPr>
            <w:tcW w:w="2693" w:type="dxa"/>
          </w:tcPr>
          <w:p>
            <w:pPr>
              <w:pStyle w:val="nTable"/>
              <w:spacing w:after="40"/>
            </w:pPr>
            <w:r>
              <w:t>19 Jul 1996</w:t>
            </w:r>
          </w:p>
        </w:tc>
      </w:tr>
      <w:tr>
        <w:trPr>
          <w:cantSplit/>
        </w:trPr>
        <w:tc>
          <w:tcPr>
            <w:tcW w:w="3118" w:type="dxa"/>
          </w:tcPr>
          <w:p>
            <w:pPr>
              <w:pStyle w:val="nTable"/>
              <w:spacing w:after="40"/>
              <w:ind w:right="113"/>
            </w:pPr>
            <w:r>
              <w:rPr>
                <w:i/>
              </w:rPr>
              <w:t>Water Agencies (Charges) Amendment By</w:t>
            </w:r>
            <w:r>
              <w:rPr>
                <w:i/>
              </w:rPr>
              <w:noBreakHyphen/>
              <w:t>laws (No. 5) 1996</w:t>
            </w:r>
          </w:p>
        </w:tc>
        <w:tc>
          <w:tcPr>
            <w:tcW w:w="1276" w:type="dxa"/>
          </w:tcPr>
          <w:p>
            <w:pPr>
              <w:pStyle w:val="nTable"/>
              <w:spacing w:after="40"/>
            </w:pPr>
            <w:r>
              <w:t>23 Aug 1996 p. 4128</w:t>
            </w:r>
            <w:r>
              <w:noBreakHyphen/>
              <w:t>9</w:t>
            </w:r>
          </w:p>
        </w:tc>
        <w:tc>
          <w:tcPr>
            <w:tcW w:w="2693" w:type="dxa"/>
          </w:tcPr>
          <w:p>
            <w:pPr>
              <w:pStyle w:val="nTable"/>
              <w:spacing w:after="40"/>
            </w:pPr>
            <w:r>
              <w:t>23 Aug 1996</w:t>
            </w:r>
          </w:p>
        </w:tc>
      </w:tr>
      <w:tr>
        <w:trPr>
          <w:cantSplit/>
        </w:trPr>
        <w:tc>
          <w:tcPr>
            <w:tcW w:w="3118" w:type="dxa"/>
          </w:tcPr>
          <w:p>
            <w:pPr>
              <w:pStyle w:val="nTable"/>
              <w:spacing w:after="40"/>
              <w:ind w:right="113"/>
            </w:pPr>
            <w:r>
              <w:rPr>
                <w:i/>
              </w:rPr>
              <w:t>Water Agencies (Charges) Amendment By</w:t>
            </w:r>
            <w:r>
              <w:rPr>
                <w:i/>
              </w:rPr>
              <w:noBreakHyphen/>
              <w:t>laws (No. 6) 1996</w:t>
            </w:r>
          </w:p>
        </w:tc>
        <w:tc>
          <w:tcPr>
            <w:tcW w:w="1276" w:type="dxa"/>
          </w:tcPr>
          <w:p>
            <w:pPr>
              <w:pStyle w:val="nTable"/>
              <w:spacing w:after="40"/>
            </w:pPr>
            <w:r>
              <w:t>13 Sep 1996 p. 4606</w:t>
            </w:r>
          </w:p>
        </w:tc>
        <w:tc>
          <w:tcPr>
            <w:tcW w:w="2693" w:type="dxa"/>
          </w:tcPr>
          <w:p>
            <w:pPr>
              <w:pStyle w:val="nTable"/>
              <w:spacing w:after="40"/>
            </w:pPr>
            <w:r>
              <w:t>13 Sep 1996</w:t>
            </w:r>
          </w:p>
        </w:tc>
      </w:tr>
      <w:tr>
        <w:trPr>
          <w:cantSplit/>
        </w:trPr>
        <w:tc>
          <w:tcPr>
            <w:tcW w:w="3118" w:type="dxa"/>
          </w:tcPr>
          <w:p>
            <w:pPr>
              <w:pStyle w:val="nTable"/>
              <w:spacing w:after="40"/>
              <w:ind w:right="113"/>
            </w:pPr>
            <w:r>
              <w:rPr>
                <w:i/>
              </w:rPr>
              <w:t>Water Agencies (Charges) Amendment By</w:t>
            </w:r>
            <w:r>
              <w:rPr>
                <w:i/>
              </w:rPr>
              <w:noBreakHyphen/>
              <w:t>laws (No. 7) 1996</w:t>
            </w:r>
          </w:p>
        </w:tc>
        <w:tc>
          <w:tcPr>
            <w:tcW w:w="1276" w:type="dxa"/>
          </w:tcPr>
          <w:p>
            <w:pPr>
              <w:pStyle w:val="nTable"/>
              <w:spacing w:after="40"/>
            </w:pPr>
            <w:r>
              <w:t>7 Jan 1997 p. 63</w:t>
            </w:r>
          </w:p>
        </w:tc>
        <w:tc>
          <w:tcPr>
            <w:tcW w:w="2693" w:type="dxa"/>
          </w:tcPr>
          <w:p>
            <w:pPr>
              <w:pStyle w:val="nTable"/>
              <w:spacing w:after="40"/>
            </w:pPr>
            <w:r>
              <w:t>7 Jan 1997</w:t>
            </w:r>
          </w:p>
        </w:tc>
      </w:tr>
      <w:tr>
        <w:trPr>
          <w:cantSplit/>
        </w:trPr>
        <w:tc>
          <w:tcPr>
            <w:tcW w:w="3118" w:type="dxa"/>
          </w:tcPr>
          <w:p>
            <w:pPr>
              <w:pStyle w:val="nTable"/>
              <w:spacing w:after="40"/>
              <w:ind w:right="113"/>
            </w:pPr>
            <w:r>
              <w:rPr>
                <w:i/>
              </w:rPr>
              <w:t>Water Agencies (Charges) Amendment By</w:t>
            </w:r>
            <w:r>
              <w:rPr>
                <w:i/>
              </w:rPr>
              <w:noBreakHyphen/>
              <w:t>laws 1997</w:t>
            </w:r>
          </w:p>
        </w:tc>
        <w:tc>
          <w:tcPr>
            <w:tcW w:w="1276" w:type="dxa"/>
          </w:tcPr>
          <w:p>
            <w:pPr>
              <w:pStyle w:val="nTable"/>
              <w:spacing w:after="40"/>
            </w:pPr>
            <w:r>
              <w:t>7 Feb 1997 p. 779</w:t>
            </w:r>
          </w:p>
        </w:tc>
        <w:tc>
          <w:tcPr>
            <w:tcW w:w="2693" w:type="dxa"/>
          </w:tcPr>
          <w:p>
            <w:pPr>
              <w:pStyle w:val="nTable"/>
              <w:spacing w:after="40"/>
            </w:pPr>
            <w:r>
              <w:t>7 Feb 1997</w:t>
            </w:r>
          </w:p>
        </w:tc>
      </w:tr>
      <w:tr>
        <w:trPr>
          <w:cantSplit/>
        </w:trPr>
        <w:tc>
          <w:tcPr>
            <w:tcW w:w="3118" w:type="dxa"/>
          </w:tcPr>
          <w:p>
            <w:pPr>
              <w:pStyle w:val="nTable"/>
              <w:spacing w:after="40"/>
              <w:ind w:right="113"/>
            </w:pPr>
            <w:r>
              <w:rPr>
                <w:i/>
              </w:rPr>
              <w:t>Water Agencies (Charges) Amendment By</w:t>
            </w:r>
            <w:r>
              <w:rPr>
                <w:i/>
              </w:rPr>
              <w:noBreakHyphen/>
              <w:t>laws (No. 2) 1997</w:t>
            </w:r>
          </w:p>
        </w:tc>
        <w:tc>
          <w:tcPr>
            <w:tcW w:w="1276" w:type="dxa"/>
          </w:tcPr>
          <w:p>
            <w:pPr>
              <w:pStyle w:val="nTable"/>
              <w:spacing w:after="40"/>
            </w:pPr>
            <w:r>
              <w:t>13 May 1997 p. 2350</w:t>
            </w:r>
            <w:r>
              <w:noBreakHyphen/>
              <w:t>3</w:t>
            </w:r>
          </w:p>
        </w:tc>
        <w:tc>
          <w:tcPr>
            <w:tcW w:w="2693" w:type="dxa"/>
          </w:tcPr>
          <w:p>
            <w:pPr>
              <w:pStyle w:val="nTable"/>
              <w:spacing w:after="40"/>
            </w:pPr>
            <w:r>
              <w:t>13 May 1997</w:t>
            </w:r>
          </w:p>
        </w:tc>
      </w:tr>
      <w:tr>
        <w:trPr>
          <w:cantSplit/>
        </w:trPr>
        <w:tc>
          <w:tcPr>
            <w:tcW w:w="3118" w:type="dxa"/>
          </w:tcPr>
          <w:p>
            <w:pPr>
              <w:pStyle w:val="nTable"/>
              <w:spacing w:after="40"/>
              <w:ind w:right="113"/>
            </w:pPr>
            <w:r>
              <w:rPr>
                <w:i/>
              </w:rPr>
              <w:t>Water Agencies (Charges) Amendment By</w:t>
            </w:r>
            <w:r>
              <w:rPr>
                <w:i/>
              </w:rPr>
              <w:noBreakHyphen/>
              <w:t>laws (No. 4) 1997</w:t>
            </w:r>
          </w:p>
        </w:tc>
        <w:tc>
          <w:tcPr>
            <w:tcW w:w="1276" w:type="dxa"/>
          </w:tcPr>
          <w:p>
            <w:pPr>
              <w:pStyle w:val="nTable"/>
              <w:spacing w:after="40"/>
            </w:pPr>
            <w:r>
              <w:t>10 Jun 1997 p. 2669</w:t>
            </w:r>
            <w:r>
              <w:noBreakHyphen/>
              <w:t>70</w:t>
            </w:r>
          </w:p>
        </w:tc>
        <w:tc>
          <w:tcPr>
            <w:tcW w:w="2693" w:type="dxa"/>
          </w:tcPr>
          <w:p>
            <w:pPr>
              <w:pStyle w:val="nTable"/>
              <w:spacing w:after="40"/>
            </w:pPr>
            <w:r>
              <w:t>10 Jun 1997</w:t>
            </w:r>
          </w:p>
        </w:tc>
      </w:tr>
      <w:tr>
        <w:trPr>
          <w:cantSplit/>
        </w:trPr>
        <w:tc>
          <w:tcPr>
            <w:tcW w:w="3118" w:type="dxa"/>
          </w:tcPr>
          <w:p>
            <w:pPr>
              <w:pStyle w:val="nTable"/>
              <w:spacing w:after="40"/>
              <w:ind w:right="113"/>
            </w:pPr>
            <w:r>
              <w:rPr>
                <w:i/>
              </w:rPr>
              <w:t>Water Agencies (Charges) Amendment By</w:t>
            </w:r>
            <w:r>
              <w:rPr>
                <w:i/>
              </w:rPr>
              <w:noBreakHyphen/>
              <w:t>laws (No. 3) 1997</w:t>
            </w:r>
          </w:p>
        </w:tc>
        <w:tc>
          <w:tcPr>
            <w:tcW w:w="1276" w:type="dxa"/>
          </w:tcPr>
          <w:p>
            <w:pPr>
              <w:pStyle w:val="nTable"/>
              <w:spacing w:after="40"/>
            </w:pPr>
            <w:r>
              <w:t>27 Jun 1997 p. 3175</w:t>
            </w:r>
            <w:r>
              <w:noBreakHyphen/>
              <w:t>203</w:t>
            </w:r>
          </w:p>
        </w:tc>
        <w:tc>
          <w:tcPr>
            <w:tcW w:w="2693" w:type="dxa"/>
          </w:tcPr>
          <w:p>
            <w:pPr>
              <w:pStyle w:val="nTable"/>
              <w:spacing w:after="40"/>
            </w:pPr>
            <w:r>
              <w:t>1 Jul 1997 (see bl. 2)</w:t>
            </w:r>
          </w:p>
        </w:tc>
      </w:tr>
      <w:tr>
        <w:trPr>
          <w:cantSplit/>
        </w:trPr>
        <w:tc>
          <w:tcPr>
            <w:tcW w:w="7087" w:type="dxa"/>
            <w:gridSpan w:val="3"/>
          </w:tcPr>
          <w:p>
            <w:pPr>
              <w:pStyle w:val="nTable"/>
              <w:spacing w:after="40"/>
            </w:pPr>
            <w:r>
              <w:rPr>
                <w:b/>
              </w:rPr>
              <w:t xml:space="preserve">Reprint of the </w:t>
            </w:r>
            <w:r>
              <w:rPr>
                <w:b/>
                <w:i/>
              </w:rPr>
              <w:t>Water Agencies (Charges) By</w:t>
            </w:r>
            <w:r>
              <w:rPr>
                <w:b/>
                <w:bCs/>
                <w:i/>
              </w:rPr>
              <w:noBreakHyphen/>
            </w:r>
            <w:r>
              <w:rPr>
                <w:b/>
                <w:i/>
              </w:rPr>
              <w:t>laws 1987</w:t>
            </w:r>
            <w:r>
              <w:rPr>
                <w:b/>
              </w:rPr>
              <w:t xml:space="preserve"> as at 25 Aug 1997</w:t>
            </w:r>
            <w:r>
              <w:t xml:space="preserve"> </w:t>
            </w:r>
            <w:r>
              <w:br/>
              <w:t>(includes amendments listed above)</w:t>
            </w:r>
          </w:p>
        </w:tc>
      </w:tr>
      <w:tr>
        <w:trPr>
          <w:cantSplit/>
        </w:trPr>
        <w:tc>
          <w:tcPr>
            <w:tcW w:w="3118" w:type="dxa"/>
          </w:tcPr>
          <w:p>
            <w:pPr>
              <w:pStyle w:val="nTable"/>
              <w:spacing w:after="40"/>
              <w:ind w:right="113"/>
              <w:rPr>
                <w:vertAlign w:val="superscript"/>
              </w:rPr>
            </w:pPr>
            <w:r>
              <w:rPr>
                <w:i/>
              </w:rPr>
              <w:t>Water Agencies (Charges) Amendment By</w:t>
            </w:r>
            <w:r>
              <w:rPr>
                <w:i/>
              </w:rPr>
              <w:noBreakHyphen/>
              <w:t>laws (No. 5) 1997</w:t>
            </w:r>
            <w:r>
              <w:rPr>
                <w:i/>
                <w:vertAlign w:val="superscript"/>
              </w:rPr>
              <w:t xml:space="preserve"> </w:t>
            </w:r>
            <w:r>
              <w:rPr>
                <w:vertAlign w:val="superscript"/>
              </w:rPr>
              <w:t>18</w:t>
            </w:r>
          </w:p>
        </w:tc>
        <w:tc>
          <w:tcPr>
            <w:tcW w:w="1276" w:type="dxa"/>
          </w:tcPr>
          <w:p>
            <w:pPr>
              <w:pStyle w:val="nTable"/>
              <w:spacing w:after="40"/>
            </w:pPr>
            <w:r>
              <w:t>6 Jan 1998 p. 39</w:t>
            </w:r>
            <w:r>
              <w:noBreakHyphen/>
              <w:t>41</w:t>
            </w:r>
          </w:p>
        </w:tc>
        <w:tc>
          <w:tcPr>
            <w:tcW w:w="2693" w:type="dxa"/>
          </w:tcPr>
          <w:p>
            <w:pPr>
              <w:pStyle w:val="nTable"/>
              <w:spacing w:after="40"/>
            </w:pPr>
            <w:r>
              <w:t>6 Jan 1998</w:t>
            </w:r>
          </w:p>
        </w:tc>
      </w:tr>
      <w:tr>
        <w:trPr>
          <w:cantSplit/>
        </w:trPr>
        <w:tc>
          <w:tcPr>
            <w:tcW w:w="3118" w:type="dxa"/>
          </w:tcPr>
          <w:p>
            <w:pPr>
              <w:pStyle w:val="nTable"/>
              <w:spacing w:after="40"/>
              <w:ind w:right="113"/>
            </w:pPr>
            <w:r>
              <w:rPr>
                <w:i/>
              </w:rPr>
              <w:t>Water Agencies (Charges) Amendment By</w:t>
            </w:r>
            <w:r>
              <w:rPr>
                <w:i/>
              </w:rPr>
              <w:noBreakHyphen/>
              <w:t>laws 1998</w:t>
            </w:r>
          </w:p>
        </w:tc>
        <w:tc>
          <w:tcPr>
            <w:tcW w:w="1276" w:type="dxa"/>
          </w:tcPr>
          <w:p>
            <w:pPr>
              <w:pStyle w:val="nTable"/>
              <w:spacing w:after="40"/>
            </w:pPr>
            <w:r>
              <w:t>9 Apr 1998 p. 2035</w:t>
            </w:r>
          </w:p>
        </w:tc>
        <w:tc>
          <w:tcPr>
            <w:tcW w:w="2693" w:type="dxa"/>
          </w:tcPr>
          <w:p>
            <w:pPr>
              <w:pStyle w:val="nTable"/>
              <w:spacing w:after="40"/>
            </w:pPr>
            <w:r>
              <w:t>14 Apr 1998 (see bl. 2)</w:t>
            </w:r>
          </w:p>
        </w:tc>
      </w:tr>
      <w:tr>
        <w:trPr>
          <w:cantSplit/>
        </w:trPr>
        <w:tc>
          <w:tcPr>
            <w:tcW w:w="3118" w:type="dxa"/>
          </w:tcPr>
          <w:p>
            <w:pPr>
              <w:pStyle w:val="nTable"/>
              <w:keepNext/>
              <w:spacing w:after="40"/>
              <w:ind w:right="113"/>
            </w:pPr>
            <w:r>
              <w:rPr>
                <w:i/>
              </w:rPr>
              <w:t>Water Agencies (Charges) Amendment By</w:t>
            </w:r>
            <w:r>
              <w:rPr>
                <w:i/>
              </w:rPr>
              <w:noBreakHyphen/>
              <w:t>laws (No. 2) 1998</w:t>
            </w:r>
          </w:p>
        </w:tc>
        <w:tc>
          <w:tcPr>
            <w:tcW w:w="1276" w:type="dxa"/>
          </w:tcPr>
          <w:p>
            <w:pPr>
              <w:pStyle w:val="nTable"/>
              <w:keepNext/>
              <w:spacing w:after="40"/>
            </w:pPr>
            <w:r>
              <w:t>26 Jun 1998 p. 3399</w:t>
            </w:r>
            <w:r>
              <w:noBreakHyphen/>
              <w:t>415</w:t>
            </w:r>
          </w:p>
        </w:tc>
        <w:tc>
          <w:tcPr>
            <w:tcW w:w="2693" w:type="dxa"/>
          </w:tcPr>
          <w:p>
            <w:pPr>
              <w:pStyle w:val="nTable"/>
              <w:keepNext/>
              <w:spacing w:after="40"/>
            </w:pPr>
            <w:r>
              <w:t xml:space="preserve">1 Jul 1998 (see bl. 2) </w:t>
            </w:r>
          </w:p>
        </w:tc>
      </w:tr>
      <w:tr>
        <w:trPr>
          <w:cantSplit/>
        </w:trPr>
        <w:tc>
          <w:tcPr>
            <w:tcW w:w="3118" w:type="dxa"/>
          </w:tcPr>
          <w:p>
            <w:pPr>
              <w:pStyle w:val="nTable"/>
              <w:spacing w:after="40"/>
              <w:ind w:right="113"/>
            </w:pPr>
            <w:r>
              <w:rPr>
                <w:i/>
              </w:rPr>
              <w:t>Water Agencies (Charges) Amendment By</w:t>
            </w:r>
            <w:r>
              <w:rPr>
                <w:i/>
              </w:rPr>
              <w:noBreakHyphen/>
              <w:t>laws (No. 3) 1998</w:t>
            </w:r>
          </w:p>
        </w:tc>
        <w:tc>
          <w:tcPr>
            <w:tcW w:w="1276" w:type="dxa"/>
          </w:tcPr>
          <w:p>
            <w:pPr>
              <w:pStyle w:val="nTable"/>
              <w:spacing w:after="40"/>
            </w:pPr>
            <w:r>
              <w:t>26 Jun 1998 p. 3415</w:t>
            </w:r>
            <w:r>
              <w:noBreakHyphen/>
              <w:t>16</w:t>
            </w:r>
          </w:p>
        </w:tc>
        <w:tc>
          <w:tcPr>
            <w:tcW w:w="2693" w:type="dxa"/>
          </w:tcPr>
          <w:p>
            <w:pPr>
              <w:pStyle w:val="nTable"/>
              <w:spacing w:after="40"/>
            </w:pPr>
            <w:r>
              <w:t>26 Jun 1998</w:t>
            </w:r>
          </w:p>
        </w:tc>
      </w:tr>
      <w:tr>
        <w:trPr>
          <w:cantSplit/>
        </w:trPr>
        <w:tc>
          <w:tcPr>
            <w:tcW w:w="3118" w:type="dxa"/>
          </w:tcPr>
          <w:p>
            <w:pPr>
              <w:pStyle w:val="nTable"/>
              <w:spacing w:after="40"/>
              <w:ind w:right="113"/>
            </w:pPr>
            <w:r>
              <w:rPr>
                <w:i/>
              </w:rPr>
              <w:t>Water Agencies (Charges) Amendment By</w:t>
            </w:r>
            <w:r>
              <w:rPr>
                <w:i/>
              </w:rPr>
              <w:noBreakHyphen/>
              <w:t>laws (No. 4) 1998</w:t>
            </w:r>
          </w:p>
        </w:tc>
        <w:tc>
          <w:tcPr>
            <w:tcW w:w="1276" w:type="dxa"/>
          </w:tcPr>
          <w:p>
            <w:pPr>
              <w:pStyle w:val="nTable"/>
              <w:spacing w:after="40"/>
            </w:pPr>
            <w:r>
              <w:t>1 Jul 1998 p. 3561</w:t>
            </w:r>
          </w:p>
        </w:tc>
        <w:tc>
          <w:tcPr>
            <w:tcW w:w="2693" w:type="dxa"/>
          </w:tcPr>
          <w:p>
            <w:pPr>
              <w:pStyle w:val="nTable"/>
              <w:spacing w:after="40"/>
            </w:pPr>
            <w:r>
              <w:t xml:space="preserve">1 Jul 1998 (see bl. 2 and </w:t>
            </w:r>
            <w:r>
              <w:rPr>
                <w:i/>
              </w:rPr>
              <w:t>Gazette</w:t>
            </w:r>
            <w:r>
              <w:t xml:space="preserve"> 26 Jun 1998 p. 3399)</w:t>
            </w:r>
          </w:p>
        </w:tc>
      </w:tr>
      <w:tr>
        <w:trPr>
          <w:cantSplit/>
        </w:trPr>
        <w:tc>
          <w:tcPr>
            <w:tcW w:w="3118" w:type="dxa"/>
          </w:tcPr>
          <w:p>
            <w:pPr>
              <w:pStyle w:val="nTable"/>
              <w:spacing w:after="40"/>
              <w:ind w:right="113"/>
              <w:rPr>
                <w:i/>
              </w:rPr>
            </w:pPr>
            <w:r>
              <w:rPr>
                <w:i/>
              </w:rPr>
              <w:t>Water Agencies (Charges) Amendment By</w:t>
            </w:r>
            <w:r>
              <w:rPr>
                <w:i/>
              </w:rPr>
              <w:noBreakHyphen/>
              <w:t>laws (No. 5) 1998</w:t>
            </w:r>
          </w:p>
        </w:tc>
        <w:tc>
          <w:tcPr>
            <w:tcW w:w="1276" w:type="dxa"/>
          </w:tcPr>
          <w:p>
            <w:pPr>
              <w:pStyle w:val="nTable"/>
              <w:spacing w:after="40"/>
            </w:pPr>
            <w:r>
              <w:t>30 Oct 1998 p. 6017</w:t>
            </w:r>
            <w:r>
              <w:noBreakHyphen/>
              <w:t>18</w:t>
            </w:r>
          </w:p>
        </w:tc>
        <w:tc>
          <w:tcPr>
            <w:tcW w:w="2693" w:type="dxa"/>
          </w:tcPr>
          <w:p>
            <w:pPr>
              <w:pStyle w:val="nTable"/>
              <w:spacing w:after="40"/>
            </w:pPr>
            <w:r>
              <w:t>30 Oct 1998</w:t>
            </w:r>
          </w:p>
        </w:tc>
      </w:tr>
      <w:tr>
        <w:trPr>
          <w:cantSplit/>
        </w:trPr>
        <w:tc>
          <w:tcPr>
            <w:tcW w:w="3118" w:type="dxa"/>
          </w:tcPr>
          <w:p>
            <w:pPr>
              <w:pStyle w:val="nTable"/>
              <w:spacing w:after="40"/>
              <w:ind w:right="113"/>
              <w:rPr>
                <w:i/>
              </w:rPr>
            </w:pPr>
            <w:r>
              <w:rPr>
                <w:i/>
              </w:rPr>
              <w:t>Water Agencies (Charges) Amendment By</w:t>
            </w:r>
            <w:r>
              <w:rPr>
                <w:i/>
              </w:rPr>
              <w:noBreakHyphen/>
              <w:t>laws 1999</w:t>
            </w:r>
          </w:p>
        </w:tc>
        <w:tc>
          <w:tcPr>
            <w:tcW w:w="1276" w:type="dxa"/>
          </w:tcPr>
          <w:p>
            <w:pPr>
              <w:pStyle w:val="nTable"/>
              <w:spacing w:after="40"/>
            </w:pPr>
            <w:r>
              <w:t>7 May 1999 p. 1859</w:t>
            </w:r>
            <w:r>
              <w:noBreakHyphen/>
              <w:t>61</w:t>
            </w:r>
          </w:p>
        </w:tc>
        <w:tc>
          <w:tcPr>
            <w:tcW w:w="2693" w:type="dxa"/>
          </w:tcPr>
          <w:p>
            <w:pPr>
              <w:pStyle w:val="nTable"/>
              <w:spacing w:after="40"/>
            </w:pPr>
            <w:r>
              <w:t>7 May 1999</w:t>
            </w:r>
          </w:p>
        </w:tc>
      </w:tr>
      <w:tr>
        <w:trPr>
          <w:cantSplit/>
        </w:trPr>
        <w:tc>
          <w:tcPr>
            <w:tcW w:w="3118" w:type="dxa"/>
          </w:tcPr>
          <w:p>
            <w:pPr>
              <w:pStyle w:val="nTable"/>
              <w:spacing w:after="40"/>
              <w:ind w:right="113"/>
              <w:rPr>
                <w:i/>
              </w:rPr>
            </w:pPr>
            <w:r>
              <w:rPr>
                <w:i/>
              </w:rPr>
              <w:t>Water Agencies (Charges) Amendment By</w:t>
            </w:r>
            <w:r>
              <w:rPr>
                <w:i/>
              </w:rPr>
              <w:noBreakHyphen/>
              <w:t>laws (No. 3) 1999</w:t>
            </w:r>
          </w:p>
        </w:tc>
        <w:tc>
          <w:tcPr>
            <w:tcW w:w="1276" w:type="dxa"/>
          </w:tcPr>
          <w:p>
            <w:pPr>
              <w:pStyle w:val="nTable"/>
              <w:spacing w:after="40"/>
            </w:pPr>
            <w:r>
              <w:t>25 Jun 1999 p. 2742</w:t>
            </w:r>
          </w:p>
        </w:tc>
        <w:tc>
          <w:tcPr>
            <w:tcW w:w="2693" w:type="dxa"/>
          </w:tcPr>
          <w:p>
            <w:pPr>
              <w:pStyle w:val="nTable"/>
              <w:spacing w:after="40"/>
            </w:pPr>
            <w:r>
              <w:t>25 Jun 1999</w:t>
            </w:r>
          </w:p>
        </w:tc>
      </w:tr>
      <w:tr>
        <w:trPr>
          <w:cantSplit/>
        </w:trPr>
        <w:tc>
          <w:tcPr>
            <w:tcW w:w="3118" w:type="dxa"/>
          </w:tcPr>
          <w:p>
            <w:pPr>
              <w:pStyle w:val="nTable"/>
              <w:spacing w:after="40"/>
              <w:ind w:right="113"/>
              <w:rPr>
                <w:vertAlign w:val="superscript"/>
              </w:rPr>
            </w:pPr>
            <w:r>
              <w:rPr>
                <w:i/>
              </w:rPr>
              <w:t>Water Agencies (Charges) Amendment By</w:t>
            </w:r>
            <w:r>
              <w:rPr>
                <w:i/>
              </w:rPr>
              <w:noBreakHyphen/>
              <w:t>laws (No. 2) 1999</w:t>
            </w:r>
            <w:r>
              <w:rPr>
                <w:vertAlign w:val="superscript"/>
              </w:rPr>
              <w:t> 19</w:t>
            </w:r>
          </w:p>
        </w:tc>
        <w:tc>
          <w:tcPr>
            <w:tcW w:w="1276" w:type="dxa"/>
          </w:tcPr>
          <w:p>
            <w:pPr>
              <w:pStyle w:val="nTable"/>
              <w:spacing w:after="40"/>
            </w:pPr>
            <w:r>
              <w:t>29 Jun 1999 p. 2789</w:t>
            </w:r>
            <w:r>
              <w:noBreakHyphen/>
              <w:t>828</w:t>
            </w:r>
          </w:p>
        </w:tc>
        <w:tc>
          <w:tcPr>
            <w:tcW w:w="2693" w:type="dxa"/>
          </w:tcPr>
          <w:p>
            <w:pPr>
              <w:pStyle w:val="nTable"/>
              <w:spacing w:after="40"/>
            </w:pPr>
            <w:r>
              <w:t>1 Jul 1999 (see bl. 2)</w:t>
            </w:r>
          </w:p>
        </w:tc>
      </w:tr>
      <w:tr>
        <w:trPr>
          <w:cantSplit/>
        </w:trPr>
        <w:tc>
          <w:tcPr>
            <w:tcW w:w="3118" w:type="dxa"/>
          </w:tcPr>
          <w:p>
            <w:pPr>
              <w:pStyle w:val="nTable"/>
              <w:spacing w:after="40"/>
              <w:ind w:right="113"/>
              <w:rPr>
                <w:i/>
              </w:rPr>
            </w:pPr>
            <w:r>
              <w:rPr>
                <w:i/>
              </w:rPr>
              <w:t>Water Agencies (Charges) Amendment By</w:t>
            </w:r>
            <w:r>
              <w:rPr>
                <w:i/>
              </w:rPr>
              <w:noBreakHyphen/>
              <w:t>laws (No. 4) 1999</w:t>
            </w:r>
          </w:p>
        </w:tc>
        <w:tc>
          <w:tcPr>
            <w:tcW w:w="1276" w:type="dxa"/>
          </w:tcPr>
          <w:p>
            <w:pPr>
              <w:pStyle w:val="nTable"/>
              <w:spacing w:after="40"/>
            </w:pPr>
            <w:r>
              <w:t xml:space="preserve">1 Jul 1999 </w:t>
            </w:r>
            <w:r>
              <w:br/>
              <w:t>p. 2907</w:t>
            </w:r>
          </w:p>
        </w:tc>
        <w:tc>
          <w:tcPr>
            <w:tcW w:w="2693" w:type="dxa"/>
          </w:tcPr>
          <w:p>
            <w:pPr>
              <w:pStyle w:val="nTable"/>
              <w:spacing w:after="40"/>
            </w:pPr>
            <w:r>
              <w:t>1 Jul 1999 (see bl. 2)</w:t>
            </w:r>
          </w:p>
        </w:tc>
      </w:tr>
      <w:tr>
        <w:trPr>
          <w:cantSplit/>
        </w:trPr>
        <w:tc>
          <w:tcPr>
            <w:tcW w:w="3118" w:type="dxa"/>
          </w:tcPr>
          <w:p>
            <w:pPr>
              <w:pStyle w:val="nTable"/>
              <w:spacing w:after="40"/>
              <w:ind w:right="113"/>
              <w:rPr>
                <w:i/>
              </w:rPr>
            </w:pPr>
            <w:r>
              <w:rPr>
                <w:i/>
              </w:rPr>
              <w:t>Water Agencies (Charges) Amendment By</w:t>
            </w:r>
            <w:r>
              <w:rPr>
                <w:i/>
              </w:rPr>
              <w:noBreakHyphen/>
              <w:t>laws 2000</w:t>
            </w:r>
          </w:p>
        </w:tc>
        <w:tc>
          <w:tcPr>
            <w:tcW w:w="1276" w:type="dxa"/>
          </w:tcPr>
          <w:p>
            <w:pPr>
              <w:pStyle w:val="nTable"/>
              <w:spacing w:after="40"/>
            </w:pPr>
            <w:r>
              <w:t>15 Feb 2000 p. 524</w:t>
            </w:r>
            <w:r>
              <w:noBreakHyphen/>
              <w:t>5</w:t>
            </w:r>
          </w:p>
        </w:tc>
        <w:tc>
          <w:tcPr>
            <w:tcW w:w="2693" w:type="dxa"/>
          </w:tcPr>
          <w:p>
            <w:pPr>
              <w:pStyle w:val="nTable"/>
              <w:spacing w:after="40"/>
            </w:pPr>
            <w:r>
              <w:t>15 Feb 2000</w:t>
            </w:r>
          </w:p>
        </w:tc>
      </w:tr>
      <w:tr>
        <w:trPr>
          <w:cantSplit/>
        </w:trPr>
        <w:tc>
          <w:tcPr>
            <w:tcW w:w="3118" w:type="dxa"/>
          </w:tcPr>
          <w:p>
            <w:pPr>
              <w:pStyle w:val="nTable"/>
              <w:spacing w:after="40"/>
              <w:ind w:right="113"/>
              <w:rPr>
                <w:i/>
              </w:rPr>
            </w:pPr>
            <w:r>
              <w:rPr>
                <w:i/>
              </w:rPr>
              <w:t>Water Agencies (Charges) Amendment By</w:t>
            </w:r>
            <w:r>
              <w:rPr>
                <w:i/>
              </w:rPr>
              <w:noBreakHyphen/>
              <w:t>laws (No. 2) 2000</w:t>
            </w:r>
          </w:p>
        </w:tc>
        <w:tc>
          <w:tcPr>
            <w:tcW w:w="1276" w:type="dxa"/>
          </w:tcPr>
          <w:p>
            <w:pPr>
              <w:pStyle w:val="nTable"/>
              <w:spacing w:after="40"/>
            </w:pPr>
            <w:r>
              <w:t>29 Jun 2000 p. 3323</w:t>
            </w:r>
            <w:r>
              <w:noBreakHyphen/>
              <w:t>63</w:t>
            </w:r>
          </w:p>
        </w:tc>
        <w:tc>
          <w:tcPr>
            <w:tcW w:w="2693" w:type="dxa"/>
          </w:tcPr>
          <w:p>
            <w:pPr>
              <w:pStyle w:val="nTable"/>
              <w:spacing w:after="40"/>
            </w:pPr>
            <w:r>
              <w:t>1 Jul 2000 (see bl. 2)</w:t>
            </w:r>
          </w:p>
        </w:tc>
      </w:tr>
      <w:tr>
        <w:trPr>
          <w:cantSplit/>
        </w:trPr>
        <w:tc>
          <w:tcPr>
            <w:tcW w:w="3118" w:type="dxa"/>
          </w:tcPr>
          <w:p>
            <w:pPr>
              <w:pStyle w:val="nTable"/>
              <w:spacing w:after="40"/>
              <w:ind w:right="113"/>
              <w:rPr>
                <w:i/>
              </w:rPr>
            </w:pPr>
            <w:r>
              <w:rPr>
                <w:i/>
              </w:rPr>
              <w:t>Water Agencies (Charges) Amendment By</w:t>
            </w:r>
            <w:r>
              <w:rPr>
                <w:i/>
              </w:rPr>
              <w:noBreakHyphen/>
              <w:t>laws 2001</w:t>
            </w:r>
          </w:p>
        </w:tc>
        <w:tc>
          <w:tcPr>
            <w:tcW w:w="1276" w:type="dxa"/>
          </w:tcPr>
          <w:p>
            <w:pPr>
              <w:pStyle w:val="nTable"/>
              <w:spacing w:after="40"/>
            </w:pPr>
            <w:r>
              <w:t>13 Feb 2001 p. 892</w:t>
            </w:r>
          </w:p>
        </w:tc>
        <w:tc>
          <w:tcPr>
            <w:tcW w:w="2693" w:type="dxa"/>
          </w:tcPr>
          <w:p>
            <w:pPr>
              <w:pStyle w:val="nTable"/>
              <w:spacing w:after="40"/>
            </w:pPr>
            <w:r>
              <w:t>13 Feb 2001</w:t>
            </w:r>
          </w:p>
        </w:tc>
      </w:tr>
      <w:tr>
        <w:trPr>
          <w:cantSplit/>
        </w:trPr>
        <w:tc>
          <w:tcPr>
            <w:tcW w:w="7087" w:type="dxa"/>
            <w:gridSpan w:val="3"/>
          </w:tcPr>
          <w:p>
            <w:pPr>
              <w:pStyle w:val="nTable"/>
              <w:spacing w:after="40"/>
            </w:pPr>
            <w:r>
              <w:rPr>
                <w:b/>
              </w:rPr>
              <w:t xml:space="preserve">Reprint of the </w:t>
            </w:r>
            <w:r>
              <w:rPr>
                <w:b/>
                <w:i/>
              </w:rPr>
              <w:t>Water Agencies (Charges) By</w:t>
            </w:r>
            <w:r>
              <w:rPr>
                <w:b/>
                <w:bCs/>
                <w:i/>
              </w:rPr>
              <w:noBreakHyphen/>
            </w:r>
            <w:r>
              <w:rPr>
                <w:b/>
                <w:i/>
              </w:rPr>
              <w:t>laws 1987</w:t>
            </w:r>
            <w:r>
              <w:rPr>
                <w:b/>
              </w:rPr>
              <w:t xml:space="preserve"> as at 16 Feb 2001</w:t>
            </w:r>
            <w:r>
              <w:rPr>
                <w:b/>
              </w:rPr>
              <w:br/>
            </w:r>
            <w:r>
              <w:t>(includes amendments listed above)</w:t>
            </w:r>
          </w:p>
        </w:tc>
      </w:tr>
      <w:tr>
        <w:trPr>
          <w:cantSplit/>
        </w:trPr>
        <w:tc>
          <w:tcPr>
            <w:tcW w:w="3118" w:type="dxa"/>
          </w:tcPr>
          <w:p>
            <w:pPr>
              <w:pStyle w:val="nTable"/>
              <w:spacing w:after="40"/>
              <w:ind w:right="113"/>
              <w:rPr>
                <w:i/>
              </w:rPr>
            </w:pPr>
            <w:r>
              <w:rPr>
                <w:i/>
              </w:rPr>
              <w:t>Water Agencies (Charges) Amendment By</w:t>
            </w:r>
            <w:r>
              <w:rPr>
                <w:i/>
              </w:rPr>
              <w:noBreakHyphen/>
              <w:t>laws (No. 2) 2001</w:t>
            </w:r>
          </w:p>
        </w:tc>
        <w:tc>
          <w:tcPr>
            <w:tcW w:w="1276" w:type="dxa"/>
          </w:tcPr>
          <w:p>
            <w:pPr>
              <w:pStyle w:val="nTable"/>
              <w:spacing w:after="40"/>
            </w:pPr>
            <w:r>
              <w:t>29 Jun 2001 p. 3187</w:t>
            </w:r>
            <w:r>
              <w:noBreakHyphen/>
              <w:t>229</w:t>
            </w:r>
          </w:p>
        </w:tc>
        <w:tc>
          <w:tcPr>
            <w:tcW w:w="2693" w:type="dxa"/>
          </w:tcPr>
          <w:p>
            <w:pPr>
              <w:pStyle w:val="nTable"/>
              <w:spacing w:after="40"/>
            </w:pPr>
            <w:r>
              <w:t>1 Jul 2001 (see bl. 2)</w:t>
            </w:r>
          </w:p>
        </w:tc>
      </w:tr>
      <w:tr>
        <w:trPr>
          <w:cantSplit/>
        </w:trPr>
        <w:tc>
          <w:tcPr>
            <w:tcW w:w="3118" w:type="dxa"/>
          </w:tcPr>
          <w:p>
            <w:pPr>
              <w:pStyle w:val="nTable"/>
              <w:spacing w:after="40"/>
              <w:ind w:right="113"/>
              <w:rPr>
                <w:i/>
              </w:rPr>
            </w:pPr>
            <w:r>
              <w:rPr>
                <w:i/>
              </w:rPr>
              <w:t>Water Agencies (Charges) Amendment By</w:t>
            </w:r>
            <w:r>
              <w:rPr>
                <w:i/>
              </w:rPr>
              <w:noBreakHyphen/>
              <w:t>laws (No. 3) 2001</w:t>
            </w:r>
          </w:p>
        </w:tc>
        <w:tc>
          <w:tcPr>
            <w:tcW w:w="1276" w:type="dxa"/>
          </w:tcPr>
          <w:p>
            <w:pPr>
              <w:pStyle w:val="nTable"/>
              <w:spacing w:after="40"/>
            </w:pPr>
            <w:r>
              <w:t>7 Aug 2001 p. 4037</w:t>
            </w:r>
            <w:r>
              <w:noBreakHyphen/>
              <w:t>8</w:t>
            </w:r>
          </w:p>
        </w:tc>
        <w:tc>
          <w:tcPr>
            <w:tcW w:w="2693" w:type="dxa"/>
          </w:tcPr>
          <w:p>
            <w:pPr>
              <w:pStyle w:val="nTable"/>
              <w:spacing w:after="40"/>
            </w:pPr>
            <w:r>
              <w:t>7 Aug 2001</w:t>
            </w:r>
          </w:p>
        </w:tc>
      </w:tr>
      <w:tr>
        <w:trPr>
          <w:cantSplit/>
        </w:trPr>
        <w:tc>
          <w:tcPr>
            <w:tcW w:w="3118" w:type="dxa"/>
          </w:tcPr>
          <w:p>
            <w:pPr>
              <w:pStyle w:val="nTable"/>
              <w:spacing w:after="40"/>
              <w:ind w:right="113"/>
              <w:rPr>
                <w:i/>
              </w:rPr>
            </w:pPr>
            <w:r>
              <w:rPr>
                <w:i/>
              </w:rPr>
              <w:t>Water Agencies (Charges) Amendment By</w:t>
            </w:r>
            <w:r>
              <w:rPr>
                <w:i/>
              </w:rPr>
              <w:noBreakHyphen/>
              <w:t>laws (No. 4) 2001</w:t>
            </w:r>
          </w:p>
        </w:tc>
        <w:tc>
          <w:tcPr>
            <w:tcW w:w="1276" w:type="dxa"/>
          </w:tcPr>
          <w:p>
            <w:pPr>
              <w:pStyle w:val="nTable"/>
              <w:spacing w:after="40"/>
            </w:pPr>
            <w:r>
              <w:t>5 Oct 2001 p. 5478</w:t>
            </w:r>
            <w:r>
              <w:noBreakHyphen/>
              <w:t>9</w:t>
            </w:r>
          </w:p>
        </w:tc>
        <w:tc>
          <w:tcPr>
            <w:tcW w:w="2693" w:type="dxa"/>
          </w:tcPr>
          <w:p>
            <w:pPr>
              <w:pStyle w:val="nTable"/>
              <w:spacing w:after="40"/>
            </w:pPr>
            <w:r>
              <w:t>5 Oct 2001</w:t>
            </w:r>
          </w:p>
        </w:tc>
      </w:tr>
      <w:tr>
        <w:trPr>
          <w:cantSplit/>
        </w:trPr>
        <w:tc>
          <w:tcPr>
            <w:tcW w:w="3118" w:type="dxa"/>
          </w:tcPr>
          <w:p>
            <w:pPr>
              <w:pStyle w:val="nTable"/>
              <w:spacing w:after="40"/>
              <w:ind w:right="113"/>
              <w:rPr>
                <w:vertAlign w:val="superscript"/>
              </w:rPr>
            </w:pPr>
            <w:r>
              <w:rPr>
                <w:i/>
              </w:rPr>
              <w:t>Water Agencies (Charges) Amendment By</w:t>
            </w:r>
            <w:r>
              <w:rPr>
                <w:i/>
              </w:rPr>
              <w:noBreakHyphen/>
              <w:t>Laws (No. 5) 2001</w:t>
            </w:r>
            <w:r>
              <w:rPr>
                <w:vertAlign w:val="superscript"/>
              </w:rPr>
              <w:t> 20</w:t>
            </w:r>
          </w:p>
        </w:tc>
        <w:tc>
          <w:tcPr>
            <w:tcW w:w="1276" w:type="dxa"/>
          </w:tcPr>
          <w:p>
            <w:pPr>
              <w:pStyle w:val="nTable"/>
              <w:spacing w:after="40"/>
            </w:pPr>
            <w:r>
              <w:t>22 Feb 2002 p. 767</w:t>
            </w:r>
            <w:r>
              <w:noBreakHyphen/>
              <w:t>9</w:t>
            </w:r>
          </w:p>
        </w:tc>
        <w:tc>
          <w:tcPr>
            <w:tcW w:w="2693" w:type="dxa"/>
          </w:tcPr>
          <w:p>
            <w:pPr>
              <w:pStyle w:val="nTable"/>
              <w:spacing w:after="40"/>
            </w:pPr>
            <w:r>
              <w:t>22 Feb 2002</w:t>
            </w:r>
          </w:p>
        </w:tc>
      </w:tr>
      <w:tr>
        <w:trPr>
          <w:cantSplit/>
        </w:trPr>
        <w:tc>
          <w:tcPr>
            <w:tcW w:w="3118" w:type="dxa"/>
          </w:tcPr>
          <w:p>
            <w:pPr>
              <w:pStyle w:val="nTable"/>
              <w:spacing w:after="40"/>
              <w:ind w:right="113"/>
              <w:rPr>
                <w:vertAlign w:val="superscript"/>
              </w:rPr>
            </w:pPr>
            <w:r>
              <w:rPr>
                <w:i/>
              </w:rPr>
              <w:t>Water Agencies (Charges) Amendment By</w:t>
            </w:r>
            <w:r>
              <w:rPr>
                <w:i/>
              </w:rPr>
              <w:noBreakHyphen/>
              <w:t>laws 2002</w:t>
            </w:r>
            <w:r>
              <w:rPr>
                <w:vertAlign w:val="superscript"/>
              </w:rPr>
              <w:t> 21</w:t>
            </w:r>
          </w:p>
        </w:tc>
        <w:tc>
          <w:tcPr>
            <w:tcW w:w="1276" w:type="dxa"/>
          </w:tcPr>
          <w:p>
            <w:pPr>
              <w:pStyle w:val="nTable"/>
              <w:spacing w:after="40"/>
            </w:pPr>
            <w:r>
              <w:t>1 Mar 2002 p. 869</w:t>
            </w:r>
            <w:r>
              <w:noBreakHyphen/>
              <w:t>70</w:t>
            </w:r>
          </w:p>
        </w:tc>
        <w:tc>
          <w:tcPr>
            <w:tcW w:w="2693" w:type="dxa"/>
          </w:tcPr>
          <w:p>
            <w:pPr>
              <w:pStyle w:val="nTable"/>
              <w:spacing w:after="40"/>
            </w:pPr>
            <w:r>
              <w:t>1 Mar 2002</w:t>
            </w:r>
          </w:p>
        </w:tc>
      </w:tr>
      <w:tr>
        <w:trPr>
          <w:cantSplit/>
        </w:trPr>
        <w:tc>
          <w:tcPr>
            <w:tcW w:w="3118" w:type="dxa"/>
          </w:tcPr>
          <w:p>
            <w:pPr>
              <w:pStyle w:val="nTable"/>
              <w:spacing w:after="40"/>
              <w:ind w:right="113"/>
              <w:rPr>
                <w:i/>
              </w:rPr>
            </w:pPr>
            <w:r>
              <w:rPr>
                <w:i/>
              </w:rPr>
              <w:t>Water Agencies (Charges) Amendment By</w:t>
            </w:r>
            <w:r>
              <w:rPr>
                <w:i/>
              </w:rPr>
              <w:noBreakHyphen/>
              <w:t>laws (No. 2) 2002</w:t>
            </w:r>
          </w:p>
        </w:tc>
        <w:tc>
          <w:tcPr>
            <w:tcW w:w="1276" w:type="dxa"/>
          </w:tcPr>
          <w:p>
            <w:pPr>
              <w:pStyle w:val="nTable"/>
              <w:spacing w:after="40"/>
            </w:pPr>
            <w:r>
              <w:t>1 Mar 2002 p. 870</w:t>
            </w:r>
          </w:p>
        </w:tc>
        <w:tc>
          <w:tcPr>
            <w:tcW w:w="2693" w:type="dxa"/>
          </w:tcPr>
          <w:p>
            <w:pPr>
              <w:pStyle w:val="nTable"/>
              <w:spacing w:after="40"/>
            </w:pPr>
            <w:r>
              <w:t xml:space="preserve">1 Mar 2002 </w:t>
            </w:r>
          </w:p>
        </w:tc>
      </w:tr>
      <w:tr>
        <w:trPr>
          <w:cantSplit/>
        </w:trPr>
        <w:tc>
          <w:tcPr>
            <w:tcW w:w="3118" w:type="dxa"/>
          </w:tcPr>
          <w:p>
            <w:pPr>
              <w:pStyle w:val="nTable"/>
              <w:spacing w:after="40"/>
              <w:ind w:right="113"/>
              <w:rPr>
                <w:i/>
              </w:rPr>
            </w:pPr>
            <w:r>
              <w:rPr>
                <w:i/>
              </w:rPr>
              <w:t>Water Agencies (Charges) Amendment By</w:t>
            </w:r>
            <w:r>
              <w:rPr>
                <w:i/>
              </w:rPr>
              <w:noBreakHyphen/>
              <w:t>laws (No. 3) 2002</w:t>
            </w:r>
          </w:p>
        </w:tc>
        <w:tc>
          <w:tcPr>
            <w:tcW w:w="1276" w:type="dxa"/>
          </w:tcPr>
          <w:p>
            <w:pPr>
              <w:pStyle w:val="nTable"/>
              <w:spacing w:after="40"/>
            </w:pPr>
            <w:r>
              <w:t>1 Jul 2002 p. 3155</w:t>
            </w:r>
            <w:r>
              <w:noBreakHyphen/>
              <w:t>201</w:t>
            </w:r>
          </w:p>
        </w:tc>
        <w:tc>
          <w:tcPr>
            <w:tcW w:w="2693" w:type="dxa"/>
          </w:tcPr>
          <w:p>
            <w:pPr>
              <w:pStyle w:val="nTable"/>
              <w:spacing w:after="40"/>
            </w:pPr>
            <w:r>
              <w:t>1 Jul 2002</w:t>
            </w:r>
          </w:p>
        </w:tc>
      </w:tr>
      <w:tr>
        <w:trPr>
          <w:cantSplit/>
        </w:trPr>
        <w:tc>
          <w:tcPr>
            <w:tcW w:w="3118" w:type="dxa"/>
          </w:tcPr>
          <w:p>
            <w:pPr>
              <w:pStyle w:val="nTable"/>
              <w:spacing w:after="40"/>
              <w:ind w:right="113"/>
              <w:rPr>
                <w:i/>
              </w:rPr>
            </w:pPr>
            <w:r>
              <w:rPr>
                <w:i/>
              </w:rPr>
              <w:t>Water Agencies (Charges) Amendment By</w:t>
            </w:r>
            <w:r>
              <w:rPr>
                <w:i/>
              </w:rPr>
              <w:noBreakHyphen/>
              <w:t>laws 2003</w:t>
            </w:r>
          </w:p>
        </w:tc>
        <w:tc>
          <w:tcPr>
            <w:tcW w:w="1276" w:type="dxa"/>
          </w:tcPr>
          <w:p>
            <w:pPr>
              <w:pStyle w:val="nTable"/>
              <w:spacing w:after="40"/>
            </w:pPr>
            <w:r>
              <w:t>29 Apr 2003 p. 1293-4</w:t>
            </w:r>
          </w:p>
        </w:tc>
        <w:tc>
          <w:tcPr>
            <w:tcW w:w="2693" w:type="dxa"/>
          </w:tcPr>
          <w:p>
            <w:pPr>
              <w:pStyle w:val="nTable"/>
              <w:spacing w:after="40"/>
            </w:pPr>
            <w:r>
              <w:t>29 Apr 2003</w:t>
            </w:r>
          </w:p>
        </w:tc>
      </w:tr>
      <w:tr>
        <w:trPr>
          <w:cantSplit/>
        </w:trPr>
        <w:tc>
          <w:tcPr>
            <w:tcW w:w="7087" w:type="dxa"/>
            <w:gridSpan w:val="3"/>
          </w:tcPr>
          <w:p>
            <w:pPr>
              <w:pStyle w:val="nTable"/>
              <w:spacing w:after="40"/>
            </w:pPr>
            <w:r>
              <w:rPr>
                <w:b/>
              </w:rPr>
              <w:t xml:space="preserve">Reprint 3:  The </w:t>
            </w:r>
            <w:r>
              <w:rPr>
                <w:b/>
                <w:i/>
              </w:rPr>
              <w:t>Water Agencies (Charges) By</w:t>
            </w:r>
            <w:r>
              <w:rPr>
                <w:b/>
                <w:bCs/>
                <w:i/>
              </w:rPr>
              <w:noBreakHyphen/>
            </w:r>
            <w:r>
              <w:rPr>
                <w:b/>
                <w:i/>
              </w:rPr>
              <w:t>laws 1987</w:t>
            </w:r>
            <w:r>
              <w:rPr>
                <w:b/>
              </w:rPr>
              <w:t xml:space="preserve"> as at 9 May 2003 </w:t>
            </w:r>
            <w:r>
              <w:t>(includes amendments listed above)</w:t>
            </w:r>
          </w:p>
        </w:tc>
      </w:tr>
      <w:tr>
        <w:trPr>
          <w:cantSplit/>
        </w:trPr>
        <w:tc>
          <w:tcPr>
            <w:tcW w:w="3118" w:type="dxa"/>
          </w:tcPr>
          <w:p>
            <w:pPr>
              <w:pStyle w:val="nTable"/>
              <w:spacing w:after="40"/>
              <w:ind w:right="113"/>
              <w:rPr>
                <w:i/>
              </w:rPr>
            </w:pPr>
            <w:r>
              <w:rPr>
                <w:i/>
              </w:rPr>
              <w:t>Water Agencies (Charges) Amendment By</w:t>
            </w:r>
            <w:r>
              <w:rPr>
                <w:i/>
              </w:rPr>
              <w:noBreakHyphen/>
              <w:t>laws (No. 2) 2003</w:t>
            </w:r>
          </w:p>
        </w:tc>
        <w:tc>
          <w:tcPr>
            <w:tcW w:w="1276" w:type="dxa"/>
          </w:tcPr>
          <w:p>
            <w:pPr>
              <w:pStyle w:val="nTable"/>
              <w:spacing w:after="40"/>
            </w:pPr>
            <w:r>
              <w:t>24 Jun 2003 p. 2273</w:t>
            </w:r>
          </w:p>
        </w:tc>
        <w:tc>
          <w:tcPr>
            <w:tcW w:w="2693" w:type="dxa"/>
          </w:tcPr>
          <w:p>
            <w:pPr>
              <w:pStyle w:val="nTable"/>
              <w:spacing w:after="40"/>
            </w:pPr>
            <w:r>
              <w:t>24 Jun 2003</w:t>
            </w:r>
          </w:p>
        </w:tc>
      </w:tr>
      <w:tr>
        <w:trPr>
          <w:cantSplit/>
        </w:trPr>
        <w:tc>
          <w:tcPr>
            <w:tcW w:w="3118" w:type="dxa"/>
          </w:tcPr>
          <w:p>
            <w:pPr>
              <w:pStyle w:val="nTable"/>
              <w:spacing w:after="40"/>
              <w:ind w:right="113"/>
              <w:rPr>
                <w:i/>
              </w:rPr>
            </w:pPr>
            <w:r>
              <w:rPr>
                <w:i/>
              </w:rPr>
              <w:t>Water Agencies (Charges) Amendment By</w:t>
            </w:r>
            <w:r>
              <w:rPr>
                <w:i/>
              </w:rPr>
              <w:noBreakHyphen/>
              <w:t>laws (No. 3) 2003</w:t>
            </w:r>
          </w:p>
        </w:tc>
        <w:tc>
          <w:tcPr>
            <w:tcW w:w="1276" w:type="dxa"/>
          </w:tcPr>
          <w:p>
            <w:pPr>
              <w:pStyle w:val="nTable"/>
              <w:spacing w:after="40"/>
            </w:pPr>
            <w:r>
              <w:t>27 Jun 2003 p. 2283-340</w:t>
            </w:r>
          </w:p>
        </w:tc>
        <w:tc>
          <w:tcPr>
            <w:tcW w:w="2693" w:type="dxa"/>
          </w:tcPr>
          <w:p>
            <w:pPr>
              <w:pStyle w:val="nTable"/>
              <w:spacing w:after="40"/>
            </w:pPr>
            <w:r>
              <w:t>1 Jul 2003 (see bl. 2)</w:t>
            </w:r>
          </w:p>
        </w:tc>
      </w:tr>
      <w:tr>
        <w:trPr>
          <w:cantSplit/>
        </w:trPr>
        <w:tc>
          <w:tcPr>
            <w:tcW w:w="3118" w:type="dxa"/>
          </w:tcPr>
          <w:p>
            <w:pPr>
              <w:pStyle w:val="nTable"/>
              <w:spacing w:after="40"/>
              <w:ind w:right="113"/>
              <w:rPr>
                <w:i/>
              </w:rPr>
            </w:pPr>
            <w:r>
              <w:rPr>
                <w:i/>
              </w:rPr>
              <w:t>Water Agencies (Charges) Amendment By</w:t>
            </w:r>
            <w:r>
              <w:rPr>
                <w:i/>
              </w:rPr>
              <w:noBreakHyphen/>
              <w:t>laws (No. 4) 2003</w:t>
            </w:r>
          </w:p>
        </w:tc>
        <w:tc>
          <w:tcPr>
            <w:tcW w:w="1276" w:type="dxa"/>
          </w:tcPr>
          <w:p>
            <w:pPr>
              <w:pStyle w:val="nTable"/>
              <w:spacing w:after="40"/>
            </w:pPr>
            <w:r>
              <w:t>9 Dec 2003 p. 5007-8</w:t>
            </w:r>
          </w:p>
        </w:tc>
        <w:tc>
          <w:tcPr>
            <w:tcW w:w="2693" w:type="dxa"/>
          </w:tcPr>
          <w:p>
            <w:pPr>
              <w:pStyle w:val="nTable"/>
              <w:spacing w:after="40"/>
            </w:pPr>
            <w:r>
              <w:t>9 Dec 2003</w:t>
            </w:r>
          </w:p>
        </w:tc>
      </w:tr>
      <w:tr>
        <w:trPr>
          <w:cantSplit/>
        </w:trPr>
        <w:tc>
          <w:tcPr>
            <w:tcW w:w="3118" w:type="dxa"/>
          </w:tcPr>
          <w:p>
            <w:pPr>
              <w:pStyle w:val="nTable"/>
              <w:spacing w:after="40"/>
              <w:ind w:right="113"/>
              <w:rPr>
                <w:i/>
              </w:rPr>
            </w:pPr>
            <w:r>
              <w:rPr>
                <w:i/>
              </w:rPr>
              <w:t>Water Agencies (Charges) Amendment By</w:t>
            </w:r>
            <w:r>
              <w:rPr>
                <w:i/>
              </w:rPr>
              <w:noBreakHyphen/>
              <w:t>laws 2004</w:t>
            </w:r>
          </w:p>
        </w:tc>
        <w:tc>
          <w:tcPr>
            <w:tcW w:w="1276" w:type="dxa"/>
          </w:tcPr>
          <w:p>
            <w:pPr>
              <w:pStyle w:val="nTable"/>
              <w:spacing w:after="40"/>
            </w:pPr>
            <w:r>
              <w:t>29 Jun 2004 p. 2467-96</w:t>
            </w:r>
          </w:p>
        </w:tc>
        <w:tc>
          <w:tcPr>
            <w:tcW w:w="2693" w:type="dxa"/>
          </w:tcPr>
          <w:p>
            <w:pPr>
              <w:pStyle w:val="nTable"/>
              <w:spacing w:after="40"/>
            </w:pPr>
            <w:r>
              <w:t>1 Jul 2004 (see bl. 2)</w:t>
            </w:r>
          </w:p>
        </w:tc>
      </w:tr>
      <w:tr>
        <w:trPr>
          <w:cantSplit/>
        </w:trPr>
        <w:tc>
          <w:tcPr>
            <w:tcW w:w="3118" w:type="dxa"/>
          </w:tcPr>
          <w:p>
            <w:pPr>
              <w:pStyle w:val="nTable"/>
              <w:spacing w:after="40"/>
              <w:ind w:right="113"/>
              <w:rPr>
                <w:i/>
              </w:rPr>
            </w:pPr>
            <w:r>
              <w:rPr>
                <w:i/>
              </w:rPr>
              <w:t>Water Agencies (Charges) Amendment By</w:t>
            </w:r>
            <w:r>
              <w:rPr>
                <w:i/>
              </w:rPr>
              <w:noBreakHyphen/>
              <w:t>laws (No. 2) 2004</w:t>
            </w:r>
          </w:p>
        </w:tc>
        <w:tc>
          <w:tcPr>
            <w:tcW w:w="1276" w:type="dxa"/>
          </w:tcPr>
          <w:p>
            <w:pPr>
              <w:pStyle w:val="nTable"/>
              <w:spacing w:after="40"/>
            </w:pPr>
            <w:r>
              <w:t>24 Dec 2004 p. 6157-8</w:t>
            </w:r>
          </w:p>
        </w:tc>
        <w:tc>
          <w:tcPr>
            <w:tcW w:w="2693" w:type="dxa"/>
          </w:tcPr>
          <w:p>
            <w:pPr>
              <w:pStyle w:val="nTable"/>
              <w:spacing w:after="40"/>
            </w:pPr>
            <w:r>
              <w:t>24 Dec 2004</w:t>
            </w:r>
          </w:p>
        </w:tc>
      </w:tr>
      <w:tr>
        <w:trPr>
          <w:cantSplit/>
        </w:trPr>
        <w:tc>
          <w:tcPr>
            <w:tcW w:w="3118" w:type="dxa"/>
          </w:tcPr>
          <w:p>
            <w:pPr>
              <w:pStyle w:val="nTable"/>
              <w:spacing w:after="40"/>
              <w:ind w:right="113"/>
              <w:rPr>
                <w:i/>
              </w:rPr>
            </w:pPr>
            <w:r>
              <w:rPr>
                <w:i/>
              </w:rPr>
              <w:t>Water Agencies (Charges) Amendment By</w:t>
            </w:r>
            <w:r>
              <w:rPr>
                <w:i/>
              </w:rPr>
              <w:noBreakHyphen/>
              <w:t>laws 2005</w:t>
            </w:r>
          </w:p>
        </w:tc>
        <w:tc>
          <w:tcPr>
            <w:tcW w:w="1276" w:type="dxa"/>
          </w:tcPr>
          <w:p>
            <w:pPr>
              <w:pStyle w:val="nTable"/>
              <w:spacing w:after="40"/>
            </w:pPr>
            <w:r>
              <w:t>13 May 2005 p. 2088</w:t>
            </w:r>
          </w:p>
        </w:tc>
        <w:tc>
          <w:tcPr>
            <w:tcW w:w="2693" w:type="dxa"/>
          </w:tcPr>
          <w:p>
            <w:pPr>
              <w:pStyle w:val="nTable"/>
              <w:spacing w:after="40"/>
            </w:pPr>
            <w:r>
              <w:t>13 May 2005</w:t>
            </w:r>
          </w:p>
        </w:tc>
      </w:tr>
      <w:tr>
        <w:trPr>
          <w:cantSplit/>
        </w:trPr>
        <w:tc>
          <w:tcPr>
            <w:tcW w:w="3118" w:type="dxa"/>
          </w:tcPr>
          <w:p>
            <w:pPr>
              <w:pStyle w:val="nTable"/>
              <w:spacing w:after="40"/>
              <w:ind w:right="113"/>
              <w:rPr>
                <w:i/>
              </w:rPr>
            </w:pPr>
            <w:r>
              <w:rPr>
                <w:i/>
              </w:rPr>
              <w:t>Water Agencies (Charges) Amendment By</w:t>
            </w:r>
            <w:r>
              <w:rPr>
                <w:i/>
              </w:rPr>
              <w:noBreakHyphen/>
              <w:t>laws (No. 3) 2005</w:t>
            </w:r>
          </w:p>
        </w:tc>
        <w:tc>
          <w:tcPr>
            <w:tcW w:w="1276" w:type="dxa"/>
          </w:tcPr>
          <w:p>
            <w:pPr>
              <w:pStyle w:val="nTable"/>
              <w:spacing w:after="40"/>
            </w:pPr>
            <w:r>
              <w:t>1 Jul 2005 p. 3008-9</w:t>
            </w:r>
          </w:p>
        </w:tc>
        <w:tc>
          <w:tcPr>
            <w:tcW w:w="2693" w:type="dxa"/>
          </w:tcPr>
          <w:p>
            <w:pPr>
              <w:pStyle w:val="nTable"/>
              <w:spacing w:after="40"/>
            </w:pPr>
            <w:r>
              <w:t>1 Jul 2005 (see bl. 2)</w:t>
            </w:r>
          </w:p>
        </w:tc>
      </w:tr>
      <w:tr>
        <w:trPr>
          <w:cantSplit/>
        </w:trPr>
        <w:tc>
          <w:tcPr>
            <w:tcW w:w="3118" w:type="dxa"/>
          </w:tcPr>
          <w:p>
            <w:pPr>
              <w:pStyle w:val="nTable"/>
              <w:spacing w:after="40"/>
              <w:ind w:right="113"/>
              <w:rPr>
                <w:i/>
              </w:rPr>
            </w:pPr>
            <w:r>
              <w:rPr>
                <w:i/>
              </w:rPr>
              <w:t>Water Agencies (Charges) Amendment By</w:t>
            </w:r>
            <w:r>
              <w:rPr>
                <w:i/>
              </w:rPr>
              <w:noBreakHyphen/>
              <w:t>laws (No. 2) 2005</w:t>
            </w:r>
          </w:p>
        </w:tc>
        <w:tc>
          <w:tcPr>
            <w:tcW w:w="1276" w:type="dxa"/>
          </w:tcPr>
          <w:p>
            <w:pPr>
              <w:pStyle w:val="nTable"/>
              <w:spacing w:after="40"/>
            </w:pPr>
            <w:r>
              <w:t>1 Jul 2005 p. 3031-78</w:t>
            </w:r>
          </w:p>
        </w:tc>
        <w:tc>
          <w:tcPr>
            <w:tcW w:w="2693" w:type="dxa"/>
          </w:tcPr>
          <w:p>
            <w:pPr>
              <w:pStyle w:val="nTable"/>
              <w:spacing w:after="40"/>
            </w:pPr>
            <w:r>
              <w:t>1 Jul 2005 (see bl. 2)</w:t>
            </w:r>
          </w:p>
        </w:tc>
      </w:tr>
      <w:tr>
        <w:trPr>
          <w:cantSplit/>
        </w:trPr>
        <w:tc>
          <w:tcPr>
            <w:tcW w:w="3118" w:type="dxa"/>
          </w:tcPr>
          <w:p>
            <w:pPr>
              <w:pStyle w:val="nTable"/>
              <w:spacing w:after="40"/>
              <w:ind w:right="113"/>
              <w:rPr>
                <w:i/>
              </w:rPr>
            </w:pPr>
            <w:r>
              <w:rPr>
                <w:i/>
              </w:rPr>
              <w:t>Water Agencies (Charges) Amendment By</w:t>
            </w:r>
            <w:r>
              <w:rPr>
                <w:i/>
              </w:rPr>
              <w:noBreakHyphen/>
              <w:t>laws (No. 4) 2005</w:t>
            </w:r>
          </w:p>
        </w:tc>
        <w:tc>
          <w:tcPr>
            <w:tcW w:w="1276" w:type="dxa"/>
          </w:tcPr>
          <w:p>
            <w:pPr>
              <w:pStyle w:val="nTable"/>
              <w:spacing w:after="40"/>
            </w:pPr>
            <w:r>
              <w:t>4 Nov 2005 p. 5321</w:t>
            </w:r>
          </w:p>
        </w:tc>
        <w:tc>
          <w:tcPr>
            <w:tcW w:w="2693" w:type="dxa"/>
          </w:tcPr>
          <w:p>
            <w:pPr>
              <w:pStyle w:val="nTable"/>
              <w:spacing w:after="40"/>
            </w:pPr>
            <w:r>
              <w:t>4 Nov 2005</w:t>
            </w:r>
          </w:p>
        </w:tc>
      </w:tr>
      <w:tr>
        <w:trPr>
          <w:cantSplit/>
        </w:trPr>
        <w:tc>
          <w:tcPr>
            <w:tcW w:w="7087" w:type="dxa"/>
            <w:gridSpan w:val="3"/>
          </w:tcPr>
          <w:p>
            <w:pPr>
              <w:pStyle w:val="nTable"/>
              <w:spacing w:after="40"/>
            </w:pPr>
            <w:r>
              <w:rPr>
                <w:b/>
              </w:rPr>
              <w:t xml:space="preserve">Reprint 4:  The </w:t>
            </w:r>
            <w:r>
              <w:rPr>
                <w:b/>
                <w:i/>
              </w:rPr>
              <w:t>Water Agencies (Charges) By</w:t>
            </w:r>
            <w:r>
              <w:rPr>
                <w:b/>
                <w:bCs/>
                <w:i/>
              </w:rPr>
              <w:noBreakHyphen/>
            </w:r>
            <w:r>
              <w:rPr>
                <w:b/>
                <w:i/>
              </w:rPr>
              <w:t>laws 1987</w:t>
            </w:r>
            <w:r>
              <w:rPr>
                <w:b/>
              </w:rPr>
              <w:t xml:space="preserve"> as at 31 Mar 2006 </w:t>
            </w:r>
            <w:r>
              <w:t>(includes amendments listed above)</w:t>
            </w:r>
          </w:p>
        </w:tc>
      </w:tr>
      <w:tr>
        <w:trPr>
          <w:cantSplit/>
        </w:trPr>
        <w:tc>
          <w:tcPr>
            <w:tcW w:w="3118" w:type="dxa"/>
          </w:tcPr>
          <w:p>
            <w:pPr>
              <w:pStyle w:val="nTable"/>
              <w:spacing w:after="40"/>
              <w:ind w:right="113"/>
            </w:pPr>
            <w:r>
              <w:rPr>
                <w:i/>
              </w:rPr>
              <w:t>Electricity Corporations (Consequential Amendments) Regulations 2006</w:t>
            </w:r>
            <w:r>
              <w:t xml:space="preserve"> r. 89</w:t>
            </w:r>
          </w:p>
        </w:tc>
        <w:tc>
          <w:tcPr>
            <w:tcW w:w="1276" w:type="dxa"/>
          </w:tcPr>
          <w:p>
            <w:pPr>
              <w:pStyle w:val="nTable"/>
              <w:spacing w:after="40"/>
            </w:pPr>
            <w:r>
              <w:t>31 Mar 2006 p. 1299-357</w:t>
            </w:r>
          </w:p>
        </w:tc>
        <w:tc>
          <w:tcPr>
            <w:tcW w:w="2693" w:type="dxa"/>
          </w:tcPr>
          <w:p>
            <w:pPr>
              <w:pStyle w:val="nTable"/>
              <w:spacing w:after="40"/>
            </w:pPr>
            <w:r>
              <w:t>1 Apr 2006 (see r. 2)</w:t>
            </w:r>
          </w:p>
        </w:tc>
      </w:tr>
      <w:tr>
        <w:trPr>
          <w:cantSplit/>
        </w:trPr>
        <w:tc>
          <w:tcPr>
            <w:tcW w:w="3118" w:type="dxa"/>
          </w:tcPr>
          <w:p>
            <w:pPr>
              <w:pStyle w:val="nTable"/>
              <w:spacing w:after="40"/>
              <w:ind w:right="113"/>
              <w:rPr>
                <w:i/>
              </w:rPr>
            </w:pPr>
            <w:r>
              <w:rPr>
                <w:i/>
              </w:rPr>
              <w:t>Water Agencies (Charges) Amendment By</w:t>
            </w:r>
            <w:r>
              <w:rPr>
                <w:i/>
              </w:rPr>
              <w:noBreakHyphen/>
              <w:t xml:space="preserve">laws 2006 </w:t>
            </w:r>
          </w:p>
        </w:tc>
        <w:tc>
          <w:tcPr>
            <w:tcW w:w="1276" w:type="dxa"/>
          </w:tcPr>
          <w:p>
            <w:pPr>
              <w:pStyle w:val="nTable"/>
              <w:spacing w:after="40"/>
            </w:pPr>
            <w:r>
              <w:t>30 Jun 2006 p. 2413</w:t>
            </w:r>
            <w:r>
              <w:noBreakHyphen/>
              <w:t>61</w:t>
            </w:r>
          </w:p>
        </w:tc>
        <w:tc>
          <w:tcPr>
            <w:tcW w:w="2693" w:type="dxa"/>
          </w:tcPr>
          <w:p>
            <w:pPr>
              <w:pStyle w:val="nTable"/>
              <w:spacing w:after="40"/>
            </w:pPr>
            <w:r>
              <w:t>1 Jul 2006 (see bl. 2)</w:t>
            </w:r>
          </w:p>
        </w:tc>
      </w:tr>
      <w:tr>
        <w:trPr>
          <w:cantSplit/>
        </w:trPr>
        <w:tc>
          <w:tcPr>
            <w:tcW w:w="3118" w:type="dxa"/>
          </w:tcPr>
          <w:p>
            <w:pPr>
              <w:pStyle w:val="nTable"/>
              <w:spacing w:after="40"/>
              <w:ind w:right="113"/>
              <w:rPr>
                <w:i/>
              </w:rPr>
            </w:pPr>
            <w:r>
              <w:rPr>
                <w:i/>
              </w:rPr>
              <w:t>Water Agencies (Charges) Amendment By</w:t>
            </w:r>
            <w:r>
              <w:rPr>
                <w:i/>
              </w:rPr>
              <w:noBreakHyphen/>
              <w:t>laws (No. 3) 2006</w:t>
            </w:r>
          </w:p>
        </w:tc>
        <w:tc>
          <w:tcPr>
            <w:tcW w:w="1276" w:type="dxa"/>
          </w:tcPr>
          <w:p>
            <w:pPr>
              <w:pStyle w:val="nTable"/>
              <w:spacing w:after="40"/>
            </w:pPr>
            <w:r>
              <w:t>14 Nov 2006 p. 4738</w:t>
            </w:r>
          </w:p>
        </w:tc>
        <w:tc>
          <w:tcPr>
            <w:tcW w:w="2693" w:type="dxa"/>
          </w:tcPr>
          <w:p>
            <w:pPr>
              <w:pStyle w:val="nTable"/>
              <w:spacing w:after="40"/>
            </w:pPr>
            <w:r>
              <w:t>14 Nov 2006</w:t>
            </w:r>
          </w:p>
        </w:tc>
      </w:tr>
      <w:tr>
        <w:trPr>
          <w:cantSplit/>
        </w:trPr>
        <w:tc>
          <w:tcPr>
            <w:tcW w:w="3118" w:type="dxa"/>
          </w:tcPr>
          <w:p>
            <w:pPr>
              <w:pStyle w:val="nTable"/>
              <w:spacing w:after="40"/>
              <w:ind w:right="113"/>
              <w:rPr>
                <w:i/>
              </w:rPr>
            </w:pPr>
            <w:r>
              <w:rPr>
                <w:i/>
              </w:rPr>
              <w:t>Water Agencies (Charges) Amendment By</w:t>
            </w:r>
            <w:r>
              <w:rPr>
                <w:i/>
              </w:rPr>
              <w:noBreakHyphen/>
              <w:t>laws 2007</w:t>
            </w:r>
          </w:p>
        </w:tc>
        <w:tc>
          <w:tcPr>
            <w:tcW w:w="1276" w:type="dxa"/>
          </w:tcPr>
          <w:p>
            <w:pPr>
              <w:pStyle w:val="nTable"/>
              <w:spacing w:after="40"/>
            </w:pPr>
            <w:r>
              <w:t>13 Apr 2007 p. 1686-8</w:t>
            </w:r>
          </w:p>
        </w:tc>
        <w:tc>
          <w:tcPr>
            <w:tcW w:w="2693" w:type="dxa"/>
          </w:tcPr>
          <w:p>
            <w:pPr>
              <w:pStyle w:val="nTable"/>
              <w:spacing w:after="40"/>
            </w:pPr>
            <w:r>
              <w:t>13 Apr 2007</w:t>
            </w:r>
          </w:p>
        </w:tc>
      </w:tr>
      <w:tr>
        <w:trPr>
          <w:cantSplit/>
        </w:trPr>
        <w:tc>
          <w:tcPr>
            <w:tcW w:w="3118" w:type="dxa"/>
          </w:tcPr>
          <w:p>
            <w:pPr>
              <w:pStyle w:val="nTable"/>
              <w:spacing w:after="40"/>
              <w:ind w:right="113"/>
              <w:rPr>
                <w:i/>
              </w:rPr>
            </w:pPr>
            <w:r>
              <w:rPr>
                <w:i/>
              </w:rPr>
              <w:t>Water Agencies (Charges) Amendment By</w:t>
            </w:r>
            <w:r>
              <w:rPr>
                <w:i/>
              </w:rPr>
              <w:noBreakHyphen/>
              <w:t>laws (No. 2) 2007</w:t>
            </w:r>
          </w:p>
        </w:tc>
        <w:tc>
          <w:tcPr>
            <w:tcW w:w="1276" w:type="dxa"/>
          </w:tcPr>
          <w:p>
            <w:pPr>
              <w:pStyle w:val="nTable"/>
              <w:spacing w:after="40"/>
            </w:pPr>
            <w:r>
              <w:t>29 Jun 2007 p. 3245-88</w:t>
            </w:r>
          </w:p>
        </w:tc>
        <w:tc>
          <w:tcPr>
            <w:tcW w:w="2693" w:type="dxa"/>
          </w:tcPr>
          <w:p>
            <w:pPr>
              <w:pStyle w:val="nTable"/>
              <w:spacing w:after="40"/>
            </w:pPr>
            <w:r>
              <w:t>bl. 1 and 2: 29 Jun 2007 (see bl. 2(a));</w:t>
            </w:r>
            <w:r>
              <w:br/>
              <w:t>By-laws other than bl. 1 and 2: 1 Jul 2007 (see bl. 2(b))</w:t>
            </w:r>
          </w:p>
        </w:tc>
      </w:tr>
      <w:tr>
        <w:trPr>
          <w:cantSplit/>
        </w:trPr>
        <w:tc>
          <w:tcPr>
            <w:tcW w:w="7087" w:type="dxa"/>
            <w:gridSpan w:val="3"/>
          </w:tcPr>
          <w:p>
            <w:pPr>
              <w:pStyle w:val="nTable"/>
              <w:spacing w:after="40"/>
            </w:pPr>
            <w:r>
              <w:rPr>
                <w:b/>
              </w:rPr>
              <w:t xml:space="preserve">Reprint 5:  The </w:t>
            </w:r>
            <w:r>
              <w:rPr>
                <w:b/>
                <w:i/>
              </w:rPr>
              <w:t>Water Agencies (Charges) By</w:t>
            </w:r>
            <w:r>
              <w:rPr>
                <w:b/>
                <w:bCs/>
                <w:i/>
              </w:rPr>
              <w:noBreakHyphen/>
            </w:r>
            <w:r>
              <w:rPr>
                <w:b/>
                <w:i/>
              </w:rPr>
              <w:t>laws 1987</w:t>
            </w:r>
            <w:r>
              <w:rPr>
                <w:b/>
              </w:rPr>
              <w:t xml:space="preserve"> as at 5 Oct 2007 </w:t>
            </w:r>
            <w:r>
              <w:t>(includes amendments listed above)</w:t>
            </w:r>
          </w:p>
        </w:tc>
      </w:tr>
      <w:tr>
        <w:trPr>
          <w:cantSplit/>
        </w:trPr>
        <w:tc>
          <w:tcPr>
            <w:tcW w:w="3118" w:type="dxa"/>
          </w:tcPr>
          <w:p>
            <w:pPr>
              <w:pStyle w:val="nTable"/>
              <w:spacing w:after="40"/>
              <w:ind w:right="113"/>
              <w:rPr>
                <w:i/>
              </w:rPr>
            </w:pPr>
            <w:r>
              <w:rPr>
                <w:i/>
              </w:rPr>
              <w:t>Water Agencies (Charges) Amendment By</w:t>
            </w:r>
            <w:r>
              <w:rPr>
                <w:i/>
              </w:rPr>
              <w:noBreakHyphen/>
              <w:t>laws (No. 4) 2007</w:t>
            </w:r>
          </w:p>
        </w:tc>
        <w:tc>
          <w:tcPr>
            <w:tcW w:w="1276" w:type="dxa"/>
          </w:tcPr>
          <w:p>
            <w:pPr>
              <w:pStyle w:val="nTable"/>
              <w:spacing w:after="40"/>
            </w:pPr>
            <w:r>
              <w:t>21 Dec 2007 p. 6349</w:t>
            </w:r>
          </w:p>
        </w:tc>
        <w:tc>
          <w:tcPr>
            <w:tcW w:w="2693" w:type="dxa"/>
          </w:tcPr>
          <w:p>
            <w:pPr>
              <w:pStyle w:val="nTable"/>
              <w:spacing w:before="0" w:after="40"/>
            </w:pPr>
            <w:r>
              <w:t>bl. 1 and 2: 21 Dec 2007 (see bl. 2(a));</w:t>
            </w:r>
            <w:r>
              <w:br/>
              <w:t>By-laws other than bl. 1 and 2: 22 Dec 2007 (see bl. 2(b))</w:t>
            </w:r>
          </w:p>
        </w:tc>
      </w:tr>
      <w:tr>
        <w:trPr>
          <w:cantSplit/>
        </w:trPr>
        <w:tc>
          <w:tcPr>
            <w:tcW w:w="3118" w:type="dxa"/>
          </w:tcPr>
          <w:p>
            <w:pPr>
              <w:pStyle w:val="nTable"/>
              <w:spacing w:after="40"/>
              <w:ind w:right="113"/>
              <w:rPr>
                <w:i/>
              </w:rPr>
            </w:pPr>
            <w:r>
              <w:rPr>
                <w:i/>
              </w:rPr>
              <w:t>Water Agencies (Charges) Amendment By</w:t>
            </w:r>
            <w:r>
              <w:rPr>
                <w:i/>
              </w:rPr>
              <w:noBreakHyphen/>
              <w:t>laws 2008</w:t>
            </w:r>
          </w:p>
        </w:tc>
        <w:tc>
          <w:tcPr>
            <w:tcW w:w="1276" w:type="dxa"/>
          </w:tcPr>
          <w:p>
            <w:pPr>
              <w:pStyle w:val="nTable"/>
              <w:spacing w:after="40"/>
            </w:pPr>
            <w:r>
              <w:t>27 Jun 2008 p. 2981</w:t>
            </w:r>
            <w:r>
              <w:noBreakHyphen/>
              <w:t>3048</w:t>
            </w:r>
          </w:p>
        </w:tc>
        <w:tc>
          <w:tcPr>
            <w:tcW w:w="2693" w:type="dxa"/>
          </w:tcPr>
          <w:p>
            <w:pPr>
              <w:pStyle w:val="nTable"/>
              <w:spacing w:before="0" w:after="40"/>
            </w:pPr>
            <w:r>
              <w:t>bl. 1 and 2: 27 Jun 2008 (see bl. 2(a));</w:t>
            </w:r>
            <w:r>
              <w:br/>
              <w:t>By-laws other than bl. 1 and 2: 1 Jul 2008 (see bl. 2(b))</w:t>
            </w:r>
          </w:p>
        </w:tc>
      </w:tr>
      <w:tr>
        <w:trPr>
          <w:cantSplit/>
        </w:trPr>
        <w:tc>
          <w:tcPr>
            <w:tcW w:w="3118" w:type="dxa"/>
          </w:tcPr>
          <w:p>
            <w:pPr>
              <w:pStyle w:val="nTable"/>
              <w:spacing w:after="40"/>
              <w:ind w:right="113"/>
              <w:rPr>
                <w:i/>
              </w:rPr>
            </w:pPr>
            <w:r>
              <w:rPr>
                <w:i/>
              </w:rPr>
              <w:t>Water Agencies (Charges) Amendment By</w:t>
            </w:r>
            <w:r>
              <w:rPr>
                <w:i/>
              </w:rPr>
              <w:noBreakHyphen/>
              <w:t>laws 2009</w:t>
            </w:r>
          </w:p>
        </w:tc>
        <w:tc>
          <w:tcPr>
            <w:tcW w:w="1276" w:type="dxa"/>
          </w:tcPr>
          <w:p>
            <w:pPr>
              <w:pStyle w:val="nTable"/>
              <w:spacing w:after="40"/>
            </w:pPr>
            <w:r>
              <w:t>19 Jun 2009 p. 2319-92</w:t>
            </w:r>
          </w:p>
        </w:tc>
        <w:tc>
          <w:tcPr>
            <w:tcW w:w="2693" w:type="dxa"/>
          </w:tcPr>
          <w:p>
            <w:pPr>
              <w:pStyle w:val="nTable"/>
              <w:spacing w:before="0" w:after="40"/>
            </w:pPr>
            <w:r>
              <w:t>bl. 1 and 2: 19 Jun 2009 (see bl. 2(a));</w:t>
            </w:r>
            <w:r>
              <w:br/>
              <w:t>By-laws other than bl. 1 and 2: 1 Jul 2009 (see bl. 2(b))</w:t>
            </w:r>
          </w:p>
        </w:tc>
      </w:tr>
      <w:tr>
        <w:trPr>
          <w:cantSplit/>
        </w:trPr>
        <w:tc>
          <w:tcPr>
            <w:tcW w:w="7087" w:type="dxa"/>
            <w:gridSpan w:val="3"/>
          </w:tcPr>
          <w:p>
            <w:pPr>
              <w:pStyle w:val="nTable"/>
              <w:spacing w:before="0" w:after="40"/>
            </w:pPr>
            <w:r>
              <w:rPr>
                <w:b/>
              </w:rPr>
              <w:t xml:space="preserve">Reprint 6:  The </w:t>
            </w:r>
            <w:r>
              <w:rPr>
                <w:b/>
                <w:i/>
              </w:rPr>
              <w:t>Water Agencies (Charges) By</w:t>
            </w:r>
            <w:r>
              <w:rPr>
                <w:b/>
                <w:bCs/>
                <w:i/>
              </w:rPr>
              <w:noBreakHyphen/>
            </w:r>
            <w:r>
              <w:rPr>
                <w:b/>
                <w:i/>
              </w:rPr>
              <w:t>laws 1987</w:t>
            </w:r>
            <w:r>
              <w:rPr>
                <w:b/>
              </w:rPr>
              <w:t xml:space="preserve"> as at 7 Aug 2009 </w:t>
            </w:r>
            <w:r>
              <w:t>(includes amendments listed above)</w:t>
            </w:r>
          </w:p>
        </w:tc>
      </w:tr>
      <w:tr>
        <w:trPr>
          <w:cantSplit/>
        </w:trPr>
        <w:tc>
          <w:tcPr>
            <w:tcW w:w="3118" w:type="dxa"/>
          </w:tcPr>
          <w:p>
            <w:pPr>
              <w:pStyle w:val="nTable"/>
              <w:spacing w:after="40"/>
              <w:ind w:right="113"/>
              <w:rPr>
                <w:i/>
              </w:rPr>
            </w:pPr>
            <w:r>
              <w:rPr>
                <w:i/>
              </w:rPr>
              <w:t>Water Agencies (Charges) Amendment By</w:t>
            </w:r>
            <w:r>
              <w:rPr>
                <w:i/>
              </w:rPr>
              <w:noBreakHyphen/>
              <w:t>laws 2010</w:t>
            </w:r>
          </w:p>
        </w:tc>
        <w:tc>
          <w:tcPr>
            <w:tcW w:w="1276" w:type="dxa"/>
          </w:tcPr>
          <w:p>
            <w:pPr>
              <w:pStyle w:val="nTable"/>
              <w:spacing w:after="40"/>
            </w:pPr>
            <w:r>
              <w:t>25 Jun 2010 p. 2901</w:t>
            </w:r>
            <w:r>
              <w:noBreakHyphen/>
              <w:t>81</w:t>
            </w:r>
          </w:p>
        </w:tc>
        <w:tc>
          <w:tcPr>
            <w:tcW w:w="2693" w:type="dxa"/>
          </w:tcPr>
          <w:p>
            <w:pPr>
              <w:pStyle w:val="nTable"/>
              <w:spacing w:before="0" w:after="40"/>
            </w:pPr>
            <w:r>
              <w:t>bl. 1 and 2: 25 Jun 2010 (see bl. 2(a));</w:t>
            </w:r>
            <w:r>
              <w:br/>
              <w:t>By-laws other than bl. 1 and 2: 1 Jul 2010 (see bl. 2(b))</w:t>
            </w:r>
          </w:p>
        </w:tc>
      </w:tr>
      <w:tr>
        <w:trPr>
          <w:cantSplit/>
        </w:trPr>
        <w:tc>
          <w:tcPr>
            <w:tcW w:w="3118" w:type="dxa"/>
          </w:tcPr>
          <w:p>
            <w:pPr>
              <w:pStyle w:val="nTable"/>
              <w:spacing w:after="40"/>
              <w:ind w:right="113"/>
              <w:rPr>
                <w:i/>
              </w:rPr>
            </w:pPr>
            <w:r>
              <w:rPr>
                <w:i/>
              </w:rPr>
              <w:t>Water Agencies (Charges) Amendment By</w:t>
            </w:r>
            <w:r>
              <w:rPr>
                <w:i/>
              </w:rPr>
              <w:noBreakHyphen/>
              <w:t>laws (No. 2) 2010</w:t>
            </w:r>
          </w:p>
        </w:tc>
        <w:tc>
          <w:tcPr>
            <w:tcW w:w="1276" w:type="dxa"/>
          </w:tcPr>
          <w:p>
            <w:pPr>
              <w:pStyle w:val="nTable"/>
              <w:spacing w:after="40"/>
            </w:pPr>
            <w:r>
              <w:t>10 Sep 2010 p. 4350-1</w:t>
            </w:r>
          </w:p>
        </w:tc>
        <w:tc>
          <w:tcPr>
            <w:tcW w:w="2693" w:type="dxa"/>
          </w:tcPr>
          <w:p>
            <w:pPr>
              <w:pStyle w:val="nTable"/>
              <w:spacing w:before="0" w:after="40"/>
            </w:pPr>
            <w:r>
              <w:t>bl. 1 and 2: 10 Sep 2010 (see bl. 2(a));</w:t>
            </w:r>
            <w:r>
              <w:br/>
              <w:t>By-laws other than bl. 1 and 2: 11 Sep 2010 (see bl. 2(b))</w:t>
            </w:r>
          </w:p>
        </w:tc>
      </w:tr>
      <w:tr>
        <w:trPr>
          <w:cantSplit/>
        </w:trPr>
        <w:tc>
          <w:tcPr>
            <w:tcW w:w="3118" w:type="dxa"/>
          </w:tcPr>
          <w:p>
            <w:pPr>
              <w:pStyle w:val="nTable"/>
              <w:spacing w:after="40"/>
              <w:ind w:right="113"/>
              <w:rPr>
                <w:i/>
              </w:rPr>
            </w:pPr>
            <w:r>
              <w:rPr>
                <w:i/>
              </w:rPr>
              <w:t>Water Agencies (Charges) Amendment By</w:t>
            </w:r>
            <w:r>
              <w:rPr>
                <w:i/>
              </w:rPr>
              <w:noBreakHyphen/>
              <w:t>laws 2011</w:t>
            </w:r>
          </w:p>
        </w:tc>
        <w:tc>
          <w:tcPr>
            <w:tcW w:w="1276" w:type="dxa"/>
          </w:tcPr>
          <w:p>
            <w:pPr>
              <w:pStyle w:val="nTable"/>
              <w:spacing w:after="40"/>
            </w:pPr>
            <w:r>
              <w:t>23 Jun 2011 p. 2417-93</w:t>
            </w:r>
          </w:p>
        </w:tc>
        <w:tc>
          <w:tcPr>
            <w:tcW w:w="2693" w:type="dxa"/>
          </w:tcPr>
          <w:p>
            <w:pPr>
              <w:pStyle w:val="nTable"/>
              <w:spacing w:before="0" w:after="40"/>
            </w:pPr>
            <w:r>
              <w:t>bl. 1 and 2: 23 Jun 2011 (see bl. 2(a));</w:t>
            </w:r>
            <w:r>
              <w:br/>
              <w:t>By-laws other than bl. 1 and 2: 1 Jul 2011 (see bl. 2(b))</w:t>
            </w:r>
          </w:p>
        </w:tc>
      </w:tr>
      <w:tr>
        <w:trPr>
          <w:cantSplit/>
        </w:trPr>
        <w:tc>
          <w:tcPr>
            <w:tcW w:w="3118" w:type="dxa"/>
            <w:tcBorders>
              <w:bottom w:val="single" w:sz="4" w:space="0" w:color="auto"/>
            </w:tcBorders>
          </w:tcPr>
          <w:p>
            <w:pPr>
              <w:pStyle w:val="nTable"/>
              <w:spacing w:after="40"/>
              <w:ind w:right="113"/>
              <w:rPr>
                <w:i/>
              </w:rPr>
            </w:pPr>
            <w:r>
              <w:rPr>
                <w:i/>
              </w:rPr>
              <w:t>Water Agencies (Charges) Amendment By</w:t>
            </w:r>
            <w:r>
              <w:rPr>
                <w:i/>
              </w:rPr>
              <w:noBreakHyphen/>
              <w:t>laws 2012</w:t>
            </w:r>
          </w:p>
        </w:tc>
        <w:tc>
          <w:tcPr>
            <w:tcW w:w="1276" w:type="dxa"/>
            <w:tcBorders>
              <w:bottom w:val="single" w:sz="4" w:space="0" w:color="auto"/>
            </w:tcBorders>
          </w:tcPr>
          <w:p>
            <w:pPr>
              <w:pStyle w:val="nTable"/>
              <w:spacing w:after="40"/>
            </w:pPr>
            <w:r>
              <w:t>20 Jun 2012 p. 2693</w:t>
            </w:r>
            <w:r>
              <w:noBreakHyphen/>
              <w:t>774</w:t>
            </w:r>
          </w:p>
        </w:tc>
        <w:tc>
          <w:tcPr>
            <w:tcW w:w="2693" w:type="dxa"/>
            <w:tcBorders>
              <w:bottom w:val="single" w:sz="4" w:space="0" w:color="auto"/>
            </w:tcBorders>
          </w:tcPr>
          <w:p>
            <w:pPr>
              <w:pStyle w:val="nTable"/>
              <w:spacing w:before="0" w:after="40"/>
            </w:pPr>
            <w:r>
              <w:rPr>
                <w:snapToGrid w:val="0"/>
                <w:spacing w:val="-2"/>
              </w:rPr>
              <w:t>bl. 1 and 2: 20 Jun 2012 (see bl. 2(a));</w:t>
            </w:r>
            <w:r>
              <w:rPr>
                <w:snapToGrid w:val="0"/>
                <w:spacing w:val="-2"/>
              </w:rPr>
              <w:br/>
              <w:t>By-laws other than bl. 1 and 2: 1 Jul 2012 (see bl. 2(b))</w:t>
            </w:r>
          </w:p>
        </w:tc>
      </w:tr>
    </w:tbl>
    <w:p>
      <w:pPr>
        <w:pStyle w:val="nNote"/>
        <w:tabs>
          <w:tab w:val="left" w:pos="567"/>
        </w:tabs>
        <w:spacing w:before="120"/>
        <w:ind w:left="567" w:hanging="567"/>
        <w:rPr>
          <w:ins w:id="921" w:author="Master Repository Process" w:date="2021-10-06T15:57:00Z"/>
          <w:snapToGrid w:val="0"/>
        </w:rPr>
      </w:pPr>
      <w:ins w:id="922" w:author="Master Repository Process" w:date="2021-10-06T15:57: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923" w:author="Master Repository Process" w:date="2021-10-06T15:57:00Z"/>
        </w:rPr>
      </w:pPr>
      <w:bookmarkStart w:id="924" w:name="_Toc84428023"/>
      <w:ins w:id="925" w:author="Master Repository Process" w:date="2021-10-06T15:57:00Z">
        <w:r>
          <w:t>Provisions that have not come into operation</w:t>
        </w:r>
        <w:bookmarkEnd w:id="924"/>
      </w:ins>
    </w:p>
    <w:tbl>
      <w:tblPr>
        <w:tblW w:w="0" w:type="auto"/>
        <w:tblInd w:w="57"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319"/>
        <w:gridCol w:w="1118"/>
        <w:gridCol w:w="1134"/>
        <w:gridCol w:w="2552"/>
      </w:tblGrid>
      <w:tr>
        <w:trPr>
          <w:ins w:id="926" w:author="Master Repository Process" w:date="2021-10-06T15:57:00Z"/>
        </w:trPr>
        <w:tc>
          <w:tcPr>
            <w:tcW w:w="2319" w:type="dxa"/>
          </w:tcPr>
          <w:p>
            <w:pPr>
              <w:pStyle w:val="nTable"/>
              <w:spacing w:after="40"/>
              <w:rPr>
                <w:ins w:id="927" w:author="Master Repository Process" w:date="2021-10-06T15:57:00Z"/>
                <w:b/>
                <w:snapToGrid w:val="0"/>
              </w:rPr>
            </w:pPr>
            <w:ins w:id="928" w:author="Master Repository Process" w:date="2021-10-06T15:57:00Z">
              <w:r>
                <w:rPr>
                  <w:b/>
                  <w:snapToGrid w:val="0"/>
                </w:rPr>
                <w:t>Short title</w:t>
              </w:r>
            </w:ins>
          </w:p>
        </w:tc>
        <w:tc>
          <w:tcPr>
            <w:tcW w:w="1118" w:type="dxa"/>
          </w:tcPr>
          <w:p>
            <w:pPr>
              <w:pStyle w:val="nTable"/>
              <w:spacing w:after="40"/>
              <w:rPr>
                <w:ins w:id="929" w:author="Master Repository Process" w:date="2021-10-06T15:57:00Z"/>
                <w:b/>
                <w:snapToGrid w:val="0"/>
              </w:rPr>
            </w:pPr>
            <w:ins w:id="930" w:author="Master Repository Process" w:date="2021-10-06T15:57:00Z">
              <w:r>
                <w:rPr>
                  <w:b/>
                  <w:snapToGrid w:val="0"/>
                </w:rPr>
                <w:t>Number and year</w:t>
              </w:r>
            </w:ins>
          </w:p>
        </w:tc>
        <w:tc>
          <w:tcPr>
            <w:tcW w:w="1134" w:type="dxa"/>
          </w:tcPr>
          <w:p>
            <w:pPr>
              <w:pStyle w:val="nTable"/>
              <w:spacing w:after="40"/>
              <w:rPr>
                <w:ins w:id="931" w:author="Master Repository Process" w:date="2021-10-06T15:57:00Z"/>
                <w:b/>
                <w:snapToGrid w:val="0"/>
              </w:rPr>
            </w:pPr>
            <w:ins w:id="932" w:author="Master Repository Process" w:date="2021-10-06T15:57:00Z">
              <w:r>
                <w:rPr>
                  <w:b/>
                  <w:snapToGrid w:val="0"/>
                </w:rPr>
                <w:t>Assent</w:t>
              </w:r>
            </w:ins>
          </w:p>
        </w:tc>
        <w:tc>
          <w:tcPr>
            <w:tcW w:w="2552" w:type="dxa"/>
          </w:tcPr>
          <w:p>
            <w:pPr>
              <w:pStyle w:val="nTable"/>
              <w:spacing w:after="40"/>
              <w:rPr>
                <w:ins w:id="933" w:author="Master Repository Process" w:date="2021-10-06T15:57:00Z"/>
                <w:b/>
                <w:snapToGrid w:val="0"/>
              </w:rPr>
            </w:pPr>
            <w:ins w:id="934" w:author="Master Repository Process" w:date="2021-10-06T15:57:00Z">
              <w:r>
                <w:rPr>
                  <w:b/>
                  <w:snapToGrid w:val="0"/>
                </w:rPr>
                <w:t>Commencement</w:t>
              </w:r>
            </w:ins>
          </w:p>
        </w:tc>
      </w:tr>
      <w:tr>
        <w:trPr>
          <w:ins w:id="935" w:author="Master Repository Process" w:date="2021-10-06T15:57:00Z"/>
        </w:trPr>
        <w:tc>
          <w:tcPr>
            <w:tcW w:w="2319" w:type="dxa"/>
          </w:tcPr>
          <w:p>
            <w:pPr>
              <w:pStyle w:val="nTable"/>
              <w:spacing w:after="40"/>
              <w:rPr>
                <w:ins w:id="936" w:author="Master Repository Process" w:date="2021-10-06T15:57:00Z"/>
                <w:snapToGrid w:val="0"/>
              </w:rPr>
            </w:pPr>
            <w:ins w:id="937" w:author="Master Repository Process" w:date="2021-10-06T15:57:00Z">
              <w:r>
                <w:rPr>
                  <w:i/>
                  <w:snapToGrid w:val="0"/>
                </w:rPr>
                <w:t>Water Services Legislation Amendment and Repeal Act 2012</w:t>
              </w:r>
              <w:r>
                <w:rPr>
                  <w:snapToGrid w:val="0"/>
                </w:rPr>
                <w:t xml:space="preserve"> s. 202(b)</w:t>
              </w:r>
              <w:r>
                <w:rPr>
                  <w:snapToGrid w:val="0"/>
                  <w:vertAlign w:val="superscript"/>
                </w:rPr>
                <w:t> 22</w:t>
              </w:r>
            </w:ins>
          </w:p>
        </w:tc>
        <w:tc>
          <w:tcPr>
            <w:tcW w:w="1118" w:type="dxa"/>
          </w:tcPr>
          <w:p>
            <w:pPr>
              <w:pStyle w:val="nTable"/>
              <w:spacing w:after="40"/>
              <w:rPr>
                <w:ins w:id="938" w:author="Master Repository Process" w:date="2021-10-06T15:57:00Z"/>
                <w:snapToGrid w:val="0"/>
              </w:rPr>
            </w:pPr>
            <w:ins w:id="939" w:author="Master Repository Process" w:date="2021-10-06T15:57:00Z">
              <w:r>
                <w:rPr>
                  <w:snapToGrid w:val="0"/>
                </w:rPr>
                <w:t>25 of 2012</w:t>
              </w:r>
            </w:ins>
          </w:p>
        </w:tc>
        <w:tc>
          <w:tcPr>
            <w:tcW w:w="1134" w:type="dxa"/>
          </w:tcPr>
          <w:p>
            <w:pPr>
              <w:pStyle w:val="nTable"/>
              <w:spacing w:after="40"/>
              <w:rPr>
                <w:ins w:id="940" w:author="Master Repository Process" w:date="2021-10-06T15:57:00Z"/>
                <w:snapToGrid w:val="0"/>
              </w:rPr>
            </w:pPr>
            <w:ins w:id="941" w:author="Master Repository Process" w:date="2021-10-06T15:57:00Z">
              <w:r>
                <w:t>3 Sep 2012</w:t>
              </w:r>
            </w:ins>
          </w:p>
        </w:tc>
        <w:tc>
          <w:tcPr>
            <w:tcW w:w="2552" w:type="dxa"/>
          </w:tcPr>
          <w:p>
            <w:pPr>
              <w:pStyle w:val="nTable"/>
              <w:spacing w:after="40"/>
              <w:rPr>
                <w:ins w:id="942" w:author="Master Repository Process" w:date="2021-10-06T15:57:00Z"/>
                <w:snapToGrid w:val="0"/>
              </w:rPr>
            </w:pPr>
            <w:ins w:id="943" w:author="Master Repository Process" w:date="2021-10-06T15:57:00Z">
              <w:r>
                <w:rPr>
                  <w:snapToGrid w:val="0"/>
                </w:rPr>
                <w:t>To be proclaimed (see s. 2(b))</w:t>
              </w:r>
            </w:ins>
          </w:p>
        </w:tc>
      </w:tr>
    </w:tbl>
    <w:p>
      <w:pPr>
        <w:pStyle w:val="nNote"/>
        <w:rPr>
          <w:snapToGrid w:val="0"/>
          <w:vertAlign w:val="superscript"/>
        </w:rPr>
      </w:pPr>
    </w:p>
    <w:p>
      <w:pPr>
        <w:pStyle w:val="nNote"/>
        <w:rPr>
          <w:snapToGrid w:val="0"/>
        </w:rPr>
      </w:pPr>
      <w:r>
        <w:rPr>
          <w:snapToGrid w:val="0"/>
          <w:vertAlign w:val="superscript"/>
        </w:rPr>
        <w:t>2</w:t>
      </w:r>
      <w:r>
        <w:rPr>
          <w:snapToGrid w:val="0"/>
        </w:rPr>
        <w:tab/>
        <w:t xml:space="preserve">Now established by the </w:t>
      </w:r>
      <w:r>
        <w:rPr>
          <w:i/>
          <w:snapToGrid w:val="0"/>
        </w:rPr>
        <w:t>Port Authorities Act 1999</w:t>
      </w:r>
      <w:r>
        <w:rPr>
          <w:snapToGrid w:val="0"/>
        </w:rPr>
        <w:t xml:space="preserve"> s. 4.</w:t>
      </w:r>
    </w:p>
    <w:p>
      <w:pPr>
        <w:pStyle w:val="nNote"/>
        <w:rPr>
          <w:snapToGrid w:val="0"/>
        </w:rPr>
      </w:pPr>
      <w:r>
        <w:rPr>
          <w:snapToGrid w:val="0"/>
          <w:vertAlign w:val="superscript"/>
        </w:rPr>
        <w:t>3</w:t>
      </w:r>
      <w:r>
        <w:rPr>
          <w:snapToGrid w:val="0"/>
        </w:rPr>
        <w:tab/>
        <w:t xml:space="preserve">Under the </w:t>
      </w:r>
      <w:r>
        <w:rPr>
          <w:i/>
          <w:snapToGrid w:val="0"/>
        </w:rPr>
        <w:t>Marine and Harbours Act 1981</w:t>
      </w:r>
      <w:r>
        <w:rPr>
          <w:snapToGrid w:val="0"/>
        </w:rPr>
        <w:t xml:space="preserve"> s. 20 a reference in a written law to the former Department of Marine and Harbours is, unless the contrary intention appears, to be read and construed as a reference to the department principally assisting the Minister in the administration of that Act.</w:t>
      </w:r>
    </w:p>
    <w:p>
      <w:pPr>
        <w:pStyle w:val="nNote"/>
        <w:spacing w:before="60"/>
        <w:rPr>
          <w:i/>
          <w:snapToGrid w:val="0"/>
        </w:rPr>
      </w:pPr>
      <w:r>
        <w:rPr>
          <w:snapToGrid w:val="0"/>
          <w:vertAlign w:val="superscript"/>
        </w:rPr>
        <w:t>4</w:t>
      </w:r>
      <w:r>
        <w:rPr>
          <w:snapToGrid w:val="0"/>
        </w:rPr>
        <w:tab/>
        <w:t xml:space="preserve">Repealed by the </w:t>
      </w:r>
      <w:r>
        <w:rPr>
          <w:i/>
          <w:snapToGrid w:val="0"/>
        </w:rPr>
        <w:t>Gas Corporation (Business Disposal) Act 1999</w:t>
      </w:r>
      <w:r>
        <w:rPr>
          <w:snapToGrid w:val="0"/>
        </w:rPr>
        <w:t>.</w:t>
      </w:r>
    </w:p>
    <w:p>
      <w:pPr>
        <w:pStyle w:val="nNote"/>
        <w:spacing w:before="60"/>
        <w:rPr>
          <w:snapToGrid w:val="0"/>
        </w:rPr>
      </w:pPr>
      <w:r>
        <w:rPr>
          <w:snapToGrid w:val="0"/>
          <w:vertAlign w:val="superscript"/>
        </w:rPr>
        <w:t>5</w:t>
      </w:r>
      <w:r>
        <w:rPr>
          <w:snapToGrid w:val="0"/>
        </w:rPr>
        <w:tab/>
        <w:t xml:space="preserve">Repealed by the </w:t>
      </w:r>
      <w:r>
        <w:rPr>
          <w:i/>
          <w:snapToGrid w:val="0"/>
        </w:rPr>
        <w:t>Western Australian Land Authority Act 1992</w:t>
      </w:r>
      <w:r>
        <w:rPr>
          <w:snapToGrid w:val="0"/>
        </w:rPr>
        <w:t>.</w:t>
      </w:r>
    </w:p>
    <w:p>
      <w:pPr>
        <w:pStyle w:val="nNote"/>
        <w:rPr>
          <w:snapToGrid w:val="0"/>
        </w:rPr>
      </w:pPr>
      <w:r>
        <w:rPr>
          <w:snapToGrid w:val="0"/>
          <w:vertAlign w:val="superscript"/>
        </w:rPr>
        <w:t>6</w:t>
      </w:r>
      <w:r>
        <w:rPr>
          <w:snapToGrid w:val="0"/>
        </w:rPr>
        <w:tab/>
        <w:t xml:space="preserve">Repealed by the </w:t>
      </w:r>
      <w:r>
        <w:rPr>
          <w:i/>
          <w:snapToGrid w:val="0"/>
        </w:rPr>
        <w:t>Public Transport Authority Act 2003</w:t>
      </w:r>
      <w:r>
        <w:rPr>
          <w:snapToGrid w:val="0"/>
        </w:rPr>
        <w:t>.</w:t>
      </w:r>
    </w:p>
    <w:p>
      <w:pPr>
        <w:pStyle w:val="nNote"/>
        <w:spacing w:before="60"/>
        <w:rPr>
          <w:snapToGrid w:val="0"/>
        </w:rPr>
      </w:pPr>
      <w:r>
        <w:rPr>
          <w:snapToGrid w:val="0"/>
          <w:vertAlign w:val="superscript"/>
        </w:rPr>
        <w:t>7</w:t>
      </w:r>
      <w:r>
        <w:rPr>
          <w:snapToGrid w:val="0"/>
        </w:rPr>
        <w:tab/>
        <w:t xml:space="preserve">Repealed by the </w:t>
      </w:r>
      <w:r>
        <w:rPr>
          <w:i/>
          <w:snapToGrid w:val="0"/>
        </w:rPr>
        <w:t>WADC and WA Exim Corporation Repeal Act 1998</w:t>
      </w:r>
      <w:r>
        <w:rPr>
          <w:snapToGrid w:val="0"/>
        </w:rPr>
        <w:t>.</w:t>
      </w:r>
    </w:p>
    <w:p>
      <w:pPr>
        <w:pStyle w:val="nNote"/>
        <w:spacing w:before="60"/>
        <w:rPr>
          <w:snapToGrid w:val="0"/>
        </w:rPr>
      </w:pPr>
      <w:r>
        <w:rPr>
          <w:snapToGrid w:val="0"/>
          <w:vertAlign w:val="superscript"/>
        </w:rPr>
        <w:t>8</w:t>
      </w:r>
      <w:r>
        <w:rPr>
          <w:snapToGrid w:val="0"/>
        </w:rPr>
        <w:tab/>
        <w:t xml:space="preserve">Repealed by the </w:t>
      </w:r>
      <w:r>
        <w:rPr>
          <w:i/>
          <w:snapToGrid w:val="0"/>
        </w:rPr>
        <w:t>Meat Industry Legislation (Amendment and Repeal) Act 1993</w:t>
      </w:r>
      <w:r>
        <w:rPr>
          <w:snapToGrid w:val="0"/>
        </w:rPr>
        <w:t>.</w:t>
      </w:r>
    </w:p>
    <w:p>
      <w:pPr>
        <w:pStyle w:val="nNote"/>
        <w:rPr>
          <w:snapToGrid w:val="0"/>
        </w:rPr>
      </w:pPr>
      <w:r>
        <w:rPr>
          <w:snapToGrid w:val="0"/>
          <w:vertAlign w:val="superscript"/>
        </w:rPr>
        <w:t>9</w:t>
      </w:r>
      <w:r>
        <w:rPr>
          <w:snapToGrid w:val="0"/>
        </w:rPr>
        <w:tab/>
        <w:t xml:space="preserve">Under the </w:t>
      </w:r>
      <w:r>
        <w:rPr>
          <w:i/>
          <w:snapToGrid w:val="0"/>
        </w:rPr>
        <w:t>Public Transport Authority Act 2003</w:t>
      </w:r>
      <w:r>
        <w:rPr>
          <w:snapToGrid w:val="0"/>
        </w:rPr>
        <w:t xml:space="preserve"> s. 85 a reference in a written law to the former Western Australian Government Railways Commission is, unless in the context it would be inappropriate to do so, to be construed as a reference to the Public Transport Authority.</w:t>
      </w:r>
    </w:p>
    <w:p>
      <w:pPr>
        <w:pStyle w:val="nNote"/>
        <w:spacing w:before="60"/>
        <w:rPr>
          <w:snapToGrid w:val="0"/>
        </w:rPr>
      </w:pPr>
      <w:r>
        <w:rPr>
          <w:snapToGrid w:val="0"/>
          <w:vertAlign w:val="superscript"/>
        </w:rPr>
        <w:t>10</w:t>
      </w:r>
      <w:r>
        <w:rPr>
          <w:snapToGrid w:val="0"/>
        </w:rPr>
        <w:tab/>
        <w:t xml:space="preserve">Formerly referred to the </w:t>
      </w:r>
      <w:r>
        <w:rPr>
          <w:i/>
          <w:snapToGrid w:val="0"/>
        </w:rPr>
        <w:t>Western Australian Greyhound Racing Authority Act 1981</w:t>
      </w:r>
      <w:r>
        <w:rPr>
          <w:snapToGrid w:val="0"/>
        </w:rPr>
        <w:t xml:space="preserve"> the short title of which was changed to the </w:t>
      </w:r>
      <w:r>
        <w:rPr>
          <w:i/>
          <w:snapToGrid w:val="0"/>
        </w:rPr>
        <w:t>Western Australian Greyhound Racing Association Act 1981</w:t>
      </w:r>
      <w:r>
        <w:rPr>
          <w:snapToGrid w:val="0"/>
        </w:rPr>
        <w:t xml:space="preserve"> by the </w:t>
      </w:r>
      <w:r>
        <w:rPr>
          <w:i/>
        </w:rPr>
        <w:t xml:space="preserve">Racing and Gambling Legislation Amendment and Repeal Act 2003 </w:t>
      </w:r>
      <w:r>
        <w:t xml:space="preserve">s. 197. The reference was changed under the </w:t>
      </w:r>
      <w:r>
        <w:rPr>
          <w:i/>
        </w:rPr>
        <w:t>Reprints Act 1984</w:t>
      </w:r>
      <w:r>
        <w:t xml:space="preserve"> s. 7(3)(gb)</w:t>
      </w:r>
      <w:r>
        <w:rPr>
          <w:snapToGrid w:val="0"/>
        </w:rPr>
        <w:t>.</w:t>
      </w:r>
    </w:p>
    <w:p>
      <w:pPr>
        <w:pStyle w:val="nNote"/>
        <w:rPr>
          <w:snapToGrid w:val="0"/>
        </w:rPr>
      </w:pPr>
      <w:r>
        <w:rPr>
          <w:snapToGrid w:val="0"/>
          <w:vertAlign w:val="superscript"/>
        </w:rPr>
        <w:t>11</w:t>
      </w:r>
      <w:r>
        <w:rPr>
          <w:snapToGrid w:val="0"/>
        </w:rPr>
        <w:tab/>
        <w:t xml:space="preserve">Repealed by the </w:t>
      </w:r>
      <w:r>
        <w:rPr>
          <w:i/>
          <w:color w:val="000000"/>
        </w:rPr>
        <w:t>Racing and Gambling Legislation Amendment and Repeal Act 2003</w:t>
      </w:r>
      <w:r>
        <w:rPr>
          <w:snapToGrid w:val="0"/>
        </w:rPr>
        <w:t>.</w:t>
      </w:r>
    </w:p>
    <w:p>
      <w:pPr>
        <w:pStyle w:val="nNote"/>
        <w:spacing w:before="60"/>
        <w:rPr>
          <w:snapToGrid w:val="0"/>
        </w:rPr>
      </w:pPr>
      <w:r>
        <w:rPr>
          <w:snapToGrid w:val="0"/>
          <w:vertAlign w:val="superscript"/>
        </w:rPr>
        <w:t>12</w:t>
      </w:r>
      <w:r>
        <w:rPr>
          <w:snapToGrid w:val="0"/>
        </w:rPr>
        <w:tab/>
        <w:t xml:space="preserve">Now known as the </w:t>
      </w:r>
      <w:r>
        <w:rPr>
          <w:i/>
          <w:snapToGrid w:val="0"/>
        </w:rPr>
        <w:t>Water Agencies (Charges) By</w:t>
      </w:r>
      <w:r>
        <w:rPr>
          <w:i/>
        </w:rPr>
        <w:noBreakHyphen/>
      </w:r>
      <w:r>
        <w:rPr>
          <w:i/>
          <w:snapToGrid w:val="0"/>
        </w:rPr>
        <w:t>laws 1987</w:t>
      </w:r>
      <w:r>
        <w:rPr>
          <w:snapToGrid w:val="0"/>
        </w:rPr>
        <w:t>; citation changed (see note under bl. 1).</w:t>
      </w:r>
    </w:p>
    <w:p>
      <w:pPr>
        <w:pStyle w:val="nNote"/>
        <w:rPr>
          <w:snapToGrid w:val="0"/>
        </w:rPr>
      </w:pPr>
      <w:r>
        <w:rPr>
          <w:snapToGrid w:val="0"/>
          <w:vertAlign w:val="superscript"/>
        </w:rPr>
        <w:t>13</w:t>
      </w:r>
      <w:r>
        <w:rPr>
          <w:snapToGrid w:val="0"/>
        </w:rPr>
        <w:tab/>
        <w:t xml:space="preserve">The </w:t>
      </w:r>
      <w:r>
        <w:rPr>
          <w:i/>
          <w:snapToGrid w:val="0"/>
        </w:rPr>
        <w:t>Water Authority (Charges) Amendment By</w:t>
      </w:r>
      <w:r>
        <w:rPr>
          <w:i/>
          <w:snapToGrid w:val="0"/>
        </w:rPr>
        <w:noBreakHyphen/>
        <w:t>laws (No. 3) 1989</w:t>
      </w:r>
      <w:r>
        <w:rPr>
          <w:snapToGrid w:val="0"/>
        </w:rPr>
        <w:t xml:space="preserve"> bl. 3 is an application provision that is of no further effect.</w:t>
      </w:r>
    </w:p>
    <w:p>
      <w:pPr>
        <w:pStyle w:val="nNote"/>
        <w:rPr>
          <w:snapToGrid w:val="0"/>
        </w:rPr>
      </w:pPr>
      <w:r>
        <w:rPr>
          <w:snapToGrid w:val="0"/>
          <w:vertAlign w:val="superscript"/>
        </w:rPr>
        <w:t>14</w:t>
      </w:r>
      <w:r>
        <w:rPr>
          <w:snapToGrid w:val="0"/>
        </w:rPr>
        <w:tab/>
        <w:t xml:space="preserve">The </w:t>
      </w:r>
      <w:r>
        <w:rPr>
          <w:i/>
          <w:snapToGrid w:val="0"/>
        </w:rPr>
        <w:t>Water Authority (Charges) Amendment By</w:t>
      </w:r>
      <w:r>
        <w:rPr>
          <w:i/>
          <w:snapToGrid w:val="0"/>
        </w:rPr>
        <w:noBreakHyphen/>
        <w:t>laws 1990</w:t>
      </w:r>
      <w:r>
        <w:rPr>
          <w:snapToGrid w:val="0"/>
        </w:rPr>
        <w:t xml:space="preserve"> bl. 3 is an application provision that is of no further effect.</w:t>
      </w:r>
    </w:p>
    <w:p>
      <w:pPr>
        <w:pStyle w:val="nNote"/>
      </w:pPr>
      <w:r>
        <w:rPr>
          <w:vertAlign w:val="superscript"/>
        </w:rPr>
        <w:t>15</w:t>
      </w:r>
      <w:r>
        <w:tab/>
        <w:t xml:space="preserve">The </w:t>
      </w:r>
      <w:r>
        <w:rPr>
          <w:i/>
        </w:rPr>
        <w:t>Water Authority (Charges) Amendment By</w:t>
      </w:r>
      <w:r>
        <w:rPr>
          <w:i/>
        </w:rPr>
        <w:noBreakHyphen/>
        <w:t>laws 1991</w:t>
      </w:r>
      <w:r>
        <w:t xml:space="preserve"> bl. 3 and 7 are application provisions that are of no further effect.</w:t>
      </w:r>
    </w:p>
    <w:p>
      <w:pPr>
        <w:pStyle w:val="nNote"/>
        <w:rPr>
          <w:snapToGrid w:val="0"/>
        </w:rPr>
      </w:pPr>
      <w:r>
        <w:rPr>
          <w:snapToGrid w:val="0"/>
          <w:vertAlign w:val="superscript"/>
        </w:rPr>
        <w:t>16</w:t>
      </w:r>
      <w:r>
        <w:rPr>
          <w:snapToGrid w:val="0"/>
        </w:rPr>
        <w:tab/>
        <w:t xml:space="preserve">The </w:t>
      </w:r>
      <w:r>
        <w:rPr>
          <w:i/>
          <w:snapToGrid w:val="0"/>
        </w:rPr>
        <w:t>Water Authority (Charges) Amendment By</w:t>
      </w:r>
      <w:r>
        <w:rPr>
          <w:i/>
          <w:snapToGrid w:val="0"/>
        </w:rPr>
        <w:noBreakHyphen/>
        <w:t>laws 1992</w:t>
      </w:r>
      <w:r>
        <w:rPr>
          <w:snapToGrid w:val="0"/>
        </w:rPr>
        <w:t xml:space="preserve"> bl. 4 is an application provision that is of no further effect.</w:t>
      </w:r>
    </w:p>
    <w:p>
      <w:pPr>
        <w:pStyle w:val="nNote"/>
        <w:rPr>
          <w:snapToGrid w:val="0"/>
        </w:rPr>
      </w:pPr>
      <w:r>
        <w:rPr>
          <w:snapToGrid w:val="0"/>
          <w:vertAlign w:val="superscript"/>
        </w:rPr>
        <w:t>17</w:t>
      </w:r>
      <w:r>
        <w:rPr>
          <w:snapToGrid w:val="0"/>
        </w:rPr>
        <w:tab/>
        <w:t xml:space="preserve">The </w:t>
      </w:r>
      <w:r>
        <w:rPr>
          <w:i/>
          <w:snapToGrid w:val="0"/>
        </w:rPr>
        <w:t>Water Authority (Charges) Amendment By</w:t>
      </w:r>
      <w:r>
        <w:rPr>
          <w:i/>
          <w:snapToGrid w:val="0"/>
        </w:rPr>
        <w:noBreakHyphen/>
        <w:t>laws (No. 4) 1992</w:t>
      </w:r>
      <w:r>
        <w:rPr>
          <w:snapToGrid w:val="0"/>
        </w:rPr>
        <w:t xml:space="preserve"> bl. 4 is an application provision that is of no further effect.</w:t>
      </w:r>
    </w:p>
    <w:p>
      <w:pPr>
        <w:pStyle w:val="nNote"/>
        <w:keepNext/>
        <w:rPr>
          <w:snapToGrid w:val="0"/>
        </w:rPr>
      </w:pPr>
      <w:r>
        <w:rPr>
          <w:snapToGrid w:val="0"/>
          <w:vertAlign w:val="superscript"/>
        </w:rPr>
        <w:t>18</w:t>
      </w:r>
      <w:r>
        <w:rPr>
          <w:snapToGrid w:val="0"/>
        </w:rPr>
        <w:tab/>
        <w:t xml:space="preserve">The </w:t>
      </w:r>
      <w:r>
        <w:rPr>
          <w:i/>
          <w:snapToGrid w:val="0"/>
        </w:rPr>
        <w:t>Water Agencies (Charges) Amendment By</w:t>
      </w:r>
      <w:r>
        <w:rPr>
          <w:i/>
          <w:snapToGrid w:val="0"/>
        </w:rPr>
        <w:noBreakHyphen/>
        <w:t>laws (No. 5) 1997</w:t>
      </w:r>
      <w:r>
        <w:rPr>
          <w:snapToGrid w:val="0"/>
        </w:rPr>
        <w:t xml:space="preserve"> bl. 10 is a savings provision that is of no further effect.</w:t>
      </w:r>
    </w:p>
    <w:p>
      <w:pPr>
        <w:pStyle w:val="nNote"/>
      </w:pPr>
      <w:r>
        <w:rPr>
          <w:vertAlign w:val="superscript"/>
        </w:rPr>
        <w:t>19</w:t>
      </w:r>
      <w:r>
        <w:tab/>
        <w:t xml:space="preserve">The </w:t>
      </w:r>
      <w:r>
        <w:rPr>
          <w:i/>
        </w:rPr>
        <w:t>Water Agencies (Charges) Amendment By</w:t>
      </w:r>
      <w:r>
        <w:rPr>
          <w:i/>
        </w:rPr>
        <w:noBreakHyphen/>
        <w:t>laws (No. 2) 1999</w:t>
      </w:r>
      <w:r>
        <w:t xml:space="preserve"> bl. 32(2) is a transitional provision that is of no further effect.</w:t>
      </w:r>
    </w:p>
    <w:p>
      <w:pPr>
        <w:pStyle w:val="nNote"/>
        <w:rPr>
          <w:snapToGrid w:val="0"/>
        </w:rPr>
      </w:pPr>
      <w:r>
        <w:rPr>
          <w:vertAlign w:val="superscript"/>
        </w:rPr>
        <w:t>20</w:t>
      </w:r>
      <w:r>
        <w:tab/>
        <w:t xml:space="preserve">The </w:t>
      </w:r>
      <w:r>
        <w:rPr>
          <w:i/>
        </w:rPr>
        <w:t>Water Agencies (Charges) Amendment By</w:t>
      </w:r>
      <w:r>
        <w:rPr>
          <w:i/>
        </w:rPr>
        <w:noBreakHyphen/>
        <w:t>Laws (No. 5) 2001</w:t>
      </w:r>
      <w:r>
        <w:t xml:space="preserve"> bl. 2 and 6 are transitional and application provisions that are of no further effect.</w:t>
      </w:r>
    </w:p>
    <w:p>
      <w:pPr>
        <w:pStyle w:val="nNote"/>
        <w:keepNext/>
        <w:keepLines/>
      </w:pPr>
      <w:r>
        <w:rPr>
          <w:vertAlign w:val="superscript"/>
        </w:rPr>
        <w:t>21</w:t>
      </w:r>
      <w:r>
        <w:tab/>
        <w:t xml:space="preserve">The </w:t>
      </w:r>
      <w:r>
        <w:rPr>
          <w:i/>
        </w:rPr>
        <w:t>Water Agencies (Charges) Amendment By</w:t>
      </w:r>
      <w:r>
        <w:rPr>
          <w:i/>
        </w:rPr>
        <w:noBreakHyphen/>
        <w:t xml:space="preserve">laws 2002 </w:t>
      </w:r>
      <w:r>
        <w:t>bl. 3</w:t>
      </w:r>
      <w:r>
        <w:rPr>
          <w:i/>
        </w:rPr>
        <w:t xml:space="preserve"> </w:t>
      </w:r>
      <w:r>
        <w:t>reads as follows:</w:t>
      </w:r>
    </w:p>
    <w:p>
      <w:pPr>
        <w:pStyle w:val="BlankOpen"/>
      </w:pPr>
    </w:p>
    <w:p>
      <w:pPr>
        <w:pStyle w:val="nzHeading5"/>
      </w:pPr>
      <w:r>
        <w:rPr>
          <w:rStyle w:val="CharSectno"/>
        </w:rPr>
        <w:t>3</w:t>
      </w:r>
      <w:r>
        <w:t>.</w:t>
      </w:r>
      <w:r>
        <w:tab/>
        <w:t>Saving</w:t>
      </w:r>
    </w:p>
    <w:p>
      <w:pPr>
        <w:pStyle w:val="nzSubsection"/>
      </w:pPr>
      <w:r>
        <w:tab/>
      </w:r>
      <w:r>
        <w:tab/>
        <w:t>Where a hydrant standpipe in the metropolitan area was issued by the Corporation before the commencement of these by</w:t>
      </w:r>
      <w:r>
        <w:noBreakHyphen/>
        <w:t xml:space="preserve">laws, the charge under Schedule 1 item 31 to the </w:t>
      </w:r>
      <w:r>
        <w:rPr>
          <w:i/>
        </w:rPr>
        <w:t>Water Agencies (Charges) By</w:t>
      </w:r>
      <w:r>
        <w:rPr>
          <w:i/>
        </w:rPr>
        <w:noBreakHyphen/>
        <w:t>laws 1987</w:t>
      </w:r>
      <w:r>
        <w:t xml:space="preserve"> in respect of the standpipe is to be assessed as if these by</w:t>
      </w:r>
      <w:r>
        <w:noBreakHyphen/>
        <w:t>laws had not come into operation.</w:t>
      </w:r>
    </w:p>
    <w:p>
      <w:pPr>
        <w:pStyle w:val="BlankClose"/>
        <w:rPr>
          <w:snapToGrid w:val="0"/>
        </w:rPr>
      </w:pPr>
    </w:p>
    <w:p>
      <w:pPr>
        <w:pStyle w:val="nNote"/>
        <w:rPr>
          <w:ins w:id="944" w:author="Master Repository Process" w:date="2021-10-06T15:57:00Z"/>
          <w:snapToGrid w:val="0"/>
        </w:rPr>
      </w:pPr>
      <w:ins w:id="945" w:author="Master Repository Process" w:date="2021-10-06T15:57:00Z">
        <w:r>
          <w:rPr>
            <w:snapToGrid w:val="0"/>
            <w:vertAlign w:val="superscript"/>
          </w:rPr>
          <w:t>22</w:t>
        </w:r>
        <w:r>
          <w:rPr>
            <w:snapToGrid w:val="0"/>
          </w:rPr>
          <w:tab/>
          <w:t>On</w:t>
        </w:r>
        <w:r>
          <w:t xml:space="preserve"> the date as at which this compilation was prepared, </w:t>
        </w:r>
        <w:r>
          <w:rPr>
            <w:snapToGrid w:val="0"/>
          </w:rPr>
          <w:t xml:space="preserve">the </w:t>
        </w:r>
        <w:r>
          <w:rPr>
            <w:i/>
            <w:snapToGrid w:val="0"/>
          </w:rPr>
          <w:t>Water Services Legislation Amendment and Repeal Act 2012</w:t>
        </w:r>
        <w:r>
          <w:rPr>
            <w:snapToGrid w:val="0"/>
          </w:rPr>
          <w:t xml:space="preserve"> s. 202(b) had not come into operation.  It reads as follows:</w:t>
        </w:r>
      </w:ins>
    </w:p>
    <w:p>
      <w:pPr>
        <w:pStyle w:val="BlankOpen"/>
        <w:rPr>
          <w:ins w:id="946" w:author="Master Repository Process" w:date="2021-10-06T15:57:00Z"/>
        </w:rPr>
      </w:pPr>
    </w:p>
    <w:p>
      <w:pPr>
        <w:pStyle w:val="nzHeading5"/>
        <w:rPr>
          <w:ins w:id="947" w:author="Master Repository Process" w:date="2021-10-06T15:57:00Z"/>
        </w:rPr>
      </w:pPr>
      <w:ins w:id="948" w:author="Master Repository Process" w:date="2021-10-06T15:57:00Z">
        <w:r>
          <w:rPr>
            <w:rStyle w:val="CharSectno"/>
          </w:rPr>
          <w:t>202</w:t>
        </w:r>
        <w:r>
          <w:t>.</w:t>
        </w:r>
        <w:r>
          <w:tab/>
          <w:t>Other legislation repealed</w:t>
        </w:r>
      </w:ins>
    </w:p>
    <w:p>
      <w:pPr>
        <w:pStyle w:val="nzSubsection"/>
        <w:rPr>
          <w:ins w:id="949" w:author="Master Repository Process" w:date="2021-10-06T15:57:00Z"/>
        </w:rPr>
      </w:pPr>
      <w:ins w:id="950" w:author="Master Repository Process" w:date="2021-10-06T15:57:00Z">
        <w:r>
          <w:tab/>
        </w:r>
        <w:r>
          <w:tab/>
          <w:t>These written laws are repealed:</w:t>
        </w:r>
      </w:ins>
    </w:p>
    <w:p>
      <w:pPr>
        <w:pStyle w:val="nzIndenta"/>
        <w:rPr>
          <w:ins w:id="951" w:author="Master Repository Process" w:date="2021-10-06T15:57:00Z"/>
        </w:rPr>
      </w:pPr>
      <w:ins w:id="952" w:author="Master Repository Process" w:date="2021-10-06T15:57:00Z">
        <w:r>
          <w:tab/>
          <w:t>(b)</w:t>
        </w:r>
        <w:r>
          <w:tab/>
          <w:t xml:space="preserve">the </w:t>
        </w:r>
        <w:r>
          <w:rPr>
            <w:i/>
          </w:rPr>
          <w:t>Water Agencies (Charges) By</w:t>
        </w:r>
        <w:r>
          <w:rPr>
            <w:i/>
          </w:rPr>
          <w:noBreakHyphen/>
          <w:t>laws 1987</w:t>
        </w:r>
        <w:r>
          <w:t>;</w:t>
        </w:r>
      </w:ins>
    </w:p>
    <w:p>
      <w:pPr>
        <w:pStyle w:val="BlankClose"/>
        <w:rPr>
          <w:ins w:id="953" w:author="Master Repository Process" w:date="2021-10-06T15:57:00Z"/>
        </w:rPr>
      </w:pPr>
    </w:p>
    <w:p>
      <w:pPr>
        <w:rPr>
          <w:ins w:id="954" w:author="Master Repository Process" w:date="2021-10-06T15:57:00Z"/>
        </w:rPr>
      </w:pPr>
    </w:p>
    <w:p>
      <w:pPr>
        <w:sectPr>
          <w:headerReference w:type="even" r:id="rId28"/>
          <w:headerReference w:type="default" r:id="rId29"/>
          <w:headerReference w:type="first" r:id="rId30"/>
          <w:pgSz w:w="11907" w:h="16840" w:code="9"/>
          <w:pgMar w:top="2376" w:right="2404" w:bottom="3544" w:left="2404" w:header="720" w:footer="3380" w:gutter="0"/>
          <w:cols w:space="720"/>
          <w:noEndnote/>
          <w:docGrid w:linePitch="326"/>
        </w:sectPr>
      </w:pPr>
    </w:p>
    <w:p/>
    <w:sectPr>
      <w:headerReference w:type="even" r:id="rId31"/>
      <w:headerReference w:type="default" r:id="rId32"/>
      <w:type w:val="continuous"/>
      <w:pgSz w:w="11907" w:h="16840"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Sep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06-f0-02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Sep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Sep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Water Agencies (Charges) By-laws 1987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6</w:t>
          </w:r>
          <w:r>
            <w:rPr>
              <w:b/>
            </w:rPr>
            <w:fldChar w:fldCharType="end"/>
          </w:r>
        </w:p>
      </w:tc>
      <w:tc>
        <w:tcPr>
          <w:tcW w:w="5715" w:type="dxa"/>
        </w:tcPr>
        <w:p>
          <w:pPr>
            <w:pStyle w:val="Header"/>
            <w:spacing w:before="40"/>
          </w:pPr>
          <w:r>
            <w:fldChar w:fldCharType="begin"/>
          </w:r>
          <w:r>
            <w:instrText>styleref CharSchText</w:instrText>
          </w:r>
          <w:r>
            <w:fldChar w:fldCharType="separate"/>
          </w:r>
          <w:r>
            <w:t>Formula for calculating AGRV</w:t>
          </w:r>
          <w:r>
            <w:fldChar w:fldCharType="end"/>
          </w:r>
        </w:p>
      </w:tc>
    </w:tr>
    <w:tr>
      <w:tc>
        <w:tcPr>
          <w:tcW w:w="1548" w:type="dxa"/>
        </w:tcPr>
        <w:p>
          <w:pPr>
            <w:pStyle w:val="Header"/>
            <w:spacing w:before="40"/>
          </w:pPr>
          <w:r>
            <w:rPr>
              <w:b/>
              <w:bCs/>
            </w:rPr>
            <w:fldChar w:fldCharType="begin"/>
          </w:r>
          <w:r>
            <w:rPr>
              <w:b/>
              <w:bCs/>
            </w:rPr>
            <w:instrText xml:space="preserve"> STYLEREF CharSDivNo \* charformat</w:instrText>
          </w:r>
          <w:r>
            <w:rPr>
              <w:b/>
              <w:bCs/>
            </w:rPr>
            <w:fldChar w:fldCharType="separate"/>
          </w:r>
          <w:r>
            <w:rPr>
              <w:b/>
              <w:bCs/>
            </w:rPr>
            <w:t>Division 2</w:t>
          </w:r>
          <w:r>
            <w:rPr>
              <w:b/>
              <w:bCs/>
            </w:rPr>
            <w:fldChar w:fldCharType="end"/>
          </w:r>
        </w:p>
      </w:tc>
      <w:tc>
        <w:tcPr>
          <w:tcW w:w="5715" w:type="dxa"/>
        </w:tcPr>
        <w:p>
          <w:pPr>
            <w:pStyle w:val="Header"/>
            <w:spacing w:before="40"/>
          </w:pPr>
          <w:r>
            <w:fldChar w:fldCharType="begin"/>
          </w:r>
          <w:r>
            <w:instrText>styleref CharSDivText</w:instrText>
          </w:r>
          <w:r>
            <w:fldChar w:fldCharType="separate"/>
          </w:r>
          <w:r>
            <w:t>Charges by way of rate</w:t>
          </w:r>
          <w:r>
            <w:fldChar w:fldCharType="end"/>
          </w:r>
          <w:r>
            <w:tab/>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Water Agencies (Charges) By-laws 1987</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separate"/>
          </w:r>
          <w:r>
            <w:rPr>
              <w:b/>
            </w:rPr>
            <w:instrText>Schedule 8</w:instrText>
          </w:r>
          <w:r>
            <w:rPr>
              <w:b/>
            </w:rPr>
            <w:fldChar w:fldCharType="end"/>
          </w:r>
          <w:r>
            <w:rPr>
              <w:b/>
            </w:rPr>
            <w:instrText>" "</w:instrText>
          </w:r>
          <w:r>
            <w:rPr>
              <w:b/>
            </w:rPr>
            <w:fldChar w:fldCharType="begin"/>
          </w:r>
          <w:r>
            <w:rPr>
              <w:b/>
            </w:rPr>
            <w:instrText>STYLEREF CharSchno</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separate"/>
          </w:r>
          <w:r>
            <w:rPr>
              <w:b/>
            </w:rPr>
            <w:t>Schedule 8</w:t>
          </w:r>
          <w:r>
            <w:rPr>
              <w:b/>
            </w:rPr>
            <w:fldChar w:fldCharType="end"/>
          </w:r>
        </w:p>
      </w:tc>
      <w:tc>
        <w:tcPr>
          <w:tcW w:w="5715" w:type="dxa"/>
          <w:vAlign w:val="bottom"/>
        </w:tcPr>
        <w:p>
          <w:pPr>
            <w:pStyle w:val="Header"/>
            <w:spacing w:before="40"/>
          </w:pPr>
          <w:r>
            <w:fldChar w:fldCharType="begin"/>
          </w:r>
          <w:r>
            <w:instrText>styleref CharSchText</w:instrText>
          </w:r>
          <w:r>
            <w:fldChar w:fldCharType="separate"/>
          </w:r>
          <w:r>
            <w:t>Water supply charges for Government trading organisations and non-commercial Government property</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CharSDivNo</w:instrText>
          </w:r>
          <w:r>
            <w:rPr>
              <w:b/>
            </w:rPr>
            <w:fldChar w:fldCharType="separate"/>
          </w:r>
          <w:r>
            <w:rPr>
              <w:b/>
            </w:rPr>
            <w:instrText>Division 2</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STYLEREF CharSDivNo \n</w:instrText>
          </w:r>
          <w:r>
            <w:rPr>
              <w:b/>
            </w:rPr>
            <w:fldChar w:fldCharType="end"/>
          </w:r>
          <w:r>
            <w:rPr>
              <w:b/>
            </w:rPr>
            <w:instrText>"</w:instrText>
          </w:r>
          <w:r>
            <w:rPr>
              <w:b/>
            </w:rPr>
            <w:fldChar w:fldCharType="separate"/>
          </w:r>
          <w:r>
            <w:rPr>
              <w:b/>
            </w:rPr>
            <w:t>Division 2</w:t>
          </w:r>
          <w:r>
            <w:rPr>
              <w:b/>
            </w:rPr>
            <w:fldChar w:fldCharType="end"/>
          </w:r>
        </w:p>
      </w:tc>
      <w:tc>
        <w:tcPr>
          <w:tcW w:w="5715" w:type="dxa"/>
          <w:vAlign w:val="bottom"/>
        </w:tcPr>
        <w:p>
          <w:pPr>
            <w:pStyle w:val="Header"/>
            <w:spacing w:before="40"/>
          </w:pPr>
          <w:r>
            <w:fldChar w:fldCharType="begin"/>
          </w:r>
          <w:r>
            <w:instrText>styleref CharSDivText</w:instrText>
          </w:r>
          <w:r>
            <w:fldChar w:fldCharType="separate"/>
          </w:r>
          <w:r>
            <w:t>Charges by way of rate</w: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Agencies (Charges) By-laws 1987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Water supply charges for Government trading organisations and non-commercial Government property</w: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separate"/>
          </w:r>
          <w:r>
            <w:rPr>
              <w:b/>
            </w:rPr>
            <w:instrText>Schedule 8</w:instrText>
          </w:r>
          <w:r>
            <w:rPr>
              <w:b/>
            </w:rPr>
            <w:fldChar w:fldCharType="end"/>
          </w:r>
          <w:r>
            <w:rPr>
              <w:b/>
            </w:rPr>
            <w:instrText>" "</w:instrText>
          </w:r>
          <w:r>
            <w:rPr>
              <w:b/>
            </w:rPr>
            <w:fldChar w:fldCharType="begin"/>
          </w:r>
          <w:r>
            <w:rPr>
              <w:b/>
            </w:rPr>
            <w:instrText>STYLEREF CharSchno</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separate"/>
          </w:r>
          <w:r>
            <w:rPr>
              <w:b/>
            </w:rPr>
            <w:t>Schedule 8</w:t>
          </w:r>
          <w:r>
            <w:rPr>
              <w:b/>
            </w:rPr>
            <w:fldChar w:fldCharType="end"/>
          </w:r>
        </w:p>
      </w:tc>
    </w:tr>
    <w:tr>
      <w:tc>
        <w:tcPr>
          <w:tcW w:w="5715" w:type="dxa"/>
          <w:vAlign w:val="bottom"/>
        </w:tcPr>
        <w:p>
          <w:pPr>
            <w:pStyle w:val="Header"/>
            <w:spacing w:before="40"/>
            <w:jc w:val="right"/>
          </w:pPr>
          <w:r>
            <w:fldChar w:fldCharType="begin"/>
          </w:r>
          <w:r>
            <w:instrText>styleref CharSDivText</w:instrText>
          </w:r>
          <w:r>
            <w:fldChar w:fldCharType="separate"/>
          </w:r>
          <w:r>
            <w:t>Charges by way of rate</w: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CharSDivNo</w:instrText>
          </w:r>
          <w:r>
            <w:rPr>
              <w:b/>
            </w:rPr>
            <w:fldChar w:fldCharType="separate"/>
          </w:r>
          <w:r>
            <w:rPr>
              <w:b/>
            </w:rPr>
            <w:instrText>Division 2</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STYLEREF CharSDivNo \n</w:instrText>
          </w:r>
          <w:r>
            <w:rPr>
              <w:b/>
            </w:rPr>
            <w:fldChar w:fldCharType="end"/>
          </w:r>
          <w:r>
            <w:rPr>
              <w:b/>
            </w:rPr>
            <w:instrText>"</w:instrText>
          </w:r>
          <w:r>
            <w:rPr>
              <w:b/>
            </w:rPr>
            <w:fldChar w:fldCharType="separate"/>
          </w:r>
          <w:r>
            <w:rPr>
              <w:b/>
            </w:rPr>
            <w:t>Division 2</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rPr>
        <w:bCs/>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Water Agencies (Charges) By-laws 1987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Agencies (Charges) By-laws 1987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Water Agencies (Charges) By-laws 1987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r>
            <w:rPr>
              <w:b/>
            </w:rPr>
            <w:t>Defined Terms</w:t>
          </w: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Agencies (Charges) By-laws 1987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r>
            <w:rPr>
              <w:b/>
            </w:rPr>
            <w:t>Defined Terms</w:t>
          </w: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632"/>
      <w:gridCol w:w="5680"/>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Water Agencies (Charges) By-laws 1987</w:t>
          </w:r>
          <w:r>
            <w:rPr>
              <w:b/>
              <w:i/>
            </w:rPr>
            <w:fldChar w:fldCharType="end"/>
          </w:r>
        </w:p>
      </w:tc>
    </w:tr>
    <w:tr>
      <w:tc>
        <w:tcPr>
          <w:tcW w:w="1632"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c>
        <w:tcPr>
          <w:tcW w:w="5680" w:type="dxa"/>
        </w:tcPr>
        <w:p>
          <w:pPr>
            <w:pStyle w:val="Header"/>
            <w:spacing w:before="40"/>
          </w:pPr>
          <w:r>
            <w:fldChar w:fldCharType="begin"/>
          </w:r>
          <w:r>
            <w:instrText xml:space="preserve"> styleref CharPartText </w:instrText>
          </w:r>
          <w:r>
            <w:fldChar w:fldCharType="end"/>
          </w:r>
        </w:p>
      </w:tc>
    </w:tr>
    <w:tr>
      <w:tc>
        <w:tcPr>
          <w:tcW w:w="1632"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680"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bl. </w:t>
          </w:r>
          <w:r>
            <w:rPr>
              <w:b/>
            </w:rPr>
            <w:fldChar w:fldCharType="begin"/>
          </w:r>
          <w:r>
            <w:rPr>
              <w:b/>
            </w:rPr>
            <w:instrText xml:space="preserve"> IF </w:instrText>
          </w:r>
          <w:r>
            <w:rPr>
              <w:b/>
            </w:rPr>
            <w:fldChar w:fldCharType="begin"/>
          </w:r>
          <w:r>
            <w:rPr>
              <w:b/>
            </w:rPr>
            <w:instrText>STYLEREF CharSectNo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CharSectNo</w:instrText>
          </w:r>
          <w:r>
            <w:rPr>
              <w:b/>
            </w:rPr>
            <w:fldChar w:fldCharType="separate"/>
          </w:r>
          <w:r>
            <w:rPr>
              <w:b/>
            </w:rPr>
            <w:instrText>1</w:instrText>
          </w:r>
          <w:r>
            <w:rPr>
              <w:b/>
            </w:rPr>
            <w:fldChar w:fldCharType="end"/>
          </w:r>
          <w:r>
            <w:rPr>
              <w:b/>
            </w:rPr>
            <w:instrText>" "</w:instrText>
          </w:r>
          <w:r>
            <w:rPr>
              <w:b/>
            </w:rPr>
            <w:fldChar w:fldCharType="begin"/>
          </w:r>
          <w:r>
            <w:rPr>
              <w:b/>
            </w:rPr>
            <w:instrText>STYLEREF CharSectNo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42"/>
      <w:gridCol w:w="1560"/>
    </w:tblGrid>
    <w:tr>
      <w:trPr>
        <w:cantSplit/>
      </w:trPr>
      <w:tc>
        <w:tcPr>
          <w:tcW w:w="730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Agencies (Charges) By-laws 1987</w:t>
          </w:r>
          <w:r>
            <w:rPr>
              <w:b/>
              <w:i/>
            </w:rPr>
            <w:fldChar w:fldCharType="end"/>
          </w:r>
        </w:p>
      </w:tc>
    </w:tr>
    <w:tr>
      <w:tc>
        <w:tcPr>
          <w:tcW w:w="5742" w:type="dxa"/>
        </w:tcPr>
        <w:p>
          <w:pPr>
            <w:pStyle w:val="Header"/>
            <w:spacing w:before="40"/>
            <w:jc w:val="right"/>
          </w:pPr>
          <w:r>
            <w:fldChar w:fldCharType="begin"/>
          </w:r>
          <w:r>
            <w:instrText xml:space="preserve"> styleref CharPartText </w:instrText>
          </w:r>
          <w:r>
            <w:fldChar w:fldCharType="end"/>
          </w:r>
        </w:p>
      </w:tc>
      <w:tc>
        <w:tcPr>
          <w:tcW w:w="1560"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r>
    <w:tr>
      <w:tc>
        <w:tcPr>
          <w:tcW w:w="5742" w:type="dxa"/>
        </w:tcPr>
        <w:p>
          <w:pPr>
            <w:pStyle w:val="Header"/>
            <w:spacing w:before="40"/>
            <w:jc w:val="right"/>
          </w:pPr>
          <w:r>
            <w:fldChar w:fldCharType="begin"/>
          </w:r>
          <w:r>
            <w:instrText xml:space="preserve"> styleref CharDivText </w:instrText>
          </w:r>
          <w:r>
            <w:fldChar w:fldCharType="end"/>
          </w:r>
        </w:p>
      </w:tc>
      <w:tc>
        <w:tcPr>
          <w:tcW w:w="1560"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trPr>
      <w:tc>
        <w:tcPr>
          <w:tcW w:w="7302" w:type="dxa"/>
          <w:gridSpan w:val="2"/>
        </w:tcPr>
        <w:p>
          <w:pPr>
            <w:pStyle w:val="Header"/>
            <w:spacing w:before="40"/>
            <w:ind w:right="17"/>
            <w:jc w:val="right"/>
          </w:pPr>
          <w:r>
            <w:rPr>
              <w:b/>
            </w:rPr>
            <w:t xml:space="preserve">bl. </w:t>
          </w:r>
          <w:r>
            <w:rPr>
              <w:b/>
            </w:rPr>
            <w:fldChar w:fldCharType="begin"/>
          </w:r>
          <w:r>
            <w:rPr>
              <w:b/>
            </w:rPr>
            <w:instrText xml:space="preserve"> IF </w:instrText>
          </w:r>
          <w:r>
            <w:rPr>
              <w:b/>
            </w:rPr>
            <w:fldChar w:fldCharType="begin"/>
          </w:r>
          <w:r>
            <w:rPr>
              <w:b/>
            </w:rPr>
            <w:instrText>STYLEREF CharSectNo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CharSectNo</w:instrText>
          </w:r>
          <w:r>
            <w:rPr>
              <w:b/>
            </w:rPr>
            <w:fldChar w:fldCharType="separate"/>
          </w:r>
          <w:r>
            <w:rPr>
              <w:b/>
            </w:rPr>
            <w:instrText>1</w:instrText>
          </w:r>
          <w:r>
            <w:rPr>
              <w:b/>
            </w:rPr>
            <w:fldChar w:fldCharType="end"/>
          </w:r>
          <w:r>
            <w:rPr>
              <w:b/>
            </w:rPr>
            <w:instrText>" "</w:instrText>
          </w:r>
          <w:r>
            <w:rPr>
              <w:b/>
            </w:rPr>
            <w:fldChar w:fldCharType="begin"/>
          </w:r>
          <w:r>
            <w:rPr>
              <w:b/>
            </w:rPr>
            <w:instrText>STYLEREF CharSectNo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Water Agencies (Charges) By-laws 1987</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bCs/>
            </w:rPr>
            <w:fldChar w:fldCharType="begin"/>
          </w:r>
          <w:r>
            <w:rPr>
              <w:b/>
              <w:bCs/>
            </w:rPr>
            <w:instrText xml:space="preserve"> STYLEREF CharSDivNo \* charformat</w:instrText>
          </w:r>
          <w:r>
            <w:rPr>
              <w:b/>
              <w:bCs/>
            </w:rPr>
            <w:fldChar w:fldCharType="end"/>
          </w:r>
        </w:p>
      </w:tc>
      <w:tc>
        <w:tcPr>
          <w:tcW w:w="5715" w:type="dxa"/>
        </w:tcPr>
        <w:p>
          <w:pPr>
            <w:pStyle w:val="Header"/>
            <w:spacing w:before="40"/>
          </w:pPr>
          <w:r>
            <w:fldChar w:fldCharType="begin"/>
          </w:r>
          <w:r>
            <w:instrText>styleref CharSDivText</w:instrText>
          </w:r>
          <w:r>
            <w:fldChar w:fldCharType="end"/>
          </w:r>
          <w:r>
            <w:tab/>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Agencies (Charges) By-laws 1987</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57"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end"/>
          </w:r>
        </w:p>
      </w:tc>
    </w:tr>
    <w:tr>
      <w:tc>
        <w:tcPr>
          <w:tcW w:w="5715" w:type="dxa"/>
          <w:vAlign w:val="bottom"/>
        </w:tcPr>
        <w:p>
          <w:pPr>
            <w:pStyle w:val="Header"/>
            <w:spacing w:before="40"/>
            <w:jc w:val="right"/>
          </w:pPr>
          <w:r>
            <w:fldChar w:fldCharType="begin"/>
          </w:r>
          <w:r>
            <w:instrText>styleref CharSDivText</w:instrText>
          </w:r>
          <w:r>
            <w:fldChar w:fldCharType="end"/>
          </w:r>
        </w:p>
      </w:tc>
      <w:tc>
        <w:tcPr>
          <w:tcW w:w="1557"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CharSDivNo</w:instrText>
          </w:r>
          <w:r>
            <w:rPr>
              <w:b/>
            </w:rPr>
            <w:fldChar w:fldCharType="end"/>
          </w:r>
          <w:r>
            <w:rPr>
              <w:b/>
            </w:rPr>
            <w:instrText>" "</w:instrText>
          </w:r>
          <w:r>
            <w:rPr>
              <w:b/>
            </w:rPr>
            <w:fldChar w:fldCharType="begin"/>
          </w:r>
          <w:r>
            <w:rPr>
              <w:b/>
            </w:rPr>
            <w:instrText>STYLEREF CharSDivNo</w:instrText>
          </w:r>
          <w:r>
            <w:rPr>
              <w:b/>
            </w:rPr>
            <w:fldChar w:fldCharType="end"/>
          </w:r>
          <w:r>
            <w:rPr>
              <w:b/>
            </w:rPr>
            <w:instrText xml:space="preserve"> </w:instrText>
          </w:r>
          <w:r>
            <w:rPr>
              <w:b/>
            </w:rPr>
            <w:fldChar w:fldCharType="begin"/>
          </w:r>
          <w:r>
            <w:rPr>
              <w:b/>
            </w:rPr>
            <w:instrText>STYLEREF CharSDivNo \n</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557" w:type="dxa"/>
        </w:tcPr>
        <w:p>
          <w:pPr>
            <w:pStyle w:val="Header"/>
            <w:spacing w:before="40"/>
            <w:ind w:right="17"/>
            <w:jc w:val="right"/>
          </w:pPr>
        </w:p>
      </w:tc>
    </w:tr>
  </w:tbl>
  <w:p>
    <w:pPr>
      <w:pStyle w:val="Header"/>
      <w:pBdr>
        <w:top w:val="single" w:sz="4" w:space="1" w:color="auto"/>
      </w:pBdr>
      <w:rPr>
        <w:bCs/>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8"/>
  </w:num>
  <w:num w:numId="14">
    <w:abstractNumId w:val="11"/>
  </w:num>
  <w:num w:numId="15">
    <w:abstractNumId w:val="10"/>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activeWritingStyle w:appName="MSWord" w:lang="en-AU" w:vendorID="64" w:dllVersion="5" w:nlCheck="1" w:checkStyle="1"/>
  <w:activeWritingStyle w:appName="MSWord" w:lang="en-AU" w:vendorID="64" w:dllVersion="6" w:nlCheck="1" w:checkStyle="1"/>
  <w:activeWritingStyle w:appName="MSWord" w:lang="en-US" w:vendorID="64" w:dllVersion="6" w:nlCheck="1" w:checkStyle="1"/>
  <w:activeWritingStyle w:appName="MSWord" w:lang="fr-FR"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1006154350"/>
    <w:docVar w:name="WAFER_2021100615435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1006154350_GUID" w:val="a6a9bd24-c1f1-4478-863d-b46dc573bd1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43F9E1A1-CBE2-4CBA-9CB8-40DD68312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yMiscellaneousHeading">
    <w:name w:val="yMiscellaneous Heading"/>
    <w:basedOn w:val="MiscellaneousHeading"/>
    <w:pPr>
      <w:spacing w:line="240" w:lineRule="auto"/>
    </w:pPr>
    <w:rPr>
      <w:sz w:val="22"/>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paragraph" w:customStyle="1" w:styleId="SignatureText">
    <w:name w:val="SignatureText"/>
    <w:basedOn w:val="Normal"/>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image" Target="media/image3.wmf"/><Relationship Id="rId34" Type="http://schemas.microsoft.com/office/2011/relationships/people" Target="peop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wmf"/><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7.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27694</Words>
  <Characters>126841</Characters>
  <Application>Microsoft Office Word</Application>
  <DocSecurity>0</DocSecurity>
  <Lines>7046</Lines>
  <Paragraphs>5328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149207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Agencies (Charges) By-laws 1987 06-e0-02 - 06-f0-02</dc:title>
  <dc:subject/>
  <dc:creator/>
  <cp:keywords/>
  <dc:description/>
  <cp:lastModifiedBy>Master Repository Process</cp:lastModifiedBy>
  <cp:revision>2</cp:revision>
  <cp:lastPrinted>2009-08-27T02:26:00Z</cp:lastPrinted>
  <dcterms:created xsi:type="dcterms:W3CDTF">2021-10-06T07:57:00Z</dcterms:created>
  <dcterms:modified xsi:type="dcterms:W3CDTF">2021-10-06T07:57:00Z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14 July 1987 pp.2658-72</vt:lpwstr>
  </property>
  <property fmtid="{D5CDD505-2E9C-101B-9397-08002B2CF9AE}" pid="3" name="CommencementDate">
    <vt:lpwstr>20120903</vt:lpwstr>
  </property>
  <property fmtid="{D5CDD505-2E9C-101B-9397-08002B2CF9AE}" pid="4" name="DocumentType">
    <vt:lpwstr>Reg</vt:lpwstr>
  </property>
  <property fmtid="{D5CDD505-2E9C-101B-9397-08002B2CF9AE}" pid="5" name="OwlsUID">
    <vt:i4>4852</vt:i4>
  </property>
  <property fmtid="{D5CDD505-2E9C-101B-9397-08002B2CF9AE}" pid="6" name="ReprintNo">
    <vt:lpwstr>6</vt:lpwstr>
  </property>
  <property fmtid="{D5CDD505-2E9C-101B-9397-08002B2CF9AE}" pid="7" name="FromSuffix">
    <vt:lpwstr>06-e0-02</vt:lpwstr>
  </property>
  <property fmtid="{D5CDD505-2E9C-101B-9397-08002B2CF9AE}" pid="8" name="FromAsAtDate">
    <vt:lpwstr>01 Jul 2012</vt:lpwstr>
  </property>
  <property fmtid="{D5CDD505-2E9C-101B-9397-08002B2CF9AE}" pid="9" name="ToSuffix">
    <vt:lpwstr>06-f0-02</vt:lpwstr>
  </property>
  <property fmtid="{D5CDD505-2E9C-101B-9397-08002B2CF9AE}" pid="10" name="ToAsAtDate">
    <vt:lpwstr>03 Sep 2012</vt:lpwstr>
  </property>
</Properties>
</file>