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11:45:00Z"/>
        </w:trPr>
        <w:tc>
          <w:tcPr>
            <w:tcW w:w="2434" w:type="dxa"/>
            <w:vMerge w:val="restart"/>
          </w:tcPr>
          <w:p>
            <w:pPr>
              <w:rPr>
                <w:del w:id="1" w:author="svcMRProcess" w:date="2015-10-29T11:45:00Z"/>
              </w:rPr>
            </w:pPr>
          </w:p>
        </w:tc>
        <w:tc>
          <w:tcPr>
            <w:tcW w:w="2434" w:type="dxa"/>
            <w:vMerge w:val="restart"/>
          </w:tcPr>
          <w:p>
            <w:pPr>
              <w:jc w:val="center"/>
              <w:rPr>
                <w:del w:id="2" w:author="svcMRProcess" w:date="2015-10-29T11:45:00Z"/>
              </w:rPr>
            </w:pPr>
            <w:del w:id="3" w:author="svcMRProcess" w:date="2015-10-29T11:45: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11:45:00Z"/>
              </w:rPr>
            </w:pPr>
          </w:p>
        </w:tc>
      </w:tr>
      <w:tr>
        <w:trPr>
          <w:cantSplit/>
          <w:del w:id="5" w:author="svcMRProcess" w:date="2015-10-29T11:45:00Z"/>
        </w:trPr>
        <w:tc>
          <w:tcPr>
            <w:tcW w:w="2434" w:type="dxa"/>
            <w:vMerge/>
          </w:tcPr>
          <w:p>
            <w:pPr>
              <w:rPr>
                <w:del w:id="6" w:author="svcMRProcess" w:date="2015-10-29T11:45:00Z"/>
              </w:rPr>
            </w:pPr>
          </w:p>
        </w:tc>
        <w:tc>
          <w:tcPr>
            <w:tcW w:w="2434" w:type="dxa"/>
            <w:vMerge/>
          </w:tcPr>
          <w:p>
            <w:pPr>
              <w:jc w:val="center"/>
              <w:rPr>
                <w:del w:id="7" w:author="svcMRProcess" w:date="2015-10-29T11:45:00Z"/>
              </w:rPr>
            </w:pPr>
          </w:p>
        </w:tc>
        <w:tc>
          <w:tcPr>
            <w:tcW w:w="2434" w:type="dxa"/>
          </w:tcPr>
          <w:p>
            <w:pPr>
              <w:keepNext/>
              <w:rPr>
                <w:del w:id="8" w:author="svcMRProcess" w:date="2015-10-29T11:45:00Z"/>
                <w:b/>
                <w:sz w:val="22"/>
              </w:rPr>
            </w:pPr>
            <w:del w:id="9" w:author="svcMRProcess" w:date="2015-10-29T11:45: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April 2008</w:delText>
              </w:r>
            </w:del>
          </w:p>
        </w:tc>
      </w:tr>
    </w:tbl>
    <w:p>
      <w:pPr>
        <w:pStyle w:val="WA"/>
        <w:spacing w:before="120"/>
      </w:pPr>
      <w:r>
        <w:t>Western Australia</w:t>
      </w:r>
    </w:p>
    <w:p>
      <w:pPr>
        <w:pStyle w:val="NameofActReg"/>
      </w:pPr>
      <w:r>
        <w:t>Energy Operators (Powers) Act 1979</w:t>
      </w:r>
    </w:p>
    <w:p>
      <w:pPr>
        <w:pStyle w:val="LongTitle"/>
        <w:rPr>
          <w:snapToGrid w:val="0"/>
        </w:rPr>
      </w:pPr>
      <w:r>
        <w:rPr>
          <w:snapToGrid w:val="0"/>
        </w:rPr>
        <w:t>A</w:t>
      </w:r>
      <w:bookmarkStart w:id="10" w:name="_GoBack"/>
      <w:bookmarkEnd w:id="10"/>
      <w:r>
        <w:rPr>
          <w:snapToGrid w:val="0"/>
        </w:rPr>
        <w:t>n Act to vest powers in energy operators, to make other provision in respect of the functions of those operators, and for related and other purposes.</w:t>
      </w:r>
    </w:p>
    <w:p>
      <w:pPr>
        <w:pStyle w:val="Footnotelongtitle"/>
      </w:pPr>
      <w:r>
        <w:tab/>
        <w:t>[Long title inserted by No. 89 of 1994 s. 4; amended by No. 58 of 1999 s. 77; No. 24 of 2000 s. 14(13); No. 33 of 2004 s. 38.]</w:t>
      </w:r>
    </w:p>
    <w:p>
      <w:pPr>
        <w:pStyle w:val="Heading5"/>
        <w:rPr>
          <w:snapToGrid w:val="0"/>
        </w:rPr>
      </w:pPr>
      <w:bookmarkStart w:id="11" w:name="_Toc335138247"/>
      <w:bookmarkStart w:id="12" w:name="_Toc196201943"/>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by No. 89 of 1994 s. 5; No. 58 of 1999 s. 78.]</w:t>
      </w:r>
    </w:p>
    <w:p>
      <w:pPr>
        <w:pStyle w:val="Heading5"/>
        <w:rPr>
          <w:snapToGrid w:val="0"/>
        </w:rPr>
      </w:pPr>
      <w:bookmarkStart w:id="13" w:name="_Toc335138248"/>
      <w:bookmarkStart w:id="14" w:name="_Toc196201944"/>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15" w:name="_Toc335138249"/>
      <w:bookmarkStart w:id="16" w:name="_Toc196201945"/>
      <w:r>
        <w:rPr>
          <w:rStyle w:val="CharSectno"/>
        </w:rPr>
        <w:t>4</w:t>
      </w:r>
      <w:r>
        <w:rPr>
          <w:snapToGrid w:val="0"/>
        </w:rPr>
        <w:t>.</w:t>
      </w:r>
      <w:r>
        <w:rPr>
          <w:snapToGrid w:val="0"/>
        </w:rPr>
        <w:tab/>
        <w:t>Terms used in this Act</w:t>
      </w:r>
      <w:bookmarkEnd w:id="15"/>
      <w:bookmarkEnd w:id="1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r>
      <w:r>
        <w:rPr>
          <w:rStyle w:val="CharDefText"/>
        </w:rPr>
        <w:t>electricity corporation</w:t>
      </w:r>
      <w:r>
        <w:t xml:space="preserve"> means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by No. 101 of 1981 s. 3; No. 24 of 1986 s. 5; No. 89 of 1994 s. 6, 39 and 41; No. 14 of 1996 s. 4; No. 58 of 1999 s. 79, 83(1) and (3) and 90; No. 24 of 2000 s. 14(13); No. 33 of 2004 s. 39; No. 18 of 2005 s. 139.]</w:t>
      </w:r>
    </w:p>
    <w:p>
      <w:pPr>
        <w:pStyle w:val="Heading5"/>
        <w:rPr>
          <w:snapToGrid w:val="0"/>
        </w:rPr>
      </w:pPr>
      <w:bookmarkStart w:id="17" w:name="_Toc335138250"/>
      <w:bookmarkStart w:id="18" w:name="_Toc196201946"/>
      <w:r>
        <w:rPr>
          <w:rStyle w:val="CharSectno"/>
        </w:rPr>
        <w:t>5</w:t>
      </w:r>
      <w:r>
        <w:rPr>
          <w:snapToGrid w:val="0"/>
        </w:rPr>
        <w:t>.</w:t>
      </w:r>
      <w:r>
        <w:rPr>
          <w:snapToGrid w:val="0"/>
        </w:rPr>
        <w:tab/>
        <w:t>Application of this Act to other Acts, the law generally, and to certain Agreements</w:t>
      </w:r>
      <w:bookmarkEnd w:id="17"/>
      <w:bookmarkEnd w:id="18"/>
    </w:p>
    <w:p>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by No. 89 of 1994 s. 7, 39 and 41; No. 58 of 1999 s. 83(1) and (3).]</w:t>
      </w:r>
    </w:p>
    <w:p>
      <w:pPr>
        <w:pStyle w:val="Heading5"/>
        <w:spacing w:before="180"/>
        <w:rPr>
          <w:snapToGrid w:val="0"/>
        </w:rPr>
      </w:pPr>
      <w:bookmarkStart w:id="19" w:name="_Toc335138251"/>
      <w:bookmarkStart w:id="20" w:name="_Toc196201947"/>
      <w:r>
        <w:rPr>
          <w:rStyle w:val="CharSectno"/>
        </w:rPr>
        <w:t>6</w:t>
      </w:r>
      <w:r>
        <w:rPr>
          <w:snapToGrid w:val="0"/>
        </w:rPr>
        <w:t>.</w:t>
      </w:r>
      <w:r>
        <w:rPr>
          <w:snapToGrid w:val="0"/>
        </w:rPr>
        <w:tab/>
        <w:t>Application of this Act to the Crown, government departments, and local governments</w:t>
      </w:r>
      <w:bookmarkEnd w:id="19"/>
      <w:bookmarkEnd w:id="20"/>
    </w:p>
    <w:p>
      <w:pPr>
        <w:pStyle w:val="Subsection"/>
        <w:spacing w:before="120"/>
        <w:rPr>
          <w:snapToGrid w:val="0"/>
        </w:rPr>
      </w:pPr>
      <w:r>
        <w:rPr>
          <w:snapToGrid w:val="0"/>
        </w:rPr>
        <w:tab/>
        <w:t>(1)</w:t>
      </w:r>
      <w:r>
        <w:rPr>
          <w:snapToGrid w:val="0"/>
        </w:rPr>
        <w:tab/>
        <w:t>This Act binds the Crown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2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by No. 24 of 1986 s. 6; No. 89 of 1994 s. 39 and 41; No. 14 of 1996 s. 4; No. 58 of 1999 s. 83(1) and (3).]</w:t>
      </w:r>
    </w:p>
    <w:p>
      <w:pPr>
        <w:pStyle w:val="Ednotesection"/>
        <w:ind w:left="890" w:hanging="890"/>
      </w:pPr>
      <w:r>
        <w:t>[</w:t>
      </w:r>
      <w:r>
        <w:rPr>
          <w:b/>
        </w:rPr>
        <w:t>7</w:t>
      </w:r>
      <w:r>
        <w:rPr>
          <w:b/>
        </w:rPr>
        <w:noBreakHyphen/>
        <w:t>15.</w:t>
      </w:r>
      <w:r>
        <w:tab/>
        <w:t>Deleted by No. 89 of 1994 s. 8.]</w:t>
      </w:r>
    </w:p>
    <w:p>
      <w:pPr>
        <w:pStyle w:val="Ednotesection"/>
      </w:pPr>
      <w:r>
        <w:t>[</w:t>
      </w:r>
      <w:r>
        <w:rPr>
          <w:b/>
        </w:rPr>
        <w:t>16.</w:t>
      </w:r>
      <w:r>
        <w:tab/>
        <w:t>Deleted by No. 24 of 1986 s. 13.]</w:t>
      </w:r>
    </w:p>
    <w:p>
      <w:pPr>
        <w:pStyle w:val="Ednotesection"/>
      </w:pPr>
      <w:r>
        <w:t>[</w:t>
      </w:r>
      <w:r>
        <w:rPr>
          <w:b/>
        </w:rPr>
        <w:t>17</w:t>
      </w:r>
      <w:r>
        <w:rPr>
          <w:b/>
        </w:rPr>
        <w:noBreakHyphen/>
        <w:t>19.</w:t>
      </w:r>
      <w:r>
        <w:tab/>
        <w:t>Deleted by No. 89 of 1994 s. 8.]</w:t>
      </w:r>
    </w:p>
    <w:p>
      <w:pPr>
        <w:pStyle w:val="Ednotesection"/>
        <w:ind w:left="890" w:hanging="890"/>
      </w:pPr>
      <w:r>
        <w:t>[</w:t>
      </w:r>
      <w:r>
        <w:rPr>
          <w:b/>
        </w:rPr>
        <w:t>20</w:t>
      </w:r>
      <w:r>
        <w:rPr>
          <w:b/>
        </w:rPr>
        <w:noBreakHyphen/>
        <w:t>25.</w:t>
      </w:r>
      <w:r>
        <w:tab/>
        <w:t>Deleted by No. 24 of 1986 s. 15.]</w:t>
      </w:r>
    </w:p>
    <w:p>
      <w:pPr>
        <w:pStyle w:val="Ednotesection"/>
      </w:pPr>
      <w:r>
        <w:t>[</w:t>
      </w:r>
      <w:r>
        <w:rPr>
          <w:b/>
        </w:rPr>
        <w:t>26, 27, 27A.</w:t>
      </w:r>
      <w:r>
        <w:tab/>
        <w:t>Deleted by No. 89 of 1994 s. 8.]</w:t>
      </w:r>
    </w:p>
    <w:p>
      <w:pPr>
        <w:pStyle w:val="Heading5"/>
        <w:rPr>
          <w:snapToGrid w:val="0"/>
        </w:rPr>
      </w:pPr>
      <w:bookmarkStart w:id="21" w:name="_Toc335138252"/>
      <w:bookmarkStart w:id="22" w:name="_Toc196201948"/>
      <w:r>
        <w:rPr>
          <w:rStyle w:val="CharSectno"/>
        </w:rPr>
        <w:t>28</w:t>
      </w:r>
      <w:r>
        <w:rPr>
          <w:snapToGrid w:val="0"/>
        </w:rPr>
        <w:t>.</w:t>
      </w:r>
      <w:r>
        <w:rPr>
          <w:snapToGrid w:val="0"/>
        </w:rPr>
        <w:tab/>
        <w:t>Powers of the energy operator generally</w:t>
      </w:r>
      <w:bookmarkEnd w:id="21"/>
      <w:bookmarkEnd w:id="22"/>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by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by No. 89 of 1994 s. 10.]</w:t>
      </w:r>
    </w:p>
    <w:p>
      <w:pPr>
        <w:pStyle w:val="Heading5"/>
        <w:rPr>
          <w:snapToGrid w:val="0"/>
        </w:rPr>
      </w:pPr>
      <w:bookmarkStart w:id="23" w:name="_Toc335138253"/>
      <w:bookmarkStart w:id="24" w:name="_Toc196201949"/>
      <w:r>
        <w:rPr>
          <w:rStyle w:val="CharSectno"/>
        </w:rPr>
        <w:t>36</w:t>
      </w:r>
      <w:r>
        <w:rPr>
          <w:snapToGrid w:val="0"/>
        </w:rPr>
        <w:t>.</w:t>
      </w:r>
      <w:r>
        <w:rPr>
          <w:snapToGrid w:val="0"/>
        </w:rPr>
        <w:tab/>
        <w:t>Estates and interests in land</w:t>
      </w:r>
      <w:bookmarkEnd w:id="23"/>
      <w:bookmarkEnd w:id="24"/>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25" w:name="_Toc335138254"/>
      <w:bookmarkStart w:id="26" w:name="_Toc196201950"/>
      <w:r>
        <w:rPr>
          <w:rStyle w:val="CharSectno"/>
        </w:rPr>
        <w:t>37</w:t>
      </w:r>
      <w:r>
        <w:rPr>
          <w:snapToGrid w:val="0"/>
        </w:rPr>
        <w:t>.</w:t>
      </w:r>
      <w:r>
        <w:rPr>
          <w:snapToGrid w:val="0"/>
        </w:rPr>
        <w:tab/>
        <w:t>Partial interests in land</w:t>
      </w:r>
      <w:bookmarkEnd w:id="25"/>
      <w:bookmarkEnd w:id="26"/>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by No. 89 of 1994 s. 39 and 41; No. 31 of 1997 s. 26(2) and 142; No. 58 of 1999 s. 83(1) and (3).]</w:t>
      </w:r>
    </w:p>
    <w:p>
      <w:pPr>
        <w:pStyle w:val="Heading5"/>
        <w:rPr>
          <w:snapToGrid w:val="0"/>
        </w:rPr>
      </w:pPr>
      <w:bookmarkStart w:id="27" w:name="_Toc335138255"/>
      <w:bookmarkStart w:id="28" w:name="_Toc196201951"/>
      <w:r>
        <w:rPr>
          <w:rStyle w:val="CharSectno"/>
        </w:rPr>
        <w:t>38</w:t>
      </w:r>
      <w:r>
        <w:rPr>
          <w:snapToGrid w:val="0"/>
        </w:rPr>
        <w:t>.</w:t>
      </w:r>
      <w:r>
        <w:rPr>
          <w:snapToGrid w:val="0"/>
        </w:rPr>
        <w:tab/>
        <w:t>Conveyancing by abbreviated description</w:t>
      </w:r>
      <w:bookmarkEnd w:id="27"/>
      <w:bookmarkEnd w:id="28"/>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deleted]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[Section 38 amended by No. 89 of 1994 s. 39 and 41; No. 31 of 1997 s. 26(3)-(6); No. 58 of 1999 s. 83(1) and (3); No. 33 of 2004 s. 40.]</w:t>
      </w:r>
    </w:p>
    <w:p>
      <w:pPr>
        <w:pStyle w:val="Heading5"/>
        <w:rPr>
          <w:snapToGrid w:val="0"/>
        </w:rPr>
      </w:pPr>
      <w:bookmarkStart w:id="29" w:name="_Toc335138256"/>
      <w:bookmarkStart w:id="30" w:name="_Toc196201952"/>
      <w:r>
        <w:rPr>
          <w:rStyle w:val="CharSectno"/>
        </w:rPr>
        <w:t>39</w:t>
      </w:r>
      <w:r>
        <w:rPr>
          <w:snapToGrid w:val="0"/>
        </w:rPr>
        <w:t>.</w:t>
      </w:r>
      <w:r>
        <w:rPr>
          <w:snapToGrid w:val="0"/>
        </w:rPr>
        <w:tab/>
        <w:t>Agreements incidental to land matters</w:t>
      </w:r>
      <w:bookmarkEnd w:id="29"/>
      <w:bookmarkEnd w:id="30"/>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by No. 24 of 1986 s. 18; No. 89 of 1994 s. 11, 39 and 41; No. 31 of 1997 s. 26(7) and 143; No. 58 of 1999 s. 83(1) and (3).]</w:t>
      </w:r>
    </w:p>
    <w:p>
      <w:pPr>
        <w:pStyle w:val="Heading5"/>
        <w:rPr>
          <w:snapToGrid w:val="0"/>
        </w:rPr>
      </w:pPr>
      <w:bookmarkStart w:id="31" w:name="_Toc335138257"/>
      <w:bookmarkStart w:id="32" w:name="_Toc196201953"/>
      <w:r>
        <w:rPr>
          <w:rStyle w:val="CharSectno"/>
        </w:rPr>
        <w:t>40</w:t>
      </w:r>
      <w:r>
        <w:rPr>
          <w:snapToGrid w:val="0"/>
        </w:rPr>
        <w:t>.</w:t>
      </w:r>
      <w:r>
        <w:rPr>
          <w:snapToGrid w:val="0"/>
        </w:rPr>
        <w:tab/>
        <w:t>Power to dispose of land</w:t>
      </w:r>
      <w:bookmarkEnd w:id="31"/>
      <w:bookmarkEnd w:id="32"/>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by No. 24 of 1986 s. 19; No. 89 of 1994 s. 12, 39 and 41; No. 31 of 1997 s. 26(8) and 142; No. 58 of 1999 s. 83(1) and (3).]</w:t>
      </w:r>
    </w:p>
    <w:p>
      <w:pPr>
        <w:pStyle w:val="Heading5"/>
        <w:rPr>
          <w:snapToGrid w:val="0"/>
        </w:rPr>
      </w:pPr>
      <w:bookmarkStart w:id="33" w:name="_Toc335138258"/>
      <w:bookmarkStart w:id="34" w:name="_Toc196201954"/>
      <w:r>
        <w:rPr>
          <w:rStyle w:val="CharSectno"/>
        </w:rPr>
        <w:t>41</w:t>
      </w:r>
      <w:r>
        <w:rPr>
          <w:snapToGrid w:val="0"/>
        </w:rPr>
        <w:t>.</w:t>
      </w:r>
      <w:r>
        <w:rPr>
          <w:snapToGrid w:val="0"/>
        </w:rPr>
        <w:tab/>
        <w:t>Planning approvals</w:t>
      </w:r>
      <w:bookmarkEnd w:id="33"/>
      <w:bookmarkEnd w:id="3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by No. 84 of 1994 s. 46; No. 89 of 1994 s. 39 and 41; No. 58 of 1999 s. 83(1) and (3); No. 38 of 2005 s. 15.]</w:t>
      </w:r>
    </w:p>
    <w:p>
      <w:pPr>
        <w:pStyle w:val="Heading5"/>
        <w:rPr>
          <w:snapToGrid w:val="0"/>
        </w:rPr>
      </w:pPr>
      <w:bookmarkStart w:id="35" w:name="_Toc335138259"/>
      <w:bookmarkStart w:id="36" w:name="_Toc196201955"/>
      <w:r>
        <w:rPr>
          <w:rStyle w:val="CharSectno"/>
        </w:rPr>
        <w:t>42</w:t>
      </w:r>
      <w:r>
        <w:rPr>
          <w:snapToGrid w:val="0"/>
        </w:rPr>
        <w:t>.</w:t>
      </w:r>
      <w:r>
        <w:rPr>
          <w:snapToGrid w:val="0"/>
        </w:rPr>
        <w:tab/>
        <w:t>Energy operator to have certain rights to water</w:t>
      </w:r>
      <w:bookmarkEnd w:id="35"/>
      <w:bookmarkEnd w:id="36"/>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Minister referred to in the </w:t>
      </w:r>
      <w:r>
        <w:rPr>
          <w:i/>
          <w:kern w:val="24"/>
        </w:rPr>
        <w:t xml:space="preserve">Water </w:t>
      </w:r>
      <w:r>
        <w:rPr>
          <w:i/>
          <w:spacing w:val="-2"/>
          <w:kern w:val="24"/>
        </w:rPr>
        <w:t>Agencies (Powers) Act 1984</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by No. 24 of 1986 s. 20; No. 89 of 1994 s. 13, 39 and 41; No. 73 of 1995 s. 188; No. 58 of 1999 s. 83(1) and (3); No. 38 of 2007 s. 193.]</w:t>
      </w:r>
    </w:p>
    <w:p>
      <w:pPr>
        <w:pStyle w:val="Heading5"/>
        <w:rPr>
          <w:snapToGrid w:val="0"/>
        </w:rPr>
      </w:pPr>
      <w:bookmarkStart w:id="37" w:name="_Toc335138260"/>
      <w:bookmarkStart w:id="38" w:name="_Toc196201956"/>
      <w:r>
        <w:rPr>
          <w:rStyle w:val="CharSectno"/>
        </w:rPr>
        <w:t>43</w:t>
      </w:r>
      <w:r>
        <w:rPr>
          <w:snapToGrid w:val="0"/>
        </w:rPr>
        <w:t>.</w:t>
      </w:r>
      <w:r>
        <w:rPr>
          <w:snapToGrid w:val="0"/>
        </w:rPr>
        <w:tab/>
        <w:t>Property in works</w:t>
      </w:r>
      <w:bookmarkEnd w:id="37"/>
      <w:bookmarkEnd w:id="38"/>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by No. 36 of 1984 s. 3; No. 30 of 1987 s. 7; No. 89 of 1994 s. 14, 39, 40 and 41; No. 58 of 1999 s. 83; No. 33 of 2004 s. 41.]</w:t>
      </w:r>
    </w:p>
    <w:p>
      <w:pPr>
        <w:pStyle w:val="Ednotesection"/>
      </w:pPr>
      <w:r>
        <w:t>[</w:t>
      </w:r>
      <w:r>
        <w:rPr>
          <w:b/>
        </w:rPr>
        <w:t>44.</w:t>
      </w:r>
      <w:r>
        <w:rPr>
          <w:b/>
        </w:rPr>
        <w:tab/>
      </w:r>
      <w:r>
        <w:t>Deleted by No. 89 of 1994 s. 15.]</w:t>
      </w:r>
    </w:p>
    <w:p>
      <w:pPr>
        <w:pStyle w:val="Heading5"/>
        <w:rPr>
          <w:snapToGrid w:val="0"/>
        </w:rPr>
      </w:pPr>
      <w:bookmarkStart w:id="39" w:name="_Toc335138261"/>
      <w:bookmarkStart w:id="40" w:name="_Toc196201957"/>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39"/>
      <w:bookmarkEnd w:id="40"/>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(18) and 142; No. 58 of 1999 s. 80 and 83(1) and (3); No. 24 of 2000 s. 14(13); No. 33 of 2004 s. 42.]</w:t>
      </w:r>
    </w:p>
    <w:p>
      <w:pPr>
        <w:pStyle w:val="Heading5"/>
        <w:spacing w:before="200"/>
        <w:rPr>
          <w:snapToGrid w:val="0"/>
        </w:rPr>
      </w:pPr>
      <w:bookmarkStart w:id="41" w:name="_Toc335138262"/>
      <w:bookmarkStart w:id="42" w:name="_Toc196201958"/>
      <w:r>
        <w:rPr>
          <w:rStyle w:val="CharSectno"/>
        </w:rPr>
        <w:t>46</w:t>
      </w:r>
      <w:r>
        <w:rPr>
          <w:snapToGrid w:val="0"/>
        </w:rPr>
        <w:t>.</w:t>
      </w:r>
      <w:r>
        <w:rPr>
          <w:snapToGrid w:val="0"/>
        </w:rPr>
        <w:tab/>
        <w:t>The power of entry, generally</w:t>
      </w:r>
      <w:bookmarkEnd w:id="41"/>
      <w:bookmarkEnd w:id="42"/>
    </w:p>
    <w:p>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by No. 89 of 1994 s. 17, 39, 40 and 41; No. 31 of 1997 s. 26(19) and (20) and 142; No. 58 of 1999 s. 83; No. 33 of 2004 s. 43.]</w:t>
      </w:r>
    </w:p>
    <w:p>
      <w:pPr>
        <w:pStyle w:val="Heading5"/>
        <w:rPr>
          <w:snapToGrid w:val="0"/>
        </w:rPr>
      </w:pPr>
      <w:bookmarkStart w:id="43" w:name="_Toc335138263"/>
      <w:bookmarkStart w:id="44" w:name="_Toc196201959"/>
      <w:r>
        <w:rPr>
          <w:rStyle w:val="CharSectno"/>
        </w:rPr>
        <w:t>47</w:t>
      </w:r>
      <w:r>
        <w:rPr>
          <w:snapToGrid w:val="0"/>
        </w:rPr>
        <w:t>.</w:t>
      </w:r>
      <w:r>
        <w:rPr>
          <w:snapToGrid w:val="0"/>
        </w:rPr>
        <w:tab/>
        <w:t>Service of notice by post on owner or occupier</w:t>
      </w:r>
      <w:bookmarkEnd w:id="43"/>
      <w:bookmarkEnd w:id="44"/>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45" w:name="_Toc335138264"/>
      <w:bookmarkStart w:id="46" w:name="_Toc196201960"/>
      <w:r>
        <w:rPr>
          <w:rStyle w:val="CharSectno"/>
        </w:rPr>
        <w:t>48</w:t>
      </w:r>
      <w:r>
        <w:rPr>
          <w:snapToGrid w:val="0"/>
        </w:rPr>
        <w:t>.</w:t>
      </w:r>
      <w:r>
        <w:rPr>
          <w:snapToGrid w:val="0"/>
        </w:rPr>
        <w:tab/>
        <w:t>Rights as to entry on lands etc. in emergency</w:t>
      </w:r>
      <w:bookmarkEnd w:id="45"/>
      <w:bookmarkEnd w:id="46"/>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by No. 24 of 1986 s. 22; No. 89 of 1994 s. 39, 40 and 41; No. 58 of 1999 s. 83.]</w:t>
      </w:r>
    </w:p>
    <w:p>
      <w:pPr>
        <w:pStyle w:val="Heading5"/>
        <w:keepNext w:val="0"/>
        <w:keepLines w:val="0"/>
        <w:rPr>
          <w:snapToGrid w:val="0"/>
        </w:rPr>
      </w:pPr>
      <w:bookmarkStart w:id="47" w:name="_Toc335138265"/>
      <w:bookmarkStart w:id="48" w:name="_Toc196201961"/>
      <w:r>
        <w:rPr>
          <w:rStyle w:val="CharSectno"/>
        </w:rPr>
        <w:t>49</w:t>
      </w:r>
      <w:r>
        <w:rPr>
          <w:snapToGrid w:val="0"/>
        </w:rPr>
        <w:t>.</w:t>
      </w:r>
      <w:r>
        <w:rPr>
          <w:snapToGrid w:val="0"/>
        </w:rPr>
        <w:tab/>
        <w:t>General powers relating to works</w:t>
      </w:r>
      <w:bookmarkEnd w:id="47"/>
      <w:bookmarkEnd w:id="48"/>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keepNext/>
        <w:keepLines/>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by No. 89 of 1994 s. 39 and 41; No. 58 of 1999 s. 83(1) and (3).]</w:t>
      </w:r>
    </w:p>
    <w:p>
      <w:pPr>
        <w:pStyle w:val="Heading5"/>
        <w:rPr>
          <w:snapToGrid w:val="0"/>
        </w:rPr>
      </w:pPr>
      <w:bookmarkStart w:id="49" w:name="_Toc335138266"/>
      <w:bookmarkStart w:id="50" w:name="_Toc196201962"/>
      <w:r>
        <w:rPr>
          <w:rStyle w:val="CharSectno"/>
          <w:spacing w:val="-4"/>
        </w:rPr>
        <w:t>50</w:t>
      </w:r>
      <w:r>
        <w:rPr>
          <w:snapToGrid w:val="0"/>
        </w:rPr>
        <w:t>.</w:t>
      </w:r>
      <w:r>
        <w:rPr>
          <w:snapToGrid w:val="0"/>
        </w:rPr>
        <w:tab/>
        <w:t>Restrictions on the exercise of the general powers</w:t>
      </w:r>
      <w:bookmarkEnd w:id="49"/>
      <w:bookmarkEnd w:id="50"/>
    </w:p>
    <w:p>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by No. 89 of 1994 s. 39; No. 58 of 1999 s. 83(1).]</w:t>
      </w:r>
    </w:p>
    <w:p>
      <w:pPr>
        <w:pStyle w:val="Heading5"/>
        <w:rPr>
          <w:snapToGrid w:val="0"/>
        </w:rPr>
      </w:pPr>
      <w:bookmarkStart w:id="51" w:name="_Toc335138267"/>
      <w:bookmarkStart w:id="52" w:name="_Toc196201963"/>
      <w:r>
        <w:rPr>
          <w:rStyle w:val="CharSectno"/>
        </w:rPr>
        <w:t>51</w:t>
      </w:r>
      <w:r>
        <w:rPr>
          <w:snapToGrid w:val="0"/>
        </w:rPr>
        <w:t>.</w:t>
      </w:r>
      <w:r>
        <w:rPr>
          <w:snapToGrid w:val="0"/>
        </w:rPr>
        <w:tab/>
        <w:t>Alteration to works in streets</w:t>
      </w:r>
      <w:bookmarkEnd w:id="51"/>
      <w:bookmarkEnd w:id="52"/>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by No. 89 of 1994 s. 39 and 41; No. 58 of 1999 s. 83(1) and (3).]</w:t>
      </w:r>
    </w:p>
    <w:p>
      <w:pPr>
        <w:pStyle w:val="Heading5"/>
        <w:rPr>
          <w:snapToGrid w:val="0"/>
        </w:rPr>
      </w:pPr>
      <w:bookmarkStart w:id="53" w:name="_Toc335138268"/>
      <w:bookmarkStart w:id="54" w:name="_Toc196201964"/>
      <w:r>
        <w:rPr>
          <w:rStyle w:val="CharSectno"/>
        </w:rPr>
        <w:t>52</w:t>
      </w:r>
      <w:r>
        <w:rPr>
          <w:snapToGrid w:val="0"/>
        </w:rPr>
        <w:t>.</w:t>
      </w:r>
      <w:r>
        <w:rPr>
          <w:snapToGrid w:val="0"/>
        </w:rPr>
        <w:tab/>
        <w:t>Street levels and widths</w:t>
      </w:r>
      <w:bookmarkEnd w:id="53"/>
      <w:bookmarkEnd w:id="54"/>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by No. 89 of 1994 s. 39 and 41; No. 58 of 1999 s. 83(1) and (3).]</w:t>
      </w:r>
    </w:p>
    <w:p>
      <w:pPr>
        <w:pStyle w:val="Heading5"/>
        <w:rPr>
          <w:snapToGrid w:val="0"/>
        </w:rPr>
      </w:pPr>
      <w:bookmarkStart w:id="55" w:name="_Toc335138269"/>
      <w:bookmarkStart w:id="56" w:name="_Toc196201965"/>
      <w:r>
        <w:rPr>
          <w:rStyle w:val="CharSectno"/>
        </w:rPr>
        <w:t>53</w:t>
      </w:r>
      <w:r>
        <w:rPr>
          <w:snapToGrid w:val="0"/>
        </w:rPr>
        <w:t>.</w:t>
      </w:r>
      <w:r>
        <w:rPr>
          <w:snapToGrid w:val="0"/>
        </w:rPr>
        <w:tab/>
        <w:t>Streets broken up to be reinstated without delay</w:t>
      </w:r>
      <w:bookmarkEnd w:id="55"/>
      <w:bookmarkEnd w:id="56"/>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by No. 89 of 1994 s. 39, 40 and 41; No. 58 of 1999 s. 83.]</w:t>
      </w:r>
    </w:p>
    <w:p>
      <w:pPr>
        <w:pStyle w:val="Heading5"/>
        <w:rPr>
          <w:snapToGrid w:val="0"/>
        </w:rPr>
      </w:pPr>
      <w:bookmarkStart w:id="57" w:name="_Toc335138270"/>
      <w:bookmarkStart w:id="58" w:name="_Toc196201966"/>
      <w:r>
        <w:rPr>
          <w:rStyle w:val="CharSectno"/>
        </w:rPr>
        <w:t>54</w:t>
      </w:r>
      <w:r>
        <w:rPr>
          <w:snapToGrid w:val="0"/>
        </w:rPr>
        <w:t>.</w:t>
      </w:r>
      <w:r>
        <w:rPr>
          <w:snapToGrid w:val="0"/>
        </w:rPr>
        <w:tab/>
        <w:t>Duty and powers, as to vegetation causing interference</w:t>
      </w:r>
      <w:bookmarkEnd w:id="57"/>
      <w:bookmarkEnd w:id="58"/>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by No. 89 of 1994 s. 39 and 41; No. 14 of 1996 s. 4; No. 58 of 1999 s. 83(1) and (3).]</w:t>
      </w:r>
    </w:p>
    <w:p>
      <w:pPr>
        <w:pStyle w:val="Ednotesection"/>
      </w:pPr>
      <w:r>
        <w:t>[</w:t>
      </w:r>
      <w:r>
        <w:rPr>
          <w:b/>
          <w:bCs/>
        </w:rPr>
        <w:t>55.</w:t>
      </w:r>
      <w:r>
        <w:tab/>
        <w:t>Deleted by No. 8 of 2006 s. 4.]</w:t>
      </w:r>
    </w:p>
    <w:p>
      <w:pPr>
        <w:pStyle w:val="Ednotesection"/>
      </w:pPr>
      <w:r>
        <w:t>[</w:t>
      </w:r>
      <w:r>
        <w:rPr>
          <w:b/>
        </w:rPr>
        <w:t>56.</w:t>
      </w:r>
      <w:r>
        <w:tab/>
        <w:t>Deleted by No. 58 of 1999 s. 54.]</w:t>
      </w:r>
    </w:p>
    <w:p>
      <w:pPr>
        <w:pStyle w:val="Heading5"/>
        <w:rPr>
          <w:snapToGrid w:val="0"/>
        </w:rPr>
      </w:pPr>
      <w:bookmarkStart w:id="59" w:name="_Toc335138271"/>
      <w:bookmarkStart w:id="60" w:name="_Toc196201967"/>
      <w:r>
        <w:rPr>
          <w:rStyle w:val="CharSectno"/>
        </w:rPr>
        <w:t>57</w:t>
      </w:r>
      <w:r>
        <w:rPr>
          <w:snapToGrid w:val="0"/>
        </w:rPr>
        <w:t>.</w:t>
      </w:r>
      <w:r>
        <w:rPr>
          <w:snapToGrid w:val="0"/>
        </w:rPr>
        <w:tab/>
        <w:t>Distribution system emergencies</w:t>
      </w:r>
      <w:bookmarkEnd w:id="59"/>
      <w:bookmarkEnd w:id="60"/>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by reason of which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by No. 24 of 1986 s. 23 and 42; No. 89 of 1994 s. 39 and 41; No. 78 of 1995 s. 37; No. 58 of 1999 s. 55; No. 33 of 2004 s. 44.]</w:t>
      </w:r>
    </w:p>
    <w:p>
      <w:pPr>
        <w:pStyle w:val="Heading5"/>
        <w:rPr>
          <w:snapToGrid w:val="0"/>
        </w:rPr>
      </w:pPr>
      <w:bookmarkStart w:id="61" w:name="_Toc335138272"/>
      <w:bookmarkStart w:id="62" w:name="_Toc196201968"/>
      <w:r>
        <w:rPr>
          <w:rStyle w:val="CharSectno"/>
        </w:rPr>
        <w:t>58</w:t>
      </w:r>
      <w:r>
        <w:rPr>
          <w:snapToGrid w:val="0"/>
        </w:rPr>
        <w:t>.</w:t>
      </w:r>
      <w:r>
        <w:rPr>
          <w:snapToGrid w:val="0"/>
        </w:rPr>
        <w:tab/>
        <w:t>Energy operator may not be bound to supply</w:t>
      </w:r>
      <w:bookmarkEnd w:id="61"/>
      <w:bookmarkEnd w:id="62"/>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by No. 24 of 1986 s. 24; No. 89 of 1994 s. 20, 39 and 41; No. 58 of 1999 s. 83(1) and (3); (correction to reprint in Gazette 22 Nov 2002 p. 5533); No. 53 of 2003 s. 113.]</w:t>
      </w:r>
    </w:p>
    <w:p>
      <w:pPr>
        <w:pStyle w:val="Heading5"/>
        <w:rPr>
          <w:snapToGrid w:val="0"/>
        </w:rPr>
      </w:pPr>
      <w:bookmarkStart w:id="63" w:name="_Toc335138273"/>
      <w:bookmarkStart w:id="64" w:name="_Toc196201969"/>
      <w:r>
        <w:rPr>
          <w:rStyle w:val="CharSectno"/>
        </w:rPr>
        <w:t>59</w:t>
      </w:r>
      <w:r>
        <w:rPr>
          <w:snapToGrid w:val="0"/>
        </w:rPr>
        <w:t>.</w:t>
      </w:r>
      <w:r>
        <w:rPr>
          <w:snapToGrid w:val="0"/>
        </w:rPr>
        <w:tab/>
        <w:t>Energy operator may supply, with or without contract</w:t>
      </w:r>
      <w:bookmarkEnd w:id="63"/>
      <w:bookmarkEnd w:id="64"/>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by No. 89 of 1994 s. 21; No. 58 of 1999 s. 83(1).]</w:t>
      </w:r>
    </w:p>
    <w:p>
      <w:pPr>
        <w:pStyle w:val="Heading5"/>
        <w:rPr>
          <w:snapToGrid w:val="0"/>
        </w:rPr>
      </w:pPr>
      <w:bookmarkStart w:id="65" w:name="_Toc335138274"/>
      <w:bookmarkStart w:id="66" w:name="_Toc196201970"/>
      <w:r>
        <w:rPr>
          <w:rStyle w:val="CharSectno"/>
        </w:rPr>
        <w:t>60</w:t>
      </w:r>
      <w:r>
        <w:rPr>
          <w:snapToGrid w:val="0"/>
        </w:rPr>
        <w:t>.</w:t>
      </w:r>
      <w:r>
        <w:rPr>
          <w:snapToGrid w:val="0"/>
        </w:rPr>
        <w:tab/>
        <w:t>Repudiation of existing contracts, and unwritten contracts</w:t>
      </w:r>
      <w:bookmarkEnd w:id="65"/>
      <w:bookmarkEnd w:id="66"/>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by No. 89 of 1994 s. 22, 39 and 41; No. 58 of 1999 s. 83(1) and (3).]</w:t>
      </w:r>
    </w:p>
    <w:p>
      <w:pPr>
        <w:pStyle w:val="Heading5"/>
        <w:spacing w:before="240"/>
        <w:rPr>
          <w:snapToGrid w:val="0"/>
        </w:rPr>
      </w:pPr>
      <w:bookmarkStart w:id="67" w:name="_Toc335138275"/>
      <w:bookmarkStart w:id="68" w:name="_Toc196201971"/>
      <w:r>
        <w:rPr>
          <w:rStyle w:val="CharSectno"/>
        </w:rPr>
        <w:t>61</w:t>
      </w:r>
      <w:r>
        <w:rPr>
          <w:snapToGrid w:val="0"/>
        </w:rPr>
        <w:t>.</w:t>
      </w:r>
      <w:r>
        <w:rPr>
          <w:snapToGrid w:val="0"/>
        </w:rPr>
        <w:tab/>
        <w:t>Agreements to supply beyond normal range</w:t>
      </w:r>
      <w:bookmarkEnd w:id="67"/>
      <w:bookmarkEnd w:id="68"/>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by No. 101 of 1981 s. 15; No. 24 of 1986 s. 25; No. 89 of 1994 s. 23, 39, 40 and 41; No. 58 of 1999 s. 83; No. 53 of 2003 s. 114.]</w:t>
      </w:r>
    </w:p>
    <w:p>
      <w:pPr>
        <w:pStyle w:val="Heading5"/>
        <w:spacing w:before="240"/>
        <w:rPr>
          <w:snapToGrid w:val="0"/>
        </w:rPr>
      </w:pPr>
      <w:bookmarkStart w:id="69" w:name="_Toc335138276"/>
      <w:bookmarkStart w:id="70" w:name="_Toc196201972"/>
      <w:r>
        <w:rPr>
          <w:rStyle w:val="CharSectno"/>
        </w:rPr>
        <w:t>62</w:t>
      </w:r>
      <w:r>
        <w:rPr>
          <w:snapToGrid w:val="0"/>
        </w:rPr>
        <w:t>.</w:t>
      </w:r>
      <w:r>
        <w:rPr>
          <w:snapToGrid w:val="0"/>
        </w:rPr>
        <w:tab/>
        <w:t>Charges for supply, conditions of supply, and termination of supply</w:t>
      </w:r>
      <w:bookmarkEnd w:id="69"/>
      <w:bookmarkEnd w:id="70"/>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by No. 101 of 1981 s. 16; No. 89 of 1994 s. 24, 39, 40 and 41; No. 58 of 1999 s. 83.]</w:t>
      </w:r>
    </w:p>
    <w:p>
      <w:pPr>
        <w:pStyle w:val="Heading5"/>
        <w:keepLines w:val="0"/>
        <w:rPr>
          <w:snapToGrid w:val="0"/>
        </w:rPr>
      </w:pPr>
      <w:bookmarkStart w:id="71" w:name="_Toc335138277"/>
      <w:bookmarkStart w:id="72" w:name="_Toc196201973"/>
      <w:r>
        <w:rPr>
          <w:rStyle w:val="CharSectno"/>
        </w:rPr>
        <w:t>63</w:t>
      </w:r>
      <w:r>
        <w:rPr>
          <w:snapToGrid w:val="0"/>
        </w:rPr>
        <w:t>.</w:t>
      </w:r>
      <w:r>
        <w:rPr>
          <w:snapToGrid w:val="0"/>
        </w:rPr>
        <w:tab/>
        <w:t>Apportioned accounts</w:t>
      </w:r>
      <w:bookmarkEnd w:id="71"/>
      <w:bookmarkEnd w:id="72"/>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by No. 89 of 1994 s. 41; No. 58 of 1999 s. 83(3).]</w:t>
      </w:r>
    </w:p>
    <w:p>
      <w:pPr>
        <w:pStyle w:val="Heading5"/>
        <w:spacing w:before="200"/>
        <w:rPr>
          <w:snapToGrid w:val="0"/>
        </w:rPr>
      </w:pPr>
      <w:bookmarkStart w:id="73" w:name="_Toc335138278"/>
      <w:bookmarkStart w:id="74" w:name="_Toc196201974"/>
      <w:r>
        <w:rPr>
          <w:rStyle w:val="CharSectno"/>
        </w:rPr>
        <w:t>64</w:t>
      </w:r>
      <w:r>
        <w:rPr>
          <w:snapToGrid w:val="0"/>
        </w:rPr>
        <w:t>.</w:t>
      </w:r>
      <w:r>
        <w:rPr>
          <w:snapToGrid w:val="0"/>
        </w:rPr>
        <w:tab/>
        <w:t>Meters</w:t>
      </w:r>
      <w:bookmarkEnd w:id="73"/>
      <w:bookmarkEnd w:id="74"/>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by No. 24 of 1986 s. 26; No. 89 of 1994 s. 39, 40 and 41; No. 58 of 1999 s. 83.]</w:t>
      </w:r>
    </w:p>
    <w:p>
      <w:pPr>
        <w:pStyle w:val="Heading5"/>
        <w:rPr>
          <w:snapToGrid w:val="0"/>
        </w:rPr>
      </w:pPr>
      <w:bookmarkStart w:id="75" w:name="_Toc335138279"/>
      <w:bookmarkStart w:id="76" w:name="_Toc196201975"/>
      <w:r>
        <w:rPr>
          <w:rStyle w:val="CharSectno"/>
        </w:rPr>
        <w:t>65</w:t>
      </w:r>
      <w:r>
        <w:rPr>
          <w:snapToGrid w:val="0"/>
        </w:rPr>
        <w:t>.</w:t>
      </w:r>
      <w:r>
        <w:rPr>
          <w:snapToGrid w:val="0"/>
        </w:rPr>
        <w:tab/>
        <w:t>Metered accounts</w:t>
      </w:r>
      <w:bookmarkEnd w:id="75"/>
      <w:bookmarkEnd w:id="76"/>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[Section 65 amended by No. 89 of 1994 s. 39 and 41; No. 58 of 1999 s. 83(1) and (3); No. 53 of 2003 s. 115(1) and (2).]</w:t>
      </w:r>
    </w:p>
    <w:p>
      <w:pPr>
        <w:pStyle w:val="Heading5"/>
        <w:rPr>
          <w:snapToGrid w:val="0"/>
        </w:rPr>
      </w:pPr>
      <w:bookmarkStart w:id="77" w:name="_Toc335138280"/>
      <w:bookmarkStart w:id="78" w:name="_Toc196201976"/>
      <w:r>
        <w:rPr>
          <w:rStyle w:val="CharSectno"/>
        </w:rPr>
        <w:t>66</w:t>
      </w:r>
      <w:r>
        <w:rPr>
          <w:snapToGrid w:val="0"/>
        </w:rPr>
        <w:t>.</w:t>
      </w:r>
      <w:r>
        <w:rPr>
          <w:snapToGrid w:val="0"/>
        </w:rPr>
        <w:tab/>
        <w:t>Meter tests</w:t>
      </w:r>
      <w:bookmarkEnd w:id="77"/>
      <w:bookmarkEnd w:id="78"/>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by No. 89 of 1994 s. 39, 40 and 41; No. 58 of 1999 s. 56 and 83.]</w:t>
      </w:r>
    </w:p>
    <w:p>
      <w:pPr>
        <w:pStyle w:val="Heading5"/>
        <w:rPr>
          <w:snapToGrid w:val="0"/>
        </w:rPr>
      </w:pPr>
      <w:bookmarkStart w:id="79" w:name="_Toc335138281"/>
      <w:bookmarkStart w:id="80" w:name="_Toc196201977"/>
      <w:r>
        <w:rPr>
          <w:rStyle w:val="CharSectno"/>
        </w:rPr>
        <w:t>67</w:t>
      </w:r>
      <w:r>
        <w:rPr>
          <w:snapToGrid w:val="0"/>
        </w:rPr>
        <w:t>.</w:t>
      </w:r>
      <w:r>
        <w:rPr>
          <w:snapToGrid w:val="0"/>
        </w:rPr>
        <w:tab/>
        <w:t>Circumventing meters</w:t>
      </w:r>
      <w:bookmarkEnd w:id="79"/>
      <w:bookmarkEnd w:id="80"/>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by No. 101 of 1981 s. 17; No. 24 of 1986 s. 27 and 42; No. 89 of 1994 s. 39 and 41; No. 58 of 1999 s. 83(1) and (3); No. 50 of 2003 s. 58(2); No. 84 of 2004 s. 80.]</w:t>
      </w:r>
    </w:p>
    <w:p>
      <w:pPr>
        <w:pStyle w:val="Heading5"/>
        <w:rPr>
          <w:snapToGrid w:val="0"/>
        </w:rPr>
      </w:pPr>
      <w:bookmarkStart w:id="81" w:name="_Toc335138282"/>
      <w:bookmarkStart w:id="82" w:name="_Toc196201978"/>
      <w:r>
        <w:rPr>
          <w:rStyle w:val="CharSectno"/>
        </w:rPr>
        <w:t>67A</w:t>
      </w:r>
      <w:r>
        <w:rPr>
          <w:snapToGrid w:val="0"/>
        </w:rPr>
        <w:t>.</w:t>
      </w:r>
      <w:r>
        <w:rPr>
          <w:snapToGrid w:val="0"/>
        </w:rPr>
        <w:tab/>
        <w:t>Liability for charges, and damage to apparatus</w:t>
      </w:r>
      <w:bookmarkEnd w:id="81"/>
      <w:bookmarkEnd w:id="82"/>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by No. 24 of 1986 s. 28; amended by No. 89 of 1994 s. 25, 39 and 41; No. 58 of 1999 s. 83(1) and (3).]</w:t>
      </w:r>
    </w:p>
    <w:p>
      <w:pPr>
        <w:pStyle w:val="Heading5"/>
        <w:rPr>
          <w:snapToGrid w:val="0"/>
        </w:rPr>
      </w:pPr>
      <w:bookmarkStart w:id="83" w:name="_Toc335138283"/>
      <w:bookmarkStart w:id="84" w:name="_Toc196201979"/>
      <w:r>
        <w:rPr>
          <w:rStyle w:val="CharSectno"/>
        </w:rPr>
        <w:t>68</w:t>
      </w:r>
      <w:r>
        <w:rPr>
          <w:snapToGrid w:val="0"/>
        </w:rPr>
        <w:t>.</w:t>
      </w:r>
      <w:r>
        <w:rPr>
          <w:snapToGrid w:val="0"/>
        </w:rPr>
        <w:tab/>
        <w:t>Inspectors</w:t>
      </w:r>
      <w:bookmarkEnd w:id="83"/>
      <w:bookmarkEnd w:id="84"/>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by No. 101 of 1981 s. 18; No. 24 of 1986 s. 29; No. 89 of 1994 s. 26; No. 58 of 1999 s. 83(2) and (3).]</w:t>
      </w:r>
    </w:p>
    <w:p>
      <w:pPr>
        <w:pStyle w:val="Heading5"/>
        <w:rPr>
          <w:snapToGrid w:val="0"/>
        </w:rPr>
      </w:pPr>
      <w:bookmarkStart w:id="85" w:name="_Toc335138284"/>
      <w:bookmarkStart w:id="86" w:name="_Toc196201980"/>
      <w:r>
        <w:rPr>
          <w:rStyle w:val="CharSectno"/>
        </w:rPr>
        <w:t>69</w:t>
      </w:r>
      <w:r>
        <w:rPr>
          <w:snapToGrid w:val="0"/>
        </w:rPr>
        <w:t>.</w:t>
      </w:r>
      <w:r>
        <w:rPr>
          <w:snapToGrid w:val="0"/>
        </w:rPr>
        <w:tab/>
        <w:t>Incriminating statements</w:t>
      </w:r>
      <w:bookmarkEnd w:id="85"/>
      <w:bookmarkEnd w:id="86"/>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by No. 89 of 1994 s. 27.]</w:t>
      </w:r>
    </w:p>
    <w:p>
      <w:pPr>
        <w:pStyle w:val="Heading5"/>
        <w:rPr>
          <w:snapToGrid w:val="0"/>
        </w:rPr>
      </w:pPr>
      <w:bookmarkStart w:id="87" w:name="_Toc335138285"/>
      <w:bookmarkStart w:id="88" w:name="_Toc196201981"/>
      <w:r>
        <w:rPr>
          <w:rStyle w:val="CharSectno"/>
        </w:rPr>
        <w:t>74</w:t>
      </w:r>
      <w:r>
        <w:rPr>
          <w:snapToGrid w:val="0"/>
        </w:rPr>
        <w:t>.</w:t>
      </w:r>
      <w:r>
        <w:rPr>
          <w:snapToGrid w:val="0"/>
        </w:rPr>
        <w:tab/>
        <w:t>Malicious damage</w:t>
      </w:r>
      <w:bookmarkEnd w:id="87"/>
      <w:bookmarkEnd w:id="88"/>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by No. 89 of 1994 s. 39; No. 58 of 1999 s. 83(1); No. 70 of 2004 s. 82; No. 59 of 2006 s. 73.]</w:t>
      </w:r>
    </w:p>
    <w:p>
      <w:pPr>
        <w:pStyle w:val="Heading5"/>
        <w:rPr>
          <w:snapToGrid w:val="0"/>
        </w:rPr>
      </w:pPr>
      <w:bookmarkStart w:id="89" w:name="_Toc335138286"/>
      <w:bookmarkStart w:id="90" w:name="_Toc196201982"/>
      <w:r>
        <w:rPr>
          <w:rStyle w:val="CharSectno"/>
        </w:rPr>
        <w:t>75</w:t>
      </w:r>
      <w:r>
        <w:rPr>
          <w:snapToGrid w:val="0"/>
        </w:rPr>
        <w:t>.</w:t>
      </w:r>
      <w:r>
        <w:rPr>
          <w:snapToGrid w:val="0"/>
        </w:rPr>
        <w:tab/>
        <w:t>Unlawful damage generally</w:t>
      </w:r>
      <w:bookmarkEnd w:id="89"/>
      <w:bookmarkEnd w:id="90"/>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by No. 24 of 1986 s. 33 and 42; No. 89 of 1994 s. 28, 39 and 41; No. 58 of 1999 s. 83(1) and (3).]</w:t>
      </w:r>
    </w:p>
    <w:p>
      <w:pPr>
        <w:pStyle w:val="Heading5"/>
        <w:rPr>
          <w:snapToGrid w:val="0"/>
        </w:rPr>
      </w:pPr>
      <w:bookmarkStart w:id="91" w:name="_Toc335138287"/>
      <w:bookmarkStart w:id="92" w:name="_Toc196201983"/>
      <w:r>
        <w:rPr>
          <w:rStyle w:val="CharSectno"/>
        </w:rPr>
        <w:t>76</w:t>
      </w:r>
      <w:r>
        <w:rPr>
          <w:snapToGrid w:val="0"/>
        </w:rPr>
        <w:t>.</w:t>
      </w:r>
      <w:r>
        <w:rPr>
          <w:snapToGrid w:val="0"/>
        </w:rPr>
        <w:tab/>
        <w:t>Unlawful entry</w:t>
      </w:r>
      <w:bookmarkEnd w:id="91"/>
      <w:bookmarkEnd w:id="92"/>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by No. 24 of 1986 s. 42; No. 89 of 1994 s. 39 and 41; No. 58 of 1999 s. 83(1) and (3).]</w:t>
      </w:r>
    </w:p>
    <w:p>
      <w:pPr>
        <w:pStyle w:val="Heading5"/>
        <w:rPr>
          <w:snapToGrid w:val="0"/>
        </w:rPr>
      </w:pPr>
      <w:bookmarkStart w:id="93" w:name="_Toc335138288"/>
      <w:bookmarkStart w:id="94" w:name="_Toc196201984"/>
      <w:r>
        <w:rPr>
          <w:rStyle w:val="CharSectno"/>
        </w:rPr>
        <w:t>77</w:t>
      </w:r>
      <w:r>
        <w:rPr>
          <w:snapToGrid w:val="0"/>
        </w:rPr>
        <w:t>.</w:t>
      </w:r>
      <w:r>
        <w:rPr>
          <w:snapToGrid w:val="0"/>
        </w:rPr>
        <w:tab/>
        <w:t>Restraint of persons</w:t>
      </w:r>
      <w:bookmarkEnd w:id="93"/>
      <w:bookmarkEnd w:id="94"/>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by No. 89 of 1994 s. 39; No. 58 of 1999 s. 83(1).]</w:t>
      </w:r>
    </w:p>
    <w:p>
      <w:pPr>
        <w:pStyle w:val="Heading5"/>
        <w:rPr>
          <w:snapToGrid w:val="0"/>
        </w:rPr>
      </w:pPr>
      <w:bookmarkStart w:id="95" w:name="_Toc335138289"/>
      <w:bookmarkStart w:id="96" w:name="_Toc196201985"/>
      <w:r>
        <w:rPr>
          <w:rStyle w:val="CharSectno"/>
        </w:rPr>
        <w:t>78</w:t>
      </w:r>
      <w:r>
        <w:rPr>
          <w:snapToGrid w:val="0"/>
        </w:rPr>
        <w:t>.</w:t>
      </w:r>
      <w:r>
        <w:rPr>
          <w:snapToGrid w:val="0"/>
        </w:rPr>
        <w:tab/>
        <w:t>Persons may be apprehended</w:t>
      </w:r>
      <w:bookmarkEnd w:id="95"/>
      <w:bookmarkEnd w:id="96"/>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97" w:name="_Toc335138290"/>
      <w:bookmarkStart w:id="98" w:name="_Toc196201986"/>
      <w:r>
        <w:rPr>
          <w:rStyle w:val="CharSectno"/>
        </w:rPr>
        <w:t>79</w:t>
      </w:r>
      <w:r>
        <w:rPr>
          <w:snapToGrid w:val="0"/>
        </w:rPr>
        <w:t>.</w:t>
      </w:r>
      <w:r>
        <w:rPr>
          <w:snapToGrid w:val="0"/>
        </w:rPr>
        <w:tab/>
        <w:t>Obstruction of officers etc.</w:t>
      </w:r>
      <w:bookmarkEnd w:id="97"/>
      <w:bookmarkEnd w:id="98"/>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by No. 24 of 1986 s. 42; No. 89 of 1994 s. 29, 39 and 41; No. 58 of 1999 s. 83(1) and (3).]</w:t>
      </w:r>
    </w:p>
    <w:p>
      <w:pPr>
        <w:pStyle w:val="Heading5"/>
        <w:rPr>
          <w:snapToGrid w:val="0"/>
        </w:rPr>
      </w:pPr>
      <w:bookmarkStart w:id="99" w:name="_Toc335138291"/>
      <w:bookmarkStart w:id="100" w:name="_Toc196201987"/>
      <w:r>
        <w:rPr>
          <w:rStyle w:val="CharSectno"/>
        </w:rPr>
        <w:t>80</w:t>
      </w:r>
      <w:r>
        <w:rPr>
          <w:snapToGrid w:val="0"/>
        </w:rPr>
        <w:t>.</w:t>
      </w:r>
      <w:r>
        <w:rPr>
          <w:snapToGrid w:val="0"/>
        </w:rPr>
        <w:tab/>
        <w:t>Offences generally</w:t>
      </w:r>
      <w:bookmarkEnd w:id="99"/>
      <w:bookmarkEnd w:id="100"/>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01" w:name="_Toc335138292"/>
      <w:bookmarkStart w:id="102" w:name="_Toc196201988"/>
      <w:r>
        <w:rPr>
          <w:rStyle w:val="CharSectno"/>
        </w:rPr>
        <w:t>81</w:t>
      </w:r>
      <w:r>
        <w:rPr>
          <w:snapToGrid w:val="0"/>
        </w:rPr>
        <w:t>.</w:t>
      </w:r>
      <w:r>
        <w:rPr>
          <w:snapToGrid w:val="0"/>
        </w:rPr>
        <w:tab/>
        <w:t>General penalty</w:t>
      </w:r>
      <w:bookmarkEnd w:id="101"/>
      <w:bookmarkEnd w:id="102"/>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by No. 24 of 1986 s. 42.]</w:t>
      </w:r>
    </w:p>
    <w:p>
      <w:pPr>
        <w:pStyle w:val="Heading5"/>
        <w:rPr>
          <w:snapToGrid w:val="0"/>
        </w:rPr>
      </w:pPr>
      <w:bookmarkStart w:id="103" w:name="_Toc335138293"/>
      <w:bookmarkStart w:id="104" w:name="_Toc196201989"/>
      <w:r>
        <w:rPr>
          <w:rStyle w:val="CharSectno"/>
        </w:rPr>
        <w:t>82</w:t>
      </w:r>
      <w:r>
        <w:rPr>
          <w:snapToGrid w:val="0"/>
        </w:rPr>
        <w:t>.</w:t>
      </w:r>
      <w:r>
        <w:rPr>
          <w:snapToGrid w:val="0"/>
        </w:rPr>
        <w:tab/>
        <w:t>Recovery of moneys</w:t>
      </w:r>
      <w:bookmarkEnd w:id="103"/>
      <w:bookmarkEnd w:id="104"/>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by No. 59 of 2004 s. 141.]</w:t>
      </w:r>
    </w:p>
    <w:p>
      <w:pPr>
        <w:pStyle w:val="Heading5"/>
        <w:rPr>
          <w:snapToGrid w:val="0"/>
        </w:rPr>
      </w:pPr>
      <w:bookmarkStart w:id="105" w:name="_Toc335138294"/>
      <w:bookmarkStart w:id="106" w:name="_Toc196201990"/>
      <w:r>
        <w:rPr>
          <w:rStyle w:val="CharSectno"/>
        </w:rPr>
        <w:t>83</w:t>
      </w:r>
      <w:r>
        <w:rPr>
          <w:snapToGrid w:val="0"/>
        </w:rPr>
        <w:t>.</w:t>
      </w:r>
      <w:r>
        <w:rPr>
          <w:snapToGrid w:val="0"/>
        </w:rPr>
        <w:tab/>
        <w:t>Prosecution expenses</w:t>
      </w:r>
      <w:bookmarkEnd w:id="105"/>
      <w:bookmarkEnd w:id="10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by No. 30 of 1987 s. 8; No. 89 of 1994 s. 30.]</w:t>
      </w:r>
    </w:p>
    <w:p>
      <w:pPr>
        <w:pStyle w:val="Heading5"/>
        <w:rPr>
          <w:snapToGrid w:val="0"/>
        </w:rPr>
      </w:pPr>
      <w:bookmarkStart w:id="107" w:name="_Toc335138295"/>
      <w:bookmarkStart w:id="108" w:name="_Toc196201991"/>
      <w:r>
        <w:rPr>
          <w:rStyle w:val="CharSectno"/>
        </w:rPr>
        <w:t>84</w:t>
      </w:r>
      <w:r>
        <w:rPr>
          <w:snapToGrid w:val="0"/>
        </w:rPr>
        <w:t>.</w:t>
      </w:r>
      <w:r>
        <w:rPr>
          <w:snapToGrid w:val="0"/>
        </w:rPr>
        <w:tab/>
        <w:t>Power to institute and conduct proceedings</w:t>
      </w:r>
      <w:bookmarkEnd w:id="107"/>
      <w:bookmarkEnd w:id="108"/>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by No. 89 of 1994 s. 31, 39, 40 and 41; No. 58 of 1999 s. 83; No. 59 of 2004 s. 141.]</w:t>
      </w:r>
    </w:p>
    <w:p>
      <w:pPr>
        <w:pStyle w:val="Heading5"/>
      </w:pPr>
      <w:bookmarkStart w:id="109" w:name="_Toc335138296"/>
      <w:bookmarkStart w:id="110" w:name="_Toc196201992"/>
      <w:r>
        <w:rPr>
          <w:rStyle w:val="CharSectno"/>
        </w:rPr>
        <w:t>85</w:t>
      </w:r>
      <w:r>
        <w:t>.</w:t>
      </w:r>
      <w:r>
        <w:tab/>
        <w:t>Limitation period for offences</w:t>
      </w:r>
      <w:bookmarkEnd w:id="109"/>
      <w:bookmarkEnd w:id="110"/>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by No. 59 of 2004 s. 141.]</w:t>
      </w:r>
    </w:p>
    <w:p>
      <w:pPr>
        <w:pStyle w:val="Heading5"/>
        <w:rPr>
          <w:snapToGrid w:val="0"/>
        </w:rPr>
      </w:pPr>
      <w:bookmarkStart w:id="111" w:name="_Toc335138297"/>
      <w:bookmarkStart w:id="112" w:name="_Toc196201993"/>
      <w:r>
        <w:rPr>
          <w:rStyle w:val="CharSectno"/>
        </w:rPr>
        <w:t>86</w:t>
      </w:r>
      <w:r>
        <w:rPr>
          <w:snapToGrid w:val="0"/>
        </w:rPr>
        <w:t>.</w:t>
      </w:r>
      <w:r>
        <w:rPr>
          <w:snapToGrid w:val="0"/>
        </w:rPr>
        <w:tab/>
        <w:t>Liability for the acts of others, bodies corporate etc.</w:t>
      </w:r>
      <w:bookmarkEnd w:id="111"/>
      <w:bookmarkEnd w:id="112"/>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by No. 24 of 1986 s. 34.]</w:t>
      </w:r>
    </w:p>
    <w:p>
      <w:pPr>
        <w:pStyle w:val="Heading5"/>
        <w:rPr>
          <w:snapToGrid w:val="0"/>
        </w:rPr>
      </w:pPr>
      <w:bookmarkStart w:id="113" w:name="_Toc335138298"/>
      <w:bookmarkStart w:id="114" w:name="_Toc196201994"/>
      <w:r>
        <w:rPr>
          <w:rStyle w:val="CharSectno"/>
        </w:rPr>
        <w:t>87</w:t>
      </w:r>
      <w:r>
        <w:rPr>
          <w:snapToGrid w:val="0"/>
        </w:rPr>
        <w:t>.</w:t>
      </w:r>
      <w:r>
        <w:rPr>
          <w:snapToGrid w:val="0"/>
        </w:rPr>
        <w:tab/>
        <w:t>Proof of certain matters</w:t>
      </w:r>
      <w:bookmarkEnd w:id="113"/>
      <w:bookmarkEnd w:id="114"/>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by No. 101 of 1981 s. 19; No. 24 of 1986 s. 42; No. 89 of 1994 s. 32, 39 and 41; No. 58 of 1999 s. 83(1) and (3).]</w:t>
      </w:r>
    </w:p>
    <w:p>
      <w:pPr>
        <w:pStyle w:val="Heading5"/>
        <w:rPr>
          <w:snapToGrid w:val="0"/>
        </w:rPr>
      </w:pPr>
      <w:bookmarkStart w:id="115" w:name="_Toc335138299"/>
      <w:bookmarkStart w:id="116" w:name="_Toc196201995"/>
      <w:r>
        <w:rPr>
          <w:rStyle w:val="CharSectno"/>
        </w:rPr>
        <w:t>88</w:t>
      </w:r>
      <w:r>
        <w:rPr>
          <w:snapToGrid w:val="0"/>
        </w:rPr>
        <w:t>.</w:t>
      </w:r>
      <w:r>
        <w:rPr>
          <w:snapToGrid w:val="0"/>
        </w:rPr>
        <w:tab/>
        <w:t>Evidence of documents issued by an energy operator</w:t>
      </w:r>
      <w:bookmarkEnd w:id="115"/>
      <w:bookmarkEnd w:id="116"/>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by No. 101 of 1981 s. 20; No. 24 of 1986 s. 35 and 42; No. 89 of 1994 s. 33, 39 and 41; No. 58 of 1999 s. 83(1) and (3).]</w:t>
      </w:r>
    </w:p>
    <w:p>
      <w:pPr>
        <w:pStyle w:val="Ednotesection"/>
      </w:pPr>
      <w:r>
        <w:t>[</w:t>
      </w:r>
      <w:r>
        <w:rPr>
          <w:b/>
        </w:rPr>
        <w:t>89</w:t>
      </w:r>
      <w:r>
        <w:rPr>
          <w:b/>
        </w:rPr>
        <w:noBreakHyphen/>
        <w:t>96.</w:t>
      </w:r>
      <w:r>
        <w:tab/>
        <w:t>Deleted by No. 89 of 1994 s. 34.]</w:t>
      </w:r>
    </w:p>
    <w:p>
      <w:pPr>
        <w:pStyle w:val="Ednotesection"/>
      </w:pPr>
      <w:r>
        <w:t>[</w:t>
      </w:r>
      <w:r>
        <w:rPr>
          <w:b/>
        </w:rPr>
        <w:t>97.</w:t>
      </w:r>
      <w:r>
        <w:tab/>
        <w:t>Deleted by No. 60 of 1994 s. 13.]</w:t>
      </w:r>
    </w:p>
    <w:p>
      <w:pPr>
        <w:pStyle w:val="Ednotesection"/>
      </w:pPr>
      <w:r>
        <w:t>[</w:t>
      </w:r>
      <w:r>
        <w:rPr>
          <w:b/>
        </w:rPr>
        <w:t>98</w:t>
      </w:r>
      <w:r>
        <w:rPr>
          <w:b/>
        </w:rPr>
        <w:noBreakHyphen/>
        <w:t>102.</w:t>
      </w:r>
      <w:r>
        <w:tab/>
        <w:t>Deleted by No. 89 of 1994 s. 34.]</w:t>
      </w:r>
    </w:p>
    <w:p>
      <w:pPr>
        <w:pStyle w:val="Ednotesection"/>
      </w:pPr>
      <w:r>
        <w:t>[</w:t>
      </w:r>
      <w:r>
        <w:rPr>
          <w:b/>
        </w:rPr>
        <w:t>103.</w:t>
      </w:r>
      <w:r>
        <w:rPr>
          <w:b/>
        </w:rPr>
        <w:tab/>
      </w:r>
      <w:r>
        <w:t>Deleted by No. 98 of 1985 s. 3.]</w:t>
      </w:r>
    </w:p>
    <w:p>
      <w:pPr>
        <w:pStyle w:val="Ednotesection"/>
      </w:pPr>
      <w:r>
        <w:t>[</w:t>
      </w:r>
      <w:r>
        <w:rPr>
          <w:b/>
        </w:rPr>
        <w:t>104</w:t>
      </w:r>
      <w:r>
        <w:rPr>
          <w:b/>
        </w:rPr>
        <w:noBreakHyphen/>
        <w:t>108.</w:t>
      </w:r>
      <w:r>
        <w:rPr>
          <w:b/>
        </w:rPr>
        <w:tab/>
      </w:r>
      <w:r>
        <w:t>Deleted by No. 89 of 1994 s. 34.]</w:t>
      </w:r>
    </w:p>
    <w:p>
      <w:pPr>
        <w:pStyle w:val="Ednotesection"/>
      </w:pPr>
      <w:r>
        <w:t>[</w:t>
      </w:r>
      <w:r>
        <w:rPr>
          <w:b/>
        </w:rPr>
        <w:t>109.</w:t>
      </w:r>
      <w:r>
        <w:tab/>
        <w:t>Deleted by No. 101 of 1981 s. 31.]</w:t>
      </w:r>
    </w:p>
    <w:p>
      <w:pPr>
        <w:pStyle w:val="Ednotesection"/>
      </w:pPr>
      <w:r>
        <w:t>[</w:t>
      </w:r>
      <w:r>
        <w:rPr>
          <w:b/>
        </w:rPr>
        <w:t>110</w:t>
      </w:r>
      <w:r>
        <w:rPr>
          <w:b/>
        </w:rPr>
        <w:noBreakHyphen/>
        <w:t>114.</w:t>
      </w:r>
      <w:r>
        <w:rPr>
          <w:b/>
        </w:rPr>
        <w:tab/>
      </w:r>
      <w:r>
        <w:t>Deleted by No. 89 of 1994 s. 34.]</w:t>
      </w:r>
    </w:p>
    <w:p>
      <w:pPr>
        <w:pStyle w:val="Ednotesection"/>
      </w:pPr>
      <w:r>
        <w:t>[</w:t>
      </w:r>
      <w:r>
        <w:rPr>
          <w:b/>
        </w:rPr>
        <w:t>115</w:t>
      </w:r>
      <w:r>
        <w:rPr>
          <w:b/>
        </w:rPr>
        <w:noBreakHyphen/>
        <w:t>118.</w:t>
      </w:r>
      <w:r>
        <w:rPr>
          <w:b/>
        </w:rPr>
        <w:tab/>
      </w:r>
      <w:r>
        <w:t>Deleted by No. 98 of 1985 s. 3.]</w:t>
      </w:r>
    </w:p>
    <w:p>
      <w:pPr>
        <w:pStyle w:val="Ednotesection"/>
      </w:pPr>
      <w:r>
        <w:t>[</w:t>
      </w:r>
      <w:r>
        <w:rPr>
          <w:b/>
        </w:rPr>
        <w:t>119.</w:t>
      </w:r>
      <w:r>
        <w:rPr>
          <w:b/>
        </w:rPr>
        <w:tab/>
      </w:r>
      <w:r>
        <w:t>Deleted by No. 89 of 1994 s. 34.]</w:t>
      </w:r>
    </w:p>
    <w:p>
      <w:pPr>
        <w:pStyle w:val="Ednotesection"/>
      </w:pPr>
      <w:r>
        <w:t>[</w:t>
      </w:r>
      <w:r>
        <w:rPr>
          <w:b/>
        </w:rPr>
        <w:t>119A.</w:t>
      </w:r>
      <w:r>
        <w:tab/>
        <w:t>Deleted by No. 126 of 1987 s. 121.]</w:t>
      </w:r>
    </w:p>
    <w:p>
      <w:pPr>
        <w:pStyle w:val="Heading5"/>
        <w:rPr>
          <w:snapToGrid w:val="0"/>
        </w:rPr>
      </w:pPr>
      <w:bookmarkStart w:id="117" w:name="_Toc335138300"/>
      <w:bookmarkStart w:id="118" w:name="_Toc196201996"/>
      <w:r>
        <w:rPr>
          <w:rStyle w:val="CharSectno"/>
        </w:rPr>
        <w:t>120</w:t>
      </w:r>
      <w:r>
        <w:rPr>
          <w:snapToGrid w:val="0"/>
        </w:rPr>
        <w:t>.</w:t>
      </w:r>
      <w:r>
        <w:rPr>
          <w:snapToGrid w:val="0"/>
        </w:rPr>
        <w:tab/>
        <w:t>Energy operator to make good damage, and may be liable to pay compensation</w:t>
      </w:r>
      <w:bookmarkEnd w:id="117"/>
      <w:bookmarkEnd w:id="118"/>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by No. 101 of 1981 s. 37; No. 24 of 1986 s. 38; No. 89 of 1994 s. 35, 39 and 41; No. 58 of 1999 s. 82 and 83(1) and (3).]</w:t>
      </w:r>
    </w:p>
    <w:p>
      <w:pPr>
        <w:pStyle w:val="Heading5"/>
        <w:rPr>
          <w:snapToGrid w:val="0"/>
        </w:rPr>
      </w:pPr>
      <w:bookmarkStart w:id="119" w:name="_Toc335138301"/>
      <w:bookmarkStart w:id="120" w:name="_Toc196201997"/>
      <w:r>
        <w:rPr>
          <w:rStyle w:val="CharSectno"/>
        </w:rPr>
        <w:t>121</w:t>
      </w:r>
      <w:r>
        <w:rPr>
          <w:snapToGrid w:val="0"/>
        </w:rPr>
        <w:t>.</w:t>
      </w:r>
      <w:r>
        <w:rPr>
          <w:snapToGrid w:val="0"/>
        </w:rPr>
        <w:tab/>
        <w:t>Actions for damages, generally</w:t>
      </w:r>
      <w:bookmarkEnd w:id="119"/>
      <w:bookmarkEnd w:id="120"/>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by No. 101 of 1981 s. 38; No. 24 of 1986 s. 39; No. 89 of 1994 s. 36, 39, 40 and 41; No. 58 of 1999 s. 83.]</w:t>
      </w:r>
    </w:p>
    <w:p>
      <w:pPr>
        <w:pStyle w:val="Heading5"/>
        <w:rPr>
          <w:snapToGrid w:val="0"/>
        </w:rPr>
      </w:pPr>
      <w:bookmarkStart w:id="121" w:name="_Toc335138302"/>
      <w:bookmarkStart w:id="122" w:name="_Toc196201998"/>
      <w:r>
        <w:rPr>
          <w:rStyle w:val="CharSectno"/>
        </w:rPr>
        <w:t>122</w:t>
      </w:r>
      <w:r>
        <w:rPr>
          <w:snapToGrid w:val="0"/>
        </w:rPr>
        <w:t>.</w:t>
      </w:r>
      <w:r>
        <w:rPr>
          <w:snapToGrid w:val="0"/>
        </w:rPr>
        <w:tab/>
        <w:t>Protection</w:t>
      </w:r>
      <w:bookmarkEnd w:id="121"/>
      <w:bookmarkEnd w:id="122"/>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[Section 122 inserted by No. 89 of 1994 s. 37.]</w:t>
      </w:r>
    </w:p>
    <w:p>
      <w:pPr>
        <w:pStyle w:val="Heading5"/>
        <w:rPr>
          <w:snapToGrid w:val="0"/>
        </w:rPr>
      </w:pPr>
      <w:bookmarkStart w:id="123" w:name="_Toc335138303"/>
      <w:bookmarkStart w:id="124" w:name="_Toc196201999"/>
      <w:r>
        <w:rPr>
          <w:rStyle w:val="CharSectno"/>
        </w:rPr>
        <w:t>123</w:t>
      </w:r>
      <w:r>
        <w:rPr>
          <w:snapToGrid w:val="0"/>
        </w:rPr>
        <w:t>.</w:t>
      </w:r>
      <w:r>
        <w:rPr>
          <w:snapToGrid w:val="0"/>
        </w:rPr>
        <w:tab/>
        <w:t>Regulations</w:t>
      </w:r>
      <w:bookmarkEnd w:id="123"/>
      <w:bookmarkEnd w:id="124"/>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by No. 24 of 1986 s. 40 and 42; No. 30 of 1987 s. 9; No. 89 of 1994 s. 39; No. 58 of 1999 s. 91; No. 33 of 2004 s. 45.]</w:t>
      </w:r>
    </w:p>
    <w:p>
      <w:pPr>
        <w:pStyle w:val="Heading5"/>
        <w:rPr>
          <w:snapToGrid w:val="0"/>
        </w:rPr>
      </w:pPr>
      <w:bookmarkStart w:id="125" w:name="_Toc335138304"/>
      <w:bookmarkStart w:id="126" w:name="_Toc196202000"/>
      <w:r>
        <w:rPr>
          <w:rStyle w:val="CharSectno"/>
        </w:rPr>
        <w:t>124</w:t>
      </w:r>
      <w:r>
        <w:rPr>
          <w:snapToGrid w:val="0"/>
        </w:rPr>
        <w:t>.</w:t>
      </w:r>
      <w:r>
        <w:rPr>
          <w:snapToGrid w:val="0"/>
        </w:rPr>
        <w:tab/>
        <w:t>By</w:t>
      </w:r>
      <w:r>
        <w:rPr>
          <w:snapToGrid w:val="0"/>
        </w:rPr>
        <w:noBreakHyphen/>
        <w:t>laws</w:t>
      </w:r>
      <w:bookmarkEnd w:id="125"/>
      <w:bookmarkEnd w:id="126"/>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pPr>
        <w:pStyle w:val="Footnotesection"/>
      </w:pPr>
      <w:r>
        <w:tab/>
        <w:t>[Section 124 amended by No. 24 of 1986 s. 41 and 42; No. 6 of 1991 s. 3; No. 89 of 1994 s. 38, 39 and 41; No. 58 of 1999 s. 92; No. 24 of 2000 s. 14(13); No. 74 of 2003 s. 51(2); No. 33 of 2004 s. 46; No. 18 of 2005 s. 139.]</w:t>
      </w:r>
    </w:p>
    <w:p>
      <w:pPr>
        <w:pStyle w:val="Heading5"/>
        <w:spacing w:before="180"/>
        <w:rPr>
          <w:snapToGrid w:val="0"/>
        </w:rPr>
      </w:pPr>
      <w:bookmarkStart w:id="127" w:name="_Toc335138305"/>
      <w:bookmarkStart w:id="128" w:name="_Toc196202001"/>
      <w:r>
        <w:rPr>
          <w:rStyle w:val="CharSectno"/>
        </w:rPr>
        <w:t>125</w:t>
      </w:r>
      <w:r>
        <w:rPr>
          <w:snapToGrid w:val="0"/>
        </w:rPr>
        <w:t>.</w:t>
      </w:r>
      <w:r>
        <w:rPr>
          <w:snapToGrid w:val="0"/>
        </w:rPr>
        <w:tab/>
        <w:t>Regulations or by</w:t>
      </w:r>
      <w:r>
        <w:rPr>
          <w:snapToGrid w:val="0"/>
        </w:rPr>
        <w:noBreakHyphen/>
        <w:t>laws, generally</w:t>
      </w:r>
      <w:bookmarkEnd w:id="127"/>
      <w:bookmarkEnd w:id="128"/>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by No. 89 of 1994 s. 39 and 41; No. 58 of 1999 s. 83(1) and (3); No. 74 of 2003 s. 51(3).]</w:t>
      </w:r>
    </w:p>
    <w:p>
      <w:pPr>
        <w:pStyle w:val="yEdnoteschedule"/>
      </w:pPr>
      <w:r>
        <w:t>[Schedule deleted by No. 60 of 1994 s. 13.]</w:t>
      </w:r>
    </w:p>
    <w:p>
      <w:pPr>
        <w:pStyle w:val="CentredBaseLine"/>
        <w:spacing w:before="120"/>
        <w:jc w:val="center"/>
        <w:rPr>
          <w:del w:id="129" w:author="svcMRProcess" w:date="2015-10-29T11:45:00Z"/>
        </w:rPr>
      </w:pPr>
      <w:del w:id="130" w:author="svcMRProcess" w:date="2015-10-29T11:4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131" w:author="svcMRProcess" w:date="2015-10-29T11:45:00Z"/>
        </w:rPr>
      </w:pPr>
      <w:ins w:id="132" w:author="svcMRProcess" w:date="2015-10-29T11:4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33" w:name="_Toc189641515"/>
      <w:bookmarkStart w:id="134" w:name="_Toc192906594"/>
      <w:bookmarkStart w:id="135" w:name="_Toc194208661"/>
      <w:bookmarkStart w:id="136" w:name="_Toc196202002"/>
      <w:bookmarkStart w:id="137" w:name="_Toc335138306"/>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w:t>
      </w:r>
      <w:del w:id="138" w:author="svcMRProcess" w:date="2015-10-29T11:45:00Z">
        <w:r>
          <w:rPr>
            <w:snapToGrid w:val="0"/>
          </w:rPr>
          <w:delText xml:space="preserve">reprint </w:delText>
        </w:r>
      </w:del>
      <w:r>
        <w:rPr>
          <w:snapToGrid w:val="0"/>
        </w:rPr>
        <w:t>is a compilation</w:t>
      </w:r>
      <w:del w:id="139" w:author="svcMRProcess" w:date="2015-10-29T11:45:00Z">
        <w:r>
          <w:rPr>
            <w:snapToGrid w:val="0"/>
          </w:rPr>
          <w:delText xml:space="preserve"> as at 4 April 2008</w:delText>
        </w:r>
      </w:del>
      <w:r>
        <w:rPr>
          <w:snapToGrid w:val="0"/>
        </w:rPr>
        <w:t xml:space="preserve">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w:t>
      </w:r>
      <w:ins w:id="140" w:author="svcMRProcess" w:date="2015-10-29T11:45:00Z">
        <w:r>
          <w:rPr>
            <w:snapToGrid w:val="0"/>
            <w:vertAlign w:val="superscript"/>
          </w:rPr>
          <w:t>1a, </w:t>
        </w:r>
      </w:ins>
      <w:r>
        <w:rPr>
          <w:snapToGrid w:val="0"/>
          <w:vertAlign w:val="superscript"/>
        </w:rPr>
        <w:t>4</w:t>
      </w:r>
      <w:r>
        <w:rPr>
          <w:snapToGrid w:val="0"/>
        </w:rPr>
        <w:t>.  The table also contains information about any reprint.</w:t>
      </w:r>
    </w:p>
    <w:p>
      <w:pPr>
        <w:pStyle w:val="nHeading3"/>
        <w:rPr>
          <w:snapToGrid w:val="0"/>
        </w:rPr>
      </w:pPr>
      <w:bookmarkStart w:id="141" w:name="_Toc335138307"/>
      <w:bookmarkStart w:id="142" w:name="_Toc196202003"/>
      <w:r>
        <w:rPr>
          <w:snapToGrid w:val="0"/>
        </w:rPr>
        <w:t>Compilation table</w:t>
      </w:r>
      <w:bookmarkEnd w:id="141"/>
      <w:bookmarkEnd w:id="142"/>
    </w:p>
    <w:tbl>
      <w:tblPr>
        <w:tblW w:w="7087" w:type="dxa"/>
        <w:tblLayout w:type="fixed"/>
        <w:tblCellMar>
          <w:left w:w="56" w:type="dxa"/>
          <w:right w:w="56" w:type="dxa"/>
        </w:tblCellMar>
        <w:tblLook w:val="0000" w:firstRow="0" w:lastRow="0" w:firstColumn="0" w:lastColumn="0" w:noHBand="0" w:noVBand="0"/>
      </w:tblPr>
      <w:tblGrid>
        <w:gridCol w:w="2230"/>
        <w:gridCol w:w="37"/>
        <w:gridCol w:w="1121"/>
        <w:gridCol w:w="13"/>
        <w:gridCol w:w="1123"/>
        <w:gridCol w:w="11"/>
        <w:gridCol w:w="2525"/>
        <w:gridCol w:w="7"/>
        <w:gridCol w:w="20"/>
      </w:tblGrid>
      <w:tr>
        <w:trPr>
          <w:cantSplit/>
          <w:tblHeader/>
        </w:trPr>
        <w:tc>
          <w:tcPr>
            <w:tcW w:w="223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63" w:type="dxa"/>
            <w:gridSpan w:val="4"/>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30" w:type="dxa"/>
          </w:tcPr>
          <w:p>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63" w:type="dxa"/>
            <w:gridSpan w:val="4"/>
          </w:tcPr>
          <w:p>
            <w:pPr>
              <w:pStyle w:val="nTable"/>
              <w:spacing w:after="40"/>
              <w:rPr>
                <w:sz w:val="19"/>
              </w:rPr>
            </w:pPr>
            <w:r>
              <w:rPr>
                <w:sz w:val="19"/>
              </w:rPr>
              <w:t>13 Oct 1981</w:t>
            </w:r>
          </w:p>
        </w:tc>
      </w:tr>
      <w:tr>
        <w:trPr>
          <w:cantSplit/>
        </w:trPr>
        <w:tc>
          <w:tcPr>
            <w:tcW w:w="2230" w:type="dxa"/>
          </w:tcPr>
          <w:p>
            <w:pPr>
              <w:pStyle w:val="nTable"/>
              <w:spacing w:after="40"/>
              <w:ind w:right="170"/>
              <w:rPr>
                <w:sz w:val="19"/>
              </w:rPr>
            </w:pPr>
            <w:r>
              <w:rPr>
                <w:i/>
                <w:sz w:val="19"/>
              </w:rPr>
              <w:t>State Energy Commission Amendment Act 1981</w:t>
            </w:r>
          </w:p>
        </w:tc>
        <w:tc>
          <w:tcPr>
            <w:tcW w:w="1158"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63" w:type="dxa"/>
            <w:gridSpan w:val="4"/>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30" w:type="dxa"/>
          </w:tcPr>
          <w:p>
            <w:pPr>
              <w:pStyle w:val="nTable"/>
              <w:spacing w:after="40"/>
              <w:ind w:right="170"/>
              <w:rPr>
                <w:sz w:val="19"/>
              </w:rPr>
            </w:pPr>
            <w:r>
              <w:rPr>
                <w:i/>
                <w:sz w:val="19"/>
              </w:rPr>
              <w:t>State Energy Commission Amendment Act 1984</w:t>
            </w:r>
          </w:p>
        </w:tc>
        <w:tc>
          <w:tcPr>
            <w:tcW w:w="1158"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63" w:type="dxa"/>
            <w:gridSpan w:val="4"/>
          </w:tcPr>
          <w:p>
            <w:pPr>
              <w:pStyle w:val="nTable"/>
              <w:spacing w:after="40"/>
              <w:rPr>
                <w:sz w:val="19"/>
              </w:rPr>
            </w:pPr>
            <w:r>
              <w:rPr>
                <w:sz w:val="19"/>
              </w:rPr>
              <w:t>20 Jun 1984</w:t>
            </w:r>
          </w:p>
        </w:tc>
      </w:tr>
      <w:tr>
        <w:trPr>
          <w:cantSplit/>
        </w:trPr>
        <w:tc>
          <w:tcPr>
            <w:tcW w:w="2230" w:type="dxa"/>
          </w:tcPr>
          <w:p>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63" w:type="dxa"/>
            <w:gridSpan w:val="4"/>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30" w:type="dxa"/>
          </w:tcPr>
          <w:p>
            <w:pPr>
              <w:pStyle w:val="nTable"/>
              <w:keepNext/>
              <w:keepLines/>
              <w:spacing w:after="40"/>
              <w:ind w:right="170"/>
              <w:rPr>
                <w:sz w:val="19"/>
              </w:rPr>
            </w:pPr>
            <w:r>
              <w:rPr>
                <w:i/>
                <w:sz w:val="19"/>
              </w:rPr>
              <w:t>State Energy Commission Amendment Act 1986</w:t>
            </w:r>
          </w:p>
        </w:tc>
        <w:tc>
          <w:tcPr>
            <w:tcW w:w="1158"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63" w:type="dxa"/>
            <w:gridSpan w:val="4"/>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cantSplit/>
        </w:trPr>
        <w:tc>
          <w:tcPr>
            <w:tcW w:w="7087" w:type="dxa"/>
            <w:gridSpan w:val="9"/>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30" w:type="dxa"/>
          </w:tcPr>
          <w:p>
            <w:pPr>
              <w:pStyle w:val="nTable"/>
              <w:spacing w:after="40"/>
              <w:ind w:right="170"/>
              <w:rPr>
                <w:sz w:val="19"/>
              </w:rPr>
            </w:pPr>
            <w:r>
              <w:rPr>
                <w:i/>
                <w:sz w:val="19"/>
              </w:rPr>
              <w:t>State Energy Commission Amendment Act 1987</w:t>
            </w:r>
          </w:p>
        </w:tc>
        <w:tc>
          <w:tcPr>
            <w:tcW w:w="1158"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63" w:type="dxa"/>
            <w:gridSpan w:val="4"/>
          </w:tcPr>
          <w:p>
            <w:pPr>
              <w:pStyle w:val="nTable"/>
              <w:spacing w:after="40"/>
              <w:rPr>
                <w:sz w:val="19"/>
              </w:rPr>
            </w:pPr>
            <w:r>
              <w:rPr>
                <w:sz w:val="19"/>
              </w:rPr>
              <w:t>29 Jun 1987 (see s. 3)</w:t>
            </w:r>
          </w:p>
        </w:tc>
      </w:tr>
      <w:tr>
        <w:trPr>
          <w:cantSplit/>
        </w:trPr>
        <w:tc>
          <w:tcPr>
            <w:tcW w:w="2230" w:type="dxa"/>
          </w:tcPr>
          <w:p>
            <w:pPr>
              <w:pStyle w:val="nTable"/>
              <w:spacing w:after="40"/>
              <w:ind w:right="170"/>
              <w:rPr>
                <w:sz w:val="19"/>
              </w:rPr>
            </w:pPr>
            <w:r>
              <w:rPr>
                <w:i/>
                <w:sz w:val="19"/>
              </w:rPr>
              <w:t>Acts Amendment (Public Service) Act 1987</w:t>
            </w:r>
            <w:r>
              <w:rPr>
                <w:sz w:val="19"/>
              </w:rPr>
              <w:t xml:space="preserve"> s. 32</w:t>
            </w:r>
          </w:p>
        </w:tc>
        <w:tc>
          <w:tcPr>
            <w:tcW w:w="1158"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63"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27" w:type="dxa"/>
          <w:cantSplit/>
        </w:trPr>
        <w:tc>
          <w:tcPr>
            <w:tcW w:w="2230" w:type="dxa"/>
          </w:tcPr>
          <w:p>
            <w:pPr>
              <w:pStyle w:val="nTable"/>
              <w:spacing w:after="40"/>
              <w:ind w:right="170"/>
              <w:rPr>
                <w:sz w:val="19"/>
              </w:rPr>
            </w:pPr>
            <w:r>
              <w:rPr>
                <w:i/>
                <w:sz w:val="19"/>
              </w:rPr>
              <w:t>Acts Amendment (Land Administration) Act 1987</w:t>
            </w:r>
            <w:r>
              <w:rPr>
                <w:sz w:val="19"/>
              </w:rPr>
              <w:t xml:space="preserve"> Pt. XV</w:t>
            </w:r>
          </w:p>
        </w:tc>
        <w:tc>
          <w:tcPr>
            <w:tcW w:w="1158"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3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2"/>
          <w:wAfter w:w="27" w:type="dxa"/>
          <w:cantSplit/>
        </w:trPr>
        <w:tc>
          <w:tcPr>
            <w:tcW w:w="2230" w:type="dxa"/>
          </w:tcPr>
          <w:p>
            <w:pPr>
              <w:pStyle w:val="nTable"/>
              <w:spacing w:after="40"/>
              <w:ind w:right="170"/>
              <w:rPr>
                <w:sz w:val="19"/>
              </w:rPr>
            </w:pPr>
            <w:r>
              <w:rPr>
                <w:i/>
                <w:sz w:val="19"/>
              </w:rPr>
              <w:t>Acts Amendment (Accountability) Act 1989</w:t>
            </w:r>
            <w:r>
              <w:rPr>
                <w:sz w:val="19"/>
              </w:rPr>
              <w:t xml:space="preserve"> Pt. 5</w:t>
            </w:r>
          </w:p>
        </w:tc>
        <w:tc>
          <w:tcPr>
            <w:tcW w:w="1158"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36" w:type="dxa"/>
            <w:gridSpan w:val="2"/>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gridAfter w:val="1"/>
          <w:wAfter w:w="20" w:type="dxa"/>
          <w:cantSplit/>
        </w:trPr>
        <w:tc>
          <w:tcPr>
            <w:tcW w:w="2230" w:type="dxa"/>
          </w:tcPr>
          <w:p>
            <w:pPr>
              <w:pStyle w:val="nTable"/>
              <w:spacing w:after="40"/>
              <w:ind w:right="170"/>
              <w:rPr>
                <w:sz w:val="19"/>
              </w:rPr>
            </w:pPr>
            <w:r>
              <w:rPr>
                <w:i/>
                <w:sz w:val="19"/>
              </w:rPr>
              <w:t>State Energy Commission Amendment Act 1991</w:t>
            </w:r>
          </w:p>
        </w:tc>
        <w:tc>
          <w:tcPr>
            <w:tcW w:w="1158"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43" w:type="dxa"/>
            <w:gridSpan w:val="3"/>
          </w:tcPr>
          <w:p>
            <w:pPr>
              <w:pStyle w:val="nTable"/>
              <w:spacing w:after="40"/>
              <w:rPr>
                <w:sz w:val="19"/>
              </w:rPr>
            </w:pPr>
            <w:r>
              <w:rPr>
                <w:sz w:val="19"/>
              </w:rPr>
              <w:t>s. 1 and 2: 5 Jun 1991;</w:t>
            </w:r>
            <w:r>
              <w:rPr>
                <w:sz w:val="19"/>
              </w:rPr>
              <w:br/>
              <w:t xml:space="preserve">Act other than s. 1 and 2: 25 Feb 1992 (see s. 2 and </w:t>
            </w:r>
            <w:r>
              <w:rPr>
                <w:i/>
                <w:sz w:val="19"/>
              </w:rPr>
              <w:t>Gazette</w:t>
            </w:r>
            <w:r>
              <w:rPr>
                <w:sz w:val="19"/>
              </w:rPr>
              <w:t xml:space="preserve"> 25 Feb 1992 p. 961)</w:t>
            </w:r>
          </w:p>
        </w:tc>
      </w:tr>
      <w:tr>
        <w:trPr>
          <w:cantSplit/>
        </w:trPr>
        <w:tc>
          <w:tcPr>
            <w:tcW w:w="2267" w:type="dxa"/>
            <w:gridSpan w:val="2"/>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552" w:type="dxa"/>
            <w:gridSpan w:val="3"/>
          </w:tcPr>
          <w:p>
            <w:pPr>
              <w:pStyle w:val="nTable"/>
              <w:keepNext/>
              <w:keepLines/>
              <w:spacing w:after="40"/>
              <w:rPr>
                <w:sz w:val="19"/>
              </w:rPr>
            </w:pPr>
            <w:r>
              <w:rPr>
                <w:sz w:val="19"/>
              </w:rPr>
              <w:t>1 Jul 1993 (see s. 2(1))</w:t>
            </w:r>
          </w:p>
        </w:tc>
      </w:tr>
      <w:tr>
        <w:trPr>
          <w:cantSplit/>
        </w:trPr>
        <w:tc>
          <w:tcPr>
            <w:tcW w:w="2267" w:type="dxa"/>
            <w:gridSpan w:val="2"/>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4" w:type="dxa"/>
            <w:gridSpan w:val="2"/>
          </w:tcPr>
          <w:p>
            <w:pPr>
              <w:pStyle w:val="nTable"/>
              <w:spacing w:after="40"/>
              <w:rPr>
                <w:sz w:val="19"/>
              </w:rPr>
            </w:pPr>
            <w:r>
              <w:rPr>
                <w:sz w:val="19"/>
              </w:rPr>
              <w:t>15 Dec 1994</w:t>
            </w:r>
          </w:p>
        </w:tc>
        <w:tc>
          <w:tcPr>
            <w:tcW w:w="2552" w:type="dxa"/>
            <w:gridSpan w:val="3"/>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9"/>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4" w:type="dxa"/>
            <w:gridSpan w:val="2"/>
          </w:tcPr>
          <w:p>
            <w:pPr>
              <w:pStyle w:val="nTable"/>
              <w:keepNext/>
              <w:keepLines/>
              <w:spacing w:after="40"/>
              <w:rPr>
                <w:sz w:val="19"/>
              </w:rPr>
            </w:pPr>
            <w:r>
              <w:rPr>
                <w:sz w:val="19"/>
              </w:rPr>
              <w:t>3 Oct 1997</w:t>
            </w:r>
          </w:p>
        </w:tc>
        <w:tc>
          <w:tcPr>
            <w:tcW w:w="2552"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keepNext/>
              <w:keepLines/>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4" w:type="dxa"/>
            <w:gridSpan w:val="2"/>
          </w:tcPr>
          <w:p>
            <w:pPr>
              <w:pStyle w:val="nTable"/>
              <w:keepNext/>
              <w:keepLines/>
              <w:spacing w:after="40"/>
              <w:rPr>
                <w:sz w:val="19"/>
              </w:rPr>
            </w:pPr>
            <w:r>
              <w:rPr>
                <w:sz w:val="19"/>
              </w:rPr>
              <w:t>15 Jan 1999</w:t>
            </w:r>
          </w:p>
        </w:tc>
        <w:tc>
          <w:tcPr>
            <w:tcW w:w="2552" w:type="dxa"/>
            <w:gridSpan w:val="3"/>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4" w:type="dxa"/>
            <w:gridSpan w:val="2"/>
          </w:tcPr>
          <w:p>
            <w:pPr>
              <w:pStyle w:val="nTable"/>
              <w:keepNext/>
              <w:keepLines/>
              <w:spacing w:after="40"/>
              <w:rPr>
                <w:sz w:val="19"/>
              </w:rPr>
            </w:pPr>
            <w:r>
              <w:rPr>
                <w:sz w:val="19"/>
              </w:rPr>
              <w:t>24 Jun 1999</w:t>
            </w:r>
          </w:p>
        </w:tc>
        <w:tc>
          <w:tcPr>
            <w:tcW w:w="2552" w:type="dxa"/>
            <w:gridSpan w:val="3"/>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2" w:type="dxa"/>
            <w:gridSpan w:val="3"/>
          </w:tcPr>
          <w:p>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cantSplit/>
        </w:trPr>
        <w:tc>
          <w:tcPr>
            <w:tcW w:w="7087" w:type="dxa"/>
            <w:gridSpan w:val="9"/>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3"/>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4" w:type="dxa"/>
            <w:gridSpan w:val="2"/>
          </w:tcPr>
          <w:p>
            <w:pPr>
              <w:pStyle w:val="nTable"/>
              <w:spacing w:after="40"/>
              <w:rPr>
                <w:sz w:val="19"/>
              </w:rPr>
            </w:pPr>
            <w:r>
              <w:rPr>
                <w:sz w:val="19"/>
              </w:rPr>
              <w:t>8 Oct 2003</w:t>
            </w:r>
          </w:p>
        </w:tc>
        <w:tc>
          <w:tcPr>
            <w:tcW w:w="2552" w:type="dxa"/>
            <w:gridSpan w:val="3"/>
          </w:tcPr>
          <w:p>
            <w:pPr>
              <w:pStyle w:val="nTable"/>
              <w:spacing w:after="40"/>
              <w:rPr>
                <w:sz w:val="19"/>
              </w:rPr>
            </w:pPr>
            <w:r>
              <w:rPr>
                <w:spacing w:val="-2"/>
                <w:sz w:val="19"/>
              </w:rPr>
              <w:t>8 Oct 2003 (see s. 2(1) and (2))</w:t>
            </w:r>
          </w:p>
        </w:tc>
      </w:tr>
      <w:tr>
        <w:trPr>
          <w:cantSplit/>
        </w:trPr>
        <w:tc>
          <w:tcPr>
            <w:tcW w:w="226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3"/>
          </w:tcPr>
          <w:p>
            <w:pPr>
              <w:pStyle w:val="nTable"/>
              <w:spacing w:after="40"/>
              <w:ind w:right="-114"/>
              <w:rPr>
                <w:spacing w:val="-2"/>
                <w:sz w:val="19"/>
              </w:rPr>
            </w:pPr>
            <w:r>
              <w:rPr>
                <w:spacing w:val="-2"/>
                <w:sz w:val="19"/>
              </w:rPr>
              <w:t>15 Dec 2003 (see s. 2)</w:t>
            </w:r>
          </w:p>
        </w:tc>
      </w:tr>
      <w:tr>
        <w:trPr>
          <w:cantSplit/>
        </w:trPr>
        <w:tc>
          <w:tcPr>
            <w:tcW w:w="2267" w:type="dxa"/>
            <w:gridSpan w:val="2"/>
          </w:tcPr>
          <w:p>
            <w:pPr>
              <w:pStyle w:val="nTable"/>
              <w:spacing w:after="40"/>
              <w:ind w:right="170"/>
              <w:rPr>
                <w:sz w:val="19"/>
              </w:rPr>
            </w:pPr>
            <w:r>
              <w:rPr>
                <w:i/>
                <w:sz w:val="19"/>
              </w:rPr>
              <w:t>Electricity Legislation Amendment Act 2004</w:t>
            </w:r>
            <w:r>
              <w:rPr>
                <w:sz w:val="19"/>
              </w:rPr>
              <w:t xml:space="preserve"> Pt. 2 Div. 4 (s. 37-46)</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2" w:type="dxa"/>
            <w:gridSpan w:val="3"/>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 xml:space="preserve">s. 44: 1 Apr 2006 (see s. 2 and </w:t>
            </w:r>
            <w:r>
              <w:rPr>
                <w:i/>
                <w:iCs/>
                <w:sz w:val="19"/>
              </w:rPr>
              <w:t>Gazette</w:t>
            </w:r>
            <w:r>
              <w:rPr>
                <w:sz w:val="19"/>
              </w:rPr>
              <w:t xml:space="preserve"> 31 Mar 2006 p. 1153)</w:t>
            </w:r>
          </w:p>
        </w:tc>
      </w:tr>
      <w:tr>
        <w:trPr>
          <w:cantSplit/>
        </w:trPr>
        <w:tc>
          <w:tcPr>
            <w:tcW w:w="226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3"/>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napToGrid w:val="0"/>
                <w:sz w:val="19"/>
                <w:lang w:val="en-US"/>
              </w:rPr>
            </w:pPr>
            <w:r>
              <w:rPr>
                <w:snapToGrid w:val="0"/>
                <w:sz w:val="19"/>
                <w:lang w:val="en-US"/>
              </w:rPr>
              <w:t>8 Dec 2004</w:t>
            </w:r>
          </w:p>
        </w:tc>
        <w:tc>
          <w:tcPr>
            <w:tcW w:w="2552" w:type="dxa"/>
            <w:gridSpan w:val="3"/>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52"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 xml:space="preserve">(includes amendments listed above except those in the </w:t>
            </w:r>
            <w:r>
              <w:rPr>
                <w:i/>
                <w:sz w:val="19"/>
              </w:rPr>
              <w:t>Electricity Legislation Amendment Act 2004</w:t>
            </w:r>
            <w:r>
              <w:rPr>
                <w:sz w:val="19"/>
              </w:rPr>
              <w:t xml:space="preserve"> s. 44)</w:t>
            </w:r>
          </w:p>
        </w:tc>
      </w:tr>
      <w:tr>
        <w:trPr>
          <w:cantSplit/>
        </w:trPr>
        <w:tc>
          <w:tcPr>
            <w:tcW w:w="226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4" w:type="dxa"/>
            <w:gridSpan w:val="2"/>
          </w:tcPr>
          <w:p>
            <w:pPr>
              <w:pStyle w:val="nTable"/>
              <w:spacing w:after="40"/>
              <w:rPr>
                <w:snapToGrid w:val="0"/>
                <w:sz w:val="19"/>
                <w:lang w:val="en-US"/>
              </w:rPr>
            </w:pPr>
            <w:r>
              <w:rPr>
                <w:sz w:val="19"/>
              </w:rPr>
              <w:t>13 Oct 2005</w:t>
            </w:r>
          </w:p>
        </w:tc>
        <w:tc>
          <w:tcPr>
            <w:tcW w:w="2552" w:type="dxa"/>
            <w:gridSpan w:val="3"/>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13"/>
              <w:rPr>
                <w:sz w:val="19"/>
              </w:rPr>
            </w:pPr>
            <w:r>
              <w:rPr>
                <w:i/>
                <w:snapToGrid w:val="0"/>
                <w:sz w:val="19"/>
                <w:lang w:val="en-US"/>
              </w:rPr>
              <w:t>Energy Operators (Powers) Amendment Act 2006</w:t>
            </w:r>
            <w:r>
              <w:rPr>
                <w:sz w:val="19"/>
              </w:rPr>
              <w:t xml:space="preserve"> s. 1-4</w:t>
            </w:r>
          </w:p>
        </w:tc>
        <w:tc>
          <w:tcPr>
            <w:tcW w:w="1134" w:type="dxa"/>
            <w:gridSpan w:val="2"/>
          </w:tcPr>
          <w:p>
            <w:pPr>
              <w:pStyle w:val="nTable"/>
              <w:spacing w:after="40"/>
              <w:rPr>
                <w:snapToGrid w:val="0"/>
                <w:sz w:val="19"/>
                <w:lang w:val="en-US"/>
              </w:rPr>
            </w:pPr>
            <w:r>
              <w:rPr>
                <w:snapToGrid w:val="0"/>
                <w:sz w:val="19"/>
                <w:lang w:val="en-US"/>
              </w:rPr>
              <w:t>8 of 2006</w:t>
            </w:r>
          </w:p>
        </w:tc>
        <w:tc>
          <w:tcPr>
            <w:tcW w:w="1134" w:type="dxa"/>
            <w:gridSpan w:val="2"/>
          </w:tcPr>
          <w:p>
            <w:pPr>
              <w:pStyle w:val="nTable"/>
              <w:spacing w:after="40"/>
              <w:rPr>
                <w:sz w:val="19"/>
              </w:rPr>
            </w:pPr>
            <w:r>
              <w:rPr>
                <w:sz w:val="19"/>
              </w:rPr>
              <w:t>5 May 2006</w:t>
            </w:r>
          </w:p>
        </w:tc>
        <w:tc>
          <w:tcPr>
            <w:tcW w:w="2552" w:type="dxa"/>
            <w:gridSpan w:val="3"/>
          </w:tcPr>
          <w:p>
            <w:pPr>
              <w:pStyle w:val="nTable"/>
              <w:spacing w:after="40"/>
              <w:rPr>
                <w:sz w:val="19"/>
              </w:rPr>
            </w:pPr>
            <w:r>
              <w:rPr>
                <w:sz w:val="19"/>
              </w:rPr>
              <w:t>5 May 2006 (see s. 2)</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2"/>
          </w:tcPr>
          <w:p>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2" w:type="dxa"/>
            <w:gridSpan w:val="3"/>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9"/>
            <w:tcBorders>
              <w:bottom w:val="single" w:sz="8" w:space="0" w:color="auto"/>
            </w:tcBorders>
          </w:tcPr>
          <w:p>
            <w:pPr>
              <w:pStyle w:val="nTable"/>
              <w:spacing w:after="40"/>
              <w:rPr>
                <w:sz w:val="19"/>
              </w:rPr>
            </w:pPr>
            <w:r>
              <w:rPr>
                <w:b/>
                <w:sz w:val="19"/>
              </w:rPr>
              <w:t xml:space="preserve">Reprint 5: The </w:t>
            </w:r>
            <w:r>
              <w:rPr>
                <w:b/>
                <w:i/>
                <w:sz w:val="19"/>
              </w:rPr>
              <w:t>Energy Operators (Powers) Act 1979</w:t>
            </w:r>
            <w:r>
              <w:rPr>
                <w:b/>
                <w:sz w:val="19"/>
              </w:rPr>
              <w:t xml:space="preserve"> as at 4 Apr 2008 </w:t>
            </w:r>
            <w:r>
              <w:rPr>
                <w:sz w:val="19"/>
              </w:rPr>
              <w:t>(includes amendments listed above)</w:t>
            </w:r>
          </w:p>
        </w:tc>
      </w:tr>
    </w:tbl>
    <w:p>
      <w:pPr>
        <w:pStyle w:val="nSubsection"/>
        <w:tabs>
          <w:tab w:val="clear" w:pos="454"/>
          <w:tab w:val="left" w:pos="567"/>
        </w:tabs>
        <w:spacing w:before="120"/>
        <w:ind w:left="567" w:hanging="567"/>
        <w:rPr>
          <w:ins w:id="143" w:author="svcMRProcess" w:date="2015-10-29T11:45:00Z"/>
          <w:snapToGrid w:val="0"/>
        </w:rPr>
      </w:pPr>
      <w:ins w:id="144" w:author="svcMRProcess" w:date="2015-10-29T11: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 w:author="svcMRProcess" w:date="2015-10-29T11:45:00Z"/>
        </w:rPr>
      </w:pPr>
      <w:bookmarkStart w:id="146" w:name="_Toc7405065"/>
      <w:bookmarkStart w:id="147" w:name="_Toc335138308"/>
      <w:ins w:id="148" w:author="svcMRProcess" w:date="2015-10-29T11:45:00Z">
        <w:r>
          <w:t>Provisions that have not come into operation</w:t>
        </w:r>
        <w:bookmarkEnd w:id="146"/>
        <w:bookmarkEnd w:id="14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9" w:author="svcMRProcess" w:date="2015-10-29T11:45:00Z"/>
        </w:trPr>
        <w:tc>
          <w:tcPr>
            <w:tcW w:w="2268" w:type="dxa"/>
          </w:tcPr>
          <w:p>
            <w:pPr>
              <w:pStyle w:val="nTable"/>
              <w:spacing w:after="40"/>
              <w:rPr>
                <w:ins w:id="150" w:author="svcMRProcess" w:date="2015-10-29T11:45:00Z"/>
                <w:b/>
                <w:snapToGrid w:val="0"/>
                <w:sz w:val="19"/>
                <w:lang w:val="en-US"/>
              </w:rPr>
            </w:pPr>
            <w:ins w:id="151" w:author="svcMRProcess" w:date="2015-10-29T11:45:00Z">
              <w:r>
                <w:rPr>
                  <w:b/>
                  <w:snapToGrid w:val="0"/>
                  <w:sz w:val="19"/>
                  <w:lang w:val="en-US"/>
                </w:rPr>
                <w:t>Short title</w:t>
              </w:r>
            </w:ins>
          </w:p>
        </w:tc>
        <w:tc>
          <w:tcPr>
            <w:tcW w:w="1118" w:type="dxa"/>
          </w:tcPr>
          <w:p>
            <w:pPr>
              <w:pStyle w:val="nTable"/>
              <w:spacing w:after="40"/>
              <w:rPr>
                <w:ins w:id="152" w:author="svcMRProcess" w:date="2015-10-29T11:45:00Z"/>
                <w:b/>
                <w:snapToGrid w:val="0"/>
                <w:sz w:val="19"/>
                <w:lang w:val="en-US"/>
              </w:rPr>
            </w:pPr>
            <w:ins w:id="153" w:author="svcMRProcess" w:date="2015-10-29T11:45:00Z">
              <w:r>
                <w:rPr>
                  <w:b/>
                  <w:snapToGrid w:val="0"/>
                  <w:sz w:val="19"/>
                  <w:lang w:val="en-US"/>
                </w:rPr>
                <w:t>Number and year</w:t>
              </w:r>
            </w:ins>
          </w:p>
        </w:tc>
        <w:tc>
          <w:tcPr>
            <w:tcW w:w="1134" w:type="dxa"/>
          </w:tcPr>
          <w:p>
            <w:pPr>
              <w:pStyle w:val="nTable"/>
              <w:spacing w:after="40"/>
              <w:rPr>
                <w:ins w:id="154" w:author="svcMRProcess" w:date="2015-10-29T11:45:00Z"/>
                <w:b/>
                <w:snapToGrid w:val="0"/>
                <w:sz w:val="19"/>
                <w:lang w:val="en-US"/>
              </w:rPr>
            </w:pPr>
            <w:ins w:id="155" w:author="svcMRProcess" w:date="2015-10-29T11:45:00Z">
              <w:r>
                <w:rPr>
                  <w:b/>
                  <w:snapToGrid w:val="0"/>
                  <w:sz w:val="19"/>
                  <w:lang w:val="en-US"/>
                </w:rPr>
                <w:t>Assent</w:t>
              </w:r>
            </w:ins>
          </w:p>
        </w:tc>
        <w:tc>
          <w:tcPr>
            <w:tcW w:w="2552" w:type="dxa"/>
          </w:tcPr>
          <w:p>
            <w:pPr>
              <w:pStyle w:val="nTable"/>
              <w:spacing w:after="40"/>
              <w:rPr>
                <w:ins w:id="156" w:author="svcMRProcess" w:date="2015-10-29T11:45:00Z"/>
                <w:b/>
                <w:snapToGrid w:val="0"/>
                <w:sz w:val="19"/>
                <w:lang w:val="en-US"/>
              </w:rPr>
            </w:pPr>
            <w:ins w:id="157" w:author="svcMRProcess" w:date="2015-10-29T11:45:00Z">
              <w:r>
                <w:rPr>
                  <w:b/>
                  <w:snapToGrid w:val="0"/>
                  <w:sz w:val="19"/>
                  <w:lang w:val="en-US"/>
                </w:rPr>
                <w:t>Commencement</w:t>
              </w:r>
            </w:ins>
          </w:p>
        </w:tc>
      </w:tr>
      <w:tr>
        <w:trPr>
          <w:ins w:id="158" w:author="svcMRProcess" w:date="2015-10-29T11:45:00Z"/>
        </w:trPr>
        <w:tc>
          <w:tcPr>
            <w:tcW w:w="2268" w:type="dxa"/>
          </w:tcPr>
          <w:p>
            <w:pPr>
              <w:pStyle w:val="nTable"/>
              <w:spacing w:after="40"/>
              <w:rPr>
                <w:ins w:id="159" w:author="svcMRProcess" w:date="2015-10-29T11:45:00Z"/>
                <w:snapToGrid w:val="0"/>
                <w:sz w:val="19"/>
                <w:lang w:val="en-US"/>
              </w:rPr>
            </w:pPr>
            <w:ins w:id="160" w:author="svcMRProcess" w:date="2015-10-29T11:45:00Z">
              <w:r>
                <w:rPr>
                  <w:i/>
                  <w:snapToGrid w:val="0"/>
                  <w:sz w:val="19"/>
                  <w:lang w:val="en-US"/>
                </w:rPr>
                <w:t>Water Services Legislation Amendment and Repeal Act 2012</w:t>
              </w:r>
              <w:r>
                <w:rPr>
                  <w:snapToGrid w:val="0"/>
                  <w:sz w:val="19"/>
                  <w:lang w:val="en-US"/>
                </w:rPr>
                <w:t xml:space="preserve"> s. 210</w:t>
              </w:r>
              <w:r>
                <w:rPr>
                  <w:snapToGrid w:val="0"/>
                  <w:sz w:val="19"/>
                  <w:vertAlign w:val="superscript"/>
                  <w:lang w:val="en-US"/>
                </w:rPr>
                <w:t> 10</w:t>
              </w:r>
            </w:ins>
          </w:p>
        </w:tc>
        <w:tc>
          <w:tcPr>
            <w:tcW w:w="1118" w:type="dxa"/>
          </w:tcPr>
          <w:p>
            <w:pPr>
              <w:pStyle w:val="nTable"/>
              <w:spacing w:after="40"/>
              <w:rPr>
                <w:ins w:id="161" w:author="svcMRProcess" w:date="2015-10-29T11:45:00Z"/>
                <w:snapToGrid w:val="0"/>
                <w:sz w:val="19"/>
                <w:lang w:val="en-US"/>
              </w:rPr>
            </w:pPr>
            <w:ins w:id="162" w:author="svcMRProcess" w:date="2015-10-29T11:45:00Z">
              <w:r>
                <w:rPr>
                  <w:snapToGrid w:val="0"/>
                  <w:sz w:val="19"/>
                  <w:lang w:val="en-US"/>
                </w:rPr>
                <w:t>25 of 2012</w:t>
              </w:r>
            </w:ins>
          </w:p>
        </w:tc>
        <w:tc>
          <w:tcPr>
            <w:tcW w:w="1134" w:type="dxa"/>
          </w:tcPr>
          <w:p>
            <w:pPr>
              <w:pStyle w:val="nTable"/>
              <w:spacing w:after="40"/>
              <w:rPr>
                <w:ins w:id="163" w:author="svcMRProcess" w:date="2015-10-29T11:45:00Z"/>
                <w:snapToGrid w:val="0"/>
                <w:sz w:val="19"/>
                <w:lang w:val="en-US"/>
              </w:rPr>
            </w:pPr>
            <w:ins w:id="164" w:author="svcMRProcess" w:date="2015-10-29T11:45:00Z">
              <w:r>
                <w:rPr>
                  <w:sz w:val="19"/>
                </w:rPr>
                <w:t>3 Sep 2012</w:t>
              </w:r>
            </w:ins>
          </w:p>
        </w:tc>
        <w:tc>
          <w:tcPr>
            <w:tcW w:w="2552" w:type="dxa"/>
          </w:tcPr>
          <w:p>
            <w:pPr>
              <w:pStyle w:val="nTable"/>
              <w:spacing w:after="40"/>
              <w:rPr>
                <w:ins w:id="165" w:author="svcMRProcess" w:date="2015-10-29T11:45:00Z"/>
                <w:snapToGrid w:val="0"/>
                <w:sz w:val="19"/>
                <w:lang w:val="en-US"/>
              </w:rPr>
            </w:pPr>
            <w:ins w:id="166" w:author="svcMRProcess" w:date="2015-10-29T11:45:00Z">
              <w:r>
                <w:rPr>
                  <w:snapToGrid w:val="0"/>
                  <w:sz w:val="19"/>
                  <w:lang w:val="en-US"/>
                </w:rPr>
                <w:t>To be proclaimed (see s. 2(b))</w:t>
              </w:r>
            </w:ins>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spacing w:before="0"/>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rFonts w:ascii="Times" w:hAnsi="Times"/>
          <w:snapToGrid w:val="0"/>
        </w:rPr>
      </w:pPr>
      <w:r>
        <w:rPr>
          <w:rFonts w:ascii="Times" w:hAnsi="Times"/>
          <w:snapToGrid w:val="0"/>
        </w:rPr>
        <w:t>“</w:t>
      </w:r>
    </w:p>
    <w:p>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w:t>
      </w:r>
    </w:p>
    <w:p>
      <w:pPr>
        <w:pStyle w:val="nzHeading5"/>
        <w:rPr>
          <w:lang w:val="en-US"/>
        </w:rPr>
      </w:pPr>
      <w:r>
        <w:rPr>
          <w:lang w:val="en-US"/>
        </w:rPr>
        <w:t>42.</w:t>
      </w:r>
      <w:r>
        <w:rPr>
          <w:lang w:val="en-US"/>
        </w:rPr>
        <w:tab/>
        <w:t>Intention</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Definitions</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p>
    <w:p>
      <w:pPr>
        <w:pStyle w:val="nzDefstart"/>
        <w:rPr>
          <w:lang w:val="en-US"/>
        </w:rPr>
      </w:pPr>
      <w:r>
        <w:rPr>
          <w:b/>
          <w:bCs/>
          <w:lang w:val="en-US"/>
        </w:rPr>
        <w:tab/>
        <w:t>“assets”</w:t>
      </w:r>
      <w:r>
        <w:rPr>
          <w:lang w:val="en-US"/>
        </w:rPr>
        <w:t xml:space="preserve"> means </w:t>
      </w:r>
      <w:r>
        <w:rPr>
          <w:rFonts w:ascii="Symbol" w:hAnsi="Symbol"/>
          <w:lang w:val="en-US"/>
        </w:rPr>
        <w:t></w:t>
      </w:r>
    </w:p>
    <w:p>
      <w:pPr>
        <w:pStyle w:val="nzDefpara"/>
        <w:rPr>
          <w:lang w:val="en-US"/>
        </w:rPr>
      </w:pPr>
      <w:r>
        <w:rPr>
          <w:lang w:val="en-US"/>
        </w:rPr>
        <w:tab/>
        <w:t>(a)</w:t>
      </w:r>
      <w:r>
        <w:rPr>
          <w:lang w:val="en-US"/>
        </w:rPr>
        <w:tab/>
        <w:t>property of every kind whether tangible or intangible, real or personal, corporeal or incorporeal; and</w:t>
      </w:r>
    </w:p>
    <w:p>
      <w:pPr>
        <w:pStyle w:val="nzDefpara"/>
        <w:rPr>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rPr>
          <w:lang w:val="en-US"/>
        </w:rPr>
      </w:pPr>
      <w:r>
        <w:rPr>
          <w:b/>
          <w:bCs/>
          <w:lang w:val="en-US"/>
        </w:rPr>
        <w:tab/>
        <w:t>“commencement day”</w:t>
      </w:r>
      <w:r>
        <w:rPr>
          <w:lang w:val="en-US"/>
        </w:rPr>
        <w:t xml:space="preserve"> means the day on which Part 2 comes into operation;</w:t>
      </w:r>
    </w:p>
    <w:p>
      <w:pPr>
        <w:pStyle w:val="nzDefstart"/>
        <w:rPr>
          <w:lang w:val="en-US"/>
        </w:rPr>
      </w:pPr>
      <w:r>
        <w:rPr>
          <w:b/>
          <w:bCs/>
          <w:lang w:val="en-US"/>
        </w:rPr>
        <w:tab/>
        <w:t>“Commission”</w:t>
      </w:r>
      <w:r>
        <w:rPr>
          <w:lang w:val="en-US"/>
        </w:rPr>
        <w:t xml:space="preserve"> means the Commission under the principal Act as in force before the commencement day;</w:t>
      </w:r>
    </w:p>
    <w:p>
      <w:pPr>
        <w:pStyle w:val="nzDefstart"/>
        <w:rPr>
          <w:lang w:val="en-US"/>
        </w:rPr>
      </w:pPr>
      <w:r>
        <w:rPr>
          <w:b/>
          <w:bCs/>
          <w:lang w:val="en-US"/>
        </w:rPr>
        <w:tab/>
        <w:t>“corporation”</w:t>
      </w:r>
      <w:r>
        <w:rPr>
          <w:lang w:val="en-US"/>
        </w:rPr>
        <w:t xml:space="preserve"> means the Electricity Corporation or the Gas Corporation but in section 47 </w:t>
      </w:r>
      <w:r>
        <w:rPr>
          <w:b/>
          <w:bCs/>
          <w:lang w:val="en-US"/>
        </w:rPr>
        <w:t>“corporations”</w:t>
      </w:r>
      <w:r>
        <w:rPr>
          <w:lang w:val="en-US"/>
        </w:rPr>
        <w:t xml:space="preserve"> means both of those corporations;</w:t>
      </w:r>
    </w:p>
    <w:p>
      <w:pPr>
        <w:pStyle w:val="nzDefstart"/>
        <w:rPr>
          <w:lang w:val="en-US"/>
        </w:rPr>
      </w:pPr>
      <w:r>
        <w:rPr>
          <w:b/>
          <w:bCs/>
          <w:lang w:val="en-US"/>
        </w:rPr>
        <w:tab/>
        <w:t>“Electricity Corporation”</w:t>
      </w:r>
      <w:r>
        <w:rPr>
          <w:lang w:val="en-US"/>
        </w:rPr>
        <w:t xml:space="preserve"> means the body corporate established by section 4 of the </w:t>
      </w:r>
      <w:r>
        <w:rPr>
          <w:i/>
          <w:iCs/>
          <w:lang w:val="en-US"/>
        </w:rPr>
        <w:t>Electricity Corporation Act 1994</w:t>
      </w:r>
      <w:r>
        <w:rPr>
          <w:lang w:val="en-US"/>
        </w:rPr>
        <w:t>;</w:t>
      </w:r>
    </w:p>
    <w:p>
      <w:pPr>
        <w:pStyle w:val="nzDefstart"/>
        <w:rPr>
          <w:lang w:val="en-US"/>
        </w:rPr>
      </w:pPr>
      <w:r>
        <w:rPr>
          <w:b/>
          <w:bCs/>
          <w:lang w:val="en-US"/>
        </w:rPr>
        <w:tab/>
        <w:t>“Gas Corporation”</w:t>
      </w:r>
      <w:r>
        <w:rPr>
          <w:lang w:val="en-US"/>
        </w:rPr>
        <w:t xml:space="preserve"> means the body corporate established by section 4 of the </w:t>
      </w:r>
      <w:r>
        <w:rPr>
          <w:i/>
          <w:iCs/>
          <w:lang w:val="en-US"/>
        </w:rPr>
        <w:t>Gas Corporation Act 1994</w:t>
      </w:r>
      <w:r>
        <w:rPr>
          <w:lang w:val="en-US"/>
        </w:rPr>
        <w:t>;</w:t>
      </w:r>
    </w:p>
    <w:p>
      <w:pPr>
        <w:pStyle w:val="nzDefstart"/>
        <w:rPr>
          <w:lang w:val="en-US"/>
        </w:rPr>
      </w:pPr>
      <w:r>
        <w:rPr>
          <w:b/>
          <w:bCs/>
          <w:lang w:val="en-US"/>
        </w:rPr>
        <w:tab/>
        <w:t>“liability”</w:t>
      </w:r>
      <w:r>
        <w:rPr>
          <w:lang w:val="en-US"/>
        </w:rPr>
        <w:t xml:space="preserve"> means any liability, duty or obligation whether actual, contingent or prospective, liquidated or unliquidated, or whether owed alone or jointly or jointly and severally with any other person;</w:t>
      </w:r>
    </w:p>
    <w:p>
      <w:pPr>
        <w:pStyle w:val="nzDefstart"/>
        <w:rPr>
          <w:lang w:val="en-US"/>
        </w:rPr>
      </w:pPr>
      <w:r>
        <w:rPr>
          <w:b/>
          <w:bCs/>
          <w:lang w:val="en-US"/>
        </w:rPr>
        <w:tab/>
        <w:t>“principal Act”</w:t>
      </w:r>
      <w:r>
        <w:rPr>
          <w:lang w:val="en-US"/>
        </w:rPr>
        <w:t xml:space="preserve"> means the </w:t>
      </w:r>
      <w:r>
        <w:rPr>
          <w:i/>
          <w:iCs/>
          <w:lang w:val="en-US"/>
        </w:rPr>
        <w:t>State Energy Commission Act 1979</w:t>
      </w:r>
      <w:r>
        <w:rPr>
          <w:lang w:val="en-US"/>
        </w:rPr>
        <w:t>;</w:t>
      </w:r>
    </w:p>
    <w:p>
      <w:pPr>
        <w:pStyle w:val="nzDefstart"/>
        <w:rPr>
          <w:lang w:val="en-US"/>
        </w:rPr>
      </w:pPr>
      <w:r>
        <w:rPr>
          <w:b/>
          <w:bCs/>
          <w:lang w:val="en-US"/>
        </w:rPr>
        <w:tab/>
        <w:t>“right”</w:t>
      </w:r>
      <w:r>
        <w:rPr>
          <w:lang w:val="en-US"/>
        </w:rPr>
        <w:t xml:space="preserve"> means any right, power, privilege or immunity whether actual, contingent or prospective;</w:t>
      </w:r>
    </w:p>
    <w:p>
      <w:pPr>
        <w:pStyle w:val="nzDefstart"/>
        <w:rPr>
          <w:lang w:val="en-US"/>
        </w:rPr>
      </w:pPr>
      <w:r>
        <w:rPr>
          <w:b/>
          <w:bCs/>
          <w:lang w:val="en-US"/>
        </w:rPr>
        <w:tab/>
        <w:t>“transfer order”</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w:t>
      </w:r>
    </w:p>
    <w:p>
      <w:pPr>
        <w:pStyle w:val="nzHeading5"/>
        <w:rPr>
          <w:lang w:val="en-US"/>
        </w:rPr>
      </w:pPr>
      <w:r>
        <w:rPr>
          <w:lang w:val="en-US"/>
        </w:rPr>
        <w:t>44.</w:t>
      </w:r>
      <w:r>
        <w:rPr>
          <w:lang w:val="en-US"/>
        </w:rPr>
        <w:tab/>
        <w:t>Minister to make order for allocation of assets and liabilities</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t>—</w:t>
      </w:r>
    </w:p>
    <w:p>
      <w:pPr>
        <w:pStyle w:val="nzIndenta"/>
        <w:rPr>
          <w:lang w:val="en-US"/>
        </w:rPr>
      </w:pPr>
      <w:r>
        <w:rPr>
          <w:lang w:val="en-US"/>
        </w:rPr>
        <w:tab/>
        <w:t>(a)</w:t>
      </w:r>
      <w:r>
        <w:rPr>
          <w:lang w:val="en-US"/>
        </w:rPr>
        <w:tab/>
        <w:t>how assets, rights and liabilities of the Commission are to be allocated to the Electricity Corporation and the Gas Corporation;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t>—</w:t>
      </w:r>
    </w:p>
    <w:p>
      <w:pPr>
        <w:pStyle w:val="nzIndenta"/>
        <w:rPr>
          <w:lang w:val="en-US"/>
        </w:rPr>
      </w:pPr>
      <w:r>
        <w:rPr>
          <w:lang w:val="en-US"/>
        </w:rPr>
        <w:tab/>
        <w:t>(a)</w:t>
      </w:r>
      <w:r>
        <w:rPr>
          <w:lang w:val="en-US"/>
        </w:rPr>
        <w:tab/>
        <w:t>the Electricity Corporation;</w:t>
      </w:r>
    </w:p>
    <w:p>
      <w:pPr>
        <w:pStyle w:val="nzIndenta"/>
        <w:rPr>
          <w:lang w:val="en-US"/>
        </w:rPr>
      </w:pPr>
      <w:r>
        <w:rPr>
          <w:lang w:val="en-US"/>
        </w:rPr>
        <w:tab/>
        <w:t>(b)</w:t>
      </w:r>
      <w:r>
        <w:rPr>
          <w:lang w:val="en-US"/>
        </w:rPr>
        <w:tab/>
        <w:t>the Gas Corporation;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keepNext/>
        <w:keepLines/>
        <w:rPr>
          <w:lang w:val="en-US"/>
        </w:rPr>
      </w:pPr>
      <w:r>
        <w:rPr>
          <w:lang w:val="en-US"/>
        </w:rPr>
        <w:tab/>
        <w:t>(3)</w:t>
      </w:r>
      <w:r>
        <w:rPr>
          <w:lang w:val="en-US"/>
        </w:rPr>
        <w:tab/>
        <w:t xml:space="preserve">Without limiting subsection (1), an order under that subsection may </w:t>
      </w:r>
      <w:r>
        <w:t>—</w:t>
      </w:r>
    </w:p>
    <w:p>
      <w:pPr>
        <w:pStyle w:val="nzIndenta"/>
        <w:rPr>
          <w:lang w:val="en-US"/>
        </w:rPr>
      </w:pPr>
      <w:r>
        <w:rPr>
          <w:lang w:val="en-US"/>
        </w:rPr>
        <w:tab/>
        <w:t>(a)</w:t>
      </w:r>
      <w:r>
        <w:rPr>
          <w:lang w:val="en-US"/>
        </w:rPr>
        <w:tab/>
        <w:t>provide for the allocation of income in respect of any asset;</w:t>
      </w:r>
    </w:p>
    <w:p>
      <w:pPr>
        <w:pStyle w:val="nzIndenta"/>
        <w:rPr>
          <w:lang w:val="en-US"/>
        </w:rPr>
      </w:pPr>
      <w:r>
        <w:rPr>
          <w:lang w:val="en-US"/>
        </w:rPr>
        <w:tab/>
        <w:t>(b)</w:t>
      </w:r>
      <w:r>
        <w:rPr>
          <w:lang w:val="en-US"/>
        </w:rPr>
        <w:tab/>
        <w:t>in respect of a particular liability, allocate a specified share of the liability to each of the corporations;</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t>—</w:t>
      </w:r>
    </w:p>
    <w:p>
      <w:pPr>
        <w:pStyle w:val="nzIndenta"/>
        <w:rPr>
          <w:lang w:val="en-US"/>
        </w:rPr>
      </w:pPr>
      <w:r>
        <w:rPr>
          <w:lang w:val="en-US"/>
        </w:rPr>
        <w:tab/>
        <w:t>(a)</w:t>
      </w:r>
      <w:r>
        <w:rPr>
          <w:lang w:val="en-US"/>
        </w:rPr>
        <w:tab/>
        <w:t>the transfer order is to specify that the asset, right or liability is to be allocated under this subsection;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Transfer of assets and liabilities to the Electricity Corporation</w:t>
      </w:r>
    </w:p>
    <w:p>
      <w:pPr>
        <w:pStyle w:val="nzSubsection"/>
        <w:rPr>
          <w:lang w:val="en-US"/>
        </w:rPr>
      </w:pPr>
      <w:r>
        <w:rPr>
          <w:lang w:val="en-US"/>
        </w:rPr>
        <w:tab/>
        <w:t>(1)</w:t>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Electricity Corporation by the transfer order vest in that corporation by force of this section;</w:t>
      </w:r>
    </w:p>
    <w:p>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rPr>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and (b); and</w:t>
      </w:r>
    </w:p>
    <w:p>
      <w:pPr>
        <w:pStyle w:val="nzIndenti"/>
        <w:rPr>
          <w:lang w:val="en-US"/>
        </w:rPr>
      </w:pPr>
      <w:r>
        <w:rPr>
          <w:lang w:val="en-US"/>
        </w:rPr>
        <w:tab/>
        <w:t>(ii)</w:t>
      </w:r>
      <w:r>
        <w:rPr>
          <w:lang w:val="en-US"/>
        </w:rPr>
        <w:tab/>
        <w:t>proceedings referred to in paragraph (d);</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Transfer of assets and liabilities to the Gas Corporation</w:t>
      </w:r>
    </w:p>
    <w:p>
      <w:pPr>
        <w:pStyle w:val="nzSubsection"/>
        <w:rPr>
          <w:lang w:val="en-US"/>
        </w:rPr>
      </w:pPr>
      <w:r>
        <w:rPr>
          <w:lang w:val="en-US"/>
        </w:rPr>
        <w:tab/>
        <w:t>(1)</w:t>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p>
    <w:p>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and (b); and</w:t>
      </w:r>
    </w:p>
    <w:p>
      <w:pPr>
        <w:pStyle w:val="nzIndenti"/>
        <w:rPr>
          <w:lang w:val="en-US"/>
        </w:rPr>
      </w:pPr>
      <w:r>
        <w:rPr>
          <w:lang w:val="en-US"/>
        </w:rPr>
        <w:tab/>
        <w:t>(ii)</w:t>
      </w:r>
      <w:r>
        <w:rPr>
          <w:lang w:val="en-US"/>
        </w:rPr>
        <w:tab/>
        <w:t>proceedings referred to in paragraph (d);</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Transfer of assets and liabilities to both corporations</w:t>
      </w:r>
    </w:p>
    <w:p>
      <w:pPr>
        <w:pStyle w:val="nzSubsection"/>
        <w:rPr>
          <w:lang w:val="en-US"/>
        </w:rPr>
      </w:pPr>
      <w:r>
        <w:rPr>
          <w:lang w:val="en-US"/>
        </w:rPr>
        <w:tab/>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p>
    <w:p>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rPr>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p>
    <w:p>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(b) and (c); and</w:t>
      </w:r>
    </w:p>
    <w:p>
      <w:pPr>
        <w:pStyle w:val="nzIndenti"/>
        <w:rPr>
          <w:lang w:val="en-US"/>
        </w:rPr>
      </w:pPr>
      <w:r>
        <w:rPr>
          <w:lang w:val="en-US"/>
        </w:rPr>
        <w:tab/>
        <w:t>(ii)</w:t>
      </w:r>
      <w:r>
        <w:rPr>
          <w:lang w:val="en-US"/>
        </w:rPr>
        <w:tab/>
        <w:t>proceedings referred to in paragraph (e);</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Unallocated assets and liabilities</w:t>
      </w:r>
    </w:p>
    <w:p>
      <w:pPr>
        <w:pStyle w:val="nzSubsection"/>
        <w:rPr>
          <w:lang w:val="en-US"/>
        </w:rPr>
      </w:pPr>
      <w:r>
        <w:rPr>
          <w:lang w:val="en-US"/>
        </w:rPr>
        <w:tab/>
      </w:r>
      <w:r>
        <w:rPr>
          <w:lang w:val="en-US"/>
        </w:rPr>
        <w:tab/>
        <w:t xml:space="preserve">Subject to section 44(5), on and after the commencement day </w:t>
      </w:r>
      <w:r>
        <w:t>—</w:t>
      </w:r>
    </w:p>
    <w:p>
      <w:pPr>
        <w:pStyle w:val="nzIndenta"/>
        <w:rPr>
          <w:lang w:val="en-US"/>
        </w:rPr>
      </w:pPr>
      <w:r>
        <w:rPr>
          <w:lang w:val="en-US"/>
        </w:rPr>
        <w:tab/>
        <w:t>(a)</w:t>
      </w:r>
      <w:r>
        <w:rPr>
          <w:lang w:val="en-US"/>
        </w:rPr>
        <w:tab/>
        <w:t>any assets and rights of the Commission that do not vest in a corporation or the corporations under section 45, 46 or 47, are to be dealt with as the Minister directs;</w:t>
      </w:r>
    </w:p>
    <w:p>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References to Commission in Government agreements</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t>—</w:t>
      </w:r>
    </w:p>
    <w:p>
      <w:pPr>
        <w:pStyle w:val="nzIndenta"/>
        <w:rPr>
          <w:lang w:val="en-US"/>
        </w:rPr>
      </w:pPr>
      <w:r>
        <w:rPr>
          <w:lang w:val="en-US"/>
        </w:rPr>
        <w:tab/>
        <w:t>(a)</w:t>
      </w:r>
      <w:r>
        <w:rPr>
          <w:lang w:val="en-US"/>
        </w:rPr>
        <w:tab/>
        <w:t>the Electricity Corporation;</w:t>
      </w:r>
    </w:p>
    <w:p>
      <w:pPr>
        <w:pStyle w:val="nzIndenta"/>
        <w:rPr>
          <w:lang w:val="en-US"/>
        </w:rPr>
      </w:pPr>
      <w:r>
        <w:rPr>
          <w:lang w:val="en-US"/>
        </w:rPr>
        <w:tab/>
        <w:t>(b)</w:t>
      </w:r>
      <w:r>
        <w:rPr>
          <w:lang w:val="en-US"/>
        </w:rPr>
        <w:tab/>
        <w:t>the Gas Corporation;</w:t>
      </w:r>
    </w:p>
    <w:p>
      <w:pPr>
        <w:pStyle w:val="nzIndenta"/>
        <w:rPr>
          <w:lang w:val="en-US"/>
        </w:rPr>
      </w:pPr>
      <w:r>
        <w:rPr>
          <w:lang w:val="en-US"/>
        </w:rPr>
        <w:tab/>
        <w:t>(c)</w:t>
      </w:r>
      <w:r>
        <w:rPr>
          <w:lang w:val="en-US"/>
        </w:rPr>
        <w:tab/>
        <w:t>both those corporations either jointly or as tenants in common in equal or unequal shares;</w:t>
      </w:r>
    </w:p>
    <w:p>
      <w:pPr>
        <w:pStyle w:val="nzIndenta"/>
        <w:rPr>
          <w:lang w:val="en-US"/>
        </w:rPr>
      </w:pPr>
      <w:r>
        <w:rPr>
          <w:lang w:val="en-US"/>
        </w:rPr>
        <w:tab/>
        <w:t>(d)</w:t>
      </w:r>
      <w:r>
        <w:rPr>
          <w:lang w:val="en-US"/>
        </w:rPr>
        <w:tab/>
        <w:t>a Minister of the Crown or the State;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b/>
          <w:bCs/>
          <w:lang w:val="en-US"/>
        </w:rPr>
        <w:t>“Government agreement”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Debentures and inscribed stock</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t>—</w:t>
      </w:r>
    </w:p>
    <w:p>
      <w:pPr>
        <w:pStyle w:val="nzIndenta"/>
        <w:rPr>
          <w:lang w:val="en-US"/>
        </w:rPr>
      </w:pPr>
      <w:r>
        <w:rPr>
          <w:lang w:val="en-US"/>
        </w:rPr>
        <w:tab/>
        <w:t>(a)</w:t>
      </w:r>
      <w:r>
        <w:rPr>
          <w:lang w:val="en-US"/>
        </w:rPr>
        <w:tab/>
        <w:t>those sections and regulations remained in force; and</w:t>
      </w:r>
    </w:p>
    <w:p>
      <w:pPr>
        <w:pStyle w:val="nzIndenta"/>
        <w:rPr>
          <w:lang w:val="en-US"/>
        </w:rPr>
      </w:pPr>
      <w:r>
        <w:rPr>
          <w:lang w:val="en-US"/>
        </w:rPr>
        <w:tab/>
        <w:t>(b)</w:t>
      </w:r>
      <w:r>
        <w:rPr>
          <w:lang w:val="en-US"/>
        </w:rP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In subsection (1)(b)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Guarantees in respect of Commission</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t>—</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t>—</w:t>
      </w:r>
    </w:p>
    <w:p>
      <w:pPr>
        <w:pStyle w:val="nzIndenta"/>
        <w:rPr>
          <w:lang w:val="en-US"/>
        </w:rPr>
      </w:pPr>
      <w:r>
        <w:rPr>
          <w:lang w:val="en-US"/>
        </w:rPr>
        <w:tab/>
        <w:t>(a)</w:t>
      </w:r>
      <w:r>
        <w:rPr>
          <w:lang w:val="en-US"/>
        </w:rPr>
        <w:tab/>
        <w:t>the commencement day;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b/>
          <w:bCs/>
          <w:lang w:val="en-US"/>
        </w:rPr>
        <w:t>“relevant Act”</w:t>
      </w:r>
      <w:r>
        <w:rPr>
          <w:lang w:val="en-US"/>
        </w:rPr>
        <w:t xml:space="preserve"> means </w:t>
      </w:r>
      <w:r>
        <w:t>—</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lang w:val="en-US"/>
        </w:rPr>
        <w:t>;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Commission to complete necessary transactions</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t>—</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Exemption from State taxation</w:t>
      </w:r>
    </w:p>
    <w:p>
      <w:pPr>
        <w:pStyle w:val="nzSubsection"/>
        <w:rPr>
          <w:lang w:val="en-US"/>
        </w:rPr>
      </w:pPr>
      <w:r>
        <w:rPr>
          <w:lang w:val="en-US"/>
        </w:rPr>
        <w:tab/>
        <w:t>(1)</w:t>
      </w:r>
      <w:r>
        <w:rPr>
          <w:lang w:val="en-US"/>
        </w:rPr>
        <w:tab/>
        <w:t xml:space="preserve">In this section </w:t>
      </w:r>
      <w:r>
        <w:t>—</w:t>
      </w:r>
    </w:p>
    <w:p>
      <w:pPr>
        <w:pStyle w:val="nzDefstart"/>
        <w:rPr>
          <w:lang w:val="en-US"/>
        </w:rPr>
      </w:pPr>
      <w:r>
        <w:rPr>
          <w:b/>
          <w:bCs/>
          <w:lang w:val="en-US"/>
        </w:rPr>
        <w:tab/>
        <w:t>“State tax”</w:t>
      </w:r>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t>—</w:t>
      </w:r>
    </w:p>
    <w:p>
      <w:pPr>
        <w:pStyle w:val="nzIndenta"/>
        <w:rPr>
          <w:lang w:val="en-US"/>
        </w:rPr>
      </w:pPr>
      <w:r>
        <w:rPr>
          <w:lang w:val="en-US"/>
        </w:rPr>
        <w:tab/>
        <w:t>(a)</w:t>
      </w:r>
      <w:r>
        <w:rPr>
          <w:lang w:val="en-US"/>
        </w:rPr>
        <w:tab/>
        <w:t>anything that occurs by the operation of this Part;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t>—</w:t>
      </w:r>
    </w:p>
    <w:p>
      <w:pPr>
        <w:pStyle w:val="nzIndenta"/>
        <w:rPr>
          <w:lang w:val="en-US"/>
        </w:rPr>
      </w:pPr>
      <w:r>
        <w:rPr>
          <w:lang w:val="en-US"/>
        </w:rPr>
        <w:tab/>
        <w:t>(a)</w:t>
      </w:r>
      <w:r>
        <w:rPr>
          <w:lang w:val="en-US"/>
        </w:rPr>
        <w:tab/>
        <w:t>a specified thing occurred by the operation of this Part;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Registration of documents</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b/>
          <w:bCs/>
          <w:lang w:val="en-US"/>
        </w:rPr>
        <w:t>“relevant officials”</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Saving</w:t>
      </w:r>
    </w:p>
    <w:p>
      <w:pPr>
        <w:pStyle w:val="nzSubsection"/>
        <w:rPr>
          <w:lang w:val="en-US"/>
        </w:rPr>
      </w:pPr>
      <w:r>
        <w:rPr>
          <w:lang w:val="en-US"/>
        </w:rPr>
        <w:tab/>
      </w:r>
      <w:r>
        <w:rPr>
          <w:lang w:val="en-US"/>
        </w:rPr>
        <w:tab/>
        <w:t xml:space="preserve">The operation of section 45, 46 or 47 is not to be regarded </w:t>
      </w:r>
      <w:r>
        <w:t>—</w:t>
      </w:r>
    </w:p>
    <w:p>
      <w:pPr>
        <w:pStyle w:val="nzIndenta"/>
        <w:rPr>
          <w:lang w:val="en-US"/>
        </w:rPr>
      </w:pPr>
      <w:r>
        <w:rPr>
          <w:lang w:val="en-US"/>
        </w:rPr>
        <w:tab/>
        <w:t>(a)</w:t>
      </w:r>
      <w:r>
        <w:rPr>
          <w:lang w:val="en-US"/>
        </w:rPr>
        <w:tab/>
        <w:t>as a breach of contract or confidence or otherwise as a civil wrong;</w:t>
      </w:r>
    </w:p>
    <w:p>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p>
    <w:p>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p>
    <w:p>
      <w:pPr>
        <w:pStyle w:val="nzIndenta"/>
        <w:rPr>
          <w:lang w:val="en-US"/>
        </w:rPr>
      </w:pPr>
      <w:r>
        <w:rPr>
          <w:lang w:val="en-US"/>
        </w:rPr>
        <w:tab/>
        <w:t>(d)</w:t>
      </w:r>
      <w:r>
        <w:rPr>
          <w:lang w:val="en-US"/>
        </w:rPr>
        <w:tab/>
        <w:t>as causing any contract or instrument to be void or otherwise unenforceable;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t>—</w:t>
      </w:r>
      <w:r>
        <w:rPr>
          <w:lang w:val="en-US"/>
        </w:rPr>
        <w:t xml:space="preserve"> Staff</w:t>
      </w:r>
    </w:p>
    <w:p>
      <w:pPr>
        <w:pStyle w:val="nzHeading5"/>
        <w:rPr>
          <w:lang w:val="en-US"/>
        </w:rPr>
      </w:pPr>
      <w:r>
        <w:rPr>
          <w:lang w:val="en-US"/>
        </w:rPr>
        <w:t>56.</w:t>
      </w:r>
      <w:r>
        <w:rPr>
          <w:lang w:val="en-US"/>
        </w:rPr>
        <w:tab/>
        <w:t>Transition of employment</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Employees’ rights preserved</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t>—</w:t>
      </w:r>
    </w:p>
    <w:p>
      <w:pPr>
        <w:pStyle w:val="nzIndenta"/>
        <w:rPr>
          <w:lang w:val="en-US"/>
        </w:rPr>
      </w:pPr>
      <w:r>
        <w:rPr>
          <w:lang w:val="en-US"/>
        </w:rPr>
        <w:tab/>
        <w:t>(a)</w:t>
      </w:r>
      <w:r>
        <w:rPr>
          <w:lang w:val="en-US"/>
        </w:rPr>
        <w:tab/>
        <w:t>affect the employee’s remuneration;</w:t>
      </w:r>
    </w:p>
    <w:p>
      <w:pPr>
        <w:pStyle w:val="nzIndenta"/>
        <w:rPr>
          <w:lang w:val="en-US"/>
        </w:rPr>
      </w:pPr>
      <w:r>
        <w:rPr>
          <w:lang w:val="en-US"/>
        </w:rPr>
        <w:tab/>
        <w:t>(b)</w:t>
      </w:r>
      <w:r>
        <w:rPr>
          <w:lang w:val="en-US"/>
        </w:rPr>
        <w:tab/>
        <w:t>prejudice the employee’s existing or accruing rights;</w:t>
      </w:r>
    </w:p>
    <w:p>
      <w:pPr>
        <w:pStyle w:val="nzIndenta"/>
        <w:rPr>
          <w:lang w:val="en-US"/>
        </w:rPr>
      </w:pPr>
      <w:r>
        <w:rPr>
          <w:lang w:val="en-US"/>
        </w:rPr>
        <w:tab/>
        <w:t>(c)</w:t>
      </w:r>
      <w:r>
        <w:rPr>
          <w:lang w:val="en-US"/>
        </w:rPr>
        <w:tab/>
        <w:t>affect any rights under a superannuation scheme;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t>—</w:t>
      </w:r>
      <w:r>
        <w:rPr>
          <w:lang w:val="en-US"/>
        </w:rPr>
        <w:t xml:space="preserve"> General transitional provisions</w:t>
      </w:r>
    </w:p>
    <w:p>
      <w:pPr>
        <w:pStyle w:val="nzHeading5"/>
        <w:rPr>
          <w:lang w:val="en-US"/>
        </w:rPr>
      </w:pPr>
      <w:r>
        <w:rPr>
          <w:lang w:val="en-US"/>
        </w:rPr>
        <w:t>58.</w:t>
      </w:r>
      <w:r>
        <w:rPr>
          <w:lang w:val="en-US"/>
        </w:rPr>
        <w:tab/>
        <w:t>Annual report for part of a year</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Completion of things commenced</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Continuing effect of things done</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t>—</w:t>
      </w:r>
    </w:p>
    <w:p>
      <w:pPr>
        <w:pStyle w:val="nzIndenta"/>
        <w:rPr>
          <w:lang w:val="en-US"/>
        </w:rPr>
      </w:pPr>
      <w:r>
        <w:rPr>
          <w:lang w:val="en-US"/>
        </w:rPr>
        <w:tab/>
        <w:t>(a)</w:t>
      </w:r>
      <w:r>
        <w:rPr>
          <w:lang w:val="en-US"/>
        </w:rPr>
        <w:tab/>
        <w:t>has any force;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Immunity to continue</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Agreements and instruments generally</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t>—</w:t>
      </w:r>
    </w:p>
    <w:p>
      <w:pPr>
        <w:pStyle w:val="nzIndenta"/>
        <w:rPr>
          <w:lang w:val="en-US"/>
        </w:rPr>
      </w:pPr>
      <w:r>
        <w:rPr>
          <w:lang w:val="en-US"/>
        </w:rPr>
        <w:tab/>
        <w:t>(a)</w:t>
      </w:r>
      <w:r>
        <w:rPr>
          <w:lang w:val="en-US"/>
        </w:rPr>
        <w:tab/>
        <w:t>to which the Commission was a party;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t>—</w:t>
      </w:r>
    </w:p>
    <w:p>
      <w:pPr>
        <w:pStyle w:val="nzIndenta"/>
        <w:rPr>
          <w:lang w:val="en-US"/>
        </w:rPr>
      </w:pPr>
      <w:r>
        <w:rPr>
          <w:lang w:val="en-US"/>
        </w:rPr>
        <w:tab/>
        <w:t>(c)</w:t>
      </w:r>
      <w:r>
        <w:rPr>
          <w:lang w:val="en-US"/>
        </w:rPr>
        <w:tab/>
        <w:t>the relevant corporation were substituted for the Commission as a party to the agreement or instrument;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b/>
          <w:bCs/>
          <w:lang w:val="en-US"/>
        </w:rPr>
        <w:t>“relevant corporation”</w:t>
      </w:r>
      <w:r>
        <w:rPr>
          <w:lang w:val="en-US"/>
        </w:rPr>
        <w:t xml:space="preserve"> means </w:t>
      </w:r>
      <w:r>
        <w:t>—</w:t>
      </w:r>
    </w:p>
    <w:p>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Commission to perform necessary transitional functions</w:t>
      </w:r>
    </w:p>
    <w:p>
      <w:pPr>
        <w:pStyle w:val="nzSubsection"/>
        <w:rPr>
          <w:lang w:val="en-US"/>
        </w:rPr>
      </w:pPr>
      <w:r>
        <w:rPr>
          <w:lang w:val="en-US"/>
        </w:rPr>
        <w:tab/>
        <w:t>(1)</w:t>
      </w:r>
      <w:r>
        <w:rPr>
          <w:lang w:val="en-US"/>
        </w:rPr>
        <w:tab/>
        <w:t>Despite the repeal of section 7 of the principal Act by section 8 of this Act, the Commission continues in existence for the purpose of </w:t>
      </w:r>
      <w:r>
        <w:t>—</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t>—</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Further transitional provision may be made</w:t>
      </w:r>
    </w:p>
    <w:p>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described in section 42 the Minister may make that provision by order published in the </w:t>
      </w:r>
      <w:r>
        <w:rPr>
          <w:i/>
          <w:iCs/>
          <w:lang w:val="en-US"/>
        </w:rPr>
        <w:t>Gazette</w:t>
      </w:r>
      <w:r>
        <w:rPr>
          <w:lang w:val="en-US"/>
        </w:rPr>
        <w:t>.</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t>—</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MiscClose"/>
      </w:pPr>
      <w:r>
        <w:t>”.</w:t>
      </w:r>
    </w:p>
    <w:p>
      <w:pPr>
        <w:pStyle w:val="nSubsection"/>
        <w:rPr>
          <w:ins w:id="167" w:author="svcMRProcess" w:date="2015-10-29T11:45:00Z"/>
          <w:snapToGrid w:val="0"/>
        </w:rPr>
      </w:pPr>
      <w:bookmarkStart w:id="168" w:name="AutoSch"/>
      <w:bookmarkEnd w:id="168"/>
      <w:ins w:id="169" w:author="svcMRProcess" w:date="2015-10-29T11:45:00Z">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210 had not come into operation.  It reads as follows:</w:t>
        </w:r>
      </w:ins>
    </w:p>
    <w:p>
      <w:pPr>
        <w:pStyle w:val="BlankOpen"/>
        <w:rPr>
          <w:ins w:id="170" w:author="svcMRProcess" w:date="2015-10-29T11:45:00Z"/>
        </w:rPr>
      </w:pPr>
    </w:p>
    <w:p>
      <w:pPr>
        <w:pStyle w:val="nzHeading5"/>
        <w:rPr>
          <w:ins w:id="171" w:author="svcMRProcess" w:date="2015-10-29T11:45:00Z"/>
        </w:rPr>
      </w:pPr>
      <w:bookmarkStart w:id="172" w:name="_Toc334516021"/>
      <w:bookmarkStart w:id="173" w:name="_Toc334695018"/>
      <w:ins w:id="174" w:author="svcMRProcess" w:date="2015-10-29T11:45:00Z">
        <w:r>
          <w:rPr>
            <w:rStyle w:val="CharSectno"/>
          </w:rPr>
          <w:t>210</w:t>
        </w:r>
        <w:r>
          <w:t>.</w:t>
        </w:r>
        <w:r>
          <w:tab/>
        </w:r>
        <w:r>
          <w:rPr>
            <w:i/>
            <w:iCs/>
          </w:rPr>
          <w:t>Energy Operators (Powers) Act 1979</w:t>
        </w:r>
        <w:r>
          <w:t xml:space="preserve"> amended</w:t>
        </w:r>
        <w:bookmarkEnd w:id="172"/>
        <w:bookmarkEnd w:id="173"/>
      </w:ins>
    </w:p>
    <w:p>
      <w:pPr>
        <w:pStyle w:val="nzSubsection"/>
        <w:rPr>
          <w:ins w:id="175" w:author="svcMRProcess" w:date="2015-10-29T11:45:00Z"/>
        </w:rPr>
      </w:pPr>
      <w:ins w:id="176" w:author="svcMRProcess" w:date="2015-10-29T11:45:00Z">
        <w:r>
          <w:tab/>
          <w:t>(1)</w:t>
        </w:r>
        <w:r>
          <w:tab/>
          <w:t xml:space="preserve">This section amends the </w:t>
        </w:r>
        <w:r>
          <w:rPr>
            <w:i/>
            <w:iCs/>
          </w:rPr>
          <w:t>Energy Operators (Powers) Act 1979</w:t>
        </w:r>
        <w:r>
          <w:t>.</w:t>
        </w:r>
      </w:ins>
    </w:p>
    <w:p>
      <w:pPr>
        <w:pStyle w:val="nzSubsection"/>
        <w:rPr>
          <w:ins w:id="177" w:author="svcMRProcess" w:date="2015-10-29T11:45:00Z"/>
        </w:rPr>
      </w:pPr>
      <w:ins w:id="178" w:author="svcMRProcess" w:date="2015-10-29T11:45:00Z">
        <w:r>
          <w:tab/>
          <w:t>(2)</w:t>
        </w:r>
        <w:r>
          <w:tab/>
          <w:t>Delete section 42(2)(a) and insert:</w:t>
        </w:r>
      </w:ins>
    </w:p>
    <w:p>
      <w:pPr>
        <w:pStyle w:val="BlankOpen"/>
        <w:rPr>
          <w:ins w:id="179" w:author="svcMRProcess" w:date="2015-10-29T11:45:00Z"/>
        </w:rPr>
      </w:pPr>
    </w:p>
    <w:p>
      <w:pPr>
        <w:pStyle w:val="nzIndenta"/>
        <w:rPr>
          <w:ins w:id="180" w:author="svcMRProcess" w:date="2015-10-29T11:45:00Z"/>
        </w:rPr>
      </w:pPr>
      <w:ins w:id="181" w:author="svcMRProcess" w:date="2015-10-29T11:45:00Z">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ins>
    </w:p>
    <w:p>
      <w:pPr>
        <w:pStyle w:val="BlankClose"/>
        <w:rPr>
          <w:ins w:id="182" w:author="svcMRProcess" w:date="2015-10-29T11:45:00Z"/>
        </w:rPr>
      </w:pPr>
    </w:p>
    <w:p>
      <w:pPr>
        <w:pStyle w:val="BlankClose"/>
        <w:rPr>
          <w:ins w:id="183" w:author="svcMRProcess" w:date="2015-10-29T11:45: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bookmarkStart w:id="184" w:name="UpToHere"/>
      <w:bookmarkEnd w:id="184"/>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30298</Words>
  <Characters>141495</Characters>
  <Application>Microsoft Office Word</Application>
  <DocSecurity>0</DocSecurity>
  <Lines>3537</Lines>
  <Paragraphs>1311</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05-a0-04 - 05-b0-01</dc:title>
  <dc:subject/>
  <dc:creator/>
  <cp:keywords/>
  <dc:description/>
  <cp:lastModifiedBy>svcMRProcess</cp:lastModifiedBy>
  <cp:revision>2</cp:revision>
  <cp:lastPrinted>2008-04-09T01:29:00Z</cp:lastPrinted>
  <dcterms:created xsi:type="dcterms:W3CDTF">2015-10-29T03:44:00Z</dcterms:created>
  <dcterms:modified xsi:type="dcterms:W3CDTF">2015-10-29T03:45:00Z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250</vt:i4>
  </property>
  <property fmtid="{D5CDD505-2E9C-101B-9397-08002B2CF9AE}" pid="6" name="ReprintNo">
    <vt:lpwstr>5</vt:lpwstr>
  </property>
  <property fmtid="{D5CDD505-2E9C-101B-9397-08002B2CF9AE}" pid="7" name="FromSuffix">
    <vt:lpwstr>05-a0-04</vt:lpwstr>
  </property>
  <property fmtid="{D5CDD505-2E9C-101B-9397-08002B2CF9AE}" pid="8" name="FromAsAtDate">
    <vt:lpwstr>04 Apr 2008</vt:lpwstr>
  </property>
  <property fmtid="{D5CDD505-2E9C-101B-9397-08002B2CF9AE}" pid="9" name="ToSuffix">
    <vt:lpwstr>05-b0-01</vt:lpwstr>
  </property>
  <property fmtid="{D5CDD505-2E9C-101B-9397-08002B2CF9AE}" pid="10" name="ToAsAtDate">
    <vt:lpwstr>03 Sep 2012</vt:lpwstr>
  </property>
</Properties>
</file>