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2012</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22 Nov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2T00:22:00Z"/>
        </w:trPr>
        <w:tc>
          <w:tcPr>
            <w:tcW w:w="2434" w:type="dxa"/>
            <w:vMerge w:val="restart"/>
          </w:tcPr>
          <w:p>
            <w:pPr>
              <w:rPr>
                <w:del w:id="1" w:author="svcMRProcess" w:date="2015-11-02T00:22:00Z"/>
              </w:rPr>
            </w:pPr>
          </w:p>
        </w:tc>
        <w:tc>
          <w:tcPr>
            <w:tcW w:w="2434" w:type="dxa"/>
            <w:vMerge w:val="restart"/>
          </w:tcPr>
          <w:p>
            <w:pPr>
              <w:jc w:val="center"/>
              <w:rPr>
                <w:del w:id="2" w:author="svcMRProcess" w:date="2015-11-02T00:22:00Z"/>
              </w:rPr>
            </w:pPr>
            <w:del w:id="3" w:author="svcMRProcess" w:date="2015-11-02T00:22:00Z">
              <w:r>
                <w:rPr>
                  <w:noProof/>
                  <w:lang w:eastAsia="en-AU"/>
                </w:rPr>
                <w:drawing>
                  <wp:inline distT="0" distB="0" distL="0" distR="0">
                    <wp:extent cx="534670" cy="474345"/>
                    <wp:effectExtent l="0" t="0" r="0" b="190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5-11-02T00:22:00Z"/>
              </w:rPr>
            </w:pPr>
            <w:del w:id="5" w:author="svcMRProcess" w:date="2015-11-02T00:2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2T00:22:00Z"/>
        </w:trPr>
        <w:tc>
          <w:tcPr>
            <w:tcW w:w="2434" w:type="dxa"/>
            <w:vMerge/>
          </w:tcPr>
          <w:p>
            <w:pPr>
              <w:rPr>
                <w:del w:id="7" w:author="svcMRProcess" w:date="2015-11-02T00:22:00Z"/>
              </w:rPr>
            </w:pPr>
          </w:p>
        </w:tc>
        <w:tc>
          <w:tcPr>
            <w:tcW w:w="2434" w:type="dxa"/>
            <w:vMerge/>
          </w:tcPr>
          <w:p>
            <w:pPr>
              <w:jc w:val="center"/>
              <w:rPr>
                <w:del w:id="8" w:author="svcMRProcess" w:date="2015-11-02T00:22:00Z"/>
              </w:rPr>
            </w:pPr>
          </w:p>
        </w:tc>
        <w:tc>
          <w:tcPr>
            <w:tcW w:w="2434" w:type="dxa"/>
          </w:tcPr>
          <w:p>
            <w:pPr>
              <w:keepNext/>
              <w:rPr>
                <w:del w:id="9" w:author="svcMRProcess" w:date="2015-11-02T00:22:00Z"/>
                <w:b/>
                <w:sz w:val="22"/>
              </w:rPr>
            </w:pPr>
            <w:del w:id="10" w:author="svcMRProcess" w:date="2015-11-02T00:22:00Z">
              <w:r>
                <w:rPr>
                  <w:b/>
                  <w:sz w:val="22"/>
                </w:rPr>
                <w:delText>at 13</w:delText>
              </w:r>
              <w:r>
                <w:rPr>
                  <w:b/>
                  <w:snapToGrid w:val="0"/>
                  <w:sz w:val="22"/>
                </w:rPr>
                <w:delText xml:space="preserve"> April 2012</w:delText>
              </w:r>
            </w:del>
          </w:p>
        </w:tc>
      </w:tr>
    </w:tbl>
    <w:p>
      <w:pPr>
        <w:pStyle w:val="WA"/>
        <w:spacing w:before="120"/>
      </w:pPr>
      <w:r>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11" w:name="_GoBack"/>
      <w:bookmarkEnd w:id="11"/>
      <w:r>
        <w:rPr>
          <w:snapToGrid w:val="0"/>
        </w:rPr>
        <w:t xml:space="preserve">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pPr>
        <w:pStyle w:val="Heading2"/>
      </w:pPr>
      <w:bookmarkStart w:id="12" w:name="_Toc57546761"/>
      <w:bookmarkStart w:id="13" w:name="_Toc101173665"/>
      <w:bookmarkStart w:id="14" w:name="_Toc101667679"/>
      <w:bookmarkStart w:id="15" w:name="_Toc137462630"/>
      <w:bookmarkStart w:id="16" w:name="_Toc150649055"/>
      <w:bookmarkStart w:id="17" w:name="_Toc199753307"/>
      <w:bookmarkStart w:id="18" w:name="_Toc199753367"/>
      <w:bookmarkStart w:id="19" w:name="_Toc203540553"/>
      <w:bookmarkStart w:id="20" w:name="_Toc210115806"/>
      <w:bookmarkStart w:id="21" w:name="_Toc223857569"/>
      <w:bookmarkStart w:id="22" w:name="_Toc237758519"/>
      <w:bookmarkStart w:id="23" w:name="_Toc294182232"/>
      <w:bookmarkStart w:id="24" w:name="_Toc294182292"/>
      <w:bookmarkStart w:id="25" w:name="_Toc302113765"/>
      <w:bookmarkStart w:id="26" w:name="_Toc302113824"/>
      <w:bookmarkStart w:id="27" w:name="_Toc307411837"/>
      <w:bookmarkStart w:id="28" w:name="_Toc312056422"/>
      <w:bookmarkStart w:id="29" w:name="_Toc312056482"/>
      <w:bookmarkStart w:id="30" w:name="_Toc312059539"/>
      <w:bookmarkStart w:id="31" w:name="_Toc317238427"/>
      <w:bookmarkStart w:id="32" w:name="_Toc317257763"/>
      <w:bookmarkStart w:id="33" w:name="_Toc321819292"/>
      <w:bookmarkStart w:id="34" w:name="_Toc323735185"/>
      <w:bookmarkStart w:id="35" w:name="_Toc341693251"/>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87700098"/>
      <w:bookmarkStart w:id="40" w:name="_Toc150649056"/>
      <w:bookmarkStart w:id="41" w:name="_Toc223857570"/>
      <w:bookmarkStart w:id="42" w:name="_Toc341693252"/>
      <w:bookmarkStart w:id="43" w:name="_Toc323735186"/>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 </w:t>
      </w:r>
      <w:r>
        <w:rPr>
          <w:snapToGrid w:val="0"/>
          <w:vertAlign w:val="superscript"/>
        </w:rPr>
        <w:t>1</w:t>
      </w:r>
      <w:r>
        <w:rPr>
          <w:snapToGrid w:val="0"/>
        </w:rPr>
        <w:t>.</w:t>
      </w:r>
    </w:p>
    <w:p>
      <w:pPr>
        <w:pStyle w:val="Heading5"/>
        <w:rPr>
          <w:snapToGrid w:val="0"/>
        </w:rPr>
      </w:pPr>
      <w:bookmarkStart w:id="44" w:name="_Toc471793483"/>
      <w:bookmarkStart w:id="45" w:name="_Toc512746196"/>
      <w:bookmarkStart w:id="46" w:name="_Toc515958177"/>
      <w:bookmarkStart w:id="47" w:name="_Toc87700099"/>
      <w:bookmarkStart w:id="48" w:name="_Toc150649057"/>
      <w:bookmarkStart w:id="49" w:name="_Toc223857571"/>
      <w:bookmarkStart w:id="50" w:name="_Toc341693253"/>
      <w:bookmarkStart w:id="51" w:name="_Toc323735187"/>
      <w:r>
        <w:rPr>
          <w:rStyle w:val="CharSectno"/>
        </w:rPr>
        <w:t>2</w:t>
      </w:r>
      <w:r>
        <w:rPr>
          <w:snapToGrid w:val="0"/>
        </w:rPr>
        <w:t>.</w:t>
      </w:r>
      <w:r>
        <w:rPr>
          <w:snapToGrid w:val="0"/>
        </w:rPr>
        <w:tab/>
      </w:r>
      <w:bookmarkEnd w:id="44"/>
      <w:bookmarkEnd w:id="45"/>
      <w:bookmarkEnd w:id="46"/>
      <w:r>
        <w:rPr>
          <w:snapToGrid w:val="0"/>
        </w:rPr>
        <w:t>Commencement</w:t>
      </w:r>
      <w:bookmarkEnd w:id="47"/>
      <w:bookmarkEnd w:id="48"/>
      <w:bookmarkEnd w:id="49"/>
      <w:bookmarkEnd w:id="50"/>
      <w:bookmarkEnd w:id="51"/>
    </w:p>
    <w:p>
      <w:pPr>
        <w:pStyle w:val="Subsection"/>
      </w:pPr>
      <w:r>
        <w:tab/>
      </w:r>
      <w:r>
        <w:tab/>
        <w:t>This Act comes into operation on a day fixed by proclamation</w:t>
      </w:r>
      <w:r>
        <w:rPr>
          <w:i/>
          <w:snapToGrid w:val="0"/>
        </w:rPr>
        <w:t> </w:t>
      </w:r>
      <w:r>
        <w:rPr>
          <w:snapToGrid w:val="0"/>
          <w:vertAlign w:val="superscript"/>
        </w:rPr>
        <w:t>1</w:t>
      </w:r>
      <w:r>
        <w:t>.</w:t>
      </w:r>
    </w:p>
    <w:p>
      <w:pPr>
        <w:pStyle w:val="Heading5"/>
      </w:pPr>
      <w:bookmarkStart w:id="52" w:name="_Toc87700100"/>
      <w:bookmarkStart w:id="53" w:name="_Toc150649058"/>
      <w:bookmarkStart w:id="54" w:name="_Toc223857572"/>
      <w:bookmarkStart w:id="55" w:name="_Toc341693254"/>
      <w:bookmarkStart w:id="56" w:name="_Toc323735188"/>
      <w:r>
        <w:rPr>
          <w:rStyle w:val="CharSectno"/>
        </w:rPr>
        <w:t>3</w:t>
      </w:r>
      <w:r>
        <w:t>.</w:t>
      </w:r>
      <w:r>
        <w:tab/>
      </w:r>
      <w:bookmarkEnd w:id="52"/>
      <w:bookmarkEnd w:id="53"/>
      <w:bookmarkEnd w:id="54"/>
      <w:r>
        <w:t>Terms used</w:t>
      </w:r>
      <w:bookmarkEnd w:id="55"/>
      <w:bookmarkEnd w:id="56"/>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pPr>
        <w:pStyle w:val="Footnotesection"/>
      </w:pPr>
      <w:r>
        <w:tab/>
        <w:t>[Section 3 amended by No. 5 of 2008 s. 74; No. 21 of 2008 s. 678(2).]</w:t>
      </w:r>
    </w:p>
    <w:p>
      <w:pPr>
        <w:pStyle w:val="Heading2"/>
      </w:pPr>
      <w:bookmarkStart w:id="57" w:name="_Toc57546765"/>
      <w:bookmarkStart w:id="58" w:name="_Toc101173669"/>
      <w:bookmarkStart w:id="59" w:name="_Toc101667683"/>
      <w:bookmarkStart w:id="60" w:name="_Toc137462634"/>
      <w:bookmarkStart w:id="61" w:name="_Toc150649059"/>
      <w:bookmarkStart w:id="62" w:name="_Toc199753311"/>
      <w:bookmarkStart w:id="63" w:name="_Toc199753371"/>
      <w:bookmarkStart w:id="64" w:name="_Toc203540557"/>
      <w:bookmarkStart w:id="65" w:name="_Toc210115810"/>
      <w:bookmarkStart w:id="66" w:name="_Toc223857573"/>
      <w:bookmarkStart w:id="67" w:name="_Toc237758523"/>
      <w:bookmarkStart w:id="68" w:name="_Toc294182236"/>
      <w:bookmarkStart w:id="69" w:name="_Toc294182296"/>
      <w:bookmarkStart w:id="70" w:name="_Toc302113769"/>
      <w:bookmarkStart w:id="71" w:name="_Toc302113828"/>
      <w:bookmarkStart w:id="72" w:name="_Toc307411841"/>
      <w:bookmarkStart w:id="73" w:name="_Toc312056426"/>
      <w:bookmarkStart w:id="74" w:name="_Toc312056486"/>
      <w:bookmarkStart w:id="75" w:name="_Toc312059543"/>
      <w:bookmarkStart w:id="76" w:name="_Toc317238431"/>
      <w:bookmarkStart w:id="77" w:name="_Toc317257767"/>
      <w:bookmarkStart w:id="78" w:name="_Toc321819296"/>
      <w:bookmarkStart w:id="79" w:name="_Toc323735189"/>
      <w:bookmarkStart w:id="80" w:name="_Toc341693255"/>
      <w:r>
        <w:rPr>
          <w:rStyle w:val="CharPartNo"/>
        </w:rPr>
        <w:t>Part 2</w:t>
      </w:r>
      <w:r>
        <w:rPr>
          <w:rStyle w:val="CharDivNo"/>
        </w:rPr>
        <w:t> </w:t>
      </w:r>
      <w:r>
        <w:t>—</w:t>
      </w:r>
      <w:r>
        <w:rPr>
          <w:rStyle w:val="CharDivText"/>
        </w:rPr>
        <w:t> </w:t>
      </w:r>
      <w:r>
        <w:rPr>
          <w:rStyle w:val="CharPartText"/>
        </w:rPr>
        <w:t>Jurisdiction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6854010"/>
      <w:bookmarkStart w:id="82" w:name="_Toc87700101"/>
      <w:bookmarkStart w:id="83" w:name="_Toc150649060"/>
      <w:bookmarkStart w:id="84" w:name="_Toc223857574"/>
      <w:bookmarkStart w:id="85" w:name="_Toc341693256"/>
      <w:bookmarkStart w:id="86" w:name="_Toc323735190"/>
      <w:r>
        <w:rPr>
          <w:rStyle w:val="CharSectno"/>
        </w:rPr>
        <w:t>4</w:t>
      </w:r>
      <w:r>
        <w:t>.</w:t>
      </w:r>
      <w:r>
        <w:tab/>
      </w:r>
      <w:bookmarkEnd w:id="81"/>
      <w:bookmarkEnd w:id="82"/>
      <w:bookmarkEnd w:id="83"/>
      <w:bookmarkEnd w:id="84"/>
      <w:r>
        <w:t>Term used: jurisdictional limit</w:t>
      </w:r>
      <w:bookmarkEnd w:id="85"/>
      <w:bookmarkEnd w:id="86"/>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87" w:name="_Toc87700102"/>
      <w:bookmarkStart w:id="88" w:name="_Toc150649061"/>
      <w:bookmarkStart w:id="89" w:name="_Toc223857575"/>
      <w:bookmarkStart w:id="90" w:name="_Toc341693257"/>
      <w:bookmarkStart w:id="91" w:name="_Toc323735191"/>
      <w:r>
        <w:rPr>
          <w:rStyle w:val="CharSectno"/>
        </w:rPr>
        <w:t>5</w:t>
      </w:r>
      <w:r>
        <w:t>.</w:t>
      </w:r>
      <w:r>
        <w:tab/>
        <w:t>Court’s civil jurisdiction</w:t>
      </w:r>
      <w:bookmarkEnd w:id="87"/>
      <w:bookmarkEnd w:id="88"/>
      <w:bookmarkEnd w:id="89"/>
      <w:bookmarkEnd w:id="90"/>
      <w:bookmarkEnd w:id="91"/>
    </w:p>
    <w:p>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pPr>
        <w:pStyle w:val="Heading5"/>
      </w:pPr>
      <w:bookmarkStart w:id="92" w:name="_Toc26854012"/>
      <w:bookmarkStart w:id="93" w:name="_Toc87700103"/>
      <w:bookmarkStart w:id="94" w:name="_Toc150649062"/>
      <w:bookmarkStart w:id="95" w:name="_Toc223857576"/>
      <w:bookmarkStart w:id="96" w:name="_Toc341693258"/>
      <w:bookmarkStart w:id="97" w:name="_Toc323735192"/>
      <w:r>
        <w:rPr>
          <w:rStyle w:val="CharSectno"/>
        </w:rPr>
        <w:t>6</w:t>
      </w:r>
      <w:r>
        <w:t>.</w:t>
      </w:r>
      <w:r>
        <w:tab/>
        <w:t>General civil jurisdiction</w:t>
      </w:r>
      <w:bookmarkEnd w:id="92"/>
      <w:bookmarkEnd w:id="93"/>
      <w:bookmarkEnd w:id="94"/>
      <w:bookmarkEnd w:id="95"/>
      <w:bookmarkEnd w:id="96"/>
      <w:bookmarkEnd w:id="97"/>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r>
      <w:bookmarkStart w:id="98" w:name="_Hlt26940816"/>
      <w:bookmarkEnd w:id="98"/>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by No. 16 of 2011 s. 129.]</w:t>
      </w:r>
    </w:p>
    <w:p>
      <w:pPr>
        <w:pStyle w:val="Heading5"/>
      </w:pPr>
      <w:bookmarkStart w:id="99" w:name="_Toc26854013"/>
      <w:bookmarkStart w:id="100" w:name="_Toc87700104"/>
      <w:bookmarkStart w:id="101" w:name="_Toc150649063"/>
      <w:bookmarkStart w:id="102" w:name="_Toc223857577"/>
      <w:bookmarkStart w:id="103" w:name="_Toc341693259"/>
      <w:bookmarkStart w:id="104" w:name="_Toc323735193"/>
      <w:r>
        <w:rPr>
          <w:rStyle w:val="CharSectno"/>
        </w:rPr>
        <w:t>7</w:t>
      </w:r>
      <w:r>
        <w:t>.</w:t>
      </w:r>
      <w:r>
        <w:tab/>
        <w:t xml:space="preserve">Consumer/trader </w:t>
      </w:r>
      <w:bookmarkEnd w:id="99"/>
      <w:r>
        <w:t>claims</w:t>
      </w:r>
      <w:bookmarkEnd w:id="100"/>
      <w:bookmarkEnd w:id="101"/>
      <w:bookmarkEnd w:id="102"/>
      <w:bookmarkEnd w:id="103"/>
      <w:bookmarkEnd w:id="104"/>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 </w:t>
      </w:r>
      <w:r>
        <w:rPr>
          <w:vertAlign w:val="superscript"/>
        </w:rPr>
        <w:t>2</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105" w:name="_Toc87700105"/>
      <w:bookmarkStart w:id="106" w:name="_Toc150649064"/>
      <w:r>
        <w:tab/>
        <w:t>[Section 7 amended by No. 5 of 2008 s. 75.]</w:t>
      </w:r>
    </w:p>
    <w:p>
      <w:pPr>
        <w:pStyle w:val="Heading5"/>
      </w:pPr>
      <w:bookmarkStart w:id="107" w:name="_Toc223857578"/>
      <w:bookmarkStart w:id="108" w:name="_Toc341693260"/>
      <w:bookmarkStart w:id="109" w:name="_Toc323735194"/>
      <w:r>
        <w:rPr>
          <w:rStyle w:val="CharSectno"/>
        </w:rPr>
        <w:t>8</w:t>
      </w:r>
      <w:r>
        <w:t>.</w:t>
      </w:r>
      <w:r>
        <w:tab/>
        <w:t>Statutory jurisdiction</w:t>
      </w:r>
      <w:bookmarkEnd w:id="105"/>
      <w:bookmarkEnd w:id="106"/>
      <w:bookmarkEnd w:id="107"/>
      <w:bookmarkEnd w:id="108"/>
      <w:bookmarkEnd w:id="109"/>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110" w:name="_Toc87700106"/>
      <w:bookmarkStart w:id="111" w:name="_Toc150649065"/>
      <w:bookmarkStart w:id="112" w:name="_Toc223857579"/>
      <w:bookmarkStart w:id="113" w:name="_Toc341693261"/>
      <w:bookmarkStart w:id="114" w:name="_Toc323735195"/>
      <w:r>
        <w:rPr>
          <w:rStyle w:val="CharSectno"/>
        </w:rPr>
        <w:t>9</w:t>
      </w:r>
      <w:r>
        <w:t>.</w:t>
      </w:r>
      <w:r>
        <w:tab/>
        <w:t>Counterclaims outside jurisdiction</w:t>
      </w:r>
      <w:bookmarkEnd w:id="110"/>
      <w:bookmarkEnd w:id="111"/>
      <w:bookmarkEnd w:id="112"/>
      <w:bookmarkEnd w:id="113"/>
      <w:bookmarkEnd w:id="114"/>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115" w:name="_Toc87700107"/>
      <w:bookmarkStart w:id="116" w:name="_Toc150649066"/>
      <w:bookmarkStart w:id="117" w:name="_Toc223857580"/>
      <w:bookmarkStart w:id="118" w:name="_Toc341693262"/>
      <w:bookmarkStart w:id="119" w:name="_Toc323735196"/>
      <w:r>
        <w:rPr>
          <w:rStyle w:val="CharSectno"/>
        </w:rPr>
        <w:t>10</w:t>
      </w:r>
      <w:r>
        <w:t>.</w:t>
      </w:r>
      <w:r>
        <w:tab/>
        <w:t>Decisions for jurisdictional purposes</w:t>
      </w:r>
      <w:bookmarkEnd w:id="115"/>
      <w:bookmarkEnd w:id="116"/>
      <w:bookmarkEnd w:id="117"/>
      <w:bookmarkEnd w:id="118"/>
      <w:bookmarkEnd w:id="119"/>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120" w:name="_Toc87700108"/>
      <w:bookmarkStart w:id="121" w:name="_Toc150649067"/>
      <w:bookmarkStart w:id="122" w:name="_Toc223857581"/>
      <w:bookmarkStart w:id="123" w:name="_Toc341693263"/>
      <w:bookmarkStart w:id="124" w:name="_Toc323735197"/>
      <w:r>
        <w:rPr>
          <w:rStyle w:val="CharSectno"/>
        </w:rPr>
        <w:t>11</w:t>
      </w:r>
      <w:r>
        <w:t>.</w:t>
      </w:r>
      <w:r>
        <w:tab/>
      </w:r>
      <w:bookmarkStart w:id="125" w:name="_Hlt27206557"/>
      <w:bookmarkEnd w:id="125"/>
      <w:r>
        <w:t>Remedies that may be given</w:t>
      </w:r>
      <w:bookmarkEnd w:id="120"/>
      <w:bookmarkEnd w:id="121"/>
      <w:bookmarkEnd w:id="122"/>
      <w:bookmarkEnd w:id="123"/>
      <w:bookmarkEnd w:id="124"/>
    </w:p>
    <w:p>
      <w:pPr>
        <w:pStyle w:val="Subsection"/>
      </w:pPr>
      <w:r>
        <w:tab/>
        <w:t>(1)</w:t>
      </w:r>
      <w:r>
        <w:tab/>
        <w:t>The Court has such powers as are incidental to and necessary for the exercise of the jurisdiction</w:t>
      </w:r>
      <w:bookmarkStart w:id="126" w:name="_Hlt31694877"/>
      <w:bookmarkEnd w:id="126"/>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127" w:name="_Toc87700109"/>
      <w:bookmarkStart w:id="128" w:name="_Toc150649068"/>
      <w:bookmarkStart w:id="129" w:name="_Toc223857582"/>
      <w:bookmarkStart w:id="130" w:name="_Toc341693264"/>
      <w:bookmarkStart w:id="131" w:name="_Toc323735198"/>
      <w:r>
        <w:rPr>
          <w:rStyle w:val="CharSectno"/>
        </w:rPr>
        <w:t>12</w:t>
      </w:r>
      <w:r>
        <w:t>.</w:t>
      </w:r>
      <w:r>
        <w:tab/>
        <w:t>Pre</w:t>
      </w:r>
      <w:r>
        <w:noBreakHyphen/>
        <w:t>judgment interest may be awarded</w:t>
      </w:r>
      <w:bookmarkEnd w:id="127"/>
      <w:bookmarkEnd w:id="128"/>
      <w:bookmarkEnd w:id="129"/>
      <w:bookmarkEnd w:id="130"/>
      <w:bookmarkEnd w:id="131"/>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32" w:name="_Toc57546775"/>
      <w:bookmarkStart w:id="133" w:name="_Toc101173679"/>
      <w:bookmarkStart w:id="134" w:name="_Toc101667693"/>
      <w:bookmarkStart w:id="135" w:name="_Toc137462644"/>
      <w:bookmarkStart w:id="136" w:name="_Toc150649069"/>
      <w:bookmarkStart w:id="137" w:name="_Toc199753321"/>
      <w:bookmarkStart w:id="138" w:name="_Toc199753381"/>
      <w:bookmarkStart w:id="139" w:name="_Toc203540567"/>
      <w:bookmarkStart w:id="140" w:name="_Toc210115820"/>
      <w:bookmarkStart w:id="141" w:name="_Toc223857583"/>
      <w:bookmarkStart w:id="142" w:name="_Toc237758533"/>
      <w:bookmarkStart w:id="143" w:name="_Toc294182246"/>
      <w:bookmarkStart w:id="144" w:name="_Toc294182306"/>
      <w:bookmarkStart w:id="145" w:name="_Toc302113779"/>
      <w:bookmarkStart w:id="146" w:name="_Toc302113838"/>
      <w:bookmarkStart w:id="147" w:name="_Toc307411851"/>
      <w:bookmarkStart w:id="148" w:name="_Toc312056436"/>
      <w:bookmarkStart w:id="149" w:name="_Toc312056496"/>
      <w:bookmarkStart w:id="150" w:name="_Toc312059553"/>
      <w:bookmarkStart w:id="151" w:name="_Toc317238441"/>
      <w:bookmarkStart w:id="152" w:name="_Toc317257777"/>
      <w:bookmarkStart w:id="153" w:name="_Toc321819306"/>
      <w:bookmarkStart w:id="154" w:name="_Toc323735199"/>
      <w:bookmarkStart w:id="155" w:name="_Toc341693265"/>
      <w:r>
        <w:rPr>
          <w:rStyle w:val="CharPartNo"/>
        </w:rPr>
        <w:t>Part 3</w:t>
      </w:r>
      <w:r>
        <w:rPr>
          <w:rStyle w:val="CharDivNo"/>
        </w:rPr>
        <w:t> </w:t>
      </w:r>
      <w:r>
        <w:t>—</w:t>
      </w:r>
      <w:r>
        <w:rPr>
          <w:rStyle w:val="CharDivText"/>
        </w:rPr>
        <w:t> </w:t>
      </w:r>
      <w:r>
        <w:rPr>
          <w:rStyle w:val="CharPartText"/>
        </w:rPr>
        <w:t>General procedure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180"/>
      </w:pPr>
      <w:bookmarkStart w:id="156" w:name="_Toc87700110"/>
      <w:bookmarkStart w:id="157" w:name="_Toc150649070"/>
      <w:bookmarkStart w:id="158" w:name="_Toc223857584"/>
      <w:bookmarkStart w:id="159" w:name="_Toc341693266"/>
      <w:bookmarkStart w:id="160" w:name="_Toc323735200"/>
      <w:r>
        <w:rPr>
          <w:rStyle w:val="CharSectno"/>
        </w:rPr>
        <w:t>13</w:t>
      </w:r>
      <w:r>
        <w:t>.</w:t>
      </w:r>
      <w:r>
        <w:tab/>
        <w:t>Court’s duties in dealing with cases and making rules</w:t>
      </w:r>
      <w:bookmarkEnd w:id="156"/>
      <w:bookmarkEnd w:id="157"/>
      <w:bookmarkEnd w:id="158"/>
      <w:bookmarkEnd w:id="159"/>
      <w:bookmarkEnd w:id="160"/>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161" w:name="_Toc87700111"/>
      <w:bookmarkStart w:id="162" w:name="_Toc150649071"/>
      <w:bookmarkStart w:id="163" w:name="_Toc223857585"/>
      <w:bookmarkStart w:id="164" w:name="_Toc341693267"/>
      <w:bookmarkStart w:id="165" w:name="_Toc323735201"/>
      <w:r>
        <w:rPr>
          <w:rStyle w:val="CharSectno"/>
        </w:rPr>
        <w:t>14</w:t>
      </w:r>
      <w:r>
        <w:t>.</w:t>
      </w:r>
      <w:r>
        <w:tab/>
        <w:t>Rules of court to set out procedure etc.</w:t>
      </w:r>
      <w:bookmarkEnd w:id="161"/>
      <w:bookmarkEnd w:id="162"/>
      <w:bookmarkEnd w:id="163"/>
      <w:bookmarkEnd w:id="164"/>
      <w:bookmarkEnd w:id="165"/>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bookmarkStart w:id="166" w:name="_Toc87700112"/>
      <w:bookmarkStart w:id="167" w:name="_Toc150649072"/>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 by No. 5 of 2008 s. 76.]</w:t>
      </w:r>
    </w:p>
    <w:p>
      <w:pPr>
        <w:pStyle w:val="Heading5"/>
      </w:pPr>
      <w:bookmarkStart w:id="168" w:name="_Toc223857586"/>
      <w:bookmarkStart w:id="169" w:name="_Toc341693268"/>
      <w:bookmarkStart w:id="170" w:name="_Toc323735202"/>
      <w:r>
        <w:rPr>
          <w:rStyle w:val="CharSectno"/>
        </w:rPr>
        <w:t>15</w:t>
      </w:r>
      <w:r>
        <w:t>.</w:t>
      </w:r>
      <w:r>
        <w:tab/>
        <w:t>Court may act on its own initiative</w:t>
      </w:r>
      <w:bookmarkEnd w:id="166"/>
      <w:bookmarkEnd w:id="167"/>
      <w:bookmarkEnd w:id="168"/>
      <w:bookmarkEnd w:id="169"/>
      <w:bookmarkEnd w:id="170"/>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71" w:name="_Toc87700113"/>
      <w:bookmarkStart w:id="172" w:name="_Toc150649073"/>
      <w:bookmarkStart w:id="173" w:name="_Toc223857587"/>
      <w:bookmarkStart w:id="174" w:name="_Toc341693269"/>
      <w:bookmarkStart w:id="175" w:name="_Toc323735203"/>
      <w:r>
        <w:rPr>
          <w:rStyle w:val="CharSectno"/>
        </w:rPr>
        <w:t>16</w:t>
      </w:r>
      <w:r>
        <w:t>.</w:t>
      </w:r>
      <w:r>
        <w:tab/>
        <w:t>Court’s powers to control and manage cases</w:t>
      </w:r>
      <w:bookmarkEnd w:id="171"/>
      <w:bookmarkEnd w:id="172"/>
      <w:bookmarkEnd w:id="173"/>
      <w:bookmarkEnd w:id="174"/>
      <w:bookmarkEnd w:id="175"/>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76" w:name="_Hlt39901694"/>
      <w:bookmarkEnd w:id="176"/>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77" w:name="_Toc87700114"/>
      <w:bookmarkStart w:id="178" w:name="_Toc150649074"/>
      <w:bookmarkStart w:id="179" w:name="_Toc223857588"/>
      <w:bookmarkStart w:id="180" w:name="_Toc341693270"/>
      <w:bookmarkStart w:id="181" w:name="_Toc323735204"/>
      <w:r>
        <w:rPr>
          <w:rStyle w:val="CharSectno"/>
        </w:rPr>
        <w:t>17</w:t>
      </w:r>
      <w:r>
        <w:t>.</w:t>
      </w:r>
      <w:r>
        <w:tab/>
        <w:t>Striking out, Court’s powers as to</w:t>
      </w:r>
      <w:bookmarkEnd w:id="177"/>
      <w:bookmarkEnd w:id="178"/>
      <w:bookmarkEnd w:id="179"/>
      <w:bookmarkEnd w:id="180"/>
      <w:bookmarkEnd w:id="181"/>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82" w:name="_Toc87700115"/>
      <w:bookmarkStart w:id="183" w:name="_Toc150649075"/>
      <w:bookmarkStart w:id="184" w:name="_Toc223857589"/>
      <w:bookmarkStart w:id="185" w:name="_Toc341693271"/>
      <w:bookmarkStart w:id="186" w:name="_Toc323735205"/>
      <w:r>
        <w:rPr>
          <w:rStyle w:val="CharSectno"/>
        </w:rPr>
        <w:t>18</w:t>
      </w:r>
      <w:r>
        <w:t>.</w:t>
      </w:r>
      <w:r>
        <w:tab/>
        <w:t>Summary judgment, Court may give</w:t>
      </w:r>
      <w:bookmarkEnd w:id="182"/>
      <w:bookmarkEnd w:id="183"/>
      <w:bookmarkEnd w:id="184"/>
      <w:bookmarkEnd w:id="185"/>
      <w:bookmarkEnd w:id="186"/>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87" w:name="_Toc87700116"/>
      <w:bookmarkStart w:id="188" w:name="_Toc150649076"/>
      <w:bookmarkStart w:id="189" w:name="_Toc223857590"/>
      <w:bookmarkStart w:id="190" w:name="_Toc341693272"/>
      <w:bookmarkStart w:id="191" w:name="_Toc323735206"/>
      <w:r>
        <w:rPr>
          <w:rStyle w:val="CharSectno"/>
        </w:rPr>
        <w:t>19</w:t>
      </w:r>
      <w:r>
        <w:t>.</w:t>
      </w:r>
      <w:r>
        <w:tab/>
        <w:t>Default by party, Court’s powers to deal with</w:t>
      </w:r>
      <w:bookmarkEnd w:id="187"/>
      <w:bookmarkEnd w:id="188"/>
      <w:bookmarkEnd w:id="189"/>
      <w:bookmarkEnd w:id="190"/>
      <w:bookmarkEnd w:id="191"/>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92" w:name="_Toc87700117"/>
      <w:bookmarkStart w:id="193" w:name="_Toc150649077"/>
      <w:bookmarkStart w:id="194" w:name="_Toc223857591"/>
      <w:bookmarkStart w:id="195" w:name="_Toc341693273"/>
      <w:bookmarkStart w:id="196" w:name="_Toc323735207"/>
      <w:r>
        <w:rPr>
          <w:rStyle w:val="CharSectno"/>
        </w:rPr>
        <w:t>20</w:t>
      </w:r>
      <w:r>
        <w:t>.</w:t>
      </w:r>
      <w:r>
        <w:tab/>
        <w:t>Procedural orders may be made conditional</w:t>
      </w:r>
      <w:bookmarkEnd w:id="192"/>
      <w:bookmarkEnd w:id="193"/>
      <w:bookmarkEnd w:id="194"/>
      <w:bookmarkEnd w:id="195"/>
      <w:bookmarkEnd w:id="196"/>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97" w:name="_Toc87700118"/>
      <w:bookmarkStart w:id="198" w:name="_Toc150649078"/>
      <w:bookmarkStart w:id="199" w:name="_Toc223857592"/>
      <w:bookmarkStart w:id="200" w:name="_Toc341693274"/>
      <w:bookmarkStart w:id="201" w:name="_Toc323735208"/>
      <w:r>
        <w:rPr>
          <w:rStyle w:val="CharSectno"/>
        </w:rPr>
        <w:t>21</w:t>
      </w:r>
      <w:r>
        <w:t>.</w:t>
      </w:r>
      <w:r>
        <w:tab/>
        <w:t>Persons under legal disability, claims by or against</w:t>
      </w:r>
      <w:bookmarkEnd w:id="197"/>
      <w:bookmarkEnd w:id="198"/>
      <w:bookmarkEnd w:id="199"/>
      <w:bookmarkEnd w:id="200"/>
      <w:bookmarkEnd w:id="201"/>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202" w:name="_Toc87700119"/>
      <w:bookmarkStart w:id="203" w:name="_Toc150649079"/>
      <w:bookmarkStart w:id="204" w:name="_Toc223857593"/>
      <w:bookmarkStart w:id="205" w:name="_Toc341693275"/>
      <w:bookmarkStart w:id="206" w:name="_Toc323735209"/>
      <w:r>
        <w:rPr>
          <w:rStyle w:val="CharSectno"/>
        </w:rPr>
        <w:t>22</w:t>
      </w:r>
      <w:r>
        <w:t>.</w:t>
      </w:r>
      <w:r>
        <w:tab/>
        <w:t>Venue, changing</w:t>
      </w:r>
      <w:bookmarkEnd w:id="202"/>
      <w:bookmarkEnd w:id="203"/>
      <w:bookmarkEnd w:id="204"/>
      <w:bookmarkEnd w:id="205"/>
      <w:bookmarkEnd w:id="206"/>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207" w:name="_Toc87700120"/>
      <w:bookmarkStart w:id="208" w:name="_Toc150649080"/>
      <w:bookmarkStart w:id="209" w:name="_Toc223857594"/>
      <w:bookmarkStart w:id="210" w:name="_Toc341693276"/>
      <w:bookmarkStart w:id="211" w:name="_Toc323735210"/>
      <w:r>
        <w:rPr>
          <w:rStyle w:val="CharSectno"/>
        </w:rPr>
        <w:t>23</w:t>
      </w:r>
      <w:r>
        <w:t>.</w:t>
      </w:r>
      <w:r>
        <w:tab/>
        <w:t>Mediation, use of</w:t>
      </w:r>
      <w:bookmarkEnd w:id="207"/>
      <w:bookmarkEnd w:id="208"/>
      <w:bookmarkEnd w:id="209"/>
      <w:bookmarkEnd w:id="210"/>
      <w:bookmarkEnd w:id="211"/>
    </w:p>
    <w:p>
      <w:pPr>
        <w:pStyle w:val="Subsection"/>
      </w:pPr>
      <w:r>
        <w:tab/>
      </w:r>
      <w:bookmarkStart w:id="212" w:name="_Hlt47848028"/>
      <w:bookmarkEnd w:id="212"/>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213" w:name="_Toc87700121"/>
      <w:bookmarkStart w:id="214" w:name="_Toc150649081"/>
      <w:bookmarkStart w:id="215" w:name="_Toc223857595"/>
      <w:bookmarkStart w:id="216" w:name="_Toc341693277"/>
      <w:bookmarkStart w:id="217" w:name="_Toc323735211"/>
      <w:r>
        <w:rPr>
          <w:rStyle w:val="CharSectno"/>
        </w:rPr>
        <w:t>24</w:t>
      </w:r>
      <w:r>
        <w:t>.</w:t>
      </w:r>
      <w:r>
        <w:tab/>
        <w:t>Experts, use of</w:t>
      </w:r>
      <w:bookmarkEnd w:id="213"/>
      <w:bookmarkEnd w:id="214"/>
      <w:bookmarkEnd w:id="215"/>
      <w:bookmarkEnd w:id="216"/>
      <w:bookmarkEnd w:id="217"/>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218" w:name="_Toc87700122"/>
      <w:bookmarkStart w:id="219" w:name="_Toc150649082"/>
      <w:bookmarkStart w:id="220" w:name="_Toc223857596"/>
      <w:bookmarkStart w:id="221" w:name="_Toc341693278"/>
      <w:bookmarkStart w:id="222" w:name="_Toc323735212"/>
      <w:r>
        <w:rPr>
          <w:rStyle w:val="CharSectno"/>
        </w:rPr>
        <w:t>25</w:t>
      </w:r>
      <w:r>
        <w:t>.</w:t>
      </w:r>
      <w:r>
        <w:tab/>
        <w:t>Costs</w:t>
      </w:r>
      <w:bookmarkEnd w:id="218"/>
      <w:bookmarkEnd w:id="219"/>
      <w:bookmarkEnd w:id="220"/>
      <w:bookmarkEnd w:id="221"/>
      <w:bookmarkEnd w:id="222"/>
    </w:p>
    <w:p>
      <w:pPr>
        <w:pStyle w:val="Subsection"/>
      </w:pPr>
      <w:r>
        <w:tab/>
      </w:r>
      <w:bookmarkStart w:id="223" w:name="_Hlt47858344"/>
      <w:bookmarkEnd w:id="223"/>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224" w:name="_Hlt47848061"/>
      <w:bookmarkEnd w:id="224"/>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r>
        <w:rPr>
          <w:spacing w:val="-4"/>
        </w:rPr>
        <w:t>; No. 47 of 2011 s.</w:t>
      </w:r>
      <w:r>
        <w:t> 27.]</w:t>
      </w:r>
    </w:p>
    <w:p>
      <w:pPr>
        <w:pStyle w:val="Heading2"/>
      </w:pPr>
      <w:bookmarkStart w:id="225" w:name="_Toc57546789"/>
      <w:bookmarkStart w:id="226" w:name="_Toc101173693"/>
      <w:bookmarkStart w:id="227" w:name="_Toc101667707"/>
      <w:bookmarkStart w:id="228" w:name="_Toc137462658"/>
      <w:bookmarkStart w:id="229" w:name="_Toc150649083"/>
      <w:bookmarkStart w:id="230" w:name="_Toc199753335"/>
      <w:bookmarkStart w:id="231" w:name="_Toc199753395"/>
      <w:bookmarkStart w:id="232" w:name="_Toc203540581"/>
      <w:bookmarkStart w:id="233" w:name="_Toc210115834"/>
      <w:bookmarkStart w:id="234" w:name="_Toc223857597"/>
      <w:bookmarkStart w:id="235" w:name="_Toc237758547"/>
      <w:bookmarkStart w:id="236" w:name="_Toc294182260"/>
      <w:bookmarkStart w:id="237" w:name="_Toc294182320"/>
      <w:bookmarkStart w:id="238" w:name="_Toc302113793"/>
      <w:bookmarkStart w:id="239" w:name="_Toc302113852"/>
      <w:bookmarkStart w:id="240" w:name="_Toc307411865"/>
      <w:bookmarkStart w:id="241" w:name="_Toc312056450"/>
      <w:bookmarkStart w:id="242" w:name="_Toc312056510"/>
      <w:bookmarkStart w:id="243" w:name="_Toc312059567"/>
      <w:bookmarkStart w:id="244" w:name="_Toc317238455"/>
      <w:bookmarkStart w:id="245" w:name="_Toc317257791"/>
      <w:bookmarkStart w:id="246" w:name="_Toc321819320"/>
      <w:bookmarkStart w:id="247" w:name="_Toc323735213"/>
      <w:bookmarkStart w:id="248" w:name="_Toc341693279"/>
      <w:r>
        <w:rPr>
          <w:rStyle w:val="CharPartNo"/>
        </w:rPr>
        <w:t>Part 4</w:t>
      </w:r>
      <w:r>
        <w:rPr>
          <w:rStyle w:val="CharDivNo"/>
        </w:rPr>
        <w:t> </w:t>
      </w:r>
      <w:r>
        <w:t>—</w:t>
      </w:r>
      <w:r>
        <w:rPr>
          <w:rStyle w:val="CharDivText"/>
        </w:rPr>
        <w:t> </w:t>
      </w:r>
      <w:r>
        <w:rPr>
          <w:rStyle w:val="CharPartText"/>
        </w:rPr>
        <w:t>Minor cases procedure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Hlt57528252"/>
      <w:bookmarkStart w:id="250" w:name="_Toc87700123"/>
      <w:bookmarkStart w:id="251" w:name="_Toc150649084"/>
      <w:bookmarkStart w:id="252" w:name="_Toc223857598"/>
      <w:bookmarkStart w:id="253" w:name="_Toc341693280"/>
      <w:bookmarkStart w:id="254" w:name="_Toc323735214"/>
      <w:bookmarkEnd w:id="249"/>
      <w:r>
        <w:rPr>
          <w:rStyle w:val="CharSectno"/>
        </w:rPr>
        <w:t>26</w:t>
      </w:r>
      <w:r>
        <w:t>.</w:t>
      </w:r>
      <w:r>
        <w:tab/>
      </w:r>
      <w:bookmarkEnd w:id="250"/>
      <w:bookmarkEnd w:id="251"/>
      <w:bookmarkEnd w:id="252"/>
      <w:r>
        <w:t>Terms used</w:t>
      </w:r>
      <w:bookmarkEnd w:id="253"/>
      <w:bookmarkEnd w:id="254"/>
    </w:p>
    <w:p>
      <w:pPr>
        <w:pStyle w:val="Subsection"/>
      </w:pPr>
      <w:bookmarkStart w:id="255" w:name="_Hlt44395278"/>
      <w:bookmarkEnd w:id="255"/>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 xml:space="preserve">a matter within the jurisdiction of the Court referred to in section </w:t>
      </w:r>
      <w:bookmarkStart w:id="256" w:name="_Hlt57602843"/>
      <w:r>
        <w:t>8</w:t>
      </w:r>
      <w:bookmarkEnd w:id="256"/>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257" w:name="_Toc87700124"/>
      <w:bookmarkStart w:id="258" w:name="_Toc150649085"/>
      <w:bookmarkStart w:id="259" w:name="_Toc223857599"/>
      <w:bookmarkStart w:id="260" w:name="_Toc341693281"/>
      <w:bookmarkStart w:id="261" w:name="_Toc323735215"/>
      <w:r>
        <w:rPr>
          <w:rStyle w:val="CharSectno"/>
        </w:rPr>
        <w:t>27</w:t>
      </w:r>
      <w:r>
        <w:t>.</w:t>
      </w:r>
      <w:r>
        <w:tab/>
        <w:t>Object of minor cases procedure</w:t>
      </w:r>
      <w:bookmarkEnd w:id="257"/>
      <w:bookmarkEnd w:id="258"/>
      <w:bookmarkEnd w:id="259"/>
      <w:bookmarkEnd w:id="260"/>
      <w:bookmarkEnd w:id="261"/>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262" w:name="_Toc87700125"/>
      <w:bookmarkStart w:id="263" w:name="_Toc150649086"/>
      <w:bookmarkStart w:id="264" w:name="_Toc223857600"/>
      <w:bookmarkStart w:id="265" w:name="_Toc341693282"/>
      <w:bookmarkStart w:id="266" w:name="_Toc323735216"/>
      <w:r>
        <w:rPr>
          <w:rStyle w:val="CharSectno"/>
        </w:rPr>
        <w:t>28</w:t>
      </w:r>
      <w:r>
        <w:t>.</w:t>
      </w:r>
      <w:r>
        <w:tab/>
        <w:t>Minor cases procedure, general provisions</w:t>
      </w:r>
      <w:bookmarkEnd w:id="262"/>
      <w:bookmarkEnd w:id="263"/>
      <w:bookmarkEnd w:id="264"/>
      <w:bookmarkEnd w:id="265"/>
      <w:bookmarkEnd w:id="266"/>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267" w:name="_Hlt57452578"/>
      <w:bookmarkEnd w:id="267"/>
      <w:r>
        <w:t>(3)</w:t>
      </w:r>
      <w:r>
        <w:tab/>
        <w:t xml:space="preserve">The Court may order that a minor </w:t>
      </w:r>
      <w:bookmarkStart w:id="268" w:name="_Hlt57431056"/>
      <w:bookmarkStart w:id="269" w:name="_Hlt57452598"/>
      <w:r>
        <w:t>case be dealt with under the general procedure</w:t>
      </w:r>
      <w:bookmarkEnd w:id="268"/>
      <w:r>
        <w:t xml:space="preserve"> </w:t>
      </w:r>
      <w:bookmarkEnd w:id="269"/>
      <w:r>
        <w:t>if —</w:t>
      </w:r>
    </w:p>
    <w:p>
      <w:pPr>
        <w:pStyle w:val="Indenta"/>
      </w:pPr>
      <w:r>
        <w:tab/>
        <w:t>(a)</w:t>
      </w:r>
      <w:r>
        <w:tab/>
        <w:t>all the parties so request; or</w:t>
      </w:r>
    </w:p>
    <w:p>
      <w:pPr>
        <w:pStyle w:val="Indenta"/>
      </w:pPr>
      <w:r>
        <w:tab/>
      </w:r>
      <w:bookmarkStart w:id="270" w:name="_Hlt57431032"/>
      <w:bookmarkEnd w:id="270"/>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271" w:name="_Toc87700126"/>
      <w:bookmarkStart w:id="272" w:name="_Toc150649087"/>
      <w:bookmarkStart w:id="273" w:name="_Toc223857601"/>
      <w:bookmarkStart w:id="274" w:name="_Toc341693283"/>
      <w:bookmarkStart w:id="275" w:name="_Toc323735217"/>
      <w:r>
        <w:rPr>
          <w:rStyle w:val="CharSectno"/>
        </w:rPr>
        <w:t>29</w:t>
      </w:r>
      <w:r>
        <w:t>.</w:t>
      </w:r>
      <w:r>
        <w:tab/>
        <w:t>Proceedings to be private and informal</w:t>
      </w:r>
      <w:bookmarkEnd w:id="271"/>
      <w:bookmarkEnd w:id="272"/>
      <w:bookmarkEnd w:id="273"/>
      <w:bookmarkEnd w:id="274"/>
      <w:bookmarkEnd w:id="275"/>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276" w:name="_Toc87700127"/>
      <w:bookmarkStart w:id="277" w:name="_Toc150649088"/>
      <w:bookmarkStart w:id="278" w:name="_Toc223857602"/>
      <w:bookmarkStart w:id="279" w:name="_Toc341693284"/>
      <w:bookmarkStart w:id="280" w:name="_Toc323735218"/>
      <w:r>
        <w:rPr>
          <w:rStyle w:val="CharSectno"/>
        </w:rPr>
        <w:t>30</w:t>
      </w:r>
      <w:r>
        <w:t>.</w:t>
      </w:r>
      <w:r>
        <w:tab/>
        <w:t>Representation of parties</w:t>
      </w:r>
      <w:bookmarkEnd w:id="276"/>
      <w:bookmarkEnd w:id="277"/>
      <w:bookmarkEnd w:id="278"/>
      <w:bookmarkEnd w:id="279"/>
      <w:bookmarkEnd w:id="280"/>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Despite section</w:t>
      </w:r>
      <w:bookmarkStart w:id="281" w:name="_Hlt47944703"/>
      <w:r>
        <w:t> 44(2)</w:t>
      </w:r>
      <w:bookmarkEnd w:id="281"/>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bookmarkStart w:id="282" w:name="_Hlt57527947"/>
      <w:bookmarkStart w:id="283" w:name="_Toc87700128"/>
      <w:bookmarkStart w:id="284" w:name="_Toc150649089"/>
      <w:bookmarkEnd w:id="282"/>
      <w:r>
        <w:tab/>
        <w:t>[Section 30 amended by No. 5 of 2008 s. 77; No. 21 of 2008 s. 678(7)</w:t>
      </w:r>
      <w:r>
        <w:noBreakHyphen/>
        <w:t>(11).]</w:t>
      </w:r>
    </w:p>
    <w:p>
      <w:pPr>
        <w:pStyle w:val="Heading5"/>
      </w:pPr>
      <w:bookmarkStart w:id="285" w:name="_Toc223857603"/>
      <w:bookmarkStart w:id="286" w:name="_Toc341693285"/>
      <w:bookmarkStart w:id="287" w:name="_Toc323735219"/>
      <w:r>
        <w:rPr>
          <w:rStyle w:val="CharSectno"/>
        </w:rPr>
        <w:t>31</w:t>
      </w:r>
      <w:r>
        <w:t>.</w:t>
      </w:r>
      <w:r>
        <w:tab/>
        <w:t>Costs</w:t>
      </w:r>
      <w:bookmarkEnd w:id="283"/>
      <w:bookmarkEnd w:id="284"/>
      <w:bookmarkEnd w:id="285"/>
      <w:bookmarkEnd w:id="286"/>
      <w:bookmarkEnd w:id="287"/>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88" w:name="_Hlt47858339"/>
      <w:r>
        <w:t> 25(1)</w:t>
      </w:r>
      <w:bookmarkEnd w:id="288"/>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289" w:name="_Hlt37749914"/>
      <w:bookmarkStart w:id="290" w:name="_Toc87700129"/>
      <w:bookmarkStart w:id="291" w:name="_Toc150649090"/>
      <w:bookmarkEnd w:id="289"/>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3</w:t>
      </w:r>
      <w:r>
        <w:t>.</w:t>
      </w:r>
    </w:p>
    <w:p>
      <w:pPr>
        <w:pStyle w:val="Footnotesection"/>
      </w:pPr>
      <w:r>
        <w:tab/>
        <w:t>[Section 31 amended by No. 5 of 2008 s. 78.]</w:t>
      </w:r>
    </w:p>
    <w:p>
      <w:pPr>
        <w:pStyle w:val="Heading5"/>
      </w:pPr>
      <w:bookmarkStart w:id="292" w:name="_Toc223857604"/>
      <w:bookmarkStart w:id="293" w:name="_Toc341693286"/>
      <w:bookmarkStart w:id="294" w:name="_Toc323735220"/>
      <w:r>
        <w:rPr>
          <w:rStyle w:val="CharSectno"/>
        </w:rPr>
        <w:t>32</w:t>
      </w:r>
      <w:r>
        <w:t>.</w:t>
      </w:r>
      <w:r>
        <w:tab/>
        <w:t>Appeals</w:t>
      </w:r>
      <w:bookmarkEnd w:id="290"/>
      <w:bookmarkEnd w:id="291"/>
      <w:bookmarkEnd w:id="292"/>
      <w:bookmarkEnd w:id="293"/>
      <w:bookmarkEnd w:id="294"/>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95" w:name="_Hlt26949129"/>
      <w:r>
        <w:t>7</w:t>
      </w:r>
      <w:bookmarkEnd w:id="295"/>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96" w:name="_Toc87700130"/>
      <w:bookmarkStart w:id="297" w:name="_Toc150649091"/>
      <w:bookmarkStart w:id="298" w:name="_Toc223857605"/>
      <w:bookmarkStart w:id="299" w:name="_Toc341693287"/>
      <w:bookmarkStart w:id="300" w:name="_Toc323735221"/>
      <w:r>
        <w:rPr>
          <w:rStyle w:val="CharSectno"/>
        </w:rPr>
        <w:t>33</w:t>
      </w:r>
      <w:r>
        <w:t>.</w:t>
      </w:r>
      <w:r>
        <w:tab/>
        <w:t>Rules of court for minor cases procedure</w:t>
      </w:r>
      <w:bookmarkEnd w:id="296"/>
      <w:bookmarkEnd w:id="297"/>
      <w:bookmarkEnd w:id="298"/>
      <w:bookmarkEnd w:id="299"/>
      <w:bookmarkEnd w:id="300"/>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301" w:name="_Toc57546798"/>
      <w:bookmarkStart w:id="302" w:name="_Toc101173702"/>
      <w:bookmarkStart w:id="303" w:name="_Toc101667716"/>
      <w:bookmarkStart w:id="304" w:name="_Toc137462667"/>
      <w:bookmarkStart w:id="305" w:name="_Toc150649092"/>
      <w:bookmarkStart w:id="306" w:name="_Toc199753344"/>
      <w:bookmarkStart w:id="307" w:name="_Toc199753404"/>
      <w:bookmarkStart w:id="308" w:name="_Toc203540590"/>
      <w:bookmarkStart w:id="309" w:name="_Toc210115843"/>
      <w:bookmarkStart w:id="310" w:name="_Toc223857606"/>
      <w:bookmarkStart w:id="311" w:name="_Toc237758556"/>
      <w:bookmarkStart w:id="312" w:name="_Toc294182269"/>
      <w:bookmarkStart w:id="313" w:name="_Toc294182329"/>
      <w:bookmarkStart w:id="314" w:name="_Toc302113802"/>
      <w:bookmarkStart w:id="315" w:name="_Toc302113861"/>
      <w:bookmarkStart w:id="316" w:name="_Toc307411874"/>
      <w:bookmarkStart w:id="317" w:name="_Toc312056459"/>
      <w:bookmarkStart w:id="318" w:name="_Toc312056519"/>
      <w:bookmarkStart w:id="319" w:name="_Toc312059576"/>
      <w:bookmarkStart w:id="320" w:name="_Toc317238464"/>
      <w:bookmarkStart w:id="321" w:name="_Toc317257800"/>
      <w:bookmarkStart w:id="322" w:name="_Toc321819329"/>
      <w:bookmarkStart w:id="323" w:name="_Toc323735222"/>
      <w:bookmarkStart w:id="324" w:name="_Toc341693288"/>
      <w:r>
        <w:rPr>
          <w:rStyle w:val="CharPartNo"/>
        </w:rPr>
        <w:t>Part 5</w:t>
      </w:r>
      <w:r>
        <w:t> — </w:t>
      </w:r>
      <w:r>
        <w:rPr>
          <w:rStyle w:val="CharPartText"/>
        </w:rPr>
        <w:t>Mediation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47866684"/>
      <w:bookmarkStart w:id="326" w:name="_Toc49740053"/>
      <w:bookmarkStart w:id="327" w:name="_Toc87700131"/>
      <w:bookmarkStart w:id="328" w:name="_Toc150649093"/>
      <w:bookmarkStart w:id="329" w:name="_Toc223857607"/>
      <w:bookmarkStart w:id="330" w:name="_Toc341693289"/>
      <w:bookmarkStart w:id="331" w:name="_Toc323735223"/>
      <w:r>
        <w:rPr>
          <w:rStyle w:val="CharSectno"/>
        </w:rPr>
        <w:t>34</w:t>
      </w:r>
      <w:r>
        <w:t>.</w:t>
      </w:r>
      <w:r>
        <w:tab/>
      </w:r>
      <w:bookmarkEnd w:id="325"/>
      <w:bookmarkEnd w:id="326"/>
      <w:bookmarkEnd w:id="327"/>
      <w:bookmarkEnd w:id="328"/>
      <w:bookmarkEnd w:id="329"/>
      <w:r>
        <w:t>Terms used</w:t>
      </w:r>
      <w:bookmarkEnd w:id="330"/>
      <w:bookmarkEnd w:id="331"/>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332" w:name="_Toc49740054"/>
      <w:bookmarkStart w:id="333" w:name="_Toc87700132"/>
      <w:bookmarkStart w:id="334" w:name="_Toc150649094"/>
      <w:bookmarkStart w:id="335" w:name="_Toc223857608"/>
      <w:bookmarkStart w:id="336" w:name="_Toc341693290"/>
      <w:bookmarkStart w:id="337" w:name="_Toc323735224"/>
      <w:r>
        <w:rPr>
          <w:rStyle w:val="CharSectno"/>
        </w:rPr>
        <w:t>35</w:t>
      </w:r>
      <w:r>
        <w:t>.</w:t>
      </w:r>
      <w:r>
        <w:tab/>
        <w:t>Mediator, appointment of</w:t>
      </w:r>
      <w:bookmarkEnd w:id="332"/>
      <w:bookmarkEnd w:id="333"/>
      <w:bookmarkEnd w:id="334"/>
      <w:bookmarkEnd w:id="335"/>
      <w:bookmarkEnd w:id="336"/>
      <w:bookmarkEnd w:id="337"/>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338" w:name="_Toc47866685"/>
      <w:bookmarkStart w:id="339" w:name="_Toc49740055"/>
      <w:bookmarkStart w:id="340" w:name="_Toc87700133"/>
      <w:bookmarkStart w:id="341" w:name="_Toc150649095"/>
      <w:bookmarkStart w:id="342" w:name="_Toc223857609"/>
      <w:bookmarkStart w:id="343" w:name="_Toc341693291"/>
      <w:bookmarkStart w:id="344" w:name="_Toc323735225"/>
      <w:r>
        <w:rPr>
          <w:rStyle w:val="CharSectno"/>
        </w:rPr>
        <w:t>36</w:t>
      </w:r>
      <w:r>
        <w:t>.</w:t>
      </w:r>
      <w:r>
        <w:tab/>
        <w:t>Mediator, protection of</w:t>
      </w:r>
      <w:bookmarkEnd w:id="338"/>
      <w:bookmarkEnd w:id="339"/>
      <w:bookmarkEnd w:id="340"/>
      <w:bookmarkEnd w:id="341"/>
      <w:bookmarkEnd w:id="342"/>
      <w:bookmarkEnd w:id="343"/>
      <w:bookmarkEnd w:id="344"/>
    </w:p>
    <w:p>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345" w:name="_Toc47866686"/>
      <w:bookmarkStart w:id="346" w:name="_Toc49740056"/>
      <w:bookmarkStart w:id="347" w:name="_Toc87700134"/>
      <w:bookmarkStart w:id="348" w:name="_Toc150649096"/>
      <w:bookmarkStart w:id="349" w:name="_Toc223857610"/>
      <w:bookmarkStart w:id="350" w:name="_Toc341693292"/>
      <w:bookmarkStart w:id="351" w:name="_Toc323735226"/>
      <w:r>
        <w:rPr>
          <w:rStyle w:val="CharSectno"/>
        </w:rPr>
        <w:t>37</w:t>
      </w:r>
      <w:r>
        <w:t>.</w:t>
      </w:r>
      <w:r>
        <w:tab/>
        <w:t>Compulsory mediation, proceedings confidential etc.</w:t>
      </w:r>
      <w:bookmarkEnd w:id="345"/>
      <w:bookmarkEnd w:id="346"/>
      <w:bookmarkEnd w:id="347"/>
      <w:bookmarkEnd w:id="348"/>
      <w:bookmarkEnd w:id="349"/>
      <w:bookmarkEnd w:id="350"/>
      <w:bookmarkEnd w:id="351"/>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352" w:name="_Toc47866687"/>
      <w:bookmarkStart w:id="353" w:name="_Toc49740057"/>
      <w:bookmarkStart w:id="354" w:name="_Toc87700135"/>
      <w:bookmarkStart w:id="355" w:name="_Toc150649097"/>
      <w:bookmarkStart w:id="356" w:name="_Toc223857611"/>
      <w:bookmarkStart w:id="357" w:name="_Toc341693293"/>
      <w:bookmarkStart w:id="358" w:name="_Toc323735227"/>
      <w:r>
        <w:rPr>
          <w:rStyle w:val="CharSectno"/>
        </w:rPr>
        <w:t>38</w:t>
      </w:r>
      <w:r>
        <w:t>.</w:t>
      </w:r>
      <w:r>
        <w:tab/>
        <w:t>Mediator, duty of confidentiality</w:t>
      </w:r>
      <w:bookmarkEnd w:id="352"/>
      <w:bookmarkEnd w:id="353"/>
      <w:bookmarkEnd w:id="354"/>
      <w:bookmarkEnd w:id="355"/>
      <w:bookmarkEnd w:id="356"/>
      <w:bookmarkEnd w:id="357"/>
      <w:bookmarkEnd w:id="358"/>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359" w:name="_Toc57546804"/>
      <w:bookmarkStart w:id="360" w:name="_Toc101173708"/>
      <w:bookmarkStart w:id="361" w:name="_Toc101667722"/>
      <w:bookmarkStart w:id="362" w:name="_Toc137462673"/>
      <w:bookmarkStart w:id="363" w:name="_Toc150649098"/>
      <w:bookmarkStart w:id="364" w:name="_Toc199753350"/>
      <w:bookmarkStart w:id="365" w:name="_Toc199753410"/>
      <w:bookmarkStart w:id="366" w:name="_Toc203540596"/>
      <w:bookmarkStart w:id="367" w:name="_Toc210115849"/>
      <w:bookmarkStart w:id="368" w:name="_Toc223857612"/>
      <w:bookmarkStart w:id="369" w:name="_Toc237758562"/>
      <w:bookmarkStart w:id="370" w:name="_Toc294182275"/>
      <w:bookmarkStart w:id="371" w:name="_Toc294182335"/>
      <w:bookmarkStart w:id="372" w:name="_Toc302113808"/>
      <w:bookmarkStart w:id="373" w:name="_Toc302113867"/>
      <w:bookmarkStart w:id="374" w:name="_Toc307411880"/>
      <w:bookmarkStart w:id="375" w:name="_Toc312056465"/>
      <w:bookmarkStart w:id="376" w:name="_Toc312056525"/>
      <w:bookmarkStart w:id="377" w:name="_Toc312059582"/>
      <w:bookmarkStart w:id="378" w:name="_Toc317238470"/>
      <w:bookmarkStart w:id="379" w:name="_Toc317257806"/>
      <w:bookmarkStart w:id="380" w:name="_Toc321819335"/>
      <w:bookmarkStart w:id="381" w:name="_Toc323735228"/>
      <w:bookmarkStart w:id="382" w:name="_Toc341693294"/>
      <w:r>
        <w:rPr>
          <w:rStyle w:val="CharPartNo"/>
        </w:rPr>
        <w:t>Part 6</w:t>
      </w:r>
      <w:r>
        <w:rPr>
          <w:rStyle w:val="CharDivNo"/>
        </w:rPr>
        <w:t> </w:t>
      </w:r>
      <w:r>
        <w:t>—</w:t>
      </w:r>
      <w:r>
        <w:rPr>
          <w:rStyle w:val="CharDivText"/>
        </w:rPr>
        <w:t> </w:t>
      </w:r>
      <w:r>
        <w:rPr>
          <w:rStyle w:val="CharPartText"/>
        </w:rPr>
        <w:t>Transferring cases to superior courts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87700136"/>
      <w:bookmarkStart w:id="384" w:name="_Toc150649099"/>
      <w:bookmarkStart w:id="385" w:name="_Toc223857613"/>
      <w:bookmarkStart w:id="386" w:name="_Toc341693295"/>
      <w:bookmarkStart w:id="387" w:name="_Toc323735229"/>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383"/>
      <w:bookmarkEnd w:id="384"/>
      <w:bookmarkEnd w:id="385"/>
      <w:bookmarkEnd w:id="386"/>
      <w:bookmarkEnd w:id="387"/>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388" w:name="_Toc57546806"/>
      <w:bookmarkStart w:id="389" w:name="_Toc101173710"/>
      <w:bookmarkStart w:id="390" w:name="_Toc101667724"/>
      <w:bookmarkStart w:id="391" w:name="_Toc137462675"/>
      <w:bookmarkStart w:id="392" w:name="_Toc150649100"/>
      <w:bookmarkStart w:id="393" w:name="_Toc199753352"/>
      <w:bookmarkStart w:id="394" w:name="_Toc199753412"/>
      <w:bookmarkStart w:id="395" w:name="_Toc203540598"/>
      <w:bookmarkStart w:id="396" w:name="_Toc210115851"/>
      <w:bookmarkStart w:id="397" w:name="_Toc223857614"/>
      <w:bookmarkStart w:id="398" w:name="_Toc237758564"/>
      <w:bookmarkStart w:id="399" w:name="_Toc294182277"/>
      <w:bookmarkStart w:id="400" w:name="_Toc294182337"/>
      <w:bookmarkStart w:id="401" w:name="_Toc302113810"/>
      <w:bookmarkStart w:id="402" w:name="_Toc302113869"/>
      <w:bookmarkStart w:id="403" w:name="_Toc307411882"/>
      <w:bookmarkStart w:id="404" w:name="_Toc312056467"/>
      <w:bookmarkStart w:id="405" w:name="_Toc312056527"/>
      <w:bookmarkStart w:id="406" w:name="_Toc312059584"/>
      <w:bookmarkStart w:id="407" w:name="_Toc317238472"/>
      <w:bookmarkStart w:id="408" w:name="_Toc317257808"/>
      <w:bookmarkStart w:id="409" w:name="_Toc321819337"/>
      <w:bookmarkStart w:id="410" w:name="_Toc323735230"/>
      <w:bookmarkStart w:id="411" w:name="_Toc341693296"/>
      <w:r>
        <w:rPr>
          <w:rStyle w:val="CharPartNo"/>
        </w:rPr>
        <w:t xml:space="preserve">Part </w:t>
      </w:r>
      <w:bookmarkStart w:id="412" w:name="_Hlt26949131"/>
      <w:bookmarkEnd w:id="412"/>
      <w:r>
        <w:rPr>
          <w:rStyle w:val="CharPartNo"/>
        </w:rPr>
        <w:t>7</w:t>
      </w:r>
      <w:r>
        <w:rPr>
          <w:rStyle w:val="CharDivNo"/>
        </w:rPr>
        <w:t> </w:t>
      </w:r>
      <w:r>
        <w:t>—</w:t>
      </w:r>
      <w:r>
        <w:rPr>
          <w:rStyle w:val="CharDivText"/>
        </w:rPr>
        <w:t> </w:t>
      </w:r>
      <w:r>
        <w:rPr>
          <w:rStyle w:val="CharPartText"/>
        </w:rPr>
        <w:t>Appeals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3" w:name="_Toc87700137"/>
      <w:bookmarkStart w:id="414" w:name="_Toc150649101"/>
      <w:bookmarkStart w:id="415" w:name="_Toc223857615"/>
      <w:bookmarkStart w:id="416" w:name="_Toc341693297"/>
      <w:bookmarkStart w:id="417" w:name="_Toc323735231"/>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413"/>
      <w:bookmarkEnd w:id="414"/>
      <w:bookmarkEnd w:id="415"/>
      <w:bookmarkEnd w:id="416"/>
      <w:bookmarkEnd w:id="417"/>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w:t>
      </w:r>
      <w:bookmarkStart w:id="418" w:name="_Hlt44125584"/>
      <w:r>
        <w:rPr>
          <w:snapToGrid w:val="0"/>
        </w:rPr>
        <w:t> 32</w:t>
      </w:r>
      <w:bookmarkEnd w:id="418"/>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pPr>
        <w:pStyle w:val="Heading5"/>
      </w:pPr>
      <w:bookmarkStart w:id="419" w:name="_Toc87700138"/>
      <w:bookmarkStart w:id="420" w:name="_Toc150649102"/>
      <w:bookmarkStart w:id="421" w:name="_Toc223857616"/>
      <w:bookmarkStart w:id="422" w:name="_Toc341693298"/>
      <w:bookmarkStart w:id="423" w:name="_Toc323735232"/>
      <w:r>
        <w:rPr>
          <w:rStyle w:val="CharSectno"/>
        </w:rPr>
        <w:t>41</w:t>
      </w:r>
      <w:r>
        <w:t>.</w:t>
      </w:r>
      <w:r>
        <w:tab/>
        <w:t>Transfer of District Court appeal to Court</w:t>
      </w:r>
      <w:bookmarkEnd w:id="419"/>
      <w:r>
        <w:t xml:space="preserve"> of Appeal</w:t>
      </w:r>
      <w:bookmarkEnd w:id="420"/>
      <w:bookmarkEnd w:id="421"/>
      <w:bookmarkEnd w:id="422"/>
      <w:bookmarkEnd w:id="423"/>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424" w:name="_Toc87700139"/>
      <w:bookmarkStart w:id="425" w:name="_Toc150649103"/>
      <w:bookmarkStart w:id="426" w:name="_Toc223857617"/>
      <w:bookmarkStart w:id="427" w:name="_Toc341693299"/>
      <w:bookmarkStart w:id="428" w:name="_Toc323735233"/>
      <w:r>
        <w:rPr>
          <w:rStyle w:val="CharSectno"/>
        </w:rPr>
        <w:t>42</w:t>
      </w:r>
      <w:r>
        <w:t>.</w:t>
      </w:r>
      <w:r>
        <w:tab/>
        <w:t>Appeal from District Court to Court</w:t>
      </w:r>
      <w:bookmarkEnd w:id="424"/>
      <w:r>
        <w:t xml:space="preserve"> of Appeal</w:t>
      </w:r>
      <w:bookmarkEnd w:id="425"/>
      <w:bookmarkEnd w:id="426"/>
      <w:bookmarkEnd w:id="427"/>
      <w:bookmarkEnd w:id="428"/>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Street">
        <w:smartTag w:uri="urn:schemas-microsoft-com:office:smarttags" w:element="address">
          <w:r>
            <w:t>Magistrates Court</w:t>
          </w:r>
        </w:smartTag>
      </w:smartTag>
      <w:r>
        <w: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429" w:name="_Toc87700140"/>
      <w:r>
        <w:tab/>
        <w:t>[Section 42 amended by No. 45 of 2004 s. 37.]</w:t>
      </w:r>
    </w:p>
    <w:p>
      <w:pPr>
        <w:pStyle w:val="Heading5"/>
      </w:pPr>
      <w:bookmarkStart w:id="430" w:name="_Toc150649104"/>
      <w:bookmarkStart w:id="431" w:name="_Toc223857618"/>
      <w:bookmarkStart w:id="432" w:name="_Toc341693300"/>
      <w:bookmarkStart w:id="433" w:name="_Toc323735234"/>
      <w:r>
        <w:rPr>
          <w:rStyle w:val="CharSectno"/>
        </w:rPr>
        <w:t>43</w:t>
      </w:r>
      <w:r>
        <w:t>.</w:t>
      </w:r>
      <w:r>
        <w:tab/>
        <w:t>Appeal court’s powers</w:t>
      </w:r>
      <w:bookmarkEnd w:id="429"/>
      <w:bookmarkEnd w:id="430"/>
      <w:bookmarkEnd w:id="431"/>
      <w:bookmarkEnd w:id="432"/>
      <w:bookmarkEnd w:id="433"/>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pPr>
        <w:pStyle w:val="Indenta"/>
      </w:pPr>
      <w:r>
        <w:tab/>
        <w:t>(e)</w:t>
      </w:r>
      <w:r>
        <w:tab/>
        <w:t xml:space="preserve">make an order as to the costs of the appeal and as to the </w:t>
      </w:r>
      <w:bookmarkStart w:id="434" w:name="_Hlt37750311"/>
      <w:bookmarkEnd w:id="434"/>
      <w:r>
        <w:t xml:space="preserve">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435" w:name="_Toc57546811"/>
      <w:bookmarkStart w:id="436" w:name="_Toc101173715"/>
      <w:bookmarkStart w:id="437" w:name="_Toc101667729"/>
      <w:r>
        <w:tab/>
        <w:t>[Section 43 amended by No. 45 of 2004 s. 37.]</w:t>
      </w:r>
    </w:p>
    <w:p>
      <w:pPr>
        <w:pStyle w:val="Heading2"/>
        <w:rPr>
          <w:sz w:val="24"/>
        </w:rPr>
      </w:pPr>
      <w:bookmarkStart w:id="438" w:name="_Toc137462680"/>
      <w:bookmarkStart w:id="439" w:name="_Toc150649105"/>
      <w:bookmarkStart w:id="440" w:name="_Toc199753357"/>
      <w:bookmarkStart w:id="441" w:name="_Toc199753417"/>
      <w:bookmarkStart w:id="442" w:name="_Toc203540603"/>
      <w:bookmarkStart w:id="443" w:name="_Toc210115856"/>
      <w:bookmarkStart w:id="444" w:name="_Toc223857619"/>
      <w:bookmarkStart w:id="445" w:name="_Toc237758569"/>
      <w:bookmarkStart w:id="446" w:name="_Toc294182282"/>
      <w:bookmarkStart w:id="447" w:name="_Toc294182342"/>
      <w:bookmarkStart w:id="448" w:name="_Toc302113815"/>
      <w:bookmarkStart w:id="449" w:name="_Toc302113874"/>
      <w:bookmarkStart w:id="450" w:name="_Toc307411887"/>
      <w:bookmarkStart w:id="451" w:name="_Toc312056472"/>
      <w:bookmarkStart w:id="452" w:name="_Toc312056532"/>
      <w:bookmarkStart w:id="453" w:name="_Toc312059589"/>
      <w:bookmarkStart w:id="454" w:name="_Toc317238477"/>
      <w:bookmarkStart w:id="455" w:name="_Toc317257813"/>
      <w:bookmarkStart w:id="456" w:name="_Toc321819342"/>
      <w:bookmarkStart w:id="457" w:name="_Toc323735235"/>
      <w:bookmarkStart w:id="458" w:name="_Toc341693301"/>
      <w:r>
        <w:rPr>
          <w:rStyle w:val="CharPartNo"/>
        </w:rPr>
        <w:t>Part 8</w:t>
      </w:r>
      <w:r>
        <w:rPr>
          <w:rStyle w:val="CharDivNo"/>
        </w:rPr>
        <w:t> </w:t>
      </w:r>
      <w:r>
        <w:t>—</w:t>
      </w:r>
      <w:r>
        <w:rPr>
          <w:rStyle w:val="CharDivText"/>
        </w:rPr>
        <w:t> </w:t>
      </w:r>
      <w:r>
        <w:rPr>
          <w:rStyle w:val="CharPartText"/>
        </w:rPr>
        <w:t>Miscellaneous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69988840"/>
      <w:bookmarkStart w:id="460" w:name="_Toc37843738"/>
      <w:bookmarkStart w:id="461" w:name="_Toc87700141"/>
      <w:bookmarkStart w:id="462" w:name="_Toc150649106"/>
      <w:bookmarkStart w:id="463" w:name="_Toc223857620"/>
      <w:bookmarkStart w:id="464" w:name="_Toc341693302"/>
      <w:bookmarkStart w:id="465" w:name="_Toc323735236"/>
      <w:r>
        <w:rPr>
          <w:rStyle w:val="CharSectno"/>
        </w:rPr>
        <w:t>44</w:t>
      </w:r>
      <w:r>
        <w:rPr>
          <w:snapToGrid w:val="0"/>
        </w:rPr>
        <w:t>.</w:t>
      </w:r>
      <w:r>
        <w:rPr>
          <w:snapToGrid w:val="0"/>
        </w:rPr>
        <w:tab/>
        <w:t xml:space="preserve">Representation </w:t>
      </w:r>
      <w:bookmarkEnd w:id="459"/>
      <w:r>
        <w:rPr>
          <w:snapToGrid w:val="0"/>
        </w:rPr>
        <w:t>of parties</w:t>
      </w:r>
      <w:bookmarkEnd w:id="460"/>
      <w:bookmarkEnd w:id="461"/>
      <w:bookmarkEnd w:id="462"/>
      <w:bookmarkEnd w:id="463"/>
      <w:bookmarkEnd w:id="464"/>
      <w:bookmarkEnd w:id="465"/>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466" w:name="_Hlt47944704"/>
      <w:bookmarkEnd w:id="466"/>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bookmarkStart w:id="467" w:name="_Hlt40063698"/>
      <w:bookmarkEnd w:id="467"/>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468" w:name="_Toc87700142"/>
      <w:bookmarkStart w:id="469" w:name="_Toc150649107"/>
      <w:r>
        <w:tab/>
        <w:t>[Section 44 amended by No. 5 of 2008 s. 79; No. 21 of 2008 s. 678(12) and (13).]</w:t>
      </w:r>
    </w:p>
    <w:p>
      <w:pPr>
        <w:pStyle w:val="Heading5"/>
      </w:pPr>
      <w:bookmarkStart w:id="470" w:name="_Toc223857621"/>
      <w:bookmarkStart w:id="471" w:name="_Toc341693303"/>
      <w:bookmarkStart w:id="472" w:name="_Toc323735237"/>
      <w:r>
        <w:rPr>
          <w:rStyle w:val="CharSectno"/>
        </w:rPr>
        <w:t>45</w:t>
      </w:r>
      <w:r>
        <w:t>.</w:t>
      </w:r>
      <w:r>
        <w:tab/>
        <w:t>Court to be open to public, publicity</w:t>
      </w:r>
      <w:bookmarkEnd w:id="468"/>
      <w:bookmarkEnd w:id="469"/>
      <w:bookmarkEnd w:id="470"/>
      <w:bookmarkEnd w:id="471"/>
      <w:bookmarkEnd w:id="472"/>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473" w:name="_Toc87700143"/>
      <w:bookmarkStart w:id="474" w:name="_Toc150649108"/>
      <w:bookmarkStart w:id="475" w:name="_Toc223857622"/>
      <w:bookmarkStart w:id="476" w:name="_Toc341693304"/>
      <w:bookmarkStart w:id="477" w:name="_Toc323735238"/>
      <w:r>
        <w:rPr>
          <w:rStyle w:val="CharSectno"/>
        </w:rPr>
        <w:t>46</w:t>
      </w:r>
      <w:r>
        <w:t>.</w:t>
      </w:r>
      <w:r>
        <w:tab/>
        <w:t>Enforcement of judgments</w:t>
      </w:r>
      <w:bookmarkEnd w:id="473"/>
      <w:bookmarkEnd w:id="474"/>
      <w:bookmarkEnd w:id="475"/>
      <w:bookmarkEnd w:id="476"/>
      <w:bookmarkEnd w:id="477"/>
    </w:p>
    <w:p>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pPr>
        <w:pStyle w:val="Heading5"/>
      </w:pPr>
      <w:bookmarkStart w:id="478" w:name="_Toc87700144"/>
      <w:bookmarkStart w:id="479" w:name="_Toc150649109"/>
      <w:bookmarkStart w:id="480" w:name="_Toc223857623"/>
      <w:bookmarkStart w:id="481" w:name="_Toc341693305"/>
      <w:bookmarkStart w:id="482" w:name="_Toc323735239"/>
      <w:r>
        <w:rPr>
          <w:rStyle w:val="CharSectno"/>
        </w:rPr>
        <w:t>47</w:t>
      </w:r>
      <w:r>
        <w:t>.</w:t>
      </w:r>
      <w:r>
        <w:tab/>
        <w:t>Rules of court, making</w:t>
      </w:r>
      <w:bookmarkEnd w:id="478"/>
      <w:bookmarkEnd w:id="479"/>
      <w:bookmarkEnd w:id="480"/>
      <w:bookmarkEnd w:id="481"/>
      <w:bookmarkEnd w:id="482"/>
    </w:p>
    <w:p>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pPr>
        <w:pStyle w:val="Heading5"/>
      </w:pPr>
      <w:bookmarkStart w:id="483" w:name="_Hlt31786075"/>
      <w:bookmarkStart w:id="484" w:name="_Toc87700145"/>
      <w:bookmarkStart w:id="485" w:name="_Toc150649110"/>
      <w:bookmarkStart w:id="486" w:name="_Toc223857624"/>
      <w:bookmarkStart w:id="487" w:name="_Toc341693306"/>
      <w:bookmarkStart w:id="488" w:name="_Toc323735240"/>
      <w:bookmarkEnd w:id="483"/>
      <w:r>
        <w:rPr>
          <w:rStyle w:val="CharSectno"/>
        </w:rPr>
        <w:t>48</w:t>
      </w:r>
      <w:r>
        <w:t>.</w:t>
      </w:r>
      <w:r>
        <w:tab/>
        <w:t>Rules of court, content</w:t>
      </w:r>
      <w:bookmarkEnd w:id="484"/>
      <w:bookmarkEnd w:id="485"/>
      <w:bookmarkEnd w:id="486"/>
      <w:bookmarkEnd w:id="487"/>
      <w:bookmarkEnd w:id="488"/>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489" w:name="_Toc86154520"/>
      <w:bookmarkStart w:id="490" w:name="_Toc87700146"/>
      <w:bookmarkStart w:id="491" w:name="_Toc150649111"/>
      <w:bookmarkStart w:id="492" w:name="_Toc223857625"/>
      <w:bookmarkStart w:id="493" w:name="_Toc341693307"/>
      <w:bookmarkStart w:id="494" w:name="_Toc323735241"/>
      <w:r>
        <w:rPr>
          <w:rStyle w:val="CharSectno"/>
        </w:rPr>
        <w:t>49</w:t>
      </w:r>
      <w:r>
        <w:t>.</w:t>
      </w:r>
      <w:r>
        <w:tab/>
        <w:t>Regulations</w:t>
      </w:r>
      <w:bookmarkEnd w:id="489"/>
      <w:bookmarkEnd w:id="490"/>
      <w:bookmarkEnd w:id="491"/>
      <w:bookmarkEnd w:id="492"/>
      <w:bookmarkEnd w:id="493"/>
      <w:bookmarkEnd w:id="494"/>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pStyle w:val="CentredBaseLine"/>
        <w:jc w:val="center"/>
        <w:rPr>
          <w:del w:id="495" w:author="svcMRProcess" w:date="2015-11-02T00:22:00Z"/>
        </w:rPr>
      </w:pPr>
      <w:del w:id="496" w:author="svcMRProcess" w:date="2015-11-02T00:22: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497" w:author="svcMRProcess" w:date="2015-11-02T00:22:00Z"/>
        </w:rPr>
      </w:pPr>
      <w:ins w:id="498" w:author="svcMRProcess" w:date="2015-11-02T00:2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keepNext/>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499" w:name="_Toc101173722"/>
    </w:p>
    <w:p>
      <w:pPr>
        <w:pStyle w:val="nHeading2"/>
      </w:pPr>
      <w:bookmarkStart w:id="500" w:name="_Toc101667736"/>
      <w:bookmarkStart w:id="501" w:name="_Toc137462687"/>
      <w:bookmarkStart w:id="502" w:name="_Toc150649112"/>
      <w:bookmarkStart w:id="503" w:name="_Toc199753364"/>
      <w:bookmarkStart w:id="504" w:name="_Toc199753424"/>
      <w:bookmarkStart w:id="505" w:name="_Toc203540610"/>
      <w:bookmarkStart w:id="506" w:name="_Toc210115863"/>
      <w:bookmarkStart w:id="507" w:name="_Toc223857626"/>
      <w:bookmarkStart w:id="508" w:name="_Toc237758576"/>
      <w:bookmarkStart w:id="509" w:name="_Toc294182289"/>
      <w:bookmarkStart w:id="510" w:name="_Toc294182349"/>
      <w:bookmarkStart w:id="511" w:name="_Toc302113822"/>
      <w:bookmarkStart w:id="512" w:name="_Toc302113881"/>
      <w:bookmarkStart w:id="513" w:name="_Toc307411894"/>
      <w:bookmarkStart w:id="514" w:name="_Toc312056479"/>
      <w:bookmarkStart w:id="515" w:name="_Toc312056539"/>
      <w:bookmarkStart w:id="516" w:name="_Toc312059596"/>
      <w:bookmarkStart w:id="517" w:name="_Toc317238484"/>
      <w:bookmarkStart w:id="518" w:name="_Toc317257820"/>
      <w:bookmarkStart w:id="519" w:name="_Toc321819349"/>
      <w:bookmarkStart w:id="520" w:name="_Toc323735242"/>
      <w:bookmarkStart w:id="521" w:name="_Toc341693308"/>
      <w:r>
        <w:t>Notes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nSubsection"/>
        <w:rPr>
          <w:snapToGrid w:val="0"/>
        </w:rPr>
      </w:pPr>
      <w:r>
        <w:rPr>
          <w:snapToGrid w:val="0"/>
          <w:vertAlign w:val="superscript"/>
        </w:rPr>
        <w:t>1</w:t>
      </w:r>
      <w:r>
        <w:rPr>
          <w:snapToGrid w:val="0"/>
        </w:rPr>
        <w:tab/>
        <w:t xml:space="preserve">This </w:t>
      </w:r>
      <w:del w:id="522" w:author="svcMRProcess" w:date="2015-11-02T00:22:00Z">
        <w:r>
          <w:rPr>
            <w:snapToGrid w:val="0"/>
          </w:rPr>
          <w:delText xml:space="preserve">reprint </w:delText>
        </w:r>
      </w:del>
      <w:r>
        <w:rPr>
          <w:snapToGrid w:val="0"/>
        </w:rPr>
        <w:t>is a compilation</w:t>
      </w:r>
      <w:del w:id="523" w:author="svcMRProcess" w:date="2015-11-02T00:22:00Z">
        <w:r>
          <w:rPr>
            <w:snapToGrid w:val="0"/>
          </w:rPr>
          <w:delText xml:space="preserve"> as at 13 April 2012</w:delText>
        </w:r>
      </w:del>
      <w:r>
        <w:rPr>
          <w:snapToGrid w:val="0"/>
        </w:rPr>
        <w:t xml:space="preserve"> of the </w:t>
      </w:r>
      <w:smartTag w:uri="urn:schemas-microsoft-com:office:smarttags" w:element="Street">
        <w:r>
          <w:rPr>
            <w:i/>
            <w:noProof/>
            <w:snapToGrid w:val="0"/>
          </w:rPr>
          <w:t>Magistrates Court</w:t>
        </w:r>
      </w:smartTag>
      <w:r>
        <w:rPr>
          <w:i/>
          <w:noProof/>
          <w:snapToGrid w:val="0"/>
        </w:rPr>
        <w:t xml:space="preserve"> (Civil Proceedings)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24" w:name="_Toc341693309"/>
      <w:bookmarkStart w:id="525" w:name="_Toc323735243"/>
      <w:r>
        <w:rPr>
          <w:snapToGrid w:val="0"/>
        </w:rPr>
        <w:t>Compilation table</w:t>
      </w:r>
      <w:bookmarkEnd w:id="524"/>
      <w:bookmarkEnd w:id="5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Magistrates Court (Civil Proceedings) Act 2004</w:t>
            </w:r>
          </w:p>
        </w:tc>
        <w:tc>
          <w:tcPr>
            <w:tcW w:w="1134" w:type="dxa"/>
            <w:tcBorders>
              <w:top w:val="single" w:sz="8" w:space="0" w:color="auto"/>
            </w:tcBorders>
          </w:tcPr>
          <w:p>
            <w:pPr>
              <w:pStyle w:val="nTable"/>
              <w:spacing w:after="40"/>
              <w:rPr>
                <w:sz w:val="19"/>
              </w:rPr>
            </w:pPr>
            <w:r>
              <w:rPr>
                <w:sz w:val="19"/>
              </w:rPr>
              <w:t>48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s. 1 and 2: 12 Nov 2004; </w:t>
            </w:r>
            <w:r>
              <w:rPr>
                <w:sz w:val="19"/>
              </w:rPr>
              <w:br/>
              <w:t xml:space="preserve">Act other than s. 1 and 2: 1 May 2005 (see s. 2 and </w:t>
            </w:r>
            <w:r>
              <w:rPr>
                <w:i/>
                <w:sz w:val="19"/>
              </w:rPr>
              <w:t xml:space="preserve">Gazette </w:t>
            </w:r>
            <w:r>
              <w:rPr>
                <w:iCs/>
                <w:sz w:val="19"/>
              </w:rPr>
              <w:t>31 Dec 2004 p. 7127</w:t>
            </w:r>
            <w:r>
              <w:rPr>
                <w:sz w:val="19"/>
              </w:rPr>
              <w:t>)</w:t>
            </w:r>
          </w:p>
        </w:tc>
      </w:tr>
      <w:tr>
        <w:tc>
          <w:tcPr>
            <w:tcW w:w="2268" w:type="dxa"/>
          </w:tcPr>
          <w:p>
            <w:pPr>
              <w:pStyle w:val="nTable"/>
              <w:spacing w:after="4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Feb 2005 (see s. 2 and </w:t>
            </w:r>
            <w:r>
              <w:rPr>
                <w:i/>
                <w:iCs/>
                <w:sz w:val="19"/>
              </w:rPr>
              <w:t>Gazette</w:t>
            </w:r>
            <w:r>
              <w:rPr>
                <w:sz w:val="19"/>
              </w:rPr>
              <w:t xml:space="preserve"> 14 Jan 2005 p. 163)</w:t>
            </w:r>
          </w:p>
        </w:tc>
      </w:tr>
      <w:tr>
        <w:tc>
          <w:tcPr>
            <w:tcW w:w="2268" w:type="dxa"/>
          </w:tcPr>
          <w:p>
            <w:pPr>
              <w:pStyle w:val="nTable"/>
              <w:spacing w:after="40"/>
              <w:rPr>
                <w:i/>
                <w:noProof/>
                <w:snapToGrid w:val="0"/>
                <w:sz w:val="19"/>
              </w:rPr>
            </w:pPr>
            <w:r>
              <w:rPr>
                <w:i/>
                <w:iCs/>
                <w:sz w:val="19"/>
              </w:rPr>
              <w:t>Acts Amendment (Justice) Act 2008</w:t>
            </w:r>
            <w:r>
              <w:rPr>
                <w:sz w:val="19"/>
              </w:rPr>
              <w:t xml:space="preserve"> Pt. 16</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678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Pr>
          <w:p>
            <w:pPr>
              <w:pStyle w:val="nTable"/>
              <w:spacing w:after="40"/>
              <w:rPr>
                <w:i/>
                <w:iCs/>
                <w:snapToGrid w:val="0"/>
                <w:sz w:val="19"/>
                <w:lang w:val="en-US"/>
              </w:rPr>
            </w:pPr>
            <w:r>
              <w:rPr>
                <w:i/>
                <w:iCs/>
                <w:snapToGrid w:val="0"/>
                <w:sz w:val="19"/>
                <w:lang w:val="en-US"/>
              </w:rPr>
              <w:t xml:space="preserve">Building Services (Complaint Resolution and Administration) Act 2011 </w:t>
            </w:r>
            <w:r>
              <w:rPr>
                <w:iCs/>
                <w:snapToGrid w:val="0"/>
                <w:sz w:val="19"/>
                <w:lang w:val="en-US"/>
              </w:rPr>
              <w:t>s. 129</w:t>
            </w:r>
          </w:p>
        </w:tc>
        <w:tc>
          <w:tcPr>
            <w:tcW w:w="1134" w:type="dxa"/>
          </w:tcPr>
          <w:p>
            <w:pPr>
              <w:pStyle w:val="nTable"/>
              <w:spacing w:after="40"/>
              <w:rPr>
                <w:snapToGrid w:val="0"/>
                <w:sz w:val="19"/>
                <w:lang w:val="en-US"/>
              </w:rPr>
            </w:pPr>
            <w:r>
              <w:rPr>
                <w:snapToGrid w:val="0"/>
                <w:sz w:val="19"/>
                <w:lang w:val="en-US"/>
              </w:rPr>
              <w:t>16 of 2011</w:t>
            </w:r>
          </w:p>
        </w:tc>
        <w:tc>
          <w:tcPr>
            <w:tcW w:w="1134" w:type="dxa"/>
          </w:tcPr>
          <w:p>
            <w:pPr>
              <w:pStyle w:val="nTable"/>
              <w:spacing w:after="40"/>
              <w:rPr>
                <w:snapToGrid w:val="0"/>
                <w:sz w:val="19"/>
                <w:lang w:val="en-US"/>
              </w:rPr>
            </w:pPr>
            <w:r>
              <w:rPr>
                <w:snapToGrid w:val="0"/>
                <w:sz w:val="19"/>
                <w:lang w:val="en-US"/>
              </w:rPr>
              <w:t>25 May 2011</w:t>
            </w:r>
          </w:p>
        </w:tc>
        <w:tc>
          <w:tcPr>
            <w:tcW w:w="2552" w:type="dxa"/>
          </w:tcPr>
          <w:p>
            <w:pPr>
              <w:pStyle w:val="nTable"/>
              <w:spacing w:after="40"/>
              <w:rPr>
                <w:snapToGrid w:val="0"/>
                <w:spacing w:val="-2"/>
                <w:sz w:val="19"/>
                <w:lang w:val="en-US"/>
              </w:rPr>
            </w:pPr>
            <w:r>
              <w:rPr>
                <w:snapToGrid w:val="0"/>
                <w:spacing w:val="-2"/>
                <w:sz w:val="19"/>
                <w:lang w:val="en-US"/>
              </w:rPr>
              <w:t xml:space="preserve">29 Aug 2011 (see s. 2(b) and </w:t>
            </w:r>
            <w:r>
              <w:rPr>
                <w:i/>
                <w:snapToGrid w:val="0"/>
                <w:spacing w:val="-2"/>
                <w:sz w:val="19"/>
                <w:lang w:val="en-US"/>
              </w:rPr>
              <w:t>Gazette</w:t>
            </w:r>
            <w:r>
              <w:rPr>
                <w:snapToGrid w:val="0"/>
                <w:spacing w:val="-2"/>
                <w:sz w:val="19"/>
                <w:lang w:val="en-US"/>
              </w:rPr>
              <w:t xml:space="preserve"> 26 Aug 2011 p. 3475)</w:t>
            </w:r>
          </w:p>
        </w:tc>
      </w:tr>
      <w:tr>
        <w:tc>
          <w:tcPr>
            <w:tcW w:w="2268" w:type="dxa"/>
            <w:shd w:val="clear" w:color="auto" w:fill="auto"/>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shd w:val="clear" w:color="auto" w:fill="auto"/>
          </w:tcPr>
          <w:p>
            <w:pPr>
              <w:pStyle w:val="nTable"/>
              <w:spacing w:after="40"/>
              <w:rPr>
                <w:snapToGrid w:val="0"/>
                <w:sz w:val="19"/>
                <w:lang w:val="en-US"/>
              </w:rPr>
            </w:pPr>
            <w:r>
              <w:rPr>
                <w:snapToGrid w:val="0"/>
                <w:sz w:val="19"/>
                <w:lang w:val="en-US"/>
              </w:rPr>
              <w:t>25 Oct 2011</w:t>
            </w:r>
          </w:p>
        </w:tc>
        <w:tc>
          <w:tcPr>
            <w:tcW w:w="2552" w:type="dxa"/>
            <w:shd w:val="clear" w:color="auto" w:fill="auto"/>
          </w:tcPr>
          <w:p>
            <w:pPr>
              <w:pStyle w:val="nTable"/>
              <w:spacing w:after="40"/>
              <w:rPr>
                <w:snapToGrid w:val="0"/>
                <w:spacing w:val="-2"/>
                <w:sz w:val="19"/>
                <w:lang w:val="en-US"/>
              </w:rPr>
            </w:pPr>
            <w:r>
              <w:rPr>
                <w:snapToGrid w:val="0"/>
                <w:spacing w:val="-2"/>
                <w:sz w:val="19"/>
                <w:lang w:val="en-US"/>
              </w:rPr>
              <w:t>26 Oct 2011 (see s. 2(b))</w:t>
            </w:r>
          </w:p>
        </w:tc>
      </w:tr>
      <w:tr>
        <w:tc>
          <w:tcPr>
            <w:tcW w:w="7088" w:type="dxa"/>
            <w:gridSpan w:val="4"/>
            <w:tcBorders>
              <w:bottom w:val="single" w:sz="8" w:space="0" w:color="auto"/>
            </w:tcBorders>
            <w:shd w:val="clear" w:color="auto" w:fill="auto"/>
          </w:tcPr>
          <w:p>
            <w:pPr>
              <w:pStyle w:val="nTable"/>
              <w:spacing w:after="40"/>
              <w:rPr>
                <w:snapToGrid w:val="0"/>
                <w:spacing w:val="-2"/>
                <w:sz w:val="19"/>
                <w:lang w:val="en-US"/>
              </w:rPr>
            </w:pPr>
            <w:r>
              <w:rPr>
                <w:b/>
                <w:snapToGrid w:val="0"/>
                <w:spacing w:val="-2"/>
                <w:sz w:val="19"/>
                <w:lang w:val="en-US"/>
              </w:rPr>
              <w:t xml:space="preserve">Reprint 1: The </w:t>
            </w:r>
            <w:smartTag w:uri="urn:schemas-microsoft-com:office:smarttags" w:element="Street">
              <w:smartTag w:uri="urn:schemas-microsoft-com:office:smarttags" w:element="address">
                <w:r>
                  <w:rPr>
                    <w:b/>
                    <w:i/>
                    <w:noProof/>
                    <w:snapToGrid w:val="0"/>
                    <w:sz w:val="19"/>
                  </w:rPr>
                  <w:t>Magistrates Court</w:t>
                </w:r>
              </w:smartTag>
            </w:smartTag>
            <w:r>
              <w:rPr>
                <w:b/>
                <w:i/>
                <w:noProof/>
                <w:snapToGrid w:val="0"/>
                <w:sz w:val="19"/>
              </w:rPr>
              <w:t xml:space="preserve"> (Civil Proceedings) Act 2004</w:t>
            </w:r>
            <w:r>
              <w:rPr>
                <w:b/>
                <w:snapToGrid w:val="0"/>
                <w:spacing w:val="-2"/>
                <w:sz w:val="19"/>
                <w:lang w:val="en-US"/>
              </w:rPr>
              <w:t xml:space="preserve"> as at 13 Apr</w:t>
            </w:r>
            <w:r>
              <w:rPr>
                <w:snapToGrid w:val="0"/>
                <w:spacing w:val="-2"/>
                <w:sz w:val="19"/>
                <w:lang w:val="en-US"/>
              </w:rPr>
              <w:t xml:space="preserve"> </w:t>
            </w:r>
            <w:r>
              <w:rPr>
                <w:b/>
                <w:snapToGrid w:val="0"/>
                <w:spacing w:val="-2"/>
                <w:sz w:val="19"/>
                <w:lang w:val="en-US"/>
              </w:rPr>
              <w:t xml:space="preserve">2012 </w:t>
            </w:r>
            <w:r>
              <w:rPr>
                <w:snapToGrid w:val="0"/>
                <w:spacing w:val="-2"/>
                <w:sz w:val="19"/>
                <w:lang w:val="en-US"/>
              </w:rPr>
              <w:t>(includes amendments listed above)</w:t>
            </w:r>
          </w:p>
        </w:tc>
      </w:tr>
    </w:tbl>
    <w:p>
      <w:pPr>
        <w:pStyle w:val="nSubsection"/>
        <w:spacing w:before="120"/>
        <w:ind w:left="482" w:hanging="482"/>
      </w:pPr>
      <w:r>
        <w:rPr>
          <w:vertAlign w:val="superscript"/>
        </w:rPr>
        <w:t>1a</w:t>
      </w:r>
      <w:r>
        <w:tab/>
        <w:t>On the date as at which thi</w:t>
      </w:r>
      <w:bookmarkStart w:id="526" w:name="_Hlt507390729"/>
      <w:bookmarkEnd w:id="526"/>
      <w:r>
        <w:t xml:space="preserve">s </w:t>
      </w:r>
      <w:del w:id="527" w:author="svcMRProcess" w:date="2015-11-02T00:22:00Z">
        <w:r>
          <w:delText>reprint</w:delText>
        </w:r>
      </w:del>
      <w:ins w:id="528" w:author="svcMRProcess" w:date="2015-11-02T00:22:00Z">
        <w:r>
          <w:t>compilation</w:t>
        </w:r>
      </w:ins>
      <w:r>
        <w:t xml:space="preserve"> was prepared, provisions referred to in the following table had not come into operation and were therefore not included in </w:t>
      </w:r>
      <w:del w:id="529" w:author="svcMRProcess" w:date="2015-11-02T00:22:00Z">
        <w:r>
          <w:delText>compiling the reprint.</w:delText>
        </w:r>
      </w:del>
      <w:ins w:id="530" w:author="svcMRProcess" w:date="2015-11-02T00:22:00Z">
        <w:r>
          <w:t>this compilation.</w:t>
        </w:r>
      </w:ins>
      <w:r>
        <w:t xml:space="preserve">  For the text of the provisions see the endnotes referred to in the table.</w:t>
      </w:r>
    </w:p>
    <w:p>
      <w:pPr>
        <w:pStyle w:val="nHeading3"/>
        <w:keepLines/>
      </w:pPr>
      <w:bookmarkStart w:id="531" w:name="_Toc7405065"/>
      <w:bookmarkStart w:id="532" w:name="_Toc341693310"/>
      <w:bookmarkStart w:id="533" w:name="_Toc323735244"/>
      <w:r>
        <w:t>Provisions that have not come into operation</w:t>
      </w:r>
      <w:bookmarkEnd w:id="531"/>
      <w:bookmarkEnd w:id="532"/>
      <w:bookmarkEnd w:id="5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rPr>
          <w:cantSplit/>
        </w:trPr>
        <w:tc>
          <w:tcPr>
            <w:tcW w:w="2268" w:type="dxa"/>
            <w:tcBorders>
              <w:bottom w:val="nil"/>
            </w:tcBorders>
            <w:shd w:val="clear" w:color="auto" w:fill="auto"/>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3</w:t>
            </w:r>
            <w:r>
              <w:rPr>
                <w:snapToGrid w:val="0"/>
                <w:sz w:val="19"/>
                <w:vertAlign w:val="superscript"/>
                <w:lang w:val="en-US"/>
              </w:rPr>
              <w:t> 4</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60 of 2011</w:t>
            </w:r>
          </w:p>
        </w:tc>
        <w:tc>
          <w:tcPr>
            <w:tcW w:w="1134" w:type="dxa"/>
            <w:tcBorders>
              <w:bottom w:val="nil"/>
            </w:tcBorders>
            <w:shd w:val="clear" w:color="auto" w:fill="auto"/>
          </w:tcPr>
          <w:p>
            <w:pPr>
              <w:pStyle w:val="nTable"/>
              <w:spacing w:after="40"/>
              <w:rPr>
                <w:snapToGrid w:val="0"/>
                <w:sz w:val="19"/>
                <w:lang w:val="en-US"/>
              </w:rPr>
            </w:pPr>
            <w:r>
              <w:rPr>
                <w:sz w:val="19"/>
              </w:rPr>
              <w:t>14 Dec 2011</w:t>
            </w:r>
          </w:p>
        </w:tc>
        <w:tc>
          <w:tcPr>
            <w:tcW w:w="2551" w:type="dxa"/>
            <w:tcBorders>
              <w:bottom w:val="nil"/>
            </w:tcBorders>
            <w:shd w:val="clear" w:color="auto" w:fill="auto"/>
          </w:tcPr>
          <w:p>
            <w:pPr>
              <w:pStyle w:val="nTable"/>
              <w:spacing w:after="40"/>
              <w:rPr>
                <w:snapToGrid w:val="0"/>
                <w:sz w:val="19"/>
                <w:lang w:val="en-US"/>
              </w:rPr>
            </w:pPr>
            <w:r>
              <w:rPr>
                <w:snapToGrid w:val="0"/>
                <w:sz w:val="19"/>
                <w:lang w:val="en-US"/>
              </w:rPr>
              <w:t>To be proclaimed (see s. 2(b))</w:t>
            </w:r>
          </w:p>
        </w:tc>
      </w:tr>
      <w:tr>
        <w:trPr>
          <w:cantSplit/>
          <w:ins w:id="534" w:author="svcMRProcess" w:date="2015-11-02T00:22:00Z"/>
        </w:trPr>
        <w:tc>
          <w:tcPr>
            <w:tcW w:w="2268" w:type="dxa"/>
            <w:tcBorders>
              <w:top w:val="nil"/>
            </w:tcBorders>
            <w:shd w:val="clear" w:color="auto" w:fill="auto"/>
          </w:tcPr>
          <w:p>
            <w:pPr>
              <w:pStyle w:val="nTable"/>
              <w:spacing w:after="40"/>
              <w:rPr>
                <w:ins w:id="535" w:author="svcMRProcess" w:date="2015-11-02T00:22:00Z"/>
                <w:i/>
                <w:snapToGrid w:val="0"/>
                <w:sz w:val="19"/>
                <w:lang w:val="en-US"/>
              </w:rPr>
            </w:pPr>
            <w:ins w:id="536" w:author="svcMRProcess" w:date="2015-11-02T00:22:00Z">
              <w:r>
                <w:rPr>
                  <w:i/>
                  <w:snapToGrid w:val="0"/>
                  <w:sz w:val="19"/>
                  <w:lang w:val="en-US"/>
                </w:rPr>
                <w:t>Courts Legislation Amendment Act 2012</w:t>
              </w:r>
              <w:r>
                <w:rPr>
                  <w:snapToGrid w:val="0"/>
                  <w:sz w:val="19"/>
                  <w:lang w:val="en-US"/>
                </w:rPr>
                <w:t xml:space="preserve"> Pt. 3</w:t>
              </w:r>
              <w:r>
                <w:rPr>
                  <w:snapToGrid w:val="0"/>
                  <w:sz w:val="19"/>
                  <w:vertAlign w:val="superscript"/>
                  <w:lang w:val="en-US"/>
                </w:rPr>
                <w:t> 5</w:t>
              </w:r>
            </w:ins>
          </w:p>
        </w:tc>
        <w:tc>
          <w:tcPr>
            <w:tcW w:w="1134" w:type="dxa"/>
            <w:tcBorders>
              <w:top w:val="nil"/>
            </w:tcBorders>
            <w:shd w:val="clear" w:color="auto" w:fill="auto"/>
          </w:tcPr>
          <w:p>
            <w:pPr>
              <w:pStyle w:val="nTable"/>
              <w:spacing w:after="40"/>
              <w:rPr>
                <w:ins w:id="537" w:author="svcMRProcess" w:date="2015-11-02T00:22:00Z"/>
                <w:snapToGrid w:val="0"/>
                <w:sz w:val="19"/>
                <w:lang w:val="en-US"/>
              </w:rPr>
            </w:pPr>
            <w:ins w:id="538" w:author="svcMRProcess" w:date="2015-11-02T00:22:00Z">
              <w:r>
                <w:rPr>
                  <w:snapToGrid w:val="0"/>
                  <w:sz w:val="19"/>
                  <w:lang w:val="en-US"/>
                </w:rPr>
                <w:t>43 of 2012</w:t>
              </w:r>
            </w:ins>
          </w:p>
        </w:tc>
        <w:tc>
          <w:tcPr>
            <w:tcW w:w="1134" w:type="dxa"/>
            <w:tcBorders>
              <w:top w:val="nil"/>
            </w:tcBorders>
            <w:shd w:val="clear" w:color="auto" w:fill="auto"/>
          </w:tcPr>
          <w:p>
            <w:pPr>
              <w:pStyle w:val="nTable"/>
              <w:spacing w:after="40"/>
              <w:rPr>
                <w:ins w:id="539" w:author="svcMRProcess" w:date="2015-11-02T00:22:00Z"/>
                <w:sz w:val="19"/>
              </w:rPr>
            </w:pPr>
            <w:ins w:id="540" w:author="svcMRProcess" w:date="2015-11-02T00:22:00Z">
              <w:r>
                <w:rPr>
                  <w:sz w:val="19"/>
                </w:rPr>
                <w:t>22 Nov 2012</w:t>
              </w:r>
            </w:ins>
          </w:p>
        </w:tc>
        <w:tc>
          <w:tcPr>
            <w:tcW w:w="2551" w:type="dxa"/>
            <w:tcBorders>
              <w:top w:val="nil"/>
            </w:tcBorders>
            <w:shd w:val="clear" w:color="auto" w:fill="auto"/>
          </w:tcPr>
          <w:p>
            <w:pPr>
              <w:pStyle w:val="nTable"/>
              <w:spacing w:after="40"/>
              <w:rPr>
                <w:ins w:id="541" w:author="svcMRProcess" w:date="2015-11-02T00:22:00Z"/>
                <w:snapToGrid w:val="0"/>
                <w:sz w:val="19"/>
                <w:lang w:val="en-US"/>
              </w:rPr>
            </w:pPr>
            <w:ins w:id="542" w:author="svcMRProcess" w:date="2015-11-02T00:22:00Z">
              <w:r>
                <w:rPr>
                  <w:snapToGrid w:val="0"/>
                  <w:sz w:val="19"/>
                  <w:lang w:val="en-US"/>
                </w:rPr>
                <w:t>To be proclaimed (see s. 2(b))</w:t>
              </w:r>
            </w:ins>
          </w:p>
        </w:tc>
      </w:tr>
    </w:tbl>
    <w:p>
      <w:pPr>
        <w:pStyle w:val="nSubsection"/>
        <w:tabs>
          <w:tab w:val="clear" w:pos="454"/>
          <w:tab w:val="left" w:pos="567"/>
        </w:tabs>
        <w:spacing w:before="120"/>
        <w:ind w:left="567" w:hanging="567"/>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Subsection"/>
        <w:tabs>
          <w:tab w:val="clear" w:pos="454"/>
          <w:tab w:val="left" w:pos="567"/>
        </w:tabs>
        <w:spacing w:before="120"/>
        <w:ind w:left="567" w:hanging="567"/>
        <w:rPr>
          <w:snapToGrid w:val="0"/>
          <w:vertAlign w:val="superscript"/>
        </w:rPr>
      </w:pPr>
      <w:r>
        <w:rPr>
          <w:vertAlign w:val="superscript"/>
        </w:rPr>
        <w:t>3</w:t>
      </w:r>
      <w:r>
        <w:tab/>
        <w:t xml:space="preserve">Repealed </w:t>
      </w:r>
      <w:r>
        <w:rPr>
          <w:snapToGrid w:val="0"/>
          <w:lang w:val="en-US"/>
        </w:rPr>
        <w:t>by</w:t>
      </w:r>
      <w:r>
        <w:t xml:space="preserve"> the</w:t>
      </w:r>
      <w:r>
        <w:rPr>
          <w:i/>
          <w:color w:val="000000"/>
        </w:rPr>
        <w:t xml:space="preserve"> Courts Legislation Amendment and Repeal Act 2004.</w:t>
      </w:r>
    </w:p>
    <w:p>
      <w:pPr>
        <w:pStyle w:val="nSubsection"/>
        <w:tabs>
          <w:tab w:val="clear" w:pos="454"/>
          <w:tab w:val="left" w:pos="567"/>
        </w:tabs>
        <w:spacing w:before="120"/>
        <w:ind w:left="567" w:hanging="567"/>
        <w:rPr>
          <w:snapToGrid w:val="0"/>
        </w:rPr>
      </w:pPr>
      <w:r>
        <w:rPr>
          <w:snapToGrid w:val="0"/>
          <w:vertAlign w:val="superscript"/>
        </w:rPr>
        <w:t>4</w:t>
      </w:r>
      <w:r>
        <w:rPr>
          <w:snapToGrid w:val="0"/>
        </w:rPr>
        <w:tab/>
      </w:r>
      <w:r>
        <w:t xml:space="preserve">On </w:t>
      </w:r>
      <w:r>
        <w:rPr>
          <w:snapToGrid w:val="0"/>
        </w:rPr>
        <w:t>the</w:t>
      </w:r>
      <w:r>
        <w:t xml:space="preserve"> date as at which this </w:t>
      </w:r>
      <w:del w:id="543" w:author="svcMRProcess" w:date="2015-11-02T00:22:00Z">
        <w:r>
          <w:delText>reprint</w:delText>
        </w:r>
      </w:del>
      <w:ins w:id="544" w:author="svcMRProcess" w:date="2015-11-02T00:22:00Z">
        <w:r>
          <w:t>compilation</w:t>
        </w:r>
      </w:ins>
      <w:r>
        <w:t xml:space="preserve"> was prepared, </w:t>
      </w:r>
      <w:r>
        <w:rPr>
          <w:snapToGrid w:val="0"/>
        </w:rPr>
        <w:t xml:space="preserve">the </w:t>
      </w:r>
      <w:r>
        <w:rPr>
          <w:i/>
          <w:snapToGrid w:val="0"/>
          <w:lang w:val="en-US"/>
        </w:rPr>
        <w:t xml:space="preserve">Residential Tenancies Amendment Act 2011 </w:t>
      </w:r>
      <w:r>
        <w:rPr>
          <w:snapToGrid w:val="0"/>
          <w:lang w:val="en-US"/>
        </w:rPr>
        <w:t>Pt. 5 Div. 3</w:t>
      </w:r>
      <w:r>
        <w:rPr>
          <w:snapToGrid w:val="0"/>
        </w:rPr>
        <w:t xml:space="preserve"> had not come into operation.  It reads as follows:</w:t>
      </w:r>
    </w:p>
    <w:p>
      <w:pPr>
        <w:pStyle w:val="BlankOpen"/>
        <w:rPr>
          <w:snapToGrid w:val="0"/>
        </w:rPr>
      </w:pPr>
    </w:p>
    <w:p>
      <w:pPr>
        <w:pStyle w:val="nzHeading2"/>
      </w:pPr>
      <w:bookmarkStart w:id="545" w:name="_Toc290019981"/>
      <w:bookmarkStart w:id="546" w:name="_Toc290020341"/>
      <w:bookmarkStart w:id="547" w:name="_Toc290023102"/>
      <w:bookmarkStart w:id="548" w:name="_Toc303116713"/>
      <w:bookmarkStart w:id="549" w:name="_Toc303118381"/>
      <w:bookmarkStart w:id="550" w:name="_Toc310853248"/>
      <w:bookmarkStart w:id="551" w:name="_Toc310854623"/>
      <w:bookmarkStart w:id="552" w:name="_Toc310856162"/>
      <w:bookmarkStart w:id="553" w:name="_Toc310858696"/>
      <w:bookmarkStart w:id="554" w:name="_Toc310863723"/>
      <w:bookmarkStart w:id="555" w:name="_Toc310938342"/>
      <w:bookmarkStart w:id="556" w:name="_Toc310945867"/>
      <w:bookmarkStart w:id="557" w:name="_Toc310946604"/>
      <w:bookmarkStart w:id="558" w:name="_Toc311724503"/>
      <w:bookmarkStart w:id="559" w:name="_Toc311724717"/>
      <w:bookmarkStart w:id="560" w:name="_Toc311730093"/>
      <w:bookmarkStart w:id="561" w:name="_Toc311730307"/>
      <w:bookmarkStart w:id="562" w:name="_Toc311730521"/>
      <w:bookmarkStart w:id="563" w:name="_Toc312050639"/>
      <w:bookmarkStart w:id="564" w:name="_Toc312050853"/>
      <w:bookmarkStart w:id="565" w:name="_Toc290019988"/>
      <w:bookmarkStart w:id="566" w:name="_Toc290020348"/>
      <w:bookmarkStart w:id="567" w:name="_Toc290023109"/>
      <w:bookmarkStart w:id="568" w:name="_Toc303116720"/>
      <w:bookmarkStart w:id="569" w:name="_Toc303118388"/>
      <w:bookmarkStart w:id="570" w:name="_Toc310853255"/>
      <w:bookmarkStart w:id="571" w:name="_Toc310854630"/>
      <w:bookmarkStart w:id="572" w:name="_Toc310856169"/>
      <w:bookmarkStart w:id="573" w:name="_Toc310858703"/>
      <w:bookmarkStart w:id="574" w:name="_Toc310863730"/>
      <w:bookmarkStart w:id="575" w:name="_Toc310938349"/>
      <w:bookmarkStart w:id="576" w:name="_Toc310945874"/>
      <w:bookmarkStart w:id="577" w:name="_Toc310946611"/>
      <w:bookmarkStart w:id="578" w:name="_Toc311724510"/>
      <w:bookmarkStart w:id="579" w:name="_Toc311724724"/>
      <w:bookmarkStart w:id="580" w:name="_Toc311730100"/>
      <w:bookmarkStart w:id="581" w:name="_Toc311730314"/>
      <w:bookmarkStart w:id="582" w:name="_Toc311730528"/>
      <w:bookmarkStart w:id="583" w:name="_Toc312050646"/>
      <w:bookmarkStart w:id="584" w:name="_Toc312050860"/>
      <w:r>
        <w:rPr>
          <w:rStyle w:val="CharPartNo"/>
        </w:rPr>
        <w:t>Part 5</w:t>
      </w:r>
      <w:r>
        <w:t> — </w:t>
      </w:r>
      <w:r>
        <w:rPr>
          <w:rStyle w:val="CharPartText"/>
        </w:rPr>
        <w:t>Amendments to other Acts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3"/>
      </w:pPr>
      <w:r>
        <w:rPr>
          <w:rStyle w:val="CharDivNo"/>
        </w:rPr>
        <w:t>Division 3</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(Civil Proceedings) Act 2004</w:t>
      </w:r>
      <w:r>
        <w:rPr>
          <w:rStyle w:val="CharDivText"/>
        </w:rPr>
        <w:t> amended</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nzHeading5"/>
        <w:rPr>
          <w:snapToGrid w:val="0"/>
        </w:rPr>
      </w:pPr>
      <w:bookmarkStart w:id="585" w:name="_Toc311730315"/>
      <w:bookmarkStart w:id="586" w:name="_Toc312050861"/>
      <w:r>
        <w:rPr>
          <w:rStyle w:val="CharSectno"/>
        </w:rPr>
        <w:t>101</w:t>
      </w:r>
      <w:r>
        <w:rPr>
          <w:snapToGrid w:val="0"/>
        </w:rPr>
        <w:t>.</w:t>
      </w:r>
      <w:r>
        <w:rPr>
          <w:snapToGrid w:val="0"/>
        </w:rPr>
        <w:tab/>
        <w:t>Act amended</w:t>
      </w:r>
      <w:bookmarkEnd w:id="585"/>
      <w:bookmarkEnd w:id="586"/>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nzHeading5"/>
      </w:pPr>
      <w:bookmarkStart w:id="587" w:name="_Toc311730316"/>
      <w:bookmarkStart w:id="588" w:name="_Toc312050862"/>
      <w:r>
        <w:rPr>
          <w:rStyle w:val="CharSectno"/>
        </w:rPr>
        <w:t>102</w:t>
      </w:r>
      <w:r>
        <w:t>.</w:t>
      </w:r>
      <w:r>
        <w:tab/>
        <w:t>Section 7 amended</w:t>
      </w:r>
      <w:bookmarkEnd w:id="587"/>
      <w:bookmarkEnd w:id="588"/>
    </w:p>
    <w:p>
      <w:pPr>
        <w:pStyle w:val="nzSubsection"/>
      </w:pPr>
      <w:r>
        <w:tab/>
      </w:r>
      <w:r>
        <w:tab/>
        <w:t xml:space="preserve">In section 7(1) in the definition of </w:t>
      </w:r>
      <w:r>
        <w:rPr>
          <w:b/>
          <w:i/>
        </w:rPr>
        <w:t>trader</w:t>
      </w:r>
      <w:r>
        <w:t xml:space="preserve"> delete “an owner” and insert</w:t>
      </w:r>
    </w:p>
    <w:p>
      <w:pPr>
        <w:pStyle w:val="BlankOpen"/>
      </w:pPr>
    </w:p>
    <w:p>
      <w:pPr>
        <w:pStyle w:val="nzSubsection"/>
      </w:pPr>
      <w:r>
        <w:tab/>
      </w:r>
      <w:r>
        <w:tab/>
        <w:t>a lessor</w:t>
      </w:r>
    </w:p>
    <w:p>
      <w:pPr>
        <w:pStyle w:val="BlankClose"/>
      </w:pPr>
    </w:p>
    <w:p>
      <w:pPr>
        <w:pStyle w:val="nSubsection"/>
        <w:keepNext/>
        <w:spacing w:before="160"/>
        <w:rPr>
          <w:ins w:id="589" w:author="svcMRProcess" w:date="2015-11-02T00:22:00Z"/>
          <w:snapToGrid w:val="0"/>
        </w:rPr>
      </w:pPr>
      <w:ins w:id="590" w:author="svcMRProcess" w:date="2015-11-02T00:22:00Z">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Courts Legislation Amendment Act 2012</w:t>
        </w:r>
        <w:r>
          <w:rPr>
            <w:snapToGrid w:val="0"/>
          </w:rPr>
          <w:t xml:space="preserve"> Pt. 3 had not come into operation.  It reads as follows:</w:t>
        </w:r>
        <w:r>
          <w:t xml:space="preserve"> </w:t>
        </w:r>
      </w:ins>
    </w:p>
    <w:p>
      <w:pPr>
        <w:pStyle w:val="BlankOpen"/>
        <w:rPr>
          <w:ins w:id="591" w:author="svcMRProcess" w:date="2015-11-02T00:22:00Z"/>
        </w:rPr>
      </w:pPr>
    </w:p>
    <w:p>
      <w:pPr>
        <w:pStyle w:val="nzHeading2"/>
        <w:rPr>
          <w:ins w:id="592" w:author="svcMRProcess" w:date="2015-11-02T00:22:00Z"/>
        </w:rPr>
      </w:pPr>
      <w:bookmarkStart w:id="593" w:name="_Toc313975816"/>
      <w:bookmarkStart w:id="594" w:name="_Toc313975897"/>
      <w:bookmarkStart w:id="595" w:name="_Toc314470056"/>
      <w:bookmarkStart w:id="596" w:name="_Toc314491989"/>
      <w:bookmarkStart w:id="597" w:name="_Toc314492606"/>
      <w:bookmarkStart w:id="598" w:name="_Toc314556948"/>
      <w:bookmarkStart w:id="599" w:name="_Toc314557061"/>
      <w:bookmarkStart w:id="600" w:name="_Toc314557834"/>
      <w:bookmarkStart w:id="601" w:name="_Toc314559376"/>
      <w:bookmarkStart w:id="602" w:name="_Toc314559521"/>
      <w:bookmarkStart w:id="603" w:name="_Toc315096152"/>
      <w:bookmarkStart w:id="604" w:name="_Toc315097053"/>
      <w:bookmarkStart w:id="605" w:name="_Toc315962932"/>
      <w:bookmarkStart w:id="606" w:name="_Toc315963277"/>
      <w:bookmarkStart w:id="607" w:name="_Toc315963341"/>
      <w:bookmarkStart w:id="608" w:name="_Toc315963602"/>
      <w:bookmarkStart w:id="609" w:name="_Toc315963614"/>
      <w:bookmarkStart w:id="610" w:name="_Toc335049226"/>
      <w:bookmarkStart w:id="611" w:name="_Toc335051149"/>
      <w:bookmarkStart w:id="612" w:name="_Toc335051159"/>
      <w:bookmarkStart w:id="613" w:name="_Toc335051296"/>
      <w:bookmarkStart w:id="614" w:name="_Toc340155956"/>
      <w:bookmarkStart w:id="615" w:name="_Toc340155969"/>
      <w:ins w:id="616" w:author="svcMRProcess" w:date="2015-11-02T00:22:00Z">
        <w:r>
          <w:rPr>
            <w:rStyle w:val="CharPartNo"/>
          </w:rPr>
          <w:t>Part 3</w:t>
        </w:r>
        <w:r>
          <w:rPr>
            <w:rStyle w:val="CharDivNo"/>
          </w:rPr>
          <w:t> </w:t>
        </w:r>
        <w:r>
          <w:t>—</w:t>
        </w:r>
        <w:r>
          <w:rPr>
            <w:rStyle w:val="CharDivText"/>
          </w:rPr>
          <w:t> </w:t>
        </w:r>
        <w:r>
          <w:rPr>
            <w:rStyle w:val="CharPartText"/>
            <w:i/>
          </w:rPr>
          <w:t>Magistrates Court (Civil Proceedings) Act 2004</w:t>
        </w:r>
        <w:r>
          <w:rPr>
            <w:rStyle w:val="CharPartText"/>
          </w:rPr>
          <w:t xml:space="preserve"> amended</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ins>
    </w:p>
    <w:p>
      <w:pPr>
        <w:pStyle w:val="nzHeading5"/>
        <w:rPr>
          <w:ins w:id="617" w:author="svcMRProcess" w:date="2015-11-02T00:22:00Z"/>
          <w:snapToGrid w:val="0"/>
        </w:rPr>
      </w:pPr>
      <w:bookmarkStart w:id="618" w:name="_Toc340155970"/>
      <w:ins w:id="619" w:author="svcMRProcess" w:date="2015-11-02T00:22:00Z">
        <w:r>
          <w:rPr>
            <w:rStyle w:val="CharSectno"/>
          </w:rPr>
          <w:t>5</w:t>
        </w:r>
        <w:r>
          <w:rPr>
            <w:snapToGrid w:val="0"/>
          </w:rPr>
          <w:t>.</w:t>
        </w:r>
        <w:r>
          <w:rPr>
            <w:snapToGrid w:val="0"/>
          </w:rPr>
          <w:tab/>
          <w:t>Act amended</w:t>
        </w:r>
        <w:bookmarkEnd w:id="618"/>
      </w:ins>
    </w:p>
    <w:p>
      <w:pPr>
        <w:pStyle w:val="nzSubsection"/>
        <w:rPr>
          <w:ins w:id="620" w:author="svcMRProcess" w:date="2015-11-02T00:22:00Z"/>
        </w:rPr>
      </w:pPr>
      <w:ins w:id="621" w:author="svcMRProcess" w:date="2015-11-02T00:22:00Z">
        <w:r>
          <w:tab/>
        </w:r>
        <w:r>
          <w:tab/>
          <w:t xml:space="preserve">This Part amends the </w:t>
        </w:r>
        <w:r>
          <w:rPr>
            <w:i/>
          </w:rPr>
          <w:t>Magistrates Court (Civil Proceedings) Act 2004</w:t>
        </w:r>
        <w:r>
          <w:t>.</w:t>
        </w:r>
      </w:ins>
    </w:p>
    <w:p>
      <w:pPr>
        <w:pStyle w:val="nzHeading5"/>
        <w:rPr>
          <w:ins w:id="622" w:author="svcMRProcess" w:date="2015-11-02T00:22:00Z"/>
        </w:rPr>
      </w:pPr>
      <w:bookmarkStart w:id="623" w:name="_Toc340155971"/>
      <w:ins w:id="624" w:author="svcMRProcess" w:date="2015-11-02T00:22:00Z">
        <w:r>
          <w:rPr>
            <w:rStyle w:val="CharSectno"/>
          </w:rPr>
          <w:t>6</w:t>
        </w:r>
        <w:r>
          <w:t>.</w:t>
        </w:r>
        <w:r>
          <w:tab/>
          <w:t>Section 40 amended</w:t>
        </w:r>
        <w:bookmarkEnd w:id="623"/>
      </w:ins>
    </w:p>
    <w:p>
      <w:pPr>
        <w:pStyle w:val="nzSubsection"/>
        <w:rPr>
          <w:ins w:id="625" w:author="svcMRProcess" w:date="2015-11-02T00:22:00Z"/>
        </w:rPr>
      </w:pPr>
      <w:ins w:id="626" w:author="svcMRProcess" w:date="2015-11-02T00:22:00Z">
        <w:r>
          <w:tab/>
        </w:r>
        <w:r>
          <w:tab/>
          <w:t>Delete section 40(3) and insert:</w:t>
        </w:r>
      </w:ins>
    </w:p>
    <w:p>
      <w:pPr>
        <w:pStyle w:val="BlankOpen"/>
        <w:rPr>
          <w:ins w:id="627" w:author="svcMRProcess" w:date="2015-11-02T00:22:00Z"/>
        </w:rPr>
      </w:pPr>
    </w:p>
    <w:p>
      <w:pPr>
        <w:pStyle w:val="nzSubsection"/>
        <w:rPr>
          <w:ins w:id="628" w:author="svcMRProcess" w:date="2015-11-02T00:22:00Z"/>
        </w:rPr>
      </w:pPr>
      <w:ins w:id="629" w:author="svcMRProcess" w:date="2015-11-02T00:22:00Z">
        <w:r>
          <w:tab/>
          <w:t>(3)</w:t>
        </w:r>
        <w:r>
          <w:tab/>
          <w:t>An appeal cannot be commenced more than 21 days after the date of judgment, unless the District Court gives leave to do so.</w:t>
        </w:r>
      </w:ins>
    </w:p>
    <w:p>
      <w:pPr>
        <w:pStyle w:val="nzSubsection"/>
        <w:rPr>
          <w:ins w:id="630" w:author="svcMRProcess" w:date="2015-11-02T00:22:00Z"/>
        </w:rPr>
      </w:pPr>
      <w:ins w:id="631" w:author="svcMRProcess" w:date="2015-11-02T00:22:00Z">
        <w:r>
          <w:tab/>
          <w:t>(4A)</w:t>
        </w:r>
        <w:r>
          <w:tab/>
          <w:t>The appeal must be conducted in accordance with rules of court made by the District Court.</w:t>
        </w:r>
      </w:ins>
    </w:p>
    <w:p>
      <w:pPr>
        <w:pStyle w:val="BlankClose"/>
        <w:rPr>
          <w:ins w:id="632" w:author="svcMRProcess" w:date="2015-11-02T00:22:00Z"/>
        </w:rPr>
      </w:pPr>
    </w:p>
    <w:p>
      <w:pPr>
        <w:pStyle w:val="nzHeading5"/>
        <w:rPr>
          <w:ins w:id="633" w:author="svcMRProcess" w:date="2015-11-02T00:22:00Z"/>
        </w:rPr>
      </w:pPr>
      <w:bookmarkStart w:id="634" w:name="_Toc340155972"/>
      <w:ins w:id="635" w:author="svcMRProcess" w:date="2015-11-02T00:22:00Z">
        <w:r>
          <w:rPr>
            <w:rStyle w:val="CharSectno"/>
          </w:rPr>
          <w:t>7</w:t>
        </w:r>
        <w:r>
          <w:t>.</w:t>
        </w:r>
        <w:r>
          <w:tab/>
          <w:t>Section 42 amended</w:t>
        </w:r>
        <w:bookmarkEnd w:id="634"/>
      </w:ins>
    </w:p>
    <w:p>
      <w:pPr>
        <w:pStyle w:val="nzSubsection"/>
        <w:rPr>
          <w:ins w:id="636" w:author="svcMRProcess" w:date="2015-11-02T00:22:00Z"/>
        </w:rPr>
      </w:pPr>
      <w:ins w:id="637" w:author="svcMRProcess" w:date="2015-11-02T00:22:00Z">
        <w:r>
          <w:tab/>
        </w:r>
        <w:r>
          <w:tab/>
          <w:t>Delete section 42(2) and insert:</w:t>
        </w:r>
      </w:ins>
    </w:p>
    <w:p>
      <w:pPr>
        <w:pStyle w:val="BlankOpen"/>
        <w:rPr>
          <w:ins w:id="638" w:author="svcMRProcess" w:date="2015-11-02T00:22:00Z"/>
        </w:rPr>
      </w:pPr>
    </w:p>
    <w:p>
      <w:pPr>
        <w:pStyle w:val="nzSubsection"/>
        <w:rPr>
          <w:ins w:id="639" w:author="svcMRProcess" w:date="2015-11-02T00:22:00Z"/>
        </w:rPr>
      </w:pPr>
      <w:ins w:id="640" w:author="svcMRProcess" w:date="2015-11-02T00:22:00Z">
        <w:r>
          <w:tab/>
          <w:t>(2)</w:t>
        </w:r>
        <w:r>
          <w:tab/>
          <w:t>An appeal cannot be commenced more than 21 days after the date of judgment, unless the Court of Appeal gives leave to do so.</w:t>
        </w:r>
      </w:ins>
    </w:p>
    <w:p>
      <w:pPr>
        <w:pStyle w:val="nzSubsection"/>
        <w:rPr>
          <w:ins w:id="641" w:author="svcMRProcess" w:date="2015-11-02T00:22:00Z"/>
        </w:rPr>
      </w:pPr>
      <w:ins w:id="642" w:author="svcMRProcess" w:date="2015-11-02T00:22:00Z">
        <w:r>
          <w:tab/>
          <w:t>(3A)</w:t>
        </w:r>
        <w:r>
          <w:tab/>
          <w:t>The appeal must be conducted in accordance with rules of court made by the Supreme Court.</w:t>
        </w:r>
      </w:ins>
    </w:p>
    <w:p>
      <w:pPr>
        <w:pStyle w:val="BlankClose"/>
        <w:rPr>
          <w:ins w:id="643" w:author="svcMRProcess" w:date="2015-11-02T00:22:00Z"/>
        </w:rPr>
      </w:pPr>
    </w:p>
    <w:p>
      <w:pPr>
        <w:pStyle w:val="BlankClose"/>
        <w:rPr>
          <w:ins w:id="644" w:author="svcMRProcess" w:date="2015-11-02T00:22:00Z"/>
        </w:rPr>
      </w:pPr>
    </w:p>
    <w:p>
      <w:pPr>
        <w:rPr>
          <w:ins w:id="645" w:author="svcMRProcess" w:date="2015-11-02T00:22:00Z"/>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23"/>
  </w:num>
  <w:num w:numId="15">
    <w:abstractNumId w:val="26"/>
  </w:num>
  <w:num w:numId="16">
    <w:abstractNumId w:val="13"/>
  </w:num>
  <w:num w:numId="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10579</Words>
  <Characters>47712</Characters>
  <Application>Microsoft Office Word</Application>
  <DocSecurity>0</DocSecurity>
  <Lines>1289</Lines>
  <Paragraphs>737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lpstr>    Defined Terms</vt:lpstr>
    </vt:vector>
  </TitlesOfParts>
  <Manager/>
  <Company/>
  <LinksUpToDate>false</LinksUpToDate>
  <CharactersWithSpaces>57554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01-a0-01 - 01-b0-01</dc:title>
  <dc:subject/>
  <dc:creator/>
  <cp:keywords/>
  <dc:description/>
  <cp:lastModifiedBy>svcMRProcess</cp:lastModifiedBy>
  <cp:revision>2</cp:revision>
  <cp:lastPrinted>2012-05-01T02:13:00Z</cp:lastPrinted>
  <dcterms:created xsi:type="dcterms:W3CDTF">2015-11-01T16:22:00Z</dcterms:created>
  <dcterms:modified xsi:type="dcterms:W3CDTF">2015-11-01T16:22:00Z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9258</vt:i4>
  </property>
  <property fmtid="{D5CDD505-2E9C-101B-9397-08002B2CF9AE}" pid="6" name="ReprintNo">
    <vt:lpwstr>1</vt:lpwstr>
  </property>
  <property fmtid="{D5CDD505-2E9C-101B-9397-08002B2CF9AE}" pid="7" name="ReprintedAsAt">
    <vt:filetime>2012-04-12T16:00:00Z</vt:filetime>
  </property>
  <property fmtid="{D5CDD505-2E9C-101B-9397-08002B2CF9AE}" pid="8" name="FromSuffix">
    <vt:lpwstr>01-a0-01</vt:lpwstr>
  </property>
  <property fmtid="{D5CDD505-2E9C-101B-9397-08002B2CF9AE}" pid="9" name="FromAsAtDate">
    <vt:lpwstr>13 Apr 2012</vt:lpwstr>
  </property>
  <property fmtid="{D5CDD505-2E9C-101B-9397-08002B2CF9AE}" pid="10" name="ToSuffix">
    <vt:lpwstr>01-b0-01</vt:lpwstr>
  </property>
  <property fmtid="{D5CDD505-2E9C-101B-9397-08002B2CF9AE}" pid="11" name="ToAsAtDate">
    <vt:lpwstr>22 Nov 2012</vt:lpwstr>
  </property>
</Properties>
</file>