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0" w:name="_Toc434805144"/>
      <w:bookmarkStart w:id="1" w:name="_Toc524505949"/>
      <w:bookmarkStart w:id="2" w:name="_Toc525362005"/>
      <w:bookmarkStart w:id="3" w:name="_Toc95632708"/>
      <w:bookmarkStart w:id="4" w:name="_Toc28062174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6" w:name="_Toc434805145"/>
      <w:bookmarkStart w:id="7" w:name="_Toc524505950"/>
      <w:bookmarkStart w:id="8" w:name="_Toc525362006"/>
      <w:bookmarkStart w:id="9" w:name="_Toc95632709"/>
      <w:bookmarkStart w:id="10" w:name="_Toc28062174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11" w:name="endcomma"/>
      <w:bookmarkEnd w:id="11"/>
      <w:r>
        <w:rPr>
          <w:rStyle w:val="CharDefText"/>
        </w:rPr>
        <w:t>the Act</w:t>
      </w:r>
      <w:r>
        <w:t xml:space="preserve"> </w:t>
      </w:r>
      <w:bookmarkStart w:id="12" w:name="comma"/>
      <w:bookmarkEnd w:id="12"/>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13" w:name="_Toc434805146"/>
      <w:bookmarkStart w:id="14" w:name="_Toc524505951"/>
      <w:bookmarkStart w:id="15" w:name="_Toc525362007"/>
      <w:bookmarkStart w:id="16" w:name="_Toc95632710"/>
      <w:bookmarkStart w:id="17" w:name="_Toc280621748"/>
      <w:r>
        <w:rPr>
          <w:rStyle w:val="CharSectno"/>
        </w:rPr>
        <w:lastRenderedPageBreak/>
        <w:t>3</w:t>
      </w:r>
      <w:r>
        <w:rPr>
          <w:snapToGrid w:val="0"/>
        </w:rPr>
        <w:t>.</w:t>
      </w:r>
      <w:r>
        <w:rPr>
          <w:snapToGrid w:val="0"/>
        </w:rPr>
        <w:tab/>
        <w:t>Quarantine notice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lang w:val="fr-FR"/>
        </w:rPr>
      </w:pPr>
      <w:r>
        <w:rPr>
          <w:snapToGrid w:val="0"/>
        </w:rPr>
        <w:tab/>
      </w:r>
      <w:r>
        <w:rPr>
          <w:snapToGrid w:val="0"/>
          <w:lang w:val="fr-FR"/>
        </w:rPr>
        <w:t>(c)</w:t>
      </w:r>
      <w:r>
        <w:rPr>
          <w:snapToGrid w:val="0"/>
          <w:lang w:val="fr-FR"/>
        </w:rPr>
        <w:tab/>
        <w:t>animal excrement;</w:t>
      </w:r>
    </w:p>
    <w:p>
      <w:pPr>
        <w:pStyle w:val="Indenta"/>
        <w:rPr>
          <w:snapToGrid w:val="0"/>
          <w:lang w:val="fr-FR"/>
        </w:rPr>
      </w:pPr>
      <w:r>
        <w:rPr>
          <w:snapToGrid w:val="0"/>
          <w:lang w:val="fr-FR"/>
        </w:rPr>
        <w:tab/>
        <w:t>(d)</w:t>
      </w:r>
      <w:r>
        <w:rPr>
          <w:snapToGrid w:val="0"/>
          <w:lang w:val="fr-FR"/>
        </w:rPr>
        <w:tab/>
        <w:t>soil;</w:t>
      </w:r>
    </w:p>
    <w:p>
      <w:pPr>
        <w:pStyle w:val="Indenta"/>
        <w:rPr>
          <w:snapToGrid w:val="0"/>
        </w:rPr>
      </w:pPr>
      <w:r>
        <w:rPr>
          <w:snapToGrid w:val="0"/>
          <w:lang w:val="fr-FR"/>
        </w:rPr>
        <w:tab/>
      </w:r>
      <w:r>
        <w:rPr>
          <w:snapToGrid w:val="0"/>
        </w:rPr>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w:t>
      </w:r>
      <w:r>
        <w:t xml:space="preserve"> a fine of $2 000</w:t>
      </w:r>
      <w:r>
        <w:rPr>
          <w:snapToGrid w:val="0"/>
        </w:rPr>
        <w:t>.</w:t>
      </w:r>
    </w:p>
    <w:p>
      <w:pPr>
        <w:pStyle w:val="Footnotesection"/>
      </w:pPr>
      <w:r>
        <w:tab/>
        <w:t>[Regulation 3 amended in Gazette 11 Jul 2003 p. 2740; 8 Feb 2005 p. 647; 17 Dec 2010 p. 6426.]</w:t>
      </w:r>
    </w:p>
    <w:p>
      <w:pPr>
        <w:pStyle w:val="Heading5"/>
        <w:rPr>
          <w:snapToGrid w:val="0"/>
        </w:rPr>
      </w:pPr>
      <w:bookmarkStart w:id="18" w:name="_Toc434805147"/>
      <w:bookmarkStart w:id="19" w:name="_Toc524505952"/>
      <w:bookmarkStart w:id="20" w:name="_Toc525362008"/>
      <w:bookmarkStart w:id="21" w:name="_Toc95632711"/>
      <w:bookmarkStart w:id="22" w:name="_Toc280621749"/>
      <w:r>
        <w:rPr>
          <w:rStyle w:val="CharSectno"/>
        </w:rPr>
        <w:t>4</w:t>
      </w:r>
      <w:r>
        <w:rPr>
          <w:snapToGrid w:val="0"/>
        </w:rPr>
        <w:t>.</w:t>
      </w:r>
      <w:r>
        <w:rPr>
          <w:snapToGrid w:val="0"/>
        </w:rPr>
        <w:tab/>
        <w:t>Warning</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 xml:space="preserve">under regulation 3, shall erect signs in accordance with subregulation (2) if the </w:t>
      </w:r>
      <w:r>
        <w:t>Director General</w:t>
      </w:r>
      <w:r>
        <w:rPr>
          <w:snapToGrid w:val="0"/>
        </w:rPr>
        <w:t xml:space="preserve">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r>
        <w:t>Director General</w:t>
      </w:r>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r>
        <w:t>Director General</w:t>
      </w:r>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4 amended in Gazette 8 Nov 1985 p. 4297; 17 Dec 2010 p. 6426-7.] </w:t>
      </w:r>
    </w:p>
    <w:p>
      <w:pPr>
        <w:pStyle w:val="Heading5"/>
        <w:spacing w:before="180"/>
        <w:rPr>
          <w:snapToGrid w:val="0"/>
        </w:rPr>
      </w:pPr>
      <w:bookmarkStart w:id="23" w:name="_Toc434805148"/>
      <w:bookmarkStart w:id="24" w:name="_Toc524505953"/>
      <w:bookmarkStart w:id="25" w:name="_Toc525362009"/>
      <w:bookmarkStart w:id="26" w:name="_Toc95632712"/>
      <w:bookmarkStart w:id="27" w:name="_Toc280621750"/>
      <w:r>
        <w:rPr>
          <w:rStyle w:val="CharSectno"/>
        </w:rPr>
        <w:t>5</w:t>
      </w:r>
      <w:r>
        <w:rPr>
          <w:snapToGrid w:val="0"/>
        </w:rPr>
        <w:t>.</w:t>
      </w:r>
      <w:r>
        <w:rPr>
          <w:snapToGrid w:val="0"/>
        </w:rPr>
        <w:tab/>
        <w:t>Movement from quarantined land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w:t>
      </w:r>
      <w:r>
        <w:t xml:space="preserve"> a fine of $2 000</w:t>
      </w:r>
      <w:r>
        <w:rPr>
          <w:snapToGrid w:val="0"/>
        </w:rPr>
        <w:t>.</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w:t>
      </w:r>
      <w:r>
        <w:t xml:space="preserve"> a fine of $2 000</w:t>
      </w:r>
      <w:r>
        <w:rPr>
          <w:snapToGrid w:val="0"/>
        </w:rPr>
        <w:t>.</w:t>
      </w:r>
    </w:p>
    <w:p>
      <w:pPr>
        <w:pStyle w:val="Footnotesection"/>
        <w:keepLines w:val="0"/>
        <w:spacing w:before="80"/>
        <w:ind w:left="890" w:hanging="890"/>
      </w:pPr>
      <w:r>
        <w:tab/>
        <w:t xml:space="preserve">[Regulation 5 amended in Gazette 8 Nov 1985 p. 4297; 17 Dec 2010 p. 6426.] </w:t>
      </w:r>
    </w:p>
    <w:p>
      <w:pPr>
        <w:pStyle w:val="Heading5"/>
        <w:rPr>
          <w:snapToGrid w:val="0"/>
        </w:rPr>
      </w:pPr>
      <w:bookmarkStart w:id="28" w:name="_Toc434805149"/>
      <w:bookmarkStart w:id="29" w:name="_Toc524505954"/>
      <w:bookmarkStart w:id="30" w:name="_Toc525362010"/>
      <w:bookmarkStart w:id="31" w:name="_Toc95632713"/>
      <w:bookmarkStart w:id="32" w:name="_Toc280621751"/>
      <w:r>
        <w:rPr>
          <w:rStyle w:val="CharSectno"/>
        </w:rPr>
        <w:t>6</w:t>
      </w:r>
      <w:r>
        <w:rPr>
          <w:snapToGrid w:val="0"/>
        </w:rPr>
        <w:t>.</w:t>
      </w:r>
      <w:r>
        <w:rPr>
          <w:snapToGrid w:val="0"/>
        </w:rPr>
        <w:tab/>
        <w:t>Marking</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r>
        <w:t>Director General on behalf of the State</w:t>
      </w:r>
      <w:r>
        <w:rPr>
          <w:snapToGrid w:val="0"/>
        </w:rPr>
        <w:t xml:space="preserve"> may recover as a debt due to the </w:t>
      </w:r>
      <w:r>
        <w:t>State</w:t>
      </w:r>
      <w:r>
        <w:rPr>
          <w:snapToGrid w:val="0"/>
        </w:rPr>
        <w:t xml:space="preserve"> from the person who failed to comply with the direction the expenses incurred by an inspector or authorised person under this subregulation as a result of his failure.</w:t>
      </w:r>
    </w:p>
    <w:p>
      <w:pPr>
        <w:pStyle w:val="Footnotesection"/>
        <w:keepLines w:val="0"/>
        <w:spacing w:before="80"/>
        <w:ind w:left="890" w:hanging="890"/>
      </w:pPr>
      <w:bookmarkStart w:id="33" w:name="_Toc434805150"/>
      <w:bookmarkStart w:id="34" w:name="_Toc524505955"/>
      <w:bookmarkStart w:id="35" w:name="_Toc525362011"/>
      <w:bookmarkStart w:id="36" w:name="_Toc95632714"/>
      <w:r>
        <w:tab/>
        <w:t>[Regulation 6 amended in Gazette 17 Dec 2010 p. 6426-7.]</w:t>
      </w:r>
    </w:p>
    <w:p>
      <w:pPr>
        <w:pStyle w:val="Heading5"/>
        <w:rPr>
          <w:snapToGrid w:val="0"/>
        </w:rPr>
      </w:pPr>
      <w:bookmarkStart w:id="37" w:name="_Toc280621752"/>
      <w:r>
        <w:rPr>
          <w:rStyle w:val="CharSectno"/>
        </w:rPr>
        <w:t>7</w:t>
      </w:r>
      <w:r>
        <w:rPr>
          <w:snapToGrid w:val="0"/>
        </w:rPr>
        <w:t>.</w:t>
      </w:r>
      <w:r>
        <w:rPr>
          <w:snapToGrid w:val="0"/>
        </w:rPr>
        <w:tab/>
        <w:t>Approval for movement</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38" w:name="_Toc434805151"/>
      <w:bookmarkStart w:id="39" w:name="_Toc524505956"/>
      <w:bookmarkStart w:id="40" w:name="_Toc525362012"/>
      <w:bookmarkStart w:id="41" w:name="_Toc95632715"/>
      <w:bookmarkStart w:id="42" w:name="_Toc280621753"/>
      <w:r>
        <w:rPr>
          <w:rStyle w:val="CharSectno"/>
        </w:rPr>
        <w:t>8</w:t>
      </w:r>
      <w:r>
        <w:rPr>
          <w:snapToGrid w:val="0"/>
        </w:rPr>
        <w:t>.</w:t>
      </w:r>
      <w:r>
        <w:rPr>
          <w:snapToGrid w:val="0"/>
        </w:rPr>
        <w:tab/>
        <w:t>Entry upon quarantined land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8 amended in Gazette 26 Jan 1990 p. 650; 17 Dec 2010 p. 6426.] </w:t>
      </w:r>
    </w:p>
    <w:p>
      <w:pPr>
        <w:pStyle w:val="Heading5"/>
        <w:rPr>
          <w:snapToGrid w:val="0"/>
        </w:rPr>
      </w:pPr>
      <w:bookmarkStart w:id="43" w:name="_Toc434805152"/>
      <w:bookmarkStart w:id="44" w:name="_Toc524505957"/>
      <w:bookmarkStart w:id="45" w:name="_Toc525362013"/>
      <w:bookmarkStart w:id="46" w:name="_Toc95632716"/>
      <w:bookmarkStart w:id="47" w:name="_Toc280621754"/>
      <w:r>
        <w:rPr>
          <w:rStyle w:val="CharSectno"/>
        </w:rPr>
        <w:t>9</w:t>
      </w:r>
      <w:r>
        <w:rPr>
          <w:snapToGrid w:val="0"/>
        </w:rPr>
        <w:t>.</w:t>
      </w:r>
      <w:r>
        <w:rPr>
          <w:snapToGrid w:val="0"/>
        </w:rPr>
        <w:tab/>
        <w:t>Exemption from quarantine</w:t>
      </w:r>
      <w:bookmarkEnd w:id="43"/>
      <w:bookmarkEnd w:id="44"/>
      <w:bookmarkEnd w:id="45"/>
      <w:bookmarkEnd w:id="46"/>
      <w:bookmarkEnd w:id="47"/>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 xml:space="preserve">The </w:t>
      </w:r>
      <w:r>
        <w:t>Director General</w:t>
      </w:r>
      <w:r>
        <w:rPr>
          <w:snapToGrid w:val="0"/>
        </w:rPr>
        <w:t xml:space="preserve"> may, by a subsequent notice published in accordance with subregulation (1), vary or revoke a notice under subregulation (1) which shall thereupon have effect as so varied, or cease to have effect, as the case may be.</w:t>
      </w:r>
    </w:p>
    <w:p>
      <w:pPr>
        <w:pStyle w:val="Footnotesection"/>
      </w:pPr>
      <w:bookmarkStart w:id="48" w:name="_Toc434805153"/>
      <w:bookmarkStart w:id="49" w:name="_Toc524505958"/>
      <w:bookmarkStart w:id="50" w:name="_Toc525362014"/>
      <w:bookmarkStart w:id="51" w:name="_Toc95632717"/>
      <w:r>
        <w:tab/>
        <w:t>[Regulation 9 amended in Gazette 17 Dec 2010 p. 6426-7.]</w:t>
      </w:r>
    </w:p>
    <w:p>
      <w:pPr>
        <w:pStyle w:val="Heading5"/>
        <w:rPr>
          <w:snapToGrid w:val="0"/>
        </w:rPr>
      </w:pPr>
      <w:bookmarkStart w:id="52" w:name="_Toc280621755"/>
      <w:r>
        <w:rPr>
          <w:rStyle w:val="CharSectno"/>
        </w:rPr>
        <w:t>10</w:t>
      </w:r>
      <w:r>
        <w:rPr>
          <w:snapToGrid w:val="0"/>
        </w:rPr>
        <w:t>.</w:t>
      </w:r>
      <w:r>
        <w:rPr>
          <w:snapToGrid w:val="0"/>
        </w:rPr>
        <w:tab/>
        <w:t>Property quarantine areas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 xml:space="preserve">by the </w:t>
      </w:r>
      <w:r>
        <w:t>Director General</w:t>
      </w:r>
      <w:r>
        <w:rPr>
          <w:snapToGrid w:val="0"/>
        </w:rPr>
        <w:t xml:space="preserve">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w:t>
      </w:r>
      <w:r>
        <w:t xml:space="preserve"> Director General</w:t>
      </w:r>
      <w:r>
        <w:rPr>
          <w:snapToGrid w:val="0"/>
        </w:rPr>
        <w:t>, or an officer authorised in that behalf by the</w:t>
      </w:r>
      <w:r>
        <w:t xml:space="preserve"> Director General</w:t>
      </w:r>
      <w:r>
        <w:rPr>
          <w:snapToGrid w:val="0"/>
        </w:rPr>
        <w:t>,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Footnotesection"/>
      </w:pPr>
      <w:bookmarkStart w:id="53" w:name="_Toc434805154"/>
      <w:bookmarkStart w:id="54" w:name="_Toc524505959"/>
      <w:bookmarkStart w:id="55" w:name="_Toc525362015"/>
      <w:bookmarkStart w:id="56" w:name="_Toc95632718"/>
      <w:r>
        <w:tab/>
        <w:t>[Regulation 10 amended in Gazette 17 Dec 2010 p. 6426-7.]</w:t>
      </w:r>
    </w:p>
    <w:p>
      <w:pPr>
        <w:pStyle w:val="Heading5"/>
        <w:rPr>
          <w:snapToGrid w:val="0"/>
        </w:rPr>
      </w:pPr>
      <w:bookmarkStart w:id="57" w:name="_Toc280621756"/>
      <w:r>
        <w:rPr>
          <w:rStyle w:val="CharSectno"/>
        </w:rPr>
        <w:t>11</w:t>
      </w:r>
      <w:r>
        <w:rPr>
          <w:snapToGrid w:val="0"/>
        </w:rPr>
        <w:t>.</w:t>
      </w:r>
      <w:r>
        <w:rPr>
          <w:snapToGrid w:val="0"/>
        </w:rPr>
        <w:tab/>
        <w:t>Appeal</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58" w:name="_Toc95632706"/>
      <w:bookmarkStart w:id="59" w:name="_Toc95632719"/>
      <w:bookmarkStart w:id="60" w:name="_Toc280604180"/>
      <w:bookmarkStart w:id="61" w:name="_Toc280621757"/>
      <w:r>
        <w:t>Notes</w:t>
      </w:r>
      <w:bookmarkEnd w:id="58"/>
      <w:bookmarkEnd w:id="59"/>
      <w:bookmarkEnd w:id="60"/>
      <w:bookmarkEnd w:id="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w:t>
      </w:r>
      <w:ins w:id="62" w:author="Master Repository Process" w:date="2021-07-31T08:06:00Z">
        <w:r>
          <w:rPr>
            <w:snapToGrid w:val="0"/>
          </w:rPr>
          <w:t> </w:t>
        </w:r>
        <w:r>
          <w:rPr>
            <w:snapToGrid w:val="0"/>
            <w:vertAlign w:val="superscript"/>
          </w:rPr>
          <w:t>1a</w:t>
        </w:r>
      </w:ins>
      <w:r>
        <w:rPr>
          <w:snapToGrid w:val="0"/>
        </w:rPr>
        <w:t>.</w:t>
      </w:r>
    </w:p>
    <w:p>
      <w:pPr>
        <w:pStyle w:val="nHeading3"/>
        <w:rPr>
          <w:snapToGrid w:val="0"/>
        </w:rPr>
      </w:pPr>
      <w:bookmarkStart w:id="63" w:name="_Toc525362016"/>
      <w:bookmarkStart w:id="64" w:name="_Toc95632720"/>
      <w:bookmarkStart w:id="65" w:name="_Toc280621758"/>
      <w:r>
        <w:rPr>
          <w:snapToGrid w:val="0"/>
        </w:rPr>
        <w:t>Compilation table</w:t>
      </w:r>
      <w:bookmarkEnd w:id="63"/>
      <w:bookmarkEnd w:id="64"/>
      <w:bookmarkEnd w:id="6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Protection (Property Quarantine) Regulations 1981</w:t>
            </w:r>
          </w:p>
        </w:tc>
        <w:tc>
          <w:tcPr>
            <w:tcW w:w="1276" w:type="dxa"/>
          </w:tcPr>
          <w:p>
            <w:pPr>
              <w:pStyle w:val="nTable"/>
              <w:spacing w:before="120"/>
              <w:rPr>
                <w:sz w:val="19"/>
              </w:rPr>
            </w:pPr>
            <w:r>
              <w:rPr>
                <w:sz w:val="19"/>
              </w:rPr>
              <w:t>8 May 1981 p. 1459</w:t>
            </w:r>
            <w:r>
              <w:rPr>
                <w:sz w:val="19"/>
              </w:rPr>
              <w:noBreakHyphen/>
              <w:t>62</w:t>
            </w:r>
          </w:p>
        </w:tc>
        <w:tc>
          <w:tcPr>
            <w:tcW w:w="2693" w:type="dxa"/>
          </w:tcPr>
          <w:p>
            <w:pPr>
              <w:pStyle w:val="nTable"/>
              <w:spacing w:before="120"/>
              <w:rPr>
                <w:sz w:val="19"/>
              </w:rPr>
            </w:pPr>
            <w:r>
              <w:rPr>
                <w:sz w:val="19"/>
              </w:rPr>
              <w:t>8 May 1981</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1985</w:t>
            </w:r>
          </w:p>
        </w:tc>
        <w:tc>
          <w:tcPr>
            <w:tcW w:w="1276" w:type="dxa"/>
          </w:tcPr>
          <w:p>
            <w:pPr>
              <w:pStyle w:val="nTable"/>
              <w:spacing w:before="120"/>
              <w:rPr>
                <w:sz w:val="19"/>
              </w:rPr>
            </w:pPr>
            <w:r>
              <w:rPr>
                <w:sz w:val="19"/>
              </w:rPr>
              <w:t xml:space="preserve">8 Nov 1985 </w:t>
            </w:r>
            <w:r>
              <w:rPr>
                <w:sz w:val="19"/>
              </w:rPr>
              <w:br/>
              <w:t>p. 4297</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1990</w:t>
            </w:r>
          </w:p>
        </w:tc>
        <w:tc>
          <w:tcPr>
            <w:tcW w:w="1276" w:type="dxa"/>
          </w:tcPr>
          <w:p>
            <w:pPr>
              <w:pStyle w:val="nTable"/>
              <w:spacing w:before="120"/>
              <w:rPr>
                <w:sz w:val="19"/>
              </w:rPr>
            </w:pPr>
            <w:r>
              <w:rPr>
                <w:sz w:val="19"/>
              </w:rPr>
              <w:t xml:space="preserve">26 Jan 1990 </w:t>
            </w:r>
            <w:r>
              <w:rPr>
                <w:sz w:val="19"/>
              </w:rPr>
              <w:br/>
              <w:t>p. 650</w:t>
            </w:r>
          </w:p>
        </w:tc>
        <w:tc>
          <w:tcPr>
            <w:tcW w:w="2693" w:type="dxa"/>
          </w:tcPr>
          <w:p>
            <w:pPr>
              <w:pStyle w:val="nTable"/>
              <w:spacing w:before="120"/>
              <w:rPr>
                <w:sz w:val="19"/>
              </w:rPr>
            </w:pPr>
            <w:r>
              <w:rPr>
                <w:sz w:val="19"/>
              </w:rPr>
              <w:t>26 Jan 1990</w:t>
            </w:r>
          </w:p>
        </w:tc>
      </w:tr>
      <w:tr>
        <w:trPr>
          <w:cantSplit/>
        </w:trPr>
        <w:tc>
          <w:tcPr>
            <w:tcW w:w="7088" w:type="dxa"/>
            <w:gridSpan w:val="3"/>
          </w:tcPr>
          <w:p>
            <w:pPr>
              <w:pStyle w:val="nTable"/>
              <w:spacing w:before="120"/>
              <w:rPr>
                <w:sz w:val="19"/>
              </w:rPr>
            </w:pPr>
            <w:r>
              <w:rPr>
                <w:b/>
                <w:sz w:val="19"/>
              </w:rPr>
              <w:t xml:space="preserve">Reprint of the </w:t>
            </w:r>
            <w:r>
              <w:rPr>
                <w:b/>
                <w:i/>
                <w:snapToGrid w:val="0"/>
              </w:rPr>
              <w:t>Agriculture and Related Resources Protection (Property Quarantine) Regulations 1981</w:t>
            </w:r>
            <w:r>
              <w:rPr>
                <w:b/>
                <w:sz w:val="19"/>
              </w:rPr>
              <w:t xml:space="preserve"> as at 14 Sep 2001</w:t>
            </w:r>
            <w:r>
              <w:rPr>
                <w:sz w:val="19"/>
              </w:rPr>
              <w:br/>
              <w:t>(includes amendments listed above)</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2003</w:t>
            </w:r>
          </w:p>
        </w:tc>
        <w:tc>
          <w:tcPr>
            <w:tcW w:w="1276" w:type="dxa"/>
          </w:tcPr>
          <w:p>
            <w:pPr>
              <w:pStyle w:val="nTable"/>
              <w:spacing w:before="120"/>
              <w:rPr>
                <w:sz w:val="19"/>
              </w:rPr>
            </w:pPr>
            <w:r>
              <w:rPr>
                <w:sz w:val="19"/>
              </w:rPr>
              <w:t>11 Jul 2003 p. 2739-40</w:t>
            </w:r>
          </w:p>
        </w:tc>
        <w:tc>
          <w:tcPr>
            <w:tcW w:w="2693" w:type="dxa"/>
          </w:tcPr>
          <w:p>
            <w:pPr>
              <w:pStyle w:val="nTable"/>
              <w:spacing w:before="120"/>
              <w:rPr>
                <w:sz w:val="19"/>
              </w:rPr>
            </w:pPr>
            <w:r>
              <w:rPr>
                <w:sz w:val="19"/>
              </w:rPr>
              <w:t>11 Jul 2003</w:t>
            </w:r>
          </w:p>
        </w:tc>
      </w:tr>
      <w:tr>
        <w:trPr>
          <w:cantSplit/>
        </w:trPr>
        <w:tc>
          <w:tcPr>
            <w:tcW w:w="3119" w:type="dxa"/>
          </w:tcPr>
          <w:p>
            <w:pPr>
              <w:pStyle w:val="nTable"/>
              <w:spacing w:before="120"/>
              <w:ind w:right="113"/>
              <w:rPr>
                <w:i/>
                <w:sz w:val="19"/>
              </w:rPr>
            </w:pPr>
            <w:r>
              <w:rPr>
                <w:i/>
                <w:sz w:val="19"/>
              </w:rPr>
              <w:t>Agriculture and Related Resources Protection (Property Quarantine) Amendment Regulations 2005</w:t>
            </w:r>
          </w:p>
        </w:tc>
        <w:tc>
          <w:tcPr>
            <w:tcW w:w="1276" w:type="dxa"/>
          </w:tcPr>
          <w:p>
            <w:pPr>
              <w:pStyle w:val="nTable"/>
              <w:spacing w:before="120"/>
              <w:rPr>
                <w:sz w:val="19"/>
              </w:rPr>
            </w:pPr>
            <w:r>
              <w:rPr>
                <w:sz w:val="19"/>
              </w:rPr>
              <w:t>8 Feb 2005 p. 647</w:t>
            </w:r>
          </w:p>
        </w:tc>
        <w:tc>
          <w:tcPr>
            <w:tcW w:w="2693" w:type="dxa"/>
          </w:tcPr>
          <w:p>
            <w:pPr>
              <w:pStyle w:val="nTable"/>
              <w:spacing w:before="120"/>
              <w:rPr>
                <w:sz w:val="19"/>
              </w:rPr>
            </w:pPr>
            <w:r>
              <w:rPr>
                <w:sz w:val="19"/>
              </w:rPr>
              <w:t>8 Feb 2005</w:t>
            </w:r>
          </w:p>
        </w:tc>
      </w:tr>
      <w:tr>
        <w:trPr>
          <w:cantSplit/>
        </w:trPr>
        <w:tc>
          <w:tcPr>
            <w:tcW w:w="3119" w:type="dxa"/>
            <w:tcBorders>
              <w:bottom w:val="single" w:sz="8" w:space="0" w:color="auto"/>
            </w:tcBorders>
          </w:tcPr>
          <w:p>
            <w:pPr>
              <w:pStyle w:val="nTable"/>
              <w:spacing w:before="120"/>
              <w:ind w:right="113"/>
              <w:rPr>
                <w:iCs/>
                <w:sz w:val="19"/>
              </w:rPr>
            </w:pPr>
            <w:r>
              <w:rPr>
                <w:i/>
                <w:sz w:val="19"/>
              </w:rPr>
              <w:t>Agriculture and Related Resources Protection (Repeals and Amendments) Regulations 2010</w:t>
            </w:r>
            <w:r>
              <w:rPr>
                <w:iCs/>
                <w:sz w:val="19"/>
              </w:rPr>
              <w:t xml:space="preserve"> Pt. 10</w:t>
            </w:r>
          </w:p>
        </w:tc>
        <w:tc>
          <w:tcPr>
            <w:tcW w:w="1276" w:type="dxa"/>
            <w:tcBorders>
              <w:bottom w:val="single" w:sz="8" w:space="0" w:color="auto"/>
            </w:tcBorders>
          </w:tcPr>
          <w:p>
            <w:pPr>
              <w:pStyle w:val="nTable"/>
              <w:spacing w:before="120"/>
              <w:rPr>
                <w:sz w:val="19"/>
              </w:rPr>
            </w:pPr>
            <w:r>
              <w:rPr>
                <w:sz w:val="19"/>
              </w:rPr>
              <w:t>17 Dec 2010 p. 6403-32</w:t>
            </w:r>
          </w:p>
        </w:tc>
        <w:tc>
          <w:tcPr>
            <w:tcW w:w="2693" w:type="dxa"/>
            <w:tcBorders>
              <w:bottom w:val="single" w:sz="8" w:space="0" w:color="auto"/>
            </w:tcBorders>
          </w:tcPr>
          <w:p>
            <w:pPr>
              <w:pStyle w:val="nTable"/>
              <w:spacing w:before="120"/>
              <w:rPr>
                <w:sz w:val="19"/>
              </w:rPr>
            </w:pPr>
            <w:r>
              <w:rPr>
                <w:sz w:val="19"/>
              </w:rPr>
              <w:t>18 Dec 2010 (see r. 2(b)</w:t>
            </w:r>
            <w:bookmarkStart w:id="66" w:name="UpToHere"/>
            <w:bookmarkEnd w:id="66"/>
            <w:r>
              <w:rPr>
                <w:sz w:val="19"/>
              </w:rPr>
              <w:t xml:space="preserve"> and </w:t>
            </w:r>
            <w:r>
              <w:rPr>
                <w:i/>
                <w:iCs/>
                <w:sz w:val="19"/>
              </w:rPr>
              <w:t>Gazette</w:t>
            </w:r>
            <w:r>
              <w:rPr>
                <w:sz w:val="19"/>
              </w:rPr>
              <w:t xml:space="preserve"> 17 Dec 2010 p. 6349)</w:t>
            </w:r>
          </w:p>
        </w:tc>
      </w:tr>
    </w:tbl>
    <w:p>
      <w:pPr>
        <w:pStyle w:val="nSubsection"/>
        <w:rPr>
          <w:ins w:id="67" w:author="Master Repository Process" w:date="2021-07-31T08:06:00Z"/>
          <w:snapToGrid w:val="0"/>
        </w:rPr>
      </w:pPr>
      <w:ins w:id="68" w:author="Master Repository Process" w:date="2021-07-31T08: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Master Repository Process" w:date="2021-07-31T08:06:00Z"/>
          <w:snapToGrid w:val="0"/>
        </w:rPr>
      </w:pPr>
      <w:bookmarkStart w:id="70" w:name="_Toc534778309"/>
      <w:bookmarkStart w:id="71" w:name="_Toc7405063"/>
      <w:bookmarkStart w:id="72" w:name="_Toc296601212"/>
      <w:bookmarkStart w:id="73" w:name="_Toc309727460"/>
      <w:ins w:id="74" w:author="Master Repository Process" w:date="2021-07-31T08:06:00Z">
        <w:r>
          <w:rPr>
            <w:snapToGrid w:val="0"/>
          </w:rPr>
          <w:t>Provisions that have not come into operation</w:t>
        </w:r>
        <w:bookmarkEnd w:id="70"/>
        <w:bookmarkEnd w:id="71"/>
        <w:bookmarkEnd w:id="72"/>
        <w:bookmarkEnd w:id="7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5" w:author="Master Repository Process" w:date="2021-07-31T08:06:00Z"/>
        </w:trPr>
        <w:tc>
          <w:tcPr>
            <w:tcW w:w="3119" w:type="dxa"/>
            <w:tcBorders>
              <w:top w:val="single" w:sz="8" w:space="0" w:color="auto"/>
              <w:bottom w:val="single" w:sz="8" w:space="0" w:color="auto"/>
            </w:tcBorders>
          </w:tcPr>
          <w:p>
            <w:pPr>
              <w:pStyle w:val="nTable"/>
              <w:keepNext/>
              <w:spacing w:before="60" w:after="60"/>
              <w:ind w:right="113"/>
              <w:rPr>
                <w:ins w:id="76" w:author="Master Repository Process" w:date="2021-07-31T08:06:00Z"/>
                <w:b/>
                <w:sz w:val="19"/>
              </w:rPr>
            </w:pPr>
            <w:ins w:id="77" w:author="Master Repository Process" w:date="2021-07-31T08:06:00Z">
              <w:r>
                <w:rPr>
                  <w:b/>
                  <w:sz w:val="19"/>
                </w:rPr>
                <w:t>Citation</w:t>
              </w:r>
            </w:ins>
          </w:p>
        </w:tc>
        <w:tc>
          <w:tcPr>
            <w:tcW w:w="1276" w:type="dxa"/>
            <w:tcBorders>
              <w:top w:val="single" w:sz="8" w:space="0" w:color="auto"/>
              <w:bottom w:val="single" w:sz="8" w:space="0" w:color="auto"/>
            </w:tcBorders>
          </w:tcPr>
          <w:p>
            <w:pPr>
              <w:pStyle w:val="nTable"/>
              <w:keepNext/>
              <w:spacing w:before="60" w:after="60"/>
              <w:rPr>
                <w:ins w:id="78" w:author="Master Repository Process" w:date="2021-07-31T08:06:00Z"/>
                <w:b/>
                <w:sz w:val="19"/>
              </w:rPr>
            </w:pPr>
            <w:ins w:id="79" w:author="Master Repository Process" w:date="2021-07-31T08:06:00Z">
              <w:r>
                <w:rPr>
                  <w:b/>
                  <w:sz w:val="19"/>
                </w:rPr>
                <w:t>Gazettal</w:t>
              </w:r>
            </w:ins>
          </w:p>
        </w:tc>
        <w:tc>
          <w:tcPr>
            <w:tcW w:w="2693" w:type="dxa"/>
            <w:tcBorders>
              <w:top w:val="single" w:sz="8" w:space="0" w:color="auto"/>
              <w:bottom w:val="single" w:sz="8" w:space="0" w:color="auto"/>
            </w:tcBorders>
          </w:tcPr>
          <w:p>
            <w:pPr>
              <w:pStyle w:val="nTable"/>
              <w:keepNext/>
              <w:spacing w:before="60" w:after="60"/>
              <w:rPr>
                <w:ins w:id="80" w:author="Master Repository Process" w:date="2021-07-31T08:06:00Z"/>
                <w:b/>
                <w:sz w:val="19"/>
              </w:rPr>
            </w:pPr>
            <w:ins w:id="81" w:author="Master Repository Process" w:date="2021-07-31T08:06:00Z">
              <w:r>
                <w:rPr>
                  <w:b/>
                  <w:sz w:val="19"/>
                </w:rPr>
                <w:t>Commencement</w:t>
              </w:r>
            </w:ins>
          </w:p>
        </w:tc>
      </w:tr>
      <w:tr>
        <w:tblPrEx>
          <w:tblBorders>
            <w:top w:val="single" w:sz="8" w:space="0" w:color="auto"/>
            <w:bottom w:val="single" w:sz="4" w:space="0" w:color="auto"/>
            <w:insideH w:val="single" w:sz="8" w:space="0" w:color="auto"/>
          </w:tblBorders>
        </w:tblPrEx>
        <w:trPr>
          <w:ins w:id="82" w:author="Master Repository Process" w:date="2021-07-31T08:06:00Z"/>
        </w:trPr>
        <w:tc>
          <w:tcPr>
            <w:tcW w:w="3119" w:type="dxa"/>
          </w:tcPr>
          <w:p>
            <w:pPr>
              <w:pStyle w:val="nTable"/>
              <w:spacing w:after="40"/>
              <w:rPr>
                <w:ins w:id="83" w:author="Master Repository Process" w:date="2021-07-31T08:06:00Z"/>
                <w:sz w:val="19"/>
                <w:vertAlign w:val="superscript"/>
              </w:rPr>
            </w:pPr>
            <w:ins w:id="84" w:author="Master Repository Process" w:date="2021-07-31T08:06:00Z">
              <w:r>
                <w:rPr>
                  <w:i/>
                  <w:noProof/>
                  <w:snapToGrid w:val="0"/>
                </w:rPr>
                <w:t>Biosecurity and Agriculture Management Regulations 2013</w:t>
              </w:r>
              <w:r>
                <w:rPr>
                  <w:noProof/>
                  <w:snapToGrid w:val="0"/>
                </w:rPr>
                <w:t xml:space="preserve"> r. 137(g), 138 and 142 </w:t>
              </w:r>
              <w:r>
                <w:rPr>
                  <w:noProof/>
                  <w:snapToGrid w:val="0"/>
                  <w:vertAlign w:val="superscript"/>
                </w:rPr>
                <w:t>2</w:t>
              </w:r>
            </w:ins>
          </w:p>
        </w:tc>
        <w:tc>
          <w:tcPr>
            <w:tcW w:w="1276" w:type="dxa"/>
          </w:tcPr>
          <w:p>
            <w:pPr>
              <w:pStyle w:val="nTable"/>
              <w:spacing w:after="40"/>
              <w:rPr>
                <w:ins w:id="85" w:author="Master Repository Process" w:date="2021-07-31T08:06:00Z"/>
                <w:sz w:val="19"/>
              </w:rPr>
            </w:pPr>
            <w:ins w:id="86" w:author="Master Repository Process" w:date="2021-07-31T08:06:00Z">
              <w:r>
                <w:rPr>
                  <w:sz w:val="19"/>
                </w:rPr>
                <w:t>5 Feb 2013 p. 465</w:t>
              </w:r>
              <w:r>
                <w:rPr>
                  <w:sz w:val="19"/>
                </w:rPr>
                <w:noBreakHyphen/>
                <w:t>591</w:t>
              </w:r>
            </w:ins>
          </w:p>
        </w:tc>
        <w:tc>
          <w:tcPr>
            <w:tcW w:w="2693" w:type="dxa"/>
          </w:tcPr>
          <w:p>
            <w:pPr>
              <w:pStyle w:val="nTable"/>
              <w:spacing w:after="40"/>
              <w:rPr>
                <w:ins w:id="87" w:author="Master Repository Process" w:date="2021-07-31T08:06:00Z"/>
                <w:sz w:val="19"/>
              </w:rPr>
            </w:pPr>
            <w:ins w:id="88" w:author="Master Repository Process" w:date="2021-07-31T08:06: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89" w:author="Master Repository Process" w:date="2021-07-31T08:06:00Z"/>
          <w:snapToGrid w:val="0"/>
        </w:rPr>
      </w:pPr>
      <w:ins w:id="90" w:author="Master Repository Process" w:date="2021-07-31T08: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137(g), 138 and 142 </w:t>
        </w:r>
        <w:r>
          <w:rPr>
            <w:snapToGrid w:val="0"/>
          </w:rPr>
          <w:t>had not come into operation.  They read as follows:</w:t>
        </w:r>
      </w:ins>
    </w:p>
    <w:p>
      <w:pPr>
        <w:pStyle w:val="BlankClose"/>
        <w:rPr>
          <w:ins w:id="91" w:author="Master Repository Process" w:date="2021-07-31T08:06:00Z"/>
        </w:rPr>
      </w:pPr>
    </w:p>
    <w:p>
      <w:pPr>
        <w:pStyle w:val="nzHeading5"/>
        <w:rPr>
          <w:ins w:id="92" w:author="Master Repository Process" w:date="2021-07-31T08:06:00Z"/>
        </w:rPr>
      </w:pPr>
      <w:ins w:id="93" w:author="Master Repository Process" w:date="2021-07-31T08:06:00Z">
        <w:r>
          <w:rPr>
            <w:rStyle w:val="CharSectno"/>
          </w:rPr>
          <w:t>137</w:t>
        </w:r>
        <w:r>
          <w:t>.</w:t>
        </w:r>
        <w:r>
          <w:tab/>
          <w:t>Regulations repealed</w:t>
        </w:r>
      </w:ins>
    </w:p>
    <w:p>
      <w:pPr>
        <w:pStyle w:val="nzSubsection"/>
        <w:rPr>
          <w:ins w:id="94" w:author="Master Repository Process" w:date="2021-07-31T08:06:00Z"/>
        </w:rPr>
      </w:pPr>
      <w:ins w:id="95" w:author="Master Repository Process" w:date="2021-07-31T08:06:00Z">
        <w:r>
          <w:tab/>
        </w:r>
        <w:r>
          <w:tab/>
          <w:t>These regulations are repealed:</w:t>
        </w:r>
      </w:ins>
    </w:p>
    <w:p>
      <w:pPr>
        <w:pStyle w:val="nzIndenta"/>
        <w:rPr>
          <w:ins w:id="96" w:author="Master Repository Process" w:date="2021-07-31T08:06:00Z"/>
        </w:rPr>
      </w:pPr>
      <w:ins w:id="97" w:author="Master Repository Process" w:date="2021-07-31T08:06:00Z">
        <w:r>
          <w:tab/>
          <w:t>(g)</w:t>
        </w:r>
        <w:r>
          <w:tab/>
        </w:r>
        <w:r>
          <w:rPr>
            <w:i/>
          </w:rPr>
          <w:t>Agriculture and Related Resources Protection (Property Quarantine) Regulations 1981</w:t>
        </w:r>
        <w:r>
          <w:t>;</w:t>
        </w:r>
      </w:ins>
    </w:p>
    <w:p>
      <w:pPr>
        <w:pStyle w:val="BlankClose"/>
        <w:rPr>
          <w:ins w:id="98" w:author="Master Repository Process" w:date="2021-07-31T08:06:00Z"/>
        </w:rPr>
      </w:pPr>
    </w:p>
    <w:p>
      <w:pPr>
        <w:pStyle w:val="nzHeading5"/>
        <w:rPr>
          <w:ins w:id="99" w:author="Master Repository Process" w:date="2021-07-31T08:06:00Z"/>
        </w:rPr>
      </w:pPr>
      <w:bookmarkStart w:id="100" w:name="_Toc346111049"/>
      <w:ins w:id="101" w:author="Master Repository Process" w:date="2021-07-31T08:06:00Z">
        <w:r>
          <w:rPr>
            <w:rStyle w:val="CharSectno"/>
          </w:rPr>
          <w:t>138</w:t>
        </w:r>
        <w:r>
          <w:t>.</w:t>
        </w:r>
        <w:r>
          <w:tab/>
          <w:t>Fees and expenses</w:t>
        </w:r>
        <w:bookmarkEnd w:id="100"/>
      </w:ins>
    </w:p>
    <w:p>
      <w:pPr>
        <w:pStyle w:val="nzSubsection"/>
        <w:rPr>
          <w:ins w:id="102" w:author="Master Repository Process" w:date="2021-07-31T08:06:00Z"/>
        </w:rPr>
      </w:pPr>
      <w:ins w:id="103" w:author="Master Repository Process" w:date="2021-07-31T08:06:00Z">
        <w:r>
          <w:tab/>
        </w:r>
        <w:r>
          <w:tab/>
          <w:t xml:space="preserve">On and from the commencement day — </w:t>
        </w:r>
      </w:ins>
    </w:p>
    <w:p>
      <w:pPr>
        <w:pStyle w:val="nzIndenta"/>
        <w:rPr>
          <w:ins w:id="104" w:author="Master Repository Process" w:date="2021-07-31T08:06:00Z"/>
        </w:rPr>
      </w:pPr>
      <w:ins w:id="105" w:author="Master Repository Process" w:date="2021-07-31T08:06: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106" w:author="Master Repository Process" w:date="2021-07-31T08:06:00Z"/>
        </w:rPr>
      </w:pPr>
      <w:ins w:id="107" w:author="Master Repository Process" w:date="2021-07-31T08:06:00Z">
        <w:r>
          <w:tab/>
          <w:t>(b)</w:t>
        </w:r>
        <w:r>
          <w:tab/>
          <w:t>any expenses recoverable under a regulation repealed under regulation 137 and outstanding on the commencement day may be recovered under regulation 128.</w:t>
        </w:r>
      </w:ins>
    </w:p>
    <w:p>
      <w:pPr>
        <w:pStyle w:val="nzPenstart"/>
        <w:rPr>
          <w:ins w:id="108" w:author="Master Repository Process" w:date="2021-07-31T08:06:00Z"/>
        </w:rPr>
      </w:pPr>
      <w:ins w:id="109" w:author="Master Repository Process" w:date="2021-07-31T08:06:00Z">
        <w:r>
          <w:tab/>
          <w:t>Penalty: a fine of $10 000.</w:t>
        </w:r>
      </w:ins>
    </w:p>
    <w:p>
      <w:pPr>
        <w:pStyle w:val="BlankClose"/>
        <w:rPr>
          <w:ins w:id="110" w:author="Master Repository Process" w:date="2021-07-31T08:06:00Z"/>
        </w:rPr>
      </w:pPr>
    </w:p>
    <w:p>
      <w:pPr>
        <w:pStyle w:val="nzHeading5"/>
        <w:rPr>
          <w:ins w:id="111" w:author="Master Repository Process" w:date="2021-07-31T08:06:00Z"/>
        </w:rPr>
      </w:pPr>
      <w:bookmarkStart w:id="112" w:name="_Toc346111053"/>
      <w:ins w:id="113" w:author="Master Repository Process" w:date="2021-07-31T08:06:00Z">
        <w:r>
          <w:rPr>
            <w:rStyle w:val="CharSectno"/>
          </w:rPr>
          <w:t>142</w:t>
        </w:r>
        <w:r>
          <w:t>.</w:t>
        </w:r>
        <w:r>
          <w:tab/>
        </w:r>
        <w:r>
          <w:rPr>
            <w:i/>
          </w:rPr>
          <w:t>Agriculture and Related Resources Protection (Property Quarantine) Regulations 1981</w:t>
        </w:r>
        <w:bookmarkEnd w:id="112"/>
      </w:ins>
    </w:p>
    <w:p>
      <w:pPr>
        <w:pStyle w:val="nzSubsection"/>
        <w:rPr>
          <w:ins w:id="114" w:author="Master Repository Process" w:date="2021-07-31T08:06:00Z"/>
        </w:rPr>
      </w:pPr>
      <w:ins w:id="115" w:author="Master Repository Process" w:date="2021-07-31T08:06:00Z">
        <w:r>
          <w:tab/>
          <w:t>(1)</w:t>
        </w:r>
        <w:r>
          <w:tab/>
          <w:t xml:space="preserve">In this regulation — </w:t>
        </w:r>
      </w:ins>
    </w:p>
    <w:p>
      <w:pPr>
        <w:pStyle w:val="nzDefstart"/>
        <w:rPr>
          <w:ins w:id="116" w:author="Master Repository Process" w:date="2021-07-31T08:06:00Z"/>
        </w:rPr>
      </w:pPr>
      <w:ins w:id="117" w:author="Master Repository Process" w:date="2021-07-31T08:06:00Z">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ins>
    </w:p>
    <w:p>
      <w:pPr>
        <w:pStyle w:val="nzSubsection"/>
        <w:rPr>
          <w:ins w:id="118" w:author="Master Repository Process" w:date="2021-07-31T08:06:00Z"/>
        </w:rPr>
      </w:pPr>
      <w:ins w:id="119" w:author="Master Repository Process" w:date="2021-07-31T08:06:00Z">
        <w:r>
          <w:tab/>
          <w:t>(2)</w:t>
        </w:r>
        <w:r>
          <w:tab/>
          <w:t xml:space="preserve">On and from the commencement day — </w:t>
        </w:r>
      </w:ins>
    </w:p>
    <w:p>
      <w:pPr>
        <w:pStyle w:val="nzIndenta"/>
        <w:rPr>
          <w:ins w:id="120" w:author="Master Repository Process" w:date="2021-07-31T08:06:00Z"/>
        </w:rPr>
      </w:pPr>
      <w:ins w:id="121" w:author="Master Repository Process" w:date="2021-07-31T08:06:00Z">
        <w:r>
          <w:tab/>
          <w:t>(a)</w:t>
        </w:r>
        <w:r>
          <w:tab/>
          <w:t>a quarantine notice served under regulation 3 of the repealed regulations and of effect immediately before the commencement day has effect as if it were a quarantine notice given under regulation 56 of these regulations;</w:t>
        </w:r>
      </w:ins>
    </w:p>
    <w:p>
      <w:pPr>
        <w:pStyle w:val="nzIndenta"/>
        <w:rPr>
          <w:ins w:id="122" w:author="Master Repository Process" w:date="2021-07-31T08:06:00Z"/>
        </w:rPr>
      </w:pPr>
      <w:ins w:id="123" w:author="Master Repository Process" w:date="2021-07-31T08:06:00Z">
        <w:r>
          <w:tab/>
          <w:t>(b)</w:t>
        </w:r>
        <w:r>
          <w:tab/>
          <w:t>any application for approval made under regulation 7 of the repealed regulations and not determined before the commencement day is taken to be an application under regulation 67 of these regulations;</w:t>
        </w:r>
      </w:ins>
    </w:p>
    <w:p>
      <w:pPr>
        <w:pStyle w:val="nzIndenta"/>
        <w:rPr>
          <w:ins w:id="124" w:author="Master Repository Process" w:date="2021-07-31T08:06:00Z"/>
        </w:rPr>
      </w:pPr>
      <w:ins w:id="125" w:author="Master Repository Process" w:date="2021-07-31T08:06:00Z">
        <w:r>
          <w:tab/>
          <w:t>(c)</w:t>
        </w:r>
        <w:r>
          <w:tab/>
          <w:t>any approval given under regulation 7 of the repealed regulations and of effect immediately before the commencement day has effect as if it were an approval given under regulation 67 of these regulations;</w:t>
        </w:r>
      </w:ins>
    </w:p>
    <w:p>
      <w:pPr>
        <w:pStyle w:val="nzIndenta"/>
        <w:rPr>
          <w:ins w:id="126" w:author="Master Repository Process" w:date="2021-07-31T08:06:00Z"/>
        </w:rPr>
      </w:pPr>
      <w:ins w:id="127" w:author="Master Repository Process" w:date="2021-07-31T08:06:00Z">
        <w:r>
          <w:tab/>
          <w:t>(d)</w:t>
        </w:r>
        <w:r>
          <w:tab/>
          <w:t>any general exemption granted under regulation 9 of the repealed regulations and of effect immediately before the commencement day has effect as if it were a general exemption granted under regulation 71 of these regulations;</w:t>
        </w:r>
      </w:ins>
    </w:p>
    <w:p>
      <w:pPr>
        <w:pStyle w:val="nzIndenta"/>
        <w:rPr>
          <w:ins w:id="128" w:author="Master Repository Process" w:date="2021-07-31T08:06:00Z"/>
        </w:rPr>
      </w:pPr>
      <w:ins w:id="129" w:author="Master Repository Process" w:date="2021-07-31T08:06:00Z">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ins>
    </w:p>
    <w:p>
      <w:pPr>
        <w:pStyle w:val="BlankClose"/>
        <w:rPr>
          <w:ins w:id="130" w:author="Master Repository Process" w:date="2021-07-31T08:06:00Z"/>
        </w:rPr>
      </w:pPr>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CCA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D25E6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A52EE1-111D-46E4-B0C8-C9EC02CC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3190</Words>
  <Characters>15987</Characters>
  <Application>Microsoft Office Word</Application>
  <DocSecurity>0</DocSecurity>
  <Lines>432</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01-c0-03 - 01-d0-01</dc:title>
  <dc:subject/>
  <dc:creator/>
  <cp:keywords/>
  <dc:description/>
  <cp:lastModifiedBy>Master Repository Process</cp:lastModifiedBy>
  <cp:revision>2</cp:revision>
  <cp:lastPrinted>2001-09-19T01:28:00Z</cp:lastPrinted>
  <dcterms:created xsi:type="dcterms:W3CDTF">2021-07-31T00:06:00Z</dcterms:created>
  <dcterms:modified xsi:type="dcterms:W3CDTF">2021-07-31T00:06:00Z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4271</vt:i4>
  </property>
  <property fmtid="{D5CDD505-2E9C-101B-9397-08002B2CF9AE}" pid="6" name="ThisVersion">
    <vt:lpwstr>01-b0-04</vt:lpwstr>
  </property>
  <property fmtid="{D5CDD505-2E9C-101B-9397-08002B2CF9AE}" pid="7" name="FromSuffix">
    <vt:lpwstr>01-c0-03</vt:lpwstr>
  </property>
  <property fmtid="{D5CDD505-2E9C-101B-9397-08002B2CF9AE}" pid="8" name="FromAsAtDate">
    <vt:lpwstr>18 Dec 2010</vt:lpwstr>
  </property>
  <property fmtid="{D5CDD505-2E9C-101B-9397-08002B2CF9AE}" pid="9" name="ToSuffix">
    <vt:lpwstr>01-d0-01</vt:lpwstr>
  </property>
  <property fmtid="{D5CDD505-2E9C-101B-9397-08002B2CF9AE}" pid="10" name="ToAsAtDate">
    <vt:lpwstr>05 Feb 2013</vt:lpwstr>
  </property>
</Properties>
</file>