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Bets Levy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Oct 2012</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15 Feb 2013</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Racing Bets Levy Act 2009</w:t>
      </w:r>
    </w:p>
    <w:p>
      <w:pPr>
        <w:pStyle w:val="NameofActReg"/>
      </w:pPr>
      <w:r>
        <w:t>Racing Bets Levy Regulations 2009</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348689566"/>
      <w:bookmarkStart w:id="8" w:name="_Toc337721892"/>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Racing Bets Levy Regulations 2009 </w:t>
      </w:r>
      <w:r>
        <w:rPr>
          <w:iCs/>
          <w:vertAlign w:val="superscript"/>
        </w:rPr>
        <w:t>1</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348689567"/>
      <w:bookmarkStart w:id="19" w:name="_Toc337721893"/>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pPr>
      <w:r>
        <w:tab/>
      </w:r>
      <w:r>
        <w:tab/>
        <w:t xml:space="preserve">These regulations come into operation as follows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rPr>
          <w:snapToGrid w:val="0"/>
        </w:rPr>
      </w:pPr>
      <w:bookmarkStart w:id="20" w:name="_Toc423332724"/>
      <w:bookmarkStart w:id="21" w:name="_Toc425219443"/>
      <w:bookmarkStart w:id="22" w:name="_Toc426249310"/>
      <w:bookmarkStart w:id="23" w:name="_Toc449924706"/>
      <w:bookmarkStart w:id="24" w:name="_Toc449947724"/>
      <w:bookmarkStart w:id="25" w:name="_Toc454185715"/>
      <w:bookmarkStart w:id="26" w:name="_Toc515958688"/>
      <w:bookmarkStart w:id="27" w:name="_Toc348689568"/>
      <w:bookmarkStart w:id="28" w:name="_Toc337721894"/>
      <w:r>
        <w:rPr>
          <w:rStyle w:val="CharSectno"/>
        </w:rPr>
        <w:t>3</w:t>
      </w:r>
      <w:r>
        <w:rPr>
          <w:snapToGrid w:val="0"/>
        </w:rPr>
        <w:t>.</w:t>
      </w:r>
      <w:r>
        <w:rPr>
          <w:snapToGrid w:val="0"/>
        </w:rPr>
        <w:tab/>
        <w:t>Term used</w:t>
      </w:r>
      <w:bookmarkEnd w:id="20"/>
      <w:bookmarkEnd w:id="21"/>
      <w:bookmarkEnd w:id="22"/>
      <w:bookmarkEnd w:id="23"/>
      <w:bookmarkEnd w:id="24"/>
      <w:bookmarkEnd w:id="25"/>
      <w:bookmarkEnd w:id="26"/>
      <w:r>
        <w:rPr>
          <w:snapToGrid w:val="0"/>
        </w:rPr>
        <w:t>: Commission</w:t>
      </w:r>
      <w:bookmarkEnd w:id="27"/>
      <w:bookmarkEnd w:id="28"/>
    </w:p>
    <w:p>
      <w:pPr>
        <w:pStyle w:val="Subsection"/>
      </w:pPr>
      <w:r>
        <w:tab/>
      </w:r>
      <w:r>
        <w:tab/>
        <w:t xml:space="preserve">In these regulations — </w:t>
      </w:r>
    </w:p>
    <w:p>
      <w:pPr>
        <w:pStyle w:val="Defstart"/>
      </w:pPr>
      <w:r>
        <w:tab/>
      </w:r>
      <w:r>
        <w:rPr>
          <w:rStyle w:val="CharDefText"/>
        </w:rPr>
        <w:t>Commission</w:t>
      </w:r>
      <w:r>
        <w:t xml:space="preserve"> means the Gaming and Wagering Commission of Western Australia established under the </w:t>
      </w:r>
      <w:r>
        <w:rPr>
          <w:i/>
        </w:rPr>
        <w:t>Gaming and Wagering Commission Act 1987</w:t>
      </w:r>
      <w:r>
        <w:rPr>
          <w:iCs/>
        </w:rPr>
        <w:t xml:space="preserve"> section 4(1)</w:t>
      </w:r>
      <w:r>
        <w:t>.</w:t>
      </w:r>
    </w:p>
    <w:p>
      <w:pPr>
        <w:pStyle w:val="Heading5"/>
      </w:pPr>
      <w:bookmarkStart w:id="29" w:name="_Toc348689569"/>
      <w:bookmarkStart w:id="30" w:name="_Toc337721895"/>
      <w:r>
        <w:rPr>
          <w:rStyle w:val="CharSectno"/>
        </w:rPr>
        <w:t>4</w:t>
      </w:r>
      <w:r>
        <w:t>.</w:t>
      </w:r>
      <w:r>
        <w:tab/>
        <w:t>Levy amount prescribed</w:t>
      </w:r>
      <w:bookmarkEnd w:id="29"/>
      <w:bookmarkEnd w:id="30"/>
    </w:p>
    <w:p>
      <w:pPr>
        <w:pStyle w:val="Subsection"/>
      </w:pPr>
      <w:r>
        <w:tab/>
        <w:t>(1)</w:t>
      </w:r>
      <w:r>
        <w:tab/>
        <w:t xml:space="preserve">The amount by way of levy to be paid under the </w:t>
      </w:r>
      <w:r>
        <w:rPr>
          <w:i/>
        </w:rPr>
        <w:t>Betting Control Act 1954</w:t>
      </w:r>
      <w:r>
        <w:t xml:space="preserve"> section 14A(2) by a betting operator in respect of racing bets placed or accepted on or after 1 September 2008 and before 1 November 2012 is — </w:t>
      </w:r>
    </w:p>
    <w:p>
      <w:pPr>
        <w:pStyle w:val="Indenta"/>
      </w:pPr>
      <w:r>
        <w:tab/>
        <w:t>(a)</w:t>
      </w:r>
      <w:r>
        <w:tab/>
        <w:t>1.5% of turnover for each month beginning with September 2008; or</w:t>
      </w:r>
    </w:p>
    <w:p>
      <w:pPr>
        <w:pStyle w:val="Indenta"/>
      </w:pPr>
      <w:r>
        <w:tab/>
        <w:t>(b)</w:t>
      </w:r>
      <w:r>
        <w:tab/>
        <w:t>either 20% of gross revenue for each month or 0.2% of turnover for each month beginning with September 2008, whichever is the greater, or if the amounts are equal, that amount.</w:t>
      </w:r>
    </w:p>
    <w:p>
      <w:pPr>
        <w:pStyle w:val="Subsection"/>
      </w:pPr>
      <w:r>
        <w:tab/>
        <w:t>(2)</w:t>
      </w:r>
      <w:r>
        <w:tab/>
        <w:t xml:space="preserve">The amount by way of levy to be paid under the </w:t>
      </w:r>
      <w:r>
        <w:rPr>
          <w:i/>
        </w:rPr>
        <w:t xml:space="preserve">Betting Control Act 1954 </w:t>
      </w:r>
      <w:r>
        <w:t xml:space="preserve">section 14A(2) by a betting operator in respect of racing bets placed or accepted on or after 1 November 2012 is as follows — </w:t>
      </w:r>
    </w:p>
    <w:p>
      <w:pPr>
        <w:pStyle w:val="Indenta"/>
      </w:pPr>
      <w:r>
        <w:tab/>
        <w:t>(a)</w:t>
      </w:r>
      <w:r>
        <w:tab/>
        <w:t>in the case of racing bets placed or accepted on thoroughbred racing occurring during the premium thoroughbred racing season, 2% of turnover for each month beginning with November 2012;</w:t>
      </w:r>
    </w:p>
    <w:p>
      <w:pPr>
        <w:pStyle w:val="Indenta"/>
      </w:pPr>
      <w:r>
        <w:tab/>
        <w:t>(b)</w:t>
      </w:r>
      <w:r>
        <w:tab/>
        <w:t>in the case of all other racing bets, 1.5% of turnover for each month beginning with November 2012.</w:t>
      </w:r>
    </w:p>
    <w:p>
      <w:pPr>
        <w:pStyle w:val="Subsection"/>
      </w:pPr>
      <w:r>
        <w:tab/>
        <w:t>(3)</w:t>
      </w:r>
      <w:r>
        <w:tab/>
        <w:t xml:space="preserve">In subregulation (2) — </w:t>
      </w:r>
    </w:p>
    <w:p>
      <w:pPr>
        <w:pStyle w:val="Defstart"/>
      </w:pPr>
      <w:r>
        <w:tab/>
      </w:r>
      <w:r>
        <w:rPr>
          <w:rStyle w:val="CharDefText"/>
        </w:rPr>
        <w:t>premium thoroughbred racing season</w:t>
      </w:r>
      <w:r>
        <w:t xml:space="preserve"> means the period beginning on 1 November in any year and ending on 1 January in the next year, both dates inclusive;</w:t>
      </w:r>
    </w:p>
    <w:p>
      <w:pPr>
        <w:pStyle w:val="Defstart"/>
      </w:pPr>
      <w:r>
        <w:tab/>
      </w:r>
      <w:r>
        <w:rPr>
          <w:rStyle w:val="CharDefText"/>
        </w:rPr>
        <w:t>thoroughbred racing</w:t>
      </w:r>
      <w:r>
        <w:t xml:space="preserve"> has the meaning given to that term in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 xml:space="preserve"> section 3(1).</w:t>
      </w:r>
    </w:p>
    <w:p>
      <w:pPr>
        <w:pStyle w:val="Footnotesection"/>
      </w:pPr>
      <w:r>
        <w:tab/>
        <w:t>[Regulation 4 amended in Gazette 12 Oct 2012 p. 4851</w:t>
      </w:r>
      <w:r>
        <w:noBreakHyphen/>
        <w:t>2.]</w:t>
      </w:r>
    </w:p>
    <w:p>
      <w:pPr>
        <w:pStyle w:val="Ednotesection"/>
      </w:pPr>
      <w:r>
        <w:t>[</w:t>
      </w:r>
      <w:r>
        <w:rPr>
          <w:b/>
        </w:rPr>
        <w:t>5.</w:t>
      </w:r>
      <w:r>
        <w:rPr>
          <w:b/>
        </w:rPr>
        <w:tab/>
      </w:r>
      <w:r>
        <w:t>Deleted in Gazette 12 Oct 2012 p. 4852.]</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31" w:name="_Toc113695922"/>
      <w:bookmarkStart w:id="32" w:name="_Toc250643472"/>
    </w:p>
    <w:p>
      <w:pPr>
        <w:pStyle w:val="nHeading2"/>
      </w:pPr>
      <w:bookmarkStart w:id="33" w:name="_Toc250643535"/>
      <w:bookmarkStart w:id="34" w:name="_Toc337721896"/>
      <w:bookmarkStart w:id="35" w:name="_Toc348608666"/>
      <w:bookmarkStart w:id="36" w:name="_Toc348618891"/>
      <w:bookmarkStart w:id="37" w:name="_Toc348689570"/>
      <w:r>
        <w:t>Notes</w:t>
      </w:r>
      <w:bookmarkEnd w:id="31"/>
      <w:bookmarkEnd w:id="32"/>
      <w:bookmarkEnd w:id="33"/>
      <w:bookmarkEnd w:id="34"/>
      <w:bookmarkEnd w:id="35"/>
      <w:bookmarkEnd w:id="36"/>
      <w:bookmarkEnd w:id="37"/>
    </w:p>
    <w:p>
      <w:pPr>
        <w:pStyle w:val="nSubsection"/>
        <w:rPr>
          <w:snapToGrid w:val="0"/>
        </w:rPr>
      </w:pPr>
      <w:bookmarkStart w:id="38" w:name="_Toc70311430"/>
      <w:r>
        <w:rPr>
          <w:snapToGrid w:val="0"/>
          <w:vertAlign w:val="superscript"/>
        </w:rPr>
        <w:t>1</w:t>
      </w:r>
      <w:r>
        <w:rPr>
          <w:snapToGrid w:val="0"/>
        </w:rPr>
        <w:tab/>
        <w:t xml:space="preserve">This is a compilation of the </w:t>
      </w:r>
      <w:r>
        <w:rPr>
          <w:i/>
          <w:noProof/>
          <w:snapToGrid w:val="0"/>
        </w:rPr>
        <w:t>Racing Bets Levy Regulations 2009</w:t>
      </w:r>
      <w:r>
        <w:rPr>
          <w:snapToGrid w:val="0"/>
        </w:rPr>
        <w:t xml:space="preserve"> and includes the amendments made by the other written laws referred to in the following table</w:t>
      </w:r>
      <w:del w:id="39" w:author="Master Repository Process" w:date="2021-09-12T08:25:00Z">
        <w:r>
          <w:rPr>
            <w:snapToGrid w:val="0"/>
          </w:rPr>
          <w:delText xml:space="preserve">.  </w:delText>
        </w:r>
      </w:del>
      <w:ins w:id="40" w:author="Master Repository Process" w:date="2021-09-12T08:25:00Z">
        <w:r>
          <w:rPr>
            <w:snapToGrid w:val="0"/>
            <w:vertAlign w:val="superscript"/>
          </w:rPr>
          <w:t> 1a</w:t>
        </w:r>
        <w:r>
          <w:rPr>
            <w:snapToGrid w:val="0"/>
          </w:rPr>
          <w:t>.</w:t>
        </w:r>
      </w:ins>
    </w:p>
    <w:p>
      <w:pPr>
        <w:pStyle w:val="nHeading3"/>
      </w:pPr>
      <w:bookmarkStart w:id="41" w:name="_Toc348689571"/>
      <w:bookmarkStart w:id="42" w:name="_Toc337721897"/>
      <w:r>
        <w:t>Compilation table</w:t>
      </w:r>
      <w:bookmarkEnd w:id="38"/>
      <w:bookmarkEnd w:id="41"/>
      <w:bookmarkEnd w:id="4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tcPr>
          <w:p>
            <w:pPr>
              <w:pStyle w:val="nTable"/>
              <w:spacing w:after="40"/>
              <w:rPr>
                <w:b/>
                <w:sz w:val="19"/>
              </w:rPr>
            </w:pPr>
            <w:r>
              <w:rPr>
                <w:b/>
                <w:sz w:val="19"/>
              </w:rPr>
              <w:t>Citation</w:t>
            </w:r>
          </w:p>
        </w:tc>
        <w:tc>
          <w:tcPr>
            <w:tcW w:w="1276" w:type="dxa"/>
            <w:tcBorders>
              <w:bottom w:val="single" w:sz="4" w:space="0" w:color="auto"/>
            </w:tcBorders>
          </w:tcPr>
          <w:p>
            <w:pPr>
              <w:pStyle w:val="nTable"/>
              <w:spacing w:after="40"/>
              <w:rPr>
                <w:b/>
                <w:sz w:val="19"/>
              </w:rPr>
            </w:pPr>
            <w:r>
              <w:rPr>
                <w:b/>
                <w:sz w:val="19"/>
              </w:rPr>
              <w:t>Gazettal</w:t>
            </w:r>
          </w:p>
        </w:tc>
        <w:tc>
          <w:tcPr>
            <w:tcW w:w="2693" w:type="dxa"/>
            <w:tcBorders>
              <w:bottom w:val="single" w:sz="4" w:space="0" w:color="auto"/>
            </w:tcBorders>
          </w:tcPr>
          <w:p>
            <w:pPr>
              <w:pStyle w:val="nTable"/>
              <w:spacing w:after="40"/>
              <w:rPr>
                <w:b/>
                <w:sz w:val="19"/>
              </w:rPr>
            </w:pPr>
            <w:r>
              <w:rPr>
                <w:b/>
                <w:sz w:val="19"/>
              </w:rPr>
              <w:t>Commencement</w:t>
            </w:r>
          </w:p>
        </w:tc>
      </w:tr>
      <w:tr>
        <w:tc>
          <w:tcPr>
            <w:tcW w:w="3118" w:type="dxa"/>
            <w:tcBorders>
              <w:top w:val="single" w:sz="4" w:space="0" w:color="auto"/>
              <w:bottom w:val="nil"/>
            </w:tcBorders>
          </w:tcPr>
          <w:p>
            <w:pPr>
              <w:pStyle w:val="nTable"/>
              <w:spacing w:after="40"/>
              <w:rPr>
                <w:sz w:val="19"/>
              </w:rPr>
            </w:pPr>
            <w:r>
              <w:rPr>
                <w:i/>
                <w:sz w:val="19"/>
              </w:rPr>
              <w:t>Racing Bets Levy Regulations 2009</w:t>
            </w:r>
          </w:p>
        </w:tc>
        <w:tc>
          <w:tcPr>
            <w:tcW w:w="1276" w:type="dxa"/>
            <w:tcBorders>
              <w:top w:val="single" w:sz="4" w:space="0" w:color="auto"/>
              <w:bottom w:val="nil"/>
            </w:tcBorders>
          </w:tcPr>
          <w:p>
            <w:pPr>
              <w:pStyle w:val="nTable"/>
              <w:spacing w:after="40"/>
              <w:rPr>
                <w:sz w:val="19"/>
              </w:rPr>
            </w:pPr>
            <w:r>
              <w:rPr>
                <w:sz w:val="19"/>
              </w:rPr>
              <w:t>8 Jan 2010 p. 27</w:t>
            </w:r>
            <w:r>
              <w:rPr>
                <w:sz w:val="19"/>
              </w:rPr>
              <w:noBreakHyphen/>
              <w:t>8</w:t>
            </w:r>
          </w:p>
        </w:tc>
        <w:tc>
          <w:tcPr>
            <w:tcW w:w="2693" w:type="dxa"/>
            <w:tcBorders>
              <w:top w:val="single" w:sz="4" w:space="0" w:color="auto"/>
              <w:bottom w:val="nil"/>
            </w:tcBorders>
          </w:tcPr>
          <w:p>
            <w:pPr>
              <w:pStyle w:val="nTable"/>
              <w:spacing w:after="40"/>
              <w:rPr>
                <w:sz w:val="19"/>
              </w:rPr>
            </w:pPr>
            <w:r>
              <w:rPr>
                <w:snapToGrid w:val="0"/>
                <w:spacing w:val="-2"/>
                <w:sz w:val="19"/>
                <w:lang w:val="en-US"/>
              </w:rPr>
              <w:t>r. 1 and 2: 8 Jan 2010 (see r. 2(a));</w:t>
            </w:r>
            <w:r>
              <w:rPr>
                <w:snapToGrid w:val="0"/>
                <w:spacing w:val="-2"/>
                <w:sz w:val="19"/>
                <w:lang w:val="en-US"/>
              </w:rPr>
              <w:br/>
              <w:t>Regulations other than r. 1 and 2: 9 Jan 2010 (see r. 2(b))</w:t>
            </w:r>
          </w:p>
        </w:tc>
      </w:tr>
      <w:tr>
        <w:tc>
          <w:tcPr>
            <w:tcW w:w="3118" w:type="dxa"/>
            <w:tcBorders>
              <w:top w:val="nil"/>
              <w:bottom w:val="single" w:sz="4" w:space="0" w:color="auto"/>
            </w:tcBorders>
          </w:tcPr>
          <w:p>
            <w:pPr>
              <w:pStyle w:val="nTable"/>
              <w:spacing w:after="40"/>
              <w:rPr>
                <w:i/>
                <w:sz w:val="19"/>
              </w:rPr>
            </w:pPr>
            <w:r>
              <w:rPr>
                <w:i/>
                <w:sz w:val="19"/>
              </w:rPr>
              <w:t>Racing Bets Levy Amendment Regulations 2012</w:t>
            </w:r>
          </w:p>
        </w:tc>
        <w:tc>
          <w:tcPr>
            <w:tcW w:w="1276" w:type="dxa"/>
            <w:tcBorders>
              <w:top w:val="nil"/>
              <w:bottom w:val="single" w:sz="4" w:space="0" w:color="auto"/>
            </w:tcBorders>
          </w:tcPr>
          <w:p>
            <w:pPr>
              <w:pStyle w:val="nTable"/>
              <w:spacing w:after="40"/>
              <w:rPr>
                <w:sz w:val="19"/>
              </w:rPr>
            </w:pPr>
            <w:r>
              <w:rPr>
                <w:sz w:val="19"/>
              </w:rPr>
              <w:t>12 Oct 2012 p. 4851</w:t>
            </w:r>
            <w:r>
              <w:rPr>
                <w:sz w:val="19"/>
              </w:rPr>
              <w:noBreakHyphen/>
              <w:t>2</w:t>
            </w:r>
          </w:p>
        </w:tc>
        <w:tc>
          <w:tcPr>
            <w:tcW w:w="2693" w:type="dxa"/>
            <w:tcBorders>
              <w:top w:val="nil"/>
              <w:bottom w:val="single" w:sz="4" w:space="0" w:color="auto"/>
            </w:tcBorders>
          </w:tcPr>
          <w:p>
            <w:pPr>
              <w:pStyle w:val="nTable"/>
              <w:spacing w:after="40"/>
              <w:rPr>
                <w:snapToGrid w:val="0"/>
                <w:spacing w:val="-2"/>
                <w:sz w:val="19"/>
                <w:lang w:val="en-US"/>
              </w:rPr>
            </w:pPr>
            <w:r>
              <w:rPr>
                <w:snapToGrid w:val="0"/>
                <w:spacing w:val="-2"/>
                <w:sz w:val="19"/>
                <w:lang w:val="en-US"/>
              </w:rPr>
              <w:t>r. 1 and 2: 12 Oct 2012 (see r. 2(a));</w:t>
            </w:r>
            <w:r>
              <w:rPr>
                <w:snapToGrid w:val="0"/>
                <w:spacing w:val="-2"/>
                <w:sz w:val="19"/>
                <w:lang w:val="en-US"/>
              </w:rPr>
              <w:br/>
              <w:t>Regulations other than r. 1 and 2: 13 Oct 2012 (see r. 2(b))</w:t>
            </w:r>
          </w:p>
        </w:tc>
      </w:tr>
    </w:tbl>
    <w:p>
      <w:pPr>
        <w:pStyle w:val="nSubsection"/>
        <w:tabs>
          <w:tab w:val="clear" w:pos="454"/>
          <w:tab w:val="left" w:pos="567"/>
        </w:tabs>
        <w:spacing w:before="120"/>
        <w:ind w:left="567" w:hanging="567"/>
        <w:rPr>
          <w:ins w:id="43" w:author="Master Repository Process" w:date="2021-09-12T08:25:00Z"/>
          <w:snapToGrid w:val="0"/>
        </w:rPr>
      </w:pPr>
      <w:ins w:id="44" w:author="Master Repository Process" w:date="2021-09-12T08:2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5" w:author="Master Repository Process" w:date="2021-09-12T08:25:00Z"/>
        </w:rPr>
      </w:pPr>
      <w:bookmarkStart w:id="46" w:name="_Toc348689572"/>
      <w:ins w:id="47" w:author="Master Repository Process" w:date="2021-09-12T08:25:00Z">
        <w:r>
          <w:t>Provisions that have not come into operation</w:t>
        </w:r>
        <w:bookmarkEnd w:id="46"/>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48" w:author="Master Repository Process" w:date="2021-09-12T08:25:00Z"/>
        </w:trPr>
        <w:tc>
          <w:tcPr>
            <w:tcW w:w="3119" w:type="dxa"/>
            <w:tcBorders>
              <w:top w:val="single" w:sz="8" w:space="0" w:color="auto"/>
              <w:bottom w:val="single" w:sz="8" w:space="0" w:color="auto"/>
            </w:tcBorders>
          </w:tcPr>
          <w:p>
            <w:pPr>
              <w:pStyle w:val="nTable"/>
              <w:spacing w:after="40"/>
              <w:ind w:right="113"/>
              <w:rPr>
                <w:ins w:id="49" w:author="Master Repository Process" w:date="2021-09-12T08:25:00Z"/>
                <w:b/>
                <w:sz w:val="19"/>
              </w:rPr>
            </w:pPr>
            <w:ins w:id="50" w:author="Master Repository Process" w:date="2021-09-12T08:25:00Z">
              <w:r>
                <w:rPr>
                  <w:b/>
                  <w:sz w:val="19"/>
                </w:rPr>
                <w:t>Citation</w:t>
              </w:r>
            </w:ins>
          </w:p>
        </w:tc>
        <w:tc>
          <w:tcPr>
            <w:tcW w:w="1276" w:type="dxa"/>
            <w:tcBorders>
              <w:top w:val="single" w:sz="8" w:space="0" w:color="auto"/>
              <w:bottom w:val="single" w:sz="8" w:space="0" w:color="auto"/>
            </w:tcBorders>
          </w:tcPr>
          <w:p>
            <w:pPr>
              <w:pStyle w:val="nTable"/>
              <w:spacing w:after="40"/>
              <w:rPr>
                <w:ins w:id="51" w:author="Master Repository Process" w:date="2021-09-12T08:25:00Z"/>
                <w:b/>
                <w:sz w:val="19"/>
              </w:rPr>
            </w:pPr>
            <w:ins w:id="52" w:author="Master Repository Process" w:date="2021-09-12T08:25:00Z">
              <w:r>
                <w:rPr>
                  <w:b/>
                  <w:sz w:val="19"/>
                </w:rPr>
                <w:t>Gazettal</w:t>
              </w:r>
            </w:ins>
          </w:p>
        </w:tc>
        <w:tc>
          <w:tcPr>
            <w:tcW w:w="2693" w:type="dxa"/>
            <w:tcBorders>
              <w:top w:val="single" w:sz="8" w:space="0" w:color="auto"/>
              <w:bottom w:val="single" w:sz="8" w:space="0" w:color="auto"/>
            </w:tcBorders>
          </w:tcPr>
          <w:p>
            <w:pPr>
              <w:pStyle w:val="nTable"/>
              <w:spacing w:after="40"/>
              <w:rPr>
                <w:ins w:id="53" w:author="Master Repository Process" w:date="2021-09-12T08:25:00Z"/>
                <w:b/>
                <w:sz w:val="19"/>
              </w:rPr>
            </w:pPr>
            <w:ins w:id="54" w:author="Master Repository Process" w:date="2021-09-12T08:25:00Z">
              <w:r>
                <w:rPr>
                  <w:b/>
                  <w:sz w:val="19"/>
                </w:rPr>
                <w:t>Commencement</w:t>
              </w:r>
            </w:ins>
          </w:p>
        </w:tc>
      </w:tr>
      <w:tr>
        <w:trPr>
          <w:cantSplit/>
          <w:ins w:id="55" w:author="Master Repository Process" w:date="2021-09-12T08:25:00Z"/>
        </w:trPr>
        <w:tc>
          <w:tcPr>
            <w:tcW w:w="3119" w:type="dxa"/>
            <w:tcBorders>
              <w:top w:val="single" w:sz="8" w:space="0" w:color="auto"/>
              <w:bottom w:val="single" w:sz="8" w:space="0" w:color="auto"/>
            </w:tcBorders>
          </w:tcPr>
          <w:p>
            <w:pPr>
              <w:pStyle w:val="nTable"/>
              <w:spacing w:after="40"/>
              <w:ind w:right="113"/>
              <w:rPr>
                <w:ins w:id="56" w:author="Master Repository Process" w:date="2021-09-12T08:25:00Z"/>
              </w:rPr>
            </w:pPr>
            <w:ins w:id="57" w:author="Master Repository Process" w:date="2021-09-12T08:25:00Z">
              <w:r>
                <w:rPr>
                  <w:i/>
                  <w:sz w:val="19"/>
                </w:rPr>
                <w:t>Racing Bets Levy Amendment Regulations 2013</w:t>
              </w:r>
              <w:r>
                <w:t xml:space="preserve"> r. 3-5 </w:t>
              </w:r>
              <w:r>
                <w:rPr>
                  <w:vertAlign w:val="superscript"/>
                </w:rPr>
                <w:t>3</w:t>
              </w:r>
            </w:ins>
          </w:p>
        </w:tc>
        <w:tc>
          <w:tcPr>
            <w:tcW w:w="1276" w:type="dxa"/>
            <w:tcBorders>
              <w:top w:val="single" w:sz="8" w:space="0" w:color="auto"/>
              <w:bottom w:val="single" w:sz="8" w:space="0" w:color="auto"/>
            </w:tcBorders>
          </w:tcPr>
          <w:p>
            <w:pPr>
              <w:pStyle w:val="nTable"/>
              <w:spacing w:after="40"/>
              <w:rPr>
                <w:ins w:id="58" w:author="Master Repository Process" w:date="2021-09-12T08:25:00Z"/>
                <w:sz w:val="19"/>
              </w:rPr>
            </w:pPr>
            <w:ins w:id="59" w:author="Master Repository Process" w:date="2021-09-12T08:25:00Z">
              <w:r>
                <w:rPr>
                  <w:sz w:val="19"/>
                </w:rPr>
                <w:t>15 Feb 2013 p. 957-9</w:t>
              </w:r>
            </w:ins>
          </w:p>
        </w:tc>
        <w:tc>
          <w:tcPr>
            <w:tcW w:w="2693" w:type="dxa"/>
            <w:tcBorders>
              <w:top w:val="single" w:sz="8" w:space="0" w:color="auto"/>
              <w:bottom w:val="single" w:sz="8" w:space="0" w:color="auto"/>
            </w:tcBorders>
          </w:tcPr>
          <w:p>
            <w:pPr>
              <w:pStyle w:val="nTable"/>
              <w:spacing w:after="40"/>
              <w:rPr>
                <w:ins w:id="60" w:author="Master Repository Process" w:date="2021-09-12T08:25:00Z"/>
                <w:sz w:val="19"/>
              </w:rPr>
            </w:pPr>
            <w:ins w:id="61" w:author="Master Repository Process" w:date="2021-09-12T08:25:00Z">
              <w:r>
                <w:rPr>
                  <w:sz w:val="19"/>
                </w:rPr>
                <w:t>1 Apr 2013 (see r. 2(b))</w:t>
              </w:r>
            </w:ins>
          </w:p>
        </w:tc>
      </w:tr>
    </w:tbl>
    <w:p>
      <w:pPr>
        <w:pStyle w:val="nSubsection"/>
        <w:rPr>
          <w:ins w:id="62" w:author="Master Repository Process" w:date="2021-09-12T08:25:00Z"/>
          <w:snapToGrid w:val="0"/>
        </w:rPr>
      </w:pPr>
      <w:ins w:id="63" w:author="Master Repository Process" w:date="2021-09-12T08:25:00Z">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Racing Betts Levy Amendment Regulations 2013 </w:t>
        </w:r>
        <w:r>
          <w:rPr>
            <w:snapToGrid w:val="0"/>
          </w:rPr>
          <w:t>r. 3-5 had not come into operation.  They read as follows:</w:t>
        </w:r>
      </w:ins>
    </w:p>
    <w:p>
      <w:pPr>
        <w:pStyle w:val="BlankOpen"/>
        <w:rPr>
          <w:ins w:id="64" w:author="Master Repository Process" w:date="2021-09-12T08:25:00Z"/>
          <w:snapToGrid w:val="0"/>
        </w:rPr>
      </w:pPr>
    </w:p>
    <w:p>
      <w:pPr>
        <w:pStyle w:val="nzHeading5"/>
        <w:spacing w:before="60"/>
        <w:rPr>
          <w:ins w:id="65" w:author="Master Repository Process" w:date="2021-09-12T08:25:00Z"/>
          <w:snapToGrid w:val="0"/>
        </w:rPr>
      </w:pPr>
      <w:ins w:id="66" w:author="Master Repository Process" w:date="2021-09-12T08:25:00Z">
        <w:r>
          <w:rPr>
            <w:rStyle w:val="CharSectno"/>
          </w:rPr>
          <w:t>3</w:t>
        </w:r>
        <w:r>
          <w:rPr>
            <w:snapToGrid w:val="0"/>
          </w:rPr>
          <w:t>.</w:t>
        </w:r>
        <w:r>
          <w:rPr>
            <w:snapToGrid w:val="0"/>
          </w:rPr>
          <w:tab/>
          <w:t>Regulations amended</w:t>
        </w:r>
      </w:ins>
    </w:p>
    <w:p>
      <w:pPr>
        <w:pStyle w:val="nzSubsection"/>
        <w:rPr>
          <w:ins w:id="67" w:author="Master Repository Process" w:date="2021-09-12T08:25:00Z"/>
        </w:rPr>
      </w:pPr>
      <w:ins w:id="68" w:author="Master Repository Process" w:date="2021-09-12T08:25:00Z">
        <w:r>
          <w:tab/>
        </w:r>
        <w:r>
          <w:tab/>
        </w:r>
        <w:r>
          <w:rPr>
            <w:spacing w:val="-2"/>
          </w:rPr>
          <w:t>These</w:t>
        </w:r>
        <w:r>
          <w:t xml:space="preserve"> regulations amend the </w:t>
        </w:r>
        <w:r>
          <w:rPr>
            <w:i/>
          </w:rPr>
          <w:t>Racing Bets Levy Regulations 2009</w:t>
        </w:r>
        <w:r>
          <w:t>.</w:t>
        </w:r>
      </w:ins>
    </w:p>
    <w:p>
      <w:pPr>
        <w:pStyle w:val="nzHeading5"/>
        <w:spacing w:before="60"/>
        <w:rPr>
          <w:ins w:id="69" w:author="Master Repository Process" w:date="2021-09-12T08:25:00Z"/>
        </w:rPr>
      </w:pPr>
      <w:ins w:id="70" w:author="Master Repository Process" w:date="2021-09-12T08:25:00Z">
        <w:r>
          <w:rPr>
            <w:rStyle w:val="CharSectno"/>
          </w:rPr>
          <w:t>4</w:t>
        </w:r>
        <w:r>
          <w:t>.</w:t>
        </w:r>
        <w:r>
          <w:tab/>
          <w:t>Regulation 3 replaced</w:t>
        </w:r>
      </w:ins>
    </w:p>
    <w:p>
      <w:pPr>
        <w:pStyle w:val="nzSubsection"/>
        <w:rPr>
          <w:ins w:id="71" w:author="Master Repository Process" w:date="2021-09-12T08:25:00Z"/>
        </w:rPr>
      </w:pPr>
      <w:ins w:id="72" w:author="Master Repository Process" w:date="2021-09-12T08:25:00Z">
        <w:r>
          <w:tab/>
        </w:r>
        <w:r>
          <w:tab/>
          <w:t>Delete regulation 3 and insert:</w:t>
        </w:r>
      </w:ins>
    </w:p>
    <w:p>
      <w:pPr>
        <w:pStyle w:val="BlankOpen"/>
        <w:rPr>
          <w:ins w:id="73" w:author="Master Repository Process" w:date="2021-09-12T08:25:00Z"/>
        </w:rPr>
      </w:pPr>
    </w:p>
    <w:p>
      <w:pPr>
        <w:pStyle w:val="nzHeading5"/>
        <w:spacing w:before="60"/>
        <w:rPr>
          <w:ins w:id="74" w:author="Master Repository Process" w:date="2021-09-12T08:25:00Z"/>
        </w:rPr>
      </w:pPr>
      <w:ins w:id="75" w:author="Master Repository Process" w:date="2021-09-12T08:25:00Z">
        <w:r>
          <w:t>3.</w:t>
        </w:r>
        <w:r>
          <w:tab/>
          <w:t>Terms used</w:t>
        </w:r>
      </w:ins>
    </w:p>
    <w:p>
      <w:pPr>
        <w:pStyle w:val="nzSubsection"/>
        <w:spacing w:before="40"/>
        <w:rPr>
          <w:ins w:id="76" w:author="Master Repository Process" w:date="2021-09-12T08:25:00Z"/>
        </w:rPr>
      </w:pPr>
      <w:ins w:id="77" w:author="Master Repository Process" w:date="2021-09-12T08:25:00Z">
        <w:r>
          <w:tab/>
        </w:r>
        <w:r>
          <w:tab/>
          <w:t xml:space="preserve">In these regulations — </w:t>
        </w:r>
      </w:ins>
    </w:p>
    <w:p>
      <w:pPr>
        <w:pStyle w:val="nzDefstart"/>
        <w:rPr>
          <w:ins w:id="78" w:author="Master Repository Process" w:date="2021-09-12T08:25:00Z"/>
        </w:rPr>
      </w:pPr>
      <w:ins w:id="79" w:author="Master Repository Process" w:date="2021-09-12T08:25:00Z">
        <w:r>
          <w:tab/>
        </w:r>
        <w:r>
          <w:rPr>
            <w:rStyle w:val="CharDefText"/>
          </w:rPr>
          <w:t>premium thoroughbred racing season</w:t>
        </w:r>
        <w:r>
          <w:t xml:space="preserve"> means the period beginning on 1 November in any year and ending on 1 January in the next year;</w:t>
        </w:r>
      </w:ins>
    </w:p>
    <w:p>
      <w:pPr>
        <w:pStyle w:val="nzDefstart"/>
        <w:rPr>
          <w:ins w:id="80" w:author="Master Repository Process" w:date="2021-09-12T08:25:00Z"/>
        </w:rPr>
      </w:pPr>
      <w:ins w:id="81" w:author="Master Repository Process" w:date="2021-09-12T08:25:00Z">
        <w:r>
          <w:tab/>
        </w:r>
        <w:r>
          <w:rPr>
            <w:rStyle w:val="CharDefText"/>
          </w:rPr>
          <w:t>racing year</w:t>
        </w:r>
        <w:r>
          <w:t xml:space="preserve"> means the 12 months beginning on 1 August in any year and ending on 31 July in the next year;</w:t>
        </w:r>
      </w:ins>
    </w:p>
    <w:p>
      <w:pPr>
        <w:pStyle w:val="nzDefstart"/>
        <w:rPr>
          <w:ins w:id="82" w:author="Master Repository Process" w:date="2021-09-12T08:25:00Z"/>
        </w:rPr>
      </w:pPr>
      <w:ins w:id="83" w:author="Master Repository Process" w:date="2021-09-12T08:25:00Z">
        <w:r>
          <w:tab/>
        </w:r>
        <w:r>
          <w:rPr>
            <w:rStyle w:val="CharDefText"/>
          </w:rPr>
          <w:t>thoroughbred racing</w:t>
        </w:r>
        <w:r>
          <w:t xml:space="preserve"> has the meaning given in the </w:t>
        </w:r>
        <w:r>
          <w:rPr>
            <w:i/>
          </w:rPr>
          <w:t>Racing and Wagering Western Australia Act 2003</w:t>
        </w:r>
        <w:r>
          <w:t xml:space="preserve"> section 3(1).</w:t>
        </w:r>
      </w:ins>
    </w:p>
    <w:p>
      <w:pPr>
        <w:pStyle w:val="BlankClose"/>
        <w:rPr>
          <w:ins w:id="84" w:author="Master Repository Process" w:date="2021-09-12T08:25:00Z"/>
        </w:rPr>
      </w:pPr>
    </w:p>
    <w:p>
      <w:pPr>
        <w:pStyle w:val="nzHeading5"/>
        <w:spacing w:before="60"/>
        <w:rPr>
          <w:ins w:id="85" w:author="Master Repository Process" w:date="2021-09-12T08:25:00Z"/>
        </w:rPr>
      </w:pPr>
      <w:ins w:id="86" w:author="Master Repository Process" w:date="2021-09-12T08:25:00Z">
        <w:r>
          <w:rPr>
            <w:rStyle w:val="CharSectno"/>
          </w:rPr>
          <w:t>5</w:t>
        </w:r>
        <w:r>
          <w:t>.</w:t>
        </w:r>
        <w:r>
          <w:tab/>
          <w:t>Regulation 4 amended</w:t>
        </w:r>
      </w:ins>
    </w:p>
    <w:p>
      <w:pPr>
        <w:pStyle w:val="nzSubsection"/>
        <w:spacing w:before="40"/>
        <w:rPr>
          <w:ins w:id="87" w:author="Master Repository Process" w:date="2021-09-12T08:25:00Z"/>
        </w:rPr>
      </w:pPr>
      <w:ins w:id="88" w:author="Master Repository Process" w:date="2021-09-12T08:25:00Z">
        <w:r>
          <w:tab/>
          <w:t>(1)</w:t>
        </w:r>
        <w:r>
          <w:tab/>
          <w:t>In regulation 4(2) after “2012” (first occurrence) insert:</w:t>
        </w:r>
      </w:ins>
    </w:p>
    <w:p>
      <w:pPr>
        <w:pStyle w:val="BlankOpen"/>
        <w:rPr>
          <w:ins w:id="89" w:author="Master Repository Process" w:date="2021-09-12T08:25:00Z"/>
        </w:rPr>
      </w:pPr>
    </w:p>
    <w:p>
      <w:pPr>
        <w:pStyle w:val="nzSubsection"/>
        <w:spacing w:before="40"/>
        <w:rPr>
          <w:ins w:id="90" w:author="Master Repository Process" w:date="2021-09-12T08:25:00Z"/>
        </w:rPr>
      </w:pPr>
      <w:ins w:id="91" w:author="Master Repository Process" w:date="2021-09-12T08:25:00Z">
        <w:r>
          <w:tab/>
        </w:r>
        <w:r>
          <w:tab/>
          <w:t>and before 1 April 2013</w:t>
        </w:r>
      </w:ins>
    </w:p>
    <w:p>
      <w:pPr>
        <w:pStyle w:val="BlankClose"/>
        <w:rPr>
          <w:ins w:id="92" w:author="Master Repository Process" w:date="2021-09-12T08:25:00Z"/>
        </w:rPr>
      </w:pPr>
    </w:p>
    <w:p>
      <w:pPr>
        <w:pStyle w:val="nzSubsection"/>
        <w:spacing w:before="40"/>
        <w:rPr>
          <w:ins w:id="93" w:author="Master Repository Process" w:date="2021-09-12T08:25:00Z"/>
        </w:rPr>
      </w:pPr>
      <w:ins w:id="94" w:author="Master Repository Process" w:date="2021-09-12T08:25:00Z">
        <w:r>
          <w:tab/>
          <w:t>(2)</w:t>
        </w:r>
        <w:r>
          <w:tab/>
          <w:t>Delete regulation 4(3) and insert:</w:t>
        </w:r>
      </w:ins>
    </w:p>
    <w:p>
      <w:pPr>
        <w:pStyle w:val="BlankOpen"/>
        <w:rPr>
          <w:ins w:id="95" w:author="Master Repository Process" w:date="2021-09-12T08:25:00Z"/>
        </w:rPr>
      </w:pPr>
    </w:p>
    <w:p>
      <w:pPr>
        <w:pStyle w:val="nzSubsection"/>
        <w:spacing w:before="40"/>
        <w:rPr>
          <w:ins w:id="96" w:author="Master Repository Process" w:date="2021-09-12T08:25:00Z"/>
        </w:rPr>
      </w:pPr>
      <w:ins w:id="97" w:author="Master Repository Process" w:date="2021-09-12T08:25:00Z">
        <w:r>
          <w:tab/>
          <w:t>(3)</w:t>
        </w:r>
        <w:r>
          <w:tab/>
          <w:t xml:space="preserve">The amount by way of levy to be paid under the </w:t>
        </w:r>
        <w:r>
          <w:rPr>
            <w:i/>
          </w:rPr>
          <w:t>Betting Control Act 1954</w:t>
        </w:r>
        <w:r>
          <w:t xml:space="preserve"> section 14A(2) by a betting operator in respect of racing bets placed or accepted on or after 1 April 2013 and before 1 August 2013 is as follows — </w:t>
        </w:r>
      </w:ins>
    </w:p>
    <w:p>
      <w:pPr>
        <w:pStyle w:val="nzIndenta"/>
        <w:rPr>
          <w:ins w:id="98" w:author="Master Repository Process" w:date="2021-09-12T08:25:00Z"/>
        </w:rPr>
      </w:pPr>
      <w:ins w:id="99" w:author="Master Repository Process" w:date="2021-09-12T08:25:00Z">
        <w:r>
          <w:tab/>
          <w:t>(a)</w:t>
        </w:r>
        <w:r>
          <w:tab/>
          <w:t>1% of turnover for each month beginning with April 2013, unless paragraph (b) applies;</w:t>
        </w:r>
      </w:ins>
    </w:p>
    <w:p>
      <w:pPr>
        <w:pStyle w:val="nzIndenta"/>
        <w:rPr>
          <w:ins w:id="100" w:author="Master Repository Process" w:date="2021-09-12T08:25:00Z"/>
        </w:rPr>
      </w:pPr>
      <w:ins w:id="101" w:author="Master Repository Process" w:date="2021-09-12T08:25:00Z">
        <w:r>
          <w:tab/>
          <w:t>(b)</w:t>
        </w:r>
        <w:r>
          <w:tab/>
          <w:t>if turnover reaches $833 333, calculated from the 1 April 2013, 1.5% of turnover for each month, or part of a month, after turnover reaches $833 333,</w:t>
        </w:r>
      </w:ins>
    </w:p>
    <w:p>
      <w:pPr>
        <w:pStyle w:val="nzSubsection"/>
        <w:spacing w:before="40"/>
        <w:rPr>
          <w:ins w:id="102" w:author="Master Repository Process" w:date="2021-09-12T08:25:00Z"/>
        </w:rPr>
      </w:pPr>
      <w:ins w:id="103" w:author="Master Repository Process" w:date="2021-09-12T08:25:00Z">
        <w:r>
          <w:tab/>
        </w:r>
        <w:r>
          <w:tab/>
          <w:t>but no amount by way of levy is to be paid for any month during which turnover does not reach $1 000.</w:t>
        </w:r>
      </w:ins>
    </w:p>
    <w:p>
      <w:pPr>
        <w:pStyle w:val="nzSubsection"/>
        <w:spacing w:before="40"/>
        <w:rPr>
          <w:ins w:id="104" w:author="Master Repository Process" w:date="2021-09-12T08:25:00Z"/>
        </w:rPr>
      </w:pPr>
      <w:ins w:id="105" w:author="Master Repository Process" w:date="2021-09-12T08:25:00Z">
        <w:r>
          <w:tab/>
          <w:t>(4)</w:t>
        </w:r>
        <w:r>
          <w:tab/>
          <w:t xml:space="preserve">The amount by way of levy to be paid under the </w:t>
        </w:r>
        <w:r>
          <w:rPr>
            <w:i/>
          </w:rPr>
          <w:t>Betting Control Act 1954</w:t>
        </w:r>
        <w:r>
          <w:t xml:space="preserve"> section 14A(2) by a betting operator in respect of racing bets placed or accepted on or after 1 August 2013 is as follows — </w:t>
        </w:r>
      </w:ins>
    </w:p>
    <w:p>
      <w:pPr>
        <w:pStyle w:val="nzIndenta"/>
        <w:rPr>
          <w:ins w:id="106" w:author="Master Repository Process" w:date="2021-09-12T08:25:00Z"/>
        </w:rPr>
      </w:pPr>
      <w:ins w:id="107" w:author="Master Repository Process" w:date="2021-09-12T08:25:00Z">
        <w:r>
          <w:tab/>
          <w:t>(a)</w:t>
        </w:r>
        <w:r>
          <w:tab/>
          <w:t>1% of turnover for each month beginning with August 2013, unless paragraph (b) applies;</w:t>
        </w:r>
      </w:ins>
    </w:p>
    <w:p>
      <w:pPr>
        <w:pStyle w:val="nzIndenta"/>
        <w:rPr>
          <w:ins w:id="108" w:author="Master Repository Process" w:date="2021-09-12T08:25:00Z"/>
        </w:rPr>
      </w:pPr>
      <w:ins w:id="109" w:author="Master Repository Process" w:date="2021-09-12T08:25:00Z">
        <w:r>
          <w:tab/>
          <w:t>(b)</w:t>
        </w:r>
        <w:r>
          <w:tab/>
          <w:t xml:space="preserve">if turnover reaches $2 500 000, calculated from the beginning of the racing year — </w:t>
        </w:r>
      </w:ins>
    </w:p>
    <w:p>
      <w:pPr>
        <w:pStyle w:val="nzIndenti"/>
        <w:spacing w:before="20"/>
        <w:rPr>
          <w:ins w:id="110" w:author="Master Repository Process" w:date="2021-09-12T08:25:00Z"/>
        </w:rPr>
      </w:pPr>
      <w:ins w:id="111" w:author="Master Repository Process" w:date="2021-09-12T08:25:00Z">
        <w:r>
          <w:tab/>
          <w:t>(i)</w:t>
        </w:r>
        <w:r>
          <w:tab/>
          <w:t xml:space="preserve">in the case of racing bets placed or accepted on thoroughbred racing occurring during the premium thoroughbred racing season, 2% of turnover for each month, or part of a month, after turnover reaches $2 500 000; </w:t>
        </w:r>
      </w:ins>
    </w:p>
    <w:p>
      <w:pPr>
        <w:pStyle w:val="nzIndenti"/>
        <w:spacing w:before="20"/>
        <w:rPr>
          <w:ins w:id="112" w:author="Master Repository Process" w:date="2021-09-12T08:25:00Z"/>
        </w:rPr>
      </w:pPr>
      <w:ins w:id="113" w:author="Master Repository Process" w:date="2021-09-12T08:25:00Z">
        <w:r>
          <w:tab/>
          <w:t>(ii)</w:t>
        </w:r>
        <w:r>
          <w:tab/>
          <w:t>in the case of all other racing bets, 1.5% of turnover for each month, or part of a month, after turnover reaches $2 500 000,</w:t>
        </w:r>
      </w:ins>
    </w:p>
    <w:p>
      <w:pPr>
        <w:pStyle w:val="nzSubsection"/>
        <w:spacing w:before="40"/>
        <w:rPr>
          <w:ins w:id="114" w:author="Master Repository Process" w:date="2021-09-12T08:25:00Z"/>
        </w:rPr>
      </w:pPr>
      <w:ins w:id="115" w:author="Master Repository Process" w:date="2021-09-12T08:25:00Z">
        <w:r>
          <w:tab/>
        </w:r>
        <w:r>
          <w:tab/>
          <w:t>but no amount by way of levy is to be paid for any month during which turnover does not reach $1 000.</w:t>
        </w:r>
      </w:ins>
    </w:p>
    <w:p>
      <w:pPr>
        <w:pStyle w:val="BlankClose"/>
        <w:rPr>
          <w:ins w:id="116" w:author="Master Repository Process" w:date="2021-09-12T08:25:00Z"/>
        </w:rPr>
      </w:pPr>
    </w:p>
    <w:p/>
    <w:p>
      <w:pPr>
        <w:sectPr>
          <w:headerReference w:type="even" r:id="rId21"/>
          <w:headerReference w:type="default" r:id="rId22"/>
          <w:headerReference w:type="first" r:id="rId23"/>
          <w:endnotePr>
            <w:numFmt w:val="decimal"/>
          </w:endnotePr>
          <w:pgSz w:w="11906" w:h="16838" w:code="9"/>
          <w:pgMar w:top="2376" w:right="2404" w:bottom="3544" w:left="2404" w:header="720" w:footer="3380" w:gutter="0"/>
          <w:cols w:space="720"/>
          <w:noEndnote/>
          <w:docGrid w:linePitch="326"/>
        </w:sectPr>
      </w:pPr>
    </w:p>
    <w:p/>
    <w:sectPr>
      <w:headerReference w:type="even" r:id="rId2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Bets Levy Regulations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Racing Bets Levy Regulations 2009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Racing Bets Levy Regulations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Racing Bets Levy Regulations 2009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Racing Bets Levy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Racing Bets Levy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2063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389F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FCC51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E30522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12E6C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DA8E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6C0E5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520E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020C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4239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7406A1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1148560C"/>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AAC9325F-DF54-4E09-B5B0-A4A852FBE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11B8F-E98B-4284-AEE8-0A2A79934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982</Words>
  <Characters>4538</Characters>
  <Application>Microsoft Office Word</Application>
  <DocSecurity>0</DocSecurity>
  <Lines>151</Lines>
  <Paragraphs>87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Bets Levy Regulations 2009 00-b0-01 - 00-c0-00</dc:title>
  <dc:subject/>
  <dc:creator/>
  <cp:keywords/>
  <dc:description/>
  <cp:lastModifiedBy>Master Repository Process</cp:lastModifiedBy>
  <cp:revision>2</cp:revision>
  <cp:lastPrinted>2009-12-07T05:10:00Z</cp:lastPrinted>
  <dcterms:created xsi:type="dcterms:W3CDTF">2021-09-12T00:25:00Z</dcterms:created>
  <dcterms:modified xsi:type="dcterms:W3CDTF">2021-09-12T00:25:00Z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Jan 2010 p 27-8</vt:lpwstr>
  </property>
  <property fmtid="{D5CDD505-2E9C-101B-9397-08002B2CF9AE}" pid="3" name="CommencementDate">
    <vt:lpwstr>20130215</vt:lpwstr>
  </property>
  <property fmtid="{D5CDD505-2E9C-101B-9397-08002B2CF9AE}" pid="4" name="OwlsUID">
    <vt:i4>42204</vt:i4>
  </property>
  <property fmtid="{D5CDD505-2E9C-101B-9397-08002B2CF9AE}" pid="5" name="DocumentType">
    <vt:lpwstr>Reg</vt:lpwstr>
  </property>
  <property fmtid="{D5CDD505-2E9C-101B-9397-08002B2CF9AE}" pid="6" name="FromSuffix">
    <vt:lpwstr>00-b0-01</vt:lpwstr>
  </property>
  <property fmtid="{D5CDD505-2E9C-101B-9397-08002B2CF9AE}" pid="7" name="FromAsAtDate">
    <vt:lpwstr>13 Oct 2012</vt:lpwstr>
  </property>
  <property fmtid="{D5CDD505-2E9C-101B-9397-08002B2CF9AE}" pid="8" name="ToSuffix">
    <vt:lpwstr>00-c0-00</vt:lpwstr>
  </property>
  <property fmtid="{D5CDD505-2E9C-101B-9397-08002B2CF9AE}" pid="9" name="ToAsAtDate">
    <vt:lpwstr>15 Feb 2013</vt:lpwstr>
  </property>
</Properties>
</file>